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9BA1" w14:textId="77777777" w:rsidR="009A78C3" w:rsidRPr="00D34CD1" w:rsidRDefault="009A78C3" w:rsidP="009A78C3">
      <w:pPr>
        <w:jc w:val="center"/>
      </w:pPr>
    </w:p>
    <w:p w14:paraId="5AC458C3" w14:textId="77777777" w:rsidR="009A78C3" w:rsidRPr="00D34CD1" w:rsidRDefault="009A78C3" w:rsidP="009A78C3">
      <w:pPr>
        <w:jc w:val="center"/>
      </w:pPr>
    </w:p>
    <w:p w14:paraId="398E128C" w14:textId="77777777" w:rsidR="009A78C3" w:rsidRPr="00D34CD1" w:rsidRDefault="009A78C3" w:rsidP="009A78C3">
      <w:pPr>
        <w:jc w:val="center"/>
      </w:pPr>
    </w:p>
    <w:p w14:paraId="1A6A594E" w14:textId="77777777" w:rsidR="009A78C3" w:rsidRPr="00D34CD1" w:rsidRDefault="009A78C3" w:rsidP="009A78C3">
      <w:pPr>
        <w:jc w:val="center"/>
      </w:pPr>
    </w:p>
    <w:p w14:paraId="7CF0D402" w14:textId="77777777" w:rsidR="009A78C3" w:rsidRPr="00D34CD1" w:rsidRDefault="009A78C3" w:rsidP="009A78C3">
      <w:pPr>
        <w:jc w:val="center"/>
      </w:pPr>
    </w:p>
    <w:p w14:paraId="3E02464A" w14:textId="77777777" w:rsidR="009A78C3" w:rsidRPr="00D34CD1" w:rsidRDefault="009A78C3" w:rsidP="009A78C3">
      <w:pPr>
        <w:jc w:val="center"/>
      </w:pPr>
    </w:p>
    <w:p w14:paraId="784F5E92" w14:textId="77777777" w:rsidR="009A78C3" w:rsidRPr="00D34CD1" w:rsidRDefault="009A78C3" w:rsidP="009A78C3">
      <w:pPr>
        <w:jc w:val="center"/>
      </w:pPr>
    </w:p>
    <w:p w14:paraId="17EBF124" w14:textId="77777777" w:rsidR="009A78C3" w:rsidRPr="00D34CD1" w:rsidRDefault="009A78C3" w:rsidP="009A78C3">
      <w:pPr>
        <w:jc w:val="center"/>
      </w:pPr>
    </w:p>
    <w:p w14:paraId="518EAD58" w14:textId="77777777" w:rsidR="009A78C3" w:rsidRPr="00D34CD1" w:rsidRDefault="009A78C3" w:rsidP="009A78C3">
      <w:pPr>
        <w:jc w:val="center"/>
      </w:pPr>
    </w:p>
    <w:p w14:paraId="699CFCCE" w14:textId="77777777" w:rsidR="009A78C3" w:rsidRPr="00D34CD1" w:rsidRDefault="009A78C3" w:rsidP="009A78C3">
      <w:pPr>
        <w:jc w:val="center"/>
      </w:pPr>
    </w:p>
    <w:p w14:paraId="469B63FF" w14:textId="77777777" w:rsidR="009A78C3" w:rsidRPr="00D34CD1" w:rsidRDefault="009A78C3" w:rsidP="009A78C3">
      <w:pPr>
        <w:jc w:val="center"/>
      </w:pPr>
    </w:p>
    <w:p w14:paraId="5257FC76" w14:textId="77777777" w:rsidR="009A78C3" w:rsidRPr="00D34CD1" w:rsidRDefault="009A78C3" w:rsidP="009A78C3">
      <w:pPr>
        <w:jc w:val="center"/>
      </w:pPr>
    </w:p>
    <w:p w14:paraId="147D1802" w14:textId="77777777" w:rsidR="009A78C3" w:rsidRPr="00D34CD1" w:rsidRDefault="009A78C3" w:rsidP="009A78C3">
      <w:pPr>
        <w:jc w:val="center"/>
      </w:pPr>
    </w:p>
    <w:p w14:paraId="1E0EAFBD" w14:textId="77777777" w:rsidR="009A78C3" w:rsidRPr="00D34CD1" w:rsidRDefault="009A78C3" w:rsidP="009A78C3">
      <w:pPr>
        <w:jc w:val="center"/>
      </w:pPr>
    </w:p>
    <w:p w14:paraId="3478A32D" w14:textId="77777777" w:rsidR="009A78C3" w:rsidRPr="00D34CD1" w:rsidRDefault="009A78C3" w:rsidP="009A78C3">
      <w:pPr>
        <w:jc w:val="center"/>
      </w:pPr>
    </w:p>
    <w:p w14:paraId="1318D40F" w14:textId="77777777" w:rsidR="009A78C3" w:rsidRPr="00D34CD1" w:rsidRDefault="009A78C3" w:rsidP="009A78C3">
      <w:pPr>
        <w:jc w:val="center"/>
      </w:pPr>
    </w:p>
    <w:p w14:paraId="3A8C0DB4" w14:textId="77777777" w:rsidR="009A78C3" w:rsidRPr="00D34CD1" w:rsidRDefault="009A78C3" w:rsidP="009A78C3">
      <w:pPr>
        <w:jc w:val="center"/>
      </w:pPr>
    </w:p>
    <w:p w14:paraId="29F68C75" w14:textId="77777777" w:rsidR="009A78C3" w:rsidRPr="00D34CD1" w:rsidRDefault="009A78C3" w:rsidP="009A78C3">
      <w:pPr>
        <w:jc w:val="center"/>
      </w:pPr>
    </w:p>
    <w:p w14:paraId="727724B7" w14:textId="77777777" w:rsidR="009A78C3" w:rsidRPr="00D34CD1" w:rsidRDefault="009A78C3" w:rsidP="009A78C3">
      <w:pPr>
        <w:jc w:val="center"/>
      </w:pPr>
    </w:p>
    <w:p w14:paraId="5FC873DE" w14:textId="77777777" w:rsidR="009A78C3" w:rsidRPr="00D34CD1" w:rsidRDefault="009A78C3" w:rsidP="009A78C3">
      <w:pPr>
        <w:jc w:val="center"/>
      </w:pPr>
    </w:p>
    <w:p w14:paraId="2812015D" w14:textId="77777777" w:rsidR="009A78C3" w:rsidRPr="00D34CD1" w:rsidRDefault="009A78C3" w:rsidP="009A78C3">
      <w:pPr>
        <w:jc w:val="center"/>
      </w:pPr>
    </w:p>
    <w:p w14:paraId="55CB0DF9" w14:textId="77777777" w:rsidR="009A78C3" w:rsidRPr="00D34CD1" w:rsidRDefault="009A78C3" w:rsidP="009A78C3">
      <w:pPr>
        <w:jc w:val="center"/>
      </w:pPr>
    </w:p>
    <w:p w14:paraId="69E3E458" w14:textId="77777777" w:rsidR="009A78C3" w:rsidRPr="00D34CD1" w:rsidRDefault="009A78C3" w:rsidP="009A78C3">
      <w:pPr>
        <w:jc w:val="center"/>
      </w:pPr>
    </w:p>
    <w:p w14:paraId="66BBEA78" w14:textId="77777777" w:rsidR="009A78C3" w:rsidRPr="00D34CD1" w:rsidRDefault="009A78C3" w:rsidP="009A78C3">
      <w:pPr>
        <w:jc w:val="center"/>
        <w:rPr>
          <w:i/>
          <w:iCs/>
        </w:rPr>
      </w:pPr>
      <w:r w:rsidRPr="00D34CD1">
        <w:rPr>
          <w:b/>
          <w:bCs/>
        </w:rPr>
        <w:t>I PRIEDAS</w:t>
      </w:r>
    </w:p>
    <w:p w14:paraId="521EEA04" w14:textId="77777777" w:rsidR="009A78C3" w:rsidRPr="00D34CD1" w:rsidRDefault="009A78C3" w:rsidP="009A78C3">
      <w:pPr>
        <w:jc w:val="center"/>
      </w:pPr>
    </w:p>
    <w:p w14:paraId="07046EED" w14:textId="77777777" w:rsidR="009A78C3" w:rsidRPr="00D34CD1" w:rsidRDefault="009A78C3" w:rsidP="009A78C3">
      <w:pPr>
        <w:jc w:val="center"/>
      </w:pPr>
      <w:r w:rsidRPr="00D34CD1">
        <w:rPr>
          <w:b/>
          <w:bCs/>
        </w:rPr>
        <w:t>PREPARATO CHARAKTERISTIKŲ SANTRAUKA</w:t>
      </w:r>
    </w:p>
    <w:p w14:paraId="50203AE9" w14:textId="77777777" w:rsidR="009A78C3" w:rsidRPr="00D34CD1" w:rsidRDefault="009A78C3" w:rsidP="009A78C3">
      <w:pPr>
        <w:widowControl w:val="0"/>
        <w:numPr>
          <w:ilvl w:val="0"/>
          <w:numId w:val="1"/>
        </w:numPr>
        <w:tabs>
          <w:tab w:val="left" w:pos="720"/>
        </w:tabs>
        <w:suppressAutoHyphens/>
        <w:rPr>
          <w:b/>
          <w:bCs/>
        </w:rPr>
      </w:pPr>
      <w:r w:rsidRPr="00D34CD1">
        <w:br w:type="page"/>
      </w:r>
      <w:r w:rsidRPr="00D34CD1">
        <w:rPr>
          <w:b/>
          <w:bCs/>
        </w:rPr>
        <w:lastRenderedPageBreak/>
        <w:t>VAISTINIO PREPARATO PAVADINIMAS</w:t>
      </w:r>
    </w:p>
    <w:p w14:paraId="7F80DB0D" w14:textId="77777777" w:rsidR="009A78C3" w:rsidRPr="00D34CD1" w:rsidRDefault="009A78C3" w:rsidP="009A78C3"/>
    <w:p w14:paraId="0D607CD5" w14:textId="77777777" w:rsidR="009A78C3" w:rsidRPr="00D34CD1" w:rsidRDefault="009A78C3" w:rsidP="009A78C3">
      <w:r w:rsidRPr="00D34CD1">
        <w:t>NORIFAZ 35</w:t>
      </w:r>
      <w:r>
        <w:t> </w:t>
      </w:r>
      <w:r w:rsidRPr="00D34CD1">
        <w:t>mg plėvele dengtos tabletės</w:t>
      </w:r>
    </w:p>
    <w:p w14:paraId="49A1BBA3" w14:textId="77777777" w:rsidR="009A78C3" w:rsidRPr="00D34CD1" w:rsidRDefault="009A78C3" w:rsidP="009A78C3"/>
    <w:p w14:paraId="5CA84843" w14:textId="77777777" w:rsidR="009A78C3" w:rsidRPr="00D34CD1" w:rsidRDefault="009A78C3" w:rsidP="009A78C3"/>
    <w:p w14:paraId="3EE90955" w14:textId="77777777" w:rsidR="009A78C3" w:rsidRPr="00D34CD1" w:rsidRDefault="009A78C3" w:rsidP="009A78C3">
      <w:pPr>
        <w:widowControl w:val="0"/>
        <w:numPr>
          <w:ilvl w:val="0"/>
          <w:numId w:val="2"/>
        </w:numPr>
        <w:tabs>
          <w:tab w:val="left" w:pos="720"/>
        </w:tabs>
        <w:suppressAutoHyphens/>
        <w:rPr>
          <w:b/>
          <w:bCs/>
        </w:rPr>
      </w:pPr>
      <w:r w:rsidRPr="00D34CD1">
        <w:rPr>
          <w:b/>
          <w:bCs/>
        </w:rPr>
        <w:t>KOKYBINĖ IR KIEKYBINĖ SUDĖTIS</w:t>
      </w:r>
    </w:p>
    <w:p w14:paraId="0D17D74D" w14:textId="77777777" w:rsidR="009A78C3" w:rsidRPr="00D34CD1" w:rsidRDefault="009A78C3" w:rsidP="009A78C3"/>
    <w:p w14:paraId="66AB5B25" w14:textId="77777777" w:rsidR="009A78C3" w:rsidRPr="00D34CD1" w:rsidRDefault="009A78C3" w:rsidP="009A78C3">
      <w:r>
        <w:t>Kiek</w:t>
      </w:r>
      <w:r w:rsidRPr="00D34CD1">
        <w:t>vienoje plėvele dengtoje tabletėje yra 35</w:t>
      </w:r>
      <w:r>
        <w:t> </w:t>
      </w:r>
      <w:r w:rsidRPr="00D34CD1">
        <w:t>mg natrio rizedronato, atitinkančio 32,5</w:t>
      </w:r>
      <w:r>
        <w:t> </w:t>
      </w:r>
      <w:r w:rsidRPr="00D34CD1">
        <w:t>mg rizedrono rūgšties.</w:t>
      </w:r>
    </w:p>
    <w:p w14:paraId="56D480CB" w14:textId="77777777" w:rsidR="009A78C3" w:rsidRPr="00146B89" w:rsidRDefault="009A78C3" w:rsidP="009A78C3">
      <w:pPr>
        <w:rPr>
          <w:u w:val="single"/>
        </w:rPr>
      </w:pPr>
      <w:r w:rsidRPr="00D34CD1">
        <w:t xml:space="preserve">      </w:t>
      </w:r>
      <w:r w:rsidRPr="00146B89">
        <w:rPr>
          <w:u w:val="single"/>
        </w:rPr>
        <w:t>Pagalbinė medžiaga, kurios poveikis žinomas</w:t>
      </w:r>
      <w:r w:rsidRPr="0054491C">
        <w:t>: laktozė monohidratas</w:t>
      </w:r>
      <w:r>
        <w:t>.</w:t>
      </w:r>
    </w:p>
    <w:p w14:paraId="315DCA3B" w14:textId="77777777" w:rsidR="009A78C3" w:rsidRPr="00D34CD1" w:rsidRDefault="009A78C3" w:rsidP="009A78C3">
      <w:r w:rsidRPr="00D34CD1">
        <w:t xml:space="preserve">      </w:t>
      </w:r>
      <w:r>
        <w:t>Kiek</w:t>
      </w:r>
      <w:r w:rsidRPr="00D34CD1">
        <w:t xml:space="preserve">vienoje </w:t>
      </w:r>
      <w:r>
        <w:t xml:space="preserve">plėvele dengtoje </w:t>
      </w:r>
      <w:r w:rsidRPr="00D34CD1">
        <w:t>tabletėje yra 133,58 mg laktozės monohidrato</w:t>
      </w:r>
    </w:p>
    <w:p w14:paraId="76241525" w14:textId="77777777" w:rsidR="009A78C3" w:rsidRPr="00D34CD1" w:rsidRDefault="009A78C3" w:rsidP="009A78C3"/>
    <w:p w14:paraId="614C12DE" w14:textId="77777777" w:rsidR="009A78C3" w:rsidRPr="00D34CD1" w:rsidRDefault="009A78C3" w:rsidP="009A78C3">
      <w:r w:rsidRPr="00D34CD1">
        <w:t xml:space="preserve">      Viso</w:t>
      </w:r>
      <w:r>
        <w:t>s</w:t>
      </w:r>
      <w:r w:rsidRPr="00D34CD1">
        <w:t xml:space="preserve"> pagalbinės medžiagos išvardytos 6.1 skyriuje.</w:t>
      </w:r>
    </w:p>
    <w:p w14:paraId="3E7CB42D" w14:textId="77777777" w:rsidR="009A78C3" w:rsidRPr="00D34CD1" w:rsidRDefault="009A78C3" w:rsidP="009A78C3"/>
    <w:p w14:paraId="511900E8" w14:textId="77777777" w:rsidR="009A78C3" w:rsidRPr="00D34CD1" w:rsidRDefault="009A78C3" w:rsidP="009A78C3"/>
    <w:p w14:paraId="4744A6F6" w14:textId="77777777" w:rsidR="009A78C3" w:rsidRPr="00D34CD1" w:rsidRDefault="009A78C3" w:rsidP="009A78C3">
      <w:pPr>
        <w:widowControl w:val="0"/>
        <w:numPr>
          <w:ilvl w:val="0"/>
          <w:numId w:val="3"/>
        </w:numPr>
        <w:tabs>
          <w:tab w:val="left" w:pos="720"/>
        </w:tabs>
        <w:suppressAutoHyphens/>
        <w:rPr>
          <w:b/>
          <w:bCs/>
        </w:rPr>
      </w:pPr>
      <w:r w:rsidRPr="00D34CD1">
        <w:rPr>
          <w:b/>
          <w:bCs/>
        </w:rPr>
        <w:t>FARMACINĖ FORMA</w:t>
      </w:r>
    </w:p>
    <w:p w14:paraId="2FC60DAD" w14:textId="77777777" w:rsidR="009A78C3" w:rsidRPr="00D34CD1" w:rsidRDefault="009A78C3" w:rsidP="009A78C3"/>
    <w:p w14:paraId="5C07654F" w14:textId="77777777" w:rsidR="009A78C3" w:rsidRPr="00D34CD1" w:rsidRDefault="009A78C3" w:rsidP="009A78C3">
      <w:r w:rsidRPr="00D34CD1">
        <w:t>Plėvele dengta tabletė.</w:t>
      </w:r>
    </w:p>
    <w:p w14:paraId="22C68222" w14:textId="77777777" w:rsidR="009A78C3" w:rsidRPr="00D34CD1" w:rsidRDefault="009A78C3" w:rsidP="009A78C3">
      <w:r w:rsidRPr="00D34CD1">
        <w:t>Apvalios, abipusiai išgaubtos, šviesiai oranžinės plėvele dengtos tabletės.</w:t>
      </w:r>
    </w:p>
    <w:p w14:paraId="347B248D" w14:textId="77777777" w:rsidR="009A78C3" w:rsidRPr="00D34CD1" w:rsidRDefault="009A78C3" w:rsidP="009A78C3"/>
    <w:p w14:paraId="7335F2A9" w14:textId="77777777" w:rsidR="009A78C3" w:rsidRPr="00D34CD1" w:rsidRDefault="009A78C3" w:rsidP="009A78C3"/>
    <w:p w14:paraId="77AB3B7F" w14:textId="77777777" w:rsidR="009A78C3" w:rsidRPr="00D34CD1" w:rsidRDefault="009A78C3" w:rsidP="009A78C3">
      <w:pPr>
        <w:widowControl w:val="0"/>
        <w:numPr>
          <w:ilvl w:val="0"/>
          <w:numId w:val="4"/>
        </w:numPr>
        <w:tabs>
          <w:tab w:val="left" w:pos="720"/>
        </w:tabs>
        <w:suppressAutoHyphens/>
        <w:rPr>
          <w:b/>
          <w:bCs/>
        </w:rPr>
      </w:pPr>
      <w:r w:rsidRPr="00D34CD1">
        <w:rPr>
          <w:b/>
          <w:bCs/>
        </w:rPr>
        <w:t>KLINIKINĖ INFORMACIJA</w:t>
      </w:r>
    </w:p>
    <w:p w14:paraId="7F166BF2" w14:textId="77777777" w:rsidR="009A78C3" w:rsidRPr="00D34CD1" w:rsidRDefault="009A78C3" w:rsidP="009A78C3">
      <w:pPr>
        <w:rPr>
          <w:b/>
          <w:bCs/>
        </w:rPr>
      </w:pPr>
    </w:p>
    <w:p w14:paraId="1A382A03" w14:textId="77777777" w:rsidR="009A78C3" w:rsidRPr="00D34CD1" w:rsidRDefault="009A78C3" w:rsidP="009A78C3">
      <w:pPr>
        <w:rPr>
          <w:b/>
          <w:bCs/>
        </w:rPr>
      </w:pPr>
      <w:r w:rsidRPr="00D34CD1">
        <w:rPr>
          <w:b/>
          <w:bCs/>
        </w:rPr>
        <w:t>4.1 Terapinės indikacijos</w:t>
      </w:r>
    </w:p>
    <w:p w14:paraId="77B07BBF" w14:textId="77777777" w:rsidR="009A78C3" w:rsidRPr="00D34CD1" w:rsidRDefault="009A78C3" w:rsidP="009A78C3"/>
    <w:p w14:paraId="4888333D" w14:textId="77777777" w:rsidR="009A78C3" w:rsidRPr="00D34CD1" w:rsidRDefault="009A78C3" w:rsidP="009A78C3">
      <w:r w:rsidRPr="00D34CD1">
        <w:t>Osteoporozės po menopauzės gydymas, siekiant sumažinti stuburo slankstelių lūžių pavojų.</w:t>
      </w:r>
    </w:p>
    <w:p w14:paraId="2C2297E2" w14:textId="77777777" w:rsidR="009A78C3" w:rsidRPr="00D34CD1" w:rsidRDefault="009A78C3" w:rsidP="009A78C3">
      <w:r w:rsidRPr="00D34CD1">
        <w:t>Diagnozuotos osteoporozės po menopauzės gydymas, siekiant sumažinti šlaunikaulio kaklelio lūžių pavojų (žr. 5.1 skyrių).</w:t>
      </w:r>
    </w:p>
    <w:p w14:paraId="46298215" w14:textId="77777777" w:rsidR="009A78C3" w:rsidRPr="00D34CD1" w:rsidRDefault="009A78C3" w:rsidP="009A78C3"/>
    <w:p w14:paraId="41703652" w14:textId="77777777" w:rsidR="009A78C3" w:rsidRPr="00D34CD1" w:rsidRDefault="009A78C3" w:rsidP="009A78C3">
      <w:r w:rsidRPr="00D34CD1">
        <w:t>Vyrų osteoporozės gydymas, esant didelei</w:t>
      </w:r>
      <w:r>
        <w:t xml:space="preserve"> kaulų</w:t>
      </w:r>
      <w:r w:rsidRPr="00D34CD1">
        <w:t xml:space="preserve"> lūžių rizikai (žr. 5.1 skyrių).</w:t>
      </w:r>
    </w:p>
    <w:p w14:paraId="08E0C7B3" w14:textId="77777777" w:rsidR="009A78C3" w:rsidRPr="00D34CD1" w:rsidRDefault="009A78C3" w:rsidP="009A78C3">
      <w:pPr>
        <w:rPr>
          <w:b/>
          <w:bCs/>
        </w:rPr>
      </w:pPr>
    </w:p>
    <w:p w14:paraId="3259E4B0" w14:textId="77777777" w:rsidR="009A78C3" w:rsidRPr="00D34CD1" w:rsidRDefault="009A78C3" w:rsidP="009A78C3">
      <w:pPr>
        <w:rPr>
          <w:b/>
          <w:bCs/>
        </w:rPr>
      </w:pPr>
      <w:r w:rsidRPr="00D34CD1">
        <w:rPr>
          <w:b/>
          <w:bCs/>
        </w:rPr>
        <w:t>4.2 Dozavimas ir vartojimo metodas</w:t>
      </w:r>
    </w:p>
    <w:p w14:paraId="3DA6F26E" w14:textId="77777777" w:rsidR="009A78C3" w:rsidRDefault="009A78C3" w:rsidP="009A78C3"/>
    <w:p w14:paraId="48AF2C2B" w14:textId="77777777" w:rsidR="009A78C3" w:rsidRPr="00146B89" w:rsidRDefault="009A78C3" w:rsidP="009A78C3">
      <w:pPr>
        <w:rPr>
          <w:u w:val="single"/>
        </w:rPr>
      </w:pPr>
      <w:r w:rsidRPr="00146B89">
        <w:rPr>
          <w:u w:val="single"/>
        </w:rPr>
        <w:t>Dozavimas</w:t>
      </w:r>
    </w:p>
    <w:p w14:paraId="033E4F08" w14:textId="77777777" w:rsidR="009A78C3" w:rsidRPr="00D34CD1" w:rsidRDefault="009A78C3" w:rsidP="009A78C3">
      <w:r w:rsidRPr="00D34CD1">
        <w:t>Rekomenduojama dozė suaugusiems yra viena 35 mg tabletė vieną kartą per savaitę. Tabletę reikia gerti tą pačią savaitės dieną. Kadangi maistas trikdo natrio rizedronato rezorbciją, NORIFAZ pacientas turi gerti:</w:t>
      </w:r>
    </w:p>
    <w:p w14:paraId="086A9E7B" w14:textId="77777777" w:rsidR="009A78C3" w:rsidRPr="00D34CD1" w:rsidRDefault="009A78C3" w:rsidP="009A78C3">
      <w:r w:rsidRPr="00D34CD1">
        <w:t>- prieš pusryčius: mažiausiai 30 minučių prieš pirmąjį dienos valgį, kitą vaistą arba gėrimą (neskaitant paprasto vandens).</w:t>
      </w:r>
    </w:p>
    <w:p w14:paraId="7D4E8D7A" w14:textId="77777777" w:rsidR="009A78C3" w:rsidRPr="00D34CD1" w:rsidRDefault="009A78C3" w:rsidP="009A78C3"/>
    <w:p w14:paraId="49968C61" w14:textId="77777777" w:rsidR="009A78C3" w:rsidRPr="00D34CD1" w:rsidRDefault="009A78C3" w:rsidP="009A78C3">
      <w:r w:rsidRPr="00D34CD1">
        <w:t>Pacientą reikia pamokyti, kad pamiršus pavartoti preparatą, vieną NORIFAZ tabletę reikia išgerti tą dieną, kurią prisiminė. Kitą dozę pacientas turi gerti vieną kartą per savaitę, įprastu laiku. Tą pačią dieną negalima vartoti dviejų tablečių.</w:t>
      </w:r>
    </w:p>
    <w:p w14:paraId="2F9434BD" w14:textId="77777777" w:rsidR="009A78C3" w:rsidRPr="00D34CD1" w:rsidRDefault="009A78C3" w:rsidP="009A78C3"/>
    <w:p w14:paraId="63B805C8" w14:textId="77777777" w:rsidR="009A78C3" w:rsidRPr="00D34CD1" w:rsidRDefault="009A78C3" w:rsidP="009A78C3">
      <w:r w:rsidRPr="00D34CD1">
        <w:t>Tabletę reikia nuryti nepažeistą, negalima jos čiulpti arba kramtyti. Tam, kad tabletė kuo greičiau pasiektų skrandį, NORIFAZ reikia gerti vertikalioje padėtyje (stovint arba tiesiai sėdint), užsigeriant stikline paprasto vandens (&gt; 120 ml). Išgėręs tabletę, pacientas negali gultis 30 minučių (žr. 4.4 skyrių).</w:t>
      </w:r>
    </w:p>
    <w:p w14:paraId="25C2C2AB" w14:textId="77777777" w:rsidR="009A78C3" w:rsidRPr="00D34CD1" w:rsidRDefault="009A78C3" w:rsidP="009A78C3"/>
    <w:p w14:paraId="3BB2DB02" w14:textId="77777777" w:rsidR="009A78C3" w:rsidRPr="00D34CD1" w:rsidRDefault="009A78C3" w:rsidP="009A78C3">
      <w:r w:rsidRPr="00D34CD1">
        <w:t>Jeigu pacientas su maistu gauna nepakankamai kalcio ir vitamino D, reikėtų vartoti atitinkamų papildų.</w:t>
      </w:r>
    </w:p>
    <w:p w14:paraId="5788C11A" w14:textId="77777777" w:rsidR="009A78C3" w:rsidRPr="00D34CD1" w:rsidRDefault="009A78C3" w:rsidP="009A78C3"/>
    <w:p w14:paraId="3464F96F" w14:textId="77777777" w:rsidR="009A78C3" w:rsidRPr="00D34CD1" w:rsidRDefault="009A78C3" w:rsidP="009A78C3">
      <w:pPr>
        <w:autoSpaceDE w:val="0"/>
        <w:autoSpaceDN w:val="0"/>
      </w:pPr>
      <w:r w:rsidRPr="00D34CD1">
        <w:t>Optimali osteoporozės gydymo bisfosfonatais trukmė nėra nustatyta. Gydymo pratęsimo būtinybę, remiantis NORIFAZ gydymo nauda ir pavojumi rizika konkrečiam pacientui, reikia vertinti periodiškai, ypač praėjus 5 ar daugiau gydymo metų.</w:t>
      </w:r>
    </w:p>
    <w:p w14:paraId="20C1DBE3" w14:textId="77777777" w:rsidR="009A78C3" w:rsidRPr="00D34CD1" w:rsidRDefault="009A78C3" w:rsidP="009A78C3"/>
    <w:p w14:paraId="481D4EA8" w14:textId="77777777" w:rsidR="009A78C3" w:rsidRPr="00D34CD1" w:rsidRDefault="009A78C3" w:rsidP="009A78C3"/>
    <w:p w14:paraId="275F6FE7" w14:textId="77777777" w:rsidR="009A78C3" w:rsidRPr="00D34CD1" w:rsidRDefault="009A78C3" w:rsidP="009A78C3">
      <w:r w:rsidRPr="00D34CD1">
        <w:rPr>
          <w:i/>
          <w:iCs/>
        </w:rPr>
        <w:lastRenderedPageBreak/>
        <w:t>Senyvi</w:t>
      </w:r>
      <w:r>
        <w:rPr>
          <w:i/>
          <w:iCs/>
        </w:rPr>
        <w:t>ems</w:t>
      </w:r>
      <w:r w:rsidRPr="00D34CD1">
        <w:rPr>
          <w:i/>
          <w:iCs/>
        </w:rPr>
        <w:t xml:space="preserve"> pacienta</w:t>
      </w:r>
      <w:r>
        <w:rPr>
          <w:i/>
          <w:iCs/>
        </w:rPr>
        <w:t>ms</w:t>
      </w:r>
      <w:r w:rsidRPr="00D34CD1">
        <w:rPr>
          <w:i/>
          <w:iCs/>
        </w:rPr>
        <w:t>.</w:t>
      </w:r>
      <w:r w:rsidRPr="00D34CD1">
        <w:t xml:space="preserve">  Dozės koreguoti nereikia, nes senyvų (&gt; 60 metų) pacientų vaisto biologinis prieinamumas, pasiskirstymas ir eliminacija yra panaši kaip jaunesnių asmenų. Tai taip pat taikoma labai senyvoms (75 metų ir vyresnėms) moterims po menopauzės.</w:t>
      </w:r>
    </w:p>
    <w:p w14:paraId="1354C7D6" w14:textId="77777777" w:rsidR="009A78C3" w:rsidRPr="00D34CD1" w:rsidRDefault="009A78C3" w:rsidP="009A78C3"/>
    <w:p w14:paraId="36832B31" w14:textId="77777777" w:rsidR="009A78C3" w:rsidRPr="00D34CD1" w:rsidRDefault="009A78C3" w:rsidP="009A78C3">
      <w:r>
        <w:rPr>
          <w:i/>
          <w:iCs/>
        </w:rPr>
        <w:t>Pacientams, kurių i</w:t>
      </w:r>
      <w:r w:rsidRPr="00D34CD1">
        <w:rPr>
          <w:i/>
          <w:iCs/>
        </w:rPr>
        <w:t>nkstų funkcij</w:t>
      </w:r>
      <w:r>
        <w:rPr>
          <w:i/>
          <w:iCs/>
        </w:rPr>
        <w:t>a</w:t>
      </w:r>
      <w:r w:rsidRPr="00D34CD1">
        <w:rPr>
          <w:i/>
          <w:iCs/>
        </w:rPr>
        <w:t xml:space="preserve"> sutrik</w:t>
      </w:r>
      <w:r>
        <w:rPr>
          <w:i/>
          <w:iCs/>
        </w:rPr>
        <w:t>usi</w:t>
      </w:r>
      <w:r w:rsidRPr="00D34CD1">
        <w:rPr>
          <w:i/>
          <w:iCs/>
        </w:rPr>
        <w:t>.</w:t>
      </w:r>
      <w:r w:rsidRPr="00D34CD1">
        <w:t xml:space="preserve"> Jeigu yra lengvas arba vidutinio sunkumo inkstų funkcijos sutrikimas, dozės keisti nereikia. Natrio rizedronato nerekomenduojama vartoti pacientams su sunkiu inkstų </w:t>
      </w:r>
      <w:r>
        <w:t xml:space="preserve">nepakankamumu </w:t>
      </w:r>
      <w:r w:rsidRPr="00D34CD1">
        <w:t>(kreatinino klirensas yra &lt; 30 ml/min) ( žr. 4.3 ir 5.2 skyrius).</w:t>
      </w:r>
    </w:p>
    <w:p w14:paraId="611CD775" w14:textId="77777777" w:rsidR="009A78C3" w:rsidRPr="00D34CD1" w:rsidRDefault="009A78C3" w:rsidP="009A78C3"/>
    <w:p w14:paraId="2A82897C" w14:textId="77777777" w:rsidR="009A78C3" w:rsidRPr="00D34CD1" w:rsidRDefault="009A78C3" w:rsidP="009A78C3">
      <w:pPr>
        <w:jc w:val="both"/>
      </w:pPr>
      <w:r w:rsidRPr="00D34CD1">
        <w:rPr>
          <w:i/>
          <w:iCs/>
        </w:rPr>
        <w:t xml:space="preserve">Vaikų populiacija. </w:t>
      </w:r>
      <w:r w:rsidRPr="00D34CD1">
        <w:t>Natrio rizedronatas nerekomenduojamas vartoti vaikams, jaunesniems nei 18 metų, kadangi neturima pakankamai duomenų apie tokio vartojimo veiksmingumą ir saugumą (taip pat žr. 5.1 sk.).</w:t>
      </w:r>
    </w:p>
    <w:p w14:paraId="6CE115B0" w14:textId="77777777" w:rsidR="009A78C3" w:rsidRPr="00D34CD1" w:rsidRDefault="009A78C3" w:rsidP="009A78C3"/>
    <w:p w14:paraId="1209F142" w14:textId="77777777" w:rsidR="009A78C3" w:rsidRPr="00D34CD1" w:rsidRDefault="009A78C3" w:rsidP="009A78C3">
      <w:pPr>
        <w:rPr>
          <w:b/>
          <w:bCs/>
        </w:rPr>
      </w:pPr>
      <w:r w:rsidRPr="00D34CD1">
        <w:rPr>
          <w:b/>
          <w:bCs/>
        </w:rPr>
        <w:t>4.3 Kontraindikacijos</w:t>
      </w:r>
    </w:p>
    <w:p w14:paraId="22792F3E" w14:textId="77777777" w:rsidR="009A78C3" w:rsidRDefault="009A78C3" w:rsidP="009A78C3"/>
    <w:p w14:paraId="1E163531" w14:textId="77777777" w:rsidR="009A78C3" w:rsidRPr="00D34CD1" w:rsidRDefault="009A78C3" w:rsidP="009A78C3">
      <w:r w:rsidRPr="00295D9C">
        <w:t xml:space="preserve">Padidėjęs jautrumas veikliajai arba bet kuriai 6.1 skyriuje </w:t>
      </w:r>
      <w:r>
        <w:t>nurodytai pagalbinei medžiagai.</w:t>
      </w:r>
    </w:p>
    <w:p w14:paraId="55036035" w14:textId="77777777" w:rsidR="009A78C3" w:rsidRPr="00D34CD1" w:rsidRDefault="009A78C3" w:rsidP="009A78C3">
      <w:r w:rsidRPr="00D34CD1">
        <w:t>Hipokalcemija (žr. 4.4 skyrių).</w:t>
      </w:r>
    </w:p>
    <w:p w14:paraId="7D8EAF10" w14:textId="77777777" w:rsidR="009A78C3" w:rsidRPr="00D34CD1" w:rsidRDefault="009A78C3" w:rsidP="009A78C3">
      <w:r w:rsidRPr="00D34CD1">
        <w:t>Nėštumas ir žindymo laikotarpis.</w:t>
      </w:r>
    </w:p>
    <w:p w14:paraId="65DEE289" w14:textId="77777777" w:rsidR="009A78C3" w:rsidRPr="00D34CD1" w:rsidRDefault="009A78C3" w:rsidP="009A78C3">
      <w:r w:rsidRPr="00D34CD1">
        <w:t>Sunkus inkstų nepakankamumas (kreatinino klirensas &lt; 30 ml/min).</w:t>
      </w:r>
    </w:p>
    <w:p w14:paraId="32A58700" w14:textId="77777777" w:rsidR="009A78C3" w:rsidRPr="00D34CD1" w:rsidRDefault="009A78C3" w:rsidP="009A78C3"/>
    <w:p w14:paraId="1338CDB0" w14:textId="77777777" w:rsidR="009A78C3" w:rsidRPr="00D34CD1" w:rsidRDefault="009A78C3" w:rsidP="009A78C3">
      <w:pPr>
        <w:rPr>
          <w:b/>
          <w:bCs/>
        </w:rPr>
      </w:pPr>
      <w:r w:rsidRPr="00D34CD1">
        <w:rPr>
          <w:b/>
          <w:bCs/>
        </w:rPr>
        <w:t>4.4 Specialūs įspėjimai ir atsargumo priemonės</w:t>
      </w:r>
    </w:p>
    <w:p w14:paraId="0537A5BE" w14:textId="77777777" w:rsidR="009A78C3" w:rsidRPr="00D34CD1" w:rsidRDefault="009A78C3" w:rsidP="009A78C3"/>
    <w:p w14:paraId="42DE2478" w14:textId="77777777" w:rsidR="009A78C3" w:rsidRPr="00D34CD1" w:rsidRDefault="009A78C3" w:rsidP="009A78C3">
      <w:r w:rsidRPr="00D34CD1">
        <w:t>Maistas, gėrimai (išskyrus paprastą vandenį) ir vaistiniai preparatai, į kurių sudėtį įeina daugiavalenčiai katijonai (kalcis, magnis, geležis ir aliuminis), turi įtakos bisfosfonatų rezorbcijai. Todėl negalima jų vartoti kartu su NORIFAZ (žr. 4,5 skyrių). Norint pasiekti</w:t>
      </w:r>
      <w:r>
        <w:t xml:space="preserve"> vaistinio</w:t>
      </w:r>
      <w:r w:rsidRPr="00D34CD1">
        <w:t xml:space="preserve"> preparato veikimo efektyvumą, būtina tiksliai laikytis </w:t>
      </w:r>
      <w:r>
        <w:t xml:space="preserve">vaistinio </w:t>
      </w:r>
      <w:r w:rsidRPr="00D34CD1">
        <w:t>preparato vartojimo instrukcijų (žr. 4.2 skyrių).</w:t>
      </w:r>
    </w:p>
    <w:p w14:paraId="5F29DD25" w14:textId="77777777" w:rsidR="009A78C3" w:rsidRPr="00D34CD1" w:rsidRDefault="009A78C3" w:rsidP="009A78C3"/>
    <w:p w14:paraId="6415AE34" w14:textId="77777777" w:rsidR="009A78C3" w:rsidRPr="00D34CD1" w:rsidRDefault="009A78C3" w:rsidP="009A78C3">
      <w:r w:rsidRPr="00D34CD1">
        <w:t>Bisfosfonatų veikimo efektyvumas pastebimas gydant osteoporozę su silpnu kaulo mineraliniu tankiu ir(arba) dažniausiai pasitaikančiais lūžiais.</w:t>
      </w:r>
    </w:p>
    <w:p w14:paraId="2EC8F1F5" w14:textId="77777777" w:rsidR="009A78C3" w:rsidRPr="00D34CD1" w:rsidRDefault="009A78C3" w:rsidP="009A78C3">
      <w:r w:rsidRPr="00D34CD1">
        <w:t xml:space="preserve">Jeigu pacientas yra senyvo amžiaus arba yra tik lūžių rizikos faktoriai, negalima pradėti osteoporozės gydymo bisfosfonatais. Nėra pakankamai duomenų, patvirtinančių bisfosfonatų  (įskaitant rizedronatą) efektyvumą, gydant senyvo amžiaus pacientus, vyresnius nei 80 metų (žr. 5.1 skyrių). </w:t>
      </w:r>
    </w:p>
    <w:p w14:paraId="6DF72183" w14:textId="77777777" w:rsidR="009A78C3" w:rsidRPr="00D34CD1" w:rsidRDefault="009A78C3" w:rsidP="009A78C3"/>
    <w:p w14:paraId="3CCD92CE" w14:textId="77777777" w:rsidR="009A78C3" w:rsidRPr="00D34CD1" w:rsidRDefault="009A78C3" w:rsidP="009A78C3">
      <w:r w:rsidRPr="00D34CD1">
        <w:t>Bisfosfonatai gali sukelti   stemplės ir skrandžio gleivinės uždegimą bei stemplės, skrandžio ir dvylikapirštės žarnos  opas.</w:t>
      </w:r>
    </w:p>
    <w:p w14:paraId="3585B830" w14:textId="77777777" w:rsidR="009A78C3" w:rsidRPr="00D34CD1" w:rsidRDefault="009A78C3" w:rsidP="009A78C3">
      <w:r w:rsidRPr="00D34CD1">
        <w:t>Dėl šios priežasties pacientai turi atkreipti ypatingą dėmesį į vaisto vartojimo instrukciją (žr. 4.2 skyrių). Ypač atsargiai natrio rizedronatą turi vartoti tie pacientai, kurie prieš tai sirgo stemplės motorikos sutrikimo ligomis (pvz., stemplės susiaurėjimas, patvirtinta Bareto (</w:t>
      </w:r>
      <w:r w:rsidRPr="00D34CD1">
        <w:rPr>
          <w:i/>
          <w:iCs/>
        </w:rPr>
        <w:t>Barrett</w:t>
      </w:r>
      <w:r w:rsidRPr="00D34CD1">
        <w:t>) stemple arba achalazija) arba tie, kurie po tabletės išgėrimo vertikalios padėties negali išlaikyti ilgiau kaip 30 minučių, nes atlikta per mažai klinikinių tyrimų su šiomis pacientų grupėmis.</w:t>
      </w:r>
    </w:p>
    <w:p w14:paraId="65F7CAA0" w14:textId="77777777" w:rsidR="009A78C3" w:rsidRPr="00D34CD1" w:rsidRDefault="009A78C3" w:rsidP="009A78C3">
      <w:pPr>
        <w:autoSpaceDE w:val="0"/>
        <w:autoSpaceDN w:val="0"/>
        <w:adjustRightInd w:val="0"/>
      </w:pPr>
      <w:r w:rsidRPr="00D34CD1">
        <w:t xml:space="preserve"> Pacientui turi būti nurodoma nutraukti vaisto vartojimą ir kreiptis į gydytoją, jei jiems atsiranda stemplės sudirgimo, pavyzdžiui, rijimo sutrikimas, skausmas ryjant, skausmas už krūtinkaulio arba atsiradęs ar paūmėjęs rėmuo, simptomai</w:t>
      </w:r>
    </w:p>
    <w:p w14:paraId="6E253703" w14:textId="77777777" w:rsidR="009A78C3" w:rsidRPr="00D34CD1" w:rsidRDefault="009A78C3" w:rsidP="009A78C3"/>
    <w:p w14:paraId="24BC5498" w14:textId="77777777" w:rsidR="009A78C3" w:rsidRPr="00D34CD1" w:rsidRDefault="009A78C3" w:rsidP="009A78C3">
      <w:r w:rsidRPr="00D34CD1">
        <w:t>Hipokalcemiją reikia pradėti gydyti prieš pradedant gydymą NORIFAZ. Kitus kaulų metabolizmo ir mineralinių medžiagų apykaitos sutrikimus (pvz., prieskydinių liaukų funkcijos sutrikimus, vitamino D trūkumą) reikia gydyti pradėjus NORIFAZ vartojimą.</w:t>
      </w:r>
    </w:p>
    <w:p w14:paraId="68061146" w14:textId="77777777" w:rsidR="009A78C3" w:rsidRPr="00D34CD1" w:rsidRDefault="009A78C3" w:rsidP="009A78C3"/>
    <w:p w14:paraId="4BD1A443" w14:textId="77777777" w:rsidR="009A78C3" w:rsidRPr="00D34CD1" w:rsidRDefault="009A78C3" w:rsidP="009A78C3">
      <w:pPr>
        <w:autoSpaceDE w:val="0"/>
        <w:autoSpaceDN w:val="0"/>
        <w:adjustRightInd w:val="0"/>
      </w:pPr>
      <w:r w:rsidRPr="00D34CD1">
        <w:t>Žandikaulio osteonekrozė, paprastai susijusi su danties ištraukimu ir (arba) lokaline infekcija (įskaitant osteomielitą), buvo užfiksuota vėžiu sergantiems pacientams, kuriems paskirtas gydymo režimas,  paremtas bisfosfonatų injekcijomis į veną.  Daugumai šių pacientų taip pat buvo skiriamas ir chemoterapijos kursas bei kortikosteroidai. Žandikaulio osteonekrozė buvo užfiksuota ir osteoporoze sergantiems pacientams, kuriems paskirti geriami bisfosfonatai.</w:t>
      </w:r>
    </w:p>
    <w:p w14:paraId="44978584" w14:textId="77777777" w:rsidR="009A78C3" w:rsidRPr="00D34CD1" w:rsidRDefault="009A78C3" w:rsidP="009A78C3">
      <w:pPr>
        <w:autoSpaceDE w:val="0"/>
        <w:autoSpaceDN w:val="0"/>
        <w:adjustRightInd w:val="0"/>
      </w:pPr>
    </w:p>
    <w:p w14:paraId="03E9F75E" w14:textId="77777777" w:rsidR="009A78C3" w:rsidRPr="00D34CD1" w:rsidRDefault="009A78C3" w:rsidP="009A78C3">
      <w:pPr>
        <w:autoSpaceDE w:val="0"/>
        <w:autoSpaceDN w:val="0"/>
        <w:adjustRightInd w:val="0"/>
      </w:pPr>
      <w:r w:rsidRPr="00D34CD1">
        <w:t>Prieš gydant pacientus bisfosfonatais, kuriems pasireiškia lydimieji rizikos veiksniai (pvz.</w:t>
      </w:r>
      <w:r>
        <w:t>,</w:t>
      </w:r>
      <w:r w:rsidRPr="00D34CD1">
        <w:t xml:space="preserve"> vėžys, chemoterapija, radioterapija, kortikosteroidai, netinkama burnos higiena), reiktų jiems paskirti stomatologo apžiūrą su atitinkamu dantų gydymu .</w:t>
      </w:r>
    </w:p>
    <w:p w14:paraId="41C37F87" w14:textId="77777777" w:rsidR="009A78C3" w:rsidRPr="00D34CD1" w:rsidRDefault="009A78C3" w:rsidP="009A78C3">
      <w:r w:rsidRPr="00D34CD1">
        <w:lastRenderedPageBreak/>
        <w:t xml:space="preserve">Jei tik įmanoma, gydymo metu pacientams reikia vengti invazinių stomatologinių procedūrų. Bisfosfonatais gydomiems pacientams pasireiškus žandikaulio kaulo osteonekrozei, chirurginė dantų operacija gali sustiprinti ligos simptomus.  Nėra duomenų, ar gydymo bisfosfonatais nutraukimas prieš stomatologinį gydymą sumažina žandikaulio osteonekrozės riziką. </w:t>
      </w:r>
    </w:p>
    <w:p w14:paraId="04004898" w14:textId="77777777" w:rsidR="009A78C3" w:rsidRPr="00D34CD1" w:rsidRDefault="009A78C3" w:rsidP="009A78C3">
      <w:pPr>
        <w:autoSpaceDE w:val="0"/>
        <w:autoSpaceDN w:val="0"/>
        <w:adjustRightInd w:val="0"/>
      </w:pPr>
      <w:r w:rsidRPr="00D34CD1">
        <w:t>Klinikiniu gydančiojo gydytojo sprendimu turėtų būti sudaromas kiekvieno paciento gydymo planas, paremtas individualiu naudos ir rizikos įvertinimu.</w:t>
      </w:r>
    </w:p>
    <w:p w14:paraId="19EDADF0" w14:textId="77777777" w:rsidR="009A78C3" w:rsidRPr="00D34CD1" w:rsidRDefault="009A78C3" w:rsidP="009A78C3">
      <w:pPr>
        <w:autoSpaceDE w:val="0"/>
        <w:autoSpaceDN w:val="0"/>
        <w:adjustRightInd w:val="0"/>
      </w:pPr>
    </w:p>
    <w:p w14:paraId="4E3684F0" w14:textId="77777777" w:rsidR="009A78C3" w:rsidRPr="00D34CD1" w:rsidRDefault="009A78C3" w:rsidP="009A78C3">
      <w:pPr>
        <w:pStyle w:val="Default1"/>
        <w:rPr>
          <w:rFonts w:ascii="Times New Roman" w:hAnsi="Times New Roman" w:cs="Times New Roman"/>
          <w:color w:val="000000"/>
          <w:sz w:val="22"/>
          <w:szCs w:val="22"/>
          <w:lang w:val="lt-LT"/>
        </w:rPr>
      </w:pPr>
      <w:r w:rsidRPr="00D34CD1">
        <w:rPr>
          <w:rFonts w:ascii="Times New Roman" w:hAnsi="Times New Roman" w:cs="Times New Roman"/>
          <w:color w:val="000000"/>
          <w:sz w:val="22"/>
          <w:szCs w:val="22"/>
          <w:lang w:val="lt-LT"/>
        </w:rPr>
        <w:t xml:space="preserve">Atipiniai šlaunikaulio lūžiai </w:t>
      </w:r>
    </w:p>
    <w:p w14:paraId="1C96C03C" w14:textId="77777777" w:rsidR="009A78C3" w:rsidRPr="00D34CD1" w:rsidRDefault="009A78C3" w:rsidP="009A78C3">
      <w:pPr>
        <w:pStyle w:val="Default"/>
        <w:rPr>
          <w:sz w:val="22"/>
          <w:szCs w:val="22"/>
          <w:lang w:val="lt-LT"/>
        </w:rPr>
      </w:pPr>
      <w:r w:rsidRPr="00D34CD1">
        <w:rPr>
          <w:sz w:val="22"/>
          <w:szCs w:val="22"/>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p>
    <w:p w14:paraId="5E59777D" w14:textId="77777777" w:rsidR="009A78C3" w:rsidRPr="00D34CD1" w:rsidRDefault="009A78C3" w:rsidP="009A78C3">
      <w:pPr>
        <w:pStyle w:val="Pagrindinistekstas"/>
        <w:rPr>
          <w:lang w:val="lt-LT"/>
        </w:rPr>
      </w:pPr>
      <w:r w:rsidRPr="00D34CD1">
        <w:rPr>
          <w:i w:val="0"/>
          <w:iCs w:val="0"/>
          <w:color w:val="auto"/>
          <w:lang w:val="lt-LT"/>
        </w:rPr>
        <w:t>Pacientams reikia patarti, kad bisfosfonatų vartojimo metu praneštų apie bet kokį šlaunies, klubo ar kirkšnies skausmą, o visus pacientus, kuriems pasireiškia tokie simptomai, reikia ištirti, ar jie nepatyrė nepilno šlaunikaulio lūžio.</w:t>
      </w:r>
    </w:p>
    <w:p w14:paraId="2949F15F" w14:textId="77777777" w:rsidR="009A78C3" w:rsidRDefault="009A78C3" w:rsidP="009A78C3">
      <w:pPr>
        <w:autoSpaceDE w:val="0"/>
        <w:autoSpaceDN w:val="0"/>
        <w:adjustRightInd w:val="0"/>
      </w:pPr>
    </w:p>
    <w:p w14:paraId="14BD7FC3" w14:textId="77777777" w:rsidR="009A78C3" w:rsidRDefault="009A78C3" w:rsidP="009A78C3">
      <w:pPr>
        <w:autoSpaceDE w:val="0"/>
        <w:autoSpaceDN w:val="0"/>
        <w:adjustRightInd w:val="0"/>
      </w:pPr>
      <w:r w:rsidRPr="00C12E7E">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44DB22CC" w14:textId="77777777" w:rsidR="009A78C3" w:rsidRPr="00D34CD1" w:rsidRDefault="009A78C3" w:rsidP="009A78C3">
      <w:pPr>
        <w:autoSpaceDE w:val="0"/>
        <w:autoSpaceDN w:val="0"/>
        <w:adjustRightInd w:val="0"/>
      </w:pPr>
    </w:p>
    <w:p w14:paraId="25D2C67A" w14:textId="5B4646F4" w:rsidR="009A78C3" w:rsidRDefault="009A78C3" w:rsidP="009A78C3">
      <w:r>
        <w:t>Vaistinio p</w:t>
      </w:r>
      <w:r w:rsidRPr="00D34CD1">
        <w:t xml:space="preserve">reparato sudėtyje yra laktozės. </w:t>
      </w:r>
      <w:r w:rsidR="004A5475" w:rsidRPr="00D34CD1">
        <w:rPr>
          <w:color w:val="000000"/>
        </w:rPr>
        <w:t>Š</w:t>
      </w:r>
      <w:r w:rsidR="004A5475">
        <w:rPr>
          <w:color w:val="000000"/>
        </w:rPr>
        <w:t xml:space="preserve">io vaistinio preparato negalima vartoti </w:t>
      </w:r>
      <w:r w:rsidR="004A5475">
        <w:t>p</w:t>
      </w:r>
      <w:r w:rsidRPr="00D34CD1">
        <w:t xml:space="preserve">acientams, kuriems </w:t>
      </w:r>
      <w:r w:rsidR="004A5475">
        <w:t xml:space="preserve">nustatytas </w:t>
      </w:r>
      <w:r w:rsidRPr="00D34CD1">
        <w:t>ret</w:t>
      </w:r>
      <w:r w:rsidR="004A5475">
        <w:t>as</w:t>
      </w:r>
      <w:r w:rsidRPr="00D34CD1">
        <w:t xml:space="preserve"> paveldim</w:t>
      </w:r>
      <w:r w:rsidR="004A5475">
        <w:t>as</w:t>
      </w:r>
      <w:r w:rsidRPr="00D34CD1">
        <w:t xml:space="preserve"> sutrikim</w:t>
      </w:r>
      <w:r w:rsidR="004A5475">
        <w:t>as -</w:t>
      </w:r>
      <w:r w:rsidRPr="00D34CD1">
        <w:t xml:space="preserve"> galaktozės netoleravimas, </w:t>
      </w:r>
      <w:r w:rsidR="004A5475">
        <w:t>visi</w:t>
      </w:r>
      <w:r w:rsidR="004A5475" w:rsidRPr="00D34CD1">
        <w:rPr>
          <w:color w:val="000000"/>
        </w:rPr>
        <w:t>š</w:t>
      </w:r>
      <w:r w:rsidR="004A5475">
        <w:rPr>
          <w:color w:val="000000"/>
        </w:rPr>
        <w:t xml:space="preserve">kas </w:t>
      </w:r>
      <w:r w:rsidRPr="00D34CD1">
        <w:t xml:space="preserve">laktazės  </w:t>
      </w:r>
      <w:r w:rsidR="004A5475">
        <w:t xml:space="preserve">stygius arba </w:t>
      </w:r>
      <w:r w:rsidRPr="00D34CD1">
        <w:t xml:space="preserve"> gliukozės</w:t>
      </w:r>
      <w:r w:rsidR="004A5475">
        <w:t xml:space="preserve"> ir </w:t>
      </w:r>
      <w:r w:rsidRPr="00D34CD1">
        <w:t>galaktozės malabsorbcija</w:t>
      </w:r>
      <w:r w:rsidR="004A5475">
        <w:t xml:space="preserve">. </w:t>
      </w:r>
    </w:p>
    <w:p w14:paraId="0EB7F865" w14:textId="42C104DF" w:rsidR="004A5475" w:rsidRDefault="004A5475" w:rsidP="009A78C3"/>
    <w:p w14:paraId="01E4B21C" w14:textId="1A6BB7CC" w:rsidR="004A5475" w:rsidRPr="00D34CD1" w:rsidRDefault="003138C3" w:rsidP="009A78C3">
      <w:r>
        <w:rPr>
          <w:color w:val="000000"/>
        </w:rPr>
        <w:t>Kiekvienoje š</w:t>
      </w:r>
      <w:r w:rsidR="004A5475">
        <w:rPr>
          <w:color w:val="000000"/>
        </w:rPr>
        <w:t xml:space="preserve">io vaisto </w:t>
      </w:r>
      <w:r w:rsidR="004A5475" w:rsidRPr="00D34CD1">
        <w:t>tabletė</w:t>
      </w:r>
      <w:r>
        <w:t>je</w:t>
      </w:r>
      <w:r w:rsidR="004A5475">
        <w:t xml:space="preserve"> </w:t>
      </w:r>
      <w:r w:rsidR="004A5475" w:rsidRPr="00D34CD1">
        <w:t>yra</w:t>
      </w:r>
      <w:r w:rsidR="004A5475">
        <w:t xml:space="preserve"> ma</w:t>
      </w:r>
      <w:r w:rsidR="004A5475" w:rsidRPr="00D34CD1">
        <w:t>ž</w:t>
      </w:r>
      <w:r w:rsidR="004A5475">
        <w:t xml:space="preserve">iau kaip 1 mmol (23 mg) natrio </w:t>
      </w:r>
      <w:r w:rsidR="00666D77">
        <w:t>t.y. jis beveik neturi reik</w:t>
      </w:r>
      <w:r w:rsidR="00666D77" w:rsidRPr="00D34CD1">
        <w:rPr>
          <w:color w:val="000000"/>
        </w:rPr>
        <w:t>š</w:t>
      </w:r>
      <w:r w:rsidR="00666D77">
        <w:rPr>
          <w:color w:val="000000"/>
        </w:rPr>
        <w:t>m</w:t>
      </w:r>
      <w:r w:rsidR="00666D77" w:rsidRPr="00D34CD1">
        <w:t>ės</w:t>
      </w:r>
      <w:r w:rsidR="004A5475">
        <w:t xml:space="preserve">. </w:t>
      </w:r>
    </w:p>
    <w:p w14:paraId="2214EC0C" w14:textId="77777777" w:rsidR="009A78C3" w:rsidRPr="00D34CD1" w:rsidRDefault="009A78C3" w:rsidP="009A78C3"/>
    <w:p w14:paraId="17B044E7" w14:textId="77777777" w:rsidR="009A78C3" w:rsidRPr="00D34CD1" w:rsidRDefault="009A78C3" w:rsidP="009A78C3">
      <w:pPr>
        <w:rPr>
          <w:b/>
          <w:bCs/>
        </w:rPr>
      </w:pPr>
      <w:r w:rsidRPr="00D34CD1">
        <w:rPr>
          <w:b/>
          <w:bCs/>
        </w:rPr>
        <w:t>4.5 Sąveika su kitais vaistiniais preparatais ir kitokia sąveika</w:t>
      </w:r>
    </w:p>
    <w:p w14:paraId="605022C4" w14:textId="77777777" w:rsidR="009A78C3" w:rsidRPr="00D34CD1" w:rsidRDefault="009A78C3" w:rsidP="009A78C3"/>
    <w:p w14:paraId="7D5292AA" w14:textId="77777777" w:rsidR="009A78C3" w:rsidRPr="00D34CD1" w:rsidRDefault="009A78C3" w:rsidP="009A78C3">
      <w:r w:rsidRPr="00D34CD1">
        <w:t>Specifinių natrio rizedronato sąveikos su kitais vaistiniais preparatais klinikinių tyrimų neatlikta. Tačiau atliktų klinikinių tyrimų metu nenustatyta jokia kliniškai reikšminga sąveika su kitais preparatais. III fazės klinikiniuose tyrimuose dėl natrio rizedronato vartojimo gydant osteoporozę, 33 % pacienčių vartojo acetilsalicilo rūgštį, o 45 % pacienčių – nesteroidinius vaistus nuo uždegimo (NVNU). III fazės klinikiniuose tyrimuose dėl preparato vartojimo vieną kartą per savaitę, kuriuose dalyvavo amžiaus moterys po menopauzės, acetilsalicilo rūgštį vartojo 57 % pacienčių, o NVNU – 40 %. Reguliariai (3 arba daugiau dienų per savaitę) acetilsalicilo rūgštį arba NVNU vartojusių asmenų tarpe,  nepageidaujamų viršutinės virškinamojo trakto dalies sutrikimų skaičius natrio rizedronatu gydytų pacientų grupėje ir kontrolinėje grupėje buvo panašus.</w:t>
      </w:r>
    </w:p>
    <w:p w14:paraId="63D17F50" w14:textId="77777777" w:rsidR="009A78C3" w:rsidRPr="00D34CD1" w:rsidRDefault="009A78C3" w:rsidP="009A78C3"/>
    <w:p w14:paraId="770E0E21" w14:textId="77777777" w:rsidR="009A78C3" w:rsidRPr="00D34CD1" w:rsidRDefault="009A78C3" w:rsidP="009A78C3">
      <w:r w:rsidRPr="00D34CD1">
        <w:t>Jeigu būtina, natrio rizedronatą galima vartoti kartu su estrogenais (tik moterims).</w:t>
      </w:r>
    </w:p>
    <w:p w14:paraId="714101AB" w14:textId="77777777" w:rsidR="009A78C3" w:rsidRPr="00D34CD1" w:rsidRDefault="009A78C3" w:rsidP="009A78C3">
      <w:r w:rsidRPr="00D34CD1">
        <w:t>Vienu metu vartojant preparatus, kuriuose yra daugiavalenčių katijonų (kalcio, magnio, geležies ir aliuminio), mažėja NORIFAZ rezorbcija (žr. 4.4 skyrių).</w:t>
      </w:r>
    </w:p>
    <w:p w14:paraId="65E9FCB9" w14:textId="77777777" w:rsidR="009A78C3" w:rsidRPr="00D34CD1" w:rsidRDefault="009A78C3" w:rsidP="009A78C3"/>
    <w:p w14:paraId="5C912BEF" w14:textId="77777777" w:rsidR="009A78C3" w:rsidRPr="00D34CD1" w:rsidRDefault="009A78C3" w:rsidP="009A78C3">
      <w:r w:rsidRPr="00D34CD1">
        <w:t>Natrio rizedronatas organizme nemetabolizuojamas, neindukuoja  citochromo P450 enzimų ir silpnai jungiasi su baltymais.</w:t>
      </w:r>
    </w:p>
    <w:p w14:paraId="484F4AC9" w14:textId="77777777" w:rsidR="009A78C3" w:rsidRPr="00D34CD1" w:rsidRDefault="009A78C3" w:rsidP="009A78C3"/>
    <w:p w14:paraId="24F4EE7E" w14:textId="77777777" w:rsidR="009A78C3" w:rsidRPr="00D34CD1" w:rsidRDefault="009A78C3" w:rsidP="009A78C3">
      <w:pPr>
        <w:rPr>
          <w:b/>
          <w:bCs/>
        </w:rPr>
      </w:pPr>
      <w:r w:rsidRPr="00D34CD1">
        <w:rPr>
          <w:b/>
          <w:bCs/>
        </w:rPr>
        <w:t xml:space="preserve">4.6 </w:t>
      </w:r>
      <w:r>
        <w:rPr>
          <w:b/>
          <w:bCs/>
        </w:rPr>
        <w:t>Vaisingumas, n</w:t>
      </w:r>
      <w:r w:rsidRPr="00D34CD1">
        <w:rPr>
          <w:b/>
          <w:bCs/>
        </w:rPr>
        <w:t>ėštumo ir žindymo laikotarpis</w:t>
      </w:r>
    </w:p>
    <w:p w14:paraId="636E19B5" w14:textId="77777777" w:rsidR="009A78C3" w:rsidRPr="00D34CD1" w:rsidRDefault="009A78C3" w:rsidP="009A78C3"/>
    <w:p w14:paraId="11DD2EF7" w14:textId="77777777" w:rsidR="009A78C3" w:rsidRDefault="009A78C3" w:rsidP="009A78C3">
      <w:r>
        <w:t>Nėštumas</w:t>
      </w:r>
    </w:p>
    <w:p w14:paraId="6D5F7705" w14:textId="77777777" w:rsidR="009A78C3" w:rsidRDefault="009A78C3" w:rsidP="009A78C3">
      <w:r w:rsidRPr="00D34CD1">
        <w:lastRenderedPageBreak/>
        <w:t xml:space="preserve">Dar nepakanka duomenų apie natrio rizedronato vartojimą nėščioms moterims. Tyrimuose su gyvūnais nustatytas toksinis poveikis reprodukcinei sistemai (žr. 5.3 skyrių). Galima rizika žmogui nežinoma. </w:t>
      </w:r>
    </w:p>
    <w:p w14:paraId="0265EAFD" w14:textId="77777777" w:rsidR="009A78C3" w:rsidRDefault="009A78C3" w:rsidP="009A78C3"/>
    <w:p w14:paraId="1AF49C3E" w14:textId="77777777" w:rsidR="009A78C3" w:rsidRDefault="009A78C3" w:rsidP="009A78C3">
      <w:r>
        <w:t>Žindymas</w:t>
      </w:r>
    </w:p>
    <w:p w14:paraId="351AB012" w14:textId="77777777" w:rsidR="009A78C3" w:rsidRDefault="009A78C3" w:rsidP="009A78C3">
      <w:r w:rsidRPr="00DF551B">
        <w:t>Tyrimai su gyvūnais, parodė, kad nedidelis kiekis natrio risedronato patenka į motinos pieną.</w:t>
      </w:r>
    </w:p>
    <w:p w14:paraId="5BE18033" w14:textId="77777777" w:rsidR="009A78C3" w:rsidRDefault="009A78C3" w:rsidP="009A78C3"/>
    <w:p w14:paraId="75000050" w14:textId="77777777" w:rsidR="009A78C3" w:rsidRDefault="009A78C3" w:rsidP="009A78C3">
      <w:r w:rsidRPr="00D34CD1">
        <w:t>Nėštumo ir žindymo laikotarpiu NORIFAZ vartoti negalima.</w:t>
      </w:r>
    </w:p>
    <w:p w14:paraId="1C18EA76" w14:textId="77777777" w:rsidR="009A78C3" w:rsidRPr="00D34CD1" w:rsidRDefault="009A78C3" w:rsidP="009A78C3"/>
    <w:p w14:paraId="02E76BD7" w14:textId="77777777" w:rsidR="009A78C3" w:rsidRPr="00D34CD1" w:rsidRDefault="009A78C3" w:rsidP="009A78C3">
      <w:pPr>
        <w:rPr>
          <w:b/>
          <w:bCs/>
        </w:rPr>
      </w:pPr>
      <w:r w:rsidRPr="00D34CD1">
        <w:rPr>
          <w:b/>
          <w:bCs/>
        </w:rPr>
        <w:t>4.7 Poveikis gebėjimui vairuoti ir valdyti mechanizmus</w:t>
      </w:r>
    </w:p>
    <w:p w14:paraId="0320C8B6" w14:textId="77777777" w:rsidR="009A78C3" w:rsidRPr="00D34CD1" w:rsidRDefault="009A78C3" w:rsidP="009A78C3"/>
    <w:p w14:paraId="1BC0AB0A" w14:textId="77777777" w:rsidR="009A78C3" w:rsidRPr="00D34CD1" w:rsidRDefault="009A78C3" w:rsidP="009A78C3">
      <w:r>
        <w:t>NORIFAZ</w:t>
      </w:r>
      <w:r w:rsidRPr="00D34CD1">
        <w:t xml:space="preserve"> gebėjimo vairuoti ir valdyti mechanizmus neveikia. </w:t>
      </w:r>
    </w:p>
    <w:p w14:paraId="496E5C98" w14:textId="77777777" w:rsidR="009A78C3" w:rsidRPr="00D34CD1" w:rsidRDefault="009A78C3" w:rsidP="009A78C3"/>
    <w:p w14:paraId="29E30DBC" w14:textId="77777777" w:rsidR="009A78C3" w:rsidRPr="00D34CD1" w:rsidRDefault="009A78C3" w:rsidP="009A78C3">
      <w:pPr>
        <w:rPr>
          <w:b/>
          <w:bCs/>
        </w:rPr>
      </w:pPr>
      <w:r w:rsidRPr="00D34CD1">
        <w:rPr>
          <w:b/>
          <w:bCs/>
        </w:rPr>
        <w:t>4.8 Nepageidaujamas poveikis</w:t>
      </w:r>
    </w:p>
    <w:p w14:paraId="0692A8F6" w14:textId="77777777" w:rsidR="009A78C3" w:rsidRPr="00D34CD1" w:rsidRDefault="009A78C3" w:rsidP="009A78C3"/>
    <w:p w14:paraId="436899AB" w14:textId="77777777" w:rsidR="009A78C3" w:rsidRPr="00D34CD1" w:rsidRDefault="009A78C3" w:rsidP="009A78C3">
      <w:r w:rsidRPr="00D34CD1">
        <w:t>III fazės klinikiniuose tyrimuose natrio rizedronatą vartojo daugiau kaip 15000 pacientų. Klinikiniuose tyrimuose daugelis nepageidaujamo poveikio  reakcijų buvo nesunkios arba vidutinio sunkumo, dėl kurių nereikėjo nutraukti vaisto vartojimo.</w:t>
      </w:r>
    </w:p>
    <w:p w14:paraId="1EDC06B8" w14:textId="77777777" w:rsidR="009A78C3" w:rsidRPr="00D34CD1" w:rsidRDefault="009A78C3" w:rsidP="009A78C3"/>
    <w:p w14:paraId="79FA9343" w14:textId="77777777" w:rsidR="009A78C3" w:rsidRPr="00D34CD1" w:rsidRDefault="009A78C3" w:rsidP="009A78C3">
      <w:r w:rsidRPr="00D34CD1">
        <w:t>Osteoporoze po menopauzės sergančios moterys, III fazės klinikiniuose tyrimuose 36 mėnesius gydytos rizedronato doze 5mg per parą arba placebo, nurodė žemiau pateiktus nepageidaujamus reiškinius, kurie galėjo būti susiję su vaistu. Nepageidaujami reiškiniai pagal dažnį suskirstyti taip: labai dažni (&gt;1/10), dažni (</w:t>
      </w:r>
      <w:r>
        <w:t xml:space="preserve">nuo </w:t>
      </w:r>
      <w:r w:rsidRPr="00D34CD1">
        <w:t>&gt;1/100</w:t>
      </w:r>
      <w:r>
        <w:t xml:space="preserve"> iki </w:t>
      </w:r>
      <w:r w:rsidRPr="00D34CD1">
        <w:t xml:space="preserve"> &lt;1/10), nedažni (</w:t>
      </w:r>
      <w:r>
        <w:t xml:space="preserve">nuo </w:t>
      </w:r>
      <w:r w:rsidRPr="00D34CD1">
        <w:t>&gt;1/1000</w:t>
      </w:r>
      <w:r>
        <w:t xml:space="preserve"> iki</w:t>
      </w:r>
      <w:r w:rsidRPr="00D34CD1">
        <w:t xml:space="preserve"> &lt;1/100), reti (</w:t>
      </w:r>
      <w:r>
        <w:t xml:space="preserve">nuo </w:t>
      </w:r>
      <w:r w:rsidRPr="00D34CD1">
        <w:t>&gt;1/10000</w:t>
      </w:r>
      <w:r>
        <w:t xml:space="preserve"> iki</w:t>
      </w:r>
      <w:r w:rsidRPr="00D34CD1">
        <w:t xml:space="preserve"> &lt;1/1000), labai reti (&lt;1/10000), nežinomi (</w:t>
      </w:r>
      <w:r>
        <w:t>negali būti apskaičiuoti pagal turimus duomenis</w:t>
      </w:r>
      <w:r w:rsidRPr="00D34CD1">
        <w:t xml:space="preserve">).  </w:t>
      </w:r>
    </w:p>
    <w:p w14:paraId="1CF06A0D" w14:textId="77777777" w:rsidR="009A78C3" w:rsidRPr="00D34CD1" w:rsidRDefault="009A78C3" w:rsidP="009A78C3">
      <w:r w:rsidRPr="00D34CD1">
        <w:t>Nepageidaujami reiškiniai lyginant su placebu, nurodyti skliausteliuose.</w:t>
      </w:r>
    </w:p>
    <w:p w14:paraId="4E21402D" w14:textId="77777777" w:rsidR="009A78C3" w:rsidRPr="00D34CD1" w:rsidRDefault="009A78C3" w:rsidP="009A78C3">
      <w:pPr>
        <w:rPr>
          <w:i/>
          <w:iCs/>
        </w:rPr>
      </w:pPr>
    </w:p>
    <w:p w14:paraId="6CA7D4D0" w14:textId="77777777" w:rsidR="009A78C3" w:rsidRPr="00D34CD1" w:rsidRDefault="009A78C3" w:rsidP="009A78C3">
      <w:pPr>
        <w:rPr>
          <w:i/>
          <w:iCs/>
        </w:rPr>
      </w:pPr>
      <w:r w:rsidRPr="00D34CD1">
        <w:rPr>
          <w:i/>
          <w:iCs/>
        </w:rPr>
        <w:t>Nervų sistemos sutrikimai:</w:t>
      </w:r>
    </w:p>
    <w:p w14:paraId="7D9C20ED" w14:textId="77777777" w:rsidR="009A78C3" w:rsidRPr="00D34CD1" w:rsidRDefault="009A78C3" w:rsidP="009A78C3">
      <w:r w:rsidRPr="00D34CD1">
        <w:t>Dažni: galvos skausmas (1,8% palyginus su 1,4%).</w:t>
      </w:r>
    </w:p>
    <w:p w14:paraId="69A81D8E" w14:textId="77777777" w:rsidR="009A78C3" w:rsidRPr="00D34CD1" w:rsidRDefault="009A78C3" w:rsidP="009A78C3"/>
    <w:p w14:paraId="7182BB5B" w14:textId="77777777" w:rsidR="009A78C3" w:rsidRPr="00D34CD1" w:rsidRDefault="009A78C3" w:rsidP="009A78C3">
      <w:pPr>
        <w:rPr>
          <w:i/>
          <w:iCs/>
        </w:rPr>
      </w:pPr>
      <w:r w:rsidRPr="00D34CD1">
        <w:rPr>
          <w:i/>
          <w:iCs/>
        </w:rPr>
        <w:t>Akių sutrikimai:</w:t>
      </w:r>
    </w:p>
    <w:p w14:paraId="3F5A8C0B" w14:textId="77777777" w:rsidR="009A78C3" w:rsidRPr="00D34CD1" w:rsidRDefault="009A78C3" w:rsidP="009A78C3">
      <w:r w:rsidRPr="00D34CD1">
        <w:t>Nedažni: rainelės uždegimas</w:t>
      </w:r>
      <w:r w:rsidRPr="00D34CD1">
        <w:rPr>
          <w:vertAlign w:val="superscript"/>
        </w:rPr>
        <w:t>*</w:t>
      </w:r>
      <w:r w:rsidRPr="00D34CD1">
        <w:t>.</w:t>
      </w:r>
    </w:p>
    <w:p w14:paraId="0FBB50C0" w14:textId="77777777" w:rsidR="009A78C3" w:rsidRPr="00D34CD1" w:rsidRDefault="009A78C3" w:rsidP="009A78C3"/>
    <w:p w14:paraId="2015858E" w14:textId="77777777" w:rsidR="009A78C3" w:rsidRPr="00D34CD1" w:rsidRDefault="009A78C3" w:rsidP="009A78C3">
      <w:pPr>
        <w:rPr>
          <w:i/>
          <w:iCs/>
        </w:rPr>
      </w:pPr>
      <w:r w:rsidRPr="00D34CD1">
        <w:rPr>
          <w:i/>
          <w:iCs/>
        </w:rPr>
        <w:t>Skrandžio ir žarnyno sutrikimai:</w:t>
      </w:r>
    </w:p>
    <w:p w14:paraId="74B16E14" w14:textId="77777777" w:rsidR="009A78C3" w:rsidRPr="00D34CD1" w:rsidRDefault="009A78C3" w:rsidP="009A78C3">
      <w:r w:rsidRPr="00D34CD1">
        <w:t>Dažni: vidurių užkietėjimas (5,0% palyginus su 4,8%), virškinimo sutrikimas (4,5% palyginus su 4,1%), pykinimas (4,3% palyginus su 4,0%), pilvo skausmas (3,5% palyginus su 3,3%), viduriavimas (3,0% palyginus su 2,7%).</w:t>
      </w:r>
    </w:p>
    <w:p w14:paraId="55D8D8C5" w14:textId="77777777" w:rsidR="009A78C3" w:rsidRPr="00D34CD1" w:rsidRDefault="009A78C3" w:rsidP="009A78C3">
      <w:r w:rsidRPr="00D34CD1">
        <w:t>Nedažni: skrandžio gleivinės uždegimas (0,9% palyginus su 0,7%), stemplės gleivinės uždegimas (0,9% palyginus su 0,9%), rijimo sutrikimai (0,4% palyginus su 0,2%), dvylikapirštės žarnos uždegimas (0,2% palyginus su 0,1%), stemplės opos (0,2% palyginus su 0,2%).</w:t>
      </w:r>
    </w:p>
    <w:p w14:paraId="7B00DFCB" w14:textId="77777777" w:rsidR="009A78C3" w:rsidRPr="00D34CD1" w:rsidRDefault="009A78C3" w:rsidP="009A78C3">
      <w:r w:rsidRPr="00D34CD1">
        <w:t>Reti: liežuvio uždegimas (&lt;0,1% palyginus su 0,1%), stemplės susiaurėjimas (&lt;0,1% palyginus su 0,0%).</w:t>
      </w:r>
    </w:p>
    <w:p w14:paraId="6B9673F7" w14:textId="77777777" w:rsidR="009A78C3" w:rsidRPr="00D34CD1" w:rsidRDefault="009A78C3" w:rsidP="009A78C3"/>
    <w:p w14:paraId="05EBC970" w14:textId="77777777" w:rsidR="009A78C3" w:rsidRPr="00D34CD1" w:rsidRDefault="009A78C3" w:rsidP="009A78C3">
      <w:pPr>
        <w:rPr>
          <w:i/>
          <w:iCs/>
        </w:rPr>
      </w:pPr>
      <w:r w:rsidRPr="00D34CD1">
        <w:rPr>
          <w:i/>
          <w:iCs/>
        </w:rPr>
        <w:t>Raumenų, kaulų ir jungiamojo audinio sutrikimai:</w:t>
      </w:r>
    </w:p>
    <w:p w14:paraId="419B8728" w14:textId="77777777" w:rsidR="009A78C3" w:rsidRPr="00D34CD1" w:rsidRDefault="009A78C3" w:rsidP="009A78C3">
      <w:r w:rsidRPr="00D34CD1">
        <w:t>Dažni: kaulų, raumenų skausmas (2,1% palyginus su 1,9%).</w:t>
      </w:r>
    </w:p>
    <w:p w14:paraId="069CEF96" w14:textId="77777777" w:rsidR="009A78C3" w:rsidRPr="00D34CD1" w:rsidRDefault="009A78C3" w:rsidP="009A78C3"/>
    <w:p w14:paraId="4DA0101A" w14:textId="77777777" w:rsidR="009A78C3" w:rsidRPr="00D34CD1" w:rsidRDefault="009A78C3" w:rsidP="009A78C3">
      <w:pPr>
        <w:rPr>
          <w:i/>
          <w:iCs/>
        </w:rPr>
      </w:pPr>
      <w:r w:rsidRPr="00D34CD1">
        <w:rPr>
          <w:i/>
          <w:iCs/>
        </w:rPr>
        <w:t>Laboratoriniai tyrimai (kepenys ir tulžies takai):</w:t>
      </w:r>
    </w:p>
    <w:p w14:paraId="1096A1A5" w14:textId="77777777" w:rsidR="009A78C3" w:rsidRPr="00D34CD1" w:rsidRDefault="009A78C3" w:rsidP="009A78C3">
      <w:r w:rsidRPr="00D34CD1">
        <w:t>Reti: kepenų funkciją rodančių fermentų koncentracijos pokyčiai</w:t>
      </w:r>
      <w:r w:rsidRPr="00D34CD1">
        <w:rPr>
          <w:vertAlign w:val="superscript"/>
        </w:rPr>
        <w:t>*</w:t>
      </w:r>
      <w:r w:rsidRPr="00D34CD1">
        <w:t>.</w:t>
      </w:r>
    </w:p>
    <w:p w14:paraId="7DC3F581" w14:textId="77777777" w:rsidR="009A78C3" w:rsidRPr="00D34CD1" w:rsidRDefault="009A78C3" w:rsidP="009A78C3"/>
    <w:p w14:paraId="61AE4967" w14:textId="77777777" w:rsidR="009A78C3" w:rsidRPr="00D34CD1" w:rsidRDefault="009A78C3" w:rsidP="009A78C3">
      <w:r w:rsidRPr="00D34CD1">
        <w:rPr>
          <w:vertAlign w:val="superscript"/>
        </w:rPr>
        <w:t>*</w:t>
      </w:r>
      <w:r w:rsidRPr="00D34CD1">
        <w:t xml:space="preserve"> Osteoporoze sergančių pacientų atvejai, nesusiję su III fazės klinikiniais tyrimais, o dažnis nurodytas pagal ankstesnių fazių klinikinių tyrimų nepageidaujamus reiškinius, laboratorinių tyrimų rezultatus.</w:t>
      </w:r>
    </w:p>
    <w:p w14:paraId="7642D1DA" w14:textId="77777777" w:rsidR="009A78C3" w:rsidRPr="00D34CD1" w:rsidRDefault="009A78C3" w:rsidP="009A78C3"/>
    <w:p w14:paraId="7C798570" w14:textId="77777777" w:rsidR="009A78C3" w:rsidRPr="00D34CD1" w:rsidRDefault="009A78C3" w:rsidP="009A78C3">
      <w:r w:rsidRPr="00D34CD1">
        <w:t>Metus trukusiame, keliuose centruose atliktame dvigubai aklame placebo kontroliuotame klinikiniame tyrime, kuriame buvo lyginama natrio rizedronato 5 mg dozė vieną kartą per parą</w:t>
      </w:r>
      <w:r>
        <w:t xml:space="preserve"> (n</w:t>
      </w:r>
      <w:r w:rsidRPr="00D34CD1">
        <w:t xml:space="preserve"> </w:t>
      </w:r>
      <w:r w:rsidRPr="006E2CEB">
        <w:t xml:space="preserve">=480) </w:t>
      </w:r>
      <w:r w:rsidRPr="00D34CD1">
        <w:t>su natrio rizedronato 35 mg doze vieną kartą per savaitę</w:t>
      </w:r>
      <w:r>
        <w:t xml:space="preserve"> </w:t>
      </w:r>
      <w:r w:rsidRPr="006E2CEB">
        <w:t>(n=485)</w:t>
      </w:r>
      <w:r w:rsidRPr="00D34CD1">
        <w:t xml:space="preserve"> moterų, sergančių osteoporoze po menopauzės, gydymui, bendras saugumas ir toleravimas buvo panašūs. Pastebėtas šis nepageidaujamas poveikis, galbūt susijęs su gydymu natrio rizedronato 35 mg doze, lyginant su </w:t>
      </w:r>
      <w:r w:rsidRPr="00D34CD1">
        <w:lastRenderedPageBreak/>
        <w:t>pacientais, vartojančiais natrio rizedronato 5 mg dozę: skrandžio ir žarnyno sutrikimai (1,6% palyginus su 1,0%) bei skausmas (1,2% palyginus su 0,8%).</w:t>
      </w:r>
    </w:p>
    <w:p w14:paraId="5D011398" w14:textId="77777777" w:rsidR="009A78C3" w:rsidRPr="00D34CD1" w:rsidRDefault="009A78C3" w:rsidP="009A78C3"/>
    <w:p w14:paraId="0D599C71" w14:textId="77777777" w:rsidR="009A78C3" w:rsidRPr="00D34CD1" w:rsidRDefault="009A78C3" w:rsidP="009A78C3">
      <w:r w:rsidRPr="00D34CD1">
        <w:t xml:space="preserve">Du metus trukusiame tyrime, kuriame dalyvavo osteoporoze sergantys vyrai, bendras saugumas ir toleravimas gydytoje grupėje buvo labai panašus kaip ir placebo grupėje. Tyrimuose, kuriuose dalyvavo moterys, buvo stebimi panašūs nepageidaujami reiškiniai. </w:t>
      </w:r>
    </w:p>
    <w:p w14:paraId="41D355F2" w14:textId="77777777" w:rsidR="009A78C3" w:rsidRPr="00D34CD1" w:rsidRDefault="009A78C3" w:rsidP="009A78C3"/>
    <w:p w14:paraId="6394F5E9" w14:textId="77777777" w:rsidR="009A78C3" w:rsidRPr="00D34CD1" w:rsidRDefault="009A78C3" w:rsidP="009A78C3">
      <w:pPr>
        <w:rPr>
          <w:i/>
          <w:iCs/>
        </w:rPr>
      </w:pPr>
      <w:r w:rsidRPr="00D34CD1">
        <w:rPr>
          <w:i/>
          <w:iCs/>
        </w:rPr>
        <w:t>Laboratoriniai rodikliai:</w:t>
      </w:r>
    </w:p>
    <w:p w14:paraId="64AAD30B" w14:textId="77777777" w:rsidR="009A78C3" w:rsidRPr="00D34CD1" w:rsidRDefault="009A78C3" w:rsidP="009A78C3">
      <w:r w:rsidRPr="00D34CD1">
        <w:t xml:space="preserve">Kai kuriems pacientams gydymo pradžioje atsirado laikinas, besimptomis ir lengvas kalcio ir fosfatų koncentracijos sumažėjimas kraujo serume. </w:t>
      </w:r>
    </w:p>
    <w:p w14:paraId="086F4050" w14:textId="77777777" w:rsidR="009A78C3" w:rsidRPr="00D34CD1" w:rsidRDefault="009A78C3" w:rsidP="009A78C3">
      <w:r w:rsidRPr="00D34CD1">
        <w:t>Užregistravus vaistinį preparatą, buvo papildomai aprašyti šie nepageidaujami poveikiai:</w:t>
      </w:r>
    </w:p>
    <w:p w14:paraId="2F030572" w14:textId="77777777" w:rsidR="009A78C3" w:rsidRPr="00D34CD1" w:rsidRDefault="009A78C3" w:rsidP="009A78C3">
      <w:pPr>
        <w:autoSpaceDE w:val="0"/>
        <w:autoSpaceDN w:val="0"/>
        <w:adjustRightInd w:val="0"/>
        <w:rPr>
          <w:i/>
          <w:iCs/>
        </w:rPr>
      </w:pPr>
    </w:p>
    <w:p w14:paraId="21F4ABBA" w14:textId="77777777" w:rsidR="009A78C3" w:rsidRPr="00D34CD1" w:rsidRDefault="009A78C3" w:rsidP="009A78C3">
      <w:pPr>
        <w:autoSpaceDE w:val="0"/>
        <w:autoSpaceDN w:val="0"/>
        <w:adjustRightInd w:val="0"/>
        <w:rPr>
          <w:i/>
          <w:iCs/>
        </w:rPr>
      </w:pPr>
      <w:r w:rsidRPr="00D34CD1">
        <w:rPr>
          <w:i/>
          <w:iCs/>
        </w:rPr>
        <w:t xml:space="preserve">      Akių sutrikimai:</w:t>
      </w:r>
    </w:p>
    <w:p w14:paraId="426CB2B8" w14:textId="5D2F8A28" w:rsidR="009A78C3" w:rsidRPr="00D34CD1" w:rsidRDefault="009A78C3" w:rsidP="009A78C3">
      <w:r w:rsidRPr="00D34CD1">
        <w:t>Akies rainelės  ir akies kraujagyslinio dangalo uždegimas</w:t>
      </w:r>
      <w:r w:rsidR="00811C3C">
        <w:t xml:space="preserve">, </w:t>
      </w:r>
      <w:r w:rsidR="00CC7A6A">
        <w:t>ūminis akiduobės uždegimas.</w:t>
      </w:r>
    </w:p>
    <w:p w14:paraId="5F1126DE" w14:textId="77777777" w:rsidR="009A78C3" w:rsidRPr="00D34CD1" w:rsidRDefault="009A78C3" w:rsidP="009A78C3"/>
    <w:p w14:paraId="300CED50" w14:textId="77777777" w:rsidR="009A78C3" w:rsidRPr="00D34CD1" w:rsidRDefault="009A78C3" w:rsidP="009A78C3">
      <w:pPr>
        <w:autoSpaceDE w:val="0"/>
        <w:autoSpaceDN w:val="0"/>
        <w:adjustRightInd w:val="0"/>
        <w:rPr>
          <w:i/>
          <w:iCs/>
        </w:rPr>
      </w:pPr>
      <w:r w:rsidRPr="00D34CD1">
        <w:rPr>
          <w:i/>
          <w:iCs/>
        </w:rPr>
        <w:t>Skeleto, raumenų ir jungiamojo audinio sutrikimai:</w:t>
      </w:r>
    </w:p>
    <w:p w14:paraId="7AF8E7A8" w14:textId="77777777" w:rsidR="009A78C3" w:rsidRPr="00D34CD1" w:rsidRDefault="009A78C3" w:rsidP="009A78C3">
      <w:r w:rsidRPr="00D34CD1">
        <w:t xml:space="preserve">  Žandikaulio osteonekrozė</w:t>
      </w:r>
    </w:p>
    <w:p w14:paraId="39DC10D1" w14:textId="77777777" w:rsidR="009A78C3" w:rsidRPr="00D34CD1" w:rsidRDefault="009A78C3" w:rsidP="009A78C3"/>
    <w:p w14:paraId="4A7DF446" w14:textId="77777777" w:rsidR="009A78C3" w:rsidRPr="00D34CD1" w:rsidRDefault="009A78C3" w:rsidP="009A78C3">
      <w:pPr>
        <w:rPr>
          <w:i/>
          <w:iCs/>
        </w:rPr>
      </w:pPr>
      <w:r w:rsidRPr="00D34CD1">
        <w:rPr>
          <w:i/>
          <w:iCs/>
        </w:rPr>
        <w:t>Odos ir poodinio audinio sutrikimai:</w:t>
      </w:r>
    </w:p>
    <w:p w14:paraId="5D10ECCE" w14:textId="77777777" w:rsidR="009A78C3" w:rsidRPr="00D34CD1" w:rsidRDefault="009A78C3" w:rsidP="009A78C3">
      <w:pPr>
        <w:autoSpaceDE w:val="0"/>
        <w:autoSpaceDN w:val="0"/>
        <w:adjustRightInd w:val="0"/>
      </w:pPr>
      <w:r w:rsidRPr="00D34CD1">
        <w:t xml:space="preserve">     Padidėjęs jautrumas ir odos reakcijos,  </w:t>
      </w:r>
    </w:p>
    <w:p w14:paraId="6D5990B2" w14:textId="77777777" w:rsidR="009A78C3" w:rsidRPr="00D34CD1" w:rsidRDefault="009A78C3" w:rsidP="009A78C3">
      <w:pPr>
        <w:autoSpaceDE w:val="0"/>
        <w:autoSpaceDN w:val="0"/>
        <w:adjustRightInd w:val="0"/>
      </w:pPr>
      <w:r w:rsidRPr="00D34CD1">
        <w:t xml:space="preserve">     įskaitant angioedemą, išplitusi bėrimą  ir odos </w:t>
      </w:r>
    </w:p>
    <w:p w14:paraId="2010F227" w14:textId="77777777" w:rsidR="009A78C3" w:rsidRPr="00D34CD1" w:rsidRDefault="009A78C3" w:rsidP="009A78C3">
      <w:pPr>
        <w:autoSpaceDE w:val="0"/>
        <w:autoSpaceDN w:val="0"/>
        <w:adjustRightInd w:val="0"/>
      </w:pPr>
      <w:r w:rsidRPr="00D34CD1">
        <w:t xml:space="preserve">     pūsles, kartais sunkios eigos, įskaitant</w:t>
      </w:r>
    </w:p>
    <w:p w14:paraId="452694D0" w14:textId="77777777" w:rsidR="009A78C3" w:rsidRPr="00D34CD1" w:rsidRDefault="009A78C3" w:rsidP="009A78C3">
      <w:pPr>
        <w:autoSpaceDE w:val="0"/>
        <w:autoSpaceDN w:val="0"/>
        <w:adjustRightInd w:val="0"/>
      </w:pPr>
      <w:r w:rsidRPr="00D34CD1">
        <w:t xml:space="preserve">     pavienius Stivenso – Džonsono (</w:t>
      </w:r>
      <w:r w:rsidRPr="00D34CD1">
        <w:rPr>
          <w:i/>
          <w:iCs/>
        </w:rPr>
        <w:t>Stevens – Johnson</w:t>
      </w:r>
      <w:r w:rsidRPr="00D34CD1">
        <w:t>) sindromo ir toksinės epidermio nekrolizės atvejus.</w:t>
      </w:r>
    </w:p>
    <w:p w14:paraId="7427D6D0" w14:textId="77777777" w:rsidR="009A78C3" w:rsidRPr="00D34CD1" w:rsidRDefault="009A78C3" w:rsidP="009A78C3"/>
    <w:p w14:paraId="3768CEF1" w14:textId="77777777" w:rsidR="009A78C3" w:rsidRPr="00D34CD1" w:rsidRDefault="009A78C3" w:rsidP="009A78C3">
      <w:pPr>
        <w:rPr>
          <w:i/>
          <w:iCs/>
        </w:rPr>
      </w:pPr>
      <w:r w:rsidRPr="00D34CD1">
        <w:rPr>
          <w:i/>
          <w:iCs/>
        </w:rPr>
        <w:t>Imuninės sistemos sutrikimai</w:t>
      </w:r>
    </w:p>
    <w:p w14:paraId="4AD7C440" w14:textId="77777777" w:rsidR="009A78C3" w:rsidRPr="00D34CD1" w:rsidRDefault="009A78C3" w:rsidP="009A78C3">
      <w:r w:rsidRPr="00D34CD1">
        <w:t>Anafilaksinė reakcija</w:t>
      </w:r>
    </w:p>
    <w:p w14:paraId="529096C7" w14:textId="77777777" w:rsidR="009A78C3" w:rsidRPr="00D34CD1" w:rsidRDefault="009A78C3" w:rsidP="009A78C3"/>
    <w:p w14:paraId="0FF52DBB" w14:textId="77777777" w:rsidR="009A78C3" w:rsidRPr="00D34CD1" w:rsidRDefault="009A78C3" w:rsidP="009A78C3">
      <w:pPr>
        <w:rPr>
          <w:i/>
          <w:iCs/>
        </w:rPr>
      </w:pPr>
      <w:r w:rsidRPr="00D34CD1">
        <w:rPr>
          <w:i/>
          <w:iCs/>
        </w:rPr>
        <w:t xml:space="preserve">Kepenų, tulžies pūslės ir latakų sutrikimai </w:t>
      </w:r>
    </w:p>
    <w:p w14:paraId="4BE825D1" w14:textId="77777777" w:rsidR="009A78C3" w:rsidRDefault="009A78C3" w:rsidP="009A78C3">
      <w:r w:rsidRPr="00D34CD1">
        <w:t>Sunkūs kepenų funkcijos sutrikimai. Daugumoje aprašytų atvejų ligoniai buvo kartu gydomi ir kitais kepenis pažeidžiančiais vaistiniais preparatais.</w:t>
      </w:r>
    </w:p>
    <w:p w14:paraId="23FF9653" w14:textId="77777777" w:rsidR="009A78C3" w:rsidRDefault="009A78C3" w:rsidP="009A78C3"/>
    <w:p w14:paraId="1F36A800" w14:textId="77777777" w:rsidR="009A78C3" w:rsidRPr="00D34CD1" w:rsidRDefault="009A78C3" w:rsidP="009A78C3">
      <w:r w:rsidRPr="00C12E7E">
        <w:t>Labai reti: išorinio ausies kanalo osteonekrozė (bisfosfonatų grupės vaistams būdinga nepageidaujama reakcija).</w:t>
      </w:r>
    </w:p>
    <w:p w14:paraId="0ED7C42C" w14:textId="77777777" w:rsidR="009A78C3" w:rsidRPr="00D34CD1" w:rsidRDefault="009A78C3" w:rsidP="009A78C3"/>
    <w:p w14:paraId="068D79FF" w14:textId="77777777" w:rsidR="009A78C3" w:rsidRPr="00D34CD1" w:rsidRDefault="009A78C3" w:rsidP="009A78C3">
      <w:pPr>
        <w:autoSpaceDE w:val="0"/>
        <w:autoSpaceDN w:val="0"/>
        <w:adjustRightInd w:val="0"/>
        <w:rPr>
          <w:rFonts w:eastAsia="MS Mincho"/>
          <w:color w:val="000000"/>
        </w:rPr>
      </w:pPr>
      <w:r w:rsidRPr="00D34CD1">
        <w:rPr>
          <w:rFonts w:eastAsia="MS Mincho"/>
          <w:color w:val="000000"/>
        </w:rPr>
        <w:t>Vaistinį preparatą vartojan</w:t>
      </w:r>
      <w:r>
        <w:rPr>
          <w:rFonts w:eastAsia="MS Mincho"/>
          <w:color w:val="000000"/>
        </w:rPr>
        <w:t>t po registracijos</w:t>
      </w:r>
      <w:r w:rsidRPr="00D34CD1">
        <w:rPr>
          <w:rFonts w:eastAsia="MS Mincho"/>
          <w:color w:val="000000"/>
        </w:rPr>
        <w:t xml:space="preserve"> buvo pastebėtos šios reakcijos (dažnio grupė – retos): </w:t>
      </w:r>
    </w:p>
    <w:p w14:paraId="7C8DCCFA" w14:textId="77777777" w:rsidR="009A78C3" w:rsidRPr="00D34CD1" w:rsidRDefault="009A78C3" w:rsidP="009A78C3">
      <w:pPr>
        <w:pStyle w:val="Pagrindinistekstas"/>
        <w:rPr>
          <w:lang w:val="lt-LT"/>
        </w:rPr>
      </w:pPr>
      <w:r w:rsidRPr="00D34CD1">
        <w:rPr>
          <w:rFonts w:eastAsia="MS Mincho"/>
          <w:i w:val="0"/>
          <w:iCs w:val="0"/>
          <w:color w:val="000000"/>
          <w:lang w:val="lt-LT"/>
        </w:rPr>
        <w:t>Atipiniai šlaunikaulio pogūbriniai ir diafizės lūžiai (nepageidaujama reakcija į bisfosfonatų klasės preparatus).</w:t>
      </w:r>
    </w:p>
    <w:p w14:paraId="66FD8C80" w14:textId="77777777" w:rsidR="009A78C3" w:rsidRDefault="009A78C3" w:rsidP="009A78C3"/>
    <w:p w14:paraId="28040A1B" w14:textId="77777777" w:rsidR="009A78C3" w:rsidRPr="00FF082B" w:rsidRDefault="009A78C3" w:rsidP="009A78C3">
      <w:pPr>
        <w:autoSpaceDE w:val="0"/>
        <w:autoSpaceDN w:val="0"/>
        <w:adjustRightInd w:val="0"/>
        <w:rPr>
          <w:u w:val="single"/>
        </w:rPr>
      </w:pPr>
      <w:r w:rsidRPr="00FF082B">
        <w:rPr>
          <w:noProof/>
          <w:u w:val="single"/>
        </w:rPr>
        <w:t>Pranešimas apie įtariamas nepageidaujamas reakcijas</w:t>
      </w:r>
    </w:p>
    <w:p w14:paraId="3E046E19" w14:textId="1F05F651" w:rsidR="009A78C3" w:rsidRPr="00B34FA1" w:rsidRDefault="008D4B95" w:rsidP="009A78C3">
      <w:pPr>
        <w:autoSpaceDE w:val="0"/>
        <w:autoSpaceDN w:val="0"/>
        <w:adjustRightInd w:val="0"/>
        <w:jc w:val="both"/>
        <w:rPr>
          <w:noProof/>
          <w:szCs w:val="24"/>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r w:rsidR="009A78C3">
        <w:rPr>
          <w:noProof/>
          <w:szCs w:val="24"/>
        </w:rPr>
        <w:t>.</w:t>
      </w:r>
    </w:p>
    <w:p w14:paraId="4B008914" w14:textId="77777777" w:rsidR="009A78C3" w:rsidRPr="00D34CD1" w:rsidRDefault="009A78C3" w:rsidP="009A78C3"/>
    <w:p w14:paraId="6E978F7E" w14:textId="77777777" w:rsidR="009A78C3" w:rsidRPr="00D34CD1" w:rsidRDefault="009A78C3" w:rsidP="009A78C3">
      <w:pPr>
        <w:rPr>
          <w:b/>
          <w:bCs/>
        </w:rPr>
      </w:pPr>
      <w:r w:rsidRPr="00D34CD1">
        <w:rPr>
          <w:b/>
          <w:bCs/>
        </w:rPr>
        <w:t xml:space="preserve">4.9 </w:t>
      </w:r>
      <w:r>
        <w:rPr>
          <w:b/>
          <w:bCs/>
        </w:rPr>
        <w:tab/>
      </w:r>
      <w:r w:rsidRPr="00D34CD1">
        <w:rPr>
          <w:b/>
          <w:bCs/>
        </w:rPr>
        <w:t>Perdozavimas</w:t>
      </w:r>
    </w:p>
    <w:p w14:paraId="4768BCB3" w14:textId="77777777" w:rsidR="009A78C3" w:rsidRPr="00D34CD1" w:rsidRDefault="009A78C3" w:rsidP="009A78C3"/>
    <w:p w14:paraId="181BF679" w14:textId="77777777" w:rsidR="009A78C3" w:rsidRPr="00D34CD1" w:rsidRDefault="009A78C3" w:rsidP="009A78C3">
      <w:r w:rsidRPr="00D34CD1">
        <w:t>Nėra duomenų apie natrio rizedronato perdozavimo gydymą.</w:t>
      </w:r>
    </w:p>
    <w:p w14:paraId="03CB3276" w14:textId="77777777" w:rsidR="009A78C3" w:rsidRPr="00D34CD1" w:rsidRDefault="009A78C3" w:rsidP="009A78C3"/>
    <w:p w14:paraId="255B9CAE" w14:textId="77777777" w:rsidR="009A78C3" w:rsidRPr="00D34CD1" w:rsidRDefault="009A78C3" w:rsidP="009A78C3">
      <w:r w:rsidRPr="00D34CD1">
        <w:t xml:space="preserve">Perdozavus </w:t>
      </w:r>
      <w:r>
        <w:t xml:space="preserve">vaistinį </w:t>
      </w:r>
      <w:r w:rsidRPr="00D34CD1">
        <w:t xml:space="preserve">preparatą, gali sumažėti kalcio koncentracija kraujo serume. Kai kuriems pacientams gali atsirasti klinikinių ir laboratorinių hipokalcemijos simptomų. </w:t>
      </w:r>
    </w:p>
    <w:p w14:paraId="46968173" w14:textId="77777777" w:rsidR="009A78C3" w:rsidRPr="00D34CD1" w:rsidRDefault="009A78C3" w:rsidP="009A78C3"/>
    <w:p w14:paraId="16F0E223" w14:textId="77777777" w:rsidR="009A78C3" w:rsidRPr="00D34CD1" w:rsidRDefault="009A78C3" w:rsidP="009A78C3">
      <w:r w:rsidRPr="00D34CD1">
        <w:t xml:space="preserve">Norint neutralizuoti natrio rizedronatą ir sumažinti jo rezorbciją, reikia duoti pieno ir magnio, kalcio ir aliuminio druskų turinčių preparatų, kurie neutralizuoja skrandžio sultis. Jei vaisto perdozavimas sunkus, rekomenduojama išplauti skrandį ir pašalinti nesirezorbavusį natrio rizedronatą. </w:t>
      </w:r>
    </w:p>
    <w:p w14:paraId="32200586" w14:textId="77777777" w:rsidR="009A78C3" w:rsidRPr="00D34CD1" w:rsidRDefault="009A78C3" w:rsidP="009A78C3"/>
    <w:p w14:paraId="1180B0FC" w14:textId="77777777" w:rsidR="009A78C3" w:rsidRPr="00D34CD1" w:rsidRDefault="009A78C3" w:rsidP="009A78C3"/>
    <w:p w14:paraId="11127C15" w14:textId="77777777" w:rsidR="009A78C3" w:rsidRPr="00D34CD1" w:rsidRDefault="009A78C3" w:rsidP="009A78C3">
      <w:pPr>
        <w:widowControl w:val="0"/>
        <w:numPr>
          <w:ilvl w:val="0"/>
          <w:numId w:val="4"/>
        </w:numPr>
        <w:suppressAutoHyphens/>
        <w:rPr>
          <w:b/>
          <w:bCs/>
        </w:rPr>
      </w:pPr>
      <w:r w:rsidRPr="00D34CD1">
        <w:rPr>
          <w:b/>
          <w:bCs/>
        </w:rPr>
        <w:t>FARMAKOLOGINĖS SAVYBĖS</w:t>
      </w:r>
    </w:p>
    <w:p w14:paraId="0D2EDE84" w14:textId="77777777" w:rsidR="009A78C3" w:rsidRPr="00D34CD1" w:rsidRDefault="009A78C3" w:rsidP="009A78C3"/>
    <w:p w14:paraId="5A1B19DC" w14:textId="77777777" w:rsidR="009A78C3" w:rsidRPr="00D34CD1" w:rsidRDefault="009A78C3" w:rsidP="009A78C3">
      <w:pPr>
        <w:rPr>
          <w:b/>
          <w:bCs/>
        </w:rPr>
      </w:pPr>
      <w:r w:rsidRPr="00D34CD1">
        <w:rPr>
          <w:b/>
          <w:bCs/>
        </w:rPr>
        <w:t>5.1</w:t>
      </w:r>
      <w:r w:rsidRPr="00D34CD1">
        <w:rPr>
          <w:b/>
          <w:bCs/>
        </w:rPr>
        <w:tab/>
        <w:t xml:space="preserve">Farmakodinaminės savybės  </w:t>
      </w:r>
    </w:p>
    <w:p w14:paraId="5CBBF7B1" w14:textId="77777777" w:rsidR="009A78C3" w:rsidRPr="00D34CD1" w:rsidRDefault="009A78C3" w:rsidP="009A78C3"/>
    <w:p w14:paraId="321A3B49" w14:textId="77777777" w:rsidR="009A78C3" w:rsidRPr="00D34CD1" w:rsidRDefault="009A78C3" w:rsidP="009A78C3">
      <w:r w:rsidRPr="00D34CD1">
        <w:t>Farmakoterapinė grupė: bisfosfonata</w:t>
      </w:r>
      <w:r>
        <w:t xml:space="preserve">i, </w:t>
      </w:r>
      <w:r w:rsidRPr="00D34CD1">
        <w:t>ATC kodas: M05 BA07.</w:t>
      </w:r>
    </w:p>
    <w:p w14:paraId="33612E45" w14:textId="77777777" w:rsidR="009A78C3" w:rsidRPr="00D34CD1" w:rsidRDefault="009A78C3" w:rsidP="009A78C3"/>
    <w:p w14:paraId="3238E33C" w14:textId="77777777" w:rsidR="009A78C3" w:rsidRPr="00D34CD1" w:rsidRDefault="009A78C3" w:rsidP="009A78C3">
      <w:r w:rsidRPr="00D34CD1">
        <w:t xml:space="preserve">Natrio rizedronatas yra piridinilo bisfosfonatas, kuris jungiasi su kaulų hidroksiapatitais ir osteoklastų pagalba slopina kaulų rezorbciją. Sumažėja metabolizmas, o osteoblastų aktyvumas ir kaulų mineralizavimas išlieka nepakitęs. Ikiklinikiniuose tyrimuose natrio rizedronatas žymiai slopino osteoklastus ir kaulų rezorbciją bei priklausomai nuo dozės didino kaulų masę ir griaučių biomechaninį atsparumą. Natrio rizedronato veikimas patvirtintas kaulų apykaitos biocheminiais rodikliais farmakodinaminių ir klinikinių tyrimų metu. Moterų po menopauzės tyrimuose kaulų apykaitos biocheminių žymenų koncentracija sumažėjo po 1 mėnesio, o maksimalus veikimas pastebėtas po 3-6 mėnesių. Kaulų apykaitos biocheminių žymenų koncentracijos sumažėjimas po 12 mėnesių natrio rizedronato vartojimo buvo panašus  ir  vartojant  35 mg dozėmis vieną kartą per savaitę ir po 5 mg  per parą. </w:t>
      </w:r>
    </w:p>
    <w:p w14:paraId="4B724A4A" w14:textId="77777777" w:rsidR="009A78C3" w:rsidRPr="00D34CD1" w:rsidRDefault="009A78C3" w:rsidP="009A78C3">
      <w:r w:rsidRPr="00D34CD1">
        <w:t xml:space="preserve">Osteoporoze sergančių vyrų tyrimuose kaulų apykaitos biocheminių žymenų koncentracija pradėjo mažėti ne anksčiau kaip po 3 mėnesių ir mažėjo toliau po 24 mėnesių. </w:t>
      </w:r>
    </w:p>
    <w:p w14:paraId="7A98DC62" w14:textId="77777777" w:rsidR="009A78C3" w:rsidRPr="00D34CD1" w:rsidRDefault="009A78C3" w:rsidP="009A78C3"/>
    <w:p w14:paraId="554BA432" w14:textId="77777777" w:rsidR="009A78C3" w:rsidRPr="00D34CD1" w:rsidRDefault="009A78C3" w:rsidP="009A78C3">
      <w:r w:rsidRPr="00D34CD1">
        <w:rPr>
          <w:i/>
          <w:iCs/>
        </w:rPr>
        <w:t>Osteoporozės po menopauzės gydymas</w:t>
      </w:r>
    </w:p>
    <w:p w14:paraId="51E6F119" w14:textId="77777777" w:rsidR="009A78C3" w:rsidRPr="00D34CD1" w:rsidRDefault="009A78C3" w:rsidP="009A78C3">
      <w:pPr>
        <w:pStyle w:val="Pagrindiniotekstotrauka"/>
        <w:spacing w:after="0"/>
        <w:ind w:left="0"/>
      </w:pPr>
      <w:r w:rsidRPr="00D34CD1">
        <w:t>Osteoporozės po menopauzės rizikos faktoriai yra šie: maža kaulų masė, mažas kaulų mineralinis tankis, ankstyva menopauzė, rūkymas ir šeiminė osteoporozės anamnezė. Osteoporozės klinikinė pasekmė yra kaulų lūžiai. Kaulų lūžių dėl osteoporozės rizika didėja didėjant rizikos faktorių skaičiui.</w:t>
      </w:r>
    </w:p>
    <w:p w14:paraId="23BC2B3E" w14:textId="77777777" w:rsidR="009A78C3" w:rsidRPr="00D34CD1" w:rsidRDefault="009A78C3" w:rsidP="009A78C3"/>
    <w:p w14:paraId="04D3B73A" w14:textId="77777777" w:rsidR="009A78C3" w:rsidRPr="00D34CD1" w:rsidRDefault="009A78C3" w:rsidP="009A78C3">
      <w:r w:rsidRPr="00D34CD1">
        <w:t>Vienerių metų trukmės, keliuose centruose atlikto, dvigubai aklo tyrimo, kuriame dalyvavo osteoporoze sergančios moterys po menopauzės, metu buvo tiriami vidutiniai juosmeninių slankstelių mineralinio tankio pokyčiai. Nustatyta, kad vartojimas dozėmis - 35 mg vieną kartą per savaitę</w:t>
      </w:r>
      <w:r>
        <w:t xml:space="preserve"> </w:t>
      </w:r>
      <w:r w:rsidRPr="002E17BE">
        <w:t xml:space="preserve">(n=485) </w:t>
      </w:r>
      <w:r w:rsidRPr="00D34CD1">
        <w:t xml:space="preserve"> , buvo taip pat efektyvus kaip ir po 5 mg vieną kartą per parą</w:t>
      </w:r>
      <w:r>
        <w:t xml:space="preserve"> </w:t>
      </w:r>
      <w:r w:rsidRPr="002E17BE">
        <w:t>(n=480)</w:t>
      </w:r>
      <w:r w:rsidRPr="00D34CD1">
        <w:t xml:space="preserve"> . Klinikinių tyrimų programoje, kurios tikslas buvo natrio rizedronato, vartojamo vieną kartą per parą, įtakos klubo sąnario ir slankstelių lūžių rizikai įvertinimas, dalyvavo moterys ankstyvame ir vėlyvame laikotarpyje po menopauzės su kaulų lūžiais ir be jų. Šiuose tyrimuose buvo vartojamos 2,5 mg ir 5 mg paros dozės, o visos grupės, įskaitant kontrolines grupes, vartojo kalcį ir vitaminą D (jeigu koncentracijos prieš preparato davimą buvo žemos). Naujų klubo sąnarių kaulų ir stuburo slankstelių lūžių absoliuti ir santykinė rizika buvo vertinama analizuojant, kiek laiko praėjo iki pirmo lūžio.</w:t>
      </w:r>
    </w:p>
    <w:p w14:paraId="4928ED68" w14:textId="77777777" w:rsidR="009A78C3" w:rsidRPr="00D34CD1" w:rsidRDefault="009A78C3" w:rsidP="009A78C3">
      <w:pPr>
        <w:widowControl w:val="0"/>
        <w:numPr>
          <w:ilvl w:val="0"/>
          <w:numId w:val="5"/>
        </w:numPr>
        <w:suppressAutoHyphens/>
        <w:ind w:left="0" w:firstLine="0"/>
      </w:pPr>
      <w:r w:rsidRPr="00D34CD1">
        <w:t>Dvejuose placebo kontroliuojamuose tyrimuose</w:t>
      </w:r>
      <w:r>
        <w:t xml:space="preserve"> </w:t>
      </w:r>
      <w:r w:rsidRPr="007D7201">
        <w:t xml:space="preserve">(n=3661) </w:t>
      </w:r>
      <w:r w:rsidRPr="00D34CD1">
        <w:t xml:space="preserve"> dalyvavo moterys po menopauzės, jaunesnės negu 85 metų,  patyrusios slankstelių lūžius. Natrio rizedronatas, vartojamas 3 metus po 5 mg per parą, sumažino naujų slankstelių lūžių riziką, lyginant su kontroline grupe. Moterims, patyrusioms  2 arba bent 1 slankstelio lūžį, naujo lūžio rizika sumažėjo atitinkamai 49% ir 41% (natrio rizedronatu gydytose grupėse naujų slankstelių lūžių buvo atitinkamai 18,1% ir 11,3%, o placebo gavusių grupėse – atitinkamai 29,0% ir 16,3%). Gydymo efektyvumas buvo pastebimas jau pirmų gydymo metų pabaigoje. Taip pat buvo įrodytas efektyvumas moterims, kurioms slankstelių kaulai kelis kartus buvo lūžę prieš  pradedant gydymą. Vartojant natrio rizedronato 5 mg paros dozę, sulėtėjo pacienčių ūgio mažėjimas per metus lyginant su kontroline grupe. </w:t>
      </w:r>
    </w:p>
    <w:p w14:paraId="4228979B" w14:textId="77777777" w:rsidR="009A78C3" w:rsidRPr="00D34CD1" w:rsidRDefault="009A78C3" w:rsidP="009A78C3">
      <w:pPr>
        <w:widowControl w:val="0"/>
        <w:numPr>
          <w:ilvl w:val="0"/>
          <w:numId w:val="5"/>
        </w:numPr>
        <w:tabs>
          <w:tab w:val="clear" w:pos="720"/>
        </w:tabs>
        <w:suppressAutoHyphens/>
        <w:ind w:left="0" w:firstLine="0"/>
      </w:pPr>
      <w:r w:rsidRPr="00D34CD1">
        <w:t>Kituose dvejuose placebo kontroliuojamuose tyrimuose dalyvavo vyresnės nei 70 metų moterys po menopauzės, kurioms buvo slankstelių lūžių ir kurioms kaulai nebuvo lūžę. Į tyrimą buvo įtraukiamos 70-79 metų moterys, kurių šlaunikaulio kaklelio kaulų mineralinio tankio T lygmuo (ang. T-score) buvo mažesnis negu  –3 standartinio nuokrypio (naudojant NHANES III</w:t>
      </w:r>
      <w:r w:rsidRPr="00D34CD1">
        <w:rPr>
          <w:vertAlign w:val="superscript"/>
        </w:rPr>
        <w:t>*</w:t>
      </w:r>
      <w:r w:rsidRPr="00D34CD1">
        <w:t xml:space="preserve">, gamintojo nustatyta riba yra –2,5 standartinio nuokrypio) ir turėjo nors vieną papildomą rizikos faktorių. 80 metų ir vyresnės moterys galėjo būti įtrauktos į tyrimą, jeigu turėjo nors vieną ne su kaulais susijusį klubo sąnario kaulų lūžio rizikos faktorių arba  žemą šlaunikaulio kaklelio KMT. Natrio rizedronato efektyvumo palyginimas su placebo yra statistiškai patikimas tik tuomet, kai iš abiejų tiriamų grupių (2,5 mg ir 5 mg) sudaroma viena. Žemiau pateikiami rezultatai, remiantis tik pogrupių tolimesne </w:t>
      </w:r>
      <w:r w:rsidRPr="00D34CD1">
        <w:rPr>
          <w:i/>
          <w:iCs/>
        </w:rPr>
        <w:t>(a-posteriori)</w:t>
      </w:r>
      <w:r w:rsidRPr="00D34CD1">
        <w:t xml:space="preserve"> analize pagal osteoporozės klinikinius simptomus ir galiojančius apibrėžimus:</w:t>
      </w:r>
    </w:p>
    <w:p w14:paraId="2A4CF392" w14:textId="77777777" w:rsidR="009A78C3" w:rsidRPr="00D34CD1" w:rsidRDefault="009A78C3" w:rsidP="009A78C3">
      <w:pPr>
        <w:widowControl w:val="0"/>
        <w:numPr>
          <w:ilvl w:val="0"/>
          <w:numId w:val="5"/>
        </w:numPr>
        <w:suppressAutoHyphens/>
        <w:ind w:left="0" w:firstLine="0"/>
      </w:pPr>
      <w:r w:rsidRPr="00D34CD1">
        <w:t xml:space="preserve">Pacienčių, kurių šlaunikaulio kaulų mineralinio tankio lygmuo &lt;-2,5 SD (pagal NHANES III) ir prieš preparato vartojimą buvo nors vienas slankstelio lūžis, pogrupyje po 3 natrio rizedronato vartojimo metų šlaunikaulio lūžio rizika sumažėjo 46% lyginant su kontroline grupe (klubo sąnario </w:t>
      </w:r>
      <w:r w:rsidRPr="00D34CD1">
        <w:lastRenderedPageBreak/>
        <w:t>kaulo lūžis natrio rizedronato 2,5 mg ir 5 mg jungtinėje grupėje įvyko 3,8%, o placebo vartojusių grupėje – 7,4%);</w:t>
      </w:r>
    </w:p>
    <w:p w14:paraId="6528EED8" w14:textId="77777777" w:rsidR="009A78C3" w:rsidRPr="00D34CD1" w:rsidRDefault="009A78C3" w:rsidP="009A78C3">
      <w:pPr>
        <w:widowControl w:val="0"/>
        <w:numPr>
          <w:ilvl w:val="0"/>
          <w:numId w:val="5"/>
        </w:numPr>
        <w:suppressAutoHyphens/>
        <w:ind w:left="0" w:firstLine="0"/>
      </w:pPr>
      <w:r w:rsidRPr="00D34CD1">
        <w:t xml:space="preserve">Tyrimai rodo, kad pas labai pagyvenusius asmenis (&gt; 80 metų) galima labiau tikėtis mažesnio nei pateiktas profilaktinio veikimo. Taip gali įvykti dėl su amžiumi didėjančios šlaunikaulio lūžio ne nuo kaulų priklausančių rizikos faktorių reikšmės. </w:t>
      </w:r>
    </w:p>
    <w:p w14:paraId="6E5FC742" w14:textId="77777777" w:rsidR="009A78C3" w:rsidRPr="00D34CD1" w:rsidRDefault="009A78C3" w:rsidP="009A78C3">
      <w:r w:rsidRPr="00D34CD1">
        <w:t>Šių tyrimų antrinių galutinių taškų analizė parodė, kad naujo stuburo slankstelių lūžio rizika sumažėja toje grupėje pacienčių, kurių šlaunikaulio kaulų mineralinis tankis (KMT) yra žemas ir kurioms stuburas nebuvo lūžęs, bei grupėje pacienčių, kurių kaulų mineralinio tankio indeksas yra žemas ir kurioms stuburas buvo arba nebuvo lūžęs.</w:t>
      </w:r>
    </w:p>
    <w:p w14:paraId="6B6C134E" w14:textId="77777777" w:rsidR="009A78C3" w:rsidRPr="00D34CD1" w:rsidRDefault="009A78C3" w:rsidP="009A78C3">
      <w:pPr>
        <w:widowControl w:val="0"/>
        <w:numPr>
          <w:ilvl w:val="0"/>
          <w:numId w:val="5"/>
        </w:numPr>
        <w:suppressAutoHyphens/>
        <w:ind w:left="0" w:firstLine="0"/>
      </w:pPr>
      <w:r w:rsidRPr="00D34CD1">
        <w:t xml:space="preserve">3 metus kasdien vartojami 5 mg natrio rizedronato, didina stuburo juosmeninės dalies, šlaunikaulio kaklelio, šlaunikaulio gūbrio, riešo kaulų mineralinį tankį (KMT) ir užkerta kelią stipinkaulio kaulų masės sumažėjimui. </w:t>
      </w:r>
    </w:p>
    <w:p w14:paraId="2C2D7992" w14:textId="77777777" w:rsidR="009A78C3" w:rsidRPr="00D34CD1" w:rsidRDefault="009A78C3" w:rsidP="009A78C3">
      <w:pPr>
        <w:widowControl w:val="0"/>
        <w:numPr>
          <w:ilvl w:val="0"/>
          <w:numId w:val="5"/>
        </w:numPr>
        <w:suppressAutoHyphens/>
        <w:ind w:left="0" w:firstLine="0"/>
      </w:pPr>
      <w:r w:rsidRPr="00D34CD1">
        <w:t>Metus trukusio pacienčių, kurioms buvo baigtas tris metus trukęs gydymas 5 mg natrio rizedronato paros doze, stebėjimo metu nustatyta, kad mažėjantis natrio rizedronato veikimas greitai paveikė kaulų metabolizmą.</w:t>
      </w:r>
    </w:p>
    <w:p w14:paraId="679D8E9C" w14:textId="77777777" w:rsidR="009A78C3" w:rsidRPr="00D34CD1" w:rsidRDefault="009A78C3" w:rsidP="009A78C3">
      <w:pPr>
        <w:widowControl w:val="0"/>
        <w:numPr>
          <w:ilvl w:val="0"/>
          <w:numId w:val="5"/>
        </w:numPr>
        <w:suppressAutoHyphens/>
        <w:ind w:left="0" w:firstLine="0"/>
      </w:pPr>
      <w:r w:rsidRPr="00D34CD1">
        <w:t>Atliekant moterų po menopauzės, kurios buvo gydytos natrio rizedronato 5 mg paros doze dvejus arba trejus metus, kaulinio audinio biopsija patvirtino nežymiai sumažėjusį kaulų apykaitos  greitį. Gydymo natrio rizedronatu metu susidariusio kaulo struktūra ir mineralizacija buvo taisyklinga. Šie duomenys ir sumažėjęs osteoporoze sergančių moterų nuo osteoporozės priklausančių kaulų lūžių skaičius rodo, kad vaistas nekenkia kaulo kokybei.</w:t>
      </w:r>
    </w:p>
    <w:p w14:paraId="2274D5D5" w14:textId="77777777" w:rsidR="009A78C3" w:rsidRPr="00D34CD1" w:rsidRDefault="009A78C3" w:rsidP="009A78C3">
      <w:pPr>
        <w:widowControl w:val="0"/>
        <w:numPr>
          <w:ilvl w:val="0"/>
          <w:numId w:val="5"/>
        </w:numPr>
        <w:suppressAutoHyphens/>
        <w:ind w:left="0" w:firstLine="0"/>
      </w:pPr>
      <w:r w:rsidRPr="00D34CD1">
        <w:t>Natrio rizedronatu ir kontrolinėje grupėje atlikti endoskopiniai tyrimai pacientams, kurie skundėsi vidutinio sunkumo ir sunkiais virškinamojo trakto negalavimais, neįrodė, kad didėja skrandžio, dvylikapirštės žarnos arba stemplės opų atsiradimo rizika, susijusi su natrio rizedronato vartojimu, nors natrio rizedronatu gydytoje grupėje nedažnai buvo stebimas dvylikapirštės žarnos uždegimas.</w:t>
      </w:r>
    </w:p>
    <w:p w14:paraId="773C1A14" w14:textId="77777777" w:rsidR="009A78C3" w:rsidRPr="00D34CD1" w:rsidRDefault="009A78C3" w:rsidP="009A78C3"/>
    <w:p w14:paraId="57C158F7" w14:textId="77777777" w:rsidR="009A78C3" w:rsidRPr="00D34CD1" w:rsidRDefault="009A78C3" w:rsidP="009A78C3">
      <w:pPr>
        <w:pStyle w:val="Antrat1"/>
        <w:ind w:left="0" w:firstLine="0"/>
        <w:rPr>
          <w:b w:val="0"/>
          <w:bCs w:val="0"/>
          <w:i/>
          <w:iCs/>
          <w:caps w:val="0"/>
          <w:sz w:val="22"/>
          <w:szCs w:val="22"/>
          <w:lang w:val="lt-LT"/>
        </w:rPr>
      </w:pPr>
      <w:r w:rsidRPr="00D34CD1">
        <w:rPr>
          <w:b w:val="0"/>
          <w:bCs w:val="0"/>
          <w:i/>
          <w:iCs/>
          <w:caps w:val="0"/>
          <w:sz w:val="22"/>
          <w:szCs w:val="22"/>
          <w:lang w:val="lt-LT"/>
        </w:rPr>
        <w:tab/>
        <w:t>Vyrų osteoporozės gydymas</w:t>
      </w:r>
    </w:p>
    <w:p w14:paraId="2F7EE48E" w14:textId="77777777" w:rsidR="009A78C3" w:rsidRPr="00D34CD1" w:rsidRDefault="009A78C3" w:rsidP="009A78C3">
      <w:r w:rsidRPr="00D34CD1">
        <w:t>Natrio rizedronatas, vartojamas 35 mg vieną kartą per savaitę, pasižymėjo vyrų (36-84 metų) osteoporozės gydymo efektyvumu du metus trukusio, dvigubai aklo, kontroliuojamo placebo tyrimo metu</w:t>
      </w:r>
      <w:r>
        <w:t xml:space="preserve">, kuriame dalyvavo </w:t>
      </w:r>
      <w:r w:rsidRPr="009B2C76">
        <w:t xml:space="preserve">284 </w:t>
      </w:r>
      <w:r>
        <w:t xml:space="preserve">pacientai (natrio rizedronato </w:t>
      </w:r>
      <w:r w:rsidRPr="009B2C76">
        <w:t>35 mg n= 191)</w:t>
      </w:r>
      <w:r w:rsidRPr="00D34CD1">
        <w:t>.  Visiems pacientams buvo skiriama kalcio ir vitamino D papildų.</w:t>
      </w:r>
    </w:p>
    <w:p w14:paraId="3212F9D9" w14:textId="77777777" w:rsidR="009A78C3" w:rsidRPr="00D34CD1" w:rsidRDefault="009A78C3" w:rsidP="009A78C3"/>
    <w:p w14:paraId="1D07C0A4" w14:textId="77777777" w:rsidR="009A78C3" w:rsidRPr="00D34CD1" w:rsidRDefault="009A78C3" w:rsidP="009A78C3">
      <w:r w:rsidRPr="00D34CD1">
        <w:t>Kaulų mineralinis tankis (KMT) padidėjo praėjus 6 mėnesiams nuo gydymo natrio rizedronatu pradžios. Po dvejų gydymo natrio rizedronato 35 mg vieną kartą per savaite doze metų, stuburo juosmeninės dalies, šlaunikaulio kaklelio, šlaunikaulio gūbrio ir visų klubo sąnario kaulų mineralinis tankis (KMT) lyginant su placebo gavusiųjų grupe didėjo.</w:t>
      </w:r>
    </w:p>
    <w:p w14:paraId="4D762001" w14:textId="77777777" w:rsidR="009A78C3" w:rsidRPr="00D34CD1" w:rsidRDefault="009A78C3" w:rsidP="009A78C3">
      <w:r w:rsidRPr="00D34CD1">
        <w:t xml:space="preserve">Šiame tyrime nuo kaulų lūžių apsaugantis veikimas nebuvo tirtas. </w:t>
      </w:r>
    </w:p>
    <w:p w14:paraId="47B6AAB1" w14:textId="77777777" w:rsidR="009A78C3" w:rsidRPr="00D34CD1" w:rsidRDefault="009A78C3" w:rsidP="009A78C3">
      <w:r w:rsidRPr="00D34CD1">
        <w:t>Natrio rizedronato įtaka kaulams (kaulų mineralinio tankio (KMT) padidėjimas ir kaulų apykaitos biocheminių žymenų koncentracijos sumažėjimas) buvo panaši tyrime dalyvavusių moterų ir vyrų grupėse.</w:t>
      </w:r>
    </w:p>
    <w:p w14:paraId="45BF2A75" w14:textId="77777777" w:rsidR="009A78C3" w:rsidRPr="00D34CD1" w:rsidRDefault="009A78C3" w:rsidP="009A78C3"/>
    <w:p w14:paraId="51CCA265" w14:textId="77777777" w:rsidR="009A78C3" w:rsidRDefault="009A78C3" w:rsidP="009A78C3">
      <w:r w:rsidRPr="00146B89">
        <w:rPr>
          <w:iCs/>
          <w:u w:val="single"/>
        </w:rPr>
        <w:t>Vaikų populiacija</w:t>
      </w:r>
    </w:p>
    <w:p w14:paraId="327ED901" w14:textId="77777777" w:rsidR="009A78C3" w:rsidRPr="00D34CD1" w:rsidRDefault="009A78C3" w:rsidP="009A78C3">
      <w:r w:rsidRPr="00D34CD1">
        <w:t>Natrio rizedronato saugumas ir veiksmingumas buvo tiriamas atliekant 3 metų trukmės tyrimą (vienerių metų trukmės atsitiktinių imčių dvigubai koduotas, placebu kontroliuojamas, daugiacentris lygiagrečių grupių tyrimas, pratęstas 2 metų trukmės atviru gydymu) tarp pediatrinio amžiaus pacientų nuo 4 metų iki nepilnų 16 metų, kuriems diagnozuotas vidutinio sunkumo įgimtas kaulų trapumas (nebaigtinė</w:t>
      </w:r>
      <w:r w:rsidRPr="00D34CD1">
        <w:rPr>
          <w:i/>
          <w:iCs/>
        </w:rPr>
        <w:t xml:space="preserve"> </w:t>
      </w:r>
      <w:r w:rsidRPr="00D34CD1">
        <w:t>osteogenezė). Šio tyrimo metu pacientams, sveriantiems 10-30 kg, buvo skiriama 2.5 mg rizedronato dienos dozė, o pacientams, sveriantiems daugiau kaip 30 kg – 5 mg rizedronato dienos dozė.</w:t>
      </w:r>
    </w:p>
    <w:p w14:paraId="4757CCCF" w14:textId="77777777" w:rsidR="009A78C3" w:rsidRPr="00D34CD1" w:rsidRDefault="009A78C3" w:rsidP="009A78C3"/>
    <w:p w14:paraId="0E590C0D" w14:textId="77777777" w:rsidR="009A78C3" w:rsidRPr="00D34CD1" w:rsidRDefault="009A78C3" w:rsidP="009A78C3">
      <w:r w:rsidRPr="00D34CD1">
        <w:t xml:space="preserve">Pasibaigus tyrimo vienerių metų trukmės randomizuotai dvigubai koduotai, placebo kontroliuojamai fazei, buvo nustatytas statistiškai reikšmingas mineralizacijos tankio stuburo juosmens srityje padidėjimas rizedronato grupėje, lyginant su placebo grupe; tačiau taip pat buvo pastebėtas padidėjęs skaičius pacientų su mažiausiai vienu nauju morfometriniu (nustatytu rentgeno pagalba) slankstelių lūžiu rizedronato grupėje, lyginant su placebo grupe. Vienerių metų trukmės dvigubai koduotos fazės </w:t>
      </w:r>
      <w:r w:rsidRPr="00D34CD1">
        <w:lastRenderedPageBreak/>
        <w:t>metu pacientų, pranešusių apie klinikinius lūžius, procentas rizedronato grupėje buvo 30,9%, o placebo grupėje – 49,0%.</w:t>
      </w:r>
    </w:p>
    <w:p w14:paraId="093002F4" w14:textId="77777777" w:rsidR="009A78C3" w:rsidRPr="00D34CD1" w:rsidRDefault="009A78C3" w:rsidP="009A78C3"/>
    <w:p w14:paraId="11EDEEE9" w14:textId="77777777" w:rsidR="009A78C3" w:rsidRPr="00D34CD1" w:rsidRDefault="009A78C3" w:rsidP="009A78C3">
      <w:r w:rsidRPr="00D34CD1">
        <w:t>Atviro gydymo fazės metu, kai rizedronatas buvo skiriamas visiems pacientams (nuo 12 mėnesio iki 36 mėnesio), apie klinikinius lūžius pranešė 65,3% pacientų, anksčiau buvusių placebo grupėje, ir 52,9% pacientų, anksčiau buvusių rizedronato grupėje. Apibendrinant, rezultatai yra nepakankami pritarti natrio rizedronato skyrimui pediatrinio amžiaus pacientams su vidutinio sunkumo trapių kaulų sindromu.</w:t>
      </w:r>
    </w:p>
    <w:p w14:paraId="6FF310D2" w14:textId="77777777" w:rsidR="009A78C3" w:rsidRPr="00D34CD1" w:rsidRDefault="009A78C3" w:rsidP="009A78C3"/>
    <w:p w14:paraId="5AD9409F" w14:textId="77777777" w:rsidR="009A78C3" w:rsidRPr="00D34CD1" w:rsidRDefault="009A78C3" w:rsidP="009A78C3">
      <w:pPr>
        <w:rPr>
          <w:b/>
          <w:bCs/>
        </w:rPr>
      </w:pPr>
      <w:r w:rsidRPr="00D34CD1">
        <w:rPr>
          <w:b/>
          <w:bCs/>
        </w:rPr>
        <w:t>5.2</w:t>
      </w:r>
      <w:r w:rsidRPr="00D34CD1">
        <w:rPr>
          <w:b/>
          <w:bCs/>
        </w:rPr>
        <w:tab/>
        <w:t xml:space="preserve">Farmakokinetinės savybės </w:t>
      </w:r>
    </w:p>
    <w:p w14:paraId="5B91092C" w14:textId="77777777" w:rsidR="009A78C3" w:rsidRPr="00D34CD1" w:rsidRDefault="009A78C3" w:rsidP="009A78C3">
      <w:pPr>
        <w:rPr>
          <w:i/>
          <w:iCs/>
        </w:rPr>
      </w:pPr>
    </w:p>
    <w:p w14:paraId="6619CF06" w14:textId="77777777" w:rsidR="009A78C3" w:rsidRPr="00F67A4A" w:rsidRDefault="009A78C3" w:rsidP="009A78C3">
      <w:r w:rsidRPr="00146B89">
        <w:rPr>
          <w:iCs/>
          <w:u w:val="single"/>
        </w:rPr>
        <w:t>Absorbcija</w:t>
      </w:r>
      <w:r w:rsidRPr="00F67A4A">
        <w:t xml:space="preserve"> </w:t>
      </w:r>
    </w:p>
    <w:p w14:paraId="0728048E" w14:textId="77777777" w:rsidR="009A78C3" w:rsidRPr="00D34CD1" w:rsidRDefault="009A78C3" w:rsidP="009A78C3">
      <w:r w:rsidRPr="00D34CD1">
        <w:t>Išgertas preparatas gana greitai absorbuojamas (t</w:t>
      </w:r>
      <w:r w:rsidRPr="00D34CD1">
        <w:rPr>
          <w:vertAlign w:val="subscript"/>
        </w:rPr>
        <w:t>max</w:t>
      </w:r>
      <w:r w:rsidRPr="00D34CD1">
        <w:t>~ 1 valanda) ir absorbcijos greitis nepriklauso nuo tyrimuose vartotų dozių (tyrimas davus pavienes dozes nuo 2,5 mg iki 30 mg, tyrimas davus kartotines nuo 2,5 mg  iki 5 mg dozes vieną kartą per parą ir iki 50 mg vieną kartą per savaitę). Vidutinis vienos vaisto tabletės biologinis prieinamumas yra 0,63% ir mažėja, jeigu natrio rizedronatas vartojamas su maistu. Vyrų ir moterų biologinis prieinamumas panašus.</w:t>
      </w:r>
    </w:p>
    <w:p w14:paraId="25437A3A" w14:textId="77777777" w:rsidR="009A78C3" w:rsidRPr="00D34CD1" w:rsidRDefault="009A78C3" w:rsidP="009A78C3"/>
    <w:p w14:paraId="28B4D737" w14:textId="77777777" w:rsidR="009A78C3" w:rsidRPr="00146B89" w:rsidRDefault="009A78C3" w:rsidP="009A78C3">
      <w:pPr>
        <w:rPr>
          <w:u w:val="single"/>
        </w:rPr>
      </w:pPr>
      <w:r w:rsidRPr="00146B89">
        <w:rPr>
          <w:iCs/>
          <w:u w:val="single"/>
        </w:rPr>
        <w:t>Pasiskirstymas</w:t>
      </w:r>
      <w:r w:rsidRPr="00146B89">
        <w:rPr>
          <w:u w:val="single"/>
        </w:rPr>
        <w:t xml:space="preserve"> </w:t>
      </w:r>
    </w:p>
    <w:p w14:paraId="3CB13225" w14:textId="77777777" w:rsidR="009A78C3" w:rsidRPr="00D34CD1" w:rsidRDefault="009A78C3" w:rsidP="009A78C3">
      <w:r w:rsidRPr="00D34CD1">
        <w:t>Žmonėms santykinis pasiskirstymo tūris pusiausvyros būsenoje yra 6,3 l/kg kūno masės. Su plazmos baltymais jungiasi maždaug 24% vaisto.</w:t>
      </w:r>
    </w:p>
    <w:p w14:paraId="74DD951F" w14:textId="77777777" w:rsidR="009A78C3" w:rsidRPr="00D34CD1" w:rsidRDefault="009A78C3" w:rsidP="009A78C3"/>
    <w:p w14:paraId="73AEC4BD" w14:textId="77777777" w:rsidR="009A78C3" w:rsidRPr="00146B89" w:rsidRDefault="009A78C3" w:rsidP="009A78C3">
      <w:pPr>
        <w:rPr>
          <w:u w:val="single"/>
        </w:rPr>
      </w:pPr>
      <w:r>
        <w:rPr>
          <w:iCs/>
          <w:u w:val="single"/>
        </w:rPr>
        <w:t xml:space="preserve">Biotransformacija </w:t>
      </w:r>
    </w:p>
    <w:p w14:paraId="12BE77E1" w14:textId="77777777" w:rsidR="009A78C3" w:rsidRPr="00D34CD1" w:rsidRDefault="009A78C3" w:rsidP="009A78C3">
      <w:r>
        <w:t>N</w:t>
      </w:r>
      <w:r w:rsidRPr="00D34CD1">
        <w:t>ėra duomenų, kad natrio rizedronatas metabolizuojamas žmonių organizme.</w:t>
      </w:r>
    </w:p>
    <w:p w14:paraId="3009B7E6" w14:textId="77777777" w:rsidR="009A78C3" w:rsidRPr="00D34CD1" w:rsidRDefault="009A78C3" w:rsidP="009A78C3"/>
    <w:p w14:paraId="7FE0BF21" w14:textId="77777777" w:rsidR="009A78C3" w:rsidRPr="00146B89" w:rsidRDefault="009A78C3" w:rsidP="009A78C3">
      <w:pPr>
        <w:rPr>
          <w:u w:val="single"/>
        </w:rPr>
      </w:pPr>
      <w:r>
        <w:rPr>
          <w:u w:val="single"/>
        </w:rPr>
        <w:t>Eliminacija</w:t>
      </w:r>
    </w:p>
    <w:p w14:paraId="6C114740" w14:textId="77777777" w:rsidR="009A78C3" w:rsidRPr="00D34CD1" w:rsidRDefault="009A78C3" w:rsidP="009A78C3">
      <w:r w:rsidRPr="00D34CD1">
        <w:t>Maždaug pusė absorbuotos dozės per 24 valandas išsiskiria su šlapimu, o, suleidus vaisto į veną, po 28 valandų šlapime randama 85 % dozės. Vidutinis inkstų klirensas yra 105 ml/min, vidutinis bendrasis klirensas – 122 ml/min. Manoma, kad šis skirtumas atsiranda dėl klirenso, susijusio su vaisto patekimu į kaulus. Inkstų klirensas nepriklauso nuo preparato koncentracijos. Tarp inkstų klirenso ir kreatinino klirenso yra linijinė priklausomybė. Neabsorbuota preparato dalis pašalinama su išmatomis. Pavartoto per burną vaisto koncentracijos priklausomybės nuo laiko kreivė atspindi 3 eliminacijos fazes, o galutinis pusinės eliminacijos periodas yra 480 valandų.</w:t>
      </w:r>
    </w:p>
    <w:p w14:paraId="6DE7629A" w14:textId="77777777" w:rsidR="009A78C3" w:rsidRPr="00D34CD1" w:rsidRDefault="009A78C3" w:rsidP="009A78C3">
      <w:pPr>
        <w:rPr>
          <w:b/>
          <w:bCs/>
          <w:i/>
          <w:iCs/>
        </w:rPr>
      </w:pPr>
    </w:p>
    <w:p w14:paraId="60BE8DA1" w14:textId="77777777" w:rsidR="009A78C3" w:rsidRPr="00D34CD1" w:rsidRDefault="009A78C3" w:rsidP="009A78C3">
      <w:pPr>
        <w:rPr>
          <w:b/>
          <w:bCs/>
          <w:i/>
          <w:iCs/>
        </w:rPr>
      </w:pPr>
      <w:r>
        <w:rPr>
          <w:b/>
          <w:bCs/>
          <w:i/>
          <w:iCs/>
        </w:rPr>
        <w:t>Ypatingos populiacijos</w:t>
      </w:r>
      <w:r w:rsidRPr="00D34CD1">
        <w:rPr>
          <w:b/>
          <w:bCs/>
          <w:i/>
          <w:iCs/>
        </w:rPr>
        <w:t>:</w:t>
      </w:r>
    </w:p>
    <w:p w14:paraId="094C31AF" w14:textId="77777777" w:rsidR="009A78C3" w:rsidRPr="00D34CD1" w:rsidRDefault="009A78C3" w:rsidP="009A78C3">
      <w:pPr>
        <w:rPr>
          <w:i/>
          <w:iCs/>
        </w:rPr>
      </w:pPr>
    </w:p>
    <w:p w14:paraId="4B1AB208" w14:textId="77777777" w:rsidR="009A78C3" w:rsidRPr="00D34CD1" w:rsidRDefault="009A78C3" w:rsidP="009A78C3">
      <w:r w:rsidRPr="00D34CD1">
        <w:rPr>
          <w:i/>
          <w:iCs/>
        </w:rPr>
        <w:t>Senyvi pacientai</w:t>
      </w:r>
      <w:r w:rsidRPr="00D34CD1">
        <w:t>: Dozės koreguoti nereikia.</w:t>
      </w:r>
    </w:p>
    <w:p w14:paraId="5A2CC43B" w14:textId="77777777" w:rsidR="009A78C3" w:rsidRPr="00D34CD1" w:rsidRDefault="009A78C3" w:rsidP="009A78C3"/>
    <w:p w14:paraId="0270F7C9" w14:textId="77777777" w:rsidR="009A78C3" w:rsidRPr="00D34CD1" w:rsidRDefault="009A78C3" w:rsidP="009A78C3">
      <w:r w:rsidRPr="00D34CD1">
        <w:rPr>
          <w:i/>
          <w:iCs/>
        </w:rPr>
        <w:t>Acetilsalicilo rūgštį ar kitus NVNU vartojantys pacientai</w:t>
      </w:r>
      <w:r w:rsidRPr="00D34CD1">
        <w:t>: Reguliariai (3 arba daugiau dienų per savaitę) acetilsalicilo rūgštį arba kitus NVNU vartojusių asmenų tarpe, nepageidaujamų viršutinės virškinamojo trakto dalies sutrikimų skaičius natrio rizedronatu gydytų pacientų grupėje ir kontrolinėje grupėje buvo panašus.</w:t>
      </w:r>
    </w:p>
    <w:p w14:paraId="42DE8028" w14:textId="77777777" w:rsidR="009A78C3" w:rsidRPr="00D34CD1" w:rsidRDefault="009A78C3" w:rsidP="009A78C3"/>
    <w:p w14:paraId="6CE769D4" w14:textId="77777777" w:rsidR="009A78C3" w:rsidRPr="00D34CD1" w:rsidRDefault="009A78C3" w:rsidP="009A78C3">
      <w:pPr>
        <w:rPr>
          <w:b/>
          <w:bCs/>
        </w:rPr>
      </w:pPr>
      <w:r w:rsidRPr="00D34CD1">
        <w:rPr>
          <w:b/>
          <w:bCs/>
        </w:rPr>
        <w:t>5.3</w:t>
      </w:r>
      <w:r w:rsidRPr="00D34CD1">
        <w:rPr>
          <w:b/>
          <w:bCs/>
        </w:rPr>
        <w:tab/>
        <w:t>Ikiklinikinių saugos tyrimų duomenys</w:t>
      </w:r>
    </w:p>
    <w:p w14:paraId="04D3DF0F" w14:textId="77777777" w:rsidR="009A78C3" w:rsidRPr="00D34CD1" w:rsidRDefault="009A78C3" w:rsidP="009A78C3">
      <w:pPr>
        <w:rPr>
          <w:b/>
          <w:bCs/>
        </w:rPr>
      </w:pPr>
    </w:p>
    <w:p w14:paraId="4F20EB6F" w14:textId="77777777" w:rsidR="009A78C3" w:rsidRPr="00D34CD1" w:rsidRDefault="009A78C3" w:rsidP="009A78C3">
      <w:pPr>
        <w:autoSpaceDE w:val="0"/>
        <w:autoSpaceDN w:val="0"/>
        <w:adjustRightInd w:val="0"/>
      </w:pPr>
      <w:r w:rsidRPr="00D34CD1">
        <w:t xml:space="preserve">Klinikiniai tyrimai poveikio žiurkėmis ir šunims  parodė nuo dozės priklausomą rizedronato toksiškumą kepenims, visų pirma – padidėjusį kepenų enzimų aktyvumą ir histopatologinius pokyčius žiurkių organizme. Klinikinė tų pastebėjimų reikšmė nežinoma. Žiurkėms ir šunims, gavusiems dideles preparato dozes, viršijančias žmonių gydymui taikomas normas, buvo nustatytas sėklidžių pažeidimas. Priklausomai nuo preparato dozės, pastebėti dažni žiurkių viršutinių kvėpavimo takų sudirgimo atvejai. Panašūs simptomai buvo stebimi ir naudojant kitus bisfosfonatus. Preparato poveikio žiurkėms ilgalaikio tyrimo  metu buvo pastebėti ir  poveikio  apatiniams kvėpavimo takams simptomai, nors klinikinė šio poveikio reikšmė neaiški. Poveikio vaisingumui tyrimų  metu buvo nustatytas didesnis nepakankamo žiurkių vaisiaus kaulų formavimosi dažnumas bei hipokalcemija ir padidėjęs vaikingų žiurkių patelių mirtingumas. Nenustatyta teratogeninio poveikio žiurkėms, kurioms buvo taikomos preparato dozės - 3,2 mg/kg per parą, ir triušiams, gavusiems 10 mg/kg preparato per parą, tačiau duomenys paremti nedidelės triušių grupės tyrimais. Didesnės dozės nebuvo tiriamos dėl </w:t>
      </w:r>
      <w:r w:rsidRPr="00D34CD1">
        <w:lastRenderedPageBreak/>
        <w:t xml:space="preserve">jų toksiškumo motinos organizmui. Genotoksiškumo ir kancerogeniškumo tyrimai nenustatė ypatingo pavojaus žmogaus organizmui. </w:t>
      </w:r>
    </w:p>
    <w:p w14:paraId="3CF4E8E0" w14:textId="77777777" w:rsidR="009A78C3" w:rsidRPr="00D34CD1" w:rsidRDefault="009A78C3" w:rsidP="009A78C3">
      <w:pPr>
        <w:rPr>
          <w:b/>
          <w:bCs/>
        </w:rPr>
      </w:pPr>
    </w:p>
    <w:p w14:paraId="1A96B444" w14:textId="77777777" w:rsidR="009A78C3" w:rsidRPr="00D34CD1" w:rsidRDefault="009A78C3" w:rsidP="009A78C3">
      <w:pPr>
        <w:rPr>
          <w:b/>
          <w:bCs/>
        </w:rPr>
      </w:pPr>
    </w:p>
    <w:p w14:paraId="228E54D8" w14:textId="77777777" w:rsidR="009A78C3" w:rsidRPr="00D34CD1" w:rsidRDefault="009A78C3" w:rsidP="009A78C3">
      <w:pPr>
        <w:widowControl w:val="0"/>
        <w:numPr>
          <w:ilvl w:val="0"/>
          <w:numId w:val="4"/>
        </w:numPr>
        <w:suppressAutoHyphens/>
        <w:rPr>
          <w:b/>
          <w:bCs/>
        </w:rPr>
      </w:pPr>
      <w:r w:rsidRPr="00D34CD1">
        <w:rPr>
          <w:b/>
          <w:bCs/>
        </w:rPr>
        <w:t>FARMACINĖ INFORMACIJA</w:t>
      </w:r>
    </w:p>
    <w:p w14:paraId="4959A887" w14:textId="77777777" w:rsidR="009A78C3" w:rsidRPr="00D34CD1" w:rsidRDefault="009A78C3" w:rsidP="009A78C3">
      <w:pPr>
        <w:rPr>
          <w:b/>
          <w:bCs/>
        </w:rPr>
      </w:pPr>
    </w:p>
    <w:p w14:paraId="0FA31684" w14:textId="77777777" w:rsidR="009A78C3" w:rsidRPr="00D34CD1" w:rsidRDefault="009A78C3" w:rsidP="009A78C3">
      <w:pPr>
        <w:rPr>
          <w:b/>
          <w:bCs/>
        </w:rPr>
      </w:pPr>
      <w:r w:rsidRPr="00D34CD1">
        <w:rPr>
          <w:b/>
          <w:bCs/>
        </w:rPr>
        <w:t>6.1 Pagalbinių medžiagų sąrašas</w:t>
      </w:r>
    </w:p>
    <w:p w14:paraId="7EA386C3" w14:textId="77777777" w:rsidR="009A78C3" w:rsidRPr="00D34CD1" w:rsidRDefault="009A78C3" w:rsidP="009A78C3">
      <w:pPr>
        <w:rPr>
          <w:i/>
          <w:iCs/>
        </w:rPr>
      </w:pPr>
    </w:p>
    <w:p w14:paraId="6275EB9C" w14:textId="77777777" w:rsidR="009A78C3" w:rsidRPr="00D34CD1" w:rsidRDefault="009A78C3" w:rsidP="009A78C3">
      <w:r w:rsidRPr="00D34CD1">
        <w:rPr>
          <w:i/>
          <w:iCs/>
        </w:rPr>
        <w:t>Tabletės branduolys</w:t>
      </w:r>
      <w:r w:rsidRPr="00D34CD1">
        <w:t xml:space="preserve">: </w:t>
      </w:r>
    </w:p>
    <w:p w14:paraId="60DCBAC7" w14:textId="77777777" w:rsidR="009A78C3" w:rsidRPr="00D34CD1" w:rsidRDefault="009A78C3" w:rsidP="009A78C3">
      <w:r w:rsidRPr="00D34CD1">
        <w:t>Laktozė monohidratas</w:t>
      </w:r>
    </w:p>
    <w:p w14:paraId="0EF64ED8" w14:textId="77777777" w:rsidR="009A78C3" w:rsidRPr="00D34CD1" w:rsidRDefault="009A78C3" w:rsidP="009A78C3">
      <w:r w:rsidRPr="00D34CD1">
        <w:t>Mikrokristalinė celiuliozė</w:t>
      </w:r>
    </w:p>
    <w:p w14:paraId="1A3B7330" w14:textId="77777777" w:rsidR="009A78C3" w:rsidRPr="00D34CD1" w:rsidRDefault="009A78C3" w:rsidP="009A78C3">
      <w:r w:rsidRPr="00D34CD1">
        <w:t>Krospovidonas</w:t>
      </w:r>
    </w:p>
    <w:p w14:paraId="75BEAD2F" w14:textId="77777777" w:rsidR="009A78C3" w:rsidRPr="00D34CD1" w:rsidRDefault="009A78C3" w:rsidP="009A78C3">
      <w:r w:rsidRPr="00D34CD1">
        <w:t>Magnio stearatas</w:t>
      </w:r>
    </w:p>
    <w:p w14:paraId="2F06DF7C" w14:textId="77777777" w:rsidR="009A78C3" w:rsidRDefault="009A78C3" w:rsidP="009A78C3">
      <w:pPr>
        <w:autoSpaceDE w:val="0"/>
        <w:autoSpaceDN w:val="0"/>
        <w:adjustRightInd w:val="0"/>
        <w:jc w:val="both"/>
        <w:rPr>
          <w:i/>
          <w:iCs/>
        </w:rPr>
      </w:pPr>
    </w:p>
    <w:p w14:paraId="35B851D1" w14:textId="77777777" w:rsidR="009A78C3" w:rsidRPr="00D34CD1" w:rsidRDefault="009A78C3" w:rsidP="009A78C3">
      <w:pPr>
        <w:autoSpaceDE w:val="0"/>
        <w:autoSpaceDN w:val="0"/>
        <w:adjustRightInd w:val="0"/>
        <w:jc w:val="both"/>
      </w:pPr>
      <w:r w:rsidRPr="00D34CD1">
        <w:rPr>
          <w:i/>
          <w:iCs/>
        </w:rPr>
        <w:t>Tabletės plėvelė</w:t>
      </w:r>
      <w:r w:rsidRPr="00D34CD1">
        <w:t xml:space="preserve">: </w:t>
      </w:r>
    </w:p>
    <w:p w14:paraId="7B279A7C" w14:textId="77777777" w:rsidR="009A78C3" w:rsidRPr="00D34CD1" w:rsidRDefault="009A78C3" w:rsidP="009A78C3">
      <w:pPr>
        <w:autoSpaceDE w:val="0"/>
        <w:autoSpaceDN w:val="0"/>
        <w:adjustRightInd w:val="0"/>
        <w:jc w:val="both"/>
      </w:pPr>
      <w:r w:rsidRPr="00D34CD1">
        <w:t xml:space="preserve">Geltonasis geležies oksidas </w:t>
      </w:r>
      <w:r>
        <w:t>(E 172)</w:t>
      </w:r>
    </w:p>
    <w:p w14:paraId="395E85E7" w14:textId="77777777" w:rsidR="009A78C3" w:rsidRPr="00D34CD1" w:rsidRDefault="009A78C3" w:rsidP="009A78C3">
      <w:pPr>
        <w:autoSpaceDE w:val="0"/>
        <w:autoSpaceDN w:val="0"/>
        <w:adjustRightInd w:val="0"/>
        <w:jc w:val="both"/>
      </w:pPr>
      <w:r w:rsidRPr="00D34CD1">
        <w:t>Raudonasis geležies oksidas</w:t>
      </w:r>
      <w:r>
        <w:t xml:space="preserve"> (E 172)</w:t>
      </w:r>
    </w:p>
    <w:p w14:paraId="7A43B652" w14:textId="77777777" w:rsidR="009A78C3" w:rsidRPr="00D34CD1" w:rsidRDefault="009A78C3" w:rsidP="009A78C3">
      <w:pPr>
        <w:autoSpaceDE w:val="0"/>
        <w:autoSpaceDN w:val="0"/>
        <w:adjustRightInd w:val="0"/>
        <w:jc w:val="both"/>
      </w:pPr>
      <w:r w:rsidRPr="00D34CD1">
        <w:t>Hipromeliozė</w:t>
      </w:r>
    </w:p>
    <w:p w14:paraId="12B66BF7" w14:textId="77777777" w:rsidR="009A78C3" w:rsidRPr="00D34CD1" w:rsidRDefault="009A78C3" w:rsidP="009A78C3">
      <w:pPr>
        <w:autoSpaceDE w:val="0"/>
        <w:autoSpaceDN w:val="0"/>
        <w:adjustRightInd w:val="0"/>
        <w:jc w:val="both"/>
      </w:pPr>
      <w:r w:rsidRPr="00D34CD1">
        <w:t>Hidroksipropilceliuliozė</w:t>
      </w:r>
    </w:p>
    <w:p w14:paraId="7B58A616" w14:textId="77777777" w:rsidR="009A78C3" w:rsidRPr="00D34CD1" w:rsidRDefault="009A78C3" w:rsidP="009A78C3">
      <w:pPr>
        <w:autoSpaceDE w:val="0"/>
        <w:autoSpaceDN w:val="0"/>
        <w:adjustRightInd w:val="0"/>
        <w:jc w:val="both"/>
      </w:pPr>
      <w:r w:rsidRPr="00D34CD1">
        <w:t xml:space="preserve">Koloidinis bevandenis silicio dioksidas                                            </w:t>
      </w:r>
    </w:p>
    <w:p w14:paraId="12E8A583" w14:textId="77777777" w:rsidR="009A78C3" w:rsidRPr="00D34CD1" w:rsidRDefault="009A78C3" w:rsidP="009A78C3">
      <w:pPr>
        <w:autoSpaceDE w:val="0"/>
        <w:autoSpaceDN w:val="0"/>
        <w:adjustRightInd w:val="0"/>
        <w:jc w:val="both"/>
      </w:pPr>
      <w:r w:rsidRPr="00D34CD1">
        <w:t>Titano dioksidas</w:t>
      </w:r>
      <w:r>
        <w:t xml:space="preserve"> (E171)</w:t>
      </w:r>
    </w:p>
    <w:p w14:paraId="02224E76" w14:textId="77777777" w:rsidR="009A78C3" w:rsidRPr="00D34CD1" w:rsidRDefault="009A78C3" w:rsidP="009A78C3">
      <w:pPr>
        <w:autoSpaceDE w:val="0"/>
        <w:autoSpaceDN w:val="0"/>
        <w:adjustRightInd w:val="0"/>
        <w:jc w:val="both"/>
      </w:pPr>
      <w:r w:rsidRPr="00D34CD1">
        <w:t>Makrogolis 400</w:t>
      </w:r>
      <w:r w:rsidRPr="00D34CD1">
        <w:tab/>
      </w:r>
    </w:p>
    <w:p w14:paraId="7928BD5C" w14:textId="77777777" w:rsidR="009A78C3" w:rsidRPr="00D34CD1" w:rsidRDefault="009A78C3" w:rsidP="009A78C3">
      <w:pPr>
        <w:tabs>
          <w:tab w:val="left" w:pos="4035"/>
        </w:tabs>
        <w:autoSpaceDE w:val="0"/>
        <w:autoSpaceDN w:val="0"/>
        <w:adjustRightInd w:val="0"/>
        <w:jc w:val="both"/>
      </w:pPr>
      <w:r w:rsidRPr="00D34CD1">
        <w:t>Makrogolis 8000</w:t>
      </w:r>
    </w:p>
    <w:p w14:paraId="2AF570FB" w14:textId="77777777" w:rsidR="009A78C3" w:rsidRPr="00D34CD1" w:rsidRDefault="009A78C3" w:rsidP="009A78C3">
      <w:pPr>
        <w:autoSpaceDE w:val="0"/>
        <w:autoSpaceDN w:val="0"/>
        <w:adjustRightInd w:val="0"/>
        <w:jc w:val="both"/>
      </w:pPr>
      <w:r w:rsidRPr="00D34CD1">
        <w:tab/>
      </w:r>
    </w:p>
    <w:p w14:paraId="24FC0FA6" w14:textId="77777777" w:rsidR="009A78C3" w:rsidRPr="00D34CD1" w:rsidRDefault="009A78C3" w:rsidP="009A78C3">
      <w:pPr>
        <w:rPr>
          <w:b/>
          <w:bCs/>
        </w:rPr>
      </w:pPr>
      <w:r w:rsidRPr="00D34CD1">
        <w:rPr>
          <w:b/>
          <w:bCs/>
        </w:rPr>
        <w:t>6.2 Nesuderinamumas</w:t>
      </w:r>
    </w:p>
    <w:p w14:paraId="74F10B33" w14:textId="77777777" w:rsidR="009A78C3" w:rsidRPr="00D34CD1" w:rsidRDefault="009A78C3" w:rsidP="009A78C3"/>
    <w:p w14:paraId="5E4790B2" w14:textId="77777777" w:rsidR="009A78C3" w:rsidRPr="00D34CD1" w:rsidRDefault="009A78C3" w:rsidP="009A78C3">
      <w:r w:rsidRPr="00D34CD1">
        <w:t>Duomenys nebūtini</w:t>
      </w:r>
      <w:r>
        <w:t>.</w:t>
      </w:r>
    </w:p>
    <w:p w14:paraId="7A86EF87" w14:textId="77777777" w:rsidR="009A78C3" w:rsidRPr="00D34CD1" w:rsidRDefault="009A78C3" w:rsidP="009A78C3"/>
    <w:p w14:paraId="259FF958" w14:textId="77777777" w:rsidR="009A78C3" w:rsidRPr="00D34CD1" w:rsidRDefault="009A78C3" w:rsidP="009A78C3">
      <w:pPr>
        <w:rPr>
          <w:b/>
          <w:bCs/>
        </w:rPr>
      </w:pPr>
      <w:r w:rsidRPr="00D34CD1">
        <w:rPr>
          <w:b/>
          <w:bCs/>
        </w:rPr>
        <w:t>6.3 Tinkamumo laikas</w:t>
      </w:r>
    </w:p>
    <w:p w14:paraId="052D5CA5" w14:textId="77777777" w:rsidR="009A78C3" w:rsidRPr="00D34CD1" w:rsidRDefault="009A78C3" w:rsidP="009A78C3"/>
    <w:p w14:paraId="3847D7D8" w14:textId="77777777" w:rsidR="009A78C3" w:rsidRPr="00D34CD1" w:rsidRDefault="009A78C3" w:rsidP="009A78C3">
      <w:r w:rsidRPr="00D34CD1">
        <w:t>3 metai</w:t>
      </w:r>
    </w:p>
    <w:p w14:paraId="37305242" w14:textId="77777777" w:rsidR="009A78C3" w:rsidRPr="00D34CD1" w:rsidRDefault="009A78C3" w:rsidP="009A78C3"/>
    <w:p w14:paraId="53D0912E" w14:textId="77777777" w:rsidR="009A78C3" w:rsidRPr="00D34CD1" w:rsidRDefault="009A78C3" w:rsidP="009A78C3">
      <w:pPr>
        <w:rPr>
          <w:b/>
          <w:bCs/>
        </w:rPr>
      </w:pPr>
      <w:r w:rsidRPr="00D34CD1">
        <w:rPr>
          <w:b/>
          <w:bCs/>
        </w:rPr>
        <w:t>6.4 Specialios laikymo sąlygos</w:t>
      </w:r>
    </w:p>
    <w:p w14:paraId="035E7E70" w14:textId="77777777" w:rsidR="009A78C3" w:rsidRPr="00D34CD1" w:rsidRDefault="009A78C3" w:rsidP="009A78C3"/>
    <w:p w14:paraId="5B25314E" w14:textId="77777777" w:rsidR="009A78C3" w:rsidRPr="00D34CD1" w:rsidRDefault="009A78C3" w:rsidP="009A78C3">
      <w:r w:rsidRPr="00D34CD1">
        <w:t>Šiam vaistiniam preparatui specialių laikymo sąlygų nereikia.</w:t>
      </w:r>
    </w:p>
    <w:p w14:paraId="3CE15407" w14:textId="77777777" w:rsidR="009A78C3" w:rsidRPr="00D34CD1" w:rsidRDefault="009A78C3" w:rsidP="009A78C3"/>
    <w:p w14:paraId="2B617074" w14:textId="77777777" w:rsidR="009A78C3" w:rsidRPr="00D34CD1" w:rsidRDefault="009A78C3" w:rsidP="009A78C3">
      <w:pPr>
        <w:rPr>
          <w:b/>
          <w:bCs/>
        </w:rPr>
      </w:pPr>
      <w:r w:rsidRPr="00D34CD1">
        <w:rPr>
          <w:b/>
          <w:bCs/>
        </w:rPr>
        <w:t xml:space="preserve">6.5 </w:t>
      </w:r>
      <w:r w:rsidRPr="006760D3">
        <w:rPr>
          <w:b/>
        </w:rPr>
        <w:t>Talpyklės pobūdis</w:t>
      </w:r>
      <w:r w:rsidRPr="00D34CD1">
        <w:rPr>
          <w:b/>
          <w:bCs/>
        </w:rPr>
        <w:t xml:space="preserve"> ir jos turinys</w:t>
      </w:r>
    </w:p>
    <w:p w14:paraId="5423D8CC" w14:textId="77777777" w:rsidR="009A78C3" w:rsidRPr="00D34CD1" w:rsidRDefault="009A78C3" w:rsidP="009A78C3"/>
    <w:p w14:paraId="7E40EEF6" w14:textId="77777777" w:rsidR="009A78C3" w:rsidRPr="00D34CD1" w:rsidRDefault="009A78C3" w:rsidP="009A78C3">
      <w:r w:rsidRPr="00D34CD1">
        <w:t>Baltos PVC/PVDC</w:t>
      </w:r>
      <w:r>
        <w:t xml:space="preserve"> laminato</w:t>
      </w:r>
      <w:r w:rsidRPr="00D34CD1">
        <w:t xml:space="preserve"> ir aliuminio folijos lizdinės plokštelės</w:t>
      </w:r>
      <w:r>
        <w:t xml:space="preserve"> kartono dėžutėse</w:t>
      </w:r>
      <w:r w:rsidRPr="00D34CD1">
        <w:t>.</w:t>
      </w:r>
    </w:p>
    <w:p w14:paraId="1C1C3FF1" w14:textId="77777777" w:rsidR="009A78C3" w:rsidRPr="00D34CD1" w:rsidRDefault="009A78C3" w:rsidP="009A78C3">
      <w:r>
        <w:t>Lizdinių plokštelių pakuotėse yra 2, 4 arba 12 tablečių.</w:t>
      </w:r>
    </w:p>
    <w:p w14:paraId="02CDBBAC" w14:textId="77777777" w:rsidR="009A78C3" w:rsidRPr="00D34CD1" w:rsidRDefault="009A78C3" w:rsidP="009A78C3">
      <w:r w:rsidRPr="00D34CD1">
        <w:t>Gali būti tiekiamos ne visų dydžių pakuotės.</w:t>
      </w:r>
    </w:p>
    <w:p w14:paraId="29A57506" w14:textId="77777777" w:rsidR="009A78C3" w:rsidRPr="00D34CD1" w:rsidRDefault="009A78C3" w:rsidP="009A78C3"/>
    <w:p w14:paraId="4B874238" w14:textId="77777777" w:rsidR="009A78C3" w:rsidRPr="00D34CD1" w:rsidRDefault="009A78C3" w:rsidP="009A78C3">
      <w:pPr>
        <w:rPr>
          <w:b/>
          <w:bCs/>
        </w:rPr>
      </w:pPr>
      <w:r w:rsidRPr="00D34CD1">
        <w:rPr>
          <w:b/>
          <w:bCs/>
        </w:rPr>
        <w:t xml:space="preserve">6.6 Specialūs </w:t>
      </w:r>
      <w:r w:rsidRPr="00FC45D2">
        <w:rPr>
          <w:b/>
          <w:bCs/>
        </w:rPr>
        <w:t xml:space="preserve">reikalavimai </w:t>
      </w:r>
      <w:r w:rsidRPr="00146B89">
        <w:rPr>
          <w:b/>
        </w:rPr>
        <w:t>atliekoms tvarkyti</w:t>
      </w:r>
      <w:r w:rsidRPr="00D34CD1">
        <w:t xml:space="preserve"> </w:t>
      </w:r>
    </w:p>
    <w:p w14:paraId="1F04436D" w14:textId="77777777" w:rsidR="009A78C3" w:rsidRPr="00D34CD1" w:rsidRDefault="009A78C3" w:rsidP="009A78C3"/>
    <w:p w14:paraId="019B615A" w14:textId="77777777" w:rsidR="009A78C3" w:rsidRPr="00D34CD1" w:rsidRDefault="009A78C3" w:rsidP="009A78C3">
      <w:r w:rsidRPr="00D34CD1">
        <w:t>Specialių reikalavimų nėra.</w:t>
      </w:r>
    </w:p>
    <w:p w14:paraId="40F26860" w14:textId="77777777" w:rsidR="009A78C3" w:rsidRPr="00D34CD1" w:rsidRDefault="009A78C3" w:rsidP="009A78C3"/>
    <w:p w14:paraId="2E9B0AF0" w14:textId="77777777" w:rsidR="009A78C3" w:rsidRPr="00D34CD1" w:rsidRDefault="009A78C3" w:rsidP="009A78C3"/>
    <w:p w14:paraId="0CFF52E3" w14:textId="77777777" w:rsidR="009A78C3" w:rsidRPr="00D34CD1" w:rsidRDefault="009A78C3" w:rsidP="009A78C3">
      <w:pPr>
        <w:widowControl w:val="0"/>
        <w:numPr>
          <w:ilvl w:val="0"/>
          <w:numId w:val="4"/>
        </w:numPr>
        <w:suppressAutoHyphens/>
        <w:rPr>
          <w:b/>
          <w:bCs/>
        </w:rPr>
      </w:pPr>
      <w:r>
        <w:rPr>
          <w:b/>
          <w:bCs/>
        </w:rPr>
        <w:t>REGISTRUO</w:t>
      </w:r>
      <w:r w:rsidRPr="00D34CD1">
        <w:rPr>
          <w:b/>
          <w:bCs/>
        </w:rPr>
        <w:t>TOJAS</w:t>
      </w:r>
    </w:p>
    <w:p w14:paraId="3A1B7CB2" w14:textId="77777777" w:rsidR="009A78C3" w:rsidRPr="00D34CD1" w:rsidRDefault="009A78C3" w:rsidP="009A78C3">
      <w:pPr>
        <w:ind w:right="70"/>
      </w:pPr>
    </w:p>
    <w:p w14:paraId="4B8B9546" w14:textId="77777777" w:rsidR="009A78C3" w:rsidRPr="00D34CD1" w:rsidRDefault="00830E0B" w:rsidP="009A78C3">
      <w:pPr>
        <w:ind w:right="70"/>
      </w:pPr>
      <w:bookmarkStart w:id="0" w:name="OLE_LINK1"/>
      <w:bookmarkStart w:id="1" w:name="OLE_LINK2"/>
      <w:r>
        <w:t>Adamed Pharma S.A.</w:t>
      </w:r>
    </w:p>
    <w:p w14:paraId="44EA8BC0" w14:textId="77777777" w:rsidR="009A78C3" w:rsidRPr="00D34CD1" w:rsidRDefault="00830E0B" w:rsidP="009A78C3">
      <w:pPr>
        <w:ind w:right="70"/>
      </w:pPr>
      <w:r>
        <w:t>Pieńków, ul. M. Adamkiewicza 6A</w:t>
      </w:r>
    </w:p>
    <w:p w14:paraId="75001F1C" w14:textId="77777777" w:rsidR="009A78C3" w:rsidRPr="00D34CD1" w:rsidRDefault="00830E0B" w:rsidP="009A78C3">
      <w:pPr>
        <w:ind w:right="70"/>
      </w:pPr>
      <w:r>
        <w:t>05-152 Czosnów</w:t>
      </w:r>
    </w:p>
    <w:p w14:paraId="20B677A0" w14:textId="77777777" w:rsidR="009A78C3" w:rsidRPr="00D34CD1" w:rsidRDefault="009A78C3" w:rsidP="009A78C3">
      <w:r w:rsidRPr="00D34CD1">
        <w:t>Lenkija</w:t>
      </w:r>
    </w:p>
    <w:bookmarkEnd w:id="0"/>
    <w:bookmarkEnd w:id="1"/>
    <w:p w14:paraId="1317F1BF" w14:textId="77777777" w:rsidR="009A78C3" w:rsidRDefault="009A78C3" w:rsidP="009A78C3">
      <w:pPr>
        <w:widowControl w:val="0"/>
        <w:suppressAutoHyphens/>
      </w:pPr>
    </w:p>
    <w:p w14:paraId="18A1DDD8" w14:textId="77777777" w:rsidR="009A78C3" w:rsidRPr="00D34CD1" w:rsidRDefault="009A78C3" w:rsidP="009A78C3"/>
    <w:p w14:paraId="14C85674" w14:textId="77777777" w:rsidR="009A78C3" w:rsidRPr="004F100A" w:rsidRDefault="009A78C3" w:rsidP="009A78C3">
      <w:pPr>
        <w:widowControl w:val="0"/>
        <w:numPr>
          <w:ilvl w:val="0"/>
          <w:numId w:val="4"/>
        </w:numPr>
        <w:suppressAutoHyphens/>
        <w:rPr>
          <w:b/>
          <w:bCs/>
        </w:rPr>
      </w:pPr>
      <w:r w:rsidRPr="004F100A">
        <w:rPr>
          <w:b/>
          <w:bCs/>
        </w:rPr>
        <w:t>R</w:t>
      </w:r>
      <w:r w:rsidRPr="004F100A">
        <w:rPr>
          <w:b/>
        </w:rPr>
        <w:t xml:space="preserve">EGISTRACIJOS </w:t>
      </w:r>
      <w:r w:rsidRPr="004F100A">
        <w:rPr>
          <w:b/>
          <w:noProof/>
        </w:rPr>
        <w:t>PAŽYMĖJIMO</w:t>
      </w:r>
      <w:r w:rsidRPr="004F100A">
        <w:rPr>
          <w:b/>
        </w:rPr>
        <w:t xml:space="preserve"> NUMERIS (-IAI)</w:t>
      </w:r>
    </w:p>
    <w:p w14:paraId="64A94F58" w14:textId="77777777" w:rsidR="009A78C3" w:rsidRPr="00D34CD1" w:rsidRDefault="009A78C3" w:rsidP="009A78C3">
      <w:pPr>
        <w:widowControl w:val="0"/>
        <w:suppressAutoHyphens/>
      </w:pPr>
    </w:p>
    <w:p w14:paraId="4E55CD71" w14:textId="77777777" w:rsidR="009A78C3" w:rsidRPr="00D34CD1" w:rsidRDefault="009A78C3" w:rsidP="009A78C3">
      <w:pPr>
        <w:pStyle w:val="BTEMEASMCA"/>
        <w:rPr>
          <w:noProof w:val="0"/>
          <w:sz w:val="22"/>
          <w:szCs w:val="22"/>
        </w:rPr>
      </w:pPr>
      <w:r w:rsidRPr="00D34CD1">
        <w:rPr>
          <w:noProof w:val="0"/>
          <w:sz w:val="22"/>
          <w:szCs w:val="22"/>
        </w:rPr>
        <w:lastRenderedPageBreak/>
        <w:t>N2 – LT/1/08/1398/001</w:t>
      </w:r>
    </w:p>
    <w:p w14:paraId="4CB74629" w14:textId="77777777" w:rsidR="009A78C3" w:rsidRPr="00D34CD1" w:rsidRDefault="009A78C3" w:rsidP="009A78C3">
      <w:pPr>
        <w:pStyle w:val="BTEMEASMCA"/>
        <w:rPr>
          <w:noProof w:val="0"/>
          <w:sz w:val="22"/>
          <w:szCs w:val="22"/>
        </w:rPr>
      </w:pPr>
      <w:r w:rsidRPr="00D34CD1">
        <w:rPr>
          <w:noProof w:val="0"/>
          <w:sz w:val="22"/>
          <w:szCs w:val="22"/>
        </w:rPr>
        <w:t>N4 – LT/1/08/1398/002</w:t>
      </w:r>
    </w:p>
    <w:p w14:paraId="2E0B7221" w14:textId="77777777" w:rsidR="009A78C3" w:rsidRPr="00D34CD1" w:rsidRDefault="009A78C3" w:rsidP="009A78C3">
      <w:pPr>
        <w:pStyle w:val="BTEMEASMCA"/>
        <w:rPr>
          <w:noProof w:val="0"/>
          <w:sz w:val="22"/>
          <w:szCs w:val="22"/>
        </w:rPr>
      </w:pPr>
      <w:r w:rsidRPr="00D34CD1">
        <w:rPr>
          <w:noProof w:val="0"/>
          <w:sz w:val="22"/>
          <w:szCs w:val="22"/>
        </w:rPr>
        <w:t>N12 – LT/1/08/1398/003</w:t>
      </w:r>
    </w:p>
    <w:p w14:paraId="082630A9" w14:textId="77777777" w:rsidR="009A78C3" w:rsidRPr="00D34CD1" w:rsidRDefault="009A78C3" w:rsidP="009A78C3">
      <w:pPr>
        <w:pStyle w:val="BTEMEASMCA"/>
        <w:rPr>
          <w:noProof w:val="0"/>
          <w:sz w:val="22"/>
          <w:szCs w:val="22"/>
        </w:rPr>
      </w:pPr>
    </w:p>
    <w:p w14:paraId="3C25809D" w14:textId="77777777" w:rsidR="009A78C3" w:rsidRPr="00D34CD1" w:rsidRDefault="009A78C3" w:rsidP="009A78C3">
      <w:pPr>
        <w:rPr>
          <w:b/>
          <w:bCs/>
        </w:rPr>
      </w:pPr>
    </w:p>
    <w:p w14:paraId="05C3C9E0" w14:textId="77777777" w:rsidR="009A78C3" w:rsidRPr="00D34CD1" w:rsidRDefault="009A78C3" w:rsidP="009A78C3">
      <w:pPr>
        <w:pStyle w:val="PI-1EMEASMCA"/>
        <w:ind w:left="0" w:firstLine="0"/>
      </w:pPr>
      <w:r w:rsidRPr="00D34CD1">
        <w:t xml:space="preserve">9. </w:t>
      </w:r>
      <w:r>
        <w:t xml:space="preserve">          </w:t>
      </w:r>
      <w:r w:rsidRPr="000A79DC">
        <w:t xml:space="preserve">REGISTRAVIMO / PERREGISTRAVIMO </w:t>
      </w:r>
      <w:r w:rsidRPr="00D34CD1">
        <w:t>DATA</w:t>
      </w:r>
    </w:p>
    <w:p w14:paraId="43244AC0" w14:textId="77777777" w:rsidR="009A78C3" w:rsidRPr="00D34CD1" w:rsidRDefault="009A78C3" w:rsidP="009A78C3">
      <w:pPr>
        <w:pStyle w:val="BTEMEASMCA"/>
        <w:rPr>
          <w:noProof w:val="0"/>
          <w:sz w:val="22"/>
          <w:szCs w:val="22"/>
        </w:rPr>
      </w:pPr>
    </w:p>
    <w:p w14:paraId="62548050" w14:textId="77777777" w:rsidR="009A78C3" w:rsidRPr="00D36425" w:rsidRDefault="009A78C3" w:rsidP="009A78C3">
      <w:pPr>
        <w:rPr>
          <w:rFonts w:eastAsia="Times New Roman"/>
          <w:snapToGrid w:val="0"/>
          <w:szCs w:val="24"/>
        </w:rPr>
      </w:pPr>
      <w:r w:rsidRPr="000A79DC">
        <w:rPr>
          <w:noProof/>
          <w:szCs w:val="24"/>
        </w:rPr>
        <w:t xml:space="preserve">Registravimo data </w:t>
      </w:r>
      <w:r>
        <w:rPr>
          <w:rFonts w:eastAsia="Times New Roman"/>
          <w:noProof/>
          <w:snapToGrid w:val="0"/>
          <w:szCs w:val="24"/>
        </w:rPr>
        <w:t>2008</w:t>
      </w:r>
      <w:r w:rsidRPr="00D36425">
        <w:rPr>
          <w:rFonts w:eastAsia="Times New Roman"/>
          <w:noProof/>
          <w:snapToGrid w:val="0"/>
          <w:szCs w:val="24"/>
        </w:rPr>
        <w:t xml:space="preserve"> m. </w:t>
      </w:r>
      <w:r>
        <w:rPr>
          <w:rFonts w:eastAsia="Times New Roman"/>
          <w:noProof/>
          <w:snapToGrid w:val="0"/>
          <w:szCs w:val="24"/>
        </w:rPr>
        <w:t>gruodžio</w:t>
      </w:r>
      <w:r w:rsidRPr="00D36425">
        <w:rPr>
          <w:rFonts w:eastAsia="Times New Roman"/>
          <w:noProof/>
          <w:snapToGrid w:val="0"/>
          <w:szCs w:val="24"/>
        </w:rPr>
        <w:t xml:space="preserve"> mėn.</w:t>
      </w:r>
      <w:r w:rsidRPr="00D36425">
        <w:rPr>
          <w:rFonts w:eastAsia="Times New Roman"/>
          <w:snapToGrid w:val="0"/>
          <w:szCs w:val="24"/>
        </w:rPr>
        <w:t xml:space="preserve"> </w:t>
      </w:r>
      <w:r>
        <w:rPr>
          <w:rFonts w:eastAsia="Times New Roman"/>
          <w:noProof/>
          <w:snapToGrid w:val="0"/>
          <w:szCs w:val="24"/>
        </w:rPr>
        <w:t>30</w:t>
      </w:r>
      <w:r w:rsidRPr="00D36425">
        <w:rPr>
          <w:rFonts w:eastAsia="Times New Roman"/>
          <w:noProof/>
          <w:snapToGrid w:val="0"/>
          <w:szCs w:val="24"/>
        </w:rPr>
        <w:t> d.</w:t>
      </w:r>
    </w:p>
    <w:p w14:paraId="5ECB71B9" w14:textId="77777777" w:rsidR="009A78C3" w:rsidRPr="00D36425" w:rsidRDefault="009A78C3" w:rsidP="009A78C3">
      <w:pPr>
        <w:rPr>
          <w:rFonts w:eastAsia="Times New Roman"/>
          <w:snapToGrid w:val="0"/>
          <w:szCs w:val="24"/>
        </w:rPr>
      </w:pPr>
      <w:r w:rsidRPr="000A79DC">
        <w:rPr>
          <w:noProof/>
        </w:rPr>
        <w:t xml:space="preserve">Paskutinio </w:t>
      </w:r>
      <w:r w:rsidRPr="000A79DC">
        <w:rPr>
          <w:noProof/>
          <w:szCs w:val="24"/>
        </w:rPr>
        <w:t xml:space="preserve">perregistravimo data </w:t>
      </w:r>
      <w:r>
        <w:rPr>
          <w:snapToGrid w:val="0"/>
          <w:szCs w:val="24"/>
        </w:rPr>
        <w:t>2014 m. gruodžio mėn. 23 d.</w:t>
      </w:r>
    </w:p>
    <w:p w14:paraId="3DD6BF4B" w14:textId="77777777" w:rsidR="009A78C3" w:rsidRPr="00D34CD1" w:rsidRDefault="009A78C3" w:rsidP="009A78C3">
      <w:pPr>
        <w:pStyle w:val="BTEMEASMCA"/>
        <w:rPr>
          <w:noProof w:val="0"/>
          <w:sz w:val="22"/>
          <w:szCs w:val="22"/>
        </w:rPr>
      </w:pPr>
    </w:p>
    <w:p w14:paraId="72756819" w14:textId="77777777" w:rsidR="009A78C3" w:rsidRPr="00D34CD1" w:rsidRDefault="009A78C3" w:rsidP="009A78C3"/>
    <w:p w14:paraId="1D278EB4" w14:textId="5FC6224F" w:rsidR="009A78C3" w:rsidRDefault="009A78C3" w:rsidP="009A78C3">
      <w:pPr>
        <w:widowControl w:val="0"/>
        <w:suppressAutoHyphens/>
        <w:rPr>
          <w:b/>
          <w:bCs/>
        </w:rPr>
      </w:pPr>
      <w:r w:rsidRPr="00D34CD1">
        <w:rPr>
          <w:b/>
          <w:bCs/>
        </w:rPr>
        <w:t xml:space="preserve">10. </w:t>
      </w:r>
      <w:r>
        <w:rPr>
          <w:b/>
          <w:bCs/>
        </w:rPr>
        <w:t xml:space="preserve">         </w:t>
      </w:r>
      <w:r w:rsidRPr="00D34CD1">
        <w:rPr>
          <w:b/>
          <w:bCs/>
        </w:rPr>
        <w:t>TEKSTO PERŽIŪROS DATA</w:t>
      </w:r>
    </w:p>
    <w:p w14:paraId="4F1F2882" w14:textId="26488047" w:rsidR="00BE1634" w:rsidRDefault="00BE1634" w:rsidP="009A78C3">
      <w:pPr>
        <w:widowControl w:val="0"/>
        <w:suppressAutoHyphens/>
        <w:rPr>
          <w:b/>
          <w:bCs/>
        </w:rPr>
      </w:pPr>
    </w:p>
    <w:p w14:paraId="119A608B" w14:textId="73392610" w:rsidR="009A78C3" w:rsidRPr="00D34CD1" w:rsidRDefault="000F4C3A" w:rsidP="009A78C3">
      <w:pPr>
        <w:widowControl w:val="0"/>
        <w:suppressAutoHyphens/>
        <w:rPr>
          <w:b/>
          <w:bCs/>
        </w:rPr>
      </w:pPr>
      <w:r>
        <w:t>2026 m. vasario 20 d.</w:t>
      </w:r>
    </w:p>
    <w:p w14:paraId="59DEBFE1" w14:textId="77777777" w:rsidR="009A78C3" w:rsidRPr="00D34CD1" w:rsidRDefault="009A78C3" w:rsidP="009A78C3">
      <w:pPr>
        <w:widowControl w:val="0"/>
        <w:suppressAutoHyphens/>
        <w:rPr>
          <w:bCs/>
        </w:rPr>
      </w:pPr>
    </w:p>
    <w:p w14:paraId="51740A3B" w14:textId="77777777" w:rsidR="009A78C3" w:rsidRPr="00D34CD1" w:rsidRDefault="009A78C3" w:rsidP="009A78C3">
      <w:pPr>
        <w:pStyle w:val="Pagrindinistekstas"/>
        <w:rPr>
          <w:i w:val="0"/>
          <w:lang w:val="lt-LT"/>
        </w:rPr>
      </w:pPr>
    </w:p>
    <w:p w14:paraId="6BB95E0F" w14:textId="738469C7" w:rsidR="009A78C3" w:rsidRPr="00D36425" w:rsidRDefault="009A78C3" w:rsidP="009A78C3">
      <w:pPr>
        <w:tabs>
          <w:tab w:val="left" w:pos="5954"/>
          <w:tab w:val="left" w:pos="6237"/>
          <w:tab w:val="left" w:pos="6663"/>
          <w:tab w:val="left" w:pos="6946"/>
        </w:tabs>
        <w:rPr>
          <w:rFonts w:eastAsia="SimSun"/>
        </w:rPr>
      </w:pPr>
      <w:r w:rsidRPr="00D36425">
        <w:rPr>
          <w:rFonts w:eastAsia="SimSun"/>
          <w:noProof/>
        </w:rPr>
        <w:t>Išsami informacija apie šį vaistinį preparatą pateikiama Valstybinės vaistų kontrolės tarnybos prie Lietuvos Respublikos  sveikatos apsaugos ministerijos tinklalapyje</w:t>
      </w:r>
      <w:r w:rsidRPr="00D36425">
        <w:rPr>
          <w:rFonts w:eastAsia="SimSun"/>
          <w:i/>
          <w:noProof/>
        </w:rPr>
        <w:t xml:space="preserve"> </w:t>
      </w:r>
      <w:r w:rsidR="000F4C3A">
        <w:rPr>
          <w:color w:val="0000EE"/>
          <w:u w:val="single"/>
          <w:lang w:eastAsia="lt-LT"/>
        </w:rPr>
        <w:t>https://vvkt.lrv.lt/lt/</w:t>
      </w:r>
    </w:p>
    <w:p w14:paraId="415A637B" w14:textId="77777777" w:rsidR="009A78C3" w:rsidRPr="00D36425" w:rsidRDefault="009A78C3" w:rsidP="009A78C3"/>
    <w:p w14:paraId="43A72D3D" w14:textId="77777777" w:rsidR="009A78C3" w:rsidRPr="00D34CD1" w:rsidRDefault="009A78C3" w:rsidP="009A78C3"/>
    <w:p w14:paraId="7F7F68E7" w14:textId="77777777" w:rsidR="009A78C3" w:rsidRPr="00D34CD1" w:rsidRDefault="009A78C3" w:rsidP="009A78C3"/>
    <w:p w14:paraId="55E86DC3" w14:textId="77777777" w:rsidR="009A78C3" w:rsidRDefault="009A78C3" w:rsidP="009A78C3">
      <w:pPr>
        <w:spacing w:after="200" w:line="276" w:lineRule="auto"/>
      </w:pPr>
      <w:r>
        <w:br w:type="page"/>
      </w:r>
    </w:p>
    <w:p w14:paraId="50C7B7D1" w14:textId="77777777" w:rsidR="009A78C3" w:rsidRPr="00D36425" w:rsidRDefault="009A78C3" w:rsidP="009A78C3">
      <w:pPr>
        <w:tabs>
          <w:tab w:val="left" w:pos="567"/>
        </w:tabs>
        <w:spacing w:line="260" w:lineRule="exact"/>
        <w:rPr>
          <w:rFonts w:eastAsia="Times New Roman"/>
          <w:noProof/>
          <w:snapToGrid w:val="0"/>
          <w:szCs w:val="24"/>
        </w:rPr>
      </w:pPr>
    </w:p>
    <w:p w14:paraId="18E3AEEF" w14:textId="77777777" w:rsidR="009A78C3" w:rsidRPr="00D36425" w:rsidRDefault="009A78C3" w:rsidP="009A78C3">
      <w:pPr>
        <w:tabs>
          <w:tab w:val="left" w:pos="567"/>
        </w:tabs>
        <w:spacing w:line="260" w:lineRule="exact"/>
        <w:rPr>
          <w:rFonts w:eastAsia="Times New Roman"/>
          <w:noProof/>
          <w:snapToGrid w:val="0"/>
          <w:szCs w:val="24"/>
        </w:rPr>
      </w:pPr>
    </w:p>
    <w:p w14:paraId="71BAD0C7" w14:textId="77777777" w:rsidR="009A78C3" w:rsidRPr="00D36425" w:rsidRDefault="009A78C3" w:rsidP="009A78C3">
      <w:pPr>
        <w:tabs>
          <w:tab w:val="left" w:pos="567"/>
        </w:tabs>
        <w:spacing w:line="260" w:lineRule="exact"/>
        <w:rPr>
          <w:rFonts w:eastAsia="Times New Roman"/>
          <w:noProof/>
          <w:snapToGrid w:val="0"/>
          <w:szCs w:val="24"/>
        </w:rPr>
      </w:pPr>
    </w:p>
    <w:p w14:paraId="26E846D9" w14:textId="77777777" w:rsidR="009A78C3" w:rsidRPr="00D36425" w:rsidRDefault="009A78C3" w:rsidP="009A78C3">
      <w:pPr>
        <w:tabs>
          <w:tab w:val="left" w:pos="567"/>
        </w:tabs>
        <w:spacing w:line="260" w:lineRule="exact"/>
        <w:rPr>
          <w:rFonts w:eastAsia="Times New Roman"/>
          <w:noProof/>
          <w:snapToGrid w:val="0"/>
          <w:szCs w:val="24"/>
        </w:rPr>
      </w:pPr>
    </w:p>
    <w:p w14:paraId="37F2C3AE" w14:textId="77777777" w:rsidR="009A78C3" w:rsidRPr="00D36425" w:rsidRDefault="009A78C3" w:rsidP="009A78C3">
      <w:pPr>
        <w:tabs>
          <w:tab w:val="left" w:pos="567"/>
        </w:tabs>
        <w:spacing w:line="260" w:lineRule="exact"/>
        <w:rPr>
          <w:rFonts w:eastAsia="Times New Roman"/>
          <w:noProof/>
          <w:snapToGrid w:val="0"/>
          <w:szCs w:val="24"/>
        </w:rPr>
      </w:pPr>
    </w:p>
    <w:p w14:paraId="7749C3AC" w14:textId="77777777" w:rsidR="009A78C3" w:rsidRPr="00D36425" w:rsidRDefault="009A78C3" w:rsidP="009A78C3">
      <w:pPr>
        <w:tabs>
          <w:tab w:val="left" w:pos="567"/>
        </w:tabs>
        <w:spacing w:line="260" w:lineRule="exact"/>
        <w:rPr>
          <w:rFonts w:eastAsia="Times New Roman"/>
          <w:noProof/>
          <w:snapToGrid w:val="0"/>
          <w:szCs w:val="24"/>
        </w:rPr>
      </w:pPr>
    </w:p>
    <w:p w14:paraId="63E4990A" w14:textId="77777777" w:rsidR="009A78C3" w:rsidRPr="00D36425" w:rsidRDefault="009A78C3" w:rsidP="009A78C3">
      <w:pPr>
        <w:tabs>
          <w:tab w:val="left" w:pos="567"/>
        </w:tabs>
        <w:spacing w:line="260" w:lineRule="exact"/>
        <w:rPr>
          <w:rFonts w:eastAsia="Times New Roman"/>
          <w:noProof/>
          <w:snapToGrid w:val="0"/>
          <w:szCs w:val="24"/>
        </w:rPr>
      </w:pPr>
    </w:p>
    <w:p w14:paraId="53D002B4" w14:textId="77777777" w:rsidR="009A78C3" w:rsidRPr="00D36425" w:rsidRDefault="009A78C3" w:rsidP="009A78C3">
      <w:pPr>
        <w:tabs>
          <w:tab w:val="left" w:pos="567"/>
        </w:tabs>
        <w:spacing w:line="260" w:lineRule="exact"/>
        <w:rPr>
          <w:rFonts w:eastAsia="Times New Roman"/>
          <w:noProof/>
          <w:snapToGrid w:val="0"/>
          <w:szCs w:val="24"/>
        </w:rPr>
      </w:pPr>
    </w:p>
    <w:p w14:paraId="6E0486B5" w14:textId="77777777" w:rsidR="009A78C3" w:rsidRPr="00D36425" w:rsidRDefault="009A78C3" w:rsidP="009A78C3">
      <w:pPr>
        <w:tabs>
          <w:tab w:val="left" w:pos="567"/>
        </w:tabs>
        <w:spacing w:line="260" w:lineRule="exact"/>
        <w:rPr>
          <w:rFonts w:eastAsia="Times New Roman"/>
          <w:noProof/>
          <w:snapToGrid w:val="0"/>
          <w:szCs w:val="24"/>
        </w:rPr>
      </w:pPr>
    </w:p>
    <w:p w14:paraId="3EB0CD5B" w14:textId="77777777" w:rsidR="009A78C3" w:rsidRPr="00D36425" w:rsidRDefault="009A78C3" w:rsidP="009A78C3">
      <w:pPr>
        <w:tabs>
          <w:tab w:val="left" w:pos="567"/>
        </w:tabs>
        <w:spacing w:line="260" w:lineRule="exact"/>
        <w:rPr>
          <w:rFonts w:eastAsia="Times New Roman"/>
          <w:noProof/>
          <w:snapToGrid w:val="0"/>
          <w:szCs w:val="24"/>
        </w:rPr>
      </w:pPr>
    </w:p>
    <w:p w14:paraId="1FC302CA" w14:textId="77777777" w:rsidR="009A78C3" w:rsidRPr="00D36425" w:rsidRDefault="009A78C3" w:rsidP="009A78C3">
      <w:pPr>
        <w:tabs>
          <w:tab w:val="left" w:pos="567"/>
        </w:tabs>
        <w:spacing w:line="260" w:lineRule="exact"/>
        <w:rPr>
          <w:rFonts w:eastAsia="Times New Roman"/>
          <w:noProof/>
          <w:snapToGrid w:val="0"/>
          <w:szCs w:val="24"/>
        </w:rPr>
      </w:pPr>
    </w:p>
    <w:p w14:paraId="174EB3FC" w14:textId="77777777" w:rsidR="009A78C3" w:rsidRPr="00D36425" w:rsidRDefault="009A78C3" w:rsidP="009A78C3">
      <w:pPr>
        <w:tabs>
          <w:tab w:val="left" w:pos="567"/>
        </w:tabs>
        <w:spacing w:line="260" w:lineRule="exact"/>
        <w:rPr>
          <w:rFonts w:eastAsia="Times New Roman"/>
          <w:noProof/>
          <w:snapToGrid w:val="0"/>
          <w:szCs w:val="24"/>
        </w:rPr>
      </w:pPr>
    </w:p>
    <w:p w14:paraId="415B91A7" w14:textId="77777777" w:rsidR="009A78C3" w:rsidRPr="00D36425" w:rsidRDefault="009A78C3" w:rsidP="009A78C3">
      <w:pPr>
        <w:tabs>
          <w:tab w:val="left" w:pos="567"/>
        </w:tabs>
        <w:spacing w:line="260" w:lineRule="exact"/>
        <w:rPr>
          <w:rFonts w:eastAsia="Times New Roman"/>
          <w:noProof/>
          <w:snapToGrid w:val="0"/>
          <w:szCs w:val="24"/>
        </w:rPr>
      </w:pPr>
    </w:p>
    <w:p w14:paraId="70EF9BF7" w14:textId="77777777" w:rsidR="009A78C3" w:rsidRPr="00D36425" w:rsidRDefault="009A78C3" w:rsidP="009A78C3">
      <w:pPr>
        <w:tabs>
          <w:tab w:val="left" w:pos="567"/>
        </w:tabs>
        <w:spacing w:line="260" w:lineRule="exact"/>
        <w:rPr>
          <w:rFonts w:eastAsia="Times New Roman"/>
          <w:noProof/>
          <w:snapToGrid w:val="0"/>
          <w:szCs w:val="24"/>
        </w:rPr>
      </w:pPr>
    </w:p>
    <w:p w14:paraId="333F4CF1" w14:textId="77777777" w:rsidR="009A78C3" w:rsidRPr="00D36425" w:rsidRDefault="009A78C3" w:rsidP="009A78C3">
      <w:pPr>
        <w:tabs>
          <w:tab w:val="left" w:pos="567"/>
        </w:tabs>
        <w:spacing w:line="260" w:lineRule="exact"/>
        <w:rPr>
          <w:rFonts w:eastAsia="Times New Roman"/>
          <w:noProof/>
          <w:snapToGrid w:val="0"/>
          <w:szCs w:val="24"/>
        </w:rPr>
      </w:pPr>
    </w:p>
    <w:p w14:paraId="1E7776EB" w14:textId="77777777" w:rsidR="009A78C3" w:rsidRPr="00D36425" w:rsidRDefault="009A78C3" w:rsidP="009A78C3">
      <w:pPr>
        <w:tabs>
          <w:tab w:val="left" w:pos="567"/>
        </w:tabs>
        <w:spacing w:line="260" w:lineRule="exact"/>
        <w:rPr>
          <w:rFonts w:eastAsia="Times New Roman"/>
          <w:noProof/>
          <w:snapToGrid w:val="0"/>
          <w:szCs w:val="24"/>
        </w:rPr>
      </w:pPr>
    </w:p>
    <w:p w14:paraId="6819E624" w14:textId="77777777" w:rsidR="009A78C3" w:rsidRPr="00D36425" w:rsidRDefault="009A78C3" w:rsidP="009A78C3">
      <w:pPr>
        <w:tabs>
          <w:tab w:val="left" w:pos="567"/>
        </w:tabs>
        <w:spacing w:line="260" w:lineRule="exact"/>
        <w:rPr>
          <w:rFonts w:eastAsia="Times New Roman"/>
          <w:noProof/>
          <w:snapToGrid w:val="0"/>
          <w:szCs w:val="24"/>
        </w:rPr>
      </w:pPr>
    </w:p>
    <w:p w14:paraId="449EEBF0" w14:textId="77777777" w:rsidR="009A78C3" w:rsidRDefault="009A78C3" w:rsidP="009A78C3">
      <w:pPr>
        <w:tabs>
          <w:tab w:val="left" w:pos="567"/>
        </w:tabs>
        <w:spacing w:line="260" w:lineRule="exact"/>
        <w:jc w:val="center"/>
        <w:rPr>
          <w:rFonts w:eastAsia="Times New Roman"/>
          <w:b/>
          <w:snapToGrid w:val="0"/>
          <w:szCs w:val="20"/>
        </w:rPr>
      </w:pPr>
    </w:p>
    <w:p w14:paraId="1FCE2F81" w14:textId="77777777" w:rsidR="009A78C3" w:rsidRDefault="009A78C3" w:rsidP="009A78C3">
      <w:pPr>
        <w:tabs>
          <w:tab w:val="left" w:pos="567"/>
        </w:tabs>
        <w:spacing w:line="260" w:lineRule="exact"/>
        <w:jc w:val="center"/>
        <w:rPr>
          <w:rFonts w:eastAsia="Times New Roman"/>
          <w:b/>
          <w:snapToGrid w:val="0"/>
          <w:szCs w:val="20"/>
        </w:rPr>
      </w:pPr>
    </w:p>
    <w:p w14:paraId="44012F1F" w14:textId="77777777" w:rsidR="009A78C3" w:rsidRDefault="009A78C3" w:rsidP="009A78C3">
      <w:pPr>
        <w:tabs>
          <w:tab w:val="left" w:pos="567"/>
        </w:tabs>
        <w:spacing w:line="260" w:lineRule="exact"/>
        <w:jc w:val="center"/>
        <w:rPr>
          <w:rFonts w:eastAsia="Times New Roman"/>
          <w:b/>
          <w:snapToGrid w:val="0"/>
          <w:szCs w:val="20"/>
        </w:rPr>
      </w:pPr>
    </w:p>
    <w:p w14:paraId="7C798822" w14:textId="77777777" w:rsidR="009A78C3" w:rsidRDefault="009A78C3" w:rsidP="009A78C3">
      <w:pPr>
        <w:tabs>
          <w:tab w:val="left" w:pos="567"/>
        </w:tabs>
        <w:spacing w:line="260" w:lineRule="exact"/>
        <w:jc w:val="center"/>
        <w:rPr>
          <w:rFonts w:eastAsia="Times New Roman"/>
          <w:b/>
          <w:snapToGrid w:val="0"/>
          <w:szCs w:val="20"/>
        </w:rPr>
      </w:pPr>
    </w:p>
    <w:p w14:paraId="5D687251" w14:textId="77777777" w:rsidR="009A78C3" w:rsidRDefault="009A78C3" w:rsidP="009A78C3">
      <w:pPr>
        <w:tabs>
          <w:tab w:val="left" w:pos="567"/>
        </w:tabs>
        <w:spacing w:line="260" w:lineRule="exact"/>
        <w:jc w:val="center"/>
        <w:rPr>
          <w:rFonts w:eastAsia="Times New Roman"/>
          <w:b/>
          <w:snapToGrid w:val="0"/>
          <w:szCs w:val="20"/>
        </w:rPr>
      </w:pPr>
    </w:p>
    <w:p w14:paraId="0AF671E8" w14:textId="77777777" w:rsidR="009A78C3" w:rsidRDefault="009A78C3" w:rsidP="009A78C3">
      <w:pPr>
        <w:tabs>
          <w:tab w:val="left" w:pos="567"/>
        </w:tabs>
        <w:spacing w:line="260" w:lineRule="exact"/>
        <w:jc w:val="center"/>
        <w:rPr>
          <w:rFonts w:eastAsia="Times New Roman"/>
          <w:b/>
          <w:snapToGrid w:val="0"/>
          <w:szCs w:val="20"/>
        </w:rPr>
      </w:pPr>
    </w:p>
    <w:p w14:paraId="2B7C9B03" w14:textId="77777777" w:rsidR="009A78C3" w:rsidRPr="00D36425" w:rsidRDefault="009A78C3" w:rsidP="009A78C3">
      <w:pPr>
        <w:tabs>
          <w:tab w:val="left" w:pos="567"/>
        </w:tabs>
        <w:spacing w:line="260" w:lineRule="exact"/>
        <w:jc w:val="center"/>
        <w:rPr>
          <w:rFonts w:eastAsia="Times New Roman"/>
          <w:b/>
          <w:snapToGrid w:val="0"/>
          <w:szCs w:val="20"/>
        </w:rPr>
      </w:pPr>
      <w:r w:rsidRPr="00D36425">
        <w:rPr>
          <w:rFonts w:eastAsia="Times New Roman"/>
          <w:b/>
          <w:snapToGrid w:val="0"/>
          <w:szCs w:val="20"/>
        </w:rPr>
        <w:t>II PRIEDAS</w:t>
      </w:r>
    </w:p>
    <w:p w14:paraId="665391BD" w14:textId="77777777" w:rsidR="009A78C3" w:rsidRPr="00D36425" w:rsidRDefault="009A78C3" w:rsidP="009A78C3">
      <w:pPr>
        <w:tabs>
          <w:tab w:val="left" w:pos="567"/>
        </w:tabs>
        <w:spacing w:line="260" w:lineRule="exact"/>
        <w:ind w:right="1416"/>
        <w:rPr>
          <w:rFonts w:eastAsia="Times New Roman"/>
          <w:snapToGrid w:val="0"/>
          <w:szCs w:val="20"/>
        </w:rPr>
      </w:pPr>
    </w:p>
    <w:p w14:paraId="2F0ADCB9" w14:textId="77777777" w:rsidR="009A78C3" w:rsidRPr="00D36425" w:rsidRDefault="009A78C3" w:rsidP="009A78C3">
      <w:pPr>
        <w:tabs>
          <w:tab w:val="left" w:pos="567"/>
        </w:tabs>
        <w:spacing w:line="260" w:lineRule="exact"/>
        <w:jc w:val="center"/>
        <w:rPr>
          <w:rFonts w:eastAsia="Times New Roman"/>
          <w:i/>
          <w:snapToGrid w:val="0"/>
          <w:szCs w:val="20"/>
        </w:rPr>
      </w:pPr>
      <w:r>
        <w:rPr>
          <w:b/>
        </w:rPr>
        <w:t>REGISTRACIJOS</w:t>
      </w:r>
      <w:r w:rsidRPr="00D36425">
        <w:rPr>
          <w:rFonts w:eastAsia="Times New Roman"/>
          <w:b/>
          <w:snapToGrid w:val="0"/>
          <w:szCs w:val="20"/>
        </w:rPr>
        <w:t xml:space="preserve"> SĄLYGOS</w:t>
      </w:r>
    </w:p>
    <w:p w14:paraId="4EC26F9C" w14:textId="77777777" w:rsidR="009A78C3" w:rsidRPr="00D36425" w:rsidRDefault="009A78C3" w:rsidP="009A78C3">
      <w:pPr>
        <w:tabs>
          <w:tab w:val="left" w:pos="567"/>
        </w:tabs>
        <w:spacing w:line="260" w:lineRule="exact"/>
        <w:rPr>
          <w:rFonts w:eastAsia="Times New Roman"/>
          <w:snapToGrid w:val="0"/>
          <w:szCs w:val="20"/>
        </w:rPr>
      </w:pPr>
    </w:p>
    <w:p w14:paraId="14409BAD" w14:textId="77777777" w:rsidR="009A78C3" w:rsidRPr="00D36425" w:rsidRDefault="009A78C3" w:rsidP="009A78C3">
      <w:pPr>
        <w:tabs>
          <w:tab w:val="left" w:pos="1701"/>
        </w:tabs>
        <w:spacing w:line="260" w:lineRule="exact"/>
        <w:ind w:right="567"/>
        <w:rPr>
          <w:rFonts w:eastAsia="Times New Roman"/>
          <w:b/>
          <w:noProof/>
          <w:snapToGrid w:val="0"/>
          <w:szCs w:val="24"/>
        </w:rPr>
      </w:pPr>
      <w:r w:rsidRPr="00D36425">
        <w:rPr>
          <w:rFonts w:eastAsia="Times New Roman"/>
          <w:b/>
          <w:noProof/>
          <w:snapToGrid w:val="0"/>
          <w:szCs w:val="24"/>
        </w:rPr>
        <w:t>A.</w:t>
      </w:r>
      <w:r w:rsidRPr="00D36425">
        <w:rPr>
          <w:rFonts w:eastAsia="Times New Roman"/>
          <w:b/>
          <w:noProof/>
          <w:snapToGrid w:val="0"/>
          <w:szCs w:val="24"/>
        </w:rPr>
        <w:tab/>
        <w:t>GAMINTOJAS (-AI), ATSAKINGAS (-I) UŽ SERIJŲ IŠLEIDIMĄ</w:t>
      </w:r>
    </w:p>
    <w:p w14:paraId="0DA0F3D3" w14:textId="77777777" w:rsidR="009A78C3" w:rsidRPr="00D36425" w:rsidRDefault="009A78C3" w:rsidP="009A78C3">
      <w:pPr>
        <w:tabs>
          <w:tab w:val="left" w:pos="1701"/>
        </w:tabs>
        <w:spacing w:line="260" w:lineRule="exact"/>
        <w:ind w:right="567"/>
        <w:rPr>
          <w:rFonts w:eastAsia="Times New Roman"/>
          <w:noProof/>
          <w:snapToGrid w:val="0"/>
          <w:szCs w:val="24"/>
        </w:rPr>
      </w:pPr>
    </w:p>
    <w:p w14:paraId="72B68D10" w14:textId="77777777" w:rsidR="009A78C3" w:rsidRPr="00D36425" w:rsidRDefault="009A78C3" w:rsidP="009A78C3">
      <w:pPr>
        <w:tabs>
          <w:tab w:val="left" w:pos="1701"/>
        </w:tabs>
        <w:spacing w:line="260" w:lineRule="exact"/>
        <w:ind w:right="567"/>
        <w:rPr>
          <w:rFonts w:eastAsia="Times New Roman"/>
          <w:b/>
          <w:snapToGrid w:val="0"/>
          <w:szCs w:val="20"/>
        </w:rPr>
      </w:pPr>
      <w:r w:rsidRPr="00D36425">
        <w:rPr>
          <w:rFonts w:eastAsia="Times New Roman"/>
          <w:b/>
          <w:snapToGrid w:val="0"/>
          <w:szCs w:val="20"/>
        </w:rPr>
        <w:t>B.</w:t>
      </w:r>
      <w:r w:rsidRPr="00D36425">
        <w:rPr>
          <w:rFonts w:eastAsia="Times New Roman"/>
          <w:b/>
          <w:snapToGrid w:val="0"/>
          <w:szCs w:val="20"/>
        </w:rPr>
        <w:tab/>
        <w:t>TIEKIMO IR VARTOJIMO SĄLYGOS AR APRIBOJIMAI</w:t>
      </w:r>
    </w:p>
    <w:p w14:paraId="604E8D7B" w14:textId="77777777" w:rsidR="009A78C3" w:rsidRPr="00D36425" w:rsidRDefault="009A78C3" w:rsidP="009A78C3">
      <w:pPr>
        <w:tabs>
          <w:tab w:val="left" w:pos="1701"/>
        </w:tabs>
        <w:spacing w:line="260" w:lineRule="exact"/>
        <w:ind w:right="567"/>
        <w:rPr>
          <w:rFonts w:eastAsia="Times New Roman"/>
          <w:snapToGrid w:val="0"/>
          <w:szCs w:val="20"/>
        </w:rPr>
      </w:pPr>
    </w:p>
    <w:p w14:paraId="40968C76" w14:textId="77777777" w:rsidR="009A78C3" w:rsidRPr="00D36425" w:rsidRDefault="009A78C3" w:rsidP="009A78C3">
      <w:pPr>
        <w:tabs>
          <w:tab w:val="left" w:pos="567"/>
        </w:tabs>
        <w:spacing w:line="260" w:lineRule="exact"/>
        <w:rPr>
          <w:rFonts w:eastAsia="Times New Roman"/>
          <w:b/>
          <w:snapToGrid w:val="0"/>
          <w:szCs w:val="24"/>
        </w:rPr>
      </w:pPr>
      <w:r w:rsidRPr="00D36425">
        <w:rPr>
          <w:rFonts w:eastAsia="Times New Roman"/>
          <w:snapToGrid w:val="0"/>
          <w:szCs w:val="20"/>
        </w:rPr>
        <w:br w:type="page"/>
      </w:r>
      <w:r w:rsidRPr="00D36425">
        <w:rPr>
          <w:rFonts w:eastAsia="Times New Roman"/>
          <w:b/>
          <w:snapToGrid w:val="0"/>
          <w:szCs w:val="20"/>
        </w:rPr>
        <w:lastRenderedPageBreak/>
        <w:t>A.</w:t>
      </w:r>
      <w:r w:rsidRPr="00D36425">
        <w:rPr>
          <w:rFonts w:eastAsia="Times New Roman"/>
          <w:b/>
          <w:snapToGrid w:val="0"/>
          <w:szCs w:val="24"/>
        </w:rPr>
        <w:tab/>
      </w:r>
      <w:r w:rsidRPr="00D36425">
        <w:rPr>
          <w:rFonts w:eastAsia="Times New Roman"/>
          <w:b/>
          <w:snapToGrid w:val="0"/>
          <w:szCs w:val="20"/>
        </w:rPr>
        <w:t>GAMINTOJAS (-AI), ATSAKINGAS (-I) UŽ SERIJŲ IŠLEIDIMĄ</w:t>
      </w:r>
    </w:p>
    <w:p w14:paraId="6A977078" w14:textId="77777777" w:rsidR="009A78C3" w:rsidRPr="00D36425" w:rsidRDefault="009A78C3" w:rsidP="009A78C3">
      <w:pPr>
        <w:tabs>
          <w:tab w:val="left" w:pos="567"/>
        </w:tabs>
        <w:spacing w:line="260" w:lineRule="exact"/>
        <w:rPr>
          <w:rFonts w:eastAsia="Times New Roman"/>
          <w:snapToGrid w:val="0"/>
          <w:szCs w:val="24"/>
        </w:rPr>
      </w:pPr>
    </w:p>
    <w:p w14:paraId="4EC2911F" w14:textId="77777777" w:rsidR="009A78C3" w:rsidRPr="00D36425" w:rsidRDefault="009A78C3" w:rsidP="009A78C3">
      <w:pPr>
        <w:tabs>
          <w:tab w:val="left" w:pos="567"/>
        </w:tabs>
        <w:jc w:val="both"/>
        <w:rPr>
          <w:rFonts w:eastAsia="Times New Roman"/>
          <w:snapToGrid w:val="0"/>
          <w:szCs w:val="24"/>
        </w:rPr>
      </w:pPr>
      <w:r w:rsidRPr="00D36425">
        <w:rPr>
          <w:rFonts w:eastAsia="Times New Roman"/>
          <w:noProof/>
          <w:snapToGrid w:val="0"/>
          <w:szCs w:val="24"/>
          <w:u w:val="single"/>
        </w:rPr>
        <w:t>Gamintojo (-ų), atsakingo (-ų) už serijų išleidimą, pavadinimas (-ai) ir adresas (-ai)</w:t>
      </w:r>
    </w:p>
    <w:p w14:paraId="194630D3" w14:textId="77777777" w:rsidR="009A78C3" w:rsidRPr="00D36425" w:rsidRDefault="009A78C3" w:rsidP="009A78C3">
      <w:pPr>
        <w:tabs>
          <w:tab w:val="left" w:pos="567"/>
        </w:tabs>
        <w:spacing w:line="260" w:lineRule="exact"/>
        <w:rPr>
          <w:rFonts w:eastAsia="Times New Roman"/>
          <w:snapToGrid w:val="0"/>
          <w:szCs w:val="24"/>
        </w:rPr>
      </w:pPr>
    </w:p>
    <w:p w14:paraId="34CBCAF8" w14:textId="77777777" w:rsidR="009A78C3" w:rsidRPr="00733B7A" w:rsidRDefault="00830E0B" w:rsidP="009A78C3">
      <w:pPr>
        <w:ind w:right="70"/>
      </w:pPr>
      <w:r>
        <w:t>Adamed Pharma S.A.</w:t>
      </w:r>
    </w:p>
    <w:p w14:paraId="09366E67" w14:textId="77777777" w:rsidR="009A78C3" w:rsidRPr="00733B7A" w:rsidRDefault="00830E0B" w:rsidP="009A78C3">
      <w:pPr>
        <w:ind w:right="70"/>
      </w:pPr>
      <w:r>
        <w:t>Pieńków, ul. M. Adamkiewicza 6A</w:t>
      </w:r>
    </w:p>
    <w:p w14:paraId="083624E3" w14:textId="77777777" w:rsidR="009A78C3" w:rsidRPr="00733B7A" w:rsidRDefault="00830E0B" w:rsidP="009A78C3">
      <w:pPr>
        <w:ind w:right="70"/>
      </w:pPr>
      <w:r>
        <w:t>05-152 Czosnów</w:t>
      </w:r>
    </w:p>
    <w:p w14:paraId="2031C62C" w14:textId="77777777" w:rsidR="009A78C3" w:rsidRPr="00733B7A" w:rsidRDefault="009A78C3" w:rsidP="009A78C3">
      <w:r w:rsidRPr="00733B7A">
        <w:t>Lenkija</w:t>
      </w:r>
    </w:p>
    <w:p w14:paraId="308C582F" w14:textId="77777777" w:rsidR="009A78C3" w:rsidRPr="00733B7A" w:rsidRDefault="009A78C3" w:rsidP="009A78C3"/>
    <w:p w14:paraId="131FC085" w14:textId="77777777" w:rsidR="009A78C3" w:rsidRPr="00D36425" w:rsidRDefault="009A78C3" w:rsidP="009A78C3">
      <w:pPr>
        <w:tabs>
          <w:tab w:val="left" w:pos="567"/>
        </w:tabs>
        <w:spacing w:line="260" w:lineRule="exact"/>
        <w:rPr>
          <w:rFonts w:eastAsia="Times New Roman"/>
          <w:snapToGrid w:val="0"/>
          <w:szCs w:val="24"/>
        </w:rPr>
      </w:pPr>
    </w:p>
    <w:p w14:paraId="44295FB2" w14:textId="77777777" w:rsidR="009A78C3" w:rsidRPr="00D36425" w:rsidRDefault="009A78C3" w:rsidP="009A78C3">
      <w:pPr>
        <w:tabs>
          <w:tab w:val="left" w:pos="567"/>
        </w:tabs>
        <w:jc w:val="both"/>
        <w:rPr>
          <w:rFonts w:eastAsia="Times New Roman"/>
          <w:snapToGrid w:val="0"/>
          <w:szCs w:val="24"/>
        </w:rPr>
      </w:pPr>
      <w:r w:rsidRPr="00D36425">
        <w:rPr>
          <w:rFonts w:eastAsia="Times New Roman"/>
          <w:noProof/>
          <w:snapToGrid w:val="0"/>
          <w:szCs w:val="24"/>
        </w:rPr>
        <w:t>Su pakuote pateikiamame lapelyje nurodomas gamintojo, atsakingo už konkrečios serijos išleidimą, pavadinimas ir adresas.</w:t>
      </w:r>
    </w:p>
    <w:p w14:paraId="0248FE0B" w14:textId="77777777" w:rsidR="009A78C3" w:rsidRPr="00D36425" w:rsidRDefault="009A78C3" w:rsidP="009A78C3">
      <w:pPr>
        <w:tabs>
          <w:tab w:val="left" w:pos="567"/>
        </w:tabs>
        <w:spacing w:line="260" w:lineRule="exact"/>
        <w:rPr>
          <w:rFonts w:eastAsia="Times New Roman"/>
          <w:snapToGrid w:val="0"/>
          <w:szCs w:val="24"/>
        </w:rPr>
      </w:pPr>
    </w:p>
    <w:p w14:paraId="45469F52" w14:textId="77777777" w:rsidR="009A78C3" w:rsidRPr="00D36425" w:rsidRDefault="009A78C3" w:rsidP="009A78C3">
      <w:pPr>
        <w:tabs>
          <w:tab w:val="left" w:pos="567"/>
        </w:tabs>
        <w:spacing w:line="260" w:lineRule="exact"/>
        <w:rPr>
          <w:rFonts w:eastAsia="Times New Roman"/>
          <w:snapToGrid w:val="0"/>
          <w:szCs w:val="24"/>
        </w:rPr>
      </w:pPr>
    </w:p>
    <w:p w14:paraId="415AF6E4" w14:textId="77777777" w:rsidR="009A78C3" w:rsidRPr="00D36425" w:rsidRDefault="009A78C3" w:rsidP="009A78C3">
      <w:pPr>
        <w:tabs>
          <w:tab w:val="left" w:pos="567"/>
        </w:tabs>
        <w:rPr>
          <w:rFonts w:eastAsia="Times New Roman"/>
          <w:snapToGrid w:val="0"/>
          <w:szCs w:val="24"/>
        </w:rPr>
      </w:pPr>
      <w:r w:rsidRPr="00D36425">
        <w:rPr>
          <w:rFonts w:eastAsia="Times New Roman"/>
          <w:b/>
          <w:noProof/>
          <w:snapToGrid w:val="0"/>
          <w:szCs w:val="24"/>
        </w:rPr>
        <w:t>B.</w:t>
      </w:r>
      <w:r w:rsidRPr="00D36425">
        <w:rPr>
          <w:rFonts w:eastAsia="Times New Roman"/>
          <w:b/>
          <w:snapToGrid w:val="0"/>
          <w:szCs w:val="24"/>
        </w:rPr>
        <w:tab/>
      </w:r>
      <w:r w:rsidRPr="00D36425">
        <w:rPr>
          <w:rFonts w:eastAsia="Times New Roman"/>
          <w:b/>
          <w:noProof/>
          <w:snapToGrid w:val="0"/>
          <w:szCs w:val="24"/>
        </w:rPr>
        <w:t>TIEKIMO IR VARTOJIMO SĄLYGOS AR APRIBOJIMAI</w:t>
      </w:r>
    </w:p>
    <w:p w14:paraId="59BE5B19" w14:textId="77777777" w:rsidR="009A78C3" w:rsidRPr="00D36425" w:rsidRDefault="009A78C3" w:rsidP="009A78C3">
      <w:pPr>
        <w:tabs>
          <w:tab w:val="left" w:pos="567"/>
        </w:tabs>
        <w:spacing w:line="260" w:lineRule="exact"/>
        <w:rPr>
          <w:rFonts w:eastAsia="Times New Roman"/>
          <w:snapToGrid w:val="0"/>
          <w:szCs w:val="24"/>
        </w:rPr>
      </w:pPr>
    </w:p>
    <w:p w14:paraId="76B9B8DA" w14:textId="77777777" w:rsidR="009A78C3" w:rsidRPr="00D36425" w:rsidRDefault="009A78C3" w:rsidP="009A78C3">
      <w:pPr>
        <w:tabs>
          <w:tab w:val="left" w:pos="567"/>
        </w:tabs>
        <w:spacing w:line="260" w:lineRule="exact"/>
        <w:rPr>
          <w:rFonts w:eastAsia="Times New Roman"/>
          <w:snapToGrid w:val="0"/>
          <w:szCs w:val="24"/>
        </w:rPr>
      </w:pPr>
      <w:r w:rsidRPr="00D36425">
        <w:rPr>
          <w:rFonts w:eastAsia="Times New Roman"/>
          <w:snapToGrid w:val="0"/>
          <w:szCs w:val="20"/>
        </w:rPr>
        <w:t>R</w:t>
      </w:r>
      <w:r>
        <w:rPr>
          <w:rFonts w:eastAsia="Times New Roman"/>
          <w:snapToGrid w:val="0"/>
          <w:szCs w:val="20"/>
        </w:rPr>
        <w:t>eceptinis vaistinis preparatas.</w:t>
      </w:r>
    </w:p>
    <w:p w14:paraId="4DF57D2E" w14:textId="77777777" w:rsidR="009A78C3" w:rsidRDefault="009A78C3" w:rsidP="009A78C3">
      <w:pPr>
        <w:tabs>
          <w:tab w:val="left" w:pos="567"/>
        </w:tabs>
        <w:spacing w:line="260" w:lineRule="exact"/>
        <w:rPr>
          <w:rFonts w:eastAsia="Times New Roman"/>
          <w:snapToGrid w:val="0"/>
          <w:szCs w:val="24"/>
        </w:rPr>
      </w:pPr>
      <w:r>
        <w:rPr>
          <w:rFonts w:eastAsia="Times New Roman"/>
          <w:snapToGrid w:val="0"/>
          <w:szCs w:val="24"/>
        </w:rPr>
        <w:br w:type="page"/>
      </w:r>
    </w:p>
    <w:p w14:paraId="5DD01C76" w14:textId="77777777" w:rsidR="009A78C3" w:rsidRPr="00D36425" w:rsidRDefault="009A78C3" w:rsidP="009A78C3">
      <w:pPr>
        <w:tabs>
          <w:tab w:val="left" w:pos="567"/>
        </w:tabs>
        <w:spacing w:line="260" w:lineRule="exact"/>
        <w:rPr>
          <w:rFonts w:eastAsia="Times New Roman"/>
          <w:snapToGrid w:val="0"/>
          <w:szCs w:val="24"/>
        </w:rPr>
      </w:pPr>
    </w:p>
    <w:p w14:paraId="13E0B10A" w14:textId="77777777" w:rsidR="009A78C3" w:rsidRPr="00D36425" w:rsidRDefault="009A78C3" w:rsidP="009A78C3">
      <w:pPr>
        <w:tabs>
          <w:tab w:val="left" w:pos="567"/>
        </w:tabs>
        <w:spacing w:line="260" w:lineRule="exact"/>
        <w:ind w:right="566"/>
        <w:rPr>
          <w:rFonts w:eastAsia="Times New Roman"/>
          <w:noProof/>
          <w:snapToGrid w:val="0"/>
          <w:szCs w:val="24"/>
        </w:rPr>
      </w:pPr>
    </w:p>
    <w:p w14:paraId="2DF47BC4" w14:textId="77777777" w:rsidR="009A78C3" w:rsidRPr="00D36425" w:rsidRDefault="009A78C3" w:rsidP="009A78C3">
      <w:pPr>
        <w:tabs>
          <w:tab w:val="left" w:pos="567"/>
        </w:tabs>
        <w:spacing w:line="260" w:lineRule="exact"/>
        <w:rPr>
          <w:rFonts w:eastAsia="Times New Roman"/>
          <w:snapToGrid w:val="0"/>
          <w:szCs w:val="20"/>
        </w:rPr>
      </w:pPr>
    </w:p>
    <w:p w14:paraId="173CCB59" w14:textId="77777777" w:rsidR="009A78C3" w:rsidRPr="00D36425" w:rsidRDefault="009A78C3" w:rsidP="009A78C3">
      <w:pPr>
        <w:tabs>
          <w:tab w:val="left" w:pos="567"/>
        </w:tabs>
        <w:spacing w:line="260" w:lineRule="exact"/>
        <w:rPr>
          <w:rFonts w:eastAsia="Times New Roman"/>
          <w:snapToGrid w:val="0"/>
          <w:szCs w:val="20"/>
        </w:rPr>
      </w:pPr>
    </w:p>
    <w:p w14:paraId="1251D134" w14:textId="77777777" w:rsidR="009A78C3" w:rsidRPr="00D36425" w:rsidRDefault="009A78C3" w:rsidP="009A78C3">
      <w:pPr>
        <w:tabs>
          <w:tab w:val="left" w:pos="567"/>
        </w:tabs>
        <w:spacing w:line="260" w:lineRule="exact"/>
        <w:rPr>
          <w:rFonts w:eastAsia="Times New Roman"/>
          <w:snapToGrid w:val="0"/>
          <w:szCs w:val="20"/>
        </w:rPr>
      </w:pPr>
    </w:p>
    <w:p w14:paraId="67D37062" w14:textId="77777777" w:rsidR="009A78C3" w:rsidRPr="00D36425" w:rsidRDefault="009A78C3" w:rsidP="009A78C3">
      <w:pPr>
        <w:tabs>
          <w:tab w:val="left" w:pos="567"/>
        </w:tabs>
        <w:spacing w:line="260" w:lineRule="exact"/>
        <w:rPr>
          <w:rFonts w:eastAsia="Times New Roman"/>
          <w:snapToGrid w:val="0"/>
          <w:szCs w:val="20"/>
        </w:rPr>
      </w:pPr>
    </w:p>
    <w:p w14:paraId="358B5E28" w14:textId="77777777" w:rsidR="009A78C3" w:rsidRPr="00D36425" w:rsidRDefault="009A78C3" w:rsidP="009A78C3">
      <w:pPr>
        <w:tabs>
          <w:tab w:val="left" w:pos="567"/>
        </w:tabs>
        <w:spacing w:line="260" w:lineRule="exact"/>
        <w:rPr>
          <w:rFonts w:eastAsia="Times New Roman"/>
          <w:snapToGrid w:val="0"/>
          <w:szCs w:val="20"/>
        </w:rPr>
      </w:pPr>
    </w:p>
    <w:p w14:paraId="3EA7F65A" w14:textId="77777777" w:rsidR="009A78C3" w:rsidRPr="00D36425" w:rsidRDefault="009A78C3" w:rsidP="009A78C3">
      <w:pPr>
        <w:tabs>
          <w:tab w:val="left" w:pos="567"/>
        </w:tabs>
        <w:spacing w:line="260" w:lineRule="exact"/>
        <w:rPr>
          <w:rFonts w:eastAsia="Times New Roman"/>
          <w:snapToGrid w:val="0"/>
          <w:szCs w:val="20"/>
        </w:rPr>
      </w:pPr>
    </w:p>
    <w:p w14:paraId="4CA2C205" w14:textId="77777777" w:rsidR="009A78C3" w:rsidRPr="00D36425" w:rsidRDefault="009A78C3" w:rsidP="009A78C3">
      <w:pPr>
        <w:tabs>
          <w:tab w:val="left" w:pos="567"/>
        </w:tabs>
        <w:spacing w:line="260" w:lineRule="exact"/>
        <w:rPr>
          <w:rFonts w:eastAsia="Times New Roman"/>
          <w:snapToGrid w:val="0"/>
          <w:szCs w:val="20"/>
        </w:rPr>
      </w:pPr>
    </w:p>
    <w:p w14:paraId="1AFA262A" w14:textId="77777777" w:rsidR="009A78C3" w:rsidRPr="00D36425" w:rsidRDefault="009A78C3" w:rsidP="009A78C3">
      <w:pPr>
        <w:tabs>
          <w:tab w:val="left" w:pos="567"/>
        </w:tabs>
        <w:spacing w:line="260" w:lineRule="exact"/>
        <w:rPr>
          <w:rFonts w:eastAsia="Times New Roman"/>
          <w:snapToGrid w:val="0"/>
          <w:szCs w:val="20"/>
        </w:rPr>
      </w:pPr>
    </w:p>
    <w:p w14:paraId="0996E5C3" w14:textId="77777777" w:rsidR="009A78C3" w:rsidRPr="00D36425" w:rsidRDefault="009A78C3" w:rsidP="009A78C3">
      <w:pPr>
        <w:tabs>
          <w:tab w:val="left" w:pos="567"/>
        </w:tabs>
        <w:spacing w:line="260" w:lineRule="exact"/>
        <w:rPr>
          <w:rFonts w:eastAsia="Times New Roman"/>
          <w:snapToGrid w:val="0"/>
          <w:szCs w:val="20"/>
        </w:rPr>
      </w:pPr>
    </w:p>
    <w:p w14:paraId="7CF92EC5" w14:textId="77777777" w:rsidR="009A78C3" w:rsidRPr="00D36425" w:rsidRDefault="009A78C3" w:rsidP="009A78C3">
      <w:pPr>
        <w:tabs>
          <w:tab w:val="left" w:pos="567"/>
        </w:tabs>
        <w:spacing w:line="260" w:lineRule="exact"/>
        <w:rPr>
          <w:rFonts w:eastAsia="Times New Roman"/>
          <w:snapToGrid w:val="0"/>
          <w:szCs w:val="20"/>
        </w:rPr>
      </w:pPr>
    </w:p>
    <w:p w14:paraId="7E843FF6" w14:textId="77777777" w:rsidR="009A78C3" w:rsidRPr="00D36425" w:rsidRDefault="009A78C3" w:rsidP="009A78C3">
      <w:pPr>
        <w:tabs>
          <w:tab w:val="left" w:pos="567"/>
        </w:tabs>
        <w:spacing w:line="260" w:lineRule="exact"/>
        <w:rPr>
          <w:rFonts w:eastAsia="Times New Roman"/>
          <w:snapToGrid w:val="0"/>
          <w:szCs w:val="20"/>
        </w:rPr>
      </w:pPr>
    </w:p>
    <w:p w14:paraId="3296BF12" w14:textId="77777777" w:rsidR="009A78C3" w:rsidRPr="00D36425" w:rsidRDefault="009A78C3" w:rsidP="009A78C3">
      <w:pPr>
        <w:tabs>
          <w:tab w:val="left" w:pos="567"/>
        </w:tabs>
        <w:spacing w:line="260" w:lineRule="exact"/>
        <w:rPr>
          <w:rFonts w:eastAsia="Times New Roman"/>
          <w:snapToGrid w:val="0"/>
          <w:szCs w:val="20"/>
        </w:rPr>
      </w:pPr>
    </w:p>
    <w:p w14:paraId="5C2CF55F" w14:textId="77777777" w:rsidR="009A78C3" w:rsidRPr="00D36425" w:rsidRDefault="009A78C3" w:rsidP="009A78C3">
      <w:pPr>
        <w:tabs>
          <w:tab w:val="left" w:pos="567"/>
        </w:tabs>
        <w:spacing w:line="260" w:lineRule="exact"/>
        <w:rPr>
          <w:rFonts w:eastAsia="Times New Roman"/>
          <w:snapToGrid w:val="0"/>
          <w:szCs w:val="20"/>
        </w:rPr>
      </w:pPr>
    </w:p>
    <w:p w14:paraId="43CE2390" w14:textId="77777777" w:rsidR="009A78C3" w:rsidRPr="00D36425" w:rsidRDefault="009A78C3" w:rsidP="009A78C3">
      <w:pPr>
        <w:tabs>
          <w:tab w:val="left" w:pos="567"/>
        </w:tabs>
        <w:spacing w:line="260" w:lineRule="exact"/>
        <w:rPr>
          <w:rFonts w:eastAsia="Times New Roman"/>
          <w:snapToGrid w:val="0"/>
          <w:szCs w:val="20"/>
        </w:rPr>
      </w:pPr>
    </w:p>
    <w:p w14:paraId="56373449" w14:textId="77777777" w:rsidR="009A78C3" w:rsidRPr="00D36425" w:rsidRDefault="009A78C3" w:rsidP="009A78C3">
      <w:pPr>
        <w:tabs>
          <w:tab w:val="left" w:pos="567"/>
        </w:tabs>
        <w:spacing w:line="260" w:lineRule="exact"/>
        <w:rPr>
          <w:rFonts w:eastAsia="Times New Roman"/>
          <w:snapToGrid w:val="0"/>
          <w:szCs w:val="20"/>
        </w:rPr>
      </w:pPr>
    </w:p>
    <w:p w14:paraId="1EDDC0B8" w14:textId="77777777" w:rsidR="009A78C3" w:rsidRPr="00D36425" w:rsidRDefault="009A78C3" w:rsidP="009A78C3">
      <w:pPr>
        <w:tabs>
          <w:tab w:val="left" w:pos="567"/>
        </w:tabs>
        <w:spacing w:line="260" w:lineRule="exact"/>
        <w:rPr>
          <w:rFonts w:eastAsia="Times New Roman"/>
          <w:snapToGrid w:val="0"/>
          <w:szCs w:val="20"/>
        </w:rPr>
      </w:pPr>
    </w:p>
    <w:p w14:paraId="3C371169" w14:textId="77777777" w:rsidR="009A78C3" w:rsidRPr="00D36425" w:rsidRDefault="009A78C3" w:rsidP="009A78C3">
      <w:pPr>
        <w:tabs>
          <w:tab w:val="left" w:pos="567"/>
        </w:tabs>
        <w:spacing w:line="260" w:lineRule="exact"/>
        <w:outlineLvl w:val="0"/>
        <w:rPr>
          <w:rFonts w:eastAsia="Times New Roman"/>
          <w:b/>
          <w:snapToGrid w:val="0"/>
          <w:szCs w:val="20"/>
        </w:rPr>
      </w:pPr>
    </w:p>
    <w:p w14:paraId="27A3B653" w14:textId="77777777" w:rsidR="009A78C3" w:rsidRPr="00D36425" w:rsidRDefault="009A78C3" w:rsidP="009A78C3">
      <w:pPr>
        <w:tabs>
          <w:tab w:val="left" w:pos="567"/>
        </w:tabs>
        <w:spacing w:line="260" w:lineRule="exact"/>
        <w:outlineLvl w:val="0"/>
        <w:rPr>
          <w:rFonts w:eastAsia="Times New Roman"/>
          <w:b/>
          <w:snapToGrid w:val="0"/>
          <w:szCs w:val="20"/>
        </w:rPr>
      </w:pPr>
    </w:p>
    <w:p w14:paraId="4E964513" w14:textId="77777777" w:rsidR="009A78C3" w:rsidRPr="00D36425" w:rsidRDefault="009A78C3" w:rsidP="009A78C3">
      <w:pPr>
        <w:tabs>
          <w:tab w:val="left" w:pos="567"/>
        </w:tabs>
        <w:spacing w:line="260" w:lineRule="exact"/>
        <w:outlineLvl w:val="0"/>
        <w:rPr>
          <w:rFonts w:eastAsia="Times New Roman"/>
          <w:b/>
          <w:snapToGrid w:val="0"/>
          <w:szCs w:val="20"/>
        </w:rPr>
      </w:pPr>
    </w:p>
    <w:p w14:paraId="75E4C935" w14:textId="77777777" w:rsidR="009A78C3" w:rsidRPr="00D36425" w:rsidRDefault="009A78C3" w:rsidP="009A78C3">
      <w:pPr>
        <w:tabs>
          <w:tab w:val="left" w:pos="567"/>
        </w:tabs>
        <w:spacing w:line="260" w:lineRule="exact"/>
        <w:outlineLvl w:val="0"/>
        <w:rPr>
          <w:rFonts w:eastAsia="Times New Roman"/>
          <w:b/>
          <w:snapToGrid w:val="0"/>
          <w:szCs w:val="20"/>
        </w:rPr>
      </w:pPr>
    </w:p>
    <w:p w14:paraId="6507F841" w14:textId="77777777" w:rsidR="009A78C3" w:rsidRPr="00D36425" w:rsidRDefault="009A78C3" w:rsidP="009A78C3">
      <w:pPr>
        <w:tabs>
          <w:tab w:val="left" w:pos="567"/>
        </w:tabs>
        <w:spacing w:line="260" w:lineRule="exact"/>
        <w:outlineLvl w:val="0"/>
        <w:rPr>
          <w:rFonts w:eastAsia="Times New Roman"/>
          <w:b/>
          <w:snapToGrid w:val="0"/>
          <w:szCs w:val="20"/>
        </w:rPr>
      </w:pPr>
    </w:p>
    <w:p w14:paraId="7DCBB525" w14:textId="77777777" w:rsidR="009A78C3" w:rsidRPr="00D36425" w:rsidRDefault="009A78C3" w:rsidP="009A78C3">
      <w:pPr>
        <w:keepNext/>
        <w:tabs>
          <w:tab w:val="left" w:pos="567"/>
        </w:tabs>
        <w:jc w:val="center"/>
        <w:outlineLvl w:val="1"/>
        <w:rPr>
          <w:rFonts w:eastAsia="Times New Roman"/>
          <w:b/>
          <w:snapToGrid w:val="0"/>
          <w:szCs w:val="24"/>
          <w:lang w:eastAsia="x-none"/>
        </w:rPr>
      </w:pPr>
      <w:r w:rsidRPr="00D36425">
        <w:rPr>
          <w:rFonts w:eastAsia="Times New Roman"/>
          <w:b/>
          <w:bCs/>
          <w:iCs/>
          <w:snapToGrid w:val="0"/>
          <w:szCs w:val="28"/>
          <w:lang w:eastAsia="x-none"/>
        </w:rPr>
        <w:t>III PRIEDAS</w:t>
      </w:r>
    </w:p>
    <w:p w14:paraId="0AF13CFD" w14:textId="77777777" w:rsidR="009A78C3" w:rsidRPr="00D36425" w:rsidRDefault="009A78C3" w:rsidP="009A78C3">
      <w:pPr>
        <w:tabs>
          <w:tab w:val="left" w:pos="567"/>
        </w:tabs>
        <w:spacing w:line="260" w:lineRule="exact"/>
        <w:rPr>
          <w:rFonts w:eastAsia="Times New Roman"/>
          <w:snapToGrid w:val="0"/>
          <w:szCs w:val="24"/>
        </w:rPr>
      </w:pPr>
    </w:p>
    <w:p w14:paraId="63BD62CA" w14:textId="77777777" w:rsidR="009A78C3" w:rsidRPr="00D36425" w:rsidRDefault="009A78C3" w:rsidP="009A78C3">
      <w:pPr>
        <w:keepNext/>
        <w:tabs>
          <w:tab w:val="left" w:pos="567"/>
        </w:tabs>
        <w:jc w:val="center"/>
        <w:outlineLvl w:val="1"/>
        <w:rPr>
          <w:rFonts w:eastAsia="Times New Roman"/>
          <w:b/>
          <w:snapToGrid w:val="0"/>
          <w:szCs w:val="24"/>
          <w:lang w:eastAsia="x-none"/>
        </w:rPr>
      </w:pPr>
      <w:r w:rsidRPr="00D36425">
        <w:rPr>
          <w:rFonts w:eastAsia="Times New Roman"/>
          <w:b/>
          <w:bCs/>
          <w:iCs/>
          <w:snapToGrid w:val="0"/>
          <w:szCs w:val="28"/>
          <w:lang w:eastAsia="x-none"/>
        </w:rPr>
        <w:t>ŽENKLINIMAS IR PAKUOTĖS LAPELIS</w:t>
      </w:r>
    </w:p>
    <w:p w14:paraId="7383D804" w14:textId="77777777" w:rsidR="009A78C3" w:rsidRPr="00D36425" w:rsidRDefault="009A78C3" w:rsidP="009A78C3">
      <w:pPr>
        <w:tabs>
          <w:tab w:val="left" w:pos="567"/>
        </w:tabs>
        <w:spacing w:line="260" w:lineRule="exact"/>
        <w:rPr>
          <w:rFonts w:eastAsia="Times New Roman"/>
          <w:snapToGrid w:val="0"/>
          <w:szCs w:val="24"/>
        </w:rPr>
      </w:pPr>
      <w:r w:rsidRPr="00D36425">
        <w:rPr>
          <w:rFonts w:eastAsia="Times New Roman"/>
          <w:snapToGrid w:val="0"/>
          <w:szCs w:val="24"/>
        </w:rPr>
        <w:br w:type="page"/>
      </w:r>
    </w:p>
    <w:p w14:paraId="2402FC3A" w14:textId="77777777" w:rsidR="009A78C3" w:rsidRPr="00733B7A" w:rsidRDefault="009A78C3" w:rsidP="009A78C3">
      <w:pPr>
        <w:jc w:val="center"/>
        <w:outlineLvl w:val="0"/>
        <w:rPr>
          <w:b/>
          <w:bCs/>
        </w:rPr>
      </w:pPr>
    </w:p>
    <w:p w14:paraId="219310C4" w14:textId="77777777" w:rsidR="009A78C3" w:rsidRPr="00733B7A" w:rsidRDefault="009A78C3" w:rsidP="009A78C3">
      <w:pPr>
        <w:jc w:val="center"/>
        <w:outlineLvl w:val="0"/>
        <w:rPr>
          <w:b/>
          <w:bCs/>
        </w:rPr>
      </w:pPr>
    </w:p>
    <w:p w14:paraId="21F704EC" w14:textId="77777777" w:rsidR="009A78C3" w:rsidRPr="00733B7A" w:rsidRDefault="009A78C3" w:rsidP="009A78C3">
      <w:pPr>
        <w:jc w:val="center"/>
        <w:outlineLvl w:val="0"/>
        <w:rPr>
          <w:b/>
          <w:bCs/>
        </w:rPr>
      </w:pPr>
    </w:p>
    <w:p w14:paraId="1C84A3C9" w14:textId="77777777" w:rsidR="009A78C3" w:rsidRPr="00733B7A" w:rsidRDefault="009A78C3" w:rsidP="009A78C3">
      <w:pPr>
        <w:jc w:val="center"/>
        <w:outlineLvl w:val="0"/>
        <w:rPr>
          <w:b/>
          <w:bCs/>
        </w:rPr>
      </w:pPr>
    </w:p>
    <w:p w14:paraId="278C0587" w14:textId="77777777" w:rsidR="009A78C3" w:rsidRPr="00733B7A" w:rsidRDefault="009A78C3" w:rsidP="009A78C3">
      <w:pPr>
        <w:jc w:val="center"/>
        <w:outlineLvl w:val="0"/>
        <w:rPr>
          <w:b/>
          <w:bCs/>
        </w:rPr>
      </w:pPr>
    </w:p>
    <w:p w14:paraId="41BCC5AA" w14:textId="77777777" w:rsidR="009A78C3" w:rsidRPr="00733B7A" w:rsidRDefault="009A78C3" w:rsidP="009A78C3">
      <w:pPr>
        <w:jc w:val="center"/>
        <w:outlineLvl w:val="0"/>
        <w:rPr>
          <w:b/>
          <w:bCs/>
        </w:rPr>
      </w:pPr>
    </w:p>
    <w:p w14:paraId="01F7D863" w14:textId="77777777" w:rsidR="009A78C3" w:rsidRPr="00733B7A" w:rsidRDefault="009A78C3" w:rsidP="009A78C3">
      <w:pPr>
        <w:jc w:val="center"/>
        <w:outlineLvl w:val="0"/>
        <w:rPr>
          <w:b/>
          <w:bCs/>
        </w:rPr>
      </w:pPr>
    </w:p>
    <w:p w14:paraId="1C350856" w14:textId="77777777" w:rsidR="009A78C3" w:rsidRPr="00733B7A" w:rsidRDefault="009A78C3" w:rsidP="009A78C3">
      <w:pPr>
        <w:jc w:val="center"/>
        <w:outlineLvl w:val="0"/>
        <w:rPr>
          <w:b/>
          <w:bCs/>
        </w:rPr>
      </w:pPr>
    </w:p>
    <w:p w14:paraId="398D91D4" w14:textId="77777777" w:rsidR="009A78C3" w:rsidRPr="00733B7A" w:rsidRDefault="009A78C3" w:rsidP="009A78C3">
      <w:pPr>
        <w:jc w:val="center"/>
        <w:outlineLvl w:val="0"/>
        <w:rPr>
          <w:b/>
          <w:bCs/>
        </w:rPr>
      </w:pPr>
    </w:p>
    <w:p w14:paraId="0720408B" w14:textId="77777777" w:rsidR="009A78C3" w:rsidRPr="00733B7A" w:rsidRDefault="009A78C3" w:rsidP="009A78C3">
      <w:pPr>
        <w:jc w:val="center"/>
        <w:outlineLvl w:val="0"/>
        <w:rPr>
          <w:b/>
          <w:bCs/>
        </w:rPr>
      </w:pPr>
    </w:p>
    <w:p w14:paraId="7B58D5C1" w14:textId="77777777" w:rsidR="009A78C3" w:rsidRPr="00733B7A" w:rsidRDefault="009A78C3" w:rsidP="009A78C3">
      <w:pPr>
        <w:jc w:val="center"/>
        <w:outlineLvl w:val="0"/>
        <w:rPr>
          <w:b/>
          <w:bCs/>
        </w:rPr>
      </w:pPr>
    </w:p>
    <w:p w14:paraId="1A0D5556" w14:textId="77777777" w:rsidR="009A78C3" w:rsidRPr="00733B7A" w:rsidRDefault="009A78C3" w:rsidP="009A78C3">
      <w:pPr>
        <w:jc w:val="center"/>
        <w:outlineLvl w:val="0"/>
        <w:rPr>
          <w:b/>
          <w:bCs/>
        </w:rPr>
      </w:pPr>
    </w:p>
    <w:p w14:paraId="0C8F806A" w14:textId="77777777" w:rsidR="009A78C3" w:rsidRPr="00733B7A" w:rsidRDefault="009A78C3" w:rsidP="009A78C3">
      <w:pPr>
        <w:jc w:val="center"/>
        <w:outlineLvl w:val="0"/>
        <w:rPr>
          <w:b/>
          <w:bCs/>
        </w:rPr>
      </w:pPr>
    </w:p>
    <w:p w14:paraId="783E1083" w14:textId="77777777" w:rsidR="009A78C3" w:rsidRPr="00733B7A" w:rsidRDefault="009A78C3" w:rsidP="009A78C3">
      <w:pPr>
        <w:jc w:val="center"/>
        <w:outlineLvl w:val="0"/>
        <w:rPr>
          <w:b/>
          <w:bCs/>
        </w:rPr>
      </w:pPr>
    </w:p>
    <w:p w14:paraId="000C5FAA" w14:textId="77777777" w:rsidR="009A78C3" w:rsidRPr="00733B7A" w:rsidRDefault="009A78C3" w:rsidP="009A78C3">
      <w:pPr>
        <w:jc w:val="center"/>
        <w:outlineLvl w:val="0"/>
        <w:rPr>
          <w:b/>
          <w:bCs/>
        </w:rPr>
      </w:pPr>
    </w:p>
    <w:p w14:paraId="75BEA9C9" w14:textId="77777777" w:rsidR="009A78C3" w:rsidRPr="00733B7A" w:rsidRDefault="009A78C3" w:rsidP="009A78C3">
      <w:pPr>
        <w:jc w:val="center"/>
        <w:outlineLvl w:val="0"/>
        <w:rPr>
          <w:b/>
          <w:bCs/>
        </w:rPr>
      </w:pPr>
    </w:p>
    <w:p w14:paraId="2E848A98" w14:textId="77777777" w:rsidR="009A78C3" w:rsidRPr="00733B7A" w:rsidRDefault="009A78C3" w:rsidP="009A78C3">
      <w:pPr>
        <w:jc w:val="center"/>
        <w:outlineLvl w:val="0"/>
        <w:rPr>
          <w:b/>
          <w:bCs/>
        </w:rPr>
      </w:pPr>
    </w:p>
    <w:p w14:paraId="2DC5B32D" w14:textId="77777777" w:rsidR="009A78C3" w:rsidRPr="00733B7A" w:rsidRDefault="009A78C3" w:rsidP="009A78C3">
      <w:pPr>
        <w:jc w:val="center"/>
        <w:outlineLvl w:val="0"/>
        <w:rPr>
          <w:b/>
          <w:bCs/>
        </w:rPr>
      </w:pPr>
    </w:p>
    <w:p w14:paraId="1477838B" w14:textId="77777777" w:rsidR="009A78C3" w:rsidRPr="00733B7A" w:rsidRDefault="009A78C3" w:rsidP="009A78C3">
      <w:pPr>
        <w:jc w:val="center"/>
        <w:outlineLvl w:val="0"/>
        <w:rPr>
          <w:b/>
          <w:bCs/>
        </w:rPr>
      </w:pPr>
    </w:p>
    <w:p w14:paraId="47FE15D5" w14:textId="77777777" w:rsidR="009A78C3" w:rsidRPr="00733B7A" w:rsidRDefault="009A78C3" w:rsidP="009A78C3">
      <w:pPr>
        <w:jc w:val="center"/>
        <w:outlineLvl w:val="0"/>
        <w:rPr>
          <w:b/>
          <w:bCs/>
        </w:rPr>
      </w:pPr>
    </w:p>
    <w:p w14:paraId="799857E7" w14:textId="77777777" w:rsidR="009A78C3" w:rsidRPr="00733B7A" w:rsidRDefault="009A78C3" w:rsidP="009A78C3">
      <w:pPr>
        <w:jc w:val="center"/>
        <w:outlineLvl w:val="0"/>
        <w:rPr>
          <w:b/>
          <w:bCs/>
        </w:rPr>
      </w:pPr>
    </w:p>
    <w:p w14:paraId="64713CB7" w14:textId="77777777" w:rsidR="009A78C3" w:rsidRPr="00733B7A" w:rsidRDefault="009A78C3" w:rsidP="009A78C3">
      <w:pPr>
        <w:jc w:val="center"/>
        <w:outlineLvl w:val="0"/>
        <w:rPr>
          <w:b/>
          <w:bCs/>
        </w:rPr>
      </w:pPr>
    </w:p>
    <w:p w14:paraId="673325CC" w14:textId="77777777" w:rsidR="009A78C3" w:rsidRPr="00733B7A" w:rsidRDefault="009A78C3" w:rsidP="009A78C3">
      <w:pPr>
        <w:jc w:val="center"/>
        <w:outlineLvl w:val="0"/>
        <w:rPr>
          <w:b/>
          <w:bCs/>
        </w:rPr>
      </w:pPr>
    </w:p>
    <w:p w14:paraId="303E03D6" w14:textId="77777777" w:rsidR="009A78C3" w:rsidRPr="00733B7A" w:rsidRDefault="009A78C3" w:rsidP="009A78C3">
      <w:pPr>
        <w:jc w:val="center"/>
        <w:outlineLvl w:val="0"/>
      </w:pPr>
      <w:r w:rsidRPr="00733B7A">
        <w:rPr>
          <w:b/>
          <w:bCs/>
        </w:rPr>
        <w:t>A. ŽENKLINIMAS</w:t>
      </w:r>
    </w:p>
    <w:p w14:paraId="562604D4" w14:textId="77777777" w:rsidR="009A78C3" w:rsidRPr="00733B7A" w:rsidRDefault="009A78C3" w:rsidP="009A78C3">
      <w:pPr>
        <w:shd w:val="clear" w:color="auto" w:fill="FFFFFF"/>
        <w:rPr>
          <w:noProof/>
        </w:rPr>
      </w:pPr>
      <w:r w:rsidRPr="00733B7A">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2"/>
      </w:tblGrid>
      <w:tr w:rsidR="009A78C3" w:rsidRPr="00733B7A" w14:paraId="1C5F9A6A" w14:textId="77777777" w:rsidTr="004A5475">
        <w:trPr>
          <w:trHeight w:val="520"/>
        </w:trPr>
        <w:tc>
          <w:tcPr>
            <w:tcW w:w="9358" w:type="dxa"/>
          </w:tcPr>
          <w:p w14:paraId="0B941BED" w14:textId="77777777" w:rsidR="009A78C3" w:rsidRDefault="009A78C3" w:rsidP="004A5475">
            <w:pPr>
              <w:autoSpaceDE w:val="0"/>
              <w:autoSpaceDN w:val="0"/>
              <w:adjustRightInd w:val="0"/>
              <w:rPr>
                <w:b/>
                <w:bCs/>
                <w:color w:val="000000"/>
                <w:lang w:eastAsia="pl-PL"/>
              </w:rPr>
            </w:pPr>
            <w:r w:rsidRPr="00733B7A">
              <w:rPr>
                <w:b/>
                <w:bCs/>
                <w:color w:val="000000"/>
                <w:lang w:eastAsia="pl-PL"/>
              </w:rPr>
              <w:lastRenderedPageBreak/>
              <w:t xml:space="preserve">INFORMACIJA ANT IŠORINĖS PAKUOTĖS </w:t>
            </w:r>
          </w:p>
          <w:p w14:paraId="4BFFFD95" w14:textId="77777777" w:rsidR="009A78C3" w:rsidRPr="00733B7A" w:rsidRDefault="009A78C3" w:rsidP="004A5475">
            <w:pPr>
              <w:autoSpaceDE w:val="0"/>
              <w:autoSpaceDN w:val="0"/>
              <w:adjustRightInd w:val="0"/>
              <w:rPr>
                <w:color w:val="000000"/>
                <w:lang w:eastAsia="pl-PL"/>
              </w:rPr>
            </w:pPr>
          </w:p>
          <w:p w14:paraId="36B01698" w14:textId="77777777" w:rsidR="009A78C3" w:rsidRPr="00733B7A" w:rsidRDefault="009A78C3" w:rsidP="004A5475">
            <w:pPr>
              <w:autoSpaceDE w:val="0"/>
              <w:autoSpaceDN w:val="0"/>
              <w:adjustRightInd w:val="0"/>
              <w:rPr>
                <w:b/>
                <w:bCs/>
                <w:color w:val="000000"/>
                <w:lang w:eastAsia="pl-PL"/>
              </w:rPr>
            </w:pPr>
            <w:r w:rsidRPr="00733B7A">
              <w:rPr>
                <w:b/>
                <w:bCs/>
                <w:color w:val="000000"/>
                <w:lang w:eastAsia="pl-PL"/>
              </w:rPr>
              <w:t xml:space="preserve">KARTONINĖ DĖŽUTĖ </w:t>
            </w:r>
          </w:p>
        </w:tc>
      </w:tr>
    </w:tbl>
    <w:p w14:paraId="1AB39C24" w14:textId="77777777" w:rsidR="009A78C3" w:rsidRPr="00733B7A" w:rsidRDefault="009A78C3" w:rsidP="009A78C3">
      <w:pPr>
        <w:rPr>
          <w:noProof/>
        </w:rPr>
      </w:pPr>
    </w:p>
    <w:p w14:paraId="7779DD6D" w14:textId="77777777" w:rsidR="009A78C3" w:rsidRPr="00733B7A" w:rsidRDefault="009A78C3" w:rsidP="009A78C3">
      <w:pPr>
        <w:rPr>
          <w:noProof/>
        </w:rPr>
      </w:pPr>
    </w:p>
    <w:p w14:paraId="1930A253"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noProof/>
        </w:rPr>
      </w:pPr>
      <w:r w:rsidRPr="00733B7A">
        <w:rPr>
          <w:b/>
          <w:noProof/>
        </w:rPr>
        <w:t>1.</w:t>
      </w:r>
      <w:r w:rsidRPr="00733B7A">
        <w:rPr>
          <w:b/>
          <w:noProof/>
        </w:rPr>
        <w:tab/>
        <w:t>VAISTINIO PREPARATO PAVADINIMAS</w:t>
      </w:r>
    </w:p>
    <w:p w14:paraId="79D00A36" w14:textId="77777777" w:rsidR="009A78C3" w:rsidRPr="00733B7A" w:rsidRDefault="009A78C3" w:rsidP="009A78C3">
      <w:pPr>
        <w:autoSpaceDE w:val="0"/>
        <w:autoSpaceDN w:val="0"/>
        <w:adjustRightInd w:val="0"/>
        <w:rPr>
          <w:lang w:val="es-ES_tradnl"/>
        </w:rPr>
      </w:pPr>
    </w:p>
    <w:p w14:paraId="3D24C56F" w14:textId="77777777" w:rsidR="009A78C3" w:rsidRPr="00733B7A" w:rsidRDefault="009A78C3" w:rsidP="009A78C3">
      <w:pPr>
        <w:autoSpaceDE w:val="0"/>
        <w:autoSpaceDN w:val="0"/>
        <w:adjustRightInd w:val="0"/>
      </w:pPr>
      <w:r w:rsidRPr="00733B7A">
        <w:rPr>
          <w:lang w:val="es-ES_tradnl"/>
        </w:rPr>
        <w:t>NORIFAZ</w:t>
      </w:r>
      <w:r w:rsidRPr="00733B7A">
        <w:t xml:space="preserve"> 35</w:t>
      </w:r>
      <w:r>
        <w:t> </w:t>
      </w:r>
      <w:r w:rsidRPr="00733B7A">
        <w:t>mg plėvele dengtos tabletės</w:t>
      </w:r>
    </w:p>
    <w:p w14:paraId="46B70B11" w14:textId="77777777" w:rsidR="009A78C3" w:rsidRPr="00733B7A" w:rsidRDefault="009A78C3" w:rsidP="009A78C3">
      <w:pPr>
        <w:autoSpaceDE w:val="0"/>
        <w:autoSpaceDN w:val="0"/>
        <w:adjustRightInd w:val="0"/>
      </w:pPr>
      <w:r w:rsidRPr="00733B7A">
        <w:t>Natrio rizedronatas</w:t>
      </w:r>
    </w:p>
    <w:p w14:paraId="7730598C" w14:textId="77777777" w:rsidR="009A78C3" w:rsidRPr="00733B7A" w:rsidRDefault="009A78C3" w:rsidP="009A78C3">
      <w:pPr>
        <w:rPr>
          <w:noProof/>
        </w:rPr>
      </w:pPr>
    </w:p>
    <w:p w14:paraId="14E84FEA" w14:textId="77777777" w:rsidR="009A78C3" w:rsidRPr="00733B7A" w:rsidRDefault="009A78C3" w:rsidP="009A78C3">
      <w:pPr>
        <w:rPr>
          <w:noProof/>
        </w:rPr>
      </w:pPr>
    </w:p>
    <w:p w14:paraId="2F4E87D2"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b/>
          <w:noProof/>
        </w:rPr>
      </w:pPr>
      <w:r w:rsidRPr="00733B7A">
        <w:rPr>
          <w:b/>
          <w:noProof/>
        </w:rPr>
        <w:t>2.</w:t>
      </w:r>
      <w:r w:rsidRPr="00733B7A">
        <w:rPr>
          <w:b/>
          <w:noProof/>
        </w:rPr>
        <w:tab/>
        <w:t>VEIKLIOJI MEDŽIAGA IR JOS KIEKIS</w:t>
      </w:r>
    </w:p>
    <w:p w14:paraId="72BD4586" w14:textId="77777777" w:rsidR="009A78C3" w:rsidRPr="00733B7A" w:rsidRDefault="009A78C3" w:rsidP="009A78C3">
      <w:pPr>
        <w:rPr>
          <w:noProof/>
        </w:rPr>
      </w:pPr>
    </w:p>
    <w:p w14:paraId="62211565" w14:textId="77777777" w:rsidR="009A78C3" w:rsidRPr="00733B7A" w:rsidRDefault="009A78C3" w:rsidP="009A78C3">
      <w:r w:rsidRPr="00733B7A">
        <w:t>Kiekvienoje plėvele padengtoje tabletėje yra 35</w:t>
      </w:r>
      <w:r>
        <w:t> </w:t>
      </w:r>
      <w:r w:rsidRPr="00733B7A">
        <w:t>mg natrio rizedronato, atitinkančio 32,5</w:t>
      </w:r>
      <w:r>
        <w:t> </w:t>
      </w:r>
      <w:r w:rsidRPr="00733B7A">
        <w:t>mg rizedrono rūgšties.</w:t>
      </w:r>
    </w:p>
    <w:p w14:paraId="2A3EBD4D" w14:textId="77777777" w:rsidR="009A78C3" w:rsidRPr="00733B7A" w:rsidRDefault="009A78C3" w:rsidP="009A78C3">
      <w:pPr>
        <w:rPr>
          <w:noProof/>
        </w:rPr>
      </w:pPr>
    </w:p>
    <w:p w14:paraId="43F1053E" w14:textId="77777777" w:rsidR="009A78C3" w:rsidRPr="00733B7A" w:rsidRDefault="009A78C3" w:rsidP="009A78C3">
      <w:pPr>
        <w:rPr>
          <w:noProof/>
        </w:rPr>
      </w:pPr>
    </w:p>
    <w:p w14:paraId="1063064D" w14:textId="77777777" w:rsidR="009A78C3" w:rsidRPr="004F100A" w:rsidRDefault="009A78C3" w:rsidP="009A78C3">
      <w:pPr>
        <w:pBdr>
          <w:top w:val="single" w:sz="4" w:space="1" w:color="auto"/>
          <w:left w:val="single" w:sz="4" w:space="4" w:color="auto"/>
          <w:bottom w:val="single" w:sz="4" w:space="1" w:color="auto"/>
          <w:right w:val="single" w:sz="4" w:space="4" w:color="auto"/>
        </w:pBdr>
        <w:outlineLvl w:val="0"/>
        <w:rPr>
          <w:noProof/>
          <w:highlight w:val="lightGray"/>
        </w:rPr>
      </w:pPr>
      <w:r w:rsidRPr="00733B7A">
        <w:rPr>
          <w:b/>
          <w:noProof/>
        </w:rPr>
        <w:t>3.</w:t>
      </w:r>
      <w:r w:rsidRPr="00733B7A">
        <w:rPr>
          <w:b/>
          <w:noProof/>
        </w:rPr>
        <w:tab/>
        <w:t>PAGALBINIŲ MEDŽIAGŲ SĄRAŠAS</w:t>
      </w:r>
    </w:p>
    <w:p w14:paraId="41F5653B" w14:textId="77777777" w:rsidR="009A78C3" w:rsidRPr="00733B7A" w:rsidRDefault="009A78C3" w:rsidP="009A78C3">
      <w:pPr>
        <w:rPr>
          <w:noProof/>
        </w:rPr>
      </w:pPr>
    </w:p>
    <w:p w14:paraId="7E39572E" w14:textId="77777777" w:rsidR="009A78C3" w:rsidRDefault="009A78C3" w:rsidP="009A78C3">
      <w:r>
        <w:t>Sudėtyje</w:t>
      </w:r>
      <w:r w:rsidRPr="00733B7A">
        <w:t xml:space="preserve"> yra laktozės monohidrato. </w:t>
      </w:r>
    </w:p>
    <w:p w14:paraId="78D27C3D" w14:textId="77777777" w:rsidR="009A78C3" w:rsidRPr="00733B7A" w:rsidRDefault="009A78C3" w:rsidP="009A78C3">
      <w:r>
        <w:t>Daugiau informacijos pateikta pakuotės lapelyje</w:t>
      </w:r>
      <w:r w:rsidRPr="00733B7A">
        <w:t>.</w:t>
      </w:r>
    </w:p>
    <w:p w14:paraId="3DF52C2B" w14:textId="77777777" w:rsidR="009A78C3" w:rsidRPr="00733B7A" w:rsidRDefault="009A78C3" w:rsidP="009A78C3">
      <w:pPr>
        <w:rPr>
          <w:noProof/>
        </w:rPr>
      </w:pPr>
    </w:p>
    <w:p w14:paraId="01AC38C7" w14:textId="77777777" w:rsidR="009A78C3" w:rsidRPr="00733B7A" w:rsidRDefault="009A78C3" w:rsidP="009A78C3">
      <w:pPr>
        <w:rPr>
          <w:noProof/>
        </w:rPr>
      </w:pPr>
    </w:p>
    <w:p w14:paraId="470AE4E3"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noProof/>
        </w:rPr>
      </w:pPr>
      <w:r w:rsidRPr="00733B7A">
        <w:rPr>
          <w:b/>
          <w:noProof/>
        </w:rPr>
        <w:t>4.</w:t>
      </w:r>
      <w:r w:rsidRPr="00733B7A">
        <w:rPr>
          <w:b/>
          <w:noProof/>
        </w:rPr>
        <w:tab/>
        <w:t>FARMACINĖ FORMA IR KIEKIS PAKUOTĖJE</w:t>
      </w:r>
    </w:p>
    <w:p w14:paraId="07FBB3F5" w14:textId="77777777" w:rsidR="009A78C3" w:rsidRPr="00733B7A" w:rsidRDefault="009A78C3" w:rsidP="009A78C3">
      <w:pPr>
        <w:autoSpaceDE w:val="0"/>
        <w:autoSpaceDN w:val="0"/>
        <w:adjustRightInd w:val="0"/>
      </w:pPr>
    </w:p>
    <w:p w14:paraId="5E33802A" w14:textId="77777777" w:rsidR="009A78C3" w:rsidRPr="00733B7A" w:rsidRDefault="009A78C3" w:rsidP="009A78C3">
      <w:pPr>
        <w:autoSpaceDE w:val="0"/>
        <w:autoSpaceDN w:val="0"/>
        <w:adjustRightInd w:val="0"/>
      </w:pPr>
      <w:r w:rsidRPr="00733B7A">
        <w:t>2 plėvele dengtos tabletės</w:t>
      </w:r>
    </w:p>
    <w:p w14:paraId="78C8B401" w14:textId="77777777" w:rsidR="009A78C3" w:rsidRPr="004F100A" w:rsidRDefault="009A78C3" w:rsidP="009A78C3">
      <w:pPr>
        <w:autoSpaceDE w:val="0"/>
        <w:autoSpaceDN w:val="0"/>
        <w:adjustRightInd w:val="0"/>
        <w:rPr>
          <w:highlight w:val="lightGray"/>
        </w:rPr>
      </w:pPr>
      <w:r w:rsidRPr="004F100A">
        <w:rPr>
          <w:highlight w:val="lightGray"/>
        </w:rPr>
        <w:t>4 plėvele dengtos tabletės</w:t>
      </w:r>
    </w:p>
    <w:p w14:paraId="46AE8805" w14:textId="77777777" w:rsidR="009A78C3" w:rsidRPr="00733B7A" w:rsidRDefault="009A78C3" w:rsidP="009A78C3">
      <w:pPr>
        <w:autoSpaceDE w:val="0"/>
        <w:autoSpaceDN w:val="0"/>
        <w:adjustRightInd w:val="0"/>
      </w:pPr>
      <w:r w:rsidRPr="004F100A">
        <w:rPr>
          <w:highlight w:val="lightGray"/>
        </w:rPr>
        <w:t>12 plėvele dengtų tablečių</w:t>
      </w:r>
    </w:p>
    <w:p w14:paraId="30A4F2D2" w14:textId="77777777" w:rsidR="009A78C3" w:rsidRPr="00733B7A" w:rsidRDefault="009A78C3" w:rsidP="009A78C3">
      <w:pPr>
        <w:rPr>
          <w:noProof/>
        </w:rPr>
      </w:pPr>
    </w:p>
    <w:p w14:paraId="4304354F" w14:textId="77777777" w:rsidR="009A78C3" w:rsidRPr="00733B7A" w:rsidRDefault="009A78C3" w:rsidP="009A78C3">
      <w:pPr>
        <w:rPr>
          <w:noProof/>
        </w:rPr>
      </w:pPr>
    </w:p>
    <w:p w14:paraId="137DFB6F" w14:textId="77777777" w:rsidR="009A78C3" w:rsidRPr="004F100A" w:rsidRDefault="009A78C3" w:rsidP="009A78C3">
      <w:pPr>
        <w:pBdr>
          <w:top w:val="single" w:sz="4" w:space="1" w:color="auto"/>
          <w:left w:val="single" w:sz="4" w:space="4" w:color="auto"/>
          <w:bottom w:val="single" w:sz="4" w:space="1" w:color="auto"/>
          <w:right w:val="single" w:sz="4" w:space="4" w:color="auto"/>
        </w:pBdr>
        <w:outlineLvl w:val="0"/>
        <w:rPr>
          <w:noProof/>
          <w:highlight w:val="lightGray"/>
        </w:rPr>
      </w:pPr>
      <w:r w:rsidRPr="00733B7A">
        <w:rPr>
          <w:b/>
          <w:noProof/>
        </w:rPr>
        <w:t>5.</w:t>
      </w:r>
      <w:r w:rsidRPr="00733B7A">
        <w:rPr>
          <w:b/>
          <w:noProof/>
        </w:rPr>
        <w:tab/>
        <w:t>VARTOJIMO METODAS IR BŪDAS</w:t>
      </w:r>
    </w:p>
    <w:p w14:paraId="63237BBB" w14:textId="77777777" w:rsidR="009A78C3" w:rsidRPr="00733B7A" w:rsidRDefault="009A78C3" w:rsidP="009A78C3">
      <w:pPr>
        <w:rPr>
          <w:i/>
          <w:noProof/>
        </w:rPr>
      </w:pPr>
    </w:p>
    <w:p w14:paraId="634EADCB" w14:textId="77777777" w:rsidR="009A78C3" w:rsidRPr="00733B7A" w:rsidRDefault="009A78C3" w:rsidP="009A78C3">
      <w:pPr>
        <w:autoSpaceDE w:val="0"/>
        <w:autoSpaceDN w:val="0"/>
        <w:adjustRightInd w:val="0"/>
      </w:pPr>
      <w:r w:rsidRPr="00733B7A">
        <w:t>Prieš vartojimą perskaitykite pakuotės lapelį.</w:t>
      </w:r>
    </w:p>
    <w:p w14:paraId="5C6E1E0F" w14:textId="77777777" w:rsidR="009A78C3" w:rsidRPr="00733B7A" w:rsidRDefault="009A78C3" w:rsidP="009A78C3">
      <w:pPr>
        <w:autoSpaceDE w:val="0"/>
        <w:autoSpaceDN w:val="0"/>
        <w:adjustRightInd w:val="0"/>
      </w:pPr>
    </w:p>
    <w:p w14:paraId="07841313" w14:textId="77777777" w:rsidR="009A78C3" w:rsidRPr="00733B7A" w:rsidRDefault="009A78C3" w:rsidP="009A78C3">
      <w:pPr>
        <w:autoSpaceDE w:val="0"/>
        <w:autoSpaceDN w:val="0"/>
        <w:adjustRightInd w:val="0"/>
      </w:pPr>
      <w:r w:rsidRPr="00733B7A">
        <w:t>Vartoti per burną.</w:t>
      </w:r>
    </w:p>
    <w:p w14:paraId="70DC6969" w14:textId="77777777" w:rsidR="009A78C3" w:rsidRPr="00733B7A" w:rsidRDefault="009A78C3" w:rsidP="009A78C3">
      <w:pPr>
        <w:autoSpaceDE w:val="0"/>
        <w:autoSpaceDN w:val="0"/>
        <w:adjustRightInd w:val="0"/>
      </w:pPr>
      <w:r w:rsidRPr="00733B7A">
        <w:t>Vartoti vieną kartą per savaitę</w:t>
      </w:r>
      <w:r>
        <w:t>.</w:t>
      </w:r>
    </w:p>
    <w:p w14:paraId="52C4D31C" w14:textId="77777777" w:rsidR="009A78C3" w:rsidRPr="00733B7A" w:rsidRDefault="009A78C3" w:rsidP="009A78C3">
      <w:pPr>
        <w:autoSpaceDE w:val="0"/>
        <w:autoSpaceDN w:val="0"/>
        <w:adjustRightInd w:val="0"/>
      </w:pPr>
    </w:p>
    <w:p w14:paraId="63E3BDA6" w14:textId="77777777" w:rsidR="009A78C3" w:rsidRPr="00733B7A" w:rsidRDefault="009A78C3" w:rsidP="009A78C3">
      <w:pPr>
        <w:autoSpaceDE w:val="0"/>
        <w:autoSpaceDN w:val="0"/>
        <w:adjustRightInd w:val="0"/>
      </w:pPr>
      <w:r w:rsidRPr="00733B7A">
        <w:t>Tabletės vartojimo data</w:t>
      </w:r>
      <w:r>
        <w:t>:</w:t>
      </w:r>
    </w:p>
    <w:p w14:paraId="32EF7966" w14:textId="77777777" w:rsidR="009A78C3" w:rsidRPr="00733B7A" w:rsidRDefault="009A78C3" w:rsidP="009A78C3">
      <w:pPr>
        <w:autoSpaceDE w:val="0"/>
        <w:autoSpaceDN w:val="0"/>
        <w:adjustRightInd w:val="0"/>
      </w:pPr>
      <w:r w:rsidRPr="00733B7A">
        <w:t>P</w:t>
      </w:r>
      <w:r>
        <w:t>.</w:t>
      </w:r>
      <w:r w:rsidRPr="00733B7A">
        <w:t xml:space="preserve"> A</w:t>
      </w:r>
      <w:r>
        <w:t>.</w:t>
      </w:r>
      <w:r w:rsidRPr="00733B7A">
        <w:t xml:space="preserve"> T</w:t>
      </w:r>
      <w:r>
        <w:t>.</w:t>
      </w:r>
      <w:r w:rsidRPr="00733B7A">
        <w:t xml:space="preserve"> K</w:t>
      </w:r>
      <w:r>
        <w:t>.</w:t>
      </w:r>
      <w:r w:rsidRPr="00733B7A">
        <w:t xml:space="preserve"> Pn</w:t>
      </w:r>
      <w:r>
        <w:t>.</w:t>
      </w:r>
      <w:r w:rsidRPr="00733B7A">
        <w:t xml:space="preserve"> Š</w:t>
      </w:r>
      <w:r>
        <w:t>.</w:t>
      </w:r>
      <w:r w:rsidRPr="00733B7A">
        <w:t xml:space="preserve"> S</w:t>
      </w:r>
      <w:r>
        <w:t>.</w:t>
      </w:r>
    </w:p>
    <w:p w14:paraId="28110DB5" w14:textId="77777777" w:rsidR="009A78C3" w:rsidRPr="00733B7A" w:rsidRDefault="009A78C3" w:rsidP="009A78C3">
      <w:pPr>
        <w:rPr>
          <w:noProof/>
        </w:rPr>
      </w:pPr>
    </w:p>
    <w:p w14:paraId="31478F74" w14:textId="77777777" w:rsidR="009A78C3" w:rsidRPr="00733B7A" w:rsidRDefault="009A78C3" w:rsidP="009A78C3">
      <w:pPr>
        <w:rPr>
          <w:noProof/>
        </w:rPr>
      </w:pPr>
    </w:p>
    <w:p w14:paraId="21571F8C" w14:textId="77777777" w:rsidR="009A78C3" w:rsidRPr="00733B7A" w:rsidRDefault="009A78C3" w:rsidP="009A78C3">
      <w:pPr>
        <w:pBdr>
          <w:top w:val="single" w:sz="4" w:space="0" w:color="auto"/>
          <w:left w:val="single" w:sz="4" w:space="4" w:color="auto"/>
          <w:bottom w:val="single" w:sz="4" w:space="1" w:color="auto"/>
          <w:right w:val="single" w:sz="4" w:space="4" w:color="auto"/>
        </w:pBdr>
        <w:outlineLvl w:val="0"/>
        <w:rPr>
          <w:noProof/>
        </w:rPr>
      </w:pPr>
      <w:r w:rsidRPr="00733B7A">
        <w:rPr>
          <w:b/>
          <w:noProof/>
        </w:rPr>
        <w:t>6.</w:t>
      </w:r>
      <w:r w:rsidRPr="00733B7A">
        <w:rPr>
          <w:b/>
          <w:noProof/>
        </w:rPr>
        <w:tab/>
      </w:r>
      <w:r w:rsidRPr="00733B7A">
        <w:rPr>
          <w:b/>
          <w:bCs/>
          <w:noProof/>
        </w:rPr>
        <w:t xml:space="preserve">SPECIALUS ĮSPĖJIMAS, </w:t>
      </w:r>
      <w:r>
        <w:rPr>
          <w:b/>
          <w:bCs/>
          <w:noProof/>
        </w:rPr>
        <w:t>KAD</w:t>
      </w:r>
      <w:r w:rsidRPr="00733B7A">
        <w:rPr>
          <w:b/>
          <w:bCs/>
          <w:noProof/>
        </w:rPr>
        <w:t xml:space="preserve"> VAISTINĮ PREPARATĄ BŪTINA LAIKYTI VAIKAMS </w:t>
      </w:r>
      <w:r w:rsidRPr="00D34CD1">
        <w:rPr>
          <w:b/>
          <w:bCs/>
          <w:noProof/>
        </w:rPr>
        <w:t xml:space="preserve">NEPASTEBIMOJE IR </w:t>
      </w:r>
      <w:r w:rsidRPr="00733B7A">
        <w:rPr>
          <w:b/>
          <w:bCs/>
          <w:noProof/>
        </w:rPr>
        <w:t>NEPASIEKIAMOJE VIETOJE</w:t>
      </w:r>
    </w:p>
    <w:p w14:paraId="2661FF80" w14:textId="77777777" w:rsidR="009A78C3" w:rsidRPr="00733B7A" w:rsidRDefault="009A78C3" w:rsidP="009A78C3">
      <w:pPr>
        <w:rPr>
          <w:noProof/>
        </w:rPr>
      </w:pPr>
    </w:p>
    <w:p w14:paraId="18938979" w14:textId="77777777" w:rsidR="009A78C3" w:rsidRPr="00733B7A" w:rsidRDefault="009A78C3" w:rsidP="009A78C3">
      <w:pPr>
        <w:rPr>
          <w:rFonts w:eastAsia="Times New Roman"/>
          <w:lang w:eastAsia="lt-LT"/>
        </w:rPr>
      </w:pPr>
      <w:r w:rsidRPr="00733B7A">
        <w:rPr>
          <w:rFonts w:eastAsia="Times New Roman"/>
          <w:lang w:eastAsia="lt-LT"/>
        </w:rPr>
        <w:t xml:space="preserve">Laikyti vaikams </w:t>
      </w:r>
      <w:r w:rsidRPr="00D34CD1">
        <w:t>nepastebimoje ir</w:t>
      </w:r>
      <w:r w:rsidRPr="00733B7A">
        <w:rPr>
          <w:rFonts w:eastAsia="Times New Roman"/>
          <w:lang w:eastAsia="lt-LT"/>
        </w:rPr>
        <w:t xml:space="preserve"> nepasiekiamoje vietoje.</w:t>
      </w:r>
    </w:p>
    <w:p w14:paraId="6F0DB4BB" w14:textId="77777777" w:rsidR="009A78C3" w:rsidRPr="00733B7A" w:rsidRDefault="009A78C3" w:rsidP="009A78C3">
      <w:pPr>
        <w:rPr>
          <w:noProof/>
        </w:rPr>
      </w:pPr>
    </w:p>
    <w:p w14:paraId="7BDB5899" w14:textId="77777777" w:rsidR="009A78C3" w:rsidRPr="00733B7A" w:rsidRDefault="009A78C3" w:rsidP="009A78C3">
      <w:pPr>
        <w:rPr>
          <w:noProof/>
        </w:rPr>
      </w:pPr>
    </w:p>
    <w:p w14:paraId="28E2F0BA" w14:textId="77777777" w:rsidR="009A78C3" w:rsidRPr="004F100A" w:rsidRDefault="009A78C3" w:rsidP="009A78C3">
      <w:pPr>
        <w:pBdr>
          <w:top w:val="single" w:sz="4" w:space="1" w:color="auto"/>
          <w:left w:val="single" w:sz="4" w:space="4" w:color="auto"/>
          <w:bottom w:val="single" w:sz="4" w:space="1" w:color="auto"/>
          <w:right w:val="single" w:sz="4" w:space="4" w:color="auto"/>
        </w:pBdr>
        <w:outlineLvl w:val="0"/>
        <w:rPr>
          <w:noProof/>
          <w:highlight w:val="lightGray"/>
        </w:rPr>
      </w:pPr>
      <w:r w:rsidRPr="00733B7A">
        <w:rPr>
          <w:b/>
          <w:noProof/>
        </w:rPr>
        <w:t>7.</w:t>
      </w:r>
      <w:r w:rsidRPr="00733B7A">
        <w:rPr>
          <w:b/>
          <w:noProof/>
        </w:rPr>
        <w:tab/>
      </w:r>
      <w:r w:rsidRPr="00733B7A">
        <w:rPr>
          <w:b/>
          <w:bCs/>
          <w:noProof/>
        </w:rPr>
        <w:t>KITAS SPECIALUS ĮSPĖJIMAS (JEI REIKIA)</w:t>
      </w:r>
    </w:p>
    <w:p w14:paraId="2539CEE3" w14:textId="77777777" w:rsidR="009A78C3" w:rsidRPr="00733B7A" w:rsidRDefault="009A78C3" w:rsidP="009A78C3">
      <w:pPr>
        <w:autoSpaceDE w:val="0"/>
        <w:autoSpaceDN w:val="0"/>
        <w:adjustRightInd w:val="0"/>
      </w:pPr>
    </w:p>
    <w:p w14:paraId="35C2A099" w14:textId="77777777" w:rsidR="009A78C3" w:rsidRPr="00733B7A" w:rsidRDefault="009A78C3" w:rsidP="009A78C3">
      <w:pPr>
        <w:rPr>
          <w:noProof/>
        </w:rPr>
      </w:pPr>
    </w:p>
    <w:p w14:paraId="0697E806" w14:textId="77777777" w:rsidR="009A78C3" w:rsidRPr="004F100A" w:rsidRDefault="009A78C3" w:rsidP="009A78C3">
      <w:pPr>
        <w:pBdr>
          <w:top w:val="single" w:sz="4" w:space="1" w:color="auto"/>
          <w:left w:val="single" w:sz="4" w:space="4" w:color="auto"/>
          <w:bottom w:val="single" w:sz="4" w:space="1" w:color="auto"/>
          <w:right w:val="single" w:sz="4" w:space="4" w:color="auto"/>
        </w:pBdr>
        <w:outlineLvl w:val="0"/>
        <w:rPr>
          <w:noProof/>
          <w:highlight w:val="lightGray"/>
        </w:rPr>
      </w:pPr>
      <w:r w:rsidRPr="00733B7A">
        <w:rPr>
          <w:b/>
          <w:noProof/>
        </w:rPr>
        <w:t>8.</w:t>
      </w:r>
      <w:r w:rsidRPr="00733B7A">
        <w:rPr>
          <w:b/>
          <w:noProof/>
        </w:rPr>
        <w:tab/>
      </w:r>
      <w:r w:rsidRPr="00733B7A">
        <w:rPr>
          <w:b/>
          <w:bCs/>
          <w:noProof/>
        </w:rPr>
        <w:t>TINKAMUMO LAIKAS</w:t>
      </w:r>
    </w:p>
    <w:p w14:paraId="0CACEAE0" w14:textId="77777777" w:rsidR="009A78C3" w:rsidRPr="00733B7A" w:rsidRDefault="009A78C3" w:rsidP="009A78C3">
      <w:pPr>
        <w:rPr>
          <w:noProof/>
        </w:rPr>
      </w:pPr>
    </w:p>
    <w:p w14:paraId="60BB4BCB" w14:textId="77777777" w:rsidR="009A78C3" w:rsidRPr="00733B7A" w:rsidRDefault="009A78C3" w:rsidP="009A78C3">
      <w:pPr>
        <w:autoSpaceDE w:val="0"/>
        <w:autoSpaceDN w:val="0"/>
        <w:adjustRightInd w:val="0"/>
      </w:pPr>
      <w:r w:rsidRPr="00733B7A">
        <w:t xml:space="preserve">Tinka iki: </w:t>
      </w:r>
      <w:r>
        <w:t>mm/MMMM</w:t>
      </w:r>
    </w:p>
    <w:p w14:paraId="0C57A256" w14:textId="77777777" w:rsidR="009A78C3" w:rsidRPr="00733B7A" w:rsidRDefault="009A78C3" w:rsidP="009A78C3">
      <w:pPr>
        <w:rPr>
          <w:noProof/>
        </w:rPr>
      </w:pPr>
    </w:p>
    <w:p w14:paraId="18FB6CD3" w14:textId="77777777" w:rsidR="009A78C3" w:rsidRPr="00733B7A" w:rsidRDefault="009A78C3" w:rsidP="009A78C3">
      <w:pPr>
        <w:rPr>
          <w:noProof/>
        </w:rPr>
      </w:pPr>
    </w:p>
    <w:p w14:paraId="008A9B3F"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noProof/>
        </w:rPr>
      </w:pPr>
      <w:r w:rsidRPr="00733B7A">
        <w:rPr>
          <w:b/>
          <w:noProof/>
        </w:rPr>
        <w:lastRenderedPageBreak/>
        <w:t>9.</w:t>
      </w:r>
      <w:r w:rsidRPr="00733B7A">
        <w:rPr>
          <w:b/>
          <w:noProof/>
        </w:rPr>
        <w:tab/>
      </w:r>
      <w:r w:rsidRPr="00733B7A">
        <w:rPr>
          <w:b/>
          <w:caps/>
          <w:noProof/>
        </w:rPr>
        <w:t>SPECIALIOS laikymo sąlygos</w:t>
      </w:r>
    </w:p>
    <w:p w14:paraId="60726307" w14:textId="77777777" w:rsidR="009A78C3" w:rsidRPr="00733B7A" w:rsidRDefault="009A78C3" w:rsidP="009A78C3">
      <w:pPr>
        <w:rPr>
          <w:i/>
          <w:iCs/>
        </w:rPr>
      </w:pPr>
    </w:p>
    <w:p w14:paraId="1F4DE4A7" w14:textId="77777777" w:rsidR="009A78C3" w:rsidRPr="00733B7A" w:rsidRDefault="009A78C3" w:rsidP="009A78C3">
      <w:pPr>
        <w:autoSpaceDE w:val="0"/>
        <w:autoSpaceDN w:val="0"/>
        <w:adjustRightInd w:val="0"/>
      </w:pPr>
    </w:p>
    <w:p w14:paraId="0A49A932" w14:textId="77777777" w:rsidR="009A78C3" w:rsidRPr="00733B7A" w:rsidRDefault="009A78C3" w:rsidP="009A78C3">
      <w:pPr>
        <w:pBdr>
          <w:top w:val="single" w:sz="4" w:space="1" w:color="auto"/>
          <w:left w:val="single" w:sz="4" w:space="4" w:color="auto"/>
          <w:bottom w:val="single" w:sz="4" w:space="1" w:color="auto"/>
          <w:right w:val="single" w:sz="4" w:space="4" w:color="auto"/>
        </w:pBdr>
        <w:tabs>
          <w:tab w:val="left" w:pos="540"/>
        </w:tabs>
        <w:rPr>
          <w:rFonts w:eastAsia="Times New Roman"/>
          <w:b/>
          <w:bCs/>
          <w:noProof/>
          <w:lang w:eastAsia="lt-LT"/>
        </w:rPr>
      </w:pPr>
      <w:r w:rsidRPr="00733B7A">
        <w:rPr>
          <w:rFonts w:eastAsia="Times New Roman"/>
          <w:b/>
          <w:bCs/>
          <w:noProof/>
          <w:lang w:eastAsia="lt-LT"/>
        </w:rPr>
        <w:t>10.</w:t>
      </w:r>
      <w:r w:rsidRPr="00733B7A">
        <w:rPr>
          <w:rFonts w:eastAsia="Times New Roman"/>
          <w:b/>
          <w:bCs/>
          <w:noProof/>
          <w:lang w:eastAsia="lt-LT"/>
        </w:rPr>
        <w:tab/>
        <w:t xml:space="preserve">SPECIALIOS ATSARGUMO PRIEMONĖS DĖL NESUVARTOTO </w:t>
      </w:r>
      <w:r w:rsidRPr="00733B7A">
        <w:rPr>
          <w:rFonts w:eastAsia="Times New Roman"/>
          <w:b/>
          <w:noProof/>
          <w:lang w:eastAsia="lt-LT"/>
        </w:rPr>
        <w:t xml:space="preserve">VAISTINIO PREPARATO AR JO ATLIEKŲ </w:t>
      </w:r>
      <w:r w:rsidRPr="00733B7A">
        <w:rPr>
          <w:rFonts w:eastAsia="Times New Roman"/>
          <w:b/>
          <w:bCs/>
          <w:noProof/>
          <w:lang w:eastAsia="lt-LT"/>
        </w:rPr>
        <w:t>TVARKYMO (JEI REIKIA)</w:t>
      </w:r>
    </w:p>
    <w:p w14:paraId="46ECA46D" w14:textId="77777777" w:rsidR="009A78C3" w:rsidRPr="00733B7A" w:rsidRDefault="009A78C3" w:rsidP="009A78C3">
      <w:pPr>
        <w:rPr>
          <w:noProof/>
        </w:rPr>
      </w:pPr>
    </w:p>
    <w:p w14:paraId="7F6CCB73" w14:textId="77777777" w:rsidR="009A78C3" w:rsidRPr="00733B7A" w:rsidRDefault="009A78C3" w:rsidP="009A78C3">
      <w:pPr>
        <w:rPr>
          <w:noProof/>
        </w:rPr>
      </w:pPr>
    </w:p>
    <w:p w14:paraId="0BC60386"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b/>
          <w:noProof/>
        </w:rPr>
      </w:pPr>
      <w:r w:rsidRPr="00733B7A">
        <w:rPr>
          <w:b/>
          <w:noProof/>
        </w:rPr>
        <w:t>11.</w:t>
      </w:r>
      <w:r w:rsidRPr="00733B7A">
        <w:t xml:space="preserve"> </w:t>
      </w:r>
      <w:r w:rsidRPr="00733B7A">
        <w:tab/>
      </w:r>
      <w:r>
        <w:rPr>
          <w:b/>
          <w:caps/>
          <w:noProof/>
          <w:szCs w:val="24"/>
        </w:rPr>
        <w:t xml:space="preserve">REGISTRUOTOJO </w:t>
      </w:r>
      <w:r w:rsidRPr="00733B7A">
        <w:rPr>
          <w:b/>
        </w:rPr>
        <w:t>PAVADINIMAS IR ADRESAS</w:t>
      </w:r>
    </w:p>
    <w:p w14:paraId="4681F230" w14:textId="77777777" w:rsidR="009A78C3" w:rsidRPr="00733B7A" w:rsidRDefault="009A78C3" w:rsidP="009A78C3">
      <w:pPr>
        <w:rPr>
          <w:b/>
        </w:rPr>
      </w:pPr>
    </w:p>
    <w:p w14:paraId="0234F25C" w14:textId="77777777" w:rsidR="009A78C3" w:rsidRDefault="00830E0B" w:rsidP="009A78C3">
      <w:pPr>
        <w:autoSpaceDE w:val="0"/>
        <w:autoSpaceDN w:val="0"/>
        <w:adjustRightInd w:val="0"/>
      </w:pPr>
      <w:r>
        <w:t>Adamed Pharma S.A.</w:t>
      </w:r>
    </w:p>
    <w:p w14:paraId="44425B82" w14:textId="77777777" w:rsidR="009A78C3" w:rsidRDefault="00830E0B" w:rsidP="009A78C3">
      <w:pPr>
        <w:autoSpaceDE w:val="0"/>
        <w:autoSpaceDN w:val="0"/>
        <w:adjustRightInd w:val="0"/>
      </w:pPr>
      <w:r>
        <w:t>Pieńków, ul. M. Adamkiewicza 6A</w:t>
      </w:r>
    </w:p>
    <w:p w14:paraId="40BD6AE3" w14:textId="77777777" w:rsidR="00CE18BE" w:rsidRDefault="00830E0B" w:rsidP="009A78C3">
      <w:pPr>
        <w:autoSpaceDE w:val="0"/>
        <w:autoSpaceDN w:val="0"/>
        <w:adjustRightInd w:val="0"/>
      </w:pPr>
      <w:r>
        <w:t>05-152 Czosnów</w:t>
      </w:r>
    </w:p>
    <w:p w14:paraId="3DBA5D15" w14:textId="77777777" w:rsidR="009A78C3" w:rsidRPr="00733B7A" w:rsidRDefault="009A78C3" w:rsidP="009A78C3">
      <w:pPr>
        <w:autoSpaceDE w:val="0"/>
        <w:autoSpaceDN w:val="0"/>
        <w:adjustRightInd w:val="0"/>
      </w:pPr>
      <w:r w:rsidRPr="00733B7A">
        <w:t>Lenkija</w:t>
      </w:r>
    </w:p>
    <w:p w14:paraId="3191C792" w14:textId="77777777" w:rsidR="009A78C3" w:rsidRPr="00733B7A" w:rsidRDefault="009A78C3" w:rsidP="009A78C3">
      <w:pPr>
        <w:autoSpaceDE w:val="0"/>
        <w:autoSpaceDN w:val="0"/>
        <w:adjustRightInd w:val="0"/>
      </w:pPr>
    </w:p>
    <w:p w14:paraId="40A1F6D1" w14:textId="77777777" w:rsidR="009A78C3" w:rsidRPr="00733B7A" w:rsidRDefault="009A78C3" w:rsidP="009A78C3">
      <w:pPr>
        <w:rPr>
          <w:noProof/>
        </w:rPr>
      </w:pPr>
    </w:p>
    <w:p w14:paraId="20869468"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b/>
          <w:noProof/>
        </w:rPr>
      </w:pPr>
      <w:r w:rsidRPr="00733B7A">
        <w:rPr>
          <w:b/>
          <w:noProof/>
        </w:rPr>
        <w:t>12.</w:t>
      </w:r>
      <w:r w:rsidRPr="00733B7A">
        <w:rPr>
          <w:b/>
        </w:rPr>
        <w:t xml:space="preserve"> </w:t>
      </w:r>
      <w:r w:rsidRPr="00733B7A">
        <w:rPr>
          <w:b/>
        </w:rPr>
        <w:tab/>
      </w:r>
      <w:r>
        <w:rPr>
          <w:b/>
          <w:noProof/>
          <w:szCs w:val="24"/>
        </w:rPr>
        <w:t>REGISTRACIJOS</w:t>
      </w:r>
      <w:r w:rsidRPr="00733B7A">
        <w:rPr>
          <w:b/>
        </w:rPr>
        <w:t xml:space="preserve"> </w:t>
      </w:r>
      <w:r>
        <w:rPr>
          <w:b/>
        </w:rPr>
        <w:t>PAŽYMĖJIMO</w:t>
      </w:r>
      <w:r w:rsidRPr="00733B7A">
        <w:rPr>
          <w:b/>
        </w:rPr>
        <w:t xml:space="preserve"> NUMERIS</w:t>
      </w:r>
      <w:r w:rsidRPr="00733B7A">
        <w:rPr>
          <w:b/>
          <w:noProof/>
        </w:rPr>
        <w:t xml:space="preserve"> </w:t>
      </w:r>
      <w:r w:rsidRPr="00B34FA1">
        <w:rPr>
          <w:b/>
          <w:noProof/>
          <w:szCs w:val="24"/>
        </w:rPr>
        <w:t>(-IAI)</w:t>
      </w:r>
    </w:p>
    <w:p w14:paraId="65F82382" w14:textId="77777777" w:rsidR="009A78C3" w:rsidRPr="00733B7A" w:rsidRDefault="009A78C3" w:rsidP="009A78C3"/>
    <w:p w14:paraId="7B77283C" w14:textId="77777777" w:rsidR="009A78C3" w:rsidRPr="00733B7A" w:rsidRDefault="009A78C3" w:rsidP="009A78C3">
      <w:pPr>
        <w:rPr>
          <w:rFonts w:eastAsia="Times New Roman"/>
          <w:lang w:eastAsia="lt-LT"/>
        </w:rPr>
      </w:pPr>
      <w:r w:rsidRPr="00733B7A">
        <w:rPr>
          <w:rFonts w:eastAsia="Times New Roman"/>
          <w:lang w:eastAsia="lt-LT"/>
        </w:rPr>
        <w:t>N2 – LT/1/08/1398/001</w:t>
      </w:r>
    </w:p>
    <w:p w14:paraId="254F8939" w14:textId="77777777" w:rsidR="009A78C3" w:rsidRPr="00733B7A" w:rsidRDefault="009A78C3" w:rsidP="009A78C3">
      <w:pPr>
        <w:rPr>
          <w:rFonts w:eastAsia="Times New Roman"/>
          <w:lang w:eastAsia="lt-LT"/>
        </w:rPr>
      </w:pPr>
      <w:r w:rsidRPr="00733B7A">
        <w:rPr>
          <w:rFonts w:eastAsia="Times New Roman"/>
          <w:lang w:eastAsia="lt-LT"/>
        </w:rPr>
        <w:t>N4 – LT/1/08/1398/002</w:t>
      </w:r>
    </w:p>
    <w:p w14:paraId="77501A42" w14:textId="77777777" w:rsidR="009A78C3" w:rsidRPr="00733B7A" w:rsidRDefault="009A78C3" w:rsidP="009A78C3">
      <w:pPr>
        <w:rPr>
          <w:rFonts w:eastAsia="Times New Roman"/>
          <w:lang w:eastAsia="lt-LT"/>
        </w:rPr>
      </w:pPr>
      <w:r w:rsidRPr="00733B7A">
        <w:rPr>
          <w:rFonts w:eastAsia="Times New Roman"/>
          <w:lang w:eastAsia="lt-LT"/>
        </w:rPr>
        <w:t>N12 – LT/1/08/1398/003</w:t>
      </w:r>
    </w:p>
    <w:p w14:paraId="570C4BEA" w14:textId="77777777" w:rsidR="009A78C3" w:rsidRPr="00733B7A" w:rsidRDefault="009A78C3" w:rsidP="009A78C3"/>
    <w:p w14:paraId="0DC92641" w14:textId="77777777" w:rsidR="009A78C3" w:rsidRPr="00733B7A" w:rsidRDefault="009A78C3" w:rsidP="009A78C3">
      <w:pPr>
        <w:rPr>
          <w:noProof/>
        </w:rPr>
      </w:pPr>
    </w:p>
    <w:p w14:paraId="78CD41B5"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noProof/>
        </w:rPr>
      </w:pPr>
      <w:r w:rsidRPr="00733B7A">
        <w:rPr>
          <w:b/>
          <w:noProof/>
        </w:rPr>
        <w:t>13.</w:t>
      </w:r>
      <w:r w:rsidRPr="00733B7A">
        <w:rPr>
          <w:b/>
          <w:noProof/>
        </w:rPr>
        <w:tab/>
        <w:t>SERIJOS NUMERIS</w:t>
      </w:r>
    </w:p>
    <w:p w14:paraId="755EC27F" w14:textId="77777777" w:rsidR="009A78C3" w:rsidRPr="00733B7A" w:rsidRDefault="009A78C3" w:rsidP="009A78C3">
      <w:pPr>
        <w:rPr>
          <w:noProof/>
        </w:rPr>
      </w:pPr>
    </w:p>
    <w:p w14:paraId="4F588B2E" w14:textId="77777777" w:rsidR="009A78C3" w:rsidRPr="00733B7A" w:rsidRDefault="009A78C3" w:rsidP="009A78C3">
      <w:pPr>
        <w:rPr>
          <w:noProof/>
        </w:rPr>
      </w:pPr>
      <w:r w:rsidRPr="00733B7A">
        <w:t>Serija:</w:t>
      </w:r>
    </w:p>
    <w:p w14:paraId="12E04618" w14:textId="77777777" w:rsidR="009A78C3" w:rsidRPr="00733B7A" w:rsidRDefault="009A78C3" w:rsidP="009A78C3">
      <w:pPr>
        <w:rPr>
          <w:noProof/>
        </w:rPr>
      </w:pPr>
    </w:p>
    <w:p w14:paraId="40EDCD27" w14:textId="77777777" w:rsidR="009A78C3" w:rsidRPr="00733B7A" w:rsidRDefault="009A78C3" w:rsidP="009A78C3">
      <w:pPr>
        <w:rPr>
          <w:noProof/>
        </w:rPr>
      </w:pPr>
    </w:p>
    <w:p w14:paraId="7DE4211D"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b/>
          <w:noProof/>
        </w:rPr>
      </w:pPr>
      <w:r w:rsidRPr="00733B7A">
        <w:rPr>
          <w:b/>
          <w:noProof/>
        </w:rPr>
        <w:t>14.</w:t>
      </w:r>
      <w:r w:rsidRPr="00733B7A">
        <w:rPr>
          <w:b/>
          <w:noProof/>
        </w:rPr>
        <w:tab/>
      </w:r>
      <w:r w:rsidRPr="00733B7A">
        <w:rPr>
          <w:b/>
        </w:rPr>
        <w:t>PARDAVIMO (IŠDAVIMO) TVARKA</w:t>
      </w:r>
      <w:r w:rsidRPr="00733B7A" w:rsidDel="00D97D8A">
        <w:rPr>
          <w:b/>
          <w:caps/>
          <w:noProof/>
        </w:rPr>
        <w:t xml:space="preserve"> </w:t>
      </w:r>
    </w:p>
    <w:p w14:paraId="33D74E78" w14:textId="77777777" w:rsidR="009A78C3" w:rsidRPr="00733B7A" w:rsidRDefault="009A78C3" w:rsidP="009A78C3">
      <w:pPr>
        <w:rPr>
          <w:noProof/>
        </w:rPr>
      </w:pPr>
    </w:p>
    <w:p w14:paraId="65EA3206" w14:textId="77777777" w:rsidR="009A78C3" w:rsidRPr="00733B7A" w:rsidRDefault="009A78C3" w:rsidP="009A78C3">
      <w:pPr>
        <w:autoSpaceDE w:val="0"/>
        <w:autoSpaceDN w:val="0"/>
        <w:adjustRightInd w:val="0"/>
      </w:pPr>
      <w:r w:rsidRPr="00733B7A">
        <w:t>Receptinis vaistas.</w:t>
      </w:r>
    </w:p>
    <w:p w14:paraId="648E079D" w14:textId="77777777" w:rsidR="009A78C3" w:rsidRPr="00733B7A" w:rsidRDefault="009A78C3" w:rsidP="009A78C3">
      <w:pPr>
        <w:rPr>
          <w:noProof/>
        </w:rPr>
      </w:pPr>
    </w:p>
    <w:p w14:paraId="37C70068" w14:textId="77777777" w:rsidR="009A78C3" w:rsidRPr="00733B7A" w:rsidRDefault="009A78C3" w:rsidP="009A78C3">
      <w:pPr>
        <w:rPr>
          <w:noProof/>
        </w:rPr>
      </w:pPr>
    </w:p>
    <w:p w14:paraId="68675E9C"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noProof/>
        </w:rPr>
      </w:pPr>
      <w:r w:rsidRPr="00733B7A">
        <w:rPr>
          <w:b/>
          <w:noProof/>
        </w:rPr>
        <w:t>15.</w:t>
      </w:r>
      <w:r w:rsidRPr="00733B7A">
        <w:rPr>
          <w:b/>
          <w:noProof/>
        </w:rPr>
        <w:tab/>
      </w:r>
      <w:r w:rsidRPr="00733B7A">
        <w:rPr>
          <w:b/>
          <w:caps/>
          <w:noProof/>
        </w:rPr>
        <w:t>vartojimo instrukcijA</w:t>
      </w:r>
    </w:p>
    <w:p w14:paraId="60A575CA" w14:textId="77777777" w:rsidR="009A78C3" w:rsidRPr="00733B7A" w:rsidRDefault="009A78C3" w:rsidP="009A78C3">
      <w:pPr>
        <w:rPr>
          <w:noProof/>
        </w:rPr>
      </w:pPr>
    </w:p>
    <w:p w14:paraId="46A4AE88" w14:textId="77777777" w:rsidR="009A78C3" w:rsidRPr="00733B7A" w:rsidRDefault="009A78C3" w:rsidP="009A78C3">
      <w:pPr>
        <w:rPr>
          <w:noProof/>
        </w:rPr>
      </w:pPr>
    </w:p>
    <w:p w14:paraId="36C883AE" w14:textId="77777777" w:rsidR="009A78C3" w:rsidRPr="00733B7A" w:rsidRDefault="009A78C3" w:rsidP="009A78C3">
      <w:pPr>
        <w:pBdr>
          <w:top w:val="single" w:sz="4" w:space="1" w:color="auto"/>
          <w:left w:val="single" w:sz="4" w:space="4" w:color="auto"/>
          <w:bottom w:val="single" w:sz="4" w:space="1" w:color="auto"/>
          <w:right w:val="single" w:sz="4" w:space="4" w:color="auto"/>
        </w:pBdr>
        <w:outlineLvl w:val="0"/>
        <w:rPr>
          <w:noProof/>
        </w:rPr>
      </w:pPr>
      <w:r w:rsidRPr="00733B7A">
        <w:rPr>
          <w:b/>
          <w:noProof/>
        </w:rPr>
        <w:t>16.</w:t>
      </w:r>
      <w:r w:rsidRPr="00733B7A">
        <w:rPr>
          <w:b/>
          <w:noProof/>
        </w:rPr>
        <w:tab/>
        <w:t>INFORMACIJA BRAILIO RAŠTU</w:t>
      </w:r>
    </w:p>
    <w:p w14:paraId="45706FBF" w14:textId="77777777" w:rsidR="009A78C3" w:rsidRPr="00733B7A" w:rsidRDefault="009A78C3" w:rsidP="009A78C3">
      <w:pPr>
        <w:rPr>
          <w:noProof/>
        </w:rPr>
      </w:pPr>
    </w:p>
    <w:p w14:paraId="057BBB72" w14:textId="77777777" w:rsidR="009A78C3" w:rsidRPr="00733B7A" w:rsidRDefault="009A78C3" w:rsidP="009A78C3">
      <w:pPr>
        <w:autoSpaceDE w:val="0"/>
        <w:autoSpaceDN w:val="0"/>
        <w:adjustRightInd w:val="0"/>
      </w:pPr>
      <w:r w:rsidRPr="00733B7A">
        <w:t>NORIFAZ 35 mg</w:t>
      </w:r>
    </w:p>
    <w:p w14:paraId="76D2BBB5" w14:textId="77777777" w:rsidR="00B71517" w:rsidRPr="00B71517" w:rsidRDefault="00B71517" w:rsidP="00B71517">
      <w:pPr>
        <w:rPr>
          <w:rFonts w:eastAsia="Times New Roman"/>
          <w:b/>
          <w:noProof/>
          <w:color w:val="FF0000"/>
        </w:rPr>
      </w:pPr>
    </w:p>
    <w:p w14:paraId="0D7810E8" w14:textId="77777777" w:rsidR="00B71517" w:rsidRPr="00B71517" w:rsidRDefault="00B71517" w:rsidP="00B71517">
      <w:pPr>
        <w:rPr>
          <w:rFonts w:eastAsia="Times New Roman"/>
          <w:b/>
          <w:noProof/>
          <w:color w:val="FF0000"/>
        </w:rPr>
      </w:pPr>
    </w:p>
    <w:p w14:paraId="522D5B63" w14:textId="77777777" w:rsidR="00B71517" w:rsidRPr="00B71517" w:rsidRDefault="00B71517" w:rsidP="00B71517">
      <w:pPr>
        <w:keepNext/>
        <w:numPr>
          <w:ilvl w:val="0"/>
          <w:numId w:val="12"/>
        </w:numPr>
        <w:pBdr>
          <w:top w:val="single" w:sz="4" w:space="1" w:color="auto"/>
          <w:left w:val="single" w:sz="4" w:space="4" w:color="auto"/>
          <w:bottom w:val="single" w:sz="4" w:space="1" w:color="auto"/>
          <w:right w:val="single" w:sz="4" w:space="4" w:color="auto"/>
        </w:pBdr>
        <w:tabs>
          <w:tab w:val="left" w:pos="709"/>
        </w:tabs>
        <w:spacing w:after="160" w:line="259" w:lineRule="auto"/>
        <w:ind w:left="567" w:hanging="567"/>
        <w:outlineLvl w:val="0"/>
        <w:rPr>
          <w:rFonts w:eastAsia="Times New Roman"/>
          <w:i/>
          <w:noProof/>
          <w:szCs w:val="20"/>
          <w:lang w:eastAsia="lt-LT"/>
        </w:rPr>
      </w:pPr>
      <w:bookmarkStart w:id="2" w:name="_Hlk508697926"/>
      <w:r w:rsidRPr="00B71517">
        <w:rPr>
          <w:rFonts w:eastAsia="Times New Roman"/>
          <w:b/>
          <w:noProof/>
          <w:szCs w:val="20"/>
          <w:lang w:eastAsia="lt-LT"/>
        </w:rPr>
        <w:t>UNIKALUS IDENTIFIKATORIUS – 2D BRŪKŠNINIS KODAS</w:t>
      </w:r>
    </w:p>
    <w:p w14:paraId="3117CD44" w14:textId="77777777" w:rsidR="00B71517" w:rsidRPr="00B71517" w:rsidRDefault="00B71517" w:rsidP="00B71517">
      <w:pPr>
        <w:tabs>
          <w:tab w:val="left" w:pos="708"/>
        </w:tabs>
        <w:rPr>
          <w:rFonts w:eastAsia="Times New Roman"/>
          <w:noProof/>
          <w:szCs w:val="20"/>
          <w:lang w:eastAsia="lt-LT"/>
        </w:rPr>
      </w:pPr>
    </w:p>
    <w:p w14:paraId="792A7D8B" w14:textId="77777777" w:rsidR="00B71517" w:rsidRPr="00B71517" w:rsidRDefault="00B71517" w:rsidP="00B71517">
      <w:pPr>
        <w:tabs>
          <w:tab w:val="left" w:pos="142"/>
        </w:tabs>
        <w:rPr>
          <w:rFonts w:eastAsia="Times New Roman"/>
          <w:noProof/>
          <w:shd w:val="clear" w:color="auto" w:fill="CCCCCC"/>
          <w:lang w:eastAsia="lt-LT"/>
        </w:rPr>
      </w:pPr>
      <w:r w:rsidRPr="00B71517">
        <w:rPr>
          <w:rFonts w:eastAsia="Times New Roman"/>
          <w:noProof/>
          <w:szCs w:val="20"/>
          <w:highlight w:val="lightGray"/>
          <w:lang w:eastAsia="lt-LT"/>
        </w:rPr>
        <w:t>2D brūkšninis kodas su nurodytu unikaliu identifikatoriumi.</w:t>
      </w:r>
    </w:p>
    <w:p w14:paraId="6E1F4783" w14:textId="77777777" w:rsidR="00B71517" w:rsidRPr="00B71517" w:rsidRDefault="00B71517" w:rsidP="00B71517">
      <w:pPr>
        <w:tabs>
          <w:tab w:val="left" w:pos="567"/>
        </w:tabs>
        <w:rPr>
          <w:rFonts w:eastAsia="Times New Roman"/>
          <w:noProof/>
          <w:shd w:val="clear" w:color="auto" w:fill="CCCCCC"/>
          <w:lang w:eastAsia="lt-LT"/>
        </w:rPr>
      </w:pPr>
    </w:p>
    <w:p w14:paraId="41075CE8" w14:textId="77777777" w:rsidR="00B71517" w:rsidRPr="00B71517" w:rsidRDefault="00B71517" w:rsidP="00B71517">
      <w:pPr>
        <w:tabs>
          <w:tab w:val="left" w:pos="567"/>
        </w:tabs>
        <w:rPr>
          <w:rFonts w:eastAsia="Times New Roman"/>
          <w:noProof/>
          <w:vanish/>
          <w:lang w:eastAsia="lt-LT"/>
        </w:rPr>
      </w:pPr>
    </w:p>
    <w:p w14:paraId="528414E9" w14:textId="77777777" w:rsidR="00B71517" w:rsidRPr="00B71517" w:rsidRDefault="00B71517" w:rsidP="00B71517">
      <w:pPr>
        <w:tabs>
          <w:tab w:val="left" w:pos="708"/>
        </w:tabs>
        <w:rPr>
          <w:rFonts w:eastAsia="Times New Roman"/>
          <w:noProof/>
          <w:vanish/>
          <w:lang w:eastAsia="lt-LT"/>
        </w:rPr>
      </w:pPr>
    </w:p>
    <w:p w14:paraId="30230650" w14:textId="77777777" w:rsidR="00B71517" w:rsidRPr="00B71517" w:rsidRDefault="00B71517" w:rsidP="00B71517">
      <w:pPr>
        <w:tabs>
          <w:tab w:val="left" w:pos="708"/>
        </w:tabs>
        <w:rPr>
          <w:rFonts w:eastAsia="Times New Roman"/>
          <w:noProof/>
          <w:szCs w:val="20"/>
          <w:lang w:eastAsia="lt-LT"/>
        </w:rPr>
      </w:pPr>
    </w:p>
    <w:p w14:paraId="4AB5F278" w14:textId="77777777" w:rsidR="00B71517" w:rsidRPr="00B71517" w:rsidRDefault="00B71517" w:rsidP="00B71517">
      <w:pPr>
        <w:keepNext/>
        <w:numPr>
          <w:ilvl w:val="0"/>
          <w:numId w:val="12"/>
        </w:numPr>
        <w:pBdr>
          <w:top w:val="single" w:sz="4" w:space="1" w:color="auto"/>
          <w:left w:val="single" w:sz="4" w:space="4" w:color="auto"/>
          <w:bottom w:val="single" w:sz="4" w:space="1" w:color="auto"/>
          <w:right w:val="single" w:sz="4" w:space="4" w:color="auto"/>
        </w:pBdr>
        <w:tabs>
          <w:tab w:val="left" w:pos="709"/>
        </w:tabs>
        <w:spacing w:after="160" w:line="259" w:lineRule="auto"/>
        <w:ind w:left="567" w:hanging="567"/>
        <w:outlineLvl w:val="0"/>
        <w:rPr>
          <w:rFonts w:eastAsia="Times New Roman"/>
          <w:i/>
          <w:noProof/>
          <w:szCs w:val="20"/>
          <w:lang w:eastAsia="lt-LT"/>
        </w:rPr>
      </w:pPr>
      <w:r w:rsidRPr="00B71517">
        <w:rPr>
          <w:rFonts w:eastAsia="Times New Roman"/>
          <w:b/>
          <w:noProof/>
          <w:szCs w:val="20"/>
          <w:lang w:eastAsia="lt-LT"/>
        </w:rPr>
        <w:t>UNIKALUS IDENTIFIKATORIUS – ŽMONĖMS SUPRANTAMI DUOMENYS</w:t>
      </w:r>
    </w:p>
    <w:p w14:paraId="4123C367" w14:textId="77777777" w:rsidR="00B71517" w:rsidRPr="00B71517" w:rsidRDefault="00B71517" w:rsidP="00B71517">
      <w:pPr>
        <w:tabs>
          <w:tab w:val="left" w:pos="708"/>
        </w:tabs>
        <w:rPr>
          <w:rFonts w:eastAsia="Times New Roman"/>
          <w:noProof/>
          <w:szCs w:val="20"/>
          <w:lang w:eastAsia="lt-LT"/>
        </w:rPr>
      </w:pPr>
    </w:p>
    <w:p w14:paraId="140C3025" w14:textId="77777777" w:rsidR="00B71517" w:rsidRPr="00B71517" w:rsidRDefault="00B71517" w:rsidP="00B71517">
      <w:pPr>
        <w:tabs>
          <w:tab w:val="left" w:pos="567"/>
        </w:tabs>
        <w:spacing w:line="260" w:lineRule="exact"/>
        <w:rPr>
          <w:rFonts w:eastAsia="Times New Roman"/>
          <w:color w:val="008000"/>
          <w:lang w:eastAsia="lt-LT"/>
        </w:rPr>
      </w:pPr>
      <w:r w:rsidRPr="00B71517">
        <w:rPr>
          <w:rFonts w:eastAsia="Times New Roman"/>
          <w:szCs w:val="20"/>
          <w:lang w:eastAsia="lt-LT"/>
        </w:rPr>
        <w:t>PC:</w:t>
      </w:r>
    </w:p>
    <w:p w14:paraId="329FBA3C" w14:textId="77777777" w:rsidR="00B71517" w:rsidRPr="00B71517" w:rsidRDefault="00B71517" w:rsidP="00B71517">
      <w:pPr>
        <w:tabs>
          <w:tab w:val="left" w:pos="567"/>
        </w:tabs>
        <w:spacing w:line="260" w:lineRule="exact"/>
        <w:rPr>
          <w:rFonts w:eastAsia="Times New Roman"/>
          <w:szCs w:val="20"/>
          <w:lang w:eastAsia="lt-LT"/>
        </w:rPr>
      </w:pPr>
      <w:r w:rsidRPr="00B71517">
        <w:rPr>
          <w:rFonts w:eastAsia="Times New Roman"/>
          <w:szCs w:val="20"/>
          <w:lang w:eastAsia="lt-LT"/>
        </w:rPr>
        <w:t>SN:</w:t>
      </w:r>
    </w:p>
    <w:p w14:paraId="34B84B84" w14:textId="77777777" w:rsidR="00B71517" w:rsidRPr="00B71517" w:rsidRDefault="00B71517" w:rsidP="00B71517">
      <w:pPr>
        <w:tabs>
          <w:tab w:val="left" w:pos="567"/>
        </w:tabs>
        <w:spacing w:line="260" w:lineRule="exact"/>
        <w:rPr>
          <w:rFonts w:eastAsia="Times New Roman"/>
          <w:b/>
          <w:noProof/>
          <w:u w:val="single"/>
          <w:lang w:eastAsia="lt-LT"/>
        </w:rPr>
      </w:pPr>
      <w:r w:rsidRPr="00B71517">
        <w:rPr>
          <w:rFonts w:eastAsia="Times New Roman"/>
          <w:szCs w:val="20"/>
          <w:lang w:eastAsia="lt-LT"/>
        </w:rPr>
        <w:t>NN:</w:t>
      </w:r>
    </w:p>
    <w:bookmarkEnd w:id="2"/>
    <w:p w14:paraId="1D35D7E1" w14:textId="77777777" w:rsidR="00B71517" w:rsidRPr="00B71517" w:rsidRDefault="00B71517" w:rsidP="00B71517">
      <w:pPr>
        <w:rPr>
          <w:rFonts w:eastAsia="Times New Roman"/>
          <w:b/>
          <w:noProof/>
          <w:color w:val="FF0000"/>
        </w:rPr>
      </w:pPr>
    </w:p>
    <w:p w14:paraId="35A78CCF" w14:textId="77777777" w:rsidR="00B71517" w:rsidRPr="00B71517" w:rsidRDefault="00B71517" w:rsidP="00B71517">
      <w:pPr>
        <w:rPr>
          <w:rFonts w:eastAsia="Times New Roman"/>
          <w:b/>
          <w:noProof/>
          <w:color w:val="FF0000"/>
        </w:rPr>
        <w:sectPr w:rsidR="00B71517" w:rsidRPr="00B71517" w:rsidSect="004A547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08"/>
          <w:docGrid w:linePitch="360"/>
        </w:sectPr>
      </w:pPr>
    </w:p>
    <w:p w14:paraId="77D1B245" w14:textId="77777777" w:rsidR="009A78C3" w:rsidRPr="00733B7A" w:rsidRDefault="009A78C3" w:rsidP="009A78C3">
      <w:pPr>
        <w:pBdr>
          <w:top w:val="single" w:sz="4" w:space="1" w:color="auto"/>
          <w:left w:val="single" w:sz="4" w:space="4" w:color="auto"/>
          <w:bottom w:val="single" w:sz="4" w:space="1" w:color="auto"/>
          <w:right w:val="single" w:sz="4" w:space="4" w:color="auto"/>
        </w:pBdr>
        <w:tabs>
          <w:tab w:val="left" w:pos="540"/>
        </w:tabs>
        <w:rPr>
          <w:rFonts w:eastAsia="Times New Roman"/>
          <w:b/>
          <w:bCs/>
          <w:noProof/>
          <w:lang w:eastAsia="lt-LT"/>
        </w:rPr>
      </w:pPr>
      <w:r w:rsidRPr="00733B7A">
        <w:rPr>
          <w:rFonts w:eastAsia="Times New Roman"/>
          <w:b/>
          <w:bCs/>
          <w:noProof/>
          <w:lang w:eastAsia="lt-LT"/>
        </w:rPr>
        <w:lastRenderedPageBreak/>
        <w:t xml:space="preserve">MINIMALI </w:t>
      </w:r>
      <w:r w:rsidRPr="00733B7A">
        <w:rPr>
          <w:rFonts w:eastAsia="Times New Roman"/>
          <w:b/>
          <w:bCs/>
          <w:caps/>
          <w:noProof/>
          <w:lang w:eastAsia="lt-LT"/>
        </w:rPr>
        <w:t xml:space="preserve">informacija ant </w:t>
      </w:r>
      <w:r w:rsidRPr="00733B7A">
        <w:rPr>
          <w:rFonts w:eastAsia="Times New Roman"/>
          <w:b/>
          <w:bCs/>
          <w:noProof/>
          <w:lang w:eastAsia="lt-LT"/>
        </w:rPr>
        <w:t>LIZDINIŲ PLOKŠTELIŲ ARBA DVISLUOKSNIŲ JUOSTELIŲ</w:t>
      </w:r>
    </w:p>
    <w:p w14:paraId="42B0EF70" w14:textId="77777777" w:rsidR="009A78C3" w:rsidRPr="00733B7A" w:rsidRDefault="009A78C3" w:rsidP="009A78C3">
      <w:pPr>
        <w:pBdr>
          <w:top w:val="single" w:sz="4" w:space="1" w:color="auto"/>
          <w:left w:val="single" w:sz="4" w:space="4" w:color="auto"/>
          <w:bottom w:val="single" w:sz="4" w:space="1" w:color="auto"/>
          <w:right w:val="single" w:sz="4" w:space="4" w:color="auto"/>
        </w:pBdr>
        <w:tabs>
          <w:tab w:val="left" w:pos="540"/>
        </w:tabs>
        <w:rPr>
          <w:rFonts w:eastAsia="Times New Roman"/>
          <w:b/>
          <w:bCs/>
          <w:noProof/>
          <w:lang w:eastAsia="lt-LT"/>
        </w:rPr>
      </w:pPr>
    </w:p>
    <w:p w14:paraId="18DE6498" w14:textId="77777777" w:rsidR="009A78C3" w:rsidRPr="002702FE" w:rsidRDefault="009A78C3" w:rsidP="009A78C3">
      <w:pPr>
        <w:pBdr>
          <w:top w:val="single" w:sz="4" w:space="1" w:color="auto"/>
          <w:left w:val="single" w:sz="4" w:space="4" w:color="auto"/>
          <w:bottom w:val="single" w:sz="4" w:space="1" w:color="auto"/>
          <w:right w:val="single" w:sz="4" w:space="4" w:color="auto"/>
        </w:pBdr>
        <w:rPr>
          <w:b/>
          <w:noProof/>
        </w:rPr>
      </w:pPr>
      <w:r w:rsidRPr="002702FE">
        <w:rPr>
          <w:b/>
          <w:noProof/>
        </w:rPr>
        <w:t>LIZDINĖ PLOKŠTELĖ</w:t>
      </w:r>
    </w:p>
    <w:p w14:paraId="26C5EAF2" w14:textId="77777777" w:rsidR="009A78C3" w:rsidRPr="00733B7A" w:rsidRDefault="009A78C3" w:rsidP="009A78C3">
      <w:pPr>
        <w:rPr>
          <w:b/>
          <w:noProof/>
        </w:rPr>
      </w:pPr>
    </w:p>
    <w:p w14:paraId="11D30395" w14:textId="77777777" w:rsidR="009A78C3" w:rsidRPr="00733B7A" w:rsidRDefault="009A78C3" w:rsidP="009A78C3">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78C3" w:rsidRPr="00733B7A" w14:paraId="319D7185" w14:textId="77777777" w:rsidTr="004A5475">
        <w:tc>
          <w:tcPr>
            <w:tcW w:w="9287" w:type="dxa"/>
          </w:tcPr>
          <w:p w14:paraId="673D3169" w14:textId="77777777" w:rsidR="009A78C3" w:rsidRPr="00733B7A" w:rsidRDefault="009A78C3" w:rsidP="004A5475">
            <w:pPr>
              <w:tabs>
                <w:tab w:val="left" w:pos="142"/>
              </w:tabs>
              <w:rPr>
                <w:b/>
                <w:noProof/>
              </w:rPr>
            </w:pPr>
            <w:r w:rsidRPr="00733B7A">
              <w:rPr>
                <w:b/>
                <w:noProof/>
              </w:rPr>
              <w:t>1.</w:t>
            </w:r>
            <w:r w:rsidRPr="00733B7A">
              <w:rPr>
                <w:b/>
                <w:noProof/>
              </w:rPr>
              <w:tab/>
            </w:r>
            <w:r w:rsidRPr="00733B7A">
              <w:rPr>
                <w:b/>
                <w:caps/>
                <w:noProof/>
              </w:rPr>
              <w:t>Vaistinio preparato pavadinimas</w:t>
            </w:r>
          </w:p>
        </w:tc>
      </w:tr>
    </w:tbl>
    <w:p w14:paraId="0018D622" w14:textId="77777777" w:rsidR="009A78C3" w:rsidRPr="00733B7A" w:rsidRDefault="009A78C3" w:rsidP="009A78C3">
      <w:pPr>
        <w:rPr>
          <w:noProof/>
        </w:rPr>
      </w:pPr>
    </w:p>
    <w:p w14:paraId="53DB8F85" w14:textId="77777777" w:rsidR="009A78C3" w:rsidRPr="00733B7A" w:rsidRDefault="009A78C3" w:rsidP="009A78C3">
      <w:pPr>
        <w:autoSpaceDE w:val="0"/>
        <w:autoSpaceDN w:val="0"/>
        <w:adjustRightInd w:val="0"/>
        <w:jc w:val="both"/>
      </w:pPr>
      <w:r w:rsidRPr="00733B7A">
        <w:t>NORIFAZ 35</w:t>
      </w:r>
      <w:r>
        <w:t> </w:t>
      </w:r>
      <w:r w:rsidRPr="00733B7A">
        <w:t>mg plėvele dengtos tabletės</w:t>
      </w:r>
    </w:p>
    <w:p w14:paraId="291DD1DD" w14:textId="77777777" w:rsidR="009A78C3" w:rsidRPr="00733B7A" w:rsidRDefault="009A78C3" w:rsidP="009A78C3">
      <w:pPr>
        <w:autoSpaceDE w:val="0"/>
        <w:autoSpaceDN w:val="0"/>
        <w:adjustRightInd w:val="0"/>
        <w:jc w:val="both"/>
      </w:pPr>
      <w:r w:rsidRPr="00733B7A">
        <w:t>Natrio rizedronatas</w:t>
      </w:r>
    </w:p>
    <w:p w14:paraId="7808C5A7" w14:textId="77777777" w:rsidR="009A78C3" w:rsidRPr="00733B7A" w:rsidRDefault="009A78C3" w:rsidP="009A78C3">
      <w:pPr>
        <w:autoSpaceDE w:val="0"/>
        <w:autoSpaceDN w:val="0"/>
        <w:adjustRightInd w:val="0"/>
        <w:jc w:val="both"/>
      </w:pPr>
    </w:p>
    <w:p w14:paraId="0393849E" w14:textId="77777777" w:rsidR="009A78C3" w:rsidRPr="00733B7A" w:rsidRDefault="009A78C3" w:rsidP="009A78C3">
      <w:pPr>
        <w:autoSpaceDE w:val="0"/>
        <w:autoSpaceDN w:val="0"/>
        <w:adjustRightInd w:val="0"/>
        <w:jc w:val="both"/>
        <w:rPr>
          <w:b/>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78C3" w:rsidRPr="00733B7A" w14:paraId="118CDFCF" w14:textId="77777777" w:rsidTr="004A5475">
        <w:tc>
          <w:tcPr>
            <w:tcW w:w="9287" w:type="dxa"/>
          </w:tcPr>
          <w:p w14:paraId="4D535912" w14:textId="77777777" w:rsidR="009A78C3" w:rsidRPr="00733B7A" w:rsidRDefault="009A78C3" w:rsidP="004A5475">
            <w:pPr>
              <w:tabs>
                <w:tab w:val="left" w:pos="142"/>
              </w:tabs>
              <w:rPr>
                <w:b/>
                <w:noProof/>
              </w:rPr>
            </w:pPr>
            <w:r w:rsidRPr="00733B7A">
              <w:rPr>
                <w:b/>
                <w:noProof/>
              </w:rPr>
              <w:t>2.</w:t>
            </w:r>
            <w:r w:rsidRPr="00733B7A">
              <w:rPr>
                <w:b/>
                <w:noProof/>
              </w:rPr>
              <w:tab/>
            </w:r>
            <w:r>
              <w:rPr>
                <w:b/>
                <w:caps/>
                <w:noProof/>
                <w:szCs w:val="24"/>
              </w:rPr>
              <w:t>REGISTRUOTOJO</w:t>
            </w:r>
            <w:r w:rsidRPr="00733B7A">
              <w:rPr>
                <w:b/>
                <w:caps/>
                <w:noProof/>
              </w:rPr>
              <w:t xml:space="preserve"> pavadinimas</w:t>
            </w:r>
          </w:p>
        </w:tc>
      </w:tr>
    </w:tbl>
    <w:p w14:paraId="6472BAA0" w14:textId="77777777" w:rsidR="009A78C3" w:rsidRPr="00733B7A" w:rsidRDefault="009A78C3" w:rsidP="009A78C3">
      <w:pPr>
        <w:autoSpaceDE w:val="0"/>
        <w:autoSpaceDN w:val="0"/>
        <w:adjustRightInd w:val="0"/>
        <w:jc w:val="both"/>
      </w:pPr>
    </w:p>
    <w:p w14:paraId="206E6F55" w14:textId="77777777" w:rsidR="009A78C3" w:rsidRPr="00733B7A" w:rsidRDefault="009A78C3" w:rsidP="009A78C3">
      <w:pPr>
        <w:autoSpaceDE w:val="0"/>
        <w:autoSpaceDN w:val="0"/>
        <w:adjustRightInd w:val="0"/>
        <w:jc w:val="both"/>
      </w:pPr>
      <w:r w:rsidRPr="00733B7A">
        <w:t>Adamed Pharma S.A.</w:t>
      </w:r>
    </w:p>
    <w:p w14:paraId="47B1D63D" w14:textId="77777777" w:rsidR="009A78C3" w:rsidRPr="00733B7A" w:rsidRDefault="009A78C3" w:rsidP="009A78C3">
      <w:pPr>
        <w:rPr>
          <w:b/>
          <w:noProof/>
        </w:rPr>
      </w:pPr>
    </w:p>
    <w:p w14:paraId="0C74AB25" w14:textId="77777777" w:rsidR="009A78C3" w:rsidRPr="00733B7A" w:rsidRDefault="009A78C3" w:rsidP="009A78C3">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78C3" w:rsidRPr="00733B7A" w14:paraId="2465177A" w14:textId="77777777" w:rsidTr="004A5475">
        <w:tc>
          <w:tcPr>
            <w:tcW w:w="9287" w:type="dxa"/>
          </w:tcPr>
          <w:p w14:paraId="72D65AC4" w14:textId="77777777" w:rsidR="009A78C3" w:rsidRPr="00733B7A" w:rsidRDefault="009A78C3" w:rsidP="004A5475">
            <w:pPr>
              <w:tabs>
                <w:tab w:val="left" w:pos="142"/>
              </w:tabs>
              <w:rPr>
                <w:b/>
                <w:noProof/>
              </w:rPr>
            </w:pPr>
            <w:r w:rsidRPr="00733B7A">
              <w:rPr>
                <w:b/>
                <w:noProof/>
              </w:rPr>
              <w:t>3.</w:t>
            </w:r>
            <w:r w:rsidRPr="00733B7A">
              <w:rPr>
                <w:b/>
                <w:noProof/>
              </w:rPr>
              <w:tab/>
            </w:r>
            <w:r w:rsidRPr="00733B7A">
              <w:rPr>
                <w:b/>
                <w:caps/>
                <w:noProof/>
              </w:rPr>
              <w:t>tinkamumo laikas</w:t>
            </w:r>
          </w:p>
        </w:tc>
      </w:tr>
    </w:tbl>
    <w:p w14:paraId="554269FA" w14:textId="77777777" w:rsidR="009A78C3" w:rsidRPr="00733B7A" w:rsidRDefault="009A78C3" w:rsidP="009A78C3">
      <w:pPr>
        <w:rPr>
          <w:b/>
          <w:noProof/>
        </w:rPr>
      </w:pPr>
    </w:p>
    <w:p w14:paraId="6FE880AC" w14:textId="77777777" w:rsidR="009A78C3" w:rsidRPr="00733B7A" w:rsidRDefault="009A78C3" w:rsidP="009A78C3">
      <w:pPr>
        <w:autoSpaceDE w:val="0"/>
        <w:autoSpaceDN w:val="0"/>
        <w:adjustRightInd w:val="0"/>
      </w:pPr>
      <w:r w:rsidRPr="00733B7A">
        <w:t xml:space="preserve">Tinka iki: </w:t>
      </w:r>
      <w:r>
        <w:t>mm/MMMM</w:t>
      </w:r>
    </w:p>
    <w:p w14:paraId="459D330E" w14:textId="77777777" w:rsidR="009A78C3" w:rsidRPr="00733B7A" w:rsidRDefault="009A78C3" w:rsidP="009A78C3">
      <w:pPr>
        <w:rPr>
          <w:noProof/>
        </w:rPr>
      </w:pPr>
    </w:p>
    <w:p w14:paraId="3ABC8191" w14:textId="77777777" w:rsidR="009A78C3" w:rsidRPr="00733B7A" w:rsidRDefault="009A78C3" w:rsidP="009A78C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78C3" w:rsidRPr="00733B7A" w14:paraId="22B571CE" w14:textId="77777777" w:rsidTr="004A5475">
        <w:tc>
          <w:tcPr>
            <w:tcW w:w="9287" w:type="dxa"/>
          </w:tcPr>
          <w:p w14:paraId="6CC37D93" w14:textId="77777777" w:rsidR="009A78C3" w:rsidRPr="00733B7A" w:rsidRDefault="009A78C3" w:rsidP="004A5475">
            <w:pPr>
              <w:tabs>
                <w:tab w:val="left" w:pos="142"/>
              </w:tabs>
              <w:rPr>
                <w:b/>
                <w:noProof/>
              </w:rPr>
            </w:pPr>
            <w:r w:rsidRPr="00733B7A">
              <w:rPr>
                <w:b/>
                <w:noProof/>
              </w:rPr>
              <w:t>4.</w:t>
            </w:r>
            <w:r w:rsidRPr="00733B7A">
              <w:rPr>
                <w:b/>
                <w:noProof/>
              </w:rPr>
              <w:tab/>
            </w:r>
            <w:r w:rsidRPr="00733B7A">
              <w:rPr>
                <w:b/>
                <w:caps/>
                <w:noProof/>
              </w:rPr>
              <w:t>serijos numeris</w:t>
            </w:r>
          </w:p>
        </w:tc>
      </w:tr>
    </w:tbl>
    <w:p w14:paraId="25DBB9FD" w14:textId="77777777" w:rsidR="009A78C3" w:rsidRPr="00733B7A" w:rsidRDefault="009A78C3" w:rsidP="009A78C3">
      <w:pPr>
        <w:ind w:right="113"/>
        <w:rPr>
          <w:noProof/>
        </w:rPr>
      </w:pPr>
    </w:p>
    <w:p w14:paraId="797AE3B1" w14:textId="77777777" w:rsidR="009A78C3" w:rsidRPr="00733B7A" w:rsidRDefault="009A78C3" w:rsidP="009A78C3">
      <w:pPr>
        <w:rPr>
          <w:noProof/>
        </w:rPr>
      </w:pPr>
      <w:r w:rsidRPr="00733B7A">
        <w:t>Serija:</w:t>
      </w:r>
    </w:p>
    <w:p w14:paraId="7A7DF3C2" w14:textId="77777777" w:rsidR="009A78C3" w:rsidRPr="00733B7A" w:rsidRDefault="009A78C3" w:rsidP="009A78C3">
      <w:pPr>
        <w:ind w:right="113"/>
        <w:rPr>
          <w:noProof/>
        </w:rPr>
      </w:pPr>
    </w:p>
    <w:p w14:paraId="4CFD606C" w14:textId="77777777" w:rsidR="009A78C3" w:rsidRPr="00733B7A" w:rsidRDefault="009A78C3" w:rsidP="009A78C3">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78C3" w:rsidRPr="00733B7A" w14:paraId="678B8685" w14:textId="77777777" w:rsidTr="004A5475">
        <w:tc>
          <w:tcPr>
            <w:tcW w:w="9287" w:type="dxa"/>
          </w:tcPr>
          <w:p w14:paraId="2F68EE52" w14:textId="77777777" w:rsidR="009A78C3" w:rsidRPr="00733B7A" w:rsidRDefault="009A78C3" w:rsidP="004A5475">
            <w:pPr>
              <w:tabs>
                <w:tab w:val="left" w:pos="142"/>
              </w:tabs>
              <w:rPr>
                <w:b/>
                <w:noProof/>
              </w:rPr>
            </w:pPr>
            <w:r w:rsidRPr="00733B7A">
              <w:rPr>
                <w:b/>
                <w:noProof/>
              </w:rPr>
              <w:t>5.</w:t>
            </w:r>
            <w:r w:rsidRPr="00733B7A">
              <w:rPr>
                <w:b/>
                <w:noProof/>
              </w:rPr>
              <w:tab/>
              <w:t>KITA</w:t>
            </w:r>
          </w:p>
        </w:tc>
      </w:tr>
    </w:tbl>
    <w:p w14:paraId="6EB48823" w14:textId="77777777" w:rsidR="009A78C3" w:rsidRPr="00733B7A" w:rsidRDefault="009A78C3" w:rsidP="009A78C3">
      <w:pPr>
        <w:ind w:right="113"/>
        <w:rPr>
          <w:noProof/>
        </w:rPr>
      </w:pPr>
    </w:p>
    <w:p w14:paraId="1ED78F2B" w14:textId="77777777" w:rsidR="009A78C3" w:rsidRPr="00733B7A" w:rsidRDefault="009A78C3" w:rsidP="009A78C3">
      <w:pPr>
        <w:autoSpaceDE w:val="0"/>
        <w:autoSpaceDN w:val="0"/>
        <w:adjustRightInd w:val="0"/>
        <w:jc w:val="center"/>
      </w:pPr>
    </w:p>
    <w:p w14:paraId="4E9C2030" w14:textId="77777777" w:rsidR="009A78C3" w:rsidRPr="00733B7A" w:rsidRDefault="009A78C3" w:rsidP="009A78C3">
      <w:pPr>
        <w:autoSpaceDE w:val="0"/>
        <w:autoSpaceDN w:val="0"/>
        <w:adjustRightInd w:val="0"/>
        <w:jc w:val="center"/>
      </w:pPr>
    </w:p>
    <w:p w14:paraId="568BBAC9" w14:textId="77777777" w:rsidR="009A78C3" w:rsidRPr="00733B7A" w:rsidRDefault="009A78C3" w:rsidP="009A78C3">
      <w:pPr>
        <w:autoSpaceDE w:val="0"/>
        <w:autoSpaceDN w:val="0"/>
        <w:adjustRightInd w:val="0"/>
        <w:jc w:val="center"/>
      </w:pPr>
    </w:p>
    <w:p w14:paraId="498999B2" w14:textId="77777777" w:rsidR="009A78C3" w:rsidRPr="00733B7A" w:rsidRDefault="009A78C3" w:rsidP="009A78C3"/>
    <w:p w14:paraId="3EDA11FD" w14:textId="77777777" w:rsidR="009A78C3" w:rsidRDefault="009A78C3" w:rsidP="009A78C3">
      <w:pPr>
        <w:spacing w:after="200" w:line="276" w:lineRule="auto"/>
      </w:pPr>
      <w:r>
        <w:br w:type="page"/>
      </w:r>
    </w:p>
    <w:p w14:paraId="4EF0E5F5" w14:textId="77777777" w:rsidR="009A78C3" w:rsidRPr="00733B7A" w:rsidRDefault="009A78C3" w:rsidP="009A78C3">
      <w:pPr>
        <w:jc w:val="center"/>
        <w:outlineLvl w:val="0"/>
        <w:rPr>
          <w:b/>
          <w:bCs/>
        </w:rPr>
      </w:pPr>
    </w:p>
    <w:p w14:paraId="0AB2DA0C" w14:textId="77777777" w:rsidR="009A78C3" w:rsidRPr="00733B7A" w:rsidRDefault="009A78C3" w:rsidP="009A78C3">
      <w:pPr>
        <w:jc w:val="center"/>
        <w:outlineLvl w:val="0"/>
        <w:rPr>
          <w:b/>
          <w:bCs/>
        </w:rPr>
      </w:pPr>
    </w:p>
    <w:p w14:paraId="0A63C35F" w14:textId="77777777" w:rsidR="009A78C3" w:rsidRPr="00733B7A" w:rsidRDefault="009A78C3" w:rsidP="009A78C3">
      <w:pPr>
        <w:jc w:val="center"/>
        <w:outlineLvl w:val="0"/>
        <w:rPr>
          <w:b/>
          <w:bCs/>
        </w:rPr>
      </w:pPr>
    </w:p>
    <w:p w14:paraId="304AD227" w14:textId="77777777" w:rsidR="009A78C3" w:rsidRPr="00733B7A" w:rsidRDefault="009A78C3" w:rsidP="009A78C3">
      <w:pPr>
        <w:jc w:val="center"/>
        <w:outlineLvl w:val="0"/>
        <w:rPr>
          <w:b/>
          <w:bCs/>
        </w:rPr>
      </w:pPr>
    </w:p>
    <w:p w14:paraId="416CF650" w14:textId="77777777" w:rsidR="009A78C3" w:rsidRPr="00733B7A" w:rsidRDefault="009A78C3" w:rsidP="009A78C3">
      <w:pPr>
        <w:jc w:val="center"/>
        <w:outlineLvl w:val="0"/>
        <w:rPr>
          <w:b/>
          <w:bCs/>
        </w:rPr>
      </w:pPr>
    </w:p>
    <w:p w14:paraId="0C32343B" w14:textId="77777777" w:rsidR="009A78C3" w:rsidRPr="00733B7A" w:rsidRDefault="009A78C3" w:rsidP="009A78C3">
      <w:pPr>
        <w:jc w:val="center"/>
        <w:outlineLvl w:val="0"/>
        <w:rPr>
          <w:b/>
          <w:bCs/>
        </w:rPr>
      </w:pPr>
    </w:p>
    <w:p w14:paraId="7D0A74C0" w14:textId="77777777" w:rsidR="009A78C3" w:rsidRPr="00733B7A" w:rsidRDefault="009A78C3" w:rsidP="009A78C3">
      <w:pPr>
        <w:jc w:val="center"/>
        <w:outlineLvl w:val="0"/>
        <w:rPr>
          <w:b/>
          <w:bCs/>
        </w:rPr>
      </w:pPr>
    </w:p>
    <w:p w14:paraId="152DE83B" w14:textId="77777777" w:rsidR="009A78C3" w:rsidRPr="00733B7A" w:rsidRDefault="009A78C3" w:rsidP="009A78C3">
      <w:pPr>
        <w:jc w:val="center"/>
        <w:outlineLvl w:val="0"/>
        <w:rPr>
          <w:b/>
          <w:bCs/>
        </w:rPr>
      </w:pPr>
    </w:p>
    <w:p w14:paraId="1D32EA4A" w14:textId="77777777" w:rsidR="009A78C3" w:rsidRPr="00733B7A" w:rsidRDefault="009A78C3" w:rsidP="009A78C3">
      <w:pPr>
        <w:jc w:val="center"/>
        <w:outlineLvl w:val="0"/>
        <w:rPr>
          <w:b/>
          <w:bCs/>
        </w:rPr>
      </w:pPr>
    </w:p>
    <w:p w14:paraId="4552DDF7" w14:textId="77777777" w:rsidR="009A78C3" w:rsidRPr="00733B7A" w:rsidRDefault="009A78C3" w:rsidP="009A78C3">
      <w:pPr>
        <w:jc w:val="center"/>
        <w:outlineLvl w:val="0"/>
        <w:rPr>
          <w:b/>
          <w:bCs/>
        </w:rPr>
      </w:pPr>
    </w:p>
    <w:p w14:paraId="171A38B4" w14:textId="77777777" w:rsidR="009A78C3" w:rsidRPr="00733B7A" w:rsidRDefault="009A78C3" w:rsidP="009A78C3">
      <w:pPr>
        <w:jc w:val="center"/>
        <w:outlineLvl w:val="0"/>
        <w:rPr>
          <w:b/>
          <w:bCs/>
        </w:rPr>
      </w:pPr>
    </w:p>
    <w:p w14:paraId="63FE216A" w14:textId="77777777" w:rsidR="009A78C3" w:rsidRPr="00733B7A" w:rsidRDefault="009A78C3" w:rsidP="009A78C3">
      <w:pPr>
        <w:jc w:val="center"/>
        <w:outlineLvl w:val="0"/>
        <w:rPr>
          <w:b/>
          <w:bCs/>
        </w:rPr>
      </w:pPr>
    </w:p>
    <w:p w14:paraId="2754B90D" w14:textId="77777777" w:rsidR="009A78C3" w:rsidRPr="00733B7A" w:rsidRDefault="009A78C3" w:rsidP="009A78C3">
      <w:pPr>
        <w:jc w:val="center"/>
        <w:outlineLvl w:val="0"/>
        <w:rPr>
          <w:b/>
          <w:bCs/>
        </w:rPr>
      </w:pPr>
    </w:p>
    <w:p w14:paraId="784BDD85" w14:textId="77777777" w:rsidR="009A78C3" w:rsidRPr="00733B7A" w:rsidRDefault="009A78C3" w:rsidP="009A78C3">
      <w:pPr>
        <w:jc w:val="center"/>
        <w:outlineLvl w:val="0"/>
        <w:rPr>
          <w:b/>
          <w:bCs/>
        </w:rPr>
      </w:pPr>
    </w:p>
    <w:p w14:paraId="117E2131" w14:textId="77777777" w:rsidR="009A78C3" w:rsidRPr="00733B7A" w:rsidRDefault="009A78C3" w:rsidP="009A78C3">
      <w:pPr>
        <w:jc w:val="center"/>
        <w:outlineLvl w:val="0"/>
        <w:rPr>
          <w:b/>
          <w:bCs/>
        </w:rPr>
      </w:pPr>
    </w:p>
    <w:p w14:paraId="2ECC219B" w14:textId="77777777" w:rsidR="009A78C3" w:rsidRPr="00733B7A" w:rsidRDefault="009A78C3" w:rsidP="009A78C3">
      <w:pPr>
        <w:jc w:val="center"/>
        <w:outlineLvl w:val="0"/>
        <w:rPr>
          <w:b/>
          <w:bCs/>
        </w:rPr>
      </w:pPr>
    </w:p>
    <w:p w14:paraId="6831F1C0" w14:textId="77777777" w:rsidR="009A78C3" w:rsidRPr="00733B7A" w:rsidRDefault="009A78C3" w:rsidP="009A78C3">
      <w:pPr>
        <w:jc w:val="center"/>
        <w:outlineLvl w:val="0"/>
        <w:rPr>
          <w:b/>
          <w:bCs/>
        </w:rPr>
      </w:pPr>
    </w:p>
    <w:p w14:paraId="5F1446AA" w14:textId="77777777" w:rsidR="009A78C3" w:rsidRPr="00733B7A" w:rsidRDefault="009A78C3" w:rsidP="009A78C3">
      <w:pPr>
        <w:jc w:val="center"/>
        <w:outlineLvl w:val="0"/>
        <w:rPr>
          <w:b/>
          <w:bCs/>
        </w:rPr>
      </w:pPr>
    </w:p>
    <w:p w14:paraId="27E7C186" w14:textId="77777777" w:rsidR="009A78C3" w:rsidRPr="00733B7A" w:rsidRDefault="009A78C3" w:rsidP="009A78C3">
      <w:pPr>
        <w:jc w:val="center"/>
        <w:outlineLvl w:val="0"/>
        <w:rPr>
          <w:b/>
          <w:bCs/>
        </w:rPr>
      </w:pPr>
    </w:p>
    <w:p w14:paraId="00F7FC63" w14:textId="77777777" w:rsidR="009A78C3" w:rsidRPr="00733B7A" w:rsidRDefault="009A78C3" w:rsidP="009A78C3">
      <w:pPr>
        <w:jc w:val="center"/>
        <w:outlineLvl w:val="0"/>
        <w:rPr>
          <w:b/>
          <w:bCs/>
        </w:rPr>
      </w:pPr>
    </w:p>
    <w:p w14:paraId="449A191D" w14:textId="77777777" w:rsidR="009A78C3" w:rsidRPr="00733B7A" w:rsidRDefault="009A78C3" w:rsidP="009A78C3">
      <w:pPr>
        <w:jc w:val="center"/>
        <w:outlineLvl w:val="0"/>
        <w:rPr>
          <w:b/>
          <w:bCs/>
        </w:rPr>
      </w:pPr>
    </w:p>
    <w:p w14:paraId="66C23B63" w14:textId="77777777" w:rsidR="009A78C3" w:rsidRPr="00733B7A" w:rsidRDefault="009A78C3" w:rsidP="009A78C3">
      <w:pPr>
        <w:jc w:val="center"/>
        <w:outlineLvl w:val="0"/>
        <w:rPr>
          <w:b/>
          <w:bCs/>
        </w:rPr>
      </w:pPr>
    </w:p>
    <w:p w14:paraId="446D1FB4" w14:textId="77777777" w:rsidR="009A78C3" w:rsidRPr="00733B7A" w:rsidRDefault="009A78C3" w:rsidP="009A78C3">
      <w:pPr>
        <w:jc w:val="center"/>
        <w:outlineLvl w:val="0"/>
        <w:rPr>
          <w:b/>
          <w:bCs/>
        </w:rPr>
      </w:pPr>
    </w:p>
    <w:p w14:paraId="296614F5" w14:textId="77777777" w:rsidR="009A78C3" w:rsidRPr="00733B7A" w:rsidRDefault="009A78C3" w:rsidP="009A78C3">
      <w:pPr>
        <w:jc w:val="center"/>
        <w:outlineLvl w:val="0"/>
      </w:pPr>
      <w:r w:rsidRPr="00733B7A">
        <w:rPr>
          <w:b/>
          <w:bCs/>
        </w:rPr>
        <w:t>B. PAKUOTĖS LAPELIS</w:t>
      </w:r>
    </w:p>
    <w:p w14:paraId="4C3EC94E" w14:textId="77777777" w:rsidR="009A78C3" w:rsidRPr="00733B7A" w:rsidRDefault="009A78C3" w:rsidP="009A78C3">
      <w:pPr>
        <w:tabs>
          <w:tab w:val="left" w:pos="567"/>
        </w:tabs>
        <w:jc w:val="center"/>
        <w:outlineLvl w:val="0"/>
      </w:pPr>
      <w:r w:rsidRPr="00733B7A">
        <w:rPr>
          <w:b/>
          <w:bCs/>
        </w:rPr>
        <w:br w:type="page"/>
      </w:r>
      <w:bookmarkStart w:id="3" w:name="_Toc129243263"/>
      <w:bookmarkStart w:id="4" w:name="_Toc129243138"/>
      <w:r w:rsidRPr="00733B7A">
        <w:rPr>
          <w:b/>
          <w:bCs/>
        </w:rPr>
        <w:lastRenderedPageBreak/>
        <w:t>Pakuotės lapelis: informacija vartotojui</w:t>
      </w:r>
      <w:bookmarkEnd w:id="3"/>
      <w:bookmarkEnd w:id="4"/>
    </w:p>
    <w:p w14:paraId="1FBD880F" w14:textId="77777777" w:rsidR="009A78C3" w:rsidRPr="00733B7A" w:rsidRDefault="009A78C3" w:rsidP="009A78C3">
      <w:pPr>
        <w:jc w:val="center"/>
        <w:rPr>
          <w:i/>
          <w:iCs/>
        </w:rPr>
      </w:pPr>
    </w:p>
    <w:p w14:paraId="45196F4E" w14:textId="77777777" w:rsidR="009A78C3" w:rsidRPr="00733B7A" w:rsidRDefault="009A78C3" w:rsidP="009A78C3">
      <w:pPr>
        <w:jc w:val="center"/>
        <w:rPr>
          <w:b/>
          <w:bCs/>
        </w:rPr>
      </w:pPr>
      <w:r w:rsidRPr="00733B7A">
        <w:rPr>
          <w:b/>
          <w:bCs/>
        </w:rPr>
        <w:t>NORIFAZ 35</w:t>
      </w:r>
      <w:r>
        <w:rPr>
          <w:b/>
          <w:bCs/>
        </w:rPr>
        <w:t> </w:t>
      </w:r>
      <w:r w:rsidRPr="00733B7A">
        <w:rPr>
          <w:b/>
          <w:bCs/>
        </w:rPr>
        <w:t>mg plėvele dengtos tabletės</w:t>
      </w:r>
    </w:p>
    <w:p w14:paraId="7BCFE497" w14:textId="77777777" w:rsidR="009A78C3" w:rsidRPr="002702FE" w:rsidRDefault="009A78C3" w:rsidP="009A78C3">
      <w:pPr>
        <w:jc w:val="center"/>
        <w:rPr>
          <w:bCs/>
        </w:rPr>
      </w:pPr>
      <w:r w:rsidRPr="002702FE">
        <w:rPr>
          <w:bCs/>
        </w:rPr>
        <w:t>Natrio rizedronatas</w:t>
      </w:r>
    </w:p>
    <w:p w14:paraId="71816C37" w14:textId="77777777" w:rsidR="009A78C3" w:rsidRPr="00733B7A" w:rsidRDefault="009A78C3" w:rsidP="009A78C3">
      <w:pPr>
        <w:jc w:val="center"/>
      </w:pPr>
    </w:p>
    <w:p w14:paraId="0D216176" w14:textId="77777777" w:rsidR="009A78C3" w:rsidRPr="00733B7A" w:rsidRDefault="009A78C3" w:rsidP="009A78C3">
      <w:pPr>
        <w:jc w:val="center"/>
      </w:pPr>
    </w:p>
    <w:p w14:paraId="54A4997F" w14:textId="77777777" w:rsidR="009A78C3" w:rsidRPr="00D36425" w:rsidRDefault="009A78C3" w:rsidP="009A78C3">
      <w:pPr>
        <w:suppressAutoHyphens/>
        <w:rPr>
          <w:b/>
          <w:bCs/>
        </w:rPr>
      </w:pPr>
      <w:r w:rsidRPr="002702FE">
        <w:rPr>
          <w:b/>
        </w:rPr>
        <w:t>Atidžiai perskaitykite visą šį lapelį, prieš pradėdami vartoti vaistą, nes jame pateikiama Jums svarbi informacija.</w:t>
      </w:r>
    </w:p>
    <w:p w14:paraId="49A18EBA" w14:textId="77777777" w:rsidR="009A78C3" w:rsidRPr="00146B89" w:rsidRDefault="009A78C3" w:rsidP="009A78C3">
      <w:pPr>
        <w:pStyle w:val="Sraopastraipa"/>
        <w:numPr>
          <w:ilvl w:val="0"/>
          <w:numId w:val="5"/>
        </w:numPr>
        <w:ind w:left="0" w:firstLine="0"/>
        <w:rPr>
          <w:rFonts w:eastAsia="Times New Roman"/>
          <w:noProof/>
          <w:lang w:eastAsia="lt-LT"/>
        </w:rPr>
      </w:pPr>
      <w:r w:rsidRPr="00146B89">
        <w:rPr>
          <w:rFonts w:eastAsia="Times New Roman"/>
          <w:noProof/>
          <w:lang w:eastAsia="lt-LT"/>
        </w:rPr>
        <w:t>Neišmeskite šio lapelio, nes vėl gali prireikti jį perskaityti.</w:t>
      </w:r>
    </w:p>
    <w:p w14:paraId="55ED5D7F" w14:textId="77777777" w:rsidR="009A78C3" w:rsidRPr="00146B89" w:rsidRDefault="009A78C3" w:rsidP="009A78C3">
      <w:pPr>
        <w:pStyle w:val="Sraopastraipa"/>
        <w:numPr>
          <w:ilvl w:val="0"/>
          <w:numId w:val="5"/>
        </w:numPr>
        <w:ind w:left="0" w:firstLine="0"/>
        <w:rPr>
          <w:rFonts w:eastAsia="Times New Roman"/>
          <w:noProof/>
          <w:lang w:eastAsia="lt-LT"/>
        </w:rPr>
      </w:pPr>
      <w:r w:rsidRPr="00146B89">
        <w:rPr>
          <w:rFonts w:eastAsia="Times New Roman"/>
          <w:noProof/>
          <w:lang w:eastAsia="lt-LT"/>
        </w:rPr>
        <w:t>Jeigu kiltų daugiau klausimų, kreipkitės į gydytoją arba vaistininką.</w:t>
      </w:r>
    </w:p>
    <w:p w14:paraId="0E28A882" w14:textId="77777777" w:rsidR="009A78C3" w:rsidRPr="00146B89" w:rsidRDefault="009A78C3" w:rsidP="009A78C3">
      <w:pPr>
        <w:pStyle w:val="Sraopastraipa"/>
        <w:numPr>
          <w:ilvl w:val="0"/>
          <w:numId w:val="6"/>
        </w:numPr>
        <w:ind w:left="0" w:firstLine="0"/>
        <w:rPr>
          <w:rFonts w:eastAsia="Times New Roman"/>
          <w:noProof/>
          <w:lang w:eastAsia="lt-LT"/>
        </w:rPr>
      </w:pPr>
      <w:r w:rsidRPr="00146B89">
        <w:rPr>
          <w:rFonts w:eastAsia="Times New Roman"/>
          <w:noProof/>
          <w:lang w:eastAsia="lt-LT"/>
        </w:rPr>
        <w:t xml:space="preserve">Šis vaistas skirtas </w:t>
      </w:r>
      <w:r>
        <w:rPr>
          <w:rFonts w:eastAsia="Times New Roman"/>
          <w:noProof/>
          <w:lang w:eastAsia="lt-LT"/>
        </w:rPr>
        <w:t xml:space="preserve">tik </w:t>
      </w:r>
      <w:r w:rsidRPr="00146B89">
        <w:rPr>
          <w:rFonts w:eastAsia="Times New Roman"/>
          <w:noProof/>
          <w:lang w:eastAsia="lt-LT"/>
        </w:rPr>
        <w:t xml:space="preserve">Jums, todėl kitiems žmonėms jo duoti negalima. Vaistas gali jiems pakenkti (net tiems, kurių ligos </w:t>
      </w:r>
      <w:r>
        <w:rPr>
          <w:rFonts w:eastAsia="Times New Roman"/>
          <w:noProof/>
          <w:lang w:eastAsia="lt-LT"/>
        </w:rPr>
        <w:t>požymiai</w:t>
      </w:r>
      <w:r w:rsidRPr="00146B89">
        <w:rPr>
          <w:rFonts w:eastAsia="Times New Roman"/>
          <w:noProof/>
          <w:lang w:eastAsia="lt-LT"/>
        </w:rPr>
        <w:t xml:space="preserve"> yra tokie patys kaip Jūsų).</w:t>
      </w:r>
    </w:p>
    <w:p w14:paraId="48D52EC2" w14:textId="77777777" w:rsidR="009A78C3" w:rsidRPr="002420AE" w:rsidRDefault="009A78C3" w:rsidP="009A78C3">
      <w:pPr>
        <w:pStyle w:val="Sraopastraipa"/>
        <w:numPr>
          <w:ilvl w:val="0"/>
          <w:numId w:val="6"/>
        </w:numPr>
        <w:ind w:left="0" w:firstLine="0"/>
      </w:pPr>
      <w:r w:rsidRPr="002420AE">
        <w:t xml:space="preserve">Jeigu pasireiškė šalutinis poveikis </w:t>
      </w:r>
      <w:r w:rsidRPr="00E31388">
        <w:t>(net jeigu jis</w:t>
      </w:r>
      <w:r w:rsidRPr="00E31388" w:rsidDel="00E31388">
        <w:t xml:space="preserve"> </w:t>
      </w:r>
      <w:r w:rsidRPr="002420AE">
        <w:t>šiame lapelyje nenurodyt</w:t>
      </w:r>
      <w:r>
        <w:t>as),</w:t>
      </w:r>
      <w:r w:rsidRPr="002420AE">
        <w:t xml:space="preserve"> kreipkitės </w:t>
      </w:r>
      <w:bookmarkStart w:id="5" w:name="_Hlk58571965"/>
      <w:r w:rsidRPr="002420AE">
        <w:t xml:space="preserve">į </w:t>
      </w:r>
      <w:bookmarkEnd w:id="5"/>
      <w:r w:rsidRPr="002420AE">
        <w:t>gydytoją arba vaistininką. Žr. 4 skyrių.</w:t>
      </w:r>
    </w:p>
    <w:p w14:paraId="356FB6C6" w14:textId="77777777" w:rsidR="009A78C3" w:rsidRDefault="009A78C3" w:rsidP="009A78C3"/>
    <w:p w14:paraId="19C38BCB" w14:textId="77777777" w:rsidR="009A78C3" w:rsidRPr="00733B7A" w:rsidRDefault="009A78C3" w:rsidP="009A78C3"/>
    <w:p w14:paraId="7DD6B79E" w14:textId="77777777" w:rsidR="009A78C3" w:rsidRPr="00733B7A" w:rsidRDefault="009A78C3" w:rsidP="009A78C3">
      <w:pPr>
        <w:rPr>
          <w:b/>
          <w:bCs/>
        </w:rPr>
      </w:pPr>
      <w:r w:rsidRPr="00642BCD">
        <w:rPr>
          <w:b/>
          <w:bCs/>
        </w:rPr>
        <w:t>Apie ką rašoma šiame lapelyje?</w:t>
      </w:r>
    </w:p>
    <w:p w14:paraId="314F368A" w14:textId="77777777" w:rsidR="009A78C3" w:rsidRPr="00733B7A" w:rsidRDefault="009A78C3" w:rsidP="009A78C3">
      <w:pPr>
        <w:numPr>
          <w:ilvl w:val="0"/>
          <w:numId w:val="7"/>
        </w:numPr>
        <w:ind w:left="0" w:firstLine="0"/>
      </w:pPr>
      <w:r w:rsidRPr="00733B7A">
        <w:t>Kas yra NORIFAZ ir kam jis vartojamas</w:t>
      </w:r>
    </w:p>
    <w:p w14:paraId="46EC15A3" w14:textId="77777777" w:rsidR="009A78C3" w:rsidRPr="00733B7A" w:rsidRDefault="009A78C3" w:rsidP="009A78C3">
      <w:pPr>
        <w:numPr>
          <w:ilvl w:val="0"/>
          <w:numId w:val="7"/>
        </w:numPr>
        <w:ind w:left="0" w:firstLine="0"/>
      </w:pPr>
      <w:r w:rsidRPr="00733B7A">
        <w:t>Kas žinotina prieš vartojant NORIFAZ</w:t>
      </w:r>
    </w:p>
    <w:p w14:paraId="6A06EF52" w14:textId="77777777" w:rsidR="009A78C3" w:rsidRPr="00733B7A" w:rsidRDefault="009A78C3" w:rsidP="009A78C3">
      <w:pPr>
        <w:numPr>
          <w:ilvl w:val="0"/>
          <w:numId w:val="7"/>
        </w:numPr>
        <w:ind w:left="0" w:firstLine="0"/>
      </w:pPr>
      <w:r w:rsidRPr="00733B7A">
        <w:t>Kaip vartoti NORIFAZ</w:t>
      </w:r>
    </w:p>
    <w:p w14:paraId="27180637" w14:textId="77777777" w:rsidR="009A78C3" w:rsidRPr="00733B7A" w:rsidRDefault="009A78C3" w:rsidP="009A78C3">
      <w:pPr>
        <w:numPr>
          <w:ilvl w:val="0"/>
          <w:numId w:val="7"/>
        </w:numPr>
        <w:ind w:left="0" w:firstLine="0"/>
      </w:pPr>
      <w:r w:rsidRPr="00733B7A">
        <w:t>Galimas šalutinis poveikis</w:t>
      </w:r>
    </w:p>
    <w:p w14:paraId="5FB33542" w14:textId="77777777" w:rsidR="009A78C3" w:rsidRPr="00733B7A" w:rsidRDefault="009A78C3" w:rsidP="009A78C3">
      <w:pPr>
        <w:numPr>
          <w:ilvl w:val="0"/>
          <w:numId w:val="7"/>
        </w:numPr>
        <w:ind w:left="0" w:firstLine="0"/>
      </w:pPr>
      <w:r w:rsidRPr="00733B7A">
        <w:t xml:space="preserve">Kaip laikyti NORIFAZ </w:t>
      </w:r>
    </w:p>
    <w:p w14:paraId="790F178A" w14:textId="77777777" w:rsidR="009A78C3" w:rsidRPr="00733B7A" w:rsidRDefault="009A78C3" w:rsidP="009A78C3">
      <w:pPr>
        <w:pStyle w:val="Sraopastraipa"/>
        <w:numPr>
          <w:ilvl w:val="0"/>
          <w:numId w:val="7"/>
        </w:numPr>
        <w:ind w:left="0" w:firstLine="0"/>
      </w:pPr>
      <w:r w:rsidRPr="002420AE">
        <w:t>Pakuotės turinys ir kita informacija</w:t>
      </w:r>
    </w:p>
    <w:p w14:paraId="5306FEEB" w14:textId="77777777" w:rsidR="009A78C3" w:rsidRPr="00733B7A" w:rsidRDefault="009A78C3" w:rsidP="009A78C3"/>
    <w:p w14:paraId="4E6E6BE4" w14:textId="77777777" w:rsidR="009A78C3" w:rsidRPr="00733B7A" w:rsidRDefault="009A78C3" w:rsidP="009A78C3"/>
    <w:p w14:paraId="7D2DE097" w14:textId="77777777" w:rsidR="009A78C3" w:rsidRPr="00733B7A" w:rsidRDefault="009A78C3" w:rsidP="009A78C3">
      <w:pPr>
        <w:rPr>
          <w:b/>
          <w:bCs/>
        </w:rPr>
      </w:pPr>
      <w:r w:rsidRPr="00733B7A">
        <w:rPr>
          <w:b/>
          <w:bCs/>
        </w:rPr>
        <w:t>1.</w:t>
      </w:r>
      <w:r w:rsidRPr="00733B7A">
        <w:rPr>
          <w:b/>
          <w:bCs/>
        </w:rPr>
        <w:tab/>
        <w:t>Kas yra NORIFAZ ir kam jis vartojamas</w:t>
      </w:r>
    </w:p>
    <w:p w14:paraId="640E0E18" w14:textId="77777777" w:rsidR="009A78C3" w:rsidRPr="00733B7A" w:rsidRDefault="009A78C3" w:rsidP="009A78C3">
      <w:pPr>
        <w:tabs>
          <w:tab w:val="left" w:pos="567"/>
        </w:tabs>
        <w:outlineLvl w:val="0"/>
        <w:rPr>
          <w:b/>
          <w:bCs/>
          <w:caps/>
        </w:rPr>
      </w:pPr>
    </w:p>
    <w:p w14:paraId="0A3F97B2" w14:textId="77777777" w:rsidR="009A78C3" w:rsidRPr="00733B7A" w:rsidRDefault="009A78C3" w:rsidP="009A78C3">
      <w:r w:rsidRPr="00733B7A">
        <w:t>NORIFAZ priklauso nehormoninių vaistų, vadinamų bisfosfonatais, grupei. Šie vaistai vartojami kaulų ligoms gydyti. Vaistas kaulus veikia tiesiogiai, didindamas jų atsparumą lūžiams.</w:t>
      </w:r>
    </w:p>
    <w:p w14:paraId="44AB4D7F" w14:textId="77777777" w:rsidR="009A78C3" w:rsidRPr="00733B7A" w:rsidRDefault="009A78C3" w:rsidP="009A78C3"/>
    <w:p w14:paraId="7AC8E610" w14:textId="77777777" w:rsidR="009A78C3" w:rsidRPr="00733B7A" w:rsidRDefault="009A78C3" w:rsidP="009A78C3">
      <w:r w:rsidRPr="00733B7A">
        <w:t>Kaulas yra gyvas audinys. Senas kaulinis audinys pastoviai ardomas ir keičiamas nauju.</w:t>
      </w:r>
    </w:p>
    <w:p w14:paraId="082EE75B" w14:textId="77777777" w:rsidR="009A78C3" w:rsidRPr="00733B7A" w:rsidRDefault="009A78C3" w:rsidP="009A78C3"/>
    <w:p w14:paraId="0A6E4522" w14:textId="77777777" w:rsidR="009A78C3" w:rsidRPr="00733B7A" w:rsidRDefault="009A78C3" w:rsidP="009A78C3">
      <w:r w:rsidRPr="00733B7A">
        <w:t>Moterų osteoporozė po menopauzės pasireiškia padidėjusiu kaulų trapumu ir polinkiu į lūžius nukritus arba užsigavus. Dėl įvairių priežasčių osteoporozė gali atsirasti ir vyrams, pvz.</w:t>
      </w:r>
      <w:r>
        <w:t>,</w:t>
      </w:r>
      <w:r w:rsidRPr="00733B7A">
        <w:t xml:space="preserve"> </w:t>
      </w:r>
      <w:r>
        <w:t>senyviems</w:t>
      </w:r>
      <w:r w:rsidRPr="00733B7A">
        <w:t xml:space="preserve"> vyrams ir</w:t>
      </w:r>
      <w:r>
        <w:t xml:space="preserve"> </w:t>
      </w:r>
      <w:r w:rsidRPr="00733B7A">
        <w:t>(arba) esant sumažėjusiai vyriško hormono-testosterono koncentracijai.</w:t>
      </w:r>
    </w:p>
    <w:p w14:paraId="435EF03C" w14:textId="77777777" w:rsidR="009A78C3" w:rsidRPr="00733B7A" w:rsidRDefault="009A78C3" w:rsidP="009A78C3"/>
    <w:p w14:paraId="2C330132" w14:textId="77777777" w:rsidR="009A78C3" w:rsidRPr="00733B7A" w:rsidRDefault="009A78C3" w:rsidP="009A78C3">
      <w:r w:rsidRPr="00733B7A">
        <w:t xml:space="preserve">Dažniausiai lūžta stuburas, šlaunikaulio kaklelis ir riešas, nors gali lūžti kiekvienas organizmo kaulas. Lūžiai dėl osteoporozės gali sukelti nugaros skausmus, ūgio mažėjimą ir nugaros kreivumą. Daugeliui žmonių osteoporozė nesukelia jokių simptomų, todėl galima nežinoti, kad Jums yra ši būklė. </w:t>
      </w:r>
    </w:p>
    <w:p w14:paraId="3BC19502" w14:textId="77777777" w:rsidR="009A78C3" w:rsidRPr="00733B7A" w:rsidRDefault="009A78C3" w:rsidP="009A78C3">
      <w:pPr>
        <w:tabs>
          <w:tab w:val="left" w:pos="567"/>
        </w:tabs>
        <w:outlineLvl w:val="0"/>
        <w:rPr>
          <w:b/>
          <w:bCs/>
          <w:caps/>
        </w:rPr>
      </w:pPr>
    </w:p>
    <w:p w14:paraId="0C7E5043" w14:textId="77777777" w:rsidR="009A78C3" w:rsidRPr="00733B7A" w:rsidRDefault="009A78C3" w:rsidP="009A78C3">
      <w:r w:rsidRPr="00733B7A">
        <w:t>Moterų po menopauzės osteoporozės gydymas, net ir sunkios osteoporozės atvejais. Vaistas mažina stuburo slankstelių ir šlaunikaulio kaklelio lūžių pavojų.</w:t>
      </w:r>
    </w:p>
    <w:p w14:paraId="64D9C858" w14:textId="77777777" w:rsidR="009A78C3" w:rsidRPr="00733B7A" w:rsidRDefault="009A78C3" w:rsidP="009A78C3">
      <w:r w:rsidRPr="00733B7A">
        <w:t>Vyrų osteoporozės gydymas, esant dideliam</w:t>
      </w:r>
      <w:r>
        <w:t xml:space="preserve"> kaulų</w:t>
      </w:r>
      <w:r w:rsidRPr="00733B7A">
        <w:t xml:space="preserve"> lūžimų pavojui. </w:t>
      </w:r>
    </w:p>
    <w:p w14:paraId="11E7C60B" w14:textId="77777777" w:rsidR="009A78C3" w:rsidRPr="00733B7A" w:rsidRDefault="009A78C3" w:rsidP="009A78C3"/>
    <w:p w14:paraId="03A540F5" w14:textId="77777777" w:rsidR="009A78C3" w:rsidRPr="00733B7A" w:rsidRDefault="009A78C3" w:rsidP="009A78C3"/>
    <w:p w14:paraId="75B9A9E1" w14:textId="77777777" w:rsidR="009A78C3" w:rsidRPr="00733B7A" w:rsidRDefault="009A78C3" w:rsidP="009A78C3">
      <w:r w:rsidRPr="00733B7A">
        <w:rPr>
          <w:b/>
          <w:bCs/>
        </w:rPr>
        <w:t>2.</w:t>
      </w:r>
      <w:r w:rsidRPr="00733B7A">
        <w:rPr>
          <w:b/>
          <w:bCs/>
        </w:rPr>
        <w:tab/>
        <w:t>Kas žinotina prieš vartojant NORIFAZ</w:t>
      </w:r>
    </w:p>
    <w:p w14:paraId="6EB70363" w14:textId="77777777" w:rsidR="009A78C3" w:rsidRPr="00733B7A" w:rsidRDefault="009A78C3" w:rsidP="009A78C3">
      <w:pPr>
        <w:rPr>
          <w:b/>
          <w:bCs/>
        </w:rPr>
      </w:pPr>
    </w:p>
    <w:p w14:paraId="7E09E778" w14:textId="77777777" w:rsidR="009A78C3" w:rsidRPr="00733B7A" w:rsidRDefault="009A78C3" w:rsidP="009A78C3">
      <w:r w:rsidRPr="00733B7A">
        <w:rPr>
          <w:b/>
          <w:bCs/>
        </w:rPr>
        <w:t xml:space="preserve">NORIFAZ vartoti </w:t>
      </w:r>
      <w:r>
        <w:rPr>
          <w:b/>
          <w:bCs/>
        </w:rPr>
        <w:t>negalima</w:t>
      </w:r>
      <w:r w:rsidRPr="00733B7A">
        <w:t>:</w:t>
      </w:r>
    </w:p>
    <w:p w14:paraId="5D01E632" w14:textId="77777777" w:rsidR="009A78C3" w:rsidRPr="00733B7A" w:rsidRDefault="009A78C3" w:rsidP="009A78C3">
      <w:pPr>
        <w:numPr>
          <w:ilvl w:val="0"/>
          <w:numId w:val="6"/>
        </w:numPr>
        <w:ind w:left="0" w:firstLine="0"/>
      </w:pPr>
      <w:r w:rsidRPr="00733B7A">
        <w:t xml:space="preserve">jeigu </w:t>
      </w:r>
      <w:r>
        <w:t xml:space="preserve">yra alergija </w:t>
      </w:r>
      <w:r w:rsidRPr="00733B7A">
        <w:t>natrio rizedronat</w:t>
      </w:r>
      <w:r>
        <w:t>ui</w:t>
      </w:r>
      <w:r w:rsidRPr="00733B7A">
        <w:t xml:space="preserve"> arba </w:t>
      </w:r>
      <w:r>
        <w:t xml:space="preserve">bet </w:t>
      </w:r>
      <w:r w:rsidRPr="00733B7A">
        <w:t>kuri</w:t>
      </w:r>
      <w:r>
        <w:t>ai</w:t>
      </w:r>
      <w:r w:rsidRPr="00733B7A">
        <w:t xml:space="preserve"> pagalbin</w:t>
      </w:r>
      <w:r>
        <w:t>ei</w:t>
      </w:r>
      <w:r w:rsidRPr="00733B7A">
        <w:t xml:space="preserve"> šio vaisto medžiaga</w:t>
      </w:r>
      <w:r>
        <w:t>i</w:t>
      </w:r>
      <w:r w:rsidRPr="00733B7A">
        <w:t xml:space="preserve"> (</w:t>
      </w:r>
      <w:r w:rsidRPr="002420AE">
        <w:t xml:space="preserve"> </w:t>
      </w:r>
      <w:r>
        <w:t xml:space="preserve">jos </w:t>
      </w:r>
      <w:r w:rsidRPr="00642BCD">
        <w:t>išvardytos 6 skyriuje</w:t>
      </w:r>
      <w:r w:rsidRPr="00733B7A">
        <w:t>)</w:t>
      </w:r>
    </w:p>
    <w:p w14:paraId="2CE8F2E4" w14:textId="77777777" w:rsidR="009A78C3" w:rsidRPr="00733B7A" w:rsidRDefault="009A78C3" w:rsidP="009A78C3">
      <w:pPr>
        <w:numPr>
          <w:ilvl w:val="0"/>
          <w:numId w:val="6"/>
        </w:numPr>
        <w:ind w:left="0" w:firstLine="0"/>
      </w:pPr>
      <w:r w:rsidRPr="00733B7A">
        <w:t xml:space="preserve">jeigu gydytojas pacientui nustatė </w:t>
      </w:r>
      <w:r w:rsidRPr="00733B7A">
        <w:rPr>
          <w:b/>
          <w:bCs/>
        </w:rPr>
        <w:t>hipokalcemiją</w:t>
      </w:r>
      <w:r w:rsidRPr="00733B7A">
        <w:t xml:space="preserve"> (mažą kalcio koncentraciją kraujyje);</w:t>
      </w:r>
    </w:p>
    <w:p w14:paraId="7FBAEFCA" w14:textId="77777777" w:rsidR="009A78C3" w:rsidRPr="00733B7A" w:rsidRDefault="009A78C3" w:rsidP="009A78C3">
      <w:pPr>
        <w:numPr>
          <w:ilvl w:val="0"/>
          <w:numId w:val="6"/>
        </w:numPr>
        <w:ind w:left="0" w:firstLine="0"/>
      </w:pPr>
      <w:r w:rsidRPr="00733B7A">
        <w:t xml:space="preserve">jeigu moteris yra arba mano, kad </w:t>
      </w:r>
      <w:r w:rsidRPr="00733B7A">
        <w:rPr>
          <w:b/>
          <w:bCs/>
        </w:rPr>
        <w:t>pastojo</w:t>
      </w:r>
      <w:r w:rsidRPr="00733B7A">
        <w:t>, arba planuoja nėštumą;</w:t>
      </w:r>
    </w:p>
    <w:p w14:paraId="418E05DA" w14:textId="77777777" w:rsidR="009A78C3" w:rsidRPr="00733B7A" w:rsidRDefault="009A78C3" w:rsidP="009A78C3">
      <w:pPr>
        <w:numPr>
          <w:ilvl w:val="0"/>
          <w:numId w:val="6"/>
        </w:numPr>
        <w:ind w:left="0" w:firstLine="0"/>
      </w:pPr>
      <w:r w:rsidRPr="00733B7A">
        <w:rPr>
          <w:b/>
          <w:bCs/>
        </w:rPr>
        <w:t>žindymo laikotarpiu</w:t>
      </w:r>
      <w:r w:rsidRPr="00733B7A">
        <w:t>;</w:t>
      </w:r>
    </w:p>
    <w:p w14:paraId="00836493" w14:textId="77777777" w:rsidR="009A78C3" w:rsidRPr="00733B7A" w:rsidRDefault="009A78C3" w:rsidP="009A78C3">
      <w:pPr>
        <w:numPr>
          <w:ilvl w:val="0"/>
          <w:numId w:val="6"/>
        </w:numPr>
        <w:ind w:left="0" w:firstLine="0"/>
      </w:pPr>
      <w:r w:rsidRPr="00733B7A">
        <w:t xml:space="preserve">jeigu sergate </w:t>
      </w:r>
      <w:r w:rsidRPr="00733B7A">
        <w:rPr>
          <w:b/>
          <w:bCs/>
        </w:rPr>
        <w:t>sunkiu inkstų nepakankamumu</w:t>
      </w:r>
      <w:r w:rsidRPr="00733B7A">
        <w:t>.</w:t>
      </w:r>
    </w:p>
    <w:p w14:paraId="4BB60FDA" w14:textId="77777777" w:rsidR="009A78C3" w:rsidRPr="00733B7A" w:rsidRDefault="009A78C3" w:rsidP="009A78C3"/>
    <w:p w14:paraId="228AFDBB" w14:textId="77777777" w:rsidR="009A78C3" w:rsidRPr="002420AE" w:rsidRDefault="009A78C3" w:rsidP="009A78C3">
      <w:pPr>
        <w:rPr>
          <w:b/>
          <w:bCs/>
        </w:rPr>
      </w:pPr>
      <w:r w:rsidRPr="002420AE">
        <w:rPr>
          <w:b/>
          <w:bCs/>
        </w:rPr>
        <w:lastRenderedPageBreak/>
        <w:t>Įspėjimai ir atsargumo priemonės</w:t>
      </w:r>
    </w:p>
    <w:p w14:paraId="4934C494" w14:textId="77777777" w:rsidR="009A78C3" w:rsidRPr="00733B7A" w:rsidRDefault="009A78C3" w:rsidP="009A78C3">
      <w:pPr>
        <w:numPr>
          <w:ilvl w:val="0"/>
          <w:numId w:val="6"/>
        </w:numPr>
        <w:ind w:left="0" w:firstLine="0"/>
      </w:pPr>
      <w:r w:rsidRPr="002420AE">
        <w:rPr>
          <w:bCs/>
        </w:rPr>
        <w:t>Pasitarkite su gydytoju arba vaistininku, prieš pradėdami vartoti NORIFAZ</w:t>
      </w:r>
      <w:r w:rsidRPr="00733B7A">
        <w:t>Jūs negalite išlaikyti tiesios padėties (sėdint arba stovint) mažiausiai 30 minučių;</w:t>
      </w:r>
    </w:p>
    <w:p w14:paraId="08662CD9" w14:textId="77777777" w:rsidR="009A78C3" w:rsidRPr="00733B7A" w:rsidRDefault="009A78C3" w:rsidP="009A78C3">
      <w:pPr>
        <w:numPr>
          <w:ilvl w:val="0"/>
          <w:numId w:val="6"/>
        </w:numPr>
        <w:ind w:left="0" w:firstLine="0"/>
      </w:pPr>
      <w:r w:rsidRPr="00733B7A">
        <w:t xml:space="preserve"> Jums yra kaulų ir mineralinių medžiagų apykaitos sutrikimų (pvz.</w:t>
      </w:r>
      <w:r>
        <w:t>,</w:t>
      </w:r>
      <w:r w:rsidRPr="00733B7A">
        <w:t xml:space="preserve"> vitamino D trūkumas, prieskydinių liaukų hormonų funkcijos sutrikimai), mažinančių kalcio koncentraciją kraujyje;</w:t>
      </w:r>
    </w:p>
    <w:p w14:paraId="52D33475" w14:textId="77777777" w:rsidR="009A78C3" w:rsidRPr="00733B7A" w:rsidRDefault="009A78C3" w:rsidP="009A78C3">
      <w:pPr>
        <w:numPr>
          <w:ilvl w:val="0"/>
          <w:numId w:val="6"/>
        </w:numPr>
        <w:ind w:left="0" w:firstLine="0"/>
      </w:pPr>
      <w:r w:rsidRPr="00733B7A">
        <w:t>kada nors sirgote stemplės (virškinamojo trakto dalis, kuria maistas slenka iš burnos ertmės į skrandį) ligomis, pvz.</w:t>
      </w:r>
      <w:r>
        <w:t>,</w:t>
      </w:r>
      <w:r w:rsidRPr="00733B7A">
        <w:t xml:space="preserve"> jaučiate skausmą arba sunkumą ryjant maistą arba Jūsų gydytojas yra sakęs, kad Jums yra Bareto (</w:t>
      </w:r>
      <w:r w:rsidRPr="00733B7A">
        <w:rPr>
          <w:i/>
          <w:iCs/>
        </w:rPr>
        <w:t>Barrett</w:t>
      </w:r>
      <w:r w:rsidRPr="00733B7A">
        <w:t>) stemplė (liga, susijusi su apatinę stemplės dalį dengiančių ląstelių pakitimais);</w:t>
      </w:r>
    </w:p>
    <w:p w14:paraId="0B904C1E" w14:textId="77777777" w:rsidR="009A78C3" w:rsidRPr="00733B7A" w:rsidRDefault="009A78C3" w:rsidP="009A78C3">
      <w:pPr>
        <w:numPr>
          <w:ilvl w:val="0"/>
          <w:numId w:val="6"/>
        </w:numPr>
        <w:ind w:left="0" w:firstLine="0"/>
      </w:pPr>
      <w:r w:rsidRPr="00733B7A">
        <w:t xml:space="preserve">gydytojas yra Jums </w:t>
      </w:r>
      <w:bookmarkStart w:id="6" w:name="_Hlk58571142"/>
      <w:r w:rsidRPr="00733B7A">
        <w:t>sakęs</w:t>
      </w:r>
      <w:bookmarkEnd w:id="6"/>
      <w:r w:rsidRPr="00733B7A">
        <w:t>, kad netoleruojate kokių nors angliavandenių (laktozės);</w:t>
      </w:r>
    </w:p>
    <w:p w14:paraId="39C4C5AF" w14:textId="77777777" w:rsidR="009A78C3" w:rsidRPr="00733B7A" w:rsidRDefault="009A78C3" w:rsidP="009A78C3">
      <w:pPr>
        <w:autoSpaceDE w:val="0"/>
        <w:autoSpaceDN w:val="0"/>
        <w:adjustRightInd w:val="0"/>
      </w:pPr>
      <w:r w:rsidRPr="00733B7A">
        <w:t xml:space="preserve">- </w:t>
      </w:r>
      <w:r w:rsidRPr="00733B7A">
        <w:tab/>
        <w:t>jei skauda arba skaudėjo</w:t>
      </w:r>
      <w:r w:rsidRPr="00AE3521">
        <w:t>žandikaulį, yra arba buvo</w:t>
      </w:r>
      <w:r>
        <w:t xml:space="preserve"> </w:t>
      </w:r>
      <w:r w:rsidRPr="00AE3521">
        <w:t>patinęs, tirpsta arba tirpo žandikaulis, sunkumo pojūtis žandikaulyje arba netekote danties</w:t>
      </w:r>
      <w:r>
        <w:t>;</w:t>
      </w:r>
      <w:r w:rsidRPr="00733B7A">
        <w:t xml:space="preserve"> </w:t>
      </w:r>
    </w:p>
    <w:p w14:paraId="4CE0998C" w14:textId="77777777" w:rsidR="009A78C3" w:rsidRPr="00733B7A" w:rsidRDefault="009A78C3" w:rsidP="009A78C3">
      <w:pPr>
        <w:autoSpaceDE w:val="0"/>
        <w:autoSpaceDN w:val="0"/>
        <w:adjustRightInd w:val="0"/>
      </w:pPr>
      <w:r w:rsidRPr="00733B7A">
        <w:t xml:space="preserve">- </w:t>
      </w:r>
      <w:r w:rsidRPr="00733B7A">
        <w:tab/>
        <w:t xml:space="preserve">. </w:t>
      </w:r>
    </w:p>
    <w:p w14:paraId="5F6F7AEE" w14:textId="77777777" w:rsidR="009A78C3" w:rsidRPr="00733B7A" w:rsidRDefault="009A78C3" w:rsidP="009A78C3">
      <w:pPr>
        <w:widowControl w:val="0"/>
        <w:shd w:val="clear" w:color="auto" w:fill="FFFFFF"/>
        <w:tabs>
          <w:tab w:val="left" w:pos="426"/>
        </w:tabs>
        <w:autoSpaceDE w:val="0"/>
        <w:autoSpaceDN w:val="0"/>
        <w:adjustRightInd w:val="0"/>
        <w:rPr>
          <w:color w:val="000000"/>
        </w:rPr>
      </w:pPr>
      <w:r>
        <w:t xml:space="preserve">-    </w:t>
      </w:r>
      <w:r w:rsidRPr="00733B7A">
        <w:t xml:space="preserve">Pasakykite savo stomatologui, kad vartojate </w:t>
      </w:r>
      <w:r w:rsidRPr="00733B7A">
        <w:rPr>
          <w:color w:val="000000"/>
        </w:rPr>
        <w:t>NORIFAZ</w:t>
      </w:r>
      <w:r w:rsidRPr="00733B7A">
        <w:t>, jei gydotės dantis ar planuojate stomatologinę operaciją.</w:t>
      </w:r>
    </w:p>
    <w:p w14:paraId="52CBEBF4" w14:textId="77777777" w:rsidR="009A78C3" w:rsidRPr="00733B7A" w:rsidRDefault="009A78C3" w:rsidP="009A78C3">
      <w:pPr>
        <w:autoSpaceDE w:val="0"/>
        <w:autoSpaceDN w:val="0"/>
        <w:adjustRightInd w:val="0"/>
      </w:pPr>
    </w:p>
    <w:p w14:paraId="7427D444" w14:textId="77777777" w:rsidR="009A78C3" w:rsidRPr="00733B7A" w:rsidRDefault="009A78C3" w:rsidP="009A78C3">
      <w:r w:rsidRPr="00733B7A">
        <w:t>Jeigu Jums yra kuri nors iš minėtų būklių, gydytojas pasakys, kaip elgtis vartojant NORIFAZ.</w:t>
      </w:r>
    </w:p>
    <w:p w14:paraId="370732BC" w14:textId="77777777" w:rsidR="009A78C3" w:rsidRPr="00733B7A" w:rsidRDefault="009A78C3" w:rsidP="009A78C3">
      <w:pPr>
        <w:jc w:val="both"/>
        <w:rPr>
          <w:color w:val="000000"/>
        </w:rPr>
      </w:pPr>
    </w:p>
    <w:p w14:paraId="2A321DDB" w14:textId="77777777" w:rsidR="009A78C3" w:rsidRPr="00733B7A" w:rsidRDefault="009A78C3" w:rsidP="009A78C3">
      <w:pPr>
        <w:jc w:val="both"/>
        <w:rPr>
          <w:b/>
          <w:bCs/>
        </w:rPr>
      </w:pPr>
      <w:r w:rsidRPr="00733B7A">
        <w:rPr>
          <w:b/>
          <w:bCs/>
        </w:rPr>
        <w:t>Vaikams ir paaugliams</w:t>
      </w:r>
    </w:p>
    <w:p w14:paraId="5FB01FF1" w14:textId="77777777" w:rsidR="009A78C3" w:rsidRPr="00733B7A" w:rsidRDefault="009A78C3" w:rsidP="009A78C3">
      <w:pPr>
        <w:jc w:val="both"/>
        <w:rPr>
          <w:color w:val="000000"/>
        </w:rPr>
      </w:pPr>
      <w:r w:rsidRPr="00733B7A">
        <w:rPr>
          <w:color w:val="000000"/>
        </w:rPr>
        <w:t>NORIFAZ nerekomenduojamas vartoti vaikams, jaunesniems kaip 18 metų, kadangi neturima pakankamai duomenų apie tokio vartojimo saugumą ir veiksmingumą.</w:t>
      </w:r>
    </w:p>
    <w:p w14:paraId="02C64209" w14:textId="77777777" w:rsidR="009A78C3" w:rsidRPr="00733B7A" w:rsidRDefault="009A78C3" w:rsidP="009A78C3"/>
    <w:p w14:paraId="0AE012D0" w14:textId="77777777" w:rsidR="009A78C3" w:rsidRPr="00733B7A" w:rsidRDefault="009A78C3" w:rsidP="009A78C3">
      <w:pPr>
        <w:keepNext/>
        <w:keepLines/>
        <w:outlineLvl w:val="1"/>
      </w:pPr>
      <w:r w:rsidRPr="00733B7A">
        <w:rPr>
          <w:b/>
          <w:bCs/>
        </w:rPr>
        <w:t>Kit</w:t>
      </w:r>
      <w:r>
        <w:rPr>
          <w:b/>
          <w:bCs/>
        </w:rPr>
        <w:t>i</w:t>
      </w:r>
      <w:r w:rsidRPr="00733B7A">
        <w:rPr>
          <w:b/>
          <w:bCs/>
        </w:rPr>
        <w:t xml:space="preserve"> vaist</w:t>
      </w:r>
      <w:r>
        <w:rPr>
          <w:b/>
          <w:bCs/>
        </w:rPr>
        <w:t>ai</w:t>
      </w:r>
      <w:r w:rsidRPr="00733B7A">
        <w:rPr>
          <w:b/>
          <w:bCs/>
        </w:rPr>
        <w:t xml:space="preserve"> </w:t>
      </w:r>
      <w:r>
        <w:rPr>
          <w:b/>
          <w:bCs/>
        </w:rPr>
        <w:t>ir</w:t>
      </w:r>
      <w:r w:rsidRPr="00733B7A">
        <w:rPr>
          <w:b/>
          <w:bCs/>
        </w:rPr>
        <w:t xml:space="preserve"> NORIFAZ</w:t>
      </w:r>
    </w:p>
    <w:p w14:paraId="513E6A3D" w14:textId="77777777" w:rsidR="009A78C3" w:rsidRPr="00733B7A" w:rsidRDefault="009A78C3" w:rsidP="009A78C3">
      <w:r w:rsidRPr="00534AEB">
        <w:t xml:space="preserve">Jeigu vartojate ar neseniai vartojote kitų vaistų arba dėl to nesate tikri, apie tai pasakykite gydytojui arba vaistininkui. </w:t>
      </w:r>
      <w:r w:rsidRPr="00733B7A">
        <w:t>Preparatai, į kurių sudėtį įeina viena iš išvardintų sudedamųjų dalių, vartojami kartu su NORIFAZ, sumažina jo veikimą:</w:t>
      </w:r>
    </w:p>
    <w:p w14:paraId="627E8B3A" w14:textId="77777777" w:rsidR="009A78C3" w:rsidRPr="00733B7A" w:rsidRDefault="009A78C3" w:rsidP="009A78C3">
      <w:pPr>
        <w:numPr>
          <w:ilvl w:val="0"/>
          <w:numId w:val="6"/>
        </w:numPr>
        <w:ind w:left="0" w:firstLine="0"/>
      </w:pPr>
      <w:r w:rsidRPr="00733B7A">
        <w:t>kalcis,</w:t>
      </w:r>
    </w:p>
    <w:p w14:paraId="2BB02243" w14:textId="77777777" w:rsidR="009A78C3" w:rsidRPr="00733B7A" w:rsidRDefault="009A78C3" w:rsidP="009A78C3">
      <w:pPr>
        <w:numPr>
          <w:ilvl w:val="0"/>
          <w:numId w:val="6"/>
        </w:numPr>
        <w:ind w:left="0" w:firstLine="0"/>
      </w:pPr>
      <w:r w:rsidRPr="00733B7A">
        <w:t>magnis,</w:t>
      </w:r>
    </w:p>
    <w:p w14:paraId="1F1F374A" w14:textId="77777777" w:rsidR="009A78C3" w:rsidRPr="00733B7A" w:rsidRDefault="009A78C3" w:rsidP="009A78C3">
      <w:pPr>
        <w:numPr>
          <w:ilvl w:val="0"/>
          <w:numId w:val="6"/>
        </w:numPr>
        <w:ind w:left="0" w:firstLine="0"/>
      </w:pPr>
      <w:r w:rsidRPr="00733B7A">
        <w:t>aliuminis (pvz., vaistai nuo padidėjusio skrandžio sulčių rūgštingumo, rėmens)</w:t>
      </w:r>
    </w:p>
    <w:p w14:paraId="0B98C849" w14:textId="77777777" w:rsidR="009A78C3" w:rsidRPr="00733B7A" w:rsidRDefault="009A78C3" w:rsidP="009A78C3">
      <w:pPr>
        <w:numPr>
          <w:ilvl w:val="0"/>
          <w:numId w:val="6"/>
        </w:numPr>
        <w:ind w:left="0" w:firstLine="0"/>
      </w:pPr>
      <w:r w:rsidRPr="00733B7A">
        <w:t>geležis.</w:t>
      </w:r>
    </w:p>
    <w:p w14:paraId="7F48470C" w14:textId="77777777" w:rsidR="009A78C3" w:rsidRPr="00733B7A" w:rsidRDefault="009A78C3" w:rsidP="009A78C3">
      <w:r w:rsidRPr="00733B7A">
        <w:t xml:space="preserve">Šiuos vaistus reikia gerti, praėjus ne mažiaus kaip 30 minučių po NORIFAZ vartojimo. </w:t>
      </w:r>
    </w:p>
    <w:p w14:paraId="12DA8FD9" w14:textId="77777777" w:rsidR="009A78C3" w:rsidRPr="00733B7A" w:rsidRDefault="009A78C3" w:rsidP="009A78C3">
      <w:r w:rsidRPr="00733B7A">
        <w:t>Gydytojui arba vaistininkui būtina pasakyti apie visus paskutiniuoju metu vartotus vaistus, įskaitant įsigytus be recepto.</w:t>
      </w:r>
    </w:p>
    <w:p w14:paraId="65CD2E4E" w14:textId="77777777" w:rsidR="009A78C3" w:rsidRPr="00733B7A" w:rsidRDefault="009A78C3" w:rsidP="009A78C3"/>
    <w:p w14:paraId="0B764234" w14:textId="77777777" w:rsidR="009A78C3" w:rsidRPr="00733B7A" w:rsidRDefault="009A78C3" w:rsidP="009A78C3">
      <w:pPr>
        <w:keepNext/>
        <w:keepLines/>
        <w:outlineLvl w:val="1"/>
      </w:pPr>
      <w:r w:rsidRPr="00733B7A">
        <w:rPr>
          <w:b/>
          <w:bCs/>
        </w:rPr>
        <w:t>NORIFAZ vartojimas su maistu ir gėrimais</w:t>
      </w:r>
    </w:p>
    <w:p w14:paraId="52D66C87" w14:textId="77777777" w:rsidR="009A78C3" w:rsidRPr="00733B7A" w:rsidRDefault="009A78C3" w:rsidP="009A78C3">
      <w:r w:rsidRPr="00733B7A">
        <w:t>Tam, kad vaistas tinkamai veiktų, labai svarbu, kad NORIFAZ nebūtų vartojamas kartu su maistu arba gėrimais (išskyrus vandenį). Ypač draudžiama vaistą vartoti kartu su pieno produktais, nes juose yra kalcio (žr. “Kitų vaistų vartojimas kartu su NORIFAZ”).</w:t>
      </w:r>
    </w:p>
    <w:p w14:paraId="070E5442" w14:textId="77777777" w:rsidR="009A78C3" w:rsidRPr="00733B7A" w:rsidRDefault="009A78C3" w:rsidP="009A78C3">
      <w:r w:rsidRPr="00733B7A">
        <w:t>Valgyti ir gerti (gėrimus, išskyrus paprastą vandenį) galima, praėjus mažiausiai 30 minučių po NORIFAZ tabletės išgėrimo.</w:t>
      </w:r>
    </w:p>
    <w:p w14:paraId="4BC319F4" w14:textId="77777777" w:rsidR="009A78C3" w:rsidRPr="00733B7A" w:rsidRDefault="009A78C3" w:rsidP="009A78C3"/>
    <w:p w14:paraId="16C78567" w14:textId="77777777" w:rsidR="009A78C3" w:rsidRPr="00733B7A" w:rsidRDefault="009A78C3" w:rsidP="009A78C3">
      <w:pPr>
        <w:keepNext/>
        <w:keepLines/>
        <w:outlineLvl w:val="1"/>
      </w:pPr>
      <w:r w:rsidRPr="00733B7A">
        <w:rPr>
          <w:b/>
          <w:bCs/>
        </w:rPr>
        <w:t>Nėštumas ir žindymo laikotarpis</w:t>
      </w:r>
    </w:p>
    <w:p w14:paraId="7F557923" w14:textId="77777777" w:rsidR="009A78C3" w:rsidRDefault="009A78C3" w:rsidP="009A78C3">
      <w:r w:rsidRPr="00534AEB">
        <w:t>Jeigu esate nėščia, žindote kūdikį, manote, kad galbūt esate nėščia arba planuojate pastoti, tai prieš vartodama šį vaistą pasitarkite su gydytoju arba vaistininku.</w:t>
      </w:r>
    </w:p>
    <w:p w14:paraId="0D1520D0" w14:textId="77777777" w:rsidR="009A78C3" w:rsidRPr="00733B7A" w:rsidRDefault="009A78C3" w:rsidP="009A78C3">
      <w:r w:rsidRPr="00733B7A">
        <w:t>Vaistą draudžiama vartoti, jeigu moteris gali būti nėščia, yra nėščia arba planuoja nėštumą (žr. 2 skyrių “NORIFAZ vartoti draudžiama”). Nėra žinomas pavojus nėščioms moterims, susijęs su natrio rizedronato (NORIFAZ veiklioji medžiaga) vartojimu.</w:t>
      </w:r>
    </w:p>
    <w:p w14:paraId="7E989104" w14:textId="77777777" w:rsidR="009A78C3" w:rsidRPr="00733B7A" w:rsidRDefault="009A78C3" w:rsidP="009A78C3">
      <w:r w:rsidRPr="00733B7A">
        <w:t>NORIFAZ draudžiama vartoti žindymo laikotarpiu (žr. 2 skyrių “NORIFAZ vartoti draudžiama”).</w:t>
      </w:r>
    </w:p>
    <w:p w14:paraId="3E005544" w14:textId="77777777" w:rsidR="009A78C3" w:rsidRPr="00733B7A" w:rsidRDefault="009A78C3" w:rsidP="009A78C3"/>
    <w:p w14:paraId="2DD3F3A3" w14:textId="77777777" w:rsidR="009A78C3" w:rsidRPr="00733B7A" w:rsidRDefault="009A78C3" w:rsidP="009A78C3">
      <w:pPr>
        <w:keepNext/>
        <w:keepLines/>
        <w:outlineLvl w:val="1"/>
      </w:pPr>
      <w:r w:rsidRPr="00733B7A">
        <w:rPr>
          <w:b/>
          <w:bCs/>
        </w:rPr>
        <w:t>Vairavimas ir mechanizmų valdymas</w:t>
      </w:r>
    </w:p>
    <w:p w14:paraId="37367734" w14:textId="77777777" w:rsidR="009A78C3" w:rsidRPr="00733B7A" w:rsidRDefault="009A78C3" w:rsidP="009A78C3">
      <w:r w:rsidRPr="00733B7A">
        <w:t>Nėra duomenų, kad NORIFAZ galėtų daryti įtaką gebėjimui vairuoti ir valdyti mechanizmus.</w:t>
      </w:r>
    </w:p>
    <w:p w14:paraId="3F87C834" w14:textId="77777777" w:rsidR="009A78C3" w:rsidRPr="00733B7A" w:rsidRDefault="009A78C3" w:rsidP="009A78C3"/>
    <w:p w14:paraId="57184336" w14:textId="06DDE694" w:rsidR="009A78C3" w:rsidRPr="00733B7A" w:rsidRDefault="009A78C3" w:rsidP="009A78C3">
      <w:pPr>
        <w:keepNext/>
        <w:keepLines/>
        <w:outlineLvl w:val="1"/>
      </w:pPr>
      <w:r w:rsidRPr="00733B7A">
        <w:rPr>
          <w:b/>
          <w:bCs/>
        </w:rPr>
        <w:t>NORIFAZ</w:t>
      </w:r>
      <w:r w:rsidR="00666D77">
        <w:rPr>
          <w:b/>
          <w:bCs/>
        </w:rPr>
        <w:t xml:space="preserve"> </w:t>
      </w:r>
      <w:r w:rsidRPr="00534AEB">
        <w:rPr>
          <w:b/>
          <w:bCs/>
        </w:rPr>
        <w:t>sudėtyje yra laktozės</w:t>
      </w:r>
    </w:p>
    <w:p w14:paraId="58D76407" w14:textId="28ECF98C" w:rsidR="009A78C3" w:rsidRPr="00733B7A" w:rsidRDefault="009A78C3" w:rsidP="009A78C3">
      <w:pPr>
        <w:autoSpaceDE w:val="0"/>
        <w:autoSpaceDN w:val="0"/>
        <w:adjustRightInd w:val="0"/>
      </w:pPr>
      <w:r w:rsidRPr="00733B7A">
        <w:t>Jei</w:t>
      </w:r>
      <w:r w:rsidR="00666D77">
        <w:t>gu</w:t>
      </w:r>
      <w:r w:rsidRPr="00733B7A">
        <w:t xml:space="preserve"> gydytojas </w:t>
      </w:r>
      <w:r w:rsidR="00666D77">
        <w:t xml:space="preserve">Jums yra </w:t>
      </w:r>
      <w:r w:rsidR="00666D77" w:rsidRPr="00733B7A">
        <w:t>sakęs</w:t>
      </w:r>
      <w:r w:rsidR="00666D77">
        <w:t xml:space="preserve">, </w:t>
      </w:r>
      <w:r w:rsidRPr="00733B7A">
        <w:t>kad</w:t>
      </w:r>
      <w:r w:rsidR="003138C3">
        <w:t xml:space="preserve"> </w:t>
      </w:r>
      <w:r w:rsidRPr="00733B7A">
        <w:t xml:space="preserve">netoleruojate kokių nors angliavandenių, </w:t>
      </w:r>
      <w:r w:rsidR="00666D77">
        <w:t>kreipkit</w:t>
      </w:r>
      <w:r w:rsidR="00666D77" w:rsidRPr="00534AEB">
        <w:t>ė</w:t>
      </w:r>
      <w:r w:rsidR="00666D77">
        <w:t xml:space="preserve">s </w:t>
      </w:r>
      <w:r w:rsidR="005A7443" w:rsidRPr="002420AE">
        <w:t>į</w:t>
      </w:r>
      <w:r w:rsidR="00666D77">
        <w:t xml:space="preserve"> </w:t>
      </w:r>
      <w:r w:rsidR="003138C3">
        <w:t xml:space="preserve">gydytoją </w:t>
      </w:r>
      <w:r w:rsidRPr="00733B7A">
        <w:t xml:space="preserve">prieš </w:t>
      </w:r>
      <w:r w:rsidR="00666D77">
        <w:t>prad</w:t>
      </w:r>
      <w:r w:rsidR="00666D77" w:rsidRPr="00534AEB">
        <w:t>ė</w:t>
      </w:r>
      <w:r w:rsidR="00666D77">
        <w:t xml:space="preserve">dami </w:t>
      </w:r>
      <w:r w:rsidRPr="00733B7A">
        <w:t>varto</w:t>
      </w:r>
      <w:r w:rsidR="00666D77">
        <w:t>ti</w:t>
      </w:r>
      <w:r w:rsidRPr="00733B7A">
        <w:t xml:space="preserve"> šį vaistą</w:t>
      </w:r>
      <w:r w:rsidR="00666D77">
        <w:t xml:space="preserve">. </w:t>
      </w:r>
    </w:p>
    <w:p w14:paraId="5A255295" w14:textId="6CE23D8B" w:rsidR="009A78C3" w:rsidRDefault="009A78C3" w:rsidP="009A78C3"/>
    <w:p w14:paraId="3E5FF395" w14:textId="1D2CCBB9" w:rsidR="005A7443" w:rsidRDefault="005A7443" w:rsidP="009A78C3">
      <w:pPr>
        <w:rPr>
          <w:b/>
          <w:bCs/>
        </w:rPr>
      </w:pPr>
      <w:r w:rsidRPr="00733B7A">
        <w:rPr>
          <w:b/>
          <w:bCs/>
        </w:rPr>
        <w:t>NORIFAZ</w:t>
      </w:r>
      <w:r>
        <w:rPr>
          <w:b/>
          <w:bCs/>
        </w:rPr>
        <w:t xml:space="preserve"> </w:t>
      </w:r>
      <w:r w:rsidRPr="00534AEB">
        <w:rPr>
          <w:b/>
          <w:bCs/>
        </w:rPr>
        <w:t>sudėtyje yra</w:t>
      </w:r>
      <w:r>
        <w:rPr>
          <w:b/>
          <w:bCs/>
        </w:rPr>
        <w:t xml:space="preserve"> natrias</w:t>
      </w:r>
    </w:p>
    <w:p w14:paraId="52B877A5" w14:textId="262E2A3B" w:rsidR="005A7443" w:rsidRDefault="003138C3" w:rsidP="009A78C3">
      <w:r>
        <w:rPr>
          <w:color w:val="000000"/>
        </w:rPr>
        <w:t>Kiekvienoje š</w:t>
      </w:r>
      <w:r w:rsidR="005A7443">
        <w:rPr>
          <w:color w:val="000000"/>
        </w:rPr>
        <w:t xml:space="preserve">io vaisto </w:t>
      </w:r>
      <w:r w:rsidR="005A7443" w:rsidRPr="00D34CD1">
        <w:t>tabletė</w:t>
      </w:r>
      <w:r>
        <w:t>je</w:t>
      </w:r>
      <w:r w:rsidR="005A7443">
        <w:t xml:space="preserve"> </w:t>
      </w:r>
      <w:r w:rsidR="005A7443" w:rsidRPr="00D34CD1">
        <w:t>yra</w:t>
      </w:r>
      <w:r w:rsidR="005A7443">
        <w:t xml:space="preserve"> ma</w:t>
      </w:r>
      <w:r w:rsidR="005A7443" w:rsidRPr="00D34CD1">
        <w:t>ž</w:t>
      </w:r>
      <w:r w:rsidR="005A7443">
        <w:t>iau kaip 1 mmol (23 mg) natrio t.y. jis beveik neturi reik</w:t>
      </w:r>
      <w:r w:rsidR="005A7443" w:rsidRPr="00D34CD1">
        <w:rPr>
          <w:color w:val="000000"/>
        </w:rPr>
        <w:t>š</w:t>
      </w:r>
      <w:r w:rsidR="005A7443">
        <w:rPr>
          <w:color w:val="000000"/>
        </w:rPr>
        <w:t>m</w:t>
      </w:r>
      <w:r w:rsidR="005A7443" w:rsidRPr="00D34CD1">
        <w:t>ės</w:t>
      </w:r>
      <w:r w:rsidR="005A7443">
        <w:t>.</w:t>
      </w:r>
    </w:p>
    <w:p w14:paraId="20987193" w14:textId="77777777" w:rsidR="005A7443" w:rsidRPr="00733B7A" w:rsidRDefault="005A7443" w:rsidP="009A78C3"/>
    <w:p w14:paraId="64DE0980" w14:textId="77777777" w:rsidR="009A78C3" w:rsidRPr="00733B7A" w:rsidRDefault="009A78C3" w:rsidP="009A78C3"/>
    <w:p w14:paraId="351F5881" w14:textId="77777777" w:rsidR="009A78C3" w:rsidRPr="00733B7A" w:rsidRDefault="009A78C3" w:rsidP="009A78C3">
      <w:pPr>
        <w:keepNext/>
        <w:keepLines/>
        <w:rPr>
          <w:b/>
          <w:bCs/>
        </w:rPr>
      </w:pPr>
      <w:r w:rsidRPr="00733B7A">
        <w:rPr>
          <w:b/>
          <w:bCs/>
        </w:rPr>
        <w:t>3.</w:t>
      </w:r>
      <w:r w:rsidRPr="00733B7A">
        <w:rPr>
          <w:b/>
          <w:bCs/>
        </w:rPr>
        <w:tab/>
        <w:t>Kaip vartoti NORIFAZ</w:t>
      </w:r>
    </w:p>
    <w:p w14:paraId="0E932103" w14:textId="77777777" w:rsidR="009A78C3" w:rsidRPr="00733B7A" w:rsidRDefault="009A78C3" w:rsidP="009A78C3">
      <w:pPr>
        <w:keepNext/>
        <w:keepLines/>
        <w:rPr>
          <w:b/>
          <w:bCs/>
        </w:rPr>
      </w:pPr>
    </w:p>
    <w:p w14:paraId="3D6622E4" w14:textId="77777777" w:rsidR="009A78C3" w:rsidRPr="00733B7A" w:rsidRDefault="009A78C3" w:rsidP="009A78C3">
      <w:pPr>
        <w:keepNext/>
        <w:keepLines/>
      </w:pPr>
      <w:r w:rsidRPr="00733B7A">
        <w:t>NORIFAZ visada vartokite tiksliai taip, kaip nurodė gydytojas. Jeigu abejojate, kreipkitės į gydytoją.</w:t>
      </w:r>
    </w:p>
    <w:p w14:paraId="12556484" w14:textId="77777777" w:rsidR="009A78C3" w:rsidRPr="00733B7A" w:rsidRDefault="009A78C3" w:rsidP="009A78C3"/>
    <w:p w14:paraId="70FDCDB4" w14:textId="77777777" w:rsidR="009A78C3" w:rsidRPr="00733B7A" w:rsidRDefault="009A78C3" w:rsidP="009A78C3">
      <w:r w:rsidRPr="00733B7A">
        <w:rPr>
          <w:u w:val="single"/>
        </w:rPr>
        <w:t>Įprasta vaisto dozė</w:t>
      </w:r>
      <w:r w:rsidRPr="00733B7A">
        <w:t>:</w:t>
      </w:r>
    </w:p>
    <w:p w14:paraId="53C9639B" w14:textId="77777777" w:rsidR="009A78C3" w:rsidRPr="00733B7A" w:rsidRDefault="009A78C3" w:rsidP="009A78C3">
      <w:r w:rsidRPr="00733B7A">
        <w:t xml:space="preserve">Viena NORIFAZ tabletė (35 mg natrio rizedronato) vieną kartą per savaitę. Reikia išsirinkti vieną patogiausią savaitės dieną. Kiekvieną savaitę, tą išsirinktą dieną išgerti vieną NORIFAZ tabletę. </w:t>
      </w:r>
    </w:p>
    <w:p w14:paraId="6FFF1CD4" w14:textId="77777777" w:rsidR="009A78C3" w:rsidRPr="00733B7A" w:rsidRDefault="009A78C3" w:rsidP="009A78C3"/>
    <w:p w14:paraId="2901E3F5" w14:textId="77777777" w:rsidR="009A78C3" w:rsidRPr="00733B7A" w:rsidRDefault="009A78C3" w:rsidP="009A78C3">
      <w:r w:rsidRPr="00733B7A">
        <w:t>Siekiant palengvinti vaisto vartojimą atitinkamą savaitės dieną, NORIFAZ pakuotė pažymėta specialiu ženklu:</w:t>
      </w:r>
    </w:p>
    <w:p w14:paraId="4892FA0E" w14:textId="77777777" w:rsidR="009A78C3" w:rsidRPr="00733B7A" w:rsidRDefault="009A78C3" w:rsidP="009A78C3">
      <w:r w:rsidRPr="00733B7A">
        <w:rPr>
          <w:color w:val="000000"/>
        </w:rPr>
        <w:t xml:space="preserve">Kitoje dėžutės pusėje yra rėmeliai, tuščios vietos. </w:t>
      </w:r>
      <w:r w:rsidRPr="00733B7A">
        <w:t xml:space="preserve">Juose reikia pažymėti tą savaitės dieną, kurią gersite vaistą NORIFAZ. Taip pat reikia įrašyti datas tų dienų, kuriomis gersite tabletę. </w:t>
      </w:r>
    </w:p>
    <w:p w14:paraId="498FD2F0" w14:textId="77777777" w:rsidR="009A78C3" w:rsidRPr="00733B7A" w:rsidRDefault="009A78C3" w:rsidP="009A78C3"/>
    <w:p w14:paraId="2D9C1196" w14:textId="77777777" w:rsidR="009A78C3" w:rsidRPr="00733B7A" w:rsidRDefault="009A78C3" w:rsidP="009A78C3">
      <w:r w:rsidRPr="00733B7A">
        <w:t>NORIFAZ reikia gerti mažiausiai 30 minučių prieš pirmą dienos valgį, gėrimą (išskyrus vandenį) arba kitą vaistą.</w:t>
      </w:r>
    </w:p>
    <w:p w14:paraId="575B7D82" w14:textId="77777777" w:rsidR="009A78C3" w:rsidRPr="00733B7A" w:rsidRDefault="009A78C3" w:rsidP="009A78C3"/>
    <w:p w14:paraId="6BEAD225" w14:textId="77777777" w:rsidR="009A78C3" w:rsidRPr="00733B7A" w:rsidRDefault="009A78C3" w:rsidP="009A78C3">
      <w:pPr>
        <w:numPr>
          <w:ilvl w:val="0"/>
          <w:numId w:val="6"/>
        </w:numPr>
        <w:ind w:left="0" w:firstLine="0"/>
      </w:pPr>
      <w:r w:rsidRPr="00733B7A">
        <w:t xml:space="preserve">Vaistą reikia gerti </w:t>
      </w:r>
      <w:r w:rsidRPr="00733B7A">
        <w:rPr>
          <w:b/>
          <w:bCs/>
        </w:rPr>
        <w:t>vertikalioje padėtyje</w:t>
      </w:r>
      <w:r w:rsidRPr="00733B7A">
        <w:t xml:space="preserve"> (sėdint arba stovint). Tokiu būdu išvengsite rėmens.</w:t>
      </w:r>
    </w:p>
    <w:p w14:paraId="2A8CC131" w14:textId="77777777" w:rsidR="009A78C3" w:rsidRPr="00733B7A" w:rsidRDefault="009A78C3" w:rsidP="009A78C3">
      <w:pPr>
        <w:numPr>
          <w:ilvl w:val="0"/>
          <w:numId w:val="6"/>
        </w:numPr>
        <w:ind w:left="0" w:firstLine="0"/>
      </w:pPr>
      <w:r w:rsidRPr="00733B7A">
        <w:t xml:space="preserve">Užsigerti mažiausiai </w:t>
      </w:r>
      <w:r w:rsidRPr="00733B7A">
        <w:rPr>
          <w:b/>
          <w:bCs/>
        </w:rPr>
        <w:t>stikline paprasto vandens</w:t>
      </w:r>
      <w:r w:rsidRPr="00733B7A">
        <w:t xml:space="preserve"> (120 ml).</w:t>
      </w:r>
    </w:p>
    <w:p w14:paraId="74DC3011" w14:textId="77777777" w:rsidR="009A78C3" w:rsidRPr="00733B7A" w:rsidRDefault="009A78C3" w:rsidP="009A78C3">
      <w:pPr>
        <w:numPr>
          <w:ilvl w:val="0"/>
          <w:numId w:val="6"/>
        </w:numPr>
        <w:ind w:left="0" w:firstLine="0"/>
      </w:pPr>
      <w:r w:rsidRPr="00733B7A">
        <w:rPr>
          <w:b/>
          <w:bCs/>
        </w:rPr>
        <w:t>Nuryti tabletę nepažeistą</w:t>
      </w:r>
      <w:r w:rsidRPr="00733B7A">
        <w:t>; draudžiama čiulpti arba kramtyti.</w:t>
      </w:r>
    </w:p>
    <w:p w14:paraId="3E2CF004" w14:textId="77777777" w:rsidR="009A78C3" w:rsidRPr="00733B7A" w:rsidRDefault="009A78C3" w:rsidP="009A78C3">
      <w:pPr>
        <w:numPr>
          <w:ilvl w:val="0"/>
          <w:numId w:val="6"/>
        </w:numPr>
        <w:ind w:left="0" w:firstLine="0"/>
      </w:pPr>
      <w:r w:rsidRPr="00733B7A">
        <w:t xml:space="preserve">Išgėrus tabletę, </w:t>
      </w:r>
      <w:r w:rsidRPr="00733B7A">
        <w:rPr>
          <w:b/>
          <w:bCs/>
        </w:rPr>
        <w:t>draudžiama atsigulti mažiausiai 30 minučių</w:t>
      </w:r>
      <w:r w:rsidRPr="00733B7A">
        <w:t>.</w:t>
      </w:r>
    </w:p>
    <w:p w14:paraId="5D009C66" w14:textId="77777777" w:rsidR="009A78C3" w:rsidRPr="00733B7A" w:rsidRDefault="009A78C3" w:rsidP="009A78C3"/>
    <w:p w14:paraId="7B7CD1D0" w14:textId="77777777" w:rsidR="009A78C3" w:rsidRPr="00733B7A" w:rsidRDefault="009A78C3" w:rsidP="009A78C3">
      <w:r w:rsidRPr="00733B7A">
        <w:t>Gydytojas gali rekomenduoti papildomai vartoti kalcio arba vitaminų, jeigu jų trūksta dietoje. Dietoje vartoti maisto produktus turinčius kalcio ir vitamino D ( jų yra pieno produktuose ir žuvyje)</w:t>
      </w:r>
    </w:p>
    <w:p w14:paraId="7E8A13D1" w14:textId="77777777" w:rsidR="009A78C3" w:rsidRPr="00733B7A" w:rsidRDefault="009A78C3" w:rsidP="009A78C3"/>
    <w:p w14:paraId="1227317D" w14:textId="77777777" w:rsidR="009A78C3" w:rsidRPr="00733B7A" w:rsidRDefault="009A78C3" w:rsidP="009A78C3">
      <w:pPr>
        <w:rPr>
          <w:b/>
          <w:bCs/>
        </w:rPr>
      </w:pPr>
      <w:r w:rsidRPr="00534AEB">
        <w:rPr>
          <w:b/>
          <w:bCs/>
        </w:rPr>
        <w:t>Ką daryti pavartojus per didelę X dozę?</w:t>
      </w:r>
    </w:p>
    <w:p w14:paraId="04A245EE" w14:textId="77777777" w:rsidR="009A78C3" w:rsidRPr="00733B7A" w:rsidRDefault="009A78C3" w:rsidP="009A78C3">
      <w:r w:rsidRPr="00733B7A">
        <w:t xml:space="preserve">Nėra pakankamos informacijos, kaip elgtis suvartojus per didelę natrio rizedronato dozę. Galima tikėtis kalcio kiekio sumažėjimo serume. Kai kuriems pacientams gali pasireikšti hipokalcemijos simptomai. Išgėrus per daug NORIFAZ tablečių, reikia </w:t>
      </w:r>
      <w:r w:rsidRPr="00733B7A">
        <w:rPr>
          <w:b/>
          <w:bCs/>
        </w:rPr>
        <w:t>išgerti stiklinę pieno ir nedelsiant kreiptis į gydytoją arba artimiausią ligoninę</w:t>
      </w:r>
      <w:r w:rsidRPr="00733B7A">
        <w:t>.</w:t>
      </w:r>
    </w:p>
    <w:p w14:paraId="606173CE" w14:textId="77777777" w:rsidR="009A78C3" w:rsidRPr="00733B7A" w:rsidRDefault="009A78C3" w:rsidP="009A78C3"/>
    <w:p w14:paraId="15A49675" w14:textId="77777777" w:rsidR="009A78C3" w:rsidRPr="00733B7A" w:rsidRDefault="009A78C3" w:rsidP="009A78C3">
      <w:pPr>
        <w:rPr>
          <w:b/>
          <w:bCs/>
        </w:rPr>
      </w:pPr>
      <w:r w:rsidRPr="00733B7A">
        <w:rPr>
          <w:b/>
          <w:bCs/>
        </w:rPr>
        <w:t>Pamiršus pavartoti NORIFAZ</w:t>
      </w:r>
    </w:p>
    <w:p w14:paraId="662CBA34" w14:textId="77777777" w:rsidR="009A78C3" w:rsidRPr="00733B7A" w:rsidRDefault="009A78C3" w:rsidP="009A78C3">
      <w:r w:rsidRPr="00733B7A">
        <w:t>Prisiminę, tą pačią dieną išgerkite užmirštą vaisto dozę.</w:t>
      </w:r>
    </w:p>
    <w:p w14:paraId="5CF04377" w14:textId="77777777" w:rsidR="009A78C3" w:rsidRPr="00733B7A" w:rsidRDefault="009A78C3" w:rsidP="009A78C3">
      <w:r w:rsidRPr="00733B7A">
        <w:t>Kitą dozę reikia gerti įprastą, anksčiau nustatytą savaitės dieną.</w:t>
      </w:r>
    </w:p>
    <w:p w14:paraId="08591FA0" w14:textId="77777777" w:rsidR="009A78C3" w:rsidRPr="00733B7A" w:rsidRDefault="009A78C3" w:rsidP="009A78C3">
      <w:r w:rsidRPr="00733B7A">
        <w:t xml:space="preserve">Praleidus dozę, vėliau vietoj jos dvigubos dozės vartoti negalima </w:t>
      </w:r>
    </w:p>
    <w:p w14:paraId="5E1EE61C" w14:textId="77777777" w:rsidR="009A78C3" w:rsidRPr="00733B7A" w:rsidRDefault="009A78C3" w:rsidP="009A78C3"/>
    <w:p w14:paraId="626EA7B9" w14:textId="77777777" w:rsidR="009A78C3" w:rsidRPr="00733B7A" w:rsidRDefault="009A78C3" w:rsidP="009A78C3">
      <w:r w:rsidRPr="00534AEB">
        <w:rPr>
          <w:b/>
          <w:bCs/>
        </w:rPr>
        <w:t xml:space="preserve">Nustojus vartoti </w:t>
      </w:r>
      <w:r w:rsidRPr="00733B7A">
        <w:rPr>
          <w:b/>
          <w:bCs/>
        </w:rPr>
        <w:t>NORIFAZ</w:t>
      </w:r>
    </w:p>
    <w:p w14:paraId="4A253F18" w14:textId="77777777" w:rsidR="009A78C3" w:rsidRPr="00733B7A" w:rsidRDefault="009A78C3" w:rsidP="009A78C3">
      <w:r w:rsidRPr="00733B7A">
        <w:t>Nutraukus gydymą, kaulai gali pasidaryti trapūs. Prieš priimant sprendimą dėl gydymo nutraukimo, reikia pasitarti su gydytoju net jeigu jaučiatės geriau. Gydytojas nustatys gydymo NORIFAZ preparatu laiką.  Visais klausimais dėl vaisto vartojimo kreipkitės į savo gydytoją.</w:t>
      </w:r>
    </w:p>
    <w:p w14:paraId="11F26239" w14:textId="77777777" w:rsidR="009A78C3" w:rsidRPr="00733B7A" w:rsidRDefault="009A78C3" w:rsidP="009A78C3"/>
    <w:p w14:paraId="1AAEEAC5" w14:textId="77777777" w:rsidR="009A78C3" w:rsidRPr="00733B7A" w:rsidRDefault="009A78C3" w:rsidP="009A78C3"/>
    <w:p w14:paraId="437134AC" w14:textId="77777777" w:rsidR="009A78C3" w:rsidRPr="00733B7A" w:rsidRDefault="009A78C3" w:rsidP="009A78C3">
      <w:pPr>
        <w:rPr>
          <w:b/>
          <w:bCs/>
        </w:rPr>
      </w:pPr>
      <w:r w:rsidRPr="00733B7A">
        <w:rPr>
          <w:b/>
          <w:bCs/>
        </w:rPr>
        <w:t>4.</w:t>
      </w:r>
      <w:r w:rsidRPr="00733B7A">
        <w:rPr>
          <w:b/>
          <w:bCs/>
        </w:rPr>
        <w:tab/>
        <w:t>Galimas šalutinis poveikis</w:t>
      </w:r>
    </w:p>
    <w:p w14:paraId="68FE91A9" w14:textId="77777777" w:rsidR="009A78C3" w:rsidRPr="00733B7A" w:rsidRDefault="009A78C3" w:rsidP="009A78C3"/>
    <w:p w14:paraId="0926DECF" w14:textId="77777777" w:rsidR="009A78C3" w:rsidRPr="00733B7A" w:rsidRDefault="009A78C3" w:rsidP="009A78C3">
      <w:r w:rsidRPr="0053482D">
        <w:t>Šis vaistas</w:t>
      </w:r>
      <w:r w:rsidRPr="00733B7A">
        <w:t>, kaip ir kiti</w:t>
      </w:r>
      <w:r>
        <w:t>,</w:t>
      </w:r>
      <w:r w:rsidRPr="00733B7A">
        <w:t xml:space="preserve"> gali sukelti šalutinį poveikį, nors jis pasireiškia ne visiems</w:t>
      </w:r>
      <w:r>
        <w:t xml:space="preserve"> </w:t>
      </w:r>
      <w:r w:rsidRPr="0053482D">
        <w:t>žmonėms</w:t>
      </w:r>
      <w:r w:rsidRPr="00733B7A">
        <w:t>.</w:t>
      </w:r>
    </w:p>
    <w:p w14:paraId="333E5995" w14:textId="77777777" w:rsidR="009A78C3" w:rsidRPr="00733B7A" w:rsidRDefault="009A78C3" w:rsidP="009A78C3"/>
    <w:p w14:paraId="79FF6D4F" w14:textId="77777777" w:rsidR="009A78C3" w:rsidRPr="00733B7A" w:rsidRDefault="009A78C3" w:rsidP="009A78C3">
      <w:r w:rsidRPr="00733B7A">
        <w:rPr>
          <w:b/>
          <w:bCs/>
        </w:rPr>
        <w:t>Nedelsiant nutraukite vaisto NORIFAZ vartojimą ir kreipkitės į gydytoją</w:t>
      </w:r>
      <w:r w:rsidRPr="00733B7A">
        <w:t>, jeigu pasireiškia šis šalutinis poveikis:</w:t>
      </w:r>
    </w:p>
    <w:p w14:paraId="57117B24" w14:textId="77777777" w:rsidR="009A78C3" w:rsidRPr="00733B7A" w:rsidRDefault="009A78C3" w:rsidP="009A78C3">
      <w:pPr>
        <w:numPr>
          <w:ilvl w:val="0"/>
          <w:numId w:val="9"/>
        </w:numPr>
        <w:tabs>
          <w:tab w:val="num" w:pos="360"/>
        </w:tabs>
        <w:ind w:left="0" w:firstLine="0"/>
      </w:pPr>
      <w:r w:rsidRPr="00733B7A">
        <w:t>Sunkiam audinių patinimui (angioneurozinei edemai) būdingi simptomai:</w:t>
      </w:r>
    </w:p>
    <w:p w14:paraId="54ADEF44" w14:textId="4DC9D605" w:rsidR="009A78C3" w:rsidRPr="00733B7A" w:rsidRDefault="009A78C3" w:rsidP="009A78C3">
      <w:pPr>
        <w:numPr>
          <w:ilvl w:val="0"/>
          <w:numId w:val="10"/>
        </w:numPr>
        <w:ind w:left="0" w:firstLine="0"/>
      </w:pPr>
      <w:r w:rsidRPr="00733B7A">
        <w:t>veido, liežuvio arba gerklės patinimas</w:t>
      </w:r>
      <w:r w:rsidR="00C949DC">
        <w:t>;</w:t>
      </w:r>
      <w:r w:rsidRPr="00733B7A">
        <w:t xml:space="preserve"> </w:t>
      </w:r>
    </w:p>
    <w:p w14:paraId="2FC0DFB7" w14:textId="77777777" w:rsidR="009A78C3" w:rsidRPr="00733B7A" w:rsidRDefault="009A78C3" w:rsidP="009A78C3">
      <w:pPr>
        <w:numPr>
          <w:ilvl w:val="0"/>
          <w:numId w:val="10"/>
        </w:numPr>
        <w:ind w:left="0" w:firstLine="0"/>
      </w:pPr>
      <w:r w:rsidRPr="00733B7A">
        <w:t>pasunkėjęs rijimas;</w:t>
      </w:r>
    </w:p>
    <w:p w14:paraId="5E34E5CC" w14:textId="1188DBB1" w:rsidR="00811C3C" w:rsidRPr="00733B7A" w:rsidRDefault="009A78C3" w:rsidP="00774174">
      <w:pPr>
        <w:numPr>
          <w:ilvl w:val="0"/>
          <w:numId w:val="10"/>
        </w:numPr>
        <w:ind w:left="0" w:firstLine="0"/>
      </w:pPr>
      <w:r w:rsidRPr="00733B7A">
        <w:lastRenderedPageBreak/>
        <w:t>dilgėlinė ir pasunkėjęs kvėpavimas</w:t>
      </w:r>
      <w:r>
        <w:t>;</w:t>
      </w:r>
      <w:r w:rsidR="00C949DC">
        <w:t xml:space="preserve"> </w:t>
      </w:r>
      <w:r w:rsidR="00811C3C" w:rsidRPr="00811C3C">
        <w:t>šio šalutinio poveikio dažnis n</w:t>
      </w:r>
      <w:r w:rsidR="00E06017">
        <w:t>e</w:t>
      </w:r>
      <w:r w:rsidR="00811C3C" w:rsidRPr="00811C3C">
        <w:t>žinomas (</w:t>
      </w:r>
      <w:r w:rsidR="00D53D68" w:rsidRPr="00D53D68">
        <w:t>negali būti apskaičiuotas pagal turimus duomenis</w:t>
      </w:r>
      <w:r w:rsidR="00811C3C" w:rsidRPr="00811C3C">
        <w:t>)</w:t>
      </w:r>
      <w:r w:rsidR="00811C3C">
        <w:t>;</w:t>
      </w:r>
    </w:p>
    <w:p w14:paraId="37811CD7" w14:textId="7F95B9DB" w:rsidR="009A78C3" w:rsidRPr="00733B7A" w:rsidRDefault="009A78C3" w:rsidP="009A78C3">
      <w:pPr>
        <w:numPr>
          <w:ilvl w:val="0"/>
          <w:numId w:val="10"/>
        </w:numPr>
        <w:ind w:left="0" w:firstLine="0"/>
      </w:pPr>
      <w:r>
        <w:t>s</w:t>
      </w:r>
      <w:r w:rsidRPr="00733B7A">
        <w:t>unkios odos reakcijos, tarp jų galimas ir pūslių po oda atsiradimas</w:t>
      </w:r>
      <w:r w:rsidR="00811C3C">
        <w:t>;</w:t>
      </w:r>
      <w:r w:rsidR="00811C3C" w:rsidRPr="00811C3C">
        <w:t xml:space="preserve"> šio šalutinio poveikio dažnis n</w:t>
      </w:r>
      <w:r w:rsidR="00E06017">
        <w:t>e</w:t>
      </w:r>
      <w:r w:rsidR="00811C3C" w:rsidRPr="00811C3C">
        <w:t>žinomas (</w:t>
      </w:r>
      <w:r w:rsidR="00D53D68" w:rsidRPr="00D53D68">
        <w:t>negali būti apskaičiuotas pagal turimus duomenis</w:t>
      </w:r>
      <w:r w:rsidR="00811C3C" w:rsidRPr="00811C3C">
        <w:t>)</w:t>
      </w:r>
      <w:r>
        <w:t>.</w:t>
      </w:r>
    </w:p>
    <w:p w14:paraId="6F3C3D31" w14:textId="77777777" w:rsidR="009A78C3" w:rsidRPr="00733B7A" w:rsidRDefault="009A78C3" w:rsidP="009A78C3"/>
    <w:p w14:paraId="75047FE0" w14:textId="77777777" w:rsidR="009A78C3" w:rsidRPr="00733B7A" w:rsidRDefault="009A78C3" w:rsidP="009A78C3">
      <w:r w:rsidRPr="00733B7A">
        <w:t>Nedelsiant kreiptis į gydytoją, jeigu pasireiškia:</w:t>
      </w:r>
    </w:p>
    <w:p w14:paraId="48AAB6FA" w14:textId="0E78F1B2" w:rsidR="009A78C3" w:rsidRDefault="00811C3C" w:rsidP="009A78C3">
      <w:pPr>
        <w:numPr>
          <w:ilvl w:val="0"/>
          <w:numId w:val="6"/>
        </w:numPr>
        <w:ind w:left="0" w:firstLine="0"/>
      </w:pPr>
      <w:r>
        <w:t>A</w:t>
      </w:r>
      <w:r w:rsidRPr="00733B7A">
        <w:t xml:space="preserve">kių </w:t>
      </w:r>
      <w:r w:rsidR="009A78C3" w:rsidRPr="00733B7A">
        <w:t>uždegimas, skausmas, paraudimas jautrumas šviesai.</w:t>
      </w:r>
      <w:r w:rsidRPr="00811C3C">
        <w:t xml:space="preserve"> Šio šalutinio poveikio dažnis n</w:t>
      </w:r>
      <w:r w:rsidR="001444A4">
        <w:t>e</w:t>
      </w:r>
      <w:r w:rsidRPr="00811C3C">
        <w:t>žinomas (</w:t>
      </w:r>
      <w:r w:rsidR="00D53D68" w:rsidRPr="00D53D68">
        <w:t>negali būti apskaičiuotas pagal turimus duomenis</w:t>
      </w:r>
      <w:r w:rsidRPr="00811C3C">
        <w:t>).</w:t>
      </w:r>
    </w:p>
    <w:p w14:paraId="32326710" w14:textId="6F36E33D" w:rsidR="00811C3C" w:rsidRPr="00733B7A" w:rsidRDefault="002E6AF7" w:rsidP="009A78C3">
      <w:pPr>
        <w:numPr>
          <w:ilvl w:val="0"/>
          <w:numId w:val="6"/>
        </w:numPr>
        <w:ind w:left="0" w:firstLine="0"/>
      </w:pPr>
      <w:r>
        <w:t xml:space="preserve">Ūminis akiduobės </w:t>
      </w:r>
      <w:r w:rsidR="00811C3C" w:rsidRPr="00811C3C">
        <w:t xml:space="preserve">uždegimas – akies obuolio aplinkinių struktūrų uždegimas. Simptomai gali būti: skausmas, patinimas, paraudimas, akies obuolio išsikišimas ir </w:t>
      </w:r>
      <w:r w:rsidR="00980EEB">
        <w:t xml:space="preserve">regėjimo </w:t>
      </w:r>
      <w:r w:rsidR="00811C3C" w:rsidRPr="00811C3C">
        <w:t>sutrikimai. Šio šalutinio poveikio dažnis n</w:t>
      </w:r>
      <w:r w:rsidR="001444A4">
        <w:t>e</w:t>
      </w:r>
      <w:r w:rsidR="00811C3C" w:rsidRPr="00811C3C">
        <w:t>žinomas (</w:t>
      </w:r>
      <w:r w:rsidR="00D53D68" w:rsidRPr="00D53D68">
        <w:t>negali būti apskaičiuotas pagal turimus duomenis</w:t>
      </w:r>
      <w:r w:rsidR="00811C3C" w:rsidRPr="00811C3C">
        <w:t>).</w:t>
      </w:r>
    </w:p>
    <w:p w14:paraId="583A5F5F" w14:textId="5D038D29" w:rsidR="009A78C3" w:rsidRPr="00733B7A" w:rsidRDefault="009A78C3" w:rsidP="009A78C3">
      <w:pPr>
        <w:numPr>
          <w:ilvl w:val="0"/>
          <w:numId w:val="6"/>
        </w:numPr>
        <w:ind w:left="0" w:firstLine="0"/>
      </w:pPr>
      <w:r w:rsidRPr="00733B7A">
        <w:t>Žandikaulio osteonekrozė su pasikartojančiomis infekcijomis, sunkiai gydoma ir dažnai prasidedanti po danties pašalinimo (Žr. 2 skyrių: „</w:t>
      </w:r>
      <w:r w:rsidRPr="00534AEB">
        <w:t>Įspėjimai ir atsargumo priemonės</w:t>
      </w:r>
      <w:r w:rsidRPr="00733B7A">
        <w:t>“</w:t>
      </w:r>
      <w:r>
        <w:t>)</w:t>
      </w:r>
      <w:r w:rsidR="00811C3C">
        <w:t>.</w:t>
      </w:r>
      <w:r w:rsidR="00811C3C" w:rsidRPr="00811C3C">
        <w:t xml:space="preserve"> Šio šalutinio poveikio dažnis n</w:t>
      </w:r>
      <w:r w:rsidR="001444A4">
        <w:t>e</w:t>
      </w:r>
      <w:r w:rsidR="00811C3C" w:rsidRPr="00811C3C">
        <w:t>žinomas (</w:t>
      </w:r>
      <w:r w:rsidR="00D53D68" w:rsidRPr="00D53D68">
        <w:t>negali būti apskaičiuotas pagal turimus duomenis</w:t>
      </w:r>
      <w:r w:rsidR="00811C3C" w:rsidRPr="00811C3C">
        <w:t>).</w:t>
      </w:r>
    </w:p>
    <w:p w14:paraId="5269B573" w14:textId="1F85D7DD" w:rsidR="009A78C3" w:rsidRPr="00733B7A" w:rsidRDefault="009A78C3" w:rsidP="009A78C3">
      <w:pPr>
        <w:numPr>
          <w:ilvl w:val="0"/>
          <w:numId w:val="6"/>
        </w:numPr>
        <w:autoSpaceDE w:val="0"/>
        <w:autoSpaceDN w:val="0"/>
        <w:adjustRightInd w:val="0"/>
        <w:ind w:left="0" w:firstLine="0"/>
      </w:pPr>
      <w:r w:rsidRPr="00733B7A">
        <w:t>Stemplės sudirgimo simptomai, tokie kaip rijimo sutrikimas, skausmas ryjant, skausmas krūtinėje arba atsiradęs ar paūmėjęs rėmuo</w:t>
      </w:r>
      <w:r w:rsidR="00811C3C">
        <w:t>.</w:t>
      </w:r>
      <w:r w:rsidRPr="00733B7A">
        <w:t xml:space="preserve"> </w:t>
      </w:r>
      <w:r w:rsidR="00811C3C" w:rsidRPr="00811C3C">
        <w:t xml:space="preserve">Šis šalutinis poveikis yra </w:t>
      </w:r>
      <w:r w:rsidR="00F90BFE">
        <w:t>nedažnas</w:t>
      </w:r>
      <w:r w:rsidR="00811C3C">
        <w:t xml:space="preserve"> (</w:t>
      </w:r>
      <w:r w:rsidR="000C7712" w:rsidRPr="000C7712">
        <w:t>gali pasireikšti rečiau kaip 1 iš 100 asmenų</w:t>
      </w:r>
      <w:r w:rsidR="00811C3C" w:rsidRPr="00811C3C">
        <w:t>)</w:t>
      </w:r>
      <w:r w:rsidR="00811C3C">
        <w:t>.</w:t>
      </w:r>
    </w:p>
    <w:p w14:paraId="3640838A" w14:textId="77777777" w:rsidR="009A78C3" w:rsidRPr="00733B7A" w:rsidRDefault="009A78C3" w:rsidP="009A78C3"/>
    <w:p w14:paraId="64030665" w14:textId="77777777" w:rsidR="009A78C3" w:rsidRPr="00733B7A" w:rsidRDefault="009A78C3" w:rsidP="009A78C3">
      <w:r w:rsidRPr="00733B7A">
        <w:t>Kiti šalutiniai poveikiai nustatyti klinikinių tyrimų metu paprastai buvo lengvi ir dėl to nereikėjo nutraukti vaisto vartojimo.</w:t>
      </w:r>
    </w:p>
    <w:p w14:paraId="6319328C" w14:textId="77777777" w:rsidR="009A78C3" w:rsidRPr="00733B7A" w:rsidRDefault="009A78C3" w:rsidP="009A78C3"/>
    <w:p w14:paraId="58B5073D" w14:textId="77777777" w:rsidR="009A78C3" w:rsidRPr="00733B7A" w:rsidRDefault="009A78C3" w:rsidP="009A78C3">
      <w:r w:rsidRPr="00733B7A">
        <w:rPr>
          <w:b/>
          <w:bCs/>
        </w:rPr>
        <w:t>Dažnas šalutinis poveikis</w:t>
      </w:r>
      <w:r w:rsidRPr="00733B7A">
        <w:t xml:space="preserve"> (mažiau nei 1 iš 10 ir daugiau nei 1 iš 100 pacientų):</w:t>
      </w:r>
    </w:p>
    <w:p w14:paraId="33E39BF5" w14:textId="77777777" w:rsidR="009A78C3" w:rsidRPr="00733B7A" w:rsidRDefault="009A78C3" w:rsidP="009A78C3">
      <w:pPr>
        <w:numPr>
          <w:ilvl w:val="0"/>
          <w:numId w:val="6"/>
        </w:numPr>
        <w:ind w:left="0" w:firstLine="0"/>
      </w:pPr>
      <w:r w:rsidRPr="00733B7A">
        <w:t>virškinimo sutrikimas, pykinimas, pilvo skausmas, spazmai ar diskomfortas pilve, vidurių užkietėjimas, pilnumo jausmas, vidurių pūtimas, viduriavimas;</w:t>
      </w:r>
    </w:p>
    <w:p w14:paraId="3DE2D5F4" w14:textId="77777777" w:rsidR="009A78C3" w:rsidRPr="00733B7A" w:rsidRDefault="009A78C3" w:rsidP="009A78C3">
      <w:pPr>
        <w:numPr>
          <w:ilvl w:val="0"/>
          <w:numId w:val="6"/>
        </w:numPr>
        <w:ind w:left="0" w:firstLine="0"/>
      </w:pPr>
      <w:r w:rsidRPr="00733B7A">
        <w:t>kaulų, raumenų arba sąnarių skausmai;</w:t>
      </w:r>
    </w:p>
    <w:p w14:paraId="4236C436" w14:textId="77777777" w:rsidR="009A78C3" w:rsidRPr="00733B7A" w:rsidRDefault="009A78C3" w:rsidP="009A78C3">
      <w:pPr>
        <w:numPr>
          <w:ilvl w:val="0"/>
          <w:numId w:val="6"/>
        </w:numPr>
        <w:ind w:left="0" w:firstLine="0"/>
      </w:pPr>
      <w:r w:rsidRPr="00733B7A">
        <w:t>galvos skausmas.</w:t>
      </w:r>
    </w:p>
    <w:p w14:paraId="4A122BE6" w14:textId="77777777" w:rsidR="009A78C3" w:rsidRPr="00733B7A" w:rsidRDefault="009A78C3" w:rsidP="009A78C3"/>
    <w:p w14:paraId="362B000E" w14:textId="77777777" w:rsidR="009A78C3" w:rsidRPr="00733B7A" w:rsidRDefault="009A78C3" w:rsidP="009A78C3">
      <w:r w:rsidRPr="00733B7A">
        <w:rPr>
          <w:b/>
          <w:bCs/>
        </w:rPr>
        <w:t>Nelabai dažnas šalutinis poveikis</w:t>
      </w:r>
      <w:r w:rsidRPr="00733B7A">
        <w:t xml:space="preserve"> (mažiau nei 1 iš 100 ir daugiau nei 1 iš 1000 pacientų):</w:t>
      </w:r>
    </w:p>
    <w:p w14:paraId="2AADE956" w14:textId="77777777" w:rsidR="009A78C3" w:rsidRPr="00733B7A" w:rsidRDefault="009A78C3" w:rsidP="009A78C3">
      <w:pPr>
        <w:numPr>
          <w:ilvl w:val="0"/>
          <w:numId w:val="6"/>
        </w:numPr>
        <w:ind w:left="0" w:firstLine="0"/>
      </w:pPr>
      <w:r w:rsidRPr="00733B7A">
        <w:t>stemplės (virškinamojo trakto dalies, kuria maistas slenka iš burnos ertmės į skrandį) uždegimas arba opos, dėl kurių gali pasunkėti arba būti skausmingas rijimas (žr. “Reikia imtis specialiųjų atsargumo priemonių ir būtina pranešti gydytojui prieš NORIFAZ vartojimą”), skrandžio ir dvylikapirštės žarnos (pradinė žarnyno dalis, į kurią patenka skrandžio turinys) uždegimas,</w:t>
      </w:r>
    </w:p>
    <w:p w14:paraId="6CDD5052" w14:textId="77777777" w:rsidR="009A78C3" w:rsidRPr="00733B7A" w:rsidRDefault="009A78C3" w:rsidP="009A78C3">
      <w:pPr>
        <w:numPr>
          <w:ilvl w:val="0"/>
          <w:numId w:val="6"/>
        </w:numPr>
        <w:ind w:left="0" w:firstLine="0"/>
      </w:pPr>
      <w:r w:rsidRPr="00733B7A">
        <w:t xml:space="preserve">rainelės (pigmentinės akies dalies) uždegimas (akių paraudimas, skausmas ir galimas regėjimo sutrikimas). </w:t>
      </w:r>
    </w:p>
    <w:p w14:paraId="015F4FF5" w14:textId="77777777" w:rsidR="009A78C3" w:rsidRPr="00733B7A" w:rsidRDefault="009A78C3" w:rsidP="009A78C3"/>
    <w:p w14:paraId="408B085A" w14:textId="77777777" w:rsidR="009A78C3" w:rsidRPr="00733B7A" w:rsidRDefault="009A78C3" w:rsidP="009A78C3">
      <w:r w:rsidRPr="00733B7A">
        <w:rPr>
          <w:b/>
          <w:bCs/>
        </w:rPr>
        <w:t xml:space="preserve">Retas šalutinis poveikis </w:t>
      </w:r>
      <w:r w:rsidRPr="00733B7A">
        <w:t>(mažiau nei 1 iš 10 000 pacientų):</w:t>
      </w:r>
    </w:p>
    <w:p w14:paraId="30CC2DD4" w14:textId="77777777" w:rsidR="009A78C3" w:rsidRPr="00733B7A" w:rsidRDefault="009A78C3" w:rsidP="009A78C3">
      <w:pPr>
        <w:numPr>
          <w:ilvl w:val="0"/>
          <w:numId w:val="6"/>
        </w:numPr>
        <w:ind w:left="0" w:firstLine="0"/>
      </w:pPr>
      <w:r w:rsidRPr="00733B7A">
        <w:t>liežuvio uždegimas (patinimas, paraudimas bei gali būti skausmas), stemplės (virškin</w:t>
      </w:r>
      <w:r>
        <w:t>imo</w:t>
      </w:r>
      <w:r w:rsidRPr="00733B7A">
        <w:t xml:space="preserve"> trakto dalis, kuria maistas ir burnos ertmės slenka į skrandį) susiaurėjimas;</w:t>
      </w:r>
    </w:p>
    <w:p w14:paraId="2406E7BF" w14:textId="77777777" w:rsidR="009A78C3" w:rsidRDefault="009A78C3" w:rsidP="009A78C3">
      <w:pPr>
        <w:numPr>
          <w:ilvl w:val="0"/>
          <w:numId w:val="6"/>
        </w:numPr>
        <w:ind w:left="0" w:firstLine="0"/>
      </w:pPr>
      <w:r w:rsidRPr="00733B7A">
        <w:t>kepenų funkciją rodančių fermentų aktyvumo padidėjimas. Juos galima nustatyti tik atlikus kraujo tyrimus.</w:t>
      </w:r>
    </w:p>
    <w:p w14:paraId="37F55A09" w14:textId="77777777" w:rsidR="009A78C3" w:rsidRDefault="009A78C3" w:rsidP="009A78C3"/>
    <w:p w14:paraId="5A8BE854" w14:textId="77777777" w:rsidR="009A78C3" w:rsidRPr="004F100A" w:rsidRDefault="009A78C3" w:rsidP="009A78C3">
      <w:pPr>
        <w:rPr>
          <w:b/>
        </w:rPr>
      </w:pPr>
      <w:r w:rsidRPr="004F100A">
        <w:rPr>
          <w:b/>
        </w:rPr>
        <w:t>Labai retas šalutinis poveikis</w:t>
      </w:r>
      <w:r>
        <w:t xml:space="preserve"> (</w:t>
      </w:r>
      <w:r w:rsidRPr="00733B7A">
        <w:t xml:space="preserve">mažiau nei </w:t>
      </w:r>
      <w:r>
        <w:t>1 iš 100</w:t>
      </w:r>
      <w:r w:rsidRPr="00C12E7E">
        <w:t xml:space="preserve"> </w:t>
      </w:r>
      <w:r w:rsidRPr="00733B7A">
        <w:t xml:space="preserve">ir daugiau nei </w:t>
      </w:r>
      <w:r>
        <w:t>1 iš 1000 pacientų)</w:t>
      </w:r>
    </w:p>
    <w:p w14:paraId="445CCF48" w14:textId="77777777" w:rsidR="009A78C3" w:rsidRPr="00733B7A" w:rsidRDefault="009A78C3" w:rsidP="009A78C3">
      <w:r>
        <w:t>Pasikalbėkite su savo gydytoju, jeigu Jums skauda ausį, iš ausies teka išskyros ir (arba) Jums prasidėjęs ausies uždegimas. Tai gali būtų ausyje esančio kaulo pažeidimo požymiai.</w:t>
      </w:r>
    </w:p>
    <w:p w14:paraId="3788E528" w14:textId="77777777" w:rsidR="009A78C3" w:rsidRPr="00733B7A" w:rsidRDefault="009A78C3" w:rsidP="009A78C3"/>
    <w:p w14:paraId="19CC0DDE" w14:textId="77777777" w:rsidR="009A78C3" w:rsidRPr="00733B7A" w:rsidRDefault="009A78C3" w:rsidP="009A78C3">
      <w:pPr>
        <w:rPr>
          <w:i/>
          <w:iCs/>
          <w:color w:val="008000"/>
        </w:rPr>
      </w:pPr>
      <w:r w:rsidRPr="00733B7A">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443CCB6D" w14:textId="77777777" w:rsidR="009A78C3" w:rsidRPr="00733B7A" w:rsidRDefault="009A78C3" w:rsidP="009A78C3"/>
    <w:p w14:paraId="6B54DCE7" w14:textId="77777777" w:rsidR="009A78C3" w:rsidRPr="00733B7A" w:rsidRDefault="009A78C3" w:rsidP="009A78C3">
      <w:r w:rsidRPr="00733B7A">
        <w:t>Retai, gydymo pradžioje, gali sumažėti kalcio ir fosfatų koncentracija kraujyje. Paprastai šie pokyčiai yra nedideli ir nesukelia jokių simptomų.</w:t>
      </w:r>
    </w:p>
    <w:p w14:paraId="31AB6E9F" w14:textId="77777777" w:rsidR="009A78C3" w:rsidRDefault="009A78C3" w:rsidP="009A78C3">
      <w:pPr>
        <w:numPr>
          <w:ilvl w:val="12"/>
          <w:numId w:val="0"/>
        </w:numPr>
        <w:ind w:right="-2"/>
        <w:rPr>
          <w:rFonts w:eastAsia="Times New Roman"/>
          <w:noProof/>
          <w:szCs w:val="24"/>
        </w:rPr>
      </w:pPr>
    </w:p>
    <w:p w14:paraId="18BFA866" w14:textId="77777777" w:rsidR="009A78C3" w:rsidRPr="002702FE" w:rsidRDefault="009A78C3" w:rsidP="009A78C3">
      <w:pPr>
        <w:numPr>
          <w:ilvl w:val="12"/>
          <w:numId w:val="0"/>
        </w:numPr>
        <w:ind w:right="-2"/>
        <w:rPr>
          <w:rFonts w:eastAsia="Times New Roman"/>
          <w:szCs w:val="24"/>
          <w:u w:val="single"/>
        </w:rPr>
      </w:pPr>
      <w:r w:rsidRPr="002702FE">
        <w:rPr>
          <w:rFonts w:eastAsia="Times New Roman"/>
          <w:szCs w:val="24"/>
          <w:u w:val="single"/>
        </w:rPr>
        <w:t>Pranešimas apie šalutinį poveikį</w:t>
      </w:r>
    </w:p>
    <w:p w14:paraId="0BAC1458" w14:textId="4939F5CD" w:rsidR="009A78C3" w:rsidRPr="00534AEB" w:rsidRDefault="002E7981" w:rsidP="009A78C3">
      <w:pPr>
        <w:numPr>
          <w:ilvl w:val="12"/>
          <w:numId w:val="0"/>
        </w:numPr>
        <w:ind w:right="-2"/>
        <w:rPr>
          <w:rFonts w:eastAsia="Times New Roman"/>
          <w:szCs w:val="24"/>
        </w:rPr>
      </w:pPr>
      <w:r w:rsidRPr="00E84988">
        <w:rPr>
          <w:lang w:eastAsia="lt-LT"/>
        </w:rPr>
        <w:t xml:space="preserve">Jeigu pasireiškė šalutinis poveikis, įskaitant šiame lapelyje nenurodytą, pasakykite gydytojui arba vaistininkui. Pranešimą apie šalutinį poveikį galite užpildyti ir pateikti Valstybinės vaistų kontrolės </w:t>
      </w:r>
      <w:r w:rsidRPr="00E84988">
        <w:rPr>
          <w:lang w:eastAsia="lt-LT"/>
        </w:rPr>
        <w:lastRenderedPageBreak/>
        <w:t>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9A78C3" w:rsidRPr="00B34FA1">
        <w:rPr>
          <w:noProof/>
          <w:szCs w:val="24"/>
        </w:rPr>
        <w:t>.</w:t>
      </w:r>
    </w:p>
    <w:p w14:paraId="63952BCA" w14:textId="77777777" w:rsidR="009A78C3" w:rsidRPr="00733B7A" w:rsidRDefault="009A78C3" w:rsidP="009A78C3"/>
    <w:p w14:paraId="6CBDCA95" w14:textId="77777777" w:rsidR="009A78C3" w:rsidRPr="00733B7A" w:rsidRDefault="009A78C3" w:rsidP="009A78C3"/>
    <w:p w14:paraId="4811AD0A" w14:textId="77777777" w:rsidR="009A78C3" w:rsidRPr="00733B7A" w:rsidRDefault="009A78C3" w:rsidP="009A78C3">
      <w:pPr>
        <w:rPr>
          <w:b/>
          <w:bCs/>
        </w:rPr>
      </w:pPr>
      <w:r w:rsidRPr="00733B7A">
        <w:rPr>
          <w:b/>
          <w:bCs/>
        </w:rPr>
        <w:t>5. Kaip laikyti NORIFAZ</w:t>
      </w:r>
    </w:p>
    <w:p w14:paraId="69283CA9" w14:textId="77777777" w:rsidR="009A78C3" w:rsidRPr="00733B7A" w:rsidRDefault="009A78C3" w:rsidP="009A78C3"/>
    <w:p w14:paraId="47AC0C0A" w14:textId="77777777" w:rsidR="009A78C3" w:rsidRPr="00733B7A" w:rsidRDefault="009A78C3" w:rsidP="009A78C3">
      <w:r w:rsidRPr="003275F8">
        <w:t>Šį vaistą laikykite</w:t>
      </w:r>
      <w:r w:rsidRPr="00733B7A">
        <w:t xml:space="preserve"> vaikams nepastebimoje ir nepasiekiamoje vietoje.</w:t>
      </w:r>
    </w:p>
    <w:p w14:paraId="2E56C402" w14:textId="77777777" w:rsidR="009A78C3" w:rsidRPr="00733B7A" w:rsidRDefault="009A78C3" w:rsidP="009A78C3">
      <w:pPr>
        <w:rPr>
          <w:rFonts w:eastAsia="Times New Roman"/>
          <w:noProof/>
          <w:lang w:eastAsia="lt-LT"/>
        </w:rPr>
      </w:pPr>
      <w:r w:rsidRPr="00733B7A">
        <w:rPr>
          <w:rFonts w:eastAsia="Times New Roman"/>
          <w:noProof/>
          <w:lang w:eastAsia="lt-LT"/>
        </w:rPr>
        <w:t xml:space="preserve">Ant </w:t>
      </w:r>
      <w:r>
        <w:rPr>
          <w:rFonts w:eastAsia="Times New Roman"/>
          <w:noProof/>
          <w:lang w:eastAsia="lt-LT"/>
        </w:rPr>
        <w:t>pakuotės</w:t>
      </w:r>
      <w:r w:rsidRPr="00733B7A">
        <w:rPr>
          <w:rFonts w:eastAsia="Times New Roman"/>
          <w:noProof/>
          <w:lang w:eastAsia="lt-LT"/>
        </w:rPr>
        <w:t xml:space="preserve"> po </w:t>
      </w:r>
      <w:r>
        <w:rPr>
          <w:rFonts w:eastAsia="Times New Roman"/>
          <w:noProof/>
          <w:lang w:eastAsia="lt-LT"/>
        </w:rPr>
        <w:t>„</w:t>
      </w:r>
      <w:r w:rsidRPr="00733B7A">
        <w:rPr>
          <w:rFonts w:eastAsia="Times New Roman"/>
          <w:noProof/>
          <w:lang w:eastAsia="lt-LT"/>
        </w:rPr>
        <w:t>Tinka</w:t>
      </w:r>
      <w:r>
        <w:rPr>
          <w:rFonts w:eastAsia="Times New Roman"/>
          <w:noProof/>
          <w:lang w:eastAsia="lt-LT"/>
        </w:rPr>
        <w:t xml:space="preserve"> iki“</w:t>
      </w:r>
      <w:r w:rsidRPr="00733B7A">
        <w:rPr>
          <w:rFonts w:eastAsia="Times New Roman"/>
          <w:noProof/>
          <w:lang w:eastAsia="lt-LT"/>
        </w:rPr>
        <w:t xml:space="preserve"> nurodytam tinkamumo laikui pasibaigus, </w:t>
      </w:r>
      <w:r w:rsidRPr="003275F8">
        <w:rPr>
          <w:rFonts w:eastAsia="Times New Roman"/>
          <w:noProof/>
          <w:lang w:eastAsia="lt-LT"/>
        </w:rPr>
        <w:t>šio vaisto</w:t>
      </w:r>
      <w:r w:rsidRPr="00733B7A">
        <w:rPr>
          <w:rFonts w:eastAsia="Times New Roman"/>
          <w:noProof/>
          <w:lang w:eastAsia="lt-LT"/>
        </w:rPr>
        <w:t xml:space="preserve"> </w:t>
      </w:r>
      <w:r>
        <w:rPr>
          <w:rFonts w:eastAsia="Times New Roman"/>
          <w:noProof/>
          <w:lang w:eastAsia="lt-LT"/>
        </w:rPr>
        <w:t xml:space="preserve">vartoti </w:t>
      </w:r>
      <w:r w:rsidRPr="00733B7A">
        <w:rPr>
          <w:rFonts w:eastAsia="Times New Roman"/>
          <w:noProof/>
          <w:lang w:eastAsia="lt-LT"/>
        </w:rPr>
        <w:t xml:space="preserve">negalima. </w:t>
      </w:r>
    </w:p>
    <w:p w14:paraId="51AA5B8A" w14:textId="77777777" w:rsidR="009A78C3" w:rsidRDefault="009A78C3" w:rsidP="009A78C3">
      <w:pPr>
        <w:rPr>
          <w:rFonts w:eastAsia="Times New Roman"/>
          <w:noProof/>
          <w:lang w:eastAsia="lt-LT"/>
        </w:rPr>
      </w:pPr>
      <w:r w:rsidRPr="00733B7A">
        <w:rPr>
          <w:rFonts w:eastAsia="Times New Roman"/>
          <w:noProof/>
          <w:lang w:eastAsia="lt-LT"/>
        </w:rPr>
        <w:t>Vaistas tinka</w:t>
      </w:r>
      <w:r>
        <w:rPr>
          <w:rFonts w:eastAsia="Times New Roman"/>
          <w:noProof/>
          <w:lang w:eastAsia="lt-LT"/>
        </w:rPr>
        <w:t>mas</w:t>
      </w:r>
      <w:r w:rsidRPr="00733B7A">
        <w:rPr>
          <w:rFonts w:eastAsia="Times New Roman"/>
          <w:noProof/>
          <w:lang w:eastAsia="lt-LT"/>
        </w:rPr>
        <w:t xml:space="preserve"> vartoti iki paskutinės nurodyto mėnesio dienos.</w:t>
      </w:r>
    </w:p>
    <w:p w14:paraId="0F869CAB" w14:textId="77777777" w:rsidR="009A78C3" w:rsidRPr="00733B7A" w:rsidRDefault="009A78C3" w:rsidP="009A78C3">
      <w:pPr>
        <w:rPr>
          <w:rFonts w:eastAsia="Times New Roman"/>
          <w:noProof/>
          <w:sz w:val="20"/>
          <w:szCs w:val="20"/>
          <w:lang w:eastAsia="lt-LT"/>
        </w:rPr>
      </w:pPr>
    </w:p>
    <w:p w14:paraId="3A35164D" w14:textId="77777777" w:rsidR="009A78C3" w:rsidRPr="00733B7A" w:rsidRDefault="009A78C3" w:rsidP="009A78C3">
      <w:r w:rsidRPr="00733B7A">
        <w:t>Šiam vaistiniam preparatui specialių laikymo sąlygų nereikia.</w:t>
      </w:r>
    </w:p>
    <w:p w14:paraId="21A55B12" w14:textId="77777777" w:rsidR="009A78C3" w:rsidRDefault="009A78C3" w:rsidP="009A78C3"/>
    <w:p w14:paraId="5FA385DF" w14:textId="77777777" w:rsidR="009A78C3" w:rsidRPr="00733B7A" w:rsidRDefault="009A78C3" w:rsidP="009A78C3">
      <w:r w:rsidRPr="00733B7A">
        <w:t xml:space="preserve">Vaistų negalima </w:t>
      </w:r>
      <w:r>
        <w:t>išmesti</w:t>
      </w:r>
      <w:r w:rsidRPr="00733B7A">
        <w:t xml:space="preserve"> į kanalizaciją arba su buitinėmis atliekomis. Kaip </w:t>
      </w:r>
      <w:r>
        <w:t>išmesti</w:t>
      </w:r>
      <w:r w:rsidRPr="00733B7A">
        <w:t xml:space="preserve"> nereikalingus vaistus, klauskite vaistininko. Šios priemonės padės apsaugoti aplinką.</w:t>
      </w:r>
    </w:p>
    <w:p w14:paraId="1F53AF07" w14:textId="77777777" w:rsidR="009A78C3" w:rsidRPr="00733B7A" w:rsidRDefault="009A78C3" w:rsidP="009A78C3"/>
    <w:p w14:paraId="686E7269" w14:textId="77777777" w:rsidR="009A78C3" w:rsidRPr="00733B7A" w:rsidRDefault="009A78C3" w:rsidP="009A78C3"/>
    <w:p w14:paraId="7028224C" w14:textId="77777777" w:rsidR="009A78C3" w:rsidRPr="00733B7A" w:rsidRDefault="009A78C3" w:rsidP="009A78C3">
      <w:pPr>
        <w:rPr>
          <w:b/>
          <w:bCs/>
        </w:rPr>
      </w:pPr>
      <w:r w:rsidRPr="00733B7A">
        <w:rPr>
          <w:b/>
          <w:bCs/>
        </w:rPr>
        <w:t xml:space="preserve">6. </w:t>
      </w:r>
      <w:r w:rsidRPr="00534AEB">
        <w:rPr>
          <w:b/>
          <w:bCs/>
        </w:rPr>
        <w:t>Pakuotės turinys ir kita informacija</w:t>
      </w:r>
    </w:p>
    <w:p w14:paraId="4EB8BCFD" w14:textId="77777777" w:rsidR="009A78C3" w:rsidRPr="00733B7A" w:rsidRDefault="009A78C3" w:rsidP="009A78C3">
      <w:pPr>
        <w:rPr>
          <w:b/>
          <w:bCs/>
        </w:rPr>
      </w:pPr>
    </w:p>
    <w:p w14:paraId="203707A9" w14:textId="77777777" w:rsidR="009A78C3" w:rsidRDefault="009A78C3" w:rsidP="009A78C3">
      <w:pPr>
        <w:rPr>
          <w:b/>
          <w:bCs/>
        </w:rPr>
      </w:pPr>
      <w:r w:rsidRPr="00733B7A">
        <w:rPr>
          <w:b/>
          <w:bCs/>
        </w:rPr>
        <w:t>NORIFAZ sudėtis</w:t>
      </w:r>
    </w:p>
    <w:p w14:paraId="7A2D9863" w14:textId="77777777" w:rsidR="009A78C3" w:rsidRPr="00733B7A" w:rsidRDefault="009A78C3" w:rsidP="009A78C3">
      <w:pPr>
        <w:rPr>
          <w:b/>
          <w:bCs/>
        </w:rPr>
      </w:pPr>
    </w:p>
    <w:p w14:paraId="423BFE6F" w14:textId="77777777" w:rsidR="009A78C3" w:rsidRPr="00733B7A" w:rsidRDefault="009A78C3" w:rsidP="009A78C3">
      <w:pPr>
        <w:pStyle w:val="Sraopastraipa"/>
        <w:numPr>
          <w:ilvl w:val="0"/>
          <w:numId w:val="6"/>
        </w:numPr>
        <w:ind w:left="0" w:firstLine="0"/>
      </w:pPr>
      <w:r w:rsidRPr="00733B7A">
        <w:t>Veiklioji medžiaga yra natrio rizedronatas. Kiekvienoje tabletėje yra 35</w:t>
      </w:r>
      <w:r>
        <w:t> </w:t>
      </w:r>
      <w:r w:rsidRPr="00733B7A">
        <w:t>mg natrio rizedronato, atitinkančio 32,5</w:t>
      </w:r>
      <w:r>
        <w:t> </w:t>
      </w:r>
      <w:r w:rsidRPr="00733B7A">
        <w:t>mg rizedrono rūgšties.</w:t>
      </w:r>
    </w:p>
    <w:p w14:paraId="129CB488" w14:textId="77777777" w:rsidR="009A78C3" w:rsidRPr="00733B7A" w:rsidRDefault="009A78C3" w:rsidP="009A78C3"/>
    <w:p w14:paraId="20C66E78" w14:textId="77777777" w:rsidR="009A78C3" w:rsidRPr="00534AEB" w:rsidRDefault="009A78C3" w:rsidP="009A78C3">
      <w:pPr>
        <w:pStyle w:val="Sraopastraipa"/>
        <w:numPr>
          <w:ilvl w:val="0"/>
          <w:numId w:val="6"/>
        </w:numPr>
        <w:ind w:left="0" w:firstLine="0"/>
        <w:rPr>
          <w:i/>
          <w:iCs/>
        </w:rPr>
      </w:pPr>
      <w:r w:rsidRPr="00733B7A">
        <w:t>Pagalbinės medžiagos</w:t>
      </w:r>
      <w:r>
        <w:t xml:space="preserve"> </w:t>
      </w:r>
      <w:r w:rsidRPr="00146B89">
        <w:rPr>
          <w:iCs/>
        </w:rPr>
        <w:t>yra:</w:t>
      </w:r>
      <w:r w:rsidRPr="00534AEB">
        <w:rPr>
          <w:i/>
          <w:iCs/>
        </w:rPr>
        <w:t xml:space="preserve"> </w:t>
      </w:r>
    </w:p>
    <w:p w14:paraId="7788B9BF" w14:textId="77777777" w:rsidR="009A78C3" w:rsidRPr="00733B7A" w:rsidRDefault="009A78C3" w:rsidP="009A78C3">
      <w:r w:rsidRPr="00733B7A">
        <w:rPr>
          <w:i/>
          <w:iCs/>
        </w:rPr>
        <w:t>Tabletės branduolys</w:t>
      </w:r>
      <w:r w:rsidRPr="00733B7A">
        <w:t>: laktozė monohidratas, mikrokristalinė celiuliozė</w:t>
      </w:r>
      <w:r>
        <w:t>,</w:t>
      </w:r>
      <w:r w:rsidRPr="00733B7A">
        <w:t xml:space="preserve"> krospovidonas, magnio stearatas. </w:t>
      </w:r>
    </w:p>
    <w:p w14:paraId="534AD184" w14:textId="77777777" w:rsidR="009A78C3" w:rsidRPr="00733B7A" w:rsidRDefault="009A78C3" w:rsidP="009A78C3">
      <w:r w:rsidRPr="00733B7A">
        <w:rPr>
          <w:i/>
          <w:iCs/>
        </w:rPr>
        <w:t>Tabletės plėvelė</w:t>
      </w:r>
      <w:r w:rsidRPr="00733B7A">
        <w:t>: geltonasis geležies oksidas</w:t>
      </w:r>
      <w:r>
        <w:t xml:space="preserve"> (E 172)</w:t>
      </w:r>
      <w:r w:rsidRPr="00733B7A">
        <w:t>, raudonasis geležies oksidas</w:t>
      </w:r>
      <w:r>
        <w:t xml:space="preserve"> (E 172)</w:t>
      </w:r>
      <w:r w:rsidRPr="00733B7A">
        <w:t>, hipromeliozė, hidroksipropilceliuliozė, koloidinis bevandenis silicio dioksidas, titano dioksidas</w:t>
      </w:r>
      <w:r>
        <w:t xml:space="preserve"> (E 171)</w:t>
      </w:r>
      <w:r w:rsidRPr="00733B7A">
        <w:t>, makrogolis 400, makrogolis 8000</w:t>
      </w:r>
      <w:r>
        <w:t>.</w:t>
      </w:r>
    </w:p>
    <w:p w14:paraId="78549BFA" w14:textId="77777777" w:rsidR="009A78C3" w:rsidRPr="00733B7A" w:rsidRDefault="009A78C3" w:rsidP="009A78C3">
      <w:pPr>
        <w:rPr>
          <w:i/>
          <w:iCs/>
          <w:color w:val="000000"/>
          <w:spacing w:val="-1"/>
        </w:rPr>
      </w:pPr>
    </w:p>
    <w:p w14:paraId="60F0BCA8" w14:textId="77777777" w:rsidR="009A78C3" w:rsidRPr="00733B7A" w:rsidRDefault="009A78C3" w:rsidP="009A78C3">
      <w:pPr>
        <w:rPr>
          <w:b/>
          <w:bCs/>
        </w:rPr>
      </w:pPr>
      <w:r w:rsidRPr="00733B7A">
        <w:rPr>
          <w:b/>
          <w:bCs/>
        </w:rPr>
        <w:t xml:space="preserve">NORIFAZ </w:t>
      </w:r>
      <w:r w:rsidRPr="00146B89">
        <w:rPr>
          <w:b/>
        </w:rPr>
        <w:t>išvaizda ir kiekis pakuotėje</w:t>
      </w:r>
    </w:p>
    <w:p w14:paraId="0E82562C" w14:textId="77777777" w:rsidR="009A78C3" w:rsidRPr="00733B7A" w:rsidRDefault="009A78C3" w:rsidP="009A78C3"/>
    <w:p w14:paraId="393080FE" w14:textId="77777777" w:rsidR="009A78C3" w:rsidRPr="00733B7A" w:rsidRDefault="009A78C3" w:rsidP="009A78C3">
      <w:r w:rsidRPr="00733B7A">
        <w:t>NORIFAZ 35 mg plėvele dengtos tabletės yra apvalios, abipusiai išgaubtos, šviesiai oranžinės plėvele dengtos tabletės</w:t>
      </w:r>
      <w:r>
        <w:t>.</w:t>
      </w:r>
      <w:r w:rsidRPr="00733B7A">
        <w:t xml:space="preserve"> </w:t>
      </w:r>
      <w:r>
        <w:t>Tabletės</w:t>
      </w:r>
      <w:r w:rsidRPr="00733B7A">
        <w:t xml:space="preserve"> tiekiam</w:t>
      </w:r>
      <w:r>
        <w:t>o</w:t>
      </w:r>
      <w:r w:rsidRPr="00733B7A">
        <w:t xml:space="preserve">s </w:t>
      </w:r>
      <w:r>
        <w:t xml:space="preserve">lizdinių plokštelių </w:t>
      </w:r>
      <w:r w:rsidRPr="00733B7A">
        <w:t>pakuotėse po 2, 4 arba 12 tablečių.</w:t>
      </w:r>
    </w:p>
    <w:p w14:paraId="14D17428" w14:textId="77777777" w:rsidR="009A78C3" w:rsidRPr="00733B7A" w:rsidRDefault="009A78C3" w:rsidP="009A78C3">
      <w:r w:rsidRPr="00733B7A">
        <w:t>Gali būti tiekiamos ne visų dydžių pakuotės.</w:t>
      </w:r>
    </w:p>
    <w:p w14:paraId="4261DAE1" w14:textId="77777777" w:rsidR="009A78C3" w:rsidRPr="00733B7A" w:rsidRDefault="009A78C3" w:rsidP="009A78C3"/>
    <w:p w14:paraId="3F16B3FE" w14:textId="77777777" w:rsidR="009A78C3" w:rsidRPr="00733B7A" w:rsidRDefault="009A78C3" w:rsidP="009A78C3">
      <w:pPr>
        <w:rPr>
          <w:b/>
          <w:bCs/>
        </w:rPr>
      </w:pPr>
      <w:r w:rsidRPr="004F100A">
        <w:rPr>
          <w:b/>
        </w:rPr>
        <w:t>Registruotoja</w:t>
      </w:r>
      <w:r>
        <w:t xml:space="preserve">s </w:t>
      </w:r>
      <w:r w:rsidRPr="00733B7A">
        <w:rPr>
          <w:b/>
          <w:bCs/>
        </w:rPr>
        <w:t>ir gamintojas</w:t>
      </w:r>
    </w:p>
    <w:p w14:paraId="6503F156" w14:textId="77777777" w:rsidR="009A78C3" w:rsidRPr="00733B7A" w:rsidRDefault="009A78C3" w:rsidP="009A78C3"/>
    <w:p w14:paraId="634E56D1" w14:textId="77777777" w:rsidR="009A78C3" w:rsidRPr="002702FE" w:rsidRDefault="009A78C3" w:rsidP="009A78C3">
      <w:pPr>
        <w:rPr>
          <w:bCs/>
          <w:i/>
        </w:rPr>
      </w:pPr>
      <w:r>
        <w:rPr>
          <w:bCs/>
          <w:i/>
        </w:rPr>
        <w:t>Registruo</w:t>
      </w:r>
      <w:r w:rsidRPr="002702FE">
        <w:rPr>
          <w:bCs/>
          <w:i/>
        </w:rPr>
        <w:t>tojas</w:t>
      </w:r>
    </w:p>
    <w:p w14:paraId="4F658351" w14:textId="77777777" w:rsidR="009A78C3" w:rsidRPr="00733B7A" w:rsidRDefault="00830E0B" w:rsidP="009A78C3">
      <w:pPr>
        <w:ind w:right="70"/>
      </w:pPr>
      <w:r>
        <w:t>Adamed Pharma S.A.Pieńków, ul. M. Adamkiewicza 6A</w:t>
      </w:r>
    </w:p>
    <w:p w14:paraId="046B89C7" w14:textId="77777777" w:rsidR="009A78C3" w:rsidRPr="00733B7A" w:rsidRDefault="00830E0B" w:rsidP="009A78C3">
      <w:pPr>
        <w:ind w:right="70"/>
      </w:pPr>
      <w:r>
        <w:t>05-152 Czosnów</w:t>
      </w:r>
    </w:p>
    <w:p w14:paraId="2C91587B" w14:textId="77777777" w:rsidR="009A78C3" w:rsidRPr="00733B7A" w:rsidRDefault="009A78C3" w:rsidP="009A78C3">
      <w:r w:rsidRPr="00733B7A">
        <w:t>Lenkija</w:t>
      </w:r>
    </w:p>
    <w:p w14:paraId="5EFC4192" w14:textId="77777777" w:rsidR="009A78C3" w:rsidRPr="00733B7A" w:rsidRDefault="009A78C3" w:rsidP="009A78C3"/>
    <w:p w14:paraId="0E6C648B" w14:textId="77777777" w:rsidR="009A78C3" w:rsidRPr="002702FE" w:rsidRDefault="009A78C3" w:rsidP="009A78C3">
      <w:pPr>
        <w:ind w:right="70"/>
        <w:jc w:val="both"/>
        <w:rPr>
          <w:i/>
        </w:rPr>
      </w:pPr>
      <w:r w:rsidRPr="002702FE">
        <w:rPr>
          <w:bCs/>
          <w:i/>
        </w:rPr>
        <w:t>Gamintojai</w:t>
      </w:r>
    </w:p>
    <w:p w14:paraId="6F59EE8D" w14:textId="77777777" w:rsidR="009A78C3" w:rsidRPr="00733B7A" w:rsidRDefault="00830E0B" w:rsidP="009A78C3">
      <w:pPr>
        <w:ind w:right="70"/>
      </w:pPr>
      <w:r>
        <w:t>Adamed Pharma S.A.</w:t>
      </w:r>
    </w:p>
    <w:p w14:paraId="6821910E" w14:textId="77777777" w:rsidR="009A78C3" w:rsidRPr="00733B7A" w:rsidRDefault="00830E0B" w:rsidP="009A78C3">
      <w:pPr>
        <w:ind w:right="70"/>
      </w:pPr>
      <w:r>
        <w:t>Pieńków, ul. M. Adamkiewicza 6A</w:t>
      </w:r>
    </w:p>
    <w:p w14:paraId="6AC6AD69" w14:textId="77777777" w:rsidR="009A78C3" w:rsidRPr="00733B7A" w:rsidRDefault="00830E0B" w:rsidP="009A78C3">
      <w:pPr>
        <w:ind w:right="70"/>
      </w:pPr>
      <w:r>
        <w:t>05-152 Czosnów</w:t>
      </w:r>
    </w:p>
    <w:p w14:paraId="62F7817D" w14:textId="77777777" w:rsidR="009A78C3" w:rsidRPr="00733B7A" w:rsidRDefault="009A78C3" w:rsidP="009A78C3">
      <w:r w:rsidRPr="00733B7A">
        <w:t>Lenkija</w:t>
      </w:r>
    </w:p>
    <w:p w14:paraId="4C2F8B6D" w14:textId="77777777" w:rsidR="009A78C3" w:rsidRDefault="009A78C3" w:rsidP="009A78C3">
      <w:pPr>
        <w:ind w:right="70"/>
        <w:jc w:val="both"/>
      </w:pPr>
    </w:p>
    <w:p w14:paraId="5704A778" w14:textId="77777777" w:rsidR="009A78C3" w:rsidRPr="00733B7A" w:rsidRDefault="009A78C3" w:rsidP="009A78C3"/>
    <w:p w14:paraId="68997C62" w14:textId="77777777" w:rsidR="009A78C3" w:rsidRPr="00733B7A" w:rsidRDefault="009A78C3" w:rsidP="009A78C3"/>
    <w:p w14:paraId="6345BAFA" w14:textId="54795099" w:rsidR="009A78C3" w:rsidRPr="00733B7A" w:rsidRDefault="009A78C3" w:rsidP="009A78C3">
      <w:pPr>
        <w:numPr>
          <w:ilvl w:val="12"/>
          <w:numId w:val="0"/>
        </w:numPr>
        <w:ind w:right="-2"/>
        <w:outlineLvl w:val="0"/>
        <w:rPr>
          <w:b/>
          <w:bCs/>
        </w:rPr>
      </w:pPr>
      <w:r w:rsidRPr="00B34FA1">
        <w:rPr>
          <w:b/>
        </w:rPr>
        <w:t>Ši</w:t>
      </w:r>
      <w:r>
        <w:rPr>
          <w:b/>
        </w:rPr>
        <w:t>s</w:t>
      </w:r>
      <w:r w:rsidRPr="00B34FA1">
        <w:rPr>
          <w:b/>
        </w:rPr>
        <w:t xml:space="preserve"> </w:t>
      </w:r>
      <w:r>
        <w:rPr>
          <w:b/>
        </w:rPr>
        <w:t>vaistas</w:t>
      </w:r>
      <w:r w:rsidRPr="00B34FA1">
        <w:rPr>
          <w:b/>
        </w:rPr>
        <w:t xml:space="preserve"> E</w:t>
      </w:r>
      <w:r w:rsidR="000F4C3A">
        <w:rPr>
          <w:b/>
        </w:rPr>
        <w:t>uropos ekonominės erdvės</w:t>
      </w:r>
      <w:r w:rsidRPr="00B34FA1">
        <w:rPr>
          <w:b/>
        </w:rPr>
        <w:t xml:space="preserve"> valstybėse narėse </w:t>
      </w:r>
      <w:r>
        <w:rPr>
          <w:b/>
        </w:rPr>
        <w:t xml:space="preserve">registruotas </w:t>
      </w:r>
      <w:r w:rsidRPr="00B34FA1">
        <w:rPr>
          <w:b/>
        </w:rPr>
        <w:t>tokiais pavadinimais</w:t>
      </w:r>
      <w:r w:rsidRPr="007F03E8">
        <w:rPr>
          <w:b/>
          <w:bCs/>
        </w:rPr>
        <w:t>:</w:t>
      </w:r>
    </w:p>
    <w:p w14:paraId="052300EF" w14:textId="77777777" w:rsidR="009A78C3" w:rsidRPr="00733B7A" w:rsidRDefault="009A78C3" w:rsidP="009A78C3">
      <w:pPr>
        <w:numPr>
          <w:ilvl w:val="12"/>
          <w:numId w:val="0"/>
        </w:numPr>
        <w:ind w:right="-2"/>
        <w:outlineLvl w:val="0"/>
      </w:pPr>
      <w:r w:rsidRPr="00733B7A">
        <w:t>Lenkija: Yarisen</w:t>
      </w:r>
    </w:p>
    <w:p w14:paraId="2AE78AD2" w14:textId="77777777" w:rsidR="009A78C3" w:rsidRPr="00733B7A" w:rsidRDefault="009A78C3" w:rsidP="009A78C3">
      <w:pPr>
        <w:numPr>
          <w:ilvl w:val="12"/>
          <w:numId w:val="0"/>
        </w:numPr>
        <w:ind w:right="-2"/>
        <w:outlineLvl w:val="0"/>
      </w:pPr>
      <w:r w:rsidRPr="00733B7A">
        <w:t>Estija: Norifaz</w:t>
      </w:r>
    </w:p>
    <w:p w14:paraId="22A942D2" w14:textId="77777777" w:rsidR="009A78C3" w:rsidRPr="00733B7A" w:rsidRDefault="009A78C3" w:rsidP="009A78C3">
      <w:pPr>
        <w:numPr>
          <w:ilvl w:val="12"/>
          <w:numId w:val="0"/>
        </w:numPr>
        <w:ind w:right="-2"/>
        <w:outlineLvl w:val="0"/>
      </w:pPr>
      <w:r w:rsidRPr="00733B7A">
        <w:lastRenderedPageBreak/>
        <w:t>Lietuva: NORIFAZ 35 mg plėvele dengtos tabletės</w:t>
      </w:r>
    </w:p>
    <w:p w14:paraId="52753ABE" w14:textId="77777777" w:rsidR="009A78C3" w:rsidRPr="00733B7A" w:rsidRDefault="009A78C3" w:rsidP="009A78C3">
      <w:pPr>
        <w:numPr>
          <w:ilvl w:val="12"/>
          <w:numId w:val="0"/>
        </w:numPr>
        <w:ind w:right="-2"/>
        <w:outlineLvl w:val="0"/>
      </w:pPr>
      <w:r w:rsidRPr="00733B7A">
        <w:t>Latvija: Norifaz</w:t>
      </w:r>
    </w:p>
    <w:p w14:paraId="2EF0B927" w14:textId="77777777" w:rsidR="009A78C3" w:rsidRPr="00733B7A" w:rsidRDefault="009A78C3" w:rsidP="009A78C3">
      <w:pPr>
        <w:numPr>
          <w:ilvl w:val="12"/>
          <w:numId w:val="0"/>
        </w:numPr>
        <w:ind w:right="-2"/>
        <w:outlineLvl w:val="0"/>
      </w:pPr>
      <w:r w:rsidRPr="00733B7A">
        <w:t>Vengrija: Norifaz</w:t>
      </w:r>
    </w:p>
    <w:p w14:paraId="6CBA7EFC" w14:textId="77777777" w:rsidR="009A78C3" w:rsidRPr="0054491C" w:rsidRDefault="009A78C3" w:rsidP="009A78C3">
      <w:pPr>
        <w:rPr>
          <w:b/>
          <w:bCs/>
        </w:rPr>
      </w:pPr>
    </w:p>
    <w:p w14:paraId="49A68AA6" w14:textId="2A066847" w:rsidR="009A78C3" w:rsidRPr="002702FE" w:rsidRDefault="009A78C3" w:rsidP="009A78C3">
      <w:pPr>
        <w:rPr>
          <w:rFonts w:eastAsia="Times New Roman"/>
          <w:b/>
          <w:bCs/>
          <w:noProof/>
          <w:lang w:eastAsia="lt-LT"/>
        </w:rPr>
      </w:pPr>
      <w:r w:rsidRPr="002702FE">
        <w:rPr>
          <w:rFonts w:eastAsia="Times New Roman"/>
          <w:b/>
          <w:bCs/>
          <w:noProof/>
          <w:lang w:eastAsia="lt-LT"/>
        </w:rPr>
        <w:t xml:space="preserve">Šis pakuotės lapelis paskutinį kartą </w:t>
      </w:r>
      <w:r>
        <w:rPr>
          <w:rFonts w:eastAsia="Times New Roman"/>
          <w:b/>
          <w:bCs/>
          <w:noProof/>
          <w:lang w:eastAsia="lt-LT"/>
        </w:rPr>
        <w:t xml:space="preserve">peržiūrėtas </w:t>
      </w:r>
      <w:r w:rsidR="000F4C3A">
        <w:rPr>
          <w:rFonts w:eastAsia="Times New Roman"/>
          <w:b/>
          <w:bCs/>
          <w:noProof/>
          <w:lang w:eastAsia="lt-LT"/>
        </w:rPr>
        <w:t>2026-02-20.</w:t>
      </w:r>
    </w:p>
    <w:p w14:paraId="1521DAF3" w14:textId="77777777" w:rsidR="009A78C3" w:rsidRDefault="009A78C3" w:rsidP="009A78C3">
      <w:pPr>
        <w:rPr>
          <w:rFonts w:eastAsia="Times New Roman"/>
          <w:noProof/>
          <w:lang w:eastAsia="lt-LT"/>
        </w:rPr>
      </w:pPr>
    </w:p>
    <w:p w14:paraId="4ED94B2F" w14:textId="77777777" w:rsidR="009A78C3" w:rsidRPr="002702FE" w:rsidRDefault="009A78C3" w:rsidP="009A78C3">
      <w:pPr>
        <w:rPr>
          <w:rFonts w:eastAsia="Times New Roman"/>
          <w:noProof/>
          <w:lang w:eastAsia="lt-LT"/>
        </w:rPr>
      </w:pPr>
    </w:p>
    <w:p w14:paraId="012618AE" w14:textId="0A463EDA" w:rsidR="009A78C3" w:rsidRPr="001633E8" w:rsidRDefault="009A78C3" w:rsidP="009A78C3">
      <w:pPr>
        <w:numPr>
          <w:ilvl w:val="12"/>
          <w:numId w:val="0"/>
        </w:numPr>
        <w:tabs>
          <w:tab w:val="left" w:pos="567"/>
        </w:tabs>
        <w:ind w:right="-2"/>
        <w:rPr>
          <w:rFonts w:eastAsia="Times New Roman"/>
          <w:snapToGrid w:val="0"/>
          <w:szCs w:val="24"/>
        </w:rPr>
      </w:pPr>
      <w:r w:rsidRPr="001633E8">
        <w:rPr>
          <w:rFonts w:eastAsia="Times New Roman"/>
          <w:snapToGrid w:val="0"/>
          <w:szCs w:val="20"/>
        </w:rPr>
        <w:t xml:space="preserve">Išsami informacija apie šį </w:t>
      </w:r>
      <w:r w:rsidRPr="001633E8">
        <w:rPr>
          <w:rFonts w:eastAsia="Times New Roman"/>
          <w:snapToGrid w:val="0"/>
          <w:szCs w:val="24"/>
        </w:rPr>
        <w:t>vaistą</w:t>
      </w:r>
      <w:r w:rsidRPr="001633E8">
        <w:rPr>
          <w:rFonts w:eastAsia="Times New Roman"/>
          <w:snapToGrid w:val="0"/>
          <w:szCs w:val="20"/>
        </w:rPr>
        <w:t xml:space="preserve"> pateikiama Valstybinės vaistų kontrolės tarnybos prie Lietuvos Respublikos sveikatos apsaugos ministerijos tinklalapyje</w:t>
      </w:r>
      <w:r w:rsidRPr="001633E8">
        <w:rPr>
          <w:rFonts w:eastAsia="Times New Roman"/>
          <w:i/>
          <w:snapToGrid w:val="0"/>
          <w:szCs w:val="24"/>
        </w:rPr>
        <w:t xml:space="preserve"> </w:t>
      </w:r>
      <w:r w:rsidR="000F4C3A">
        <w:rPr>
          <w:color w:val="0000EE"/>
          <w:u w:val="single"/>
          <w:lang w:eastAsia="lt-LT"/>
        </w:rPr>
        <w:t>https://vvkt.lrv.lt/lt/</w:t>
      </w:r>
      <w:r w:rsidRPr="001633E8">
        <w:rPr>
          <w:rFonts w:eastAsia="Times New Roman"/>
          <w:snapToGrid w:val="0"/>
          <w:szCs w:val="20"/>
        </w:rPr>
        <w:t>.</w:t>
      </w:r>
    </w:p>
    <w:p w14:paraId="2D8D6D14" w14:textId="77777777" w:rsidR="009A78C3" w:rsidRDefault="009A78C3" w:rsidP="009A78C3"/>
    <w:p w14:paraId="259E7601" w14:textId="77777777" w:rsidR="0075217F" w:rsidRDefault="0075217F"/>
    <w:sectPr w:rsidR="0075217F">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7488" w14:textId="77777777" w:rsidR="00582090" w:rsidRDefault="00582090">
      <w:r>
        <w:separator/>
      </w:r>
    </w:p>
  </w:endnote>
  <w:endnote w:type="continuationSeparator" w:id="0">
    <w:p w14:paraId="181B673E" w14:textId="77777777" w:rsidR="00582090" w:rsidRDefault="0058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9A6E" w14:textId="77777777" w:rsidR="004A5475" w:rsidRDefault="004A54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232FD3" w14:textId="77777777" w:rsidR="004A5475" w:rsidRDefault="004A54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E8D2" w14:textId="77777777" w:rsidR="004A5475" w:rsidRDefault="004A5475">
    <w:pPr>
      <w:pStyle w:val="Porat"/>
      <w:framePr w:wrap="around" w:vAnchor="text" w:hAnchor="margin" w:xAlign="right" w:y="1"/>
      <w:rPr>
        <w:rStyle w:val="Puslapionumeris"/>
      </w:rPr>
    </w:pPr>
  </w:p>
  <w:p w14:paraId="048889B9" w14:textId="686CD6BF" w:rsidR="004A5475" w:rsidRDefault="004A5475">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62AE7">
      <w:rPr>
        <w:rStyle w:val="Puslapionumeris"/>
        <w:noProof/>
      </w:rPr>
      <w:t>1</w:t>
    </w:r>
    <w:r w:rsidR="00862AE7">
      <w:rPr>
        <w:rStyle w:val="Puslapionumeris"/>
        <w:noProof/>
      </w:rPr>
      <w:t>7</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E390" w14:textId="77777777" w:rsidR="003F4587" w:rsidRDefault="003F458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57BB" w14:textId="77777777" w:rsidR="004A5475" w:rsidRDefault="004A54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2C69D6" w14:textId="77777777" w:rsidR="004A5475" w:rsidRDefault="004A5475">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A50C" w14:textId="77777777" w:rsidR="004A5475" w:rsidRDefault="004A5475">
    <w:pPr>
      <w:pStyle w:val="Porat"/>
      <w:framePr w:wrap="around" w:vAnchor="text" w:hAnchor="margin" w:xAlign="right" w:y="1"/>
      <w:rPr>
        <w:rStyle w:val="Puslapionumeris"/>
      </w:rPr>
    </w:pPr>
  </w:p>
  <w:p w14:paraId="2EC983A5" w14:textId="1991FE1B" w:rsidR="004A5475" w:rsidRDefault="004A5475">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62AE7">
      <w:rPr>
        <w:rStyle w:val="Puslapionumeris"/>
        <w:noProof/>
      </w:rPr>
      <w:t>2</w:t>
    </w:r>
    <w:r w:rsidR="00862AE7">
      <w:rPr>
        <w:rStyle w:val="Puslapionumeris"/>
        <w:noProof/>
      </w:rPr>
      <w:t>5</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CF1C" w14:textId="77777777" w:rsidR="00582090" w:rsidRDefault="00582090">
      <w:r>
        <w:separator/>
      </w:r>
    </w:p>
  </w:footnote>
  <w:footnote w:type="continuationSeparator" w:id="0">
    <w:p w14:paraId="273ED5FE" w14:textId="77777777" w:rsidR="00582090" w:rsidRDefault="0058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EEEE" w14:textId="77777777" w:rsidR="003F4587" w:rsidRDefault="003F45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DF16" w14:textId="77777777" w:rsidR="003F4587" w:rsidRDefault="003F45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2C6E" w14:textId="77777777" w:rsidR="003F4587" w:rsidRDefault="003F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2"/>
    <w:multiLevelType w:val="multilevel"/>
    <w:tmpl w:val="00000002"/>
    <w:lvl w:ilvl="0">
      <w:start w:val="2"/>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 w15:restartNumberingAfterBreak="0">
    <w:nsid w:val="00000003"/>
    <w:multiLevelType w:val="multilevel"/>
    <w:tmpl w:val="00000003"/>
    <w:lvl w:ilvl="0">
      <w:start w:val="3"/>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4"/>
    <w:multiLevelType w:val="multilevel"/>
    <w:tmpl w:val="00000004"/>
    <w:lvl w:ilvl="0">
      <w:start w:val="4"/>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12504976"/>
    <w:multiLevelType w:val="hybridMultilevel"/>
    <w:tmpl w:val="2B7EF2B2"/>
    <w:lvl w:ilvl="0" w:tplc="1AA451D0">
      <w:start w:val="17"/>
      <w:numFmt w:val="decimal"/>
      <w:lvlText w:val="%1."/>
      <w:lvlJc w:val="left"/>
      <w:pPr>
        <w:ind w:left="1440" w:hanging="360"/>
      </w:pPr>
      <w:rPr>
        <w:rFonts w:cs="Times New Roman" w:hint="default"/>
        <w:b/>
        <w:i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281F5641"/>
    <w:multiLevelType w:val="hybridMultilevel"/>
    <w:tmpl w:val="996E7C9C"/>
    <w:lvl w:ilvl="0" w:tplc="6A4434A8">
      <w:start w:val="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12E52"/>
    <w:multiLevelType w:val="hybridMultilevel"/>
    <w:tmpl w:val="78CCBA02"/>
    <w:lvl w:ilvl="0" w:tplc="8F9CB754">
      <w:start w:val="2"/>
      <w:numFmt w:val="bullet"/>
      <w:lvlText w:val="-"/>
      <w:lvlJc w:val="left"/>
      <w:pPr>
        <w:tabs>
          <w:tab w:val="num" w:pos="567"/>
        </w:tabs>
        <w:ind w:left="567" w:hanging="567"/>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49E76EE4"/>
    <w:multiLevelType w:val="hybridMultilevel"/>
    <w:tmpl w:val="7EC8452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4C9C4666"/>
    <w:multiLevelType w:val="hybridMultilevel"/>
    <w:tmpl w:val="A8FEC4B6"/>
    <w:lvl w:ilvl="0" w:tplc="3B3E3CFC">
      <w:start w:val="35"/>
      <w:numFmt w:val="bullet"/>
      <w:lvlText w:val="-"/>
      <w:lvlJc w:val="left"/>
      <w:pPr>
        <w:tabs>
          <w:tab w:val="num" w:pos="720"/>
        </w:tabs>
        <w:ind w:left="720" w:hanging="36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15CE"/>
    <w:multiLevelType w:val="hybridMultilevel"/>
    <w:tmpl w:val="4B5670BE"/>
    <w:lvl w:ilvl="0" w:tplc="3D32FCEA">
      <w:start w:val="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B24083A"/>
    <w:multiLevelType w:val="multilevel"/>
    <w:tmpl w:val="ADF8AA34"/>
    <w:lvl w:ilvl="0">
      <w:start w:val="1"/>
      <w:numFmt w:val="bullet"/>
      <w:lvlText w:val=""/>
      <w:lvlJc w:val="left"/>
      <w:pPr>
        <w:tabs>
          <w:tab w:val="num" w:pos="720"/>
        </w:tabs>
      </w:pPr>
      <w:rPr>
        <w:rFonts w:ascii="Symbol" w:hAnsi="Symbol" w:hint="default"/>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num w:numId="1" w16cid:durableId="8068750">
    <w:abstractNumId w:val="1"/>
  </w:num>
  <w:num w:numId="2" w16cid:durableId="1253129646">
    <w:abstractNumId w:val="2"/>
  </w:num>
  <w:num w:numId="3" w16cid:durableId="1332373799">
    <w:abstractNumId w:val="3"/>
  </w:num>
  <w:num w:numId="4" w16cid:durableId="463743408">
    <w:abstractNumId w:val="4"/>
  </w:num>
  <w:num w:numId="5" w16cid:durableId="1236669056">
    <w:abstractNumId w:val="6"/>
  </w:num>
  <w:num w:numId="6" w16cid:durableId="1187908010">
    <w:abstractNumId w:val="9"/>
  </w:num>
  <w:num w:numId="7" w16cid:durableId="224145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4104981">
    <w:abstractNumId w:val="0"/>
    <w:lvlOverride w:ilvl="0">
      <w:lvl w:ilvl="0">
        <w:numFmt w:val="bullet"/>
        <w:lvlText w:val="•"/>
        <w:legacy w:legacy="1" w:legacySpace="0" w:legacyIndent="557"/>
        <w:lvlJc w:val="left"/>
        <w:rPr>
          <w:rFonts w:ascii="Times New Roman" w:hAnsi="Times New Roman" w:hint="default"/>
        </w:rPr>
      </w:lvl>
    </w:lvlOverride>
  </w:num>
  <w:num w:numId="9" w16cid:durableId="2399931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3784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1447619">
    <w:abstractNumId w:val="11"/>
  </w:num>
  <w:num w:numId="12" w16cid:durableId="854998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48"/>
    <w:rsid w:val="00000BDF"/>
    <w:rsid w:val="000C1C60"/>
    <w:rsid w:val="000C7712"/>
    <w:rsid w:val="000D62B0"/>
    <w:rsid w:val="000F4C3A"/>
    <w:rsid w:val="001444A4"/>
    <w:rsid w:val="001E0F40"/>
    <w:rsid w:val="002659E4"/>
    <w:rsid w:val="00282918"/>
    <w:rsid w:val="002E6AF7"/>
    <w:rsid w:val="002E7981"/>
    <w:rsid w:val="00306F50"/>
    <w:rsid w:val="003138C3"/>
    <w:rsid w:val="00331DEC"/>
    <w:rsid w:val="003B1D34"/>
    <w:rsid w:val="003F4587"/>
    <w:rsid w:val="00416130"/>
    <w:rsid w:val="00462950"/>
    <w:rsid w:val="004A5475"/>
    <w:rsid w:val="004C57CA"/>
    <w:rsid w:val="0055188E"/>
    <w:rsid w:val="005603F0"/>
    <w:rsid w:val="00570C5B"/>
    <w:rsid w:val="00582090"/>
    <w:rsid w:val="005A7443"/>
    <w:rsid w:val="005C315A"/>
    <w:rsid w:val="00666D77"/>
    <w:rsid w:val="00690848"/>
    <w:rsid w:val="006A37AE"/>
    <w:rsid w:val="00744823"/>
    <w:rsid w:val="0075217F"/>
    <w:rsid w:val="00774174"/>
    <w:rsid w:val="00811C3C"/>
    <w:rsid w:val="00830E0B"/>
    <w:rsid w:val="00857EB5"/>
    <w:rsid w:val="00862AE7"/>
    <w:rsid w:val="008D4B95"/>
    <w:rsid w:val="0090141A"/>
    <w:rsid w:val="00914329"/>
    <w:rsid w:val="00980EEB"/>
    <w:rsid w:val="009A3E6F"/>
    <w:rsid w:val="009A78C3"/>
    <w:rsid w:val="00A61E86"/>
    <w:rsid w:val="00A659CC"/>
    <w:rsid w:val="00AD3C24"/>
    <w:rsid w:val="00AE79AC"/>
    <w:rsid w:val="00B632A4"/>
    <w:rsid w:val="00B71517"/>
    <w:rsid w:val="00BD04FF"/>
    <w:rsid w:val="00BE1634"/>
    <w:rsid w:val="00C0499A"/>
    <w:rsid w:val="00C949DC"/>
    <w:rsid w:val="00CC2BD4"/>
    <w:rsid w:val="00CC7A6A"/>
    <w:rsid w:val="00CE18BE"/>
    <w:rsid w:val="00D30628"/>
    <w:rsid w:val="00D3229D"/>
    <w:rsid w:val="00D53D68"/>
    <w:rsid w:val="00E06017"/>
    <w:rsid w:val="00E37815"/>
    <w:rsid w:val="00E63E50"/>
    <w:rsid w:val="00EE3C7E"/>
    <w:rsid w:val="00F133E5"/>
    <w:rsid w:val="00F90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2B106"/>
  <w15:chartTrackingRefBased/>
  <w15:docId w15:val="{9256959F-E1F1-4561-8E9D-4969D6A7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8C3"/>
    <w:pPr>
      <w:spacing w:after="0" w:line="240" w:lineRule="auto"/>
    </w:pPr>
    <w:rPr>
      <w:rFonts w:ascii="Times New Roman" w:eastAsia="Calibri" w:hAnsi="Times New Roman" w:cs="Times New Roman"/>
    </w:rPr>
  </w:style>
  <w:style w:type="paragraph" w:styleId="Antrat1">
    <w:name w:val="heading 1"/>
    <w:basedOn w:val="prastasis"/>
    <w:next w:val="prastasis"/>
    <w:link w:val="Antrat1Diagrama"/>
    <w:qFormat/>
    <w:rsid w:val="009A78C3"/>
    <w:pPr>
      <w:tabs>
        <w:tab w:val="left" w:pos="567"/>
      </w:tabs>
      <w:spacing w:before="240" w:after="120" w:line="260" w:lineRule="exact"/>
      <w:ind w:left="357" w:hanging="357"/>
      <w:outlineLvl w:val="0"/>
    </w:pPr>
    <w:rPr>
      <w:b/>
      <w:bCs/>
      <w:caps/>
      <w:sz w:val="26"/>
      <w:szCs w:val="26"/>
      <w:lang w:val="en-US"/>
    </w:rPr>
  </w:style>
  <w:style w:type="paragraph" w:styleId="Antrat2">
    <w:name w:val="heading 2"/>
    <w:basedOn w:val="prastasis"/>
    <w:next w:val="prastasis"/>
    <w:link w:val="Antrat2Diagrama"/>
    <w:uiPriority w:val="9"/>
    <w:semiHidden/>
    <w:unhideWhenUsed/>
    <w:qFormat/>
    <w:rsid w:val="009A78C3"/>
    <w:pPr>
      <w:keepNext/>
      <w:keepLines/>
      <w:spacing w:before="200"/>
      <w:outlineLvl w:val="1"/>
    </w:pPr>
    <w:rPr>
      <w:rFonts w:ascii="Cambria" w:eastAsia="Times New Roman"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8C3"/>
    <w:rPr>
      <w:rFonts w:ascii="Times New Roman" w:eastAsia="Calibri" w:hAnsi="Times New Roman" w:cs="Times New Roman"/>
      <w:b/>
      <w:bCs/>
      <w:caps/>
      <w:sz w:val="26"/>
      <w:szCs w:val="26"/>
      <w:lang w:val="en-US"/>
    </w:rPr>
  </w:style>
  <w:style w:type="character" w:customStyle="1" w:styleId="Antrat2Diagrama">
    <w:name w:val="Antraštė 2 Diagrama"/>
    <w:basedOn w:val="Numatytasispastraiposriftas"/>
    <w:link w:val="Antrat2"/>
    <w:uiPriority w:val="9"/>
    <w:semiHidden/>
    <w:rsid w:val="009A78C3"/>
    <w:rPr>
      <w:rFonts w:ascii="Cambria" w:eastAsia="Times New Roman" w:hAnsi="Cambria" w:cs="Times New Roman"/>
      <w:b/>
      <w:bCs/>
      <w:color w:val="4F81BD"/>
      <w:sz w:val="26"/>
      <w:szCs w:val="26"/>
    </w:rPr>
  </w:style>
  <w:style w:type="paragraph" w:styleId="Pagrindinistekstas">
    <w:name w:val="Body Text"/>
    <w:basedOn w:val="prastasis"/>
    <w:link w:val="PagrindinistekstasDiagrama"/>
    <w:rsid w:val="009A78C3"/>
    <w:rPr>
      <w:i/>
      <w:iCs/>
      <w:color w:val="008000"/>
      <w:lang w:val="en-GB"/>
    </w:rPr>
  </w:style>
  <w:style w:type="character" w:customStyle="1" w:styleId="PagrindinistekstasDiagrama">
    <w:name w:val="Pagrindinis tekstas Diagrama"/>
    <w:basedOn w:val="Numatytasispastraiposriftas"/>
    <w:link w:val="Pagrindinistekstas"/>
    <w:rsid w:val="009A78C3"/>
    <w:rPr>
      <w:rFonts w:ascii="Times New Roman" w:eastAsia="Calibri" w:hAnsi="Times New Roman" w:cs="Times New Roman"/>
      <w:i/>
      <w:iCs/>
      <w:color w:val="008000"/>
      <w:lang w:val="en-GB"/>
    </w:rPr>
  </w:style>
  <w:style w:type="character" w:styleId="Hipersaitas">
    <w:name w:val="Hyperlink"/>
    <w:rsid w:val="009A78C3"/>
    <w:rPr>
      <w:rFonts w:cs="Times New Roman"/>
      <w:color w:val="0000FF"/>
      <w:u w:val="single"/>
    </w:rPr>
  </w:style>
  <w:style w:type="paragraph" w:styleId="Pagrindiniotekstotrauka">
    <w:name w:val="Body Text Indent"/>
    <w:basedOn w:val="prastasis"/>
    <w:link w:val="PagrindiniotekstotraukaDiagrama"/>
    <w:rsid w:val="009A78C3"/>
    <w:pPr>
      <w:spacing w:after="120"/>
      <w:ind w:left="283"/>
    </w:pPr>
  </w:style>
  <w:style w:type="character" w:customStyle="1" w:styleId="PagrindiniotekstotraukaDiagrama">
    <w:name w:val="Pagrindinio teksto įtrauka Diagrama"/>
    <w:basedOn w:val="Numatytasispastraiposriftas"/>
    <w:link w:val="Pagrindiniotekstotrauka"/>
    <w:rsid w:val="009A78C3"/>
    <w:rPr>
      <w:rFonts w:ascii="Times New Roman" w:eastAsia="Calibri" w:hAnsi="Times New Roman" w:cs="Times New Roman"/>
    </w:rPr>
  </w:style>
  <w:style w:type="paragraph" w:customStyle="1" w:styleId="BTEMEASMCA">
    <w:name w:val="BT EMEA_SMCA"/>
    <w:basedOn w:val="prastasis"/>
    <w:link w:val="BTEMEASMCAChar"/>
    <w:autoRedefine/>
    <w:rsid w:val="009A78C3"/>
    <w:rPr>
      <w:rFonts w:eastAsia="Times New Roman"/>
      <w:noProof/>
      <w:sz w:val="20"/>
      <w:szCs w:val="20"/>
      <w:lang w:eastAsia="lt-LT"/>
    </w:rPr>
  </w:style>
  <w:style w:type="character" w:customStyle="1" w:styleId="BTEMEASMCAChar">
    <w:name w:val="BT EMEA_SMCA Char"/>
    <w:link w:val="BTEMEASMCA"/>
    <w:locked/>
    <w:rsid w:val="009A78C3"/>
    <w:rPr>
      <w:rFonts w:ascii="Times New Roman" w:eastAsia="Times New Roman" w:hAnsi="Times New Roman" w:cs="Times New Roman"/>
      <w:noProof/>
      <w:sz w:val="20"/>
      <w:szCs w:val="20"/>
      <w:lang w:eastAsia="lt-LT"/>
    </w:rPr>
  </w:style>
  <w:style w:type="paragraph" w:customStyle="1" w:styleId="Default">
    <w:name w:val="Default"/>
    <w:rsid w:val="009A78C3"/>
    <w:pPr>
      <w:autoSpaceDE w:val="0"/>
      <w:autoSpaceDN w:val="0"/>
      <w:adjustRightInd w:val="0"/>
      <w:spacing w:after="0" w:line="240" w:lineRule="auto"/>
    </w:pPr>
    <w:rPr>
      <w:rFonts w:ascii="Times New Roman" w:eastAsia="Calibri" w:hAnsi="Times New Roman" w:cs="Times New Roman"/>
      <w:color w:val="000000"/>
      <w:sz w:val="24"/>
      <w:szCs w:val="24"/>
      <w:lang w:val="pl-PL" w:eastAsia="pl-PL"/>
    </w:rPr>
  </w:style>
  <w:style w:type="paragraph" w:customStyle="1" w:styleId="PI-1EMEASMCA">
    <w:name w:val="PI-1 EMEA_SMCA"/>
    <w:basedOn w:val="Antrat2"/>
    <w:autoRedefine/>
    <w:rsid w:val="009A78C3"/>
    <w:pPr>
      <w:keepLines w:val="0"/>
      <w:tabs>
        <w:tab w:val="left" w:pos="567"/>
      </w:tabs>
      <w:spacing w:before="0"/>
      <w:ind w:left="567" w:hanging="567"/>
    </w:pPr>
    <w:rPr>
      <w:rFonts w:ascii="Times New Roman" w:eastAsia="Calibri" w:hAnsi="Times New Roman"/>
      <w:color w:val="auto"/>
      <w:sz w:val="22"/>
      <w:szCs w:val="22"/>
    </w:rPr>
  </w:style>
  <w:style w:type="paragraph" w:customStyle="1" w:styleId="Default1">
    <w:name w:val="Default1"/>
    <w:basedOn w:val="Default"/>
    <w:next w:val="Default"/>
    <w:rsid w:val="009A78C3"/>
    <w:rPr>
      <w:rFonts w:ascii="Verdana" w:eastAsia="MS Mincho" w:hAnsi="Verdana" w:cs="Verdana"/>
      <w:color w:val="auto"/>
      <w:lang w:val="en-US" w:eastAsia="ja-JP"/>
    </w:rPr>
  </w:style>
  <w:style w:type="paragraph" w:styleId="Debesliotekstas">
    <w:name w:val="Balloon Text"/>
    <w:basedOn w:val="prastasis"/>
    <w:link w:val="DebesliotekstasDiagrama"/>
    <w:uiPriority w:val="99"/>
    <w:semiHidden/>
    <w:unhideWhenUsed/>
    <w:rsid w:val="009A78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8C3"/>
    <w:rPr>
      <w:rFonts w:ascii="Segoe UI" w:eastAsia="Calibri" w:hAnsi="Segoe UI" w:cs="Segoe UI"/>
      <w:sz w:val="18"/>
      <w:szCs w:val="18"/>
    </w:rPr>
  </w:style>
  <w:style w:type="paragraph" w:styleId="Porat">
    <w:name w:val="footer"/>
    <w:basedOn w:val="prastasis"/>
    <w:link w:val="PoratDiagrama"/>
    <w:uiPriority w:val="99"/>
    <w:unhideWhenUsed/>
    <w:rsid w:val="009A78C3"/>
    <w:pPr>
      <w:tabs>
        <w:tab w:val="center" w:pos="4536"/>
        <w:tab w:val="right" w:pos="9072"/>
      </w:tabs>
    </w:pPr>
  </w:style>
  <w:style w:type="character" w:customStyle="1" w:styleId="PoratDiagrama">
    <w:name w:val="Poraštė Diagrama"/>
    <w:basedOn w:val="Numatytasispastraiposriftas"/>
    <w:link w:val="Porat"/>
    <w:uiPriority w:val="99"/>
    <w:rsid w:val="009A78C3"/>
    <w:rPr>
      <w:rFonts w:ascii="Times New Roman" w:eastAsia="Calibri" w:hAnsi="Times New Roman" w:cs="Times New Roman"/>
    </w:rPr>
  </w:style>
  <w:style w:type="paragraph" w:styleId="Antrats">
    <w:name w:val="header"/>
    <w:basedOn w:val="prastasis"/>
    <w:link w:val="AntratsDiagrama"/>
    <w:uiPriority w:val="99"/>
    <w:unhideWhenUsed/>
    <w:rsid w:val="009A78C3"/>
    <w:pPr>
      <w:tabs>
        <w:tab w:val="center" w:pos="4536"/>
        <w:tab w:val="right" w:pos="9072"/>
      </w:tabs>
    </w:pPr>
  </w:style>
  <w:style w:type="character" w:customStyle="1" w:styleId="AntratsDiagrama">
    <w:name w:val="Antraštės Diagrama"/>
    <w:basedOn w:val="Numatytasispastraiposriftas"/>
    <w:link w:val="Antrats"/>
    <w:uiPriority w:val="99"/>
    <w:rsid w:val="009A78C3"/>
    <w:rPr>
      <w:rFonts w:ascii="Times New Roman" w:eastAsia="Calibri" w:hAnsi="Times New Roman" w:cs="Times New Roman"/>
    </w:rPr>
  </w:style>
  <w:style w:type="character" w:styleId="Puslapionumeris">
    <w:name w:val="page number"/>
    <w:uiPriority w:val="99"/>
    <w:rsid w:val="009A78C3"/>
    <w:rPr>
      <w:rFonts w:cs="Times New Roman"/>
    </w:rPr>
  </w:style>
  <w:style w:type="paragraph" w:styleId="Sraopastraipa">
    <w:name w:val="List Paragraph"/>
    <w:basedOn w:val="prastasis"/>
    <w:uiPriority w:val="34"/>
    <w:qFormat/>
    <w:rsid w:val="009A78C3"/>
    <w:pPr>
      <w:ind w:left="720"/>
      <w:contextualSpacing/>
    </w:pPr>
  </w:style>
  <w:style w:type="character" w:styleId="Komentaronuoroda">
    <w:name w:val="annotation reference"/>
    <w:uiPriority w:val="99"/>
    <w:semiHidden/>
    <w:unhideWhenUsed/>
    <w:rsid w:val="009A78C3"/>
    <w:rPr>
      <w:sz w:val="16"/>
      <w:szCs w:val="16"/>
    </w:rPr>
  </w:style>
  <w:style w:type="paragraph" w:styleId="Komentarotekstas">
    <w:name w:val="annotation text"/>
    <w:basedOn w:val="prastasis"/>
    <w:link w:val="KomentarotekstasDiagrama"/>
    <w:uiPriority w:val="99"/>
    <w:unhideWhenUsed/>
    <w:rsid w:val="009A78C3"/>
    <w:rPr>
      <w:sz w:val="20"/>
      <w:szCs w:val="20"/>
    </w:rPr>
  </w:style>
  <w:style w:type="character" w:customStyle="1" w:styleId="KomentarotekstasDiagrama">
    <w:name w:val="Komentaro tekstas Diagrama"/>
    <w:basedOn w:val="Numatytasispastraiposriftas"/>
    <w:link w:val="Komentarotekstas"/>
    <w:uiPriority w:val="99"/>
    <w:rsid w:val="009A78C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A78C3"/>
    <w:rPr>
      <w:b/>
      <w:bCs/>
    </w:rPr>
  </w:style>
  <w:style w:type="character" w:customStyle="1" w:styleId="KomentarotemaDiagrama">
    <w:name w:val="Komentaro tema Diagrama"/>
    <w:basedOn w:val="KomentarotekstasDiagrama"/>
    <w:link w:val="Komentarotema"/>
    <w:uiPriority w:val="99"/>
    <w:semiHidden/>
    <w:rsid w:val="009A78C3"/>
    <w:rPr>
      <w:rFonts w:ascii="Times New Roman" w:eastAsia="Calibri" w:hAnsi="Times New Roman" w:cs="Times New Roman"/>
      <w:b/>
      <w:bCs/>
      <w:sz w:val="20"/>
      <w:szCs w:val="20"/>
    </w:rPr>
  </w:style>
  <w:style w:type="character" w:customStyle="1" w:styleId="hps">
    <w:name w:val="hps"/>
    <w:basedOn w:val="Numatytasispastraiposriftas"/>
    <w:rsid w:val="009A78C3"/>
  </w:style>
  <w:style w:type="paragraph" w:styleId="Pataisymai">
    <w:name w:val="Revision"/>
    <w:hidden/>
    <w:uiPriority w:val="99"/>
    <w:semiHidden/>
    <w:rsid w:val="003138C3"/>
    <w:pPr>
      <w:spacing w:after="0" w:line="240" w:lineRule="auto"/>
    </w:pPr>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8D4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29346</Words>
  <Characters>16728</Characters>
  <Application>Microsoft Office Word</Application>
  <DocSecurity>4</DocSecurity>
  <Lines>139</Lines>
  <Paragraphs>91</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2026-03-26T06:16:00Z</dcterms:created>
  <dcterms:modified xsi:type="dcterms:W3CDTF">2026-03-26T06:16:00Z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2021-05-17T13:38:39Z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b8334780-5611-46f4-88cb-206742ad8956</vt:lpwstr>
  </property>
  <property fmtid="{D5CDD505-2E9C-101B-9397-08002B2CF9AE}" pid="8" name="MSIP_Label_5a7f7de2-39e1-4ccd-ab60-f1ccab350988_ContentBits">
    <vt:lpwstr>0</vt:lpwstr>
  </property>
</Properties>
</file>