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08B6E"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67E1DEEA"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5F319CAF"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0D54D213"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0A0BD6FB"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034317E1"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3FF7CB29"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2039B51F"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60E62CD8"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7953385A"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08A5C564"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5A9247FF"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38E0E418"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269B3A1F"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2C118317"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36DEDC4D"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1EB652BC"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5390CB31"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74CFE8EB"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67278292"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71C8F6F9"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45B7A9CA"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b/>
        </w:rPr>
      </w:pPr>
    </w:p>
    <w:p w14:paraId="31F983A0" w14:textId="77777777" w:rsidR="00030D15" w:rsidRPr="00857D68" w:rsidRDefault="00030D15" w:rsidP="00030D15">
      <w:pPr>
        <w:tabs>
          <w:tab w:val="left" w:pos="-1440"/>
          <w:tab w:val="left" w:pos="-720"/>
        </w:tabs>
        <w:spacing w:after="0" w:line="240" w:lineRule="auto"/>
        <w:rPr>
          <w:rFonts w:ascii="Times New Roman" w:eastAsia="Times New Roman" w:hAnsi="Times New Roman" w:cs="Times New Roman"/>
          <w:b/>
        </w:rPr>
      </w:pPr>
    </w:p>
    <w:p w14:paraId="4C3B516A" w14:textId="77777777" w:rsidR="00030D15" w:rsidRPr="00857D68" w:rsidRDefault="00030D15" w:rsidP="00030D15">
      <w:pPr>
        <w:tabs>
          <w:tab w:val="left" w:pos="567"/>
        </w:tabs>
        <w:spacing w:after="0" w:line="260" w:lineRule="exact"/>
        <w:ind w:left="567" w:hanging="567"/>
        <w:jc w:val="center"/>
        <w:rPr>
          <w:rFonts w:ascii="Times New Roman" w:eastAsia="Times New Roman" w:hAnsi="Times New Roman" w:cs="Times New Roman"/>
        </w:rPr>
      </w:pPr>
      <w:r w:rsidRPr="00857D68">
        <w:rPr>
          <w:rFonts w:ascii="Times New Roman" w:eastAsia="Times New Roman" w:hAnsi="Times New Roman" w:cs="Times New Roman"/>
          <w:b/>
        </w:rPr>
        <w:t>I PRIEDAS</w:t>
      </w:r>
    </w:p>
    <w:p w14:paraId="1AAF2381" w14:textId="77777777" w:rsidR="00030D15" w:rsidRPr="00857D68" w:rsidRDefault="00030D15" w:rsidP="00030D15">
      <w:pPr>
        <w:tabs>
          <w:tab w:val="left" w:pos="567"/>
        </w:tabs>
        <w:spacing w:after="0" w:line="260" w:lineRule="exact"/>
        <w:ind w:left="567" w:hanging="567"/>
        <w:jc w:val="center"/>
        <w:rPr>
          <w:rFonts w:ascii="Times New Roman" w:eastAsia="Times New Roman" w:hAnsi="Times New Roman" w:cs="Times New Roman"/>
          <w:b/>
        </w:rPr>
      </w:pPr>
    </w:p>
    <w:p w14:paraId="4BF1D717" w14:textId="77777777" w:rsidR="00030D15" w:rsidRPr="00857D68" w:rsidRDefault="00030D15" w:rsidP="00030D15">
      <w:pPr>
        <w:tabs>
          <w:tab w:val="left" w:pos="567"/>
        </w:tabs>
        <w:spacing w:after="0" w:line="260" w:lineRule="exact"/>
        <w:ind w:left="567" w:hanging="567"/>
        <w:jc w:val="center"/>
        <w:rPr>
          <w:rFonts w:ascii="Times New Roman" w:eastAsia="Times New Roman" w:hAnsi="Times New Roman" w:cs="Times New Roman"/>
          <w:b/>
        </w:rPr>
      </w:pPr>
      <w:r w:rsidRPr="00857D68">
        <w:rPr>
          <w:rFonts w:ascii="Times New Roman" w:eastAsia="Times New Roman" w:hAnsi="Times New Roman" w:cs="Times New Roman"/>
          <w:b/>
        </w:rPr>
        <w:t>PREPARATO CHARAKTERISTIKŲ SANTRAUKA</w:t>
      </w:r>
    </w:p>
    <w:p w14:paraId="17D57549"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rPr>
      </w:pPr>
    </w:p>
    <w:p w14:paraId="73012285"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Cs/>
          <w:iCs/>
        </w:rPr>
        <w:br w:type="page"/>
      </w:r>
    </w:p>
    <w:p w14:paraId="0D964094" w14:textId="77777777" w:rsidR="00030D15" w:rsidRPr="00857D68" w:rsidRDefault="00030D15" w:rsidP="00030D15">
      <w:pPr>
        <w:tabs>
          <w:tab w:val="left" w:pos="-1440"/>
          <w:tab w:val="left" w:pos="-720"/>
        </w:tabs>
        <w:spacing w:after="0" w:line="240" w:lineRule="auto"/>
        <w:jc w:val="center"/>
        <w:rPr>
          <w:rFonts w:ascii="Times New Roman" w:eastAsia="Times New Roman" w:hAnsi="Times New Roman" w:cs="Times New Roman"/>
        </w:rPr>
      </w:pPr>
    </w:p>
    <w:p w14:paraId="583835C5" w14:textId="77777777" w:rsidR="00030D15" w:rsidRPr="00857D68" w:rsidRDefault="00030D15" w:rsidP="00030D15">
      <w:pPr>
        <w:tabs>
          <w:tab w:val="left" w:pos="54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b/>
        </w:rPr>
        <w:t>1.</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VAISTINIO</w:t>
      </w:r>
      <w:r w:rsidRPr="00857D68">
        <w:rPr>
          <w:rFonts w:ascii="Times New Roman" w:eastAsia="Times New Roman" w:hAnsi="Times New Roman" w:cs="Times New Roman"/>
          <w:b/>
        </w:rPr>
        <w:t xml:space="preserve"> PREPARATO PAVADINIMAS</w:t>
      </w:r>
    </w:p>
    <w:p w14:paraId="7F73B5C2" w14:textId="77777777" w:rsidR="00030D15" w:rsidRPr="00857D68" w:rsidRDefault="00030D15" w:rsidP="00030D15">
      <w:pPr>
        <w:spacing w:after="0" w:line="240" w:lineRule="auto"/>
        <w:rPr>
          <w:rFonts w:ascii="Times New Roman" w:eastAsia="Times New Roman" w:hAnsi="Times New Roman" w:cs="Times New Roman"/>
          <w:iCs/>
        </w:rPr>
      </w:pPr>
    </w:p>
    <w:p w14:paraId="1510C299" w14:textId="77777777" w:rsidR="00030D15" w:rsidRPr="00857D68" w:rsidRDefault="00030D15" w:rsidP="00030D15">
      <w:pPr>
        <w:widowControl w:val="0"/>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Alendronic acid Accord 70 mg tabletės</w:t>
      </w:r>
      <w:bookmarkStart w:id="0" w:name="_GoBack"/>
      <w:bookmarkEnd w:id="0"/>
    </w:p>
    <w:p w14:paraId="3F062972" w14:textId="77777777" w:rsidR="00030D15" w:rsidRPr="00857D68" w:rsidRDefault="00030D15" w:rsidP="00030D15">
      <w:pPr>
        <w:widowControl w:val="0"/>
        <w:spacing w:after="0" w:line="240" w:lineRule="auto"/>
        <w:rPr>
          <w:rFonts w:ascii="Times New Roman" w:eastAsia="Times New Roman" w:hAnsi="Times New Roman" w:cs="Times New Roman"/>
          <w:bCs/>
        </w:rPr>
      </w:pPr>
    </w:p>
    <w:p w14:paraId="6A70C74A" w14:textId="77777777" w:rsidR="00030D15" w:rsidRPr="00857D68" w:rsidRDefault="00030D15" w:rsidP="00030D15">
      <w:pPr>
        <w:widowControl w:val="0"/>
        <w:spacing w:after="0" w:line="240" w:lineRule="auto"/>
        <w:rPr>
          <w:rFonts w:ascii="Times New Roman" w:eastAsia="Times New Roman" w:hAnsi="Times New Roman" w:cs="Times New Roman"/>
          <w:bCs/>
        </w:rPr>
      </w:pPr>
    </w:p>
    <w:p w14:paraId="039A49AA" w14:textId="77777777" w:rsidR="00030D15" w:rsidRPr="00857D68" w:rsidRDefault="00030D15" w:rsidP="00030D15">
      <w:pPr>
        <w:widowControl w:val="0"/>
        <w:tabs>
          <w:tab w:val="left" w:pos="54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b/>
        </w:rPr>
        <w:t>2.</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kokybinė ir kiekybinė sudėtis</w:t>
      </w:r>
    </w:p>
    <w:p w14:paraId="5108A1D3" w14:textId="77777777" w:rsidR="00030D15" w:rsidRPr="00857D68" w:rsidRDefault="00030D15" w:rsidP="00030D15">
      <w:pPr>
        <w:widowControl w:val="0"/>
        <w:spacing w:after="0" w:line="240" w:lineRule="auto"/>
        <w:rPr>
          <w:rFonts w:ascii="Times New Roman" w:eastAsia="Times New Roman" w:hAnsi="Times New Roman" w:cs="Times New Roman"/>
          <w:bCs/>
        </w:rPr>
      </w:pPr>
    </w:p>
    <w:p w14:paraId="5334F5CA" w14:textId="77777777" w:rsidR="00030D15" w:rsidRPr="00857D68" w:rsidRDefault="00030D15" w:rsidP="00030D15">
      <w:pPr>
        <w:autoSpaceDE w:val="0"/>
        <w:autoSpaceDN w:val="0"/>
        <w:adjustRightInd w:val="0"/>
        <w:spacing w:after="0" w:line="240" w:lineRule="auto"/>
        <w:rPr>
          <w:rFonts w:ascii="Times New Roman" w:eastAsia="Times New Roman" w:hAnsi="Times New Roman" w:cs="Times New Roman"/>
          <w:bCs/>
        </w:rPr>
      </w:pPr>
      <w:r w:rsidRPr="00857D68">
        <w:rPr>
          <w:rFonts w:ascii="Times New Roman" w:eastAsia="Times New Roman" w:hAnsi="Times New Roman" w:cs="Times New Roman"/>
          <w:bCs/>
        </w:rPr>
        <w:t>Kiekvienoje tabletėje yra 70 mg alendrono rūgšties (natrio alendronato pavidalu).</w:t>
      </w:r>
    </w:p>
    <w:p w14:paraId="31C633EE" w14:textId="77777777" w:rsidR="00030D15" w:rsidRPr="00857D68" w:rsidRDefault="00030D15" w:rsidP="00030D15">
      <w:pPr>
        <w:autoSpaceDE w:val="0"/>
        <w:autoSpaceDN w:val="0"/>
        <w:adjustRightInd w:val="0"/>
        <w:spacing w:after="0" w:line="240" w:lineRule="auto"/>
        <w:rPr>
          <w:rFonts w:ascii="Times New Roman" w:eastAsia="Times New Roman" w:hAnsi="Times New Roman" w:cs="Times New Roman"/>
          <w:bCs/>
        </w:rPr>
      </w:pPr>
    </w:p>
    <w:p w14:paraId="1BC2FA5E" w14:textId="2299D3A5" w:rsidR="00030D15" w:rsidRPr="00857D68" w:rsidRDefault="00030D15" w:rsidP="00030D15">
      <w:pPr>
        <w:autoSpaceDE w:val="0"/>
        <w:autoSpaceDN w:val="0"/>
        <w:adjustRightInd w:val="0"/>
        <w:spacing w:after="0" w:line="240" w:lineRule="auto"/>
        <w:rPr>
          <w:rFonts w:ascii="Times New Roman" w:eastAsia="Times New Roman" w:hAnsi="Times New Roman" w:cs="Times New Roman"/>
          <w:bCs/>
        </w:rPr>
      </w:pPr>
      <w:r w:rsidRPr="00857D68">
        <w:rPr>
          <w:rFonts w:ascii="Times New Roman" w:eastAsia="Times New Roman" w:hAnsi="Times New Roman" w:cs="Times New Roman"/>
          <w:bCs/>
          <w:u w:val="single"/>
        </w:rPr>
        <w:t>Pagalbinės medžiagos, kurių poveikis žinomas</w:t>
      </w:r>
      <w:r w:rsidRPr="00857D68">
        <w:rPr>
          <w:rFonts w:ascii="Times New Roman" w:eastAsia="Times New Roman" w:hAnsi="Times New Roman" w:cs="Times New Roman"/>
          <w:bCs/>
        </w:rPr>
        <w:t xml:space="preserve">: kiekvienoje tabletėje yra </w:t>
      </w:r>
      <w:r w:rsidR="00196536">
        <w:rPr>
          <w:rFonts w:ascii="Times New Roman" w:eastAsia="Times New Roman" w:hAnsi="Times New Roman" w:cs="Times New Roman"/>
          <w:bCs/>
        </w:rPr>
        <w:t>426</w:t>
      </w:r>
      <w:r w:rsidRPr="00857D68">
        <w:rPr>
          <w:rFonts w:ascii="Times New Roman" w:eastAsia="Times New Roman" w:hAnsi="Times New Roman" w:cs="Times New Roman"/>
          <w:bCs/>
        </w:rPr>
        <w:t>,070 mg bevandenės laktozės.</w:t>
      </w:r>
    </w:p>
    <w:p w14:paraId="220BB7E0" w14:textId="77777777" w:rsidR="00030D15" w:rsidRPr="00857D68" w:rsidRDefault="00030D15" w:rsidP="00030D15">
      <w:pPr>
        <w:autoSpaceDE w:val="0"/>
        <w:autoSpaceDN w:val="0"/>
        <w:adjustRightInd w:val="0"/>
        <w:spacing w:after="0" w:line="240" w:lineRule="auto"/>
        <w:rPr>
          <w:rFonts w:ascii="Times New Roman" w:eastAsia="Times New Roman" w:hAnsi="Times New Roman" w:cs="Times New Roman"/>
        </w:rPr>
      </w:pPr>
    </w:p>
    <w:p w14:paraId="3699CA0B" w14:textId="77777777" w:rsidR="00030D15" w:rsidRPr="00857D68" w:rsidRDefault="00030D15" w:rsidP="00030D15">
      <w:pPr>
        <w:autoSpaceDE w:val="0"/>
        <w:autoSpaceDN w:val="0"/>
        <w:adjustRightInd w:val="0"/>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Visos pagalbinės medžiagos išvardytos 6.1 skyriuje.</w:t>
      </w:r>
    </w:p>
    <w:p w14:paraId="44E8CE47" w14:textId="77777777" w:rsidR="00030D15" w:rsidRPr="00857D68" w:rsidRDefault="00030D15" w:rsidP="00030D15">
      <w:pPr>
        <w:spacing w:after="0" w:line="240" w:lineRule="auto"/>
        <w:rPr>
          <w:rFonts w:ascii="Times New Roman" w:eastAsia="Times New Roman" w:hAnsi="Times New Roman" w:cs="Times New Roman"/>
        </w:rPr>
      </w:pPr>
    </w:p>
    <w:p w14:paraId="323E622B" w14:textId="77777777" w:rsidR="00030D15" w:rsidRPr="00857D68" w:rsidRDefault="00030D15" w:rsidP="00030D15">
      <w:pPr>
        <w:spacing w:after="0" w:line="240" w:lineRule="auto"/>
        <w:rPr>
          <w:rFonts w:ascii="Times New Roman" w:eastAsia="Times New Roman" w:hAnsi="Times New Roman" w:cs="Times New Roman"/>
        </w:rPr>
      </w:pPr>
    </w:p>
    <w:p w14:paraId="1E48E670" w14:textId="77777777" w:rsidR="00030D15" w:rsidRPr="00857D68" w:rsidRDefault="00030D15" w:rsidP="00030D15">
      <w:pPr>
        <w:spacing w:after="0" w:line="240" w:lineRule="auto"/>
        <w:ind w:left="567" w:hanging="567"/>
        <w:rPr>
          <w:rFonts w:ascii="Times New Roman" w:eastAsia="Times New Roman" w:hAnsi="Times New Roman" w:cs="Times New Roman"/>
          <w:caps/>
        </w:rPr>
      </w:pPr>
      <w:r w:rsidRPr="00857D68">
        <w:rPr>
          <w:rFonts w:ascii="Times New Roman" w:eastAsia="Times New Roman" w:hAnsi="Times New Roman" w:cs="Times New Roman"/>
          <w:b/>
        </w:rPr>
        <w:t>3.</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FARMACINĖ forma</w:t>
      </w:r>
    </w:p>
    <w:p w14:paraId="6DBD0FDB"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0916351B"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Tabletė.</w:t>
      </w:r>
    </w:p>
    <w:p w14:paraId="33FFF9B1"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Balta arba balkšva, ovalo formos, abipus išgaubta tabletė, vienoje pusėje įspausta „AHI“, o kita pusė lygi.</w:t>
      </w:r>
    </w:p>
    <w:p w14:paraId="7E1ACD92"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654D44CF" w14:textId="77777777" w:rsidR="00030D15" w:rsidRPr="00857D68" w:rsidRDefault="00030D15" w:rsidP="00030D15">
      <w:pPr>
        <w:spacing w:after="0" w:line="240" w:lineRule="auto"/>
        <w:rPr>
          <w:rFonts w:ascii="Times New Roman" w:eastAsia="Times New Roman" w:hAnsi="Times New Roman" w:cs="Times New Roman"/>
        </w:rPr>
      </w:pPr>
    </w:p>
    <w:p w14:paraId="6055B341" w14:textId="77777777" w:rsidR="00030D15" w:rsidRPr="00857D68" w:rsidRDefault="00030D15" w:rsidP="00030D15">
      <w:pPr>
        <w:spacing w:after="0" w:line="240" w:lineRule="auto"/>
        <w:ind w:left="567" w:hanging="567"/>
        <w:rPr>
          <w:rFonts w:ascii="Times New Roman" w:eastAsia="Times New Roman" w:hAnsi="Times New Roman" w:cs="Times New Roman"/>
          <w:caps/>
        </w:rPr>
      </w:pPr>
      <w:r w:rsidRPr="00857D68">
        <w:rPr>
          <w:rFonts w:ascii="Times New Roman" w:eastAsia="Times New Roman" w:hAnsi="Times New Roman" w:cs="Times New Roman"/>
          <w:b/>
          <w:caps/>
        </w:rPr>
        <w:t>4.</w:t>
      </w:r>
      <w:r w:rsidRPr="00857D68">
        <w:rPr>
          <w:rFonts w:ascii="Times New Roman" w:eastAsia="Times New Roman" w:hAnsi="Times New Roman" w:cs="Times New Roman"/>
          <w:b/>
          <w:caps/>
        </w:rPr>
        <w:tab/>
        <w:t>klinikinĖ informacija</w:t>
      </w:r>
    </w:p>
    <w:p w14:paraId="52CAC0B2" w14:textId="77777777" w:rsidR="00030D15" w:rsidRPr="00857D68" w:rsidRDefault="00030D15" w:rsidP="00030D15">
      <w:pPr>
        <w:spacing w:after="0" w:line="240" w:lineRule="auto"/>
        <w:rPr>
          <w:rFonts w:ascii="Times New Roman" w:eastAsia="Times New Roman" w:hAnsi="Times New Roman" w:cs="Times New Roman"/>
        </w:rPr>
      </w:pPr>
    </w:p>
    <w:p w14:paraId="474F3EB6"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4.1</w:t>
      </w:r>
      <w:r w:rsidRPr="00857D68">
        <w:rPr>
          <w:rFonts w:ascii="Times New Roman" w:eastAsia="Times New Roman" w:hAnsi="Times New Roman" w:cs="Times New Roman"/>
          <w:b/>
        </w:rPr>
        <w:tab/>
        <w:t>Terapinės indikacijos</w:t>
      </w:r>
    </w:p>
    <w:p w14:paraId="4625A1FC" w14:textId="77777777" w:rsidR="00030D15" w:rsidRPr="00857D68" w:rsidRDefault="00030D15" w:rsidP="00030D15">
      <w:pPr>
        <w:spacing w:after="0" w:line="240" w:lineRule="auto"/>
        <w:rPr>
          <w:rFonts w:ascii="Times New Roman" w:eastAsia="Times New Roman" w:hAnsi="Times New Roman" w:cs="Times New Roman"/>
        </w:rPr>
      </w:pPr>
    </w:p>
    <w:p w14:paraId="2CC42088"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Osteoporozės po menopauzės gydymas: stuburo slankstelių ir šlaunikaulių lūžių rizikos mažinimas.</w:t>
      </w:r>
    </w:p>
    <w:p w14:paraId="7B20CF07" w14:textId="77777777" w:rsidR="00030D15" w:rsidRPr="00857D68" w:rsidRDefault="00030D15" w:rsidP="00030D15">
      <w:pPr>
        <w:spacing w:after="0" w:line="240" w:lineRule="auto"/>
        <w:rPr>
          <w:rFonts w:ascii="Times New Roman" w:eastAsia="Times New Roman" w:hAnsi="Times New Roman" w:cs="Times New Roman"/>
        </w:rPr>
      </w:pPr>
    </w:p>
    <w:p w14:paraId="34B346A4" w14:textId="77777777" w:rsidR="00030D15" w:rsidRPr="00857D68" w:rsidRDefault="00030D15" w:rsidP="00030D15">
      <w:pPr>
        <w:numPr>
          <w:ilvl w:val="1"/>
          <w:numId w:val="5"/>
        </w:numPr>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rPr>
        <w:t>Dozavimas ir vartojimo metodas</w:t>
      </w:r>
    </w:p>
    <w:p w14:paraId="5CA9C83C" w14:textId="77777777" w:rsidR="00030D15" w:rsidRPr="00857D68" w:rsidRDefault="00030D15" w:rsidP="00030D15">
      <w:pPr>
        <w:spacing w:after="0" w:line="240" w:lineRule="auto"/>
        <w:rPr>
          <w:rFonts w:ascii="Times New Roman" w:eastAsia="Times New Roman" w:hAnsi="Times New Roman" w:cs="Times New Roman"/>
          <w:b/>
        </w:rPr>
      </w:pPr>
    </w:p>
    <w:p w14:paraId="78738AA6" w14:textId="77777777" w:rsidR="00030D15" w:rsidRPr="00857D68" w:rsidRDefault="00030D15" w:rsidP="00030D15">
      <w:pPr>
        <w:keepNext/>
        <w:tabs>
          <w:tab w:val="left" w:pos="567"/>
        </w:tabs>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szCs w:val="20"/>
          <w:u w:val="single"/>
        </w:rPr>
        <w:t>Dozavimas</w:t>
      </w:r>
    </w:p>
    <w:p w14:paraId="794E619A" w14:textId="77777777" w:rsidR="00BA68CB"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Rekomenduojama dozė yra viena 70 mg tabletė vieną kartą per savaitę. </w:t>
      </w:r>
    </w:p>
    <w:p w14:paraId="3333C5BF" w14:textId="77777777" w:rsidR="00BA68CB" w:rsidRPr="00857D68" w:rsidRDefault="00BA68CB" w:rsidP="00030D15">
      <w:pPr>
        <w:spacing w:after="0" w:line="240" w:lineRule="auto"/>
        <w:rPr>
          <w:rFonts w:ascii="Times New Roman" w:eastAsia="Times New Roman" w:hAnsi="Times New Roman" w:cs="Times New Roman"/>
        </w:rPr>
      </w:pPr>
    </w:p>
    <w:p w14:paraId="76EA6F7C" w14:textId="02575D81" w:rsidR="00BA68CB" w:rsidRPr="00857D68" w:rsidRDefault="00BA68CB"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u w:val="single"/>
        </w:rPr>
        <w:t>P</w:t>
      </w:r>
      <w:r w:rsidR="007C2D32" w:rsidRPr="00857D68">
        <w:rPr>
          <w:rFonts w:ascii="Times New Roman" w:eastAsia="Times New Roman" w:hAnsi="Times New Roman" w:cs="Times New Roman"/>
          <w:u w:val="single"/>
        </w:rPr>
        <w:t>raleista</w:t>
      </w:r>
      <w:r w:rsidRPr="00857D68">
        <w:rPr>
          <w:rFonts w:ascii="Times New Roman" w:eastAsia="Times New Roman" w:hAnsi="Times New Roman" w:cs="Times New Roman"/>
          <w:u w:val="single"/>
        </w:rPr>
        <w:t xml:space="preserve"> dozė</w:t>
      </w:r>
    </w:p>
    <w:p w14:paraId="1AC3DBE3" w14:textId="77777777" w:rsidR="00BA68CB" w:rsidRPr="00857D68" w:rsidRDefault="00BA68CB"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Reikia paaiškinti pacientams, kad jeigu jie praleido vieną alendrono rūgšties savaitės dozę, jie turi išgerti vieną tabletę, kai tik prisimins, kitą rytą. Negalima gerti dviejų tablečių tą pačią parą, bet būtina toliau vartoti vieną tabletę per savaitę, kaip suplanuota, jų pasirinktą dieną.</w:t>
      </w:r>
    </w:p>
    <w:p w14:paraId="66D76669" w14:textId="77777777" w:rsidR="00BA68CB" w:rsidRPr="00857D68" w:rsidRDefault="00BA68CB" w:rsidP="00BA68CB">
      <w:pPr>
        <w:spacing w:after="0" w:line="240" w:lineRule="auto"/>
        <w:rPr>
          <w:rFonts w:ascii="Times New Roman" w:eastAsia="Times New Roman" w:hAnsi="Times New Roman" w:cs="Times New Roman"/>
        </w:rPr>
      </w:pPr>
    </w:p>
    <w:p w14:paraId="039AEEE1" w14:textId="011C3BEE" w:rsidR="00030D15" w:rsidRPr="00857D68" w:rsidRDefault="00030D15" w:rsidP="00030D15">
      <w:pPr>
        <w:spacing w:after="0" w:line="240" w:lineRule="auto"/>
        <w:rPr>
          <w:rFonts w:ascii="Times New Roman" w:eastAsia="Times New Roman" w:hAnsi="Times New Roman" w:cs="Times New Roman"/>
          <w:lang w:eastAsia="en-GB"/>
        </w:rPr>
      </w:pPr>
      <w:r w:rsidRPr="00857D68">
        <w:rPr>
          <w:rFonts w:ascii="Times New Roman" w:eastAsia="Times New Roman" w:hAnsi="Times New Roman" w:cs="Times New Roman"/>
          <w:lang w:eastAsia="en-GB"/>
        </w:rPr>
        <w:t>Optimali osteoporozės gydymo bisfosfonatais trukmė nenustatyta. Reikia periodiškai iš naujo įvertinti tolimesnio gydymo būtinybę, atsižvelgiant į 70 mg alendrono rūgšties dozės vartojimo vieną kartą per savaitę naudą ir galimą riziką kiekvienam pacientui, ypač praėjus 5 ar daugiau vartojimo metų.</w:t>
      </w:r>
    </w:p>
    <w:p w14:paraId="69CAE8DB" w14:textId="77777777" w:rsidR="00030D15" w:rsidRPr="00857D68" w:rsidRDefault="00030D15" w:rsidP="00030D15">
      <w:pPr>
        <w:spacing w:after="0" w:line="240" w:lineRule="auto"/>
        <w:rPr>
          <w:rFonts w:ascii="Times New Roman" w:eastAsia="Times New Roman" w:hAnsi="Times New Roman" w:cs="Times New Roman"/>
        </w:rPr>
      </w:pPr>
    </w:p>
    <w:p w14:paraId="2853FF76" w14:textId="77777777" w:rsidR="00030D15" w:rsidRPr="00857D68" w:rsidRDefault="00030D15" w:rsidP="00030D15">
      <w:pPr>
        <w:spacing w:after="0" w:line="240" w:lineRule="auto"/>
        <w:rPr>
          <w:rFonts w:ascii="Times New Roman" w:eastAsia="Times New Roman" w:hAnsi="Times New Roman" w:cs="Times New Roman"/>
          <w:i/>
        </w:rPr>
      </w:pPr>
      <w:r w:rsidRPr="00857D68">
        <w:rPr>
          <w:rFonts w:ascii="Times New Roman" w:eastAsia="Times New Roman" w:hAnsi="Times New Roman" w:cs="Times New Roman"/>
          <w:i/>
        </w:rPr>
        <w:t>Senyviems pacientams</w:t>
      </w:r>
      <w:r w:rsidRPr="00857D68" w:rsidDel="00BD74E8">
        <w:rPr>
          <w:rFonts w:ascii="Times New Roman" w:eastAsia="Times New Roman" w:hAnsi="Times New Roman" w:cs="Times New Roman"/>
          <w:i/>
        </w:rPr>
        <w:t xml:space="preserve"> </w:t>
      </w:r>
    </w:p>
    <w:p w14:paraId="397C2CE8"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Klinikinių tyrimų metu su amžiumi susijusio alendrono rūgšties veiksmingumo ir saugumo skirtumo nenustatyta. Todėl pagyvenusiems pacientams skiriamos įprastos dozės.</w:t>
      </w:r>
    </w:p>
    <w:p w14:paraId="6BD38E5B" w14:textId="77777777" w:rsidR="00030D15" w:rsidRPr="00857D68" w:rsidRDefault="00030D15" w:rsidP="00030D15">
      <w:pPr>
        <w:spacing w:after="0" w:line="240" w:lineRule="auto"/>
        <w:rPr>
          <w:rFonts w:ascii="Times New Roman" w:eastAsia="Times New Roman" w:hAnsi="Times New Roman" w:cs="Times New Roman"/>
        </w:rPr>
      </w:pPr>
    </w:p>
    <w:p w14:paraId="2E091D3D" w14:textId="77777777" w:rsidR="00030D15" w:rsidRPr="00857D68" w:rsidRDefault="00030D15" w:rsidP="00030D15">
      <w:pPr>
        <w:keepNext/>
        <w:tabs>
          <w:tab w:val="left" w:pos="567"/>
        </w:tabs>
        <w:spacing w:after="0" w:line="240" w:lineRule="auto"/>
        <w:rPr>
          <w:rFonts w:ascii="Times New Roman" w:eastAsia="Times New Roman" w:hAnsi="Times New Roman" w:cs="Times New Roman"/>
          <w:i/>
        </w:rPr>
      </w:pPr>
      <w:r w:rsidRPr="00857D68">
        <w:rPr>
          <w:rFonts w:ascii="Times New Roman" w:eastAsia="Times New Roman" w:hAnsi="Times New Roman" w:cs="Times New Roman"/>
          <w:i/>
        </w:rPr>
        <w:t>Sutrikusi inkstų funkcija</w:t>
      </w:r>
    </w:p>
    <w:p w14:paraId="2EB38175"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Jei glomerulų filtracijos greitis (GFG) didesnis nei 35 ml/min., skiriama įprasta dozė. Alendrono rūgšties nerekomenduojama vartoti pacientams, kurių sutrikusi inkstų funkcija ir GFG mažesnis nei 35 ml/min., nes nėra vaisto vartojimo patirties.</w:t>
      </w:r>
    </w:p>
    <w:p w14:paraId="377A263E" w14:textId="77777777" w:rsidR="00030D15" w:rsidRPr="00857D68" w:rsidRDefault="00030D15" w:rsidP="00030D15">
      <w:pPr>
        <w:spacing w:after="0" w:line="240" w:lineRule="auto"/>
        <w:rPr>
          <w:rFonts w:ascii="Times New Roman" w:eastAsia="Times New Roman" w:hAnsi="Times New Roman" w:cs="Times New Roman"/>
        </w:rPr>
      </w:pPr>
    </w:p>
    <w:p w14:paraId="6419EFF6" w14:textId="77777777" w:rsidR="00030D15" w:rsidRPr="00857D68" w:rsidRDefault="00030D15" w:rsidP="00030D15">
      <w:pPr>
        <w:spacing w:after="0" w:line="240" w:lineRule="auto"/>
        <w:rPr>
          <w:rFonts w:ascii="Times New Roman" w:eastAsia="Times New Roman" w:hAnsi="Times New Roman" w:cs="Times New Roman"/>
          <w:lang w:eastAsia="en-GB"/>
        </w:rPr>
      </w:pPr>
      <w:r w:rsidRPr="00857D68">
        <w:rPr>
          <w:rFonts w:ascii="Times New Roman" w:eastAsia="Times New Roman" w:hAnsi="Times New Roman" w:cs="Times New Roman"/>
          <w:i/>
          <w:iCs/>
          <w:lang w:eastAsia="en-GB"/>
        </w:rPr>
        <w:t>Vaikų populiacija</w:t>
      </w:r>
    </w:p>
    <w:p w14:paraId="5217AF98" w14:textId="77777777" w:rsidR="00030D15" w:rsidRPr="00857D68" w:rsidRDefault="00030D15" w:rsidP="00030D15">
      <w:pPr>
        <w:spacing w:after="0" w:line="240" w:lineRule="auto"/>
        <w:rPr>
          <w:rFonts w:ascii="Times New Roman" w:eastAsia="Times New Roman" w:hAnsi="Times New Roman" w:cs="Times New Roman"/>
        </w:rPr>
      </w:pPr>
    </w:p>
    <w:p w14:paraId="71B84464" w14:textId="77777777" w:rsidR="00030D15" w:rsidRPr="00857D68" w:rsidRDefault="00030D15" w:rsidP="00030D15">
      <w:pPr>
        <w:spacing w:after="0" w:line="240" w:lineRule="auto"/>
        <w:rPr>
          <w:rFonts w:ascii="Times New Roman" w:eastAsia="Times New Roman" w:hAnsi="Times New Roman" w:cs="Times New Roman"/>
          <w:lang w:eastAsia="en-GB"/>
        </w:rPr>
      </w:pPr>
      <w:r w:rsidRPr="00857D68">
        <w:rPr>
          <w:rFonts w:ascii="Times New Roman" w:eastAsia="Times New Roman" w:hAnsi="Times New Roman" w:cs="Times New Roman"/>
          <w:lang w:eastAsia="en-GB"/>
        </w:rPr>
        <w:t>Alendrono rūgšties tyrimai atlikti mažam skaičiui jaunesnių kaip 18 metų pacientų, kuriems buvo diagnozuota osteogenezės nepakankamumas. Duomenų nepakanka, kad būtų galima pagrįsti vartojimą vaikams.</w:t>
      </w:r>
    </w:p>
    <w:p w14:paraId="452498EE" w14:textId="77777777" w:rsidR="00030D15" w:rsidRPr="00857D68" w:rsidRDefault="00030D15" w:rsidP="00030D15">
      <w:pPr>
        <w:tabs>
          <w:tab w:val="left" w:pos="567"/>
        </w:tabs>
        <w:spacing w:after="0" w:line="260" w:lineRule="exact"/>
        <w:rPr>
          <w:rFonts w:ascii="Times New Roman" w:eastAsia="Times New Roman" w:hAnsi="Times New Roman" w:cs="Times New Roman"/>
          <w:lang w:eastAsia="ar-SA"/>
        </w:rPr>
      </w:pPr>
    </w:p>
    <w:p w14:paraId="280BABD1"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lang w:eastAsia="ar-SA"/>
        </w:rPr>
        <w:t>Gliukokortikoidų sukeltos osteoporozės gydymas Alendronic acid Accord 70 mg tabletėmis netirtas.</w:t>
      </w:r>
    </w:p>
    <w:p w14:paraId="62CB4418" w14:textId="77777777" w:rsidR="00030D15" w:rsidRPr="00857D68" w:rsidRDefault="00030D15" w:rsidP="00030D15">
      <w:pPr>
        <w:spacing w:after="0" w:line="240" w:lineRule="auto"/>
        <w:rPr>
          <w:rFonts w:ascii="Times New Roman" w:eastAsia="Times New Roman" w:hAnsi="Times New Roman" w:cs="Times New Roman"/>
          <w:lang w:eastAsia="en-GB"/>
        </w:rPr>
      </w:pPr>
    </w:p>
    <w:p w14:paraId="2B003E63" w14:textId="77777777" w:rsidR="00030D15" w:rsidRPr="00857D68" w:rsidRDefault="00030D15" w:rsidP="00030D15">
      <w:pPr>
        <w:keepNext/>
        <w:tabs>
          <w:tab w:val="left" w:pos="567"/>
        </w:tabs>
        <w:spacing w:after="0" w:line="240" w:lineRule="auto"/>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 xml:space="preserve">Vartojimo metodas </w:t>
      </w:r>
    </w:p>
    <w:p w14:paraId="4366247F" w14:textId="77777777" w:rsidR="00030D15" w:rsidRPr="00857D68" w:rsidRDefault="00030D15" w:rsidP="00030D15">
      <w:pPr>
        <w:keepNext/>
        <w:tabs>
          <w:tab w:val="left" w:pos="567"/>
        </w:tabs>
        <w:spacing w:after="0" w:line="240" w:lineRule="auto"/>
        <w:rPr>
          <w:rFonts w:ascii="Times New Roman" w:eastAsia="Times New Roman" w:hAnsi="Times New Roman" w:cs="Times New Roman"/>
          <w:u w:val="single"/>
        </w:rPr>
      </w:pPr>
    </w:p>
    <w:p w14:paraId="4092EF62"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Vartoti per burną. </w:t>
      </w:r>
    </w:p>
    <w:p w14:paraId="5FF654DF" w14:textId="77777777" w:rsidR="00030D15" w:rsidRPr="00857D68" w:rsidRDefault="00030D15" w:rsidP="00030D15">
      <w:pPr>
        <w:spacing w:after="0" w:line="240" w:lineRule="auto"/>
        <w:rPr>
          <w:rFonts w:ascii="Times New Roman" w:eastAsia="Times New Roman" w:hAnsi="Times New Roman" w:cs="Times New Roman"/>
        </w:rPr>
      </w:pPr>
    </w:p>
    <w:p w14:paraId="0822D9CA" w14:textId="77777777" w:rsidR="00030D15" w:rsidRPr="00857D68" w:rsidRDefault="00030D15" w:rsidP="00030D15">
      <w:pPr>
        <w:spacing w:after="0" w:line="240" w:lineRule="auto"/>
        <w:rPr>
          <w:rFonts w:ascii="Times New Roman" w:eastAsia="Times New Roman" w:hAnsi="Times New Roman" w:cs="Times New Roman"/>
          <w:i/>
        </w:rPr>
      </w:pPr>
      <w:r w:rsidRPr="00857D68">
        <w:rPr>
          <w:rFonts w:ascii="Times New Roman" w:eastAsia="Times New Roman" w:hAnsi="Times New Roman" w:cs="Times New Roman"/>
          <w:i/>
        </w:rPr>
        <w:t xml:space="preserve">Kad būtų pakankama alendrono rūgšties absorbcija: </w:t>
      </w:r>
    </w:p>
    <w:p w14:paraId="3C09C7A4"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rūgšties tabletes reikia gerti nevalgius, tik atsikėlus ryte, užsigeriant paprastu vandeniu, mažiausiai 30 minučių iki pirmojo valgio, gėrimo arba kitų vaistų vartojimo. Kiti gėrimai (taip pat ir mineralinis vanduo), maistas ir kai kurie vaistai gali sumažinti alendrono rūgšties absorbciją (žr. 4.5 skyrių).</w:t>
      </w:r>
    </w:p>
    <w:p w14:paraId="5E3CAD54"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Kad tabletė lengviau patektų į skrandį ir būtų mažiau dirginama stemplė ar pasireikštų mažiau nepageidaujamų vietinio poveikio reiškinių (žr. 4.4 skyrių):</w:t>
      </w:r>
    </w:p>
    <w:p w14:paraId="58D245AF" w14:textId="77777777" w:rsidR="00030D15" w:rsidRPr="00857D68" w:rsidRDefault="00030D15" w:rsidP="00030D15">
      <w:pPr>
        <w:numPr>
          <w:ilvl w:val="0"/>
          <w:numId w:val="7"/>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rūgšties tabletes reikia gerti tik atsikėlus ryte, užsigeriant pilna stikline vandens (ne mažiau nei 200 ml skysčio);</w:t>
      </w:r>
    </w:p>
    <w:p w14:paraId="15C82012" w14:textId="77777777" w:rsidR="00030D15" w:rsidRPr="00857D68" w:rsidRDefault="00030D15" w:rsidP="00030D15">
      <w:pPr>
        <w:numPr>
          <w:ilvl w:val="0"/>
          <w:numId w:val="7"/>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pacientams negalima kramtyti, čiulpti ar traiškyti tablečių arba leisti joms ištirpti burnoje, nes burnoje ir ryklėje gali atsirasti opų;</w:t>
      </w:r>
    </w:p>
    <w:p w14:paraId="39830FAE" w14:textId="77777777" w:rsidR="00030D15" w:rsidRPr="00857D68" w:rsidRDefault="00030D15" w:rsidP="00030D15">
      <w:pPr>
        <w:numPr>
          <w:ilvl w:val="0"/>
          <w:numId w:val="7"/>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pacientai neturėtų gulėti bent 30 minučių po tabletės pavartojimo, iki pirmojo dienos valgymo.</w:t>
      </w:r>
    </w:p>
    <w:p w14:paraId="73FD6870" w14:textId="77777777" w:rsidR="00030D15" w:rsidRPr="00857D68" w:rsidRDefault="00030D15" w:rsidP="00030D15">
      <w:pPr>
        <w:numPr>
          <w:ilvl w:val="0"/>
          <w:numId w:val="7"/>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išgėrę alendrono rūgšties tabletę pacientai 30 minučių neturėtų gulėti;</w:t>
      </w:r>
    </w:p>
    <w:p w14:paraId="5B9C95E9" w14:textId="77777777" w:rsidR="00030D15" w:rsidRPr="00857D68" w:rsidRDefault="00030D15" w:rsidP="00030D15">
      <w:pPr>
        <w:numPr>
          <w:ilvl w:val="0"/>
          <w:numId w:val="7"/>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rūgšties tablečių negalima vartoti prieš miegą arba neatsikėlus ryte.</w:t>
      </w:r>
    </w:p>
    <w:p w14:paraId="212FE3FD" w14:textId="77777777" w:rsidR="00030D15" w:rsidRPr="00857D68" w:rsidRDefault="00030D15" w:rsidP="00030D15">
      <w:pPr>
        <w:spacing w:after="0" w:line="240" w:lineRule="auto"/>
        <w:rPr>
          <w:rFonts w:ascii="Times New Roman" w:eastAsia="Times New Roman" w:hAnsi="Times New Roman" w:cs="Times New Roman"/>
        </w:rPr>
      </w:pPr>
    </w:p>
    <w:p w14:paraId="454A1A4E" w14:textId="77777777" w:rsidR="00030D15" w:rsidRPr="00857D68" w:rsidRDefault="00030D15" w:rsidP="00030D15">
      <w:pPr>
        <w:spacing w:after="0" w:line="240" w:lineRule="auto"/>
        <w:rPr>
          <w:rFonts w:ascii="Times New Roman" w:eastAsia="Times New Roman" w:hAnsi="Times New Roman" w:cs="Times New Roman"/>
          <w:lang w:eastAsia="en-GB"/>
        </w:rPr>
      </w:pPr>
      <w:r w:rsidRPr="00857D68">
        <w:rPr>
          <w:rFonts w:ascii="Times New Roman" w:eastAsia="Times New Roman" w:hAnsi="Times New Roman" w:cs="Times New Roman"/>
        </w:rPr>
        <w:t>Pacientai turi vartoti kalcio ir vitamino D, jei jų nepakanka maiste (žr. 4.4 skyrių).</w:t>
      </w:r>
    </w:p>
    <w:p w14:paraId="46E0016B" w14:textId="77777777" w:rsidR="00030D15" w:rsidRPr="00857D68" w:rsidRDefault="00030D15" w:rsidP="00030D15">
      <w:pPr>
        <w:spacing w:after="0" w:line="240" w:lineRule="auto"/>
        <w:rPr>
          <w:rFonts w:ascii="Times New Roman" w:eastAsia="Times New Roman" w:hAnsi="Times New Roman" w:cs="Times New Roman"/>
        </w:rPr>
      </w:pPr>
    </w:p>
    <w:p w14:paraId="1AA352F8" w14:textId="77777777" w:rsidR="00030D15" w:rsidRPr="00857D68" w:rsidRDefault="00030D15" w:rsidP="00030D15">
      <w:pPr>
        <w:spacing w:after="0" w:line="240" w:lineRule="auto"/>
        <w:ind w:left="567" w:hanging="567"/>
        <w:rPr>
          <w:rFonts w:ascii="Times New Roman" w:eastAsia="Times New Roman" w:hAnsi="Times New Roman" w:cs="Times New Roman"/>
        </w:rPr>
      </w:pPr>
      <w:r w:rsidRPr="00857D68">
        <w:rPr>
          <w:rFonts w:ascii="Times New Roman" w:eastAsia="Times New Roman" w:hAnsi="Times New Roman" w:cs="Times New Roman"/>
          <w:b/>
        </w:rPr>
        <w:t>4.3</w:t>
      </w:r>
      <w:r w:rsidRPr="00857D68">
        <w:rPr>
          <w:rFonts w:ascii="Times New Roman" w:eastAsia="Times New Roman" w:hAnsi="Times New Roman" w:cs="Times New Roman"/>
          <w:b/>
        </w:rPr>
        <w:tab/>
        <w:t>Kontraindikacijos</w:t>
      </w:r>
    </w:p>
    <w:p w14:paraId="06B2B98E" w14:textId="77777777" w:rsidR="00030D15" w:rsidRPr="00857D68" w:rsidRDefault="00030D15" w:rsidP="00030D15">
      <w:pPr>
        <w:spacing w:after="0" w:line="240" w:lineRule="auto"/>
        <w:rPr>
          <w:rFonts w:ascii="Times New Roman" w:eastAsia="Times New Roman" w:hAnsi="Times New Roman" w:cs="Times New Roman"/>
        </w:rPr>
      </w:pPr>
    </w:p>
    <w:p w14:paraId="11853EAD"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Alendrono rūgšties tablečių negalima vartoti toliau nurodytais atvejais.</w:t>
      </w:r>
    </w:p>
    <w:p w14:paraId="3FC22E44" w14:textId="77777777" w:rsidR="00030D15" w:rsidRPr="00857D68" w:rsidRDefault="00030D15" w:rsidP="00030D15">
      <w:pPr>
        <w:numPr>
          <w:ilvl w:val="0"/>
          <w:numId w:val="8"/>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szCs w:val="20"/>
        </w:rPr>
        <w:t xml:space="preserve">Padidėjęs jautrumas veikliajai arba bet kuriai 6.1 skyriuje nurodytai pagalbinei medžiagai. </w:t>
      </w:r>
    </w:p>
    <w:p w14:paraId="1775C21E" w14:textId="77777777" w:rsidR="00030D15" w:rsidRPr="00857D68" w:rsidRDefault="00030D15" w:rsidP="00030D15">
      <w:pPr>
        <w:numPr>
          <w:ilvl w:val="0"/>
          <w:numId w:val="8"/>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yra stemplės vystymosi anomalijų ir kitų būklių, lėtinančių stemplės ištuštinimą, pvz., susiaurėjimas arba achalazija.</w:t>
      </w:r>
    </w:p>
    <w:p w14:paraId="1BA4C374" w14:textId="77777777" w:rsidR="00030D15" w:rsidRPr="00857D68" w:rsidRDefault="00030D15" w:rsidP="00030D15">
      <w:pPr>
        <w:numPr>
          <w:ilvl w:val="0"/>
          <w:numId w:val="8"/>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Pacientas negali tiesiai pasėdėti arba pastovėti bent 30 minučių.</w:t>
      </w:r>
    </w:p>
    <w:p w14:paraId="1AEB08B8" w14:textId="77777777" w:rsidR="00030D15" w:rsidRPr="00857D68" w:rsidRDefault="00030D15" w:rsidP="00030D15">
      <w:pPr>
        <w:numPr>
          <w:ilvl w:val="0"/>
          <w:numId w:val="8"/>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Hipokalcemija. </w:t>
      </w:r>
    </w:p>
    <w:p w14:paraId="45BA2A93" w14:textId="77777777" w:rsidR="00030D15" w:rsidRPr="00857D68" w:rsidRDefault="00030D15" w:rsidP="00030D15">
      <w:pPr>
        <w:spacing w:after="0" w:line="240" w:lineRule="auto"/>
        <w:rPr>
          <w:rFonts w:ascii="Times New Roman" w:eastAsia="Times New Roman" w:hAnsi="Times New Roman" w:cs="Times New Roman"/>
        </w:rPr>
      </w:pPr>
    </w:p>
    <w:p w14:paraId="120017EE"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4.4</w:t>
      </w:r>
      <w:r w:rsidRPr="00857D68">
        <w:rPr>
          <w:rFonts w:ascii="Times New Roman" w:eastAsia="Times New Roman" w:hAnsi="Times New Roman" w:cs="Times New Roman"/>
          <w:b/>
        </w:rPr>
        <w:tab/>
        <w:t>Specialūs įspėjimai ir atsargumo priemonės</w:t>
      </w:r>
    </w:p>
    <w:p w14:paraId="28A2C6BA" w14:textId="77777777" w:rsidR="00030D15" w:rsidRPr="00857D68" w:rsidRDefault="00030D15" w:rsidP="00030D15">
      <w:pPr>
        <w:spacing w:after="0" w:line="240" w:lineRule="auto"/>
        <w:rPr>
          <w:rFonts w:ascii="Times New Roman" w:eastAsia="Times New Roman" w:hAnsi="Times New Roman" w:cs="Times New Roman"/>
        </w:rPr>
      </w:pPr>
    </w:p>
    <w:p w14:paraId="07AE8911" w14:textId="77777777" w:rsidR="00030D15" w:rsidRPr="00857D68" w:rsidRDefault="00030D15" w:rsidP="00030D15">
      <w:pPr>
        <w:tabs>
          <w:tab w:val="left" w:pos="567"/>
        </w:tabs>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Nepageidaujamos viršutinės virškinimo trakto dalies reakcijos</w:t>
      </w:r>
    </w:p>
    <w:p w14:paraId="4DCD0D31" w14:textId="6CAAE20C" w:rsidR="00030D15" w:rsidRPr="00857D68" w:rsidRDefault="00030D15" w:rsidP="00030D15">
      <w:pPr>
        <w:tabs>
          <w:tab w:val="left" w:pos="567"/>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rūgštis gali vietiškai dirginti viršutinės virškinimo trakto dalies gleivinę. Todėl gali pasunkėti esama liga. Reikia atsargiai skirti vartoti alendrono rūgštį pacientams, kuriems yra viršutinės virškinimo trakto dalies sutrikimų, pvz., disfagija, stemplės liga, gastritas, duodenitas, opos arba anksčiau (praeitais metais) buvusios sunkios virškinimo trakto ligos, pvz., pepsinė opa, aktyvus virškinimo trakto kraujavimas arba kitokia nei prievarčio plastika viršutinės virškinimo trakto dalies chirurginė operacija (žr. 4.3 skyrių). Pacientams, kuriems nustatyta Bareto stemplė, gydytojas kiekvienam pacientui individualiai turi apsvarstyti alendronato naudą ir galimą riziką.</w:t>
      </w:r>
    </w:p>
    <w:p w14:paraId="4E7FFD99" w14:textId="77777777" w:rsidR="00030D15" w:rsidRPr="00857D68" w:rsidRDefault="00030D15" w:rsidP="00030D15">
      <w:pPr>
        <w:tabs>
          <w:tab w:val="left" w:pos="567"/>
        </w:tabs>
        <w:spacing w:after="0" w:line="240" w:lineRule="auto"/>
        <w:rPr>
          <w:rFonts w:ascii="Times New Roman" w:eastAsia="Times New Roman" w:hAnsi="Times New Roman" w:cs="Times New Roman"/>
        </w:rPr>
      </w:pPr>
    </w:p>
    <w:p w14:paraId="1F30A688" w14:textId="2D8C7E29"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Pranešama apie alendrono rūgštį vartojusius pacientus, kuriems atsirado stemplės reakcijų (kartais sunkių ir reikalaujančių hospitalizacijos), pvz., stemplės uždegimas, stemplės opos ir erozijos, dėl kurių retkarčiais stemplė susiaurėja arba prakiūra. Todėl gydytojai turi atkreipti dėmesį į bet kokius požymius, rodančius galimą stemplės reakciją. Pacientams reikia nurodyti nutraukti alendrono rūgšties vartojimą ir kreiptis medicinos pagalbos, jei jiems pasireiškė stemplės dirginimo simptomų, pvz., rijimo sutrikimas, skausmas ryjant arba skausmas už krūtinkaulio, naujai atsiradęs arba pablogėjęs rėmuo</w:t>
      </w:r>
      <w:r w:rsidR="00AF4539">
        <w:rPr>
          <w:rFonts w:ascii="Times New Roman" w:eastAsia="Times New Roman" w:hAnsi="Times New Roman" w:cs="Times New Roman"/>
        </w:rPr>
        <w:t xml:space="preserve"> (žr</w:t>
      </w:r>
      <w:r w:rsidR="00E06A7B">
        <w:rPr>
          <w:rFonts w:ascii="Times New Roman" w:eastAsia="Times New Roman" w:hAnsi="Times New Roman" w:cs="Times New Roman"/>
        </w:rPr>
        <w:t xml:space="preserve">. </w:t>
      </w:r>
      <w:r w:rsidR="00E06A7B" w:rsidRPr="00DC4AB7">
        <w:rPr>
          <w:rFonts w:ascii="Times New Roman" w:eastAsia="Times New Roman" w:hAnsi="Times New Roman" w:cs="Times New Roman"/>
        </w:rPr>
        <w:t>4.8 skyri</w:t>
      </w:r>
      <w:r w:rsidR="00E06A7B">
        <w:rPr>
          <w:rFonts w:ascii="Times New Roman" w:eastAsia="Times New Roman" w:hAnsi="Times New Roman" w:cs="Times New Roman"/>
        </w:rPr>
        <w:t>ų)</w:t>
      </w:r>
      <w:r w:rsidRPr="00857D68">
        <w:rPr>
          <w:rFonts w:ascii="Times New Roman" w:eastAsia="Times New Roman" w:hAnsi="Times New Roman" w:cs="Times New Roman"/>
        </w:rPr>
        <w:t>.</w:t>
      </w:r>
    </w:p>
    <w:p w14:paraId="287181FB" w14:textId="77777777" w:rsidR="00030D15" w:rsidRPr="00857D68" w:rsidRDefault="00030D15" w:rsidP="00030D15">
      <w:pPr>
        <w:spacing w:after="0" w:line="240" w:lineRule="auto"/>
        <w:rPr>
          <w:rFonts w:ascii="Times New Roman" w:eastAsia="Times New Roman" w:hAnsi="Times New Roman" w:cs="Times New Roman"/>
        </w:rPr>
      </w:pPr>
    </w:p>
    <w:p w14:paraId="2594341B"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Sunkių stemplės nepageidaujamų reiškinių rizika didesnė pacientams, kurie netinkamai vartoja alendrono rūgšties tabletes ir (arba) tiems, kurie tęsė alendrono rūgšties tablečių vartojimą po to, kai jiems išsivystė panašių į stemplės dirginimą simptomų. Svarbu, kad pacientams būtų išaiškinta ir jie suprastų dozavimo instrukcijas (žr. 4.2 skyrių). Reikia informuoti pacientus, kad jei jie nesilaikys šių instrukcijų, gali padidėti stemplės sutrikimų rizika.</w:t>
      </w:r>
    </w:p>
    <w:p w14:paraId="419FB2F2" w14:textId="77777777" w:rsidR="00030D15" w:rsidRPr="00857D68" w:rsidRDefault="00030D15" w:rsidP="00030D15">
      <w:pPr>
        <w:spacing w:after="0" w:line="240" w:lineRule="auto"/>
        <w:rPr>
          <w:rFonts w:ascii="Times New Roman" w:eastAsia="Times New Roman" w:hAnsi="Times New Roman" w:cs="Times New Roman"/>
        </w:rPr>
      </w:pPr>
    </w:p>
    <w:p w14:paraId="26A0BE2A" w14:textId="33A4A2A9"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Ekstensyvių klinikinių tyrimų metu padidėjusios rizikos nepastebėta, bet po vaisto patekimo į rinką buvo retų pranešimų apie skrandžio ir dvylikapirštės žarnos opas, kai kurias iš jų sunkias ir komplikuotas</w:t>
      </w:r>
      <w:r w:rsidR="00E06A7B">
        <w:rPr>
          <w:rFonts w:ascii="Times New Roman" w:eastAsia="Times New Roman" w:hAnsi="Times New Roman" w:cs="Times New Roman"/>
        </w:rPr>
        <w:t xml:space="preserve"> (žr. </w:t>
      </w:r>
      <w:r w:rsidR="00E06A7B" w:rsidRPr="00DC4AB7">
        <w:rPr>
          <w:rFonts w:ascii="Times New Roman" w:eastAsia="Times New Roman" w:hAnsi="Times New Roman" w:cs="Times New Roman"/>
        </w:rPr>
        <w:t>4</w:t>
      </w:r>
      <w:r w:rsidRPr="00857D68">
        <w:rPr>
          <w:rFonts w:ascii="Times New Roman" w:eastAsia="Times New Roman" w:hAnsi="Times New Roman" w:cs="Times New Roman"/>
        </w:rPr>
        <w:t>.</w:t>
      </w:r>
      <w:r w:rsidR="007465FD">
        <w:rPr>
          <w:rFonts w:ascii="Times New Roman" w:eastAsia="Times New Roman" w:hAnsi="Times New Roman" w:cs="Times New Roman"/>
        </w:rPr>
        <w:t>8 skyrių).</w:t>
      </w:r>
      <w:r w:rsidRPr="00857D68">
        <w:rPr>
          <w:rFonts w:ascii="Times New Roman" w:eastAsia="Times New Roman" w:hAnsi="Times New Roman" w:cs="Times New Roman"/>
        </w:rPr>
        <w:t xml:space="preserve"> </w:t>
      </w:r>
    </w:p>
    <w:p w14:paraId="7FAC1956" w14:textId="77777777" w:rsidR="00030D15" w:rsidRPr="00857D68" w:rsidRDefault="00030D15" w:rsidP="00030D15">
      <w:pPr>
        <w:spacing w:after="0" w:line="240" w:lineRule="auto"/>
        <w:rPr>
          <w:rFonts w:ascii="Times New Roman" w:eastAsia="Times New Roman" w:hAnsi="Times New Roman" w:cs="Times New Roman"/>
        </w:rPr>
      </w:pPr>
    </w:p>
    <w:p w14:paraId="0854EE68" w14:textId="77777777" w:rsidR="00030D15" w:rsidRPr="00857D68" w:rsidRDefault="00030D15" w:rsidP="00030D15">
      <w:pPr>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Žandikaulio osteonekrozė</w:t>
      </w:r>
    </w:p>
    <w:p w14:paraId="3D4AD07E" w14:textId="1CF50C40"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Vėžiu sergantiems pacientams, gyd</w:t>
      </w:r>
      <w:r w:rsidR="00CB4699">
        <w:rPr>
          <w:rFonts w:ascii="Times New Roman" w:eastAsia="Times New Roman" w:hAnsi="Times New Roman" w:cs="Times New Roman"/>
        </w:rPr>
        <w:t>omiems</w:t>
      </w:r>
      <w:r w:rsidRPr="00857D68">
        <w:rPr>
          <w:rFonts w:ascii="Times New Roman" w:eastAsia="Times New Roman" w:hAnsi="Times New Roman" w:cs="Times New Roman"/>
        </w:rPr>
        <w:t xml:space="preserve"> alendrono rūgštimi ir pradžioje gydytiems bisfosfonatais į veną, pasireiškė žandikaulio osteonekrozė, daugiausia susijusi su danties traukimu ir (arba) vietine infekcija (įskaitant osteomielitą). Daugelis šių pacientų buvo gydomi chemoterapija ir kortikosteroidais. Osteoporoze sergantiems pacientams, gydytiems bisfosfonatais, taip pat pasireiškė žandikaulio osteonekrozė.</w:t>
      </w:r>
    </w:p>
    <w:p w14:paraId="7A2D3AE6" w14:textId="77777777" w:rsidR="00030D15" w:rsidRPr="00857D68" w:rsidRDefault="00030D15" w:rsidP="00030D15">
      <w:pPr>
        <w:spacing w:after="0" w:line="240" w:lineRule="auto"/>
        <w:rPr>
          <w:rFonts w:ascii="Times New Roman" w:eastAsia="Times New Roman" w:hAnsi="Times New Roman" w:cs="Times New Roman"/>
        </w:rPr>
      </w:pPr>
    </w:p>
    <w:p w14:paraId="3439948C"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Įvertinant individualią žandikaulio osteonekrozės atsiradimo riziką pacientui, reikia atsižvelgti į toliau išvardytus rizikos veiksnius:</w:t>
      </w:r>
    </w:p>
    <w:p w14:paraId="2004969A" w14:textId="77777777" w:rsidR="00030D15" w:rsidRPr="00857D68" w:rsidRDefault="00030D15" w:rsidP="00030D15">
      <w:pPr>
        <w:spacing w:after="0" w:line="240" w:lineRule="auto"/>
        <w:rPr>
          <w:rFonts w:ascii="Times New Roman" w:eastAsia="Times New Roman" w:hAnsi="Times New Roman" w:cs="Times New Roman"/>
        </w:rPr>
      </w:pPr>
    </w:p>
    <w:p w14:paraId="6B126051" w14:textId="77777777" w:rsidR="00030D15" w:rsidRPr="00857D68" w:rsidRDefault="00030D15" w:rsidP="00030D15">
      <w:pPr>
        <w:numPr>
          <w:ilvl w:val="0"/>
          <w:numId w:val="21"/>
        </w:numPr>
        <w:tabs>
          <w:tab w:val="num" w:pos="540"/>
          <w:tab w:val="left" w:pos="567"/>
        </w:tabs>
        <w:spacing w:after="0" w:line="240" w:lineRule="auto"/>
        <w:ind w:left="540" w:hanging="540"/>
        <w:rPr>
          <w:rFonts w:ascii="Times New Roman" w:eastAsia="Times New Roman" w:hAnsi="Times New Roman" w:cs="Times New Roman"/>
        </w:rPr>
      </w:pPr>
      <w:r w:rsidRPr="00857D68">
        <w:rPr>
          <w:rFonts w:ascii="Times New Roman" w:eastAsia="Times New Roman" w:hAnsi="Times New Roman" w:cs="Times New Roman"/>
        </w:rPr>
        <w:t>bisfosfonato poveikio stiprumas (didžiausia zoledrono rūgšties), vartojimo būdas (žr. anksčiau) ir kaupiamoji dozė;</w:t>
      </w:r>
    </w:p>
    <w:p w14:paraId="3B06037B" w14:textId="75561150" w:rsidR="00030D15" w:rsidRPr="00857D68" w:rsidRDefault="00030D15" w:rsidP="00030D15">
      <w:pPr>
        <w:numPr>
          <w:ilvl w:val="0"/>
          <w:numId w:val="21"/>
        </w:numPr>
        <w:tabs>
          <w:tab w:val="num" w:pos="540"/>
          <w:tab w:val="left" w:pos="567"/>
        </w:tabs>
        <w:spacing w:after="0" w:line="240" w:lineRule="auto"/>
        <w:ind w:left="540" w:hanging="540"/>
        <w:rPr>
          <w:rFonts w:ascii="Times New Roman" w:eastAsia="Times New Roman" w:hAnsi="Times New Roman" w:cs="Times New Roman"/>
        </w:rPr>
      </w:pPr>
      <w:r w:rsidRPr="00857D68">
        <w:rPr>
          <w:rFonts w:ascii="Times New Roman" w:eastAsia="Times New Roman" w:hAnsi="Times New Roman" w:cs="Times New Roman"/>
        </w:rPr>
        <w:t>vėžys, chemoterapija, spindulinis gydymas, kortikosteroidai,</w:t>
      </w:r>
      <w:r w:rsidR="00B426E8">
        <w:rPr>
          <w:rFonts w:ascii="Times New Roman" w:eastAsia="Times New Roman" w:hAnsi="Times New Roman" w:cs="Times New Roman"/>
        </w:rPr>
        <w:t xml:space="preserve"> angiogenezės inhibitoriai,</w:t>
      </w:r>
      <w:r w:rsidRPr="00857D68">
        <w:rPr>
          <w:rFonts w:ascii="Times New Roman" w:eastAsia="Times New Roman" w:hAnsi="Times New Roman" w:cs="Times New Roman"/>
        </w:rPr>
        <w:t xml:space="preserve"> rūkymas;</w:t>
      </w:r>
    </w:p>
    <w:p w14:paraId="70C0497E" w14:textId="77777777" w:rsidR="00030D15" w:rsidRPr="00857D68" w:rsidRDefault="00030D15" w:rsidP="00030D15">
      <w:pPr>
        <w:numPr>
          <w:ilvl w:val="0"/>
          <w:numId w:val="21"/>
        </w:numPr>
        <w:tabs>
          <w:tab w:val="num" w:pos="540"/>
          <w:tab w:val="left" w:pos="567"/>
        </w:tabs>
        <w:spacing w:after="0" w:line="240" w:lineRule="auto"/>
        <w:ind w:left="540" w:hanging="540"/>
        <w:rPr>
          <w:rFonts w:ascii="Times New Roman" w:eastAsia="Times New Roman" w:hAnsi="Times New Roman" w:cs="Times New Roman"/>
        </w:rPr>
      </w:pPr>
      <w:r w:rsidRPr="00857D68">
        <w:rPr>
          <w:rFonts w:ascii="Times New Roman" w:eastAsia="Times New Roman" w:hAnsi="Times New Roman" w:cs="Times New Roman"/>
        </w:rPr>
        <w:t>anksčiau buvusi dantų liga, bloga burnos ertmės priežiūra, periodonto ligos, invazinės dantų procedūros ir blogai priglundantys dantų protezai.</w:t>
      </w:r>
    </w:p>
    <w:p w14:paraId="1BD04F60" w14:textId="77777777" w:rsidR="00030D15" w:rsidRPr="00857D68" w:rsidRDefault="00030D15" w:rsidP="00030D15">
      <w:pPr>
        <w:spacing w:after="0" w:line="240" w:lineRule="auto"/>
        <w:rPr>
          <w:rFonts w:ascii="Times New Roman" w:eastAsia="Times New Roman" w:hAnsi="Times New Roman" w:cs="Times New Roman"/>
        </w:rPr>
      </w:pPr>
    </w:p>
    <w:p w14:paraId="2181DF3B" w14:textId="314F5D84"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Prieš pradedant gydyti </w:t>
      </w:r>
      <w:r w:rsidR="003E6588">
        <w:rPr>
          <w:rFonts w:ascii="Times New Roman" w:eastAsia="Times New Roman" w:hAnsi="Times New Roman" w:cs="Times New Roman"/>
        </w:rPr>
        <w:t>geriamais</w:t>
      </w:r>
      <w:r w:rsidR="00A45318">
        <w:rPr>
          <w:rFonts w:ascii="Times New Roman" w:eastAsia="Times New Roman" w:hAnsi="Times New Roman" w:cs="Times New Roman"/>
        </w:rPr>
        <w:t>iais</w:t>
      </w:r>
      <w:r w:rsidR="003E6588">
        <w:rPr>
          <w:rFonts w:ascii="Times New Roman" w:eastAsia="Times New Roman" w:hAnsi="Times New Roman" w:cs="Times New Roman"/>
        </w:rPr>
        <w:t xml:space="preserve"> </w:t>
      </w:r>
      <w:r w:rsidRPr="00857D68">
        <w:rPr>
          <w:rFonts w:ascii="Times New Roman" w:eastAsia="Times New Roman" w:hAnsi="Times New Roman" w:cs="Times New Roman"/>
        </w:rPr>
        <w:t xml:space="preserve">bisfosfonatais pacientus, kurių dantų būklė yra bloga, reikia apsvarstyti galimybę ištirti dantis ir atitinkamai profilaktiškai juos gydyti. </w:t>
      </w:r>
    </w:p>
    <w:p w14:paraId="0E5DAD9B" w14:textId="77777777" w:rsidR="00030D15" w:rsidRPr="00857D68" w:rsidRDefault="00030D15" w:rsidP="00030D15">
      <w:pPr>
        <w:spacing w:after="0" w:line="240" w:lineRule="auto"/>
        <w:rPr>
          <w:rFonts w:ascii="Times New Roman" w:eastAsia="Times New Roman" w:hAnsi="Times New Roman" w:cs="Times New Roman"/>
        </w:rPr>
      </w:pPr>
    </w:p>
    <w:p w14:paraId="3AD9DE9D"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Gydymo metu pacientai, jei tik įmanoma, turėtų vengti invazinių dantų procedūrų. Pacientams, kuriems gydymo bisfosfonatais metu išsivystė žandikaulio osteonekrozė, dantų chirurgija gali pabloginti būklę. Nėra duomenų, rodančių, kad gydymo bisfosfonatais nutraukimas sumažina žandikaulio osteonekrozės riziką pacientams, kuriems reikalingos dantų procedūros.</w:t>
      </w:r>
    </w:p>
    <w:p w14:paraId="533DF591" w14:textId="77777777" w:rsidR="00030D15" w:rsidRPr="00857D68" w:rsidRDefault="00030D15" w:rsidP="00030D15">
      <w:pPr>
        <w:spacing w:after="0" w:line="240" w:lineRule="auto"/>
        <w:rPr>
          <w:rFonts w:ascii="Times New Roman" w:eastAsia="Times New Roman" w:hAnsi="Times New Roman" w:cs="Times New Roman"/>
        </w:rPr>
      </w:pPr>
    </w:p>
    <w:p w14:paraId="0B028EED"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Gydytojas turi atlikti klinikinį įvertinimą, prieš sudarydamas kiekvieno paciento gydymo planą, remdamasis individualiu naudos ir rizikos santykiu.</w:t>
      </w:r>
    </w:p>
    <w:p w14:paraId="7C31C601" w14:textId="77777777" w:rsidR="00030D15" w:rsidRPr="00857D68" w:rsidRDefault="00030D15" w:rsidP="00030D15">
      <w:pPr>
        <w:spacing w:after="0" w:line="240" w:lineRule="auto"/>
        <w:rPr>
          <w:rFonts w:ascii="Times New Roman" w:eastAsia="Times New Roman" w:hAnsi="Times New Roman" w:cs="Times New Roman"/>
        </w:rPr>
      </w:pPr>
    </w:p>
    <w:p w14:paraId="1C85FF23"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Gydymo bisfosfonatais metu, visi pacientai turi būti skatinami gerai prižiūrėti burną, reguliariai tikrintis dantis ir pranešti apie visus simptomus burnoje, pavyzdžiui: klibančius dantis, skausmą ar patinimą.</w:t>
      </w:r>
    </w:p>
    <w:p w14:paraId="5B99B569" w14:textId="77777777" w:rsidR="00030D15" w:rsidRPr="00857D68" w:rsidRDefault="00030D15" w:rsidP="00030D15">
      <w:pPr>
        <w:spacing w:after="0" w:line="240" w:lineRule="auto"/>
        <w:rPr>
          <w:rFonts w:ascii="Times New Roman" w:eastAsia="Times New Roman" w:hAnsi="Times New Roman" w:cs="Times New Roman"/>
        </w:rPr>
      </w:pPr>
    </w:p>
    <w:p w14:paraId="32D152DD" w14:textId="77777777" w:rsidR="00030D15" w:rsidRPr="00857D68" w:rsidRDefault="00030D15" w:rsidP="00030D15">
      <w:pPr>
        <w:spacing w:after="0" w:line="240" w:lineRule="auto"/>
        <w:rPr>
          <w:rFonts w:ascii="Times" w:eastAsia="Calibri" w:hAnsi="Times" w:cs="Times New Roman"/>
          <w:szCs w:val="20"/>
          <w:u w:val="single"/>
        </w:rPr>
      </w:pPr>
      <w:r w:rsidRPr="00857D68">
        <w:rPr>
          <w:rFonts w:ascii="Times" w:eastAsia="Calibri" w:hAnsi="Times" w:cs="Times New Roman"/>
          <w:szCs w:val="20"/>
          <w:u w:val="single"/>
        </w:rPr>
        <w:t>Išorinio ausies kanalo osteonekrozė</w:t>
      </w:r>
    </w:p>
    <w:p w14:paraId="2364BA55" w14:textId="77777777" w:rsidR="00030D15" w:rsidRPr="00857D68" w:rsidRDefault="00030D15" w:rsidP="00030D15">
      <w:pPr>
        <w:spacing w:after="0" w:line="240" w:lineRule="auto"/>
        <w:rPr>
          <w:rFonts w:ascii="Times" w:eastAsia="Calibri" w:hAnsi="Times" w:cs="Times New Roman"/>
          <w:szCs w:val="20"/>
        </w:rPr>
      </w:pPr>
    </w:p>
    <w:p w14:paraId="6A4D24BF" w14:textId="5E0F61C1" w:rsidR="00030D15" w:rsidRPr="00857D68" w:rsidRDefault="00030D15" w:rsidP="00030D15">
      <w:pPr>
        <w:spacing w:after="0" w:line="240" w:lineRule="auto"/>
        <w:rPr>
          <w:rFonts w:ascii="Times" w:eastAsia="Calibri" w:hAnsi="Times" w:cs="Times New Roman"/>
          <w:szCs w:val="20"/>
        </w:rPr>
      </w:pPr>
      <w:r w:rsidRPr="00857D68">
        <w:rPr>
          <w:rFonts w:ascii="Times" w:eastAsia="Calibri" w:hAnsi="Times" w:cs="Times New Roman"/>
          <w:szCs w:val="20"/>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w:t>
      </w:r>
      <w:r w:rsidR="003170AB">
        <w:rPr>
          <w:rFonts w:ascii="Times" w:eastAsia="Calibri" w:hAnsi="Times" w:cs="Times New Roman"/>
          <w:szCs w:val="20"/>
        </w:rPr>
        <w:t xml:space="preserve"> tokių kaip skausmas</w:t>
      </w:r>
      <w:r w:rsidR="00802996">
        <w:rPr>
          <w:rFonts w:ascii="Times" w:eastAsia="Calibri" w:hAnsi="Times" w:cs="Times New Roman"/>
          <w:szCs w:val="20"/>
        </w:rPr>
        <w:t xml:space="preserve"> ar išskyros, ar</w:t>
      </w:r>
      <w:r w:rsidRPr="00857D68">
        <w:rPr>
          <w:rFonts w:ascii="Times" w:eastAsia="Calibri" w:hAnsi="Times" w:cs="Times New Roman"/>
          <w:szCs w:val="20"/>
        </w:rPr>
        <w:t xml:space="preserve"> lėtinės ausų infekcijos.</w:t>
      </w:r>
    </w:p>
    <w:p w14:paraId="2C87935F" w14:textId="77777777" w:rsidR="00030D15" w:rsidRPr="00857D68" w:rsidRDefault="00030D15" w:rsidP="00030D15">
      <w:pPr>
        <w:spacing w:after="0" w:line="240" w:lineRule="auto"/>
        <w:rPr>
          <w:rFonts w:ascii="Times New Roman" w:eastAsia="Times New Roman" w:hAnsi="Times New Roman" w:cs="Times New Roman"/>
        </w:rPr>
      </w:pPr>
    </w:p>
    <w:p w14:paraId="682D7123" w14:textId="77777777" w:rsidR="00030D15" w:rsidRPr="00857D68" w:rsidRDefault="00030D15" w:rsidP="00030D15">
      <w:pPr>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Kaulų ir raumenų skausmas</w:t>
      </w:r>
    </w:p>
    <w:p w14:paraId="325A2C73" w14:textId="0F261623"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Pranešama apie kaulų, sąnarių ir (arba) raumenų skausmą pacientams, vartojantiems bisfosfonatų. Po vaisto patekimo į rinką šie simptomai retais atvejais buvo sunkūs ir (arba) sukėlė negalią (žr. 4.8 skyrių). Simptomų pradžios laikas įvairus: nuo vienos paros iki kelių mėnesių pradėjus gydymą. Daugeliui pacientų simptomai palengvėjo nutraukus gydymą. Pakeitus vaistą (tuo pačiu vaist</w:t>
      </w:r>
      <w:r w:rsidR="00A75E0F">
        <w:rPr>
          <w:rFonts w:ascii="Times New Roman" w:eastAsia="Times New Roman" w:hAnsi="Times New Roman" w:cs="Times New Roman"/>
        </w:rPr>
        <w:t>iniu preparatu</w:t>
      </w:r>
      <w:r w:rsidRPr="00857D68">
        <w:rPr>
          <w:rFonts w:ascii="Times New Roman" w:eastAsia="Times New Roman" w:hAnsi="Times New Roman" w:cs="Times New Roman"/>
        </w:rPr>
        <w:t xml:space="preserve"> arba kitu bisfosfonatu) simptomai atsinaujino.</w:t>
      </w:r>
    </w:p>
    <w:p w14:paraId="4867FE5C" w14:textId="77777777" w:rsidR="00030D15" w:rsidRPr="00857D68" w:rsidRDefault="00030D15" w:rsidP="00030D15">
      <w:pPr>
        <w:spacing w:after="0" w:line="240" w:lineRule="auto"/>
        <w:rPr>
          <w:rFonts w:ascii="Times New Roman" w:eastAsia="Times New Roman" w:hAnsi="Times New Roman" w:cs="Times New Roman"/>
        </w:rPr>
      </w:pPr>
    </w:p>
    <w:p w14:paraId="5895ED4E" w14:textId="77777777" w:rsidR="00030D15" w:rsidRPr="00857D68" w:rsidRDefault="00030D15" w:rsidP="00030D15">
      <w:pPr>
        <w:spacing w:after="0" w:line="240" w:lineRule="auto"/>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Atipiniai šlaunikaulio lūžiai</w:t>
      </w:r>
    </w:p>
    <w:p w14:paraId="0ABDBA08" w14:textId="72AECB70"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Gydymo bisfosfonatais metu buvo pranešta apie atipinius pogūbrinius arba diafizės srities šlaunikaulio lūžius, ypač ilgai nuo osteoporozės gydytiems pacientams. Šie skersiniai arba trumpi įstrižiniai lūžiai gali pasireikšti bet kurioje šlaunikaulio dalyje: nuo šiek tiek žemiau šlaunikaulio gumburo esančios </w:t>
      </w:r>
      <w:r w:rsidRPr="00857D68">
        <w:rPr>
          <w:rFonts w:ascii="Times New Roman" w:eastAsia="Times New Roman" w:hAnsi="Times New Roman" w:cs="Times New Roman"/>
        </w:rPr>
        <w:lastRenderedPageBreak/>
        <w:t>srities iki virškrumplinės keteros. Šie lūžiai ištinka po nedidelės traumos arba be jokios traumos, o kai kurie pacientai prieš pasireiškiant pilnam šlaunikaulio lūžiui, kelias savaites arba mėnesius jaučia šlaunies ar kirkšnies skausmą, dažnai susijusį su stresinių lūžiui būdingais radiologiniais požymiais. Dažnai diagnozuojami lūžiai abiejose pusėse, todėl pacientams, kurie gydydamiesi bisfosfonatais patiria šlaunikaulio kūno lūžį, reikia ištirti priešingos pusės šlaunikaulį. Be to, buvo pranešta apie blogą tokių lūžių gijimą. Pacientams, kuriems įtariamas atipinis šlaunikaulio lūžis, reikia įvertinti gydymo bisfosfonatais nutraukimo galimybę, kol pacientui bus įvertintas individualus naudos ir rizikos santykis.</w:t>
      </w:r>
    </w:p>
    <w:p w14:paraId="2B967F94"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7A90CDC" w14:textId="77777777" w:rsidR="00030D15"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Pacientui reikia patarti, kad gydymo bisfosfonatais metu praneštų apie bet kokį šlaunies, klubo ar kirkšnies skausmą, ir visi pacientai, kuriems pasireiškia tokie simptomai, turi būti pilnai ištirti, įvertinant, ar nėra nepilno šlaunikaulio lūžio.</w:t>
      </w:r>
    </w:p>
    <w:p w14:paraId="510323DD" w14:textId="77777777" w:rsidR="00873B83" w:rsidRDefault="00873B83" w:rsidP="00030D15">
      <w:pPr>
        <w:spacing w:after="0" w:line="240" w:lineRule="auto"/>
        <w:rPr>
          <w:rFonts w:ascii="Times New Roman" w:eastAsia="Times New Roman" w:hAnsi="Times New Roman" w:cs="Times New Roman"/>
        </w:rPr>
      </w:pPr>
    </w:p>
    <w:p w14:paraId="04E70B2F" w14:textId="0950E677" w:rsidR="00873B83" w:rsidRPr="00857D68" w:rsidRDefault="00E129BD" w:rsidP="006E0B2C">
      <w:pPr>
        <w:spacing w:after="0" w:line="240" w:lineRule="auto"/>
        <w:rPr>
          <w:rFonts w:ascii="Times New Roman" w:eastAsia="Times New Roman" w:hAnsi="Times New Roman" w:cs="Times New Roman"/>
        </w:rPr>
      </w:pPr>
      <w:r w:rsidRPr="00DC4AB7">
        <w:rPr>
          <w:rFonts w:ascii="Times New Roman" w:eastAsia="Times New Roman" w:hAnsi="Times New Roman" w:cs="Times New Roman"/>
          <w:u w:val="single"/>
        </w:rPr>
        <w:t>Atipiniai kitų kaulų lūžiai</w:t>
      </w:r>
      <w:r w:rsidRPr="00E129BD">
        <w:rPr>
          <w:rFonts w:ascii="Times New Roman" w:eastAsia="Times New Roman" w:hAnsi="Times New Roman" w:cs="Times New Roman"/>
        </w:rPr>
        <w:br/>
      </w:r>
      <w:r w:rsidR="004F37CF">
        <w:rPr>
          <w:rFonts w:ascii="Times New Roman" w:eastAsia="Times New Roman" w:hAnsi="Times New Roman" w:cs="Times New Roman"/>
        </w:rPr>
        <w:t>P</w:t>
      </w:r>
      <w:r w:rsidR="006E0B2C" w:rsidRPr="006E0B2C">
        <w:rPr>
          <w:rFonts w:ascii="Times New Roman" w:eastAsia="Times New Roman" w:hAnsi="Times New Roman" w:cs="Times New Roman"/>
        </w:rPr>
        <w:t>acientams</w:t>
      </w:r>
      <w:r w:rsidR="004F37CF">
        <w:rPr>
          <w:rFonts w:ascii="Times New Roman" w:eastAsia="Times New Roman" w:hAnsi="Times New Roman" w:cs="Times New Roman"/>
        </w:rPr>
        <w:t>, skiriant ilgalaikį gydymą</w:t>
      </w:r>
      <w:r w:rsidR="006E0B2C" w:rsidRPr="006E0B2C">
        <w:rPr>
          <w:rFonts w:ascii="Times New Roman" w:eastAsia="Times New Roman" w:hAnsi="Times New Roman" w:cs="Times New Roman"/>
        </w:rPr>
        <w:t xml:space="preserve"> taip pat buvo pranešta apie </w:t>
      </w:r>
      <w:r w:rsidR="006E0B2C">
        <w:rPr>
          <w:rFonts w:ascii="Times New Roman" w:eastAsia="Times New Roman" w:hAnsi="Times New Roman" w:cs="Times New Roman"/>
        </w:rPr>
        <w:t>a</w:t>
      </w:r>
      <w:r w:rsidR="006E0B2C" w:rsidRPr="006E0B2C">
        <w:rPr>
          <w:rFonts w:ascii="Times New Roman" w:eastAsia="Times New Roman" w:hAnsi="Times New Roman" w:cs="Times New Roman"/>
        </w:rPr>
        <w:t xml:space="preserve">tipinius kitų kaulų, pavyzdžiui, alkūnkaulio ir blauzdikaulio, lūžius. Kaip ir </w:t>
      </w:r>
      <w:r w:rsidR="006E0B2C">
        <w:rPr>
          <w:rFonts w:ascii="Times New Roman" w:eastAsia="Times New Roman" w:hAnsi="Times New Roman" w:cs="Times New Roman"/>
        </w:rPr>
        <w:t>a</w:t>
      </w:r>
      <w:r w:rsidR="006E0B2C" w:rsidRPr="006E0B2C">
        <w:rPr>
          <w:rFonts w:ascii="Times New Roman" w:eastAsia="Times New Roman" w:hAnsi="Times New Roman" w:cs="Times New Roman"/>
        </w:rPr>
        <w:t>tipinių šlaunikaulio lūžių atveju, šie lūžiai įvyksta po</w:t>
      </w:r>
      <w:r w:rsidR="001949AF">
        <w:rPr>
          <w:rFonts w:ascii="Times New Roman" w:eastAsia="Times New Roman" w:hAnsi="Times New Roman" w:cs="Times New Roman"/>
        </w:rPr>
        <w:t xml:space="preserve"> nedidelės</w:t>
      </w:r>
      <w:r w:rsidR="006E0B2C" w:rsidRPr="006E0B2C">
        <w:rPr>
          <w:rFonts w:ascii="Times New Roman" w:eastAsia="Times New Roman" w:hAnsi="Times New Roman" w:cs="Times New Roman"/>
        </w:rPr>
        <w:t xml:space="preserve"> traumos arba </w:t>
      </w:r>
      <w:r w:rsidR="00201F27">
        <w:rPr>
          <w:rFonts w:ascii="Times New Roman" w:eastAsia="Times New Roman" w:hAnsi="Times New Roman" w:cs="Times New Roman"/>
        </w:rPr>
        <w:t>be jokios traumos</w:t>
      </w:r>
      <w:r w:rsidR="006E0B2C" w:rsidRPr="006E0B2C">
        <w:rPr>
          <w:rFonts w:ascii="Times New Roman" w:eastAsia="Times New Roman" w:hAnsi="Times New Roman" w:cs="Times New Roman"/>
        </w:rPr>
        <w:t xml:space="preserve">, o kai kurie pacientai patiria prodrominį skausmą prieš </w:t>
      </w:r>
      <w:r w:rsidR="006E0B2C">
        <w:rPr>
          <w:rFonts w:ascii="Times New Roman" w:eastAsia="Times New Roman" w:hAnsi="Times New Roman" w:cs="Times New Roman"/>
        </w:rPr>
        <w:t>įvykstant lū</w:t>
      </w:r>
      <w:r w:rsidR="00201F27">
        <w:rPr>
          <w:rFonts w:ascii="Times New Roman" w:eastAsia="Times New Roman" w:hAnsi="Times New Roman" w:cs="Times New Roman"/>
        </w:rPr>
        <w:t>ž</w:t>
      </w:r>
      <w:r w:rsidR="006E0B2C">
        <w:rPr>
          <w:rFonts w:ascii="Times New Roman" w:eastAsia="Times New Roman" w:hAnsi="Times New Roman" w:cs="Times New Roman"/>
        </w:rPr>
        <w:t>iui</w:t>
      </w:r>
      <w:r w:rsidR="006E0B2C" w:rsidRPr="006E0B2C">
        <w:rPr>
          <w:rFonts w:ascii="Times New Roman" w:eastAsia="Times New Roman" w:hAnsi="Times New Roman" w:cs="Times New Roman"/>
        </w:rPr>
        <w:t>. Kai lūžta alkūnkaulis, tai gali būti susiję su pasikartojančia stresine apkrova, susijusia su ilgalaikiu vaikščiojimo priemonių naudojimu.</w:t>
      </w:r>
    </w:p>
    <w:p w14:paraId="3B5F2153" w14:textId="77777777" w:rsidR="00030D15" w:rsidRPr="00857D68" w:rsidRDefault="00030D15" w:rsidP="00030D15">
      <w:pPr>
        <w:spacing w:after="0" w:line="240" w:lineRule="auto"/>
        <w:rPr>
          <w:rFonts w:ascii="Times New Roman" w:eastAsia="Times New Roman" w:hAnsi="Times New Roman" w:cs="Times New Roman"/>
        </w:rPr>
      </w:pPr>
    </w:p>
    <w:p w14:paraId="4B8E38FB" w14:textId="77777777" w:rsidR="00030D15" w:rsidRPr="00DC4AB7" w:rsidRDefault="00030D15" w:rsidP="00030D15">
      <w:pPr>
        <w:spacing w:after="0" w:line="240" w:lineRule="auto"/>
        <w:rPr>
          <w:rFonts w:ascii="Times New Roman" w:eastAsia="Times New Roman" w:hAnsi="Times New Roman" w:cs="Times New Roman"/>
          <w:u w:val="single"/>
        </w:rPr>
      </w:pPr>
      <w:r w:rsidRPr="00DC4AB7">
        <w:rPr>
          <w:rFonts w:ascii="Times New Roman" w:eastAsia="Times New Roman" w:hAnsi="Times New Roman" w:cs="Times New Roman"/>
          <w:u w:val="single"/>
        </w:rPr>
        <w:t>Odos reakcijos</w:t>
      </w:r>
    </w:p>
    <w:p w14:paraId="2A2CC822" w14:textId="36BF79CE"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Vaistui patekus į rinką, buvo gauta retų pranešimų apie sunkias odos reakcijas, įskaitant </w:t>
      </w:r>
      <w:r w:rsidRPr="00857D68">
        <w:rPr>
          <w:rFonts w:ascii="Times New Roman" w:eastAsia="Times New Roman" w:hAnsi="Times New Roman" w:cs="Times New Roman"/>
          <w:i/>
        </w:rPr>
        <w:t>Stivenso – Džonsono</w:t>
      </w:r>
      <w:r w:rsidRPr="00857D68">
        <w:rPr>
          <w:rFonts w:ascii="Times New Roman" w:eastAsia="Times New Roman" w:hAnsi="Times New Roman" w:cs="Times New Roman"/>
        </w:rPr>
        <w:t xml:space="preserve"> (</w:t>
      </w:r>
      <w:r w:rsidRPr="00857D68">
        <w:rPr>
          <w:rFonts w:ascii="Times New Roman" w:eastAsia="Times New Roman" w:hAnsi="Times New Roman" w:cs="Times New Roman"/>
          <w:i/>
        </w:rPr>
        <w:t>Stevens</w:t>
      </w:r>
      <w:r w:rsidR="00857D68">
        <w:rPr>
          <w:rFonts w:ascii="Times New Roman" w:eastAsia="Times New Roman" w:hAnsi="Times New Roman" w:cs="Times New Roman"/>
          <w:i/>
        </w:rPr>
        <w:t>-</w:t>
      </w:r>
      <w:r w:rsidRPr="00857D68">
        <w:rPr>
          <w:rFonts w:ascii="Times New Roman" w:eastAsia="Times New Roman" w:hAnsi="Times New Roman" w:cs="Times New Roman"/>
          <w:i/>
        </w:rPr>
        <w:t>Johnson</w:t>
      </w:r>
      <w:r w:rsidRPr="00857D68">
        <w:rPr>
          <w:rFonts w:ascii="Times New Roman" w:eastAsia="Times New Roman" w:hAnsi="Times New Roman" w:cs="Times New Roman"/>
        </w:rPr>
        <w:t xml:space="preserve">) sindromą ir toksinę epidermio nekrozę. </w:t>
      </w:r>
    </w:p>
    <w:p w14:paraId="130676C1" w14:textId="77777777" w:rsidR="00030D15" w:rsidRPr="00857D68" w:rsidRDefault="00030D15" w:rsidP="00030D15">
      <w:pPr>
        <w:spacing w:after="0" w:line="240" w:lineRule="auto"/>
        <w:rPr>
          <w:rFonts w:ascii="Times New Roman" w:eastAsia="Times New Roman" w:hAnsi="Times New Roman" w:cs="Times New Roman"/>
        </w:rPr>
      </w:pPr>
    </w:p>
    <w:p w14:paraId="0833FA2C" w14:textId="77777777" w:rsidR="00030D15" w:rsidRPr="00857D68" w:rsidRDefault="00030D15" w:rsidP="00030D15">
      <w:pPr>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Inkstų sutrikimas</w:t>
      </w:r>
    </w:p>
    <w:p w14:paraId="4D11119F"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Alendrono rūgšties tablečių nerekomenduojama vartoti pacientams, sergantiems inkstų sutrikimu, kai GFG yra mažesnis nei 35 ml/min. (žr. 4.2 skyrių). </w:t>
      </w:r>
    </w:p>
    <w:p w14:paraId="22DDDDFA" w14:textId="77777777" w:rsidR="00030D15" w:rsidRPr="00857D68" w:rsidRDefault="00030D15" w:rsidP="00030D15">
      <w:pPr>
        <w:spacing w:after="0" w:line="240" w:lineRule="auto"/>
        <w:rPr>
          <w:rFonts w:ascii="Times New Roman" w:eastAsia="Times New Roman" w:hAnsi="Times New Roman" w:cs="Times New Roman"/>
        </w:rPr>
      </w:pPr>
    </w:p>
    <w:p w14:paraId="349971CC" w14:textId="77777777" w:rsidR="00030D15" w:rsidRPr="00857D68" w:rsidRDefault="00030D15" w:rsidP="00030D15">
      <w:pPr>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Kaulų ir mineralų metabolizmas</w:t>
      </w:r>
    </w:p>
    <w:p w14:paraId="7DAF7EDD" w14:textId="22E4425E"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Reikia apsvarstyti, ar osteoporozę galėjo sukelti ne estrogenų trūkumas</w:t>
      </w:r>
      <w:r w:rsidR="00257292">
        <w:rPr>
          <w:rFonts w:ascii="Times New Roman" w:eastAsia="Times New Roman" w:hAnsi="Times New Roman" w:cs="Times New Roman"/>
        </w:rPr>
        <w:t xml:space="preserve"> ir</w:t>
      </w:r>
      <w:r w:rsidRPr="00857D68">
        <w:rPr>
          <w:rFonts w:ascii="Times New Roman" w:eastAsia="Times New Roman" w:hAnsi="Times New Roman" w:cs="Times New Roman"/>
        </w:rPr>
        <w:t xml:space="preserve"> amžius.</w:t>
      </w:r>
    </w:p>
    <w:p w14:paraId="50A2E9BB" w14:textId="77777777" w:rsidR="00030D15" w:rsidRPr="00857D68" w:rsidRDefault="00030D15" w:rsidP="00030D15">
      <w:pPr>
        <w:spacing w:after="0" w:line="240" w:lineRule="auto"/>
        <w:rPr>
          <w:rFonts w:ascii="Times New Roman" w:eastAsia="Times New Roman" w:hAnsi="Times New Roman" w:cs="Times New Roman"/>
        </w:rPr>
      </w:pPr>
    </w:p>
    <w:p w14:paraId="14ED981B" w14:textId="179E7C2C"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Prieš pradedant gydyti alendrono rūgštimi reikia koreguoti hipokalcemiją (žr. 4.3 skyrių). Taip pat</w:t>
      </w:r>
      <w:r w:rsidR="00670963">
        <w:rPr>
          <w:rFonts w:ascii="Times New Roman" w:eastAsia="Times New Roman" w:hAnsi="Times New Roman" w:cs="Times New Roman"/>
        </w:rPr>
        <w:t>,</w:t>
      </w:r>
      <w:r w:rsidRPr="00857D68">
        <w:rPr>
          <w:rFonts w:ascii="Times New Roman" w:eastAsia="Times New Roman" w:hAnsi="Times New Roman" w:cs="Times New Roman"/>
        </w:rPr>
        <w:t xml:space="preserve"> </w:t>
      </w:r>
      <w:r w:rsidR="00257292">
        <w:rPr>
          <w:rFonts w:ascii="Times New Roman" w:eastAsia="Times New Roman" w:hAnsi="Times New Roman" w:cs="Times New Roman"/>
        </w:rPr>
        <w:t xml:space="preserve">prieš </w:t>
      </w:r>
      <w:r w:rsidR="00670963">
        <w:rPr>
          <w:rFonts w:ascii="Times New Roman" w:eastAsia="Times New Roman" w:hAnsi="Times New Roman" w:cs="Times New Roman"/>
        </w:rPr>
        <w:t xml:space="preserve">pradedant gydyti šiuo vaistiniu preparatu, </w:t>
      </w:r>
      <w:r w:rsidRPr="00857D68">
        <w:rPr>
          <w:rFonts w:ascii="Times New Roman" w:eastAsia="Times New Roman" w:hAnsi="Times New Roman" w:cs="Times New Roman"/>
        </w:rPr>
        <w:t xml:space="preserve">reikia veiksmingai gydyti kitus sutrikimus, turinčius įtakos mineralų metabolizmui (pvz., vitamino D trūkumas ir </w:t>
      </w:r>
      <w:bookmarkStart w:id="1" w:name="OLE_LINK1"/>
      <w:bookmarkStart w:id="2" w:name="OLE_LINK2"/>
      <w:r w:rsidRPr="00857D68">
        <w:rPr>
          <w:rFonts w:ascii="Times New Roman" w:eastAsia="Times New Roman" w:hAnsi="Times New Roman" w:cs="Times New Roman"/>
        </w:rPr>
        <w:t>hipoparatirozė</w:t>
      </w:r>
      <w:bookmarkEnd w:id="1"/>
      <w:bookmarkEnd w:id="2"/>
      <w:r w:rsidRPr="00857D68">
        <w:rPr>
          <w:rFonts w:ascii="Times New Roman" w:eastAsia="Times New Roman" w:hAnsi="Times New Roman" w:cs="Times New Roman"/>
        </w:rPr>
        <w:t>). Šiais sutrikimais sergančius pacientus gydant alendrono rūgštimi, reikia stebėti kalcio kraujo serume koncentraciją ir hipokalcemijos simptomus.</w:t>
      </w:r>
    </w:p>
    <w:p w14:paraId="79F1103B" w14:textId="77777777" w:rsidR="00030D15" w:rsidRPr="00857D68" w:rsidRDefault="00030D15" w:rsidP="00030D15">
      <w:pPr>
        <w:spacing w:after="0" w:line="240" w:lineRule="auto"/>
        <w:rPr>
          <w:rFonts w:ascii="Times New Roman" w:eastAsia="Times New Roman" w:hAnsi="Times New Roman" w:cs="Times New Roman"/>
        </w:rPr>
      </w:pPr>
    </w:p>
    <w:p w14:paraId="3008B221"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Dėl teigiamo alendrono rūgšties poveikio gali padidėti kaulų mineralų koncentracija ir sumažėti kalcio kraujo serume bei fosfatų, ypač gliukokortikoidų vartojantiems pacientams, kuriems yra sumažėjęs kalcio pasisavinimas. Tai dažniausiai būna nedideli ir besimptomiai pokyčiai. Tačiau retais atvejais pranešama apie simptominę hipokalcemiją, kuri kartais būdavo sunki ir dažniau pasireikšdavo esant predisponuojančioms būklėms (pvz., hipoparatirozei, vitamino D trūkumui ir kalcio malabsorbcijai). </w:t>
      </w:r>
    </w:p>
    <w:p w14:paraId="58A657DB" w14:textId="77777777" w:rsidR="00030D15" w:rsidRPr="00857D68" w:rsidRDefault="00030D15" w:rsidP="00030D15">
      <w:pPr>
        <w:spacing w:after="0" w:line="240" w:lineRule="auto"/>
        <w:rPr>
          <w:rFonts w:ascii="Times New Roman" w:eastAsia="Times New Roman" w:hAnsi="Times New Roman" w:cs="Times New Roman"/>
        </w:rPr>
      </w:pPr>
    </w:p>
    <w:p w14:paraId="00854B6C"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Ypač svarbu užtikrinti, kad kalcį ir vitaminą D tinkamai vartotų pacientai, gydomi gliukokortikoidais.</w:t>
      </w:r>
    </w:p>
    <w:p w14:paraId="14AB2011" w14:textId="77777777" w:rsidR="00030D15" w:rsidRPr="00857D68" w:rsidRDefault="00030D15" w:rsidP="00030D15">
      <w:pPr>
        <w:spacing w:after="0" w:line="240" w:lineRule="auto"/>
        <w:rPr>
          <w:rFonts w:ascii="Times New Roman" w:eastAsia="Times New Roman" w:hAnsi="Times New Roman" w:cs="Times New Roman"/>
        </w:rPr>
      </w:pPr>
    </w:p>
    <w:p w14:paraId="03F9D7A4" w14:textId="77777777" w:rsidR="00030D15" w:rsidRDefault="00030D15" w:rsidP="00030D15">
      <w:pPr>
        <w:spacing w:after="0" w:line="240" w:lineRule="auto"/>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Pagalbinės medžiagos</w:t>
      </w:r>
    </w:p>
    <w:p w14:paraId="0D6CC5E5" w14:textId="77777777" w:rsidR="00410980" w:rsidRDefault="00410980" w:rsidP="00030D15">
      <w:pPr>
        <w:spacing w:after="0" w:line="240" w:lineRule="auto"/>
        <w:rPr>
          <w:rFonts w:ascii="Times New Roman" w:eastAsia="Times New Roman" w:hAnsi="Times New Roman" w:cs="Times New Roman"/>
          <w:szCs w:val="20"/>
          <w:u w:val="single"/>
        </w:rPr>
      </w:pPr>
    </w:p>
    <w:p w14:paraId="5C260DFF" w14:textId="79BE839A" w:rsidR="00410980" w:rsidRPr="00410980" w:rsidRDefault="00410980" w:rsidP="00030D15">
      <w:pPr>
        <w:spacing w:after="0" w:line="240" w:lineRule="auto"/>
        <w:rPr>
          <w:rFonts w:ascii="Times New Roman" w:eastAsia="Times New Roman" w:hAnsi="Times New Roman" w:cs="Times New Roman"/>
          <w:szCs w:val="20"/>
          <w:u w:val="single"/>
        </w:rPr>
      </w:pPr>
      <w:r>
        <w:rPr>
          <w:rFonts w:ascii="Times New Roman" w:eastAsia="Times New Roman" w:hAnsi="Times New Roman" w:cs="Times New Roman"/>
          <w:szCs w:val="20"/>
          <w:u w:val="single"/>
        </w:rPr>
        <w:t>Laktozė</w:t>
      </w:r>
    </w:p>
    <w:p w14:paraId="22D254AE" w14:textId="02DDA5EA"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Šio vaistinio preparato sudėtyje yra laktozės. Šio vaistinio preparato negalima vartoti pacientams, kuriems nustatytas retas paveldimas sutrikimas – galaktozės netoleravimas, visiškas laktazės stygius arba gliukozės ir galaktozės malabsorbcija.</w:t>
      </w:r>
    </w:p>
    <w:p w14:paraId="0A247038" w14:textId="72622707" w:rsidR="00BA68CB" w:rsidRPr="00857D68" w:rsidRDefault="00BA68CB" w:rsidP="00030D15">
      <w:pPr>
        <w:spacing w:after="0" w:line="240" w:lineRule="auto"/>
        <w:rPr>
          <w:rFonts w:ascii="Times New Roman" w:eastAsia="Times New Roman" w:hAnsi="Times New Roman" w:cs="Times New Roman"/>
        </w:rPr>
      </w:pPr>
    </w:p>
    <w:p w14:paraId="3A802D2E" w14:textId="1C41738C" w:rsidR="00BA68CB" w:rsidRPr="00E05DEC" w:rsidRDefault="00BA68CB" w:rsidP="00030D15">
      <w:pPr>
        <w:spacing w:after="0" w:line="240" w:lineRule="auto"/>
        <w:rPr>
          <w:rFonts w:ascii="Times New Roman" w:eastAsia="Times New Roman" w:hAnsi="Times New Roman" w:cs="Times New Roman"/>
          <w:u w:val="single"/>
        </w:rPr>
      </w:pPr>
      <w:r w:rsidRPr="00E05DEC">
        <w:rPr>
          <w:rFonts w:ascii="Times New Roman" w:eastAsia="Times New Roman" w:hAnsi="Times New Roman" w:cs="Times New Roman"/>
          <w:u w:val="single"/>
        </w:rPr>
        <w:t>Natris</w:t>
      </w:r>
    </w:p>
    <w:p w14:paraId="15FA75F0" w14:textId="24B5E2AD" w:rsidR="00BA68CB" w:rsidRPr="00857D68" w:rsidRDefault="007C2D32" w:rsidP="003616E2">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Š</w:t>
      </w:r>
      <w:r w:rsidR="00BA68CB" w:rsidRPr="00857D68">
        <w:rPr>
          <w:rFonts w:ascii="Times New Roman" w:eastAsia="Times New Roman" w:hAnsi="Times New Roman" w:cs="Times New Roman"/>
        </w:rPr>
        <w:t>io vaistinio preparato tabletėje yra mažiau kaip 1</w:t>
      </w:r>
      <w:r w:rsidRPr="00857D68">
        <w:rPr>
          <w:rFonts w:ascii="Times New Roman" w:eastAsia="Times New Roman" w:hAnsi="Times New Roman" w:cs="Times New Roman"/>
        </w:rPr>
        <w:t> </w:t>
      </w:r>
      <w:r w:rsidR="00BA68CB" w:rsidRPr="00857D68">
        <w:rPr>
          <w:rFonts w:ascii="Times New Roman" w:eastAsia="Times New Roman" w:hAnsi="Times New Roman" w:cs="Times New Roman"/>
        </w:rPr>
        <w:t>mmol (23</w:t>
      </w:r>
      <w:r w:rsidRPr="00857D68">
        <w:rPr>
          <w:rFonts w:ascii="Times New Roman" w:eastAsia="Times New Roman" w:hAnsi="Times New Roman" w:cs="Times New Roman"/>
        </w:rPr>
        <w:t> </w:t>
      </w:r>
      <w:r w:rsidR="00BA68CB" w:rsidRPr="00857D68">
        <w:rPr>
          <w:rFonts w:ascii="Times New Roman" w:eastAsia="Times New Roman" w:hAnsi="Times New Roman" w:cs="Times New Roman"/>
        </w:rPr>
        <w:t xml:space="preserve">mg) </w:t>
      </w:r>
      <w:r w:rsidRPr="00857D68">
        <w:rPr>
          <w:rFonts w:ascii="Times New Roman" w:eastAsia="Times New Roman" w:hAnsi="Times New Roman" w:cs="Times New Roman"/>
        </w:rPr>
        <w:t>natrio</w:t>
      </w:r>
      <w:r w:rsidR="003616E2" w:rsidRPr="00857D68">
        <w:rPr>
          <w:rFonts w:ascii="Times New Roman" w:eastAsia="Times New Roman" w:hAnsi="Times New Roman" w:cs="Times New Roman"/>
        </w:rPr>
        <w:t>, t. y. jis beveik neturi reikšmės.</w:t>
      </w:r>
    </w:p>
    <w:p w14:paraId="7A076BD7" w14:textId="77777777" w:rsidR="00030D15" w:rsidRPr="00857D68" w:rsidRDefault="00030D15" w:rsidP="00030D15">
      <w:pPr>
        <w:spacing w:after="0" w:line="240" w:lineRule="auto"/>
        <w:rPr>
          <w:rFonts w:ascii="Times New Roman" w:eastAsia="Times New Roman" w:hAnsi="Times New Roman" w:cs="Times New Roman"/>
        </w:rPr>
      </w:pPr>
    </w:p>
    <w:p w14:paraId="09C10A63"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4.5</w:t>
      </w:r>
      <w:r w:rsidRPr="00857D68">
        <w:rPr>
          <w:rFonts w:ascii="Times New Roman" w:eastAsia="Times New Roman" w:hAnsi="Times New Roman" w:cs="Times New Roman"/>
          <w:b/>
        </w:rPr>
        <w:tab/>
        <w:t>Sąveika su kitais vaistiniais preparatais ir kitokia sąveika</w:t>
      </w:r>
    </w:p>
    <w:p w14:paraId="4DB829CB" w14:textId="77777777" w:rsidR="00030D15" w:rsidRPr="00857D68" w:rsidRDefault="00030D15" w:rsidP="00030D15">
      <w:pPr>
        <w:spacing w:after="0" w:line="240" w:lineRule="auto"/>
        <w:rPr>
          <w:rFonts w:ascii="Times New Roman" w:eastAsia="Times New Roman" w:hAnsi="Times New Roman" w:cs="Times New Roman"/>
        </w:rPr>
      </w:pPr>
    </w:p>
    <w:p w14:paraId="2D282292"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Kartu vartojamas maistas ir gėrimai (taip pat ir mineralinis vanduo), kalcio papildai, rūgštingumą mažinantys preparatai ir kai kurie per burną vartojami preparatai gali turėti įtakos alendrono rūgšties absorbcijai. Todėl pacientai alendrono rūgšties tabletę turi išgerti mažiausiai 30 minučių iki bet kokio kito per burną vartojamojo vaisto pavartojimo (žr. 4.2 ir 5.2 skyrius).</w:t>
      </w:r>
    </w:p>
    <w:p w14:paraId="77C2FC00" w14:textId="77777777" w:rsidR="00030D15" w:rsidRPr="00857D68" w:rsidRDefault="00030D15" w:rsidP="00030D15">
      <w:pPr>
        <w:spacing w:after="0" w:line="240" w:lineRule="auto"/>
        <w:rPr>
          <w:rFonts w:ascii="Times New Roman" w:eastAsia="Times New Roman" w:hAnsi="Times New Roman" w:cs="Times New Roman"/>
        </w:rPr>
      </w:pPr>
    </w:p>
    <w:p w14:paraId="0E4A785A"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Kitos kliniškai reikšmingos vaistų sąveikos nepastebėta. Daugelis klinikinių tyrimų metu alendrono rūgštimi gydomų pacientų vartojo estrogenus (į makštį, po oda arba per burną). Jokių nepageidaujamų reiškinių, susijusių su vaistų vartojimu, nenustatyta.</w:t>
      </w:r>
    </w:p>
    <w:p w14:paraId="59F7BAFB" w14:textId="77777777" w:rsidR="00030D15" w:rsidRPr="00857D68" w:rsidRDefault="00030D15" w:rsidP="00030D15">
      <w:pPr>
        <w:spacing w:after="0" w:line="240" w:lineRule="auto"/>
        <w:rPr>
          <w:rFonts w:ascii="Times New Roman" w:eastAsia="Times New Roman" w:hAnsi="Times New Roman" w:cs="Times New Roman"/>
        </w:rPr>
      </w:pPr>
    </w:p>
    <w:p w14:paraId="0FCD286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NVNU vartojimas yra susijęs su virškinamojo trakto dirginimu, todėl juos reikia atsargiai vartoti kartu su alendronatu.</w:t>
      </w:r>
    </w:p>
    <w:p w14:paraId="4C9466AA" w14:textId="77777777" w:rsidR="00030D15" w:rsidRPr="00857D68" w:rsidRDefault="00030D15" w:rsidP="00030D15">
      <w:pPr>
        <w:spacing w:after="0" w:line="240" w:lineRule="auto"/>
        <w:rPr>
          <w:rFonts w:ascii="Times New Roman" w:eastAsia="Times New Roman" w:hAnsi="Times New Roman" w:cs="Times New Roman"/>
        </w:rPr>
      </w:pPr>
    </w:p>
    <w:p w14:paraId="743360C5"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Nors specifinių vaistų sąveikos tyrimų neatlikta, klinikinių tyrimų metu alendrono rūgštis buvo vartojama su daugeliu dažniausiai skiriamų vaistų. Šių tyrimų metu klinikinės nepageidaujamos sąveikos neįrodyta.</w:t>
      </w:r>
    </w:p>
    <w:p w14:paraId="72145DAC" w14:textId="77777777" w:rsidR="00030D15" w:rsidRPr="00857D68" w:rsidRDefault="00030D15" w:rsidP="00030D15">
      <w:pPr>
        <w:spacing w:after="0" w:line="240" w:lineRule="auto"/>
        <w:rPr>
          <w:rFonts w:ascii="Times New Roman" w:eastAsia="Times New Roman" w:hAnsi="Times New Roman" w:cs="Times New Roman"/>
        </w:rPr>
      </w:pPr>
    </w:p>
    <w:p w14:paraId="125A9649" w14:textId="77777777" w:rsidR="00030D15" w:rsidRPr="00857D68" w:rsidRDefault="00030D15" w:rsidP="00030D15">
      <w:pPr>
        <w:keepNext/>
        <w:tabs>
          <w:tab w:val="left" w:pos="567"/>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b/>
        </w:rPr>
        <w:t>4.6</w:t>
      </w:r>
      <w:r w:rsidRPr="00857D68">
        <w:rPr>
          <w:rFonts w:ascii="Times New Roman" w:eastAsia="Times New Roman" w:hAnsi="Times New Roman" w:cs="Times New Roman"/>
          <w:b/>
        </w:rPr>
        <w:tab/>
        <w:t xml:space="preserve">Vaisingumas, </w:t>
      </w:r>
      <w:r w:rsidRPr="00857D68">
        <w:rPr>
          <w:rFonts w:ascii="Times New Roman" w:eastAsia="Times New Roman" w:hAnsi="Times New Roman" w:cs="Times New Roman"/>
          <w:b/>
          <w:bCs/>
        </w:rPr>
        <w:t>nėštumo ir žindymo laikotarpis</w:t>
      </w:r>
    </w:p>
    <w:p w14:paraId="3844194E" w14:textId="77777777" w:rsidR="00030D15" w:rsidRPr="00857D68" w:rsidRDefault="00030D15" w:rsidP="00030D15">
      <w:pPr>
        <w:keepNext/>
        <w:tabs>
          <w:tab w:val="left" w:pos="567"/>
        </w:tabs>
        <w:spacing w:after="0" w:line="240" w:lineRule="auto"/>
        <w:rPr>
          <w:rFonts w:ascii="Times New Roman" w:eastAsia="Times New Roman" w:hAnsi="Times New Roman" w:cs="Times New Roman"/>
        </w:rPr>
      </w:pPr>
    </w:p>
    <w:p w14:paraId="278B9450" w14:textId="77777777" w:rsidR="00030D15" w:rsidRPr="00857D68" w:rsidRDefault="00030D15" w:rsidP="00030D15">
      <w:pPr>
        <w:spacing w:after="0" w:line="240" w:lineRule="auto"/>
        <w:ind w:left="567" w:hanging="567"/>
        <w:outlineLvl w:val="0"/>
        <w:rPr>
          <w:rFonts w:ascii="Times New Roman" w:eastAsia="Times New Roman" w:hAnsi="Times New Roman" w:cs="Times New Roman"/>
          <w:u w:val="single"/>
        </w:rPr>
      </w:pPr>
      <w:r w:rsidRPr="00857D68">
        <w:rPr>
          <w:rFonts w:ascii="Times New Roman" w:eastAsia="Times New Roman" w:hAnsi="Times New Roman" w:cs="Times New Roman"/>
          <w:u w:val="single"/>
        </w:rPr>
        <w:t>Nėštumas</w:t>
      </w:r>
    </w:p>
    <w:p w14:paraId="30C585C6" w14:textId="70C5C4D0"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Duomen</w:t>
      </w:r>
      <w:r w:rsidR="00BA68CB" w:rsidRPr="00857D68">
        <w:rPr>
          <w:rFonts w:ascii="Times New Roman" w:eastAsia="Times New Roman" w:hAnsi="Times New Roman" w:cs="Times New Roman"/>
        </w:rPr>
        <w:t>ų</w:t>
      </w:r>
      <w:r w:rsidRPr="00857D68">
        <w:rPr>
          <w:rFonts w:ascii="Times New Roman" w:eastAsia="Times New Roman" w:hAnsi="Times New Roman" w:cs="Times New Roman"/>
        </w:rPr>
        <w:t xml:space="preserve"> apie alendronato vartojimą nėštumo metu </w:t>
      </w:r>
      <w:r w:rsidR="00BA68CB" w:rsidRPr="00857D68">
        <w:rPr>
          <w:rFonts w:ascii="Times New Roman" w:eastAsia="Times New Roman" w:hAnsi="Times New Roman" w:cs="Times New Roman"/>
        </w:rPr>
        <w:t xml:space="preserve">nėra arba jie </w:t>
      </w:r>
      <w:r w:rsidRPr="00857D68">
        <w:rPr>
          <w:rFonts w:ascii="Times New Roman" w:eastAsia="Times New Roman" w:hAnsi="Times New Roman" w:cs="Times New Roman"/>
        </w:rPr>
        <w:t xml:space="preserve">yra riboti. Su gyvūnais atlikti tyrimai parodė toksinį poveikį reprodukcijai. Alendronatas vaikingoms žiurkėms sukėlė su hipokalcemija susijusią distociją (žr. 5.3 skyrių). </w:t>
      </w:r>
    </w:p>
    <w:p w14:paraId="24A9C610" w14:textId="77777777" w:rsidR="00030D15" w:rsidRPr="00857D68" w:rsidRDefault="00030D15" w:rsidP="00030D15">
      <w:pPr>
        <w:spacing w:after="0" w:line="240" w:lineRule="auto"/>
        <w:outlineLvl w:val="0"/>
        <w:rPr>
          <w:rFonts w:ascii="Times New Roman" w:eastAsia="Times New Roman" w:hAnsi="Times New Roman" w:cs="Times New Roman"/>
        </w:rPr>
      </w:pPr>
    </w:p>
    <w:p w14:paraId="20201215"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 xml:space="preserve">Alendrono rūgštį nėštumo metu vartoti draudžiama. </w:t>
      </w:r>
    </w:p>
    <w:p w14:paraId="096260EF"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p>
    <w:p w14:paraId="1E2D783C" w14:textId="77777777" w:rsidR="00030D15" w:rsidRPr="00857D68" w:rsidRDefault="00030D15" w:rsidP="00030D15">
      <w:pPr>
        <w:spacing w:after="0" w:line="240" w:lineRule="auto"/>
        <w:ind w:left="567" w:hanging="567"/>
        <w:outlineLvl w:val="0"/>
        <w:rPr>
          <w:rFonts w:ascii="Times New Roman" w:eastAsia="Times New Roman" w:hAnsi="Times New Roman" w:cs="Times New Roman"/>
          <w:u w:val="single"/>
        </w:rPr>
      </w:pPr>
      <w:r w:rsidRPr="00857D68">
        <w:rPr>
          <w:rFonts w:ascii="Times New Roman" w:eastAsia="Times New Roman" w:hAnsi="Times New Roman" w:cs="Times New Roman"/>
          <w:u w:val="single"/>
        </w:rPr>
        <w:t>Žindymas</w:t>
      </w:r>
    </w:p>
    <w:p w14:paraId="516A4D3E" w14:textId="1676997D"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Nežinoma, ar alendrono rūgšties</w:t>
      </w:r>
      <w:r w:rsidR="007F72EF">
        <w:rPr>
          <w:rFonts w:ascii="Times New Roman" w:eastAsia="Times New Roman" w:hAnsi="Times New Roman" w:cs="Times New Roman"/>
        </w:rPr>
        <w:t>/metabolitai</w:t>
      </w:r>
      <w:r w:rsidRPr="00857D68">
        <w:rPr>
          <w:rFonts w:ascii="Times New Roman" w:eastAsia="Times New Roman" w:hAnsi="Times New Roman" w:cs="Times New Roman"/>
        </w:rPr>
        <w:t xml:space="preserve"> išsiskiria į </w:t>
      </w:r>
      <w:r w:rsidR="00552433">
        <w:rPr>
          <w:rFonts w:ascii="Times New Roman" w:eastAsia="Times New Roman" w:hAnsi="Times New Roman" w:cs="Times New Roman"/>
        </w:rPr>
        <w:t>gydytų moterų</w:t>
      </w:r>
      <w:r w:rsidR="00552433" w:rsidRPr="00857D68">
        <w:rPr>
          <w:rFonts w:ascii="Times New Roman" w:eastAsia="Times New Roman" w:hAnsi="Times New Roman" w:cs="Times New Roman"/>
        </w:rPr>
        <w:t xml:space="preserve"> </w:t>
      </w:r>
      <w:r w:rsidRPr="00857D68">
        <w:rPr>
          <w:rFonts w:ascii="Times New Roman" w:eastAsia="Times New Roman" w:hAnsi="Times New Roman" w:cs="Times New Roman"/>
        </w:rPr>
        <w:t>pieną.</w:t>
      </w:r>
      <w:r w:rsidR="00CF3E64" w:rsidRPr="00CF3E64">
        <w:t xml:space="preserve"> </w:t>
      </w:r>
      <w:r w:rsidR="00CF3E64" w:rsidRPr="00CF3E64">
        <w:rPr>
          <w:rFonts w:ascii="Times New Roman" w:eastAsia="Times New Roman" w:hAnsi="Times New Roman" w:cs="Times New Roman"/>
        </w:rPr>
        <w:t>Negalima atmesti rizikos naujagimiams ir (arba) kūdikiams.</w:t>
      </w:r>
      <w:r w:rsidRPr="00857D68">
        <w:rPr>
          <w:rFonts w:ascii="Times New Roman" w:eastAsia="Times New Roman" w:hAnsi="Times New Roman" w:cs="Times New Roman"/>
        </w:rPr>
        <w:t xml:space="preserve"> </w:t>
      </w:r>
      <w:r w:rsidR="00103C2E">
        <w:rPr>
          <w:rFonts w:ascii="Times New Roman" w:eastAsia="Times New Roman" w:hAnsi="Times New Roman" w:cs="Times New Roman"/>
        </w:rPr>
        <w:t>A</w:t>
      </w:r>
      <w:r w:rsidRPr="00857D68">
        <w:rPr>
          <w:rFonts w:ascii="Times New Roman" w:eastAsia="Times New Roman" w:hAnsi="Times New Roman" w:cs="Times New Roman"/>
        </w:rPr>
        <w:t xml:space="preserve">lendrono rūgštį žindymo metu vartoti draudžiama. </w:t>
      </w:r>
    </w:p>
    <w:p w14:paraId="76222D3F" w14:textId="77777777" w:rsidR="00030D15" w:rsidRPr="00857D68" w:rsidRDefault="00030D15" w:rsidP="00030D15">
      <w:pPr>
        <w:spacing w:after="0" w:line="240" w:lineRule="auto"/>
        <w:outlineLvl w:val="0"/>
        <w:rPr>
          <w:rFonts w:ascii="Times New Roman" w:eastAsia="Times New Roman" w:hAnsi="Times New Roman" w:cs="Times New Roman"/>
        </w:rPr>
      </w:pPr>
    </w:p>
    <w:p w14:paraId="182EAF0B" w14:textId="77777777" w:rsidR="00030D15" w:rsidRPr="00857D68" w:rsidRDefault="00030D15" w:rsidP="00030D15">
      <w:pPr>
        <w:spacing w:after="0" w:line="240" w:lineRule="auto"/>
        <w:outlineLvl w:val="0"/>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Vaisingumas</w:t>
      </w:r>
    </w:p>
    <w:p w14:paraId="51FDF4DD"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Bisfosfonatai susikaupia kaulo matricoje, iš kur jie laipsniškai atpalaiduojami keletą metų. Suaugusio žmogaus kaule susikaupęs bisfosfonatų kiekis, taigi ir atgal į sisteminę kraujotaką sugrįžtantis kiekis, tiesiogiai priklauso nuo bisfosfonatų dozės ir vartojimo trukmės (žr. 5.2 skyrių). Apie riziką žmogaus vaisiui duomenų nėra. Vis dėlto teorinė žalos vaisiui, daugiausiai jo skeletui, rizika yra, jei po gydymo bisfosfonatais kurso moteris pastoja. Kintamų veiksnių, tokių kaip trukmė tarp gydymo bisfosfonatais nutraukimo ir pastojimo, konkretus vartotas bisfosfonatas ar vartojimo būdas (į veną arba per burną), įtaka rizikai netirta.</w:t>
      </w:r>
    </w:p>
    <w:p w14:paraId="16A7A126"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p>
    <w:p w14:paraId="37DDE0A2"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4.7</w:t>
      </w:r>
      <w:r w:rsidRPr="00857D68">
        <w:rPr>
          <w:rFonts w:ascii="Times New Roman" w:eastAsia="Times New Roman" w:hAnsi="Times New Roman" w:cs="Times New Roman"/>
          <w:b/>
        </w:rPr>
        <w:tab/>
        <w:t>Poveikis gebėjimui vairuoti ir valdyti mechanizmus</w:t>
      </w:r>
    </w:p>
    <w:p w14:paraId="55FF78AC" w14:textId="77777777" w:rsidR="00030D15" w:rsidRPr="00857D68" w:rsidRDefault="00030D15" w:rsidP="00030D15">
      <w:pPr>
        <w:spacing w:after="0" w:line="240" w:lineRule="auto"/>
        <w:rPr>
          <w:rFonts w:ascii="Times New Roman" w:eastAsia="Times New Roman" w:hAnsi="Times New Roman" w:cs="Times New Roman"/>
        </w:rPr>
      </w:pPr>
    </w:p>
    <w:p w14:paraId="44C545CF" w14:textId="40530DDD" w:rsidR="00030D15" w:rsidRPr="00857D68" w:rsidRDefault="00030D15" w:rsidP="00030D15">
      <w:pPr>
        <w:tabs>
          <w:tab w:val="left" w:pos="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Ale</w:t>
      </w:r>
      <w:r w:rsidR="00857D68">
        <w:rPr>
          <w:rFonts w:ascii="Times New Roman" w:eastAsia="Times New Roman" w:hAnsi="Times New Roman" w:cs="Times New Roman"/>
        </w:rPr>
        <w:t>n</w:t>
      </w:r>
      <w:r w:rsidRPr="00857D68">
        <w:rPr>
          <w:rFonts w:ascii="Times New Roman" w:eastAsia="Times New Roman" w:hAnsi="Times New Roman" w:cs="Times New Roman"/>
        </w:rPr>
        <w:t xml:space="preserve">drono rūgštis gebėjimo vairuoti ir valdyti mechanizmus neveikia ar veikia nereikšmingai. </w:t>
      </w:r>
      <w:r w:rsidR="00C81004" w:rsidRPr="00C81004">
        <w:rPr>
          <w:rFonts w:ascii="Times New Roman" w:eastAsia="Times New Roman" w:hAnsi="Times New Roman" w:cs="Times New Roman"/>
        </w:rPr>
        <w:t xml:space="preserve">Pacientams gali pasireikšti tam tikros nepageidaujamos reakcijos (pavyzdžiui, neryškus matymas, </w:t>
      </w:r>
      <w:r w:rsidR="00121968">
        <w:rPr>
          <w:rFonts w:ascii="Times New Roman" w:eastAsia="Times New Roman" w:hAnsi="Times New Roman" w:cs="Times New Roman"/>
        </w:rPr>
        <w:t>svaigulys</w:t>
      </w:r>
      <w:r w:rsidR="00C81004" w:rsidRPr="00C81004">
        <w:rPr>
          <w:rFonts w:ascii="Times New Roman" w:eastAsia="Times New Roman" w:hAnsi="Times New Roman" w:cs="Times New Roman"/>
        </w:rPr>
        <w:t xml:space="preserve"> ir stiprus kaulų raumenų ar sąnarių skausmas (žr. 4.8 skyrių)), kurios gali turėti </w:t>
      </w:r>
      <w:r w:rsidR="00C447B1">
        <w:rPr>
          <w:rFonts w:ascii="Times New Roman" w:eastAsia="Times New Roman" w:hAnsi="Times New Roman" w:cs="Times New Roman"/>
        </w:rPr>
        <w:t>poveikį</w:t>
      </w:r>
      <w:r w:rsidR="00C81004" w:rsidRPr="00C81004">
        <w:rPr>
          <w:rFonts w:ascii="Times New Roman" w:eastAsia="Times New Roman" w:hAnsi="Times New Roman" w:cs="Times New Roman"/>
        </w:rPr>
        <w:t xml:space="preserve"> gebėjimui vairuoti ir </w:t>
      </w:r>
      <w:r w:rsidR="00987420">
        <w:rPr>
          <w:rFonts w:ascii="Times New Roman" w:eastAsia="Times New Roman" w:hAnsi="Times New Roman" w:cs="Times New Roman"/>
        </w:rPr>
        <w:t>valdyti</w:t>
      </w:r>
      <w:r w:rsidR="00C81004" w:rsidRPr="00C81004">
        <w:rPr>
          <w:rFonts w:ascii="Times New Roman" w:eastAsia="Times New Roman" w:hAnsi="Times New Roman" w:cs="Times New Roman"/>
        </w:rPr>
        <w:t xml:space="preserve"> mašin</w:t>
      </w:r>
      <w:r w:rsidR="00E57C6E">
        <w:rPr>
          <w:rFonts w:ascii="Times New Roman" w:eastAsia="Times New Roman" w:hAnsi="Times New Roman" w:cs="Times New Roman"/>
        </w:rPr>
        <w:t>as</w:t>
      </w:r>
      <w:r w:rsidR="00C81004" w:rsidRPr="00C81004">
        <w:rPr>
          <w:rFonts w:ascii="Times New Roman" w:eastAsia="Times New Roman" w:hAnsi="Times New Roman" w:cs="Times New Roman"/>
        </w:rPr>
        <w:t>.</w:t>
      </w:r>
    </w:p>
    <w:p w14:paraId="5F14028B" w14:textId="77777777" w:rsidR="00030D15" w:rsidRPr="00857D68" w:rsidRDefault="00030D15" w:rsidP="00030D15">
      <w:pPr>
        <w:spacing w:after="0" w:line="240" w:lineRule="auto"/>
        <w:rPr>
          <w:rFonts w:ascii="Times New Roman" w:eastAsia="Times New Roman" w:hAnsi="Times New Roman" w:cs="Times New Roman"/>
        </w:rPr>
      </w:pPr>
    </w:p>
    <w:p w14:paraId="1DB2815D" w14:textId="77777777" w:rsidR="00030D15" w:rsidRPr="00857D68" w:rsidRDefault="00030D15" w:rsidP="00030D15">
      <w:pPr>
        <w:numPr>
          <w:ilvl w:val="1"/>
          <w:numId w:val="3"/>
        </w:numPr>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rPr>
        <w:t>Nepageidaujamas poveikis</w:t>
      </w:r>
    </w:p>
    <w:p w14:paraId="641991B8" w14:textId="77777777" w:rsidR="00030D15" w:rsidRPr="00857D68" w:rsidRDefault="00030D15" w:rsidP="00030D15">
      <w:pPr>
        <w:spacing w:after="0" w:line="240" w:lineRule="auto"/>
        <w:ind w:left="567" w:hanging="567"/>
        <w:rPr>
          <w:rFonts w:ascii="Times New Roman" w:eastAsia="Times New Roman" w:hAnsi="Times New Roman" w:cs="Times New Roman"/>
          <w:b/>
        </w:rPr>
      </w:pPr>
    </w:p>
    <w:p w14:paraId="43F81DE1"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Atliekant vienerių metų trukmės klinikinį tyrimą, kuriame dalyvavo osteoporoze sergančios pomenopauzinio laikotarpio moterys, bendri saugumo rodikliai, vartojant alendrono rūgštį po 70 mg (n=519) ir alendrono rūgštį po 10 mg per parą (n=370), buvo panašūs.</w:t>
      </w:r>
    </w:p>
    <w:p w14:paraId="209F1902" w14:textId="77777777" w:rsidR="00030D15" w:rsidRPr="00857D68" w:rsidRDefault="00030D15" w:rsidP="00030D15">
      <w:pPr>
        <w:spacing w:after="0" w:line="240" w:lineRule="auto"/>
        <w:ind w:left="567" w:hanging="567"/>
        <w:rPr>
          <w:rFonts w:ascii="Times New Roman" w:eastAsia="Times New Roman" w:hAnsi="Times New Roman" w:cs="Times New Roman"/>
        </w:rPr>
      </w:pPr>
    </w:p>
    <w:p w14:paraId="128F1428"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Atliekant du trejų metu trukmės beveik identiško plano klinikinius tyrimus, kuriuose dalyvavo osteoporoze sergančios pomenopauzės laikotarpio moterys (vartojusių alendrono rūgštį po 10 mg n=196, placebą n=397), bendri saugumo rodikliai, vartojant alendrono rūgštį po 10 mg per parą ir placebą, buvo panašūs.</w:t>
      </w:r>
    </w:p>
    <w:p w14:paraId="1604FF60" w14:textId="77777777" w:rsidR="00030D15" w:rsidRPr="00857D68" w:rsidRDefault="00030D15" w:rsidP="00030D15">
      <w:pPr>
        <w:spacing w:after="0" w:line="240" w:lineRule="auto"/>
        <w:ind w:left="567" w:hanging="567"/>
        <w:rPr>
          <w:rFonts w:ascii="Times New Roman" w:eastAsia="Times New Roman" w:hAnsi="Times New Roman" w:cs="Times New Roman"/>
        </w:rPr>
      </w:pPr>
    </w:p>
    <w:p w14:paraId="58C5CC3B"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lastRenderedPageBreak/>
        <w:t xml:space="preserve">Toliau pateikti nepageidaujami reiškiniai, apie kuriuos tyrėjai pranešė kaip apie galbūt arba tikrai susijusius su vaisto vartojimu. Šie nepageidaujami poveikiai vienerių metų trukmės klinikinio tyrimo metu pasireiškė </w:t>
      </w:r>
      <w:r w:rsidRPr="00857D68">
        <w:rPr>
          <w:rFonts w:ascii="Times New Roman" w:eastAsia="Times New Roman" w:hAnsi="Times New Roman" w:cs="Times New Roman"/>
        </w:rPr>
        <w:sym w:font="Symbol" w:char="00B3"/>
      </w:r>
      <w:r w:rsidRPr="00857D68">
        <w:rPr>
          <w:rFonts w:ascii="Times New Roman" w:eastAsia="Times New Roman" w:hAnsi="Times New Roman" w:cs="Times New Roman"/>
        </w:rPr>
        <w:t xml:space="preserve">1 % bet kurios grupės tiriamųjų arba trejų metų trukmės tyrimo metu pasireiškė </w:t>
      </w:r>
      <w:r w:rsidRPr="00857D68">
        <w:rPr>
          <w:rFonts w:ascii="Times New Roman" w:eastAsia="Times New Roman" w:hAnsi="Times New Roman" w:cs="Times New Roman"/>
        </w:rPr>
        <w:sym w:font="Symbol" w:char="00B3"/>
      </w:r>
      <w:r w:rsidRPr="00857D68">
        <w:rPr>
          <w:rFonts w:ascii="Times New Roman" w:eastAsia="Times New Roman" w:hAnsi="Times New Roman" w:cs="Times New Roman"/>
        </w:rPr>
        <w:t>1 % pacientų, vartojusių 10 mg alendrono rūgšties per parą, o pasireiškimo dažnis buvo didesnis negu placebo grupėje.</w:t>
      </w:r>
    </w:p>
    <w:p w14:paraId="3738E2C7" w14:textId="77777777" w:rsidR="00030D15" w:rsidRPr="00857D68" w:rsidRDefault="00030D15" w:rsidP="00030D15">
      <w:pPr>
        <w:spacing w:after="0" w:line="240" w:lineRule="auto"/>
        <w:ind w:left="567" w:hanging="567"/>
        <w:rPr>
          <w:rFonts w:ascii="Times New Roman" w:eastAsia="Times New Roman" w:hAnsi="Times New Roman" w:cs="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659"/>
        <w:gridCol w:w="1679"/>
        <w:gridCol w:w="1599"/>
        <w:gridCol w:w="1684"/>
        <w:gridCol w:w="1434"/>
      </w:tblGrid>
      <w:tr w:rsidR="00030D15" w:rsidRPr="00857D68" w14:paraId="5A5C81BF" w14:textId="77777777" w:rsidTr="00BA68CB">
        <w:trPr>
          <w:tblCellSpacing w:w="0" w:type="dxa"/>
        </w:trPr>
        <w:tc>
          <w:tcPr>
            <w:tcW w:w="1468" w:type="pct"/>
            <w:vMerge w:val="restart"/>
            <w:tcBorders>
              <w:top w:val="outset" w:sz="6" w:space="0" w:color="auto"/>
              <w:left w:val="outset" w:sz="6" w:space="0" w:color="auto"/>
              <w:bottom w:val="outset" w:sz="6" w:space="0" w:color="auto"/>
              <w:right w:val="outset" w:sz="6" w:space="0" w:color="auto"/>
            </w:tcBorders>
          </w:tcPr>
          <w:p w14:paraId="1C60C2FD"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p>
        </w:tc>
        <w:tc>
          <w:tcPr>
            <w:tcW w:w="1810" w:type="pct"/>
            <w:gridSpan w:val="2"/>
            <w:tcBorders>
              <w:top w:val="outset" w:sz="6" w:space="0" w:color="auto"/>
              <w:left w:val="outset" w:sz="6" w:space="0" w:color="auto"/>
              <w:bottom w:val="outset" w:sz="6" w:space="0" w:color="auto"/>
              <w:right w:val="outset" w:sz="6" w:space="0" w:color="auto"/>
            </w:tcBorders>
          </w:tcPr>
          <w:p w14:paraId="47251D74"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Vienerių metų tyrimas</w:t>
            </w:r>
          </w:p>
        </w:tc>
        <w:tc>
          <w:tcPr>
            <w:tcW w:w="1722" w:type="pct"/>
            <w:gridSpan w:val="2"/>
            <w:tcBorders>
              <w:top w:val="outset" w:sz="6" w:space="0" w:color="auto"/>
              <w:left w:val="outset" w:sz="6" w:space="0" w:color="auto"/>
              <w:bottom w:val="outset" w:sz="6" w:space="0" w:color="auto"/>
              <w:right w:val="outset" w:sz="6" w:space="0" w:color="auto"/>
            </w:tcBorders>
          </w:tcPr>
          <w:p w14:paraId="75E7D829"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Trejų metų tyrimai</w:t>
            </w:r>
          </w:p>
        </w:tc>
      </w:tr>
      <w:tr w:rsidR="00030D15" w:rsidRPr="00857D68" w14:paraId="56CC36B1" w14:textId="77777777" w:rsidTr="00BA68CB">
        <w:trPr>
          <w:tblCellSpacing w:w="0" w:type="dxa"/>
        </w:trPr>
        <w:tc>
          <w:tcPr>
            <w:tcW w:w="1468" w:type="pct"/>
            <w:vMerge/>
            <w:tcBorders>
              <w:top w:val="outset" w:sz="6" w:space="0" w:color="auto"/>
              <w:left w:val="outset" w:sz="6" w:space="0" w:color="auto"/>
              <w:bottom w:val="outset" w:sz="6" w:space="0" w:color="auto"/>
              <w:right w:val="outset" w:sz="6" w:space="0" w:color="auto"/>
            </w:tcBorders>
            <w:vAlign w:val="center"/>
          </w:tcPr>
          <w:p w14:paraId="29EA691C"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p>
        </w:tc>
        <w:tc>
          <w:tcPr>
            <w:tcW w:w="927" w:type="pct"/>
            <w:tcBorders>
              <w:top w:val="outset" w:sz="6" w:space="0" w:color="auto"/>
              <w:left w:val="outset" w:sz="6" w:space="0" w:color="auto"/>
              <w:bottom w:val="outset" w:sz="6" w:space="0" w:color="auto"/>
              <w:right w:val="outset" w:sz="6" w:space="0" w:color="auto"/>
            </w:tcBorders>
          </w:tcPr>
          <w:p w14:paraId="20CF2027" w14:textId="77777777" w:rsidR="00030D15" w:rsidRPr="00857D68" w:rsidRDefault="00030D15" w:rsidP="00BA68CB">
            <w:pPr>
              <w:spacing w:after="0" w:line="240" w:lineRule="auto"/>
              <w:rPr>
                <w:rFonts w:ascii="Times New Roman" w:eastAsia="Times New Roman" w:hAnsi="Times New Roman" w:cs="Times New Roman"/>
              </w:rPr>
            </w:pPr>
            <w:bookmarkStart w:id="3" w:name="OLE_LINK113"/>
            <w:r w:rsidRPr="00857D68">
              <w:rPr>
                <w:rFonts w:ascii="Times New Roman" w:eastAsia="Times New Roman" w:hAnsi="Times New Roman" w:cs="Times New Roman"/>
              </w:rPr>
              <w:t>Alendrono rūgštis</w:t>
            </w:r>
            <w:bookmarkEnd w:id="3"/>
          </w:p>
          <w:p w14:paraId="45114EDC" w14:textId="77777777" w:rsidR="00030D15" w:rsidRPr="00857D68" w:rsidRDefault="00030D15" w:rsidP="00BA68CB">
            <w:pPr>
              <w:spacing w:after="0" w:line="240" w:lineRule="auto"/>
              <w:rPr>
                <w:rFonts w:ascii="Times New Roman" w:eastAsia="Times New Roman" w:hAnsi="Times New Roman" w:cs="Times New Roman"/>
              </w:rPr>
            </w:pPr>
          </w:p>
          <w:p w14:paraId="440B2DD5" w14:textId="77777777" w:rsidR="00030D15" w:rsidRPr="00857D68" w:rsidRDefault="00030D15" w:rsidP="00BA68CB">
            <w:pPr>
              <w:spacing w:after="0" w:line="240" w:lineRule="auto"/>
              <w:rPr>
                <w:rFonts w:ascii="Times New Roman" w:eastAsia="Times New Roman" w:hAnsi="Times New Roman" w:cs="Times New Roman"/>
              </w:rPr>
            </w:pPr>
          </w:p>
          <w:p w14:paraId="7BEA0B08" w14:textId="77777777" w:rsidR="00030D15" w:rsidRPr="00857D68" w:rsidRDefault="00030D15"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70 mg vieną kartą per savaitę</w:t>
            </w:r>
          </w:p>
          <w:p w14:paraId="5CB63D1F" w14:textId="77777777" w:rsidR="00030D15" w:rsidRPr="00857D68" w:rsidRDefault="00030D15" w:rsidP="00BA68CB">
            <w:pPr>
              <w:spacing w:after="0" w:line="240" w:lineRule="auto"/>
              <w:rPr>
                <w:rFonts w:ascii="Times New Roman" w:eastAsia="Arial Unicode MS" w:hAnsi="Times New Roman" w:cs="Times New Roman"/>
              </w:rPr>
            </w:pPr>
            <w:r w:rsidRPr="00857D68">
              <w:rPr>
                <w:rFonts w:ascii="Times New Roman" w:eastAsia="Times New Roman" w:hAnsi="Times New Roman" w:cs="Times New Roman"/>
              </w:rPr>
              <w:t>(n = 519) %</w:t>
            </w:r>
          </w:p>
        </w:tc>
        <w:tc>
          <w:tcPr>
            <w:tcW w:w="883" w:type="pct"/>
            <w:tcBorders>
              <w:top w:val="outset" w:sz="6" w:space="0" w:color="auto"/>
              <w:left w:val="outset" w:sz="6" w:space="0" w:color="auto"/>
              <w:bottom w:val="outset" w:sz="6" w:space="0" w:color="auto"/>
              <w:right w:val="outset" w:sz="6" w:space="0" w:color="auto"/>
            </w:tcBorders>
          </w:tcPr>
          <w:p w14:paraId="5653BAFB" w14:textId="77777777" w:rsidR="00030D15" w:rsidRPr="00857D68" w:rsidRDefault="00030D15"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rūgštis</w:t>
            </w:r>
          </w:p>
          <w:p w14:paraId="65391E86" w14:textId="77777777" w:rsidR="00030D15" w:rsidRPr="00857D68" w:rsidRDefault="00030D15" w:rsidP="00BA68CB">
            <w:pPr>
              <w:spacing w:after="0" w:line="240" w:lineRule="auto"/>
              <w:rPr>
                <w:rFonts w:ascii="Times New Roman" w:eastAsia="Times New Roman" w:hAnsi="Times New Roman" w:cs="Times New Roman"/>
              </w:rPr>
            </w:pPr>
          </w:p>
          <w:p w14:paraId="5B54F7BC" w14:textId="77777777" w:rsidR="00030D15" w:rsidRPr="00857D68" w:rsidRDefault="00030D15"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10 mg per parą</w:t>
            </w:r>
          </w:p>
          <w:p w14:paraId="65B0C734" w14:textId="77777777" w:rsidR="00030D15" w:rsidRPr="00857D68" w:rsidRDefault="00030D15" w:rsidP="00BA68CB">
            <w:pPr>
              <w:spacing w:after="0" w:line="240" w:lineRule="auto"/>
              <w:rPr>
                <w:rFonts w:ascii="Times New Roman" w:eastAsia="Times New Roman" w:hAnsi="Times New Roman" w:cs="Times New Roman"/>
              </w:rPr>
            </w:pPr>
          </w:p>
          <w:p w14:paraId="49D702E9" w14:textId="77777777" w:rsidR="00030D15" w:rsidRPr="00857D68" w:rsidRDefault="00030D15" w:rsidP="00BA68CB">
            <w:pPr>
              <w:spacing w:after="0" w:line="240" w:lineRule="auto"/>
              <w:rPr>
                <w:rFonts w:ascii="Times New Roman" w:eastAsia="Arial Unicode MS" w:hAnsi="Times New Roman" w:cs="Times New Roman"/>
              </w:rPr>
            </w:pPr>
            <w:r w:rsidRPr="00857D68">
              <w:rPr>
                <w:rFonts w:ascii="Times New Roman" w:eastAsia="Times New Roman" w:hAnsi="Times New Roman" w:cs="Times New Roman"/>
              </w:rPr>
              <w:t>(n = 370) %</w:t>
            </w:r>
          </w:p>
        </w:tc>
        <w:tc>
          <w:tcPr>
            <w:tcW w:w="930" w:type="pct"/>
            <w:tcBorders>
              <w:top w:val="outset" w:sz="6" w:space="0" w:color="auto"/>
              <w:left w:val="outset" w:sz="6" w:space="0" w:color="auto"/>
              <w:bottom w:val="outset" w:sz="6" w:space="0" w:color="auto"/>
              <w:right w:val="outset" w:sz="6" w:space="0" w:color="auto"/>
            </w:tcBorders>
          </w:tcPr>
          <w:p w14:paraId="5897897F" w14:textId="77777777" w:rsidR="00030D15" w:rsidRPr="00857D68" w:rsidRDefault="00030D15"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rūgštis</w:t>
            </w:r>
          </w:p>
          <w:p w14:paraId="4882B9B5" w14:textId="77777777" w:rsidR="00030D15" w:rsidRPr="00857D68" w:rsidRDefault="00030D15" w:rsidP="00BA68CB">
            <w:pPr>
              <w:spacing w:after="0" w:line="240" w:lineRule="auto"/>
              <w:rPr>
                <w:rFonts w:ascii="Times New Roman" w:eastAsia="Times New Roman" w:hAnsi="Times New Roman" w:cs="Times New Roman"/>
              </w:rPr>
            </w:pPr>
          </w:p>
          <w:p w14:paraId="5A1B3629" w14:textId="77777777" w:rsidR="00030D15" w:rsidRPr="00857D68" w:rsidRDefault="00030D15" w:rsidP="00BA68CB">
            <w:pPr>
              <w:spacing w:after="0" w:line="240" w:lineRule="auto"/>
              <w:rPr>
                <w:rFonts w:ascii="Times New Roman" w:eastAsia="Times New Roman" w:hAnsi="Times New Roman" w:cs="Times New Roman"/>
              </w:rPr>
            </w:pPr>
          </w:p>
          <w:p w14:paraId="60F9A1D4" w14:textId="77777777" w:rsidR="00030D15" w:rsidRPr="00857D68" w:rsidRDefault="00030D15"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10 mg per parą</w:t>
            </w:r>
          </w:p>
          <w:p w14:paraId="63C2212C" w14:textId="77777777" w:rsidR="00030D15" w:rsidRPr="00857D68" w:rsidRDefault="00030D15" w:rsidP="00BA68CB">
            <w:pPr>
              <w:spacing w:after="0" w:line="240" w:lineRule="auto"/>
              <w:rPr>
                <w:rFonts w:ascii="Times New Roman" w:eastAsia="Times New Roman" w:hAnsi="Times New Roman" w:cs="Times New Roman"/>
              </w:rPr>
            </w:pPr>
          </w:p>
          <w:p w14:paraId="297F890D" w14:textId="77777777" w:rsidR="00030D15" w:rsidRPr="00857D68" w:rsidRDefault="00030D15" w:rsidP="00BA68CB">
            <w:pPr>
              <w:spacing w:after="0" w:line="240" w:lineRule="auto"/>
              <w:rPr>
                <w:rFonts w:ascii="Times New Roman" w:eastAsia="Arial Unicode MS" w:hAnsi="Times New Roman" w:cs="Times New Roman"/>
              </w:rPr>
            </w:pPr>
            <w:r w:rsidRPr="00857D68">
              <w:rPr>
                <w:rFonts w:ascii="Times New Roman" w:eastAsia="Times New Roman" w:hAnsi="Times New Roman" w:cs="Times New Roman"/>
              </w:rPr>
              <w:t>(n = 196) %</w:t>
            </w:r>
          </w:p>
        </w:tc>
        <w:tc>
          <w:tcPr>
            <w:tcW w:w="792" w:type="pct"/>
            <w:tcBorders>
              <w:top w:val="outset" w:sz="6" w:space="0" w:color="auto"/>
              <w:left w:val="outset" w:sz="6" w:space="0" w:color="auto"/>
              <w:bottom w:val="outset" w:sz="6" w:space="0" w:color="auto"/>
              <w:right w:val="outset" w:sz="6" w:space="0" w:color="auto"/>
            </w:tcBorders>
          </w:tcPr>
          <w:p w14:paraId="1CB97910" w14:textId="77777777" w:rsidR="00030D15" w:rsidRPr="00857D68" w:rsidRDefault="00030D15" w:rsidP="00BA68CB">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Placebas</w:t>
            </w:r>
          </w:p>
          <w:p w14:paraId="12661D47" w14:textId="77777777" w:rsidR="00030D15" w:rsidRPr="00857D68" w:rsidRDefault="00030D15" w:rsidP="00BA68CB">
            <w:pPr>
              <w:spacing w:after="0" w:line="240" w:lineRule="auto"/>
              <w:rPr>
                <w:rFonts w:ascii="Times New Roman" w:eastAsia="Times New Roman" w:hAnsi="Times New Roman" w:cs="Times New Roman"/>
              </w:rPr>
            </w:pPr>
          </w:p>
          <w:p w14:paraId="727DE4B0" w14:textId="77777777" w:rsidR="00030D15" w:rsidRPr="00857D68" w:rsidRDefault="00030D15" w:rsidP="00BA68CB">
            <w:pPr>
              <w:spacing w:after="0" w:line="240" w:lineRule="auto"/>
              <w:rPr>
                <w:rFonts w:ascii="Times New Roman" w:eastAsia="Times New Roman" w:hAnsi="Times New Roman" w:cs="Times New Roman"/>
              </w:rPr>
            </w:pPr>
          </w:p>
          <w:p w14:paraId="62BB211B" w14:textId="77777777" w:rsidR="00030D15" w:rsidRPr="00857D68" w:rsidRDefault="00030D15" w:rsidP="00BA68CB">
            <w:pPr>
              <w:spacing w:after="0" w:line="240" w:lineRule="auto"/>
              <w:rPr>
                <w:rFonts w:ascii="Times New Roman" w:eastAsia="Times New Roman" w:hAnsi="Times New Roman" w:cs="Times New Roman"/>
              </w:rPr>
            </w:pPr>
          </w:p>
          <w:p w14:paraId="3FF1FBAD" w14:textId="77777777" w:rsidR="00030D15" w:rsidRPr="00857D68" w:rsidRDefault="00030D15" w:rsidP="00BA68CB">
            <w:pPr>
              <w:spacing w:after="0" w:line="240" w:lineRule="auto"/>
              <w:rPr>
                <w:rFonts w:ascii="Times New Roman" w:eastAsia="Times New Roman" w:hAnsi="Times New Roman" w:cs="Times New Roman"/>
              </w:rPr>
            </w:pPr>
          </w:p>
          <w:p w14:paraId="4150E0C8" w14:textId="77777777" w:rsidR="00030D15" w:rsidRPr="00857D68" w:rsidRDefault="00030D15" w:rsidP="00BA68CB">
            <w:pPr>
              <w:spacing w:after="0" w:line="240" w:lineRule="auto"/>
              <w:rPr>
                <w:rFonts w:ascii="Times New Roman" w:eastAsia="Arial Unicode MS" w:hAnsi="Times New Roman" w:cs="Times New Roman"/>
              </w:rPr>
            </w:pPr>
            <w:r w:rsidRPr="00857D68">
              <w:rPr>
                <w:rFonts w:ascii="Times New Roman" w:eastAsia="Times New Roman" w:hAnsi="Times New Roman" w:cs="Times New Roman"/>
              </w:rPr>
              <w:t>(n = 397) %</w:t>
            </w:r>
          </w:p>
        </w:tc>
      </w:tr>
      <w:tr w:rsidR="00030D15" w:rsidRPr="00857D68" w14:paraId="6E9C7F7F"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735AFC90"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927" w:type="pct"/>
            <w:tcBorders>
              <w:top w:val="outset" w:sz="6" w:space="0" w:color="auto"/>
              <w:left w:val="outset" w:sz="6" w:space="0" w:color="auto"/>
              <w:bottom w:val="outset" w:sz="6" w:space="0" w:color="auto"/>
              <w:right w:val="outset" w:sz="6" w:space="0" w:color="auto"/>
            </w:tcBorders>
          </w:tcPr>
          <w:p w14:paraId="04981F78"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883" w:type="pct"/>
            <w:tcBorders>
              <w:top w:val="outset" w:sz="6" w:space="0" w:color="auto"/>
              <w:left w:val="outset" w:sz="6" w:space="0" w:color="auto"/>
              <w:bottom w:val="outset" w:sz="6" w:space="0" w:color="auto"/>
              <w:right w:val="outset" w:sz="6" w:space="0" w:color="auto"/>
            </w:tcBorders>
          </w:tcPr>
          <w:p w14:paraId="5AFBFB82"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930" w:type="pct"/>
            <w:tcBorders>
              <w:top w:val="outset" w:sz="6" w:space="0" w:color="auto"/>
              <w:left w:val="outset" w:sz="6" w:space="0" w:color="auto"/>
              <w:bottom w:val="outset" w:sz="6" w:space="0" w:color="auto"/>
              <w:right w:val="outset" w:sz="6" w:space="0" w:color="auto"/>
            </w:tcBorders>
          </w:tcPr>
          <w:p w14:paraId="0FEC9DEB"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792" w:type="pct"/>
            <w:tcBorders>
              <w:top w:val="outset" w:sz="6" w:space="0" w:color="auto"/>
              <w:left w:val="outset" w:sz="6" w:space="0" w:color="auto"/>
              <w:bottom w:val="outset" w:sz="6" w:space="0" w:color="auto"/>
              <w:right w:val="outset" w:sz="6" w:space="0" w:color="auto"/>
            </w:tcBorders>
          </w:tcPr>
          <w:p w14:paraId="0373053C"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r>
      <w:tr w:rsidR="00030D15" w:rsidRPr="00857D68" w14:paraId="55F6929B"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04D42DE4"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i/>
                <w:iCs/>
              </w:rPr>
              <w:t>Virškinimo trakto sutrikimai</w:t>
            </w:r>
          </w:p>
        </w:tc>
        <w:tc>
          <w:tcPr>
            <w:tcW w:w="927" w:type="pct"/>
            <w:tcBorders>
              <w:top w:val="outset" w:sz="6" w:space="0" w:color="auto"/>
              <w:left w:val="outset" w:sz="6" w:space="0" w:color="auto"/>
              <w:bottom w:val="outset" w:sz="6" w:space="0" w:color="auto"/>
              <w:right w:val="outset" w:sz="6" w:space="0" w:color="auto"/>
            </w:tcBorders>
          </w:tcPr>
          <w:p w14:paraId="5AF135F4"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883" w:type="pct"/>
            <w:tcBorders>
              <w:top w:val="outset" w:sz="6" w:space="0" w:color="auto"/>
              <w:left w:val="outset" w:sz="6" w:space="0" w:color="auto"/>
              <w:bottom w:val="outset" w:sz="6" w:space="0" w:color="auto"/>
              <w:right w:val="outset" w:sz="6" w:space="0" w:color="auto"/>
            </w:tcBorders>
          </w:tcPr>
          <w:p w14:paraId="72AFBF55"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930" w:type="pct"/>
            <w:tcBorders>
              <w:top w:val="outset" w:sz="6" w:space="0" w:color="auto"/>
              <w:left w:val="outset" w:sz="6" w:space="0" w:color="auto"/>
              <w:bottom w:val="outset" w:sz="6" w:space="0" w:color="auto"/>
              <w:right w:val="outset" w:sz="6" w:space="0" w:color="auto"/>
            </w:tcBorders>
          </w:tcPr>
          <w:p w14:paraId="5B4C1D15"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792" w:type="pct"/>
            <w:tcBorders>
              <w:top w:val="outset" w:sz="6" w:space="0" w:color="auto"/>
              <w:left w:val="outset" w:sz="6" w:space="0" w:color="auto"/>
              <w:bottom w:val="outset" w:sz="6" w:space="0" w:color="auto"/>
              <w:right w:val="outset" w:sz="6" w:space="0" w:color="auto"/>
            </w:tcBorders>
          </w:tcPr>
          <w:p w14:paraId="12049C8D"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r>
      <w:tr w:rsidR="00030D15" w:rsidRPr="00857D68" w14:paraId="42D56EA4"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6F6325CA"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pilvo skausmas</w:t>
            </w:r>
          </w:p>
        </w:tc>
        <w:tc>
          <w:tcPr>
            <w:tcW w:w="927" w:type="pct"/>
            <w:tcBorders>
              <w:top w:val="outset" w:sz="6" w:space="0" w:color="auto"/>
              <w:left w:val="outset" w:sz="6" w:space="0" w:color="auto"/>
              <w:bottom w:val="outset" w:sz="6" w:space="0" w:color="auto"/>
              <w:right w:val="outset" w:sz="6" w:space="0" w:color="auto"/>
            </w:tcBorders>
          </w:tcPr>
          <w:p w14:paraId="49AD9C49"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3,7</w:t>
            </w:r>
          </w:p>
        </w:tc>
        <w:tc>
          <w:tcPr>
            <w:tcW w:w="883" w:type="pct"/>
            <w:tcBorders>
              <w:top w:val="outset" w:sz="6" w:space="0" w:color="auto"/>
              <w:left w:val="outset" w:sz="6" w:space="0" w:color="auto"/>
              <w:bottom w:val="outset" w:sz="6" w:space="0" w:color="auto"/>
              <w:right w:val="outset" w:sz="6" w:space="0" w:color="auto"/>
            </w:tcBorders>
          </w:tcPr>
          <w:p w14:paraId="2451778F"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3,0</w:t>
            </w:r>
          </w:p>
        </w:tc>
        <w:tc>
          <w:tcPr>
            <w:tcW w:w="930" w:type="pct"/>
            <w:tcBorders>
              <w:top w:val="outset" w:sz="6" w:space="0" w:color="auto"/>
              <w:left w:val="outset" w:sz="6" w:space="0" w:color="auto"/>
              <w:bottom w:val="outset" w:sz="6" w:space="0" w:color="auto"/>
              <w:right w:val="outset" w:sz="6" w:space="0" w:color="auto"/>
            </w:tcBorders>
          </w:tcPr>
          <w:p w14:paraId="64647706"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6,6</w:t>
            </w:r>
          </w:p>
        </w:tc>
        <w:tc>
          <w:tcPr>
            <w:tcW w:w="792" w:type="pct"/>
            <w:tcBorders>
              <w:top w:val="outset" w:sz="6" w:space="0" w:color="auto"/>
              <w:left w:val="outset" w:sz="6" w:space="0" w:color="auto"/>
              <w:bottom w:val="outset" w:sz="6" w:space="0" w:color="auto"/>
              <w:right w:val="outset" w:sz="6" w:space="0" w:color="auto"/>
            </w:tcBorders>
          </w:tcPr>
          <w:p w14:paraId="7D37055B"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4,8</w:t>
            </w:r>
          </w:p>
        </w:tc>
      </w:tr>
      <w:tr w:rsidR="00030D15" w:rsidRPr="00857D68" w14:paraId="5CDC8734"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110269B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dispepsija</w:t>
            </w:r>
          </w:p>
        </w:tc>
        <w:tc>
          <w:tcPr>
            <w:tcW w:w="927" w:type="pct"/>
            <w:tcBorders>
              <w:top w:val="outset" w:sz="6" w:space="0" w:color="auto"/>
              <w:left w:val="outset" w:sz="6" w:space="0" w:color="auto"/>
              <w:bottom w:val="outset" w:sz="6" w:space="0" w:color="auto"/>
              <w:right w:val="outset" w:sz="6" w:space="0" w:color="auto"/>
            </w:tcBorders>
          </w:tcPr>
          <w:p w14:paraId="249E46AE"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2,7</w:t>
            </w:r>
          </w:p>
        </w:tc>
        <w:tc>
          <w:tcPr>
            <w:tcW w:w="883" w:type="pct"/>
            <w:tcBorders>
              <w:top w:val="outset" w:sz="6" w:space="0" w:color="auto"/>
              <w:left w:val="outset" w:sz="6" w:space="0" w:color="auto"/>
              <w:bottom w:val="outset" w:sz="6" w:space="0" w:color="auto"/>
              <w:right w:val="outset" w:sz="6" w:space="0" w:color="auto"/>
            </w:tcBorders>
          </w:tcPr>
          <w:p w14:paraId="670A59B3"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2,2</w:t>
            </w:r>
          </w:p>
        </w:tc>
        <w:tc>
          <w:tcPr>
            <w:tcW w:w="930" w:type="pct"/>
            <w:tcBorders>
              <w:top w:val="outset" w:sz="6" w:space="0" w:color="auto"/>
              <w:left w:val="outset" w:sz="6" w:space="0" w:color="auto"/>
              <w:bottom w:val="outset" w:sz="6" w:space="0" w:color="auto"/>
              <w:right w:val="outset" w:sz="6" w:space="0" w:color="auto"/>
            </w:tcBorders>
          </w:tcPr>
          <w:p w14:paraId="132015BA"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3,6</w:t>
            </w:r>
          </w:p>
        </w:tc>
        <w:tc>
          <w:tcPr>
            <w:tcW w:w="792" w:type="pct"/>
            <w:tcBorders>
              <w:top w:val="outset" w:sz="6" w:space="0" w:color="auto"/>
              <w:left w:val="outset" w:sz="6" w:space="0" w:color="auto"/>
              <w:bottom w:val="outset" w:sz="6" w:space="0" w:color="auto"/>
              <w:right w:val="outset" w:sz="6" w:space="0" w:color="auto"/>
            </w:tcBorders>
          </w:tcPr>
          <w:p w14:paraId="50EE310C"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3,5</w:t>
            </w:r>
          </w:p>
        </w:tc>
      </w:tr>
      <w:tr w:rsidR="00030D15" w:rsidRPr="00857D68" w14:paraId="255D8B5C"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133BBAAC"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rūgštinio turinio atpylimas</w:t>
            </w:r>
          </w:p>
        </w:tc>
        <w:tc>
          <w:tcPr>
            <w:tcW w:w="927" w:type="pct"/>
            <w:tcBorders>
              <w:top w:val="outset" w:sz="6" w:space="0" w:color="auto"/>
              <w:left w:val="outset" w:sz="6" w:space="0" w:color="auto"/>
              <w:bottom w:val="outset" w:sz="6" w:space="0" w:color="auto"/>
              <w:right w:val="outset" w:sz="6" w:space="0" w:color="auto"/>
            </w:tcBorders>
          </w:tcPr>
          <w:p w14:paraId="757517B9"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1,9</w:t>
            </w:r>
          </w:p>
        </w:tc>
        <w:tc>
          <w:tcPr>
            <w:tcW w:w="883" w:type="pct"/>
            <w:tcBorders>
              <w:top w:val="outset" w:sz="6" w:space="0" w:color="auto"/>
              <w:left w:val="outset" w:sz="6" w:space="0" w:color="auto"/>
              <w:bottom w:val="outset" w:sz="6" w:space="0" w:color="auto"/>
              <w:right w:val="outset" w:sz="6" w:space="0" w:color="auto"/>
            </w:tcBorders>
          </w:tcPr>
          <w:p w14:paraId="281BF9BD"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2,4</w:t>
            </w:r>
          </w:p>
        </w:tc>
        <w:tc>
          <w:tcPr>
            <w:tcW w:w="930" w:type="pct"/>
            <w:tcBorders>
              <w:top w:val="outset" w:sz="6" w:space="0" w:color="auto"/>
              <w:left w:val="outset" w:sz="6" w:space="0" w:color="auto"/>
              <w:bottom w:val="outset" w:sz="6" w:space="0" w:color="auto"/>
              <w:right w:val="outset" w:sz="6" w:space="0" w:color="auto"/>
            </w:tcBorders>
          </w:tcPr>
          <w:p w14:paraId="54487FEE"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2,0</w:t>
            </w:r>
          </w:p>
        </w:tc>
        <w:tc>
          <w:tcPr>
            <w:tcW w:w="792" w:type="pct"/>
            <w:tcBorders>
              <w:top w:val="outset" w:sz="6" w:space="0" w:color="auto"/>
              <w:left w:val="outset" w:sz="6" w:space="0" w:color="auto"/>
              <w:bottom w:val="outset" w:sz="6" w:space="0" w:color="auto"/>
              <w:right w:val="outset" w:sz="6" w:space="0" w:color="auto"/>
            </w:tcBorders>
          </w:tcPr>
          <w:p w14:paraId="7C60B71B"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4,3</w:t>
            </w:r>
          </w:p>
        </w:tc>
      </w:tr>
      <w:tr w:rsidR="00030D15" w:rsidRPr="00857D68" w14:paraId="7196DD71"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10B8085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pykinimas</w:t>
            </w:r>
          </w:p>
        </w:tc>
        <w:tc>
          <w:tcPr>
            <w:tcW w:w="927" w:type="pct"/>
            <w:tcBorders>
              <w:top w:val="outset" w:sz="6" w:space="0" w:color="auto"/>
              <w:left w:val="outset" w:sz="6" w:space="0" w:color="auto"/>
              <w:bottom w:val="outset" w:sz="6" w:space="0" w:color="auto"/>
              <w:right w:val="outset" w:sz="6" w:space="0" w:color="auto"/>
            </w:tcBorders>
          </w:tcPr>
          <w:p w14:paraId="7F24A2C1"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1,9</w:t>
            </w:r>
          </w:p>
        </w:tc>
        <w:tc>
          <w:tcPr>
            <w:tcW w:w="883" w:type="pct"/>
            <w:tcBorders>
              <w:top w:val="outset" w:sz="6" w:space="0" w:color="auto"/>
              <w:left w:val="outset" w:sz="6" w:space="0" w:color="auto"/>
              <w:bottom w:val="outset" w:sz="6" w:space="0" w:color="auto"/>
              <w:right w:val="outset" w:sz="6" w:space="0" w:color="auto"/>
            </w:tcBorders>
          </w:tcPr>
          <w:p w14:paraId="3B84CC4F"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2,4</w:t>
            </w:r>
          </w:p>
        </w:tc>
        <w:tc>
          <w:tcPr>
            <w:tcW w:w="930" w:type="pct"/>
            <w:tcBorders>
              <w:top w:val="outset" w:sz="6" w:space="0" w:color="auto"/>
              <w:left w:val="outset" w:sz="6" w:space="0" w:color="auto"/>
              <w:bottom w:val="outset" w:sz="6" w:space="0" w:color="auto"/>
              <w:right w:val="outset" w:sz="6" w:space="0" w:color="auto"/>
            </w:tcBorders>
          </w:tcPr>
          <w:p w14:paraId="709ED8D3"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3,6</w:t>
            </w:r>
          </w:p>
        </w:tc>
        <w:tc>
          <w:tcPr>
            <w:tcW w:w="792" w:type="pct"/>
            <w:tcBorders>
              <w:top w:val="outset" w:sz="6" w:space="0" w:color="auto"/>
              <w:left w:val="outset" w:sz="6" w:space="0" w:color="auto"/>
              <w:bottom w:val="outset" w:sz="6" w:space="0" w:color="auto"/>
              <w:right w:val="outset" w:sz="6" w:space="0" w:color="auto"/>
            </w:tcBorders>
          </w:tcPr>
          <w:p w14:paraId="18F10699"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4,0</w:t>
            </w:r>
          </w:p>
        </w:tc>
      </w:tr>
      <w:tr w:rsidR="00030D15" w:rsidRPr="00857D68" w14:paraId="2F663D1B"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43BA2B4A"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pilvo tempimas</w:t>
            </w:r>
          </w:p>
        </w:tc>
        <w:tc>
          <w:tcPr>
            <w:tcW w:w="927" w:type="pct"/>
            <w:tcBorders>
              <w:top w:val="outset" w:sz="6" w:space="0" w:color="auto"/>
              <w:left w:val="outset" w:sz="6" w:space="0" w:color="auto"/>
              <w:bottom w:val="outset" w:sz="6" w:space="0" w:color="auto"/>
              <w:right w:val="outset" w:sz="6" w:space="0" w:color="auto"/>
            </w:tcBorders>
          </w:tcPr>
          <w:p w14:paraId="581B9DCF"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1,0</w:t>
            </w:r>
          </w:p>
        </w:tc>
        <w:tc>
          <w:tcPr>
            <w:tcW w:w="883" w:type="pct"/>
            <w:tcBorders>
              <w:top w:val="outset" w:sz="6" w:space="0" w:color="auto"/>
              <w:left w:val="outset" w:sz="6" w:space="0" w:color="auto"/>
              <w:bottom w:val="outset" w:sz="6" w:space="0" w:color="auto"/>
              <w:right w:val="outset" w:sz="6" w:space="0" w:color="auto"/>
            </w:tcBorders>
          </w:tcPr>
          <w:p w14:paraId="3681E591"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1,4</w:t>
            </w:r>
          </w:p>
        </w:tc>
        <w:tc>
          <w:tcPr>
            <w:tcW w:w="930" w:type="pct"/>
            <w:tcBorders>
              <w:top w:val="outset" w:sz="6" w:space="0" w:color="auto"/>
              <w:left w:val="outset" w:sz="6" w:space="0" w:color="auto"/>
              <w:bottom w:val="outset" w:sz="6" w:space="0" w:color="auto"/>
              <w:right w:val="outset" w:sz="6" w:space="0" w:color="auto"/>
            </w:tcBorders>
          </w:tcPr>
          <w:p w14:paraId="3050BD93"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1,0</w:t>
            </w:r>
          </w:p>
        </w:tc>
        <w:tc>
          <w:tcPr>
            <w:tcW w:w="792" w:type="pct"/>
            <w:tcBorders>
              <w:top w:val="outset" w:sz="6" w:space="0" w:color="auto"/>
              <w:left w:val="outset" w:sz="6" w:space="0" w:color="auto"/>
              <w:bottom w:val="outset" w:sz="6" w:space="0" w:color="auto"/>
              <w:right w:val="outset" w:sz="6" w:space="0" w:color="auto"/>
            </w:tcBorders>
          </w:tcPr>
          <w:p w14:paraId="24857856"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0,8</w:t>
            </w:r>
          </w:p>
        </w:tc>
      </w:tr>
      <w:tr w:rsidR="00030D15" w:rsidRPr="00857D68" w14:paraId="3CBAA0E1"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004301B0"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vidurių užkietėjimas</w:t>
            </w:r>
          </w:p>
        </w:tc>
        <w:tc>
          <w:tcPr>
            <w:tcW w:w="927" w:type="pct"/>
            <w:tcBorders>
              <w:top w:val="outset" w:sz="6" w:space="0" w:color="auto"/>
              <w:left w:val="outset" w:sz="6" w:space="0" w:color="auto"/>
              <w:bottom w:val="outset" w:sz="6" w:space="0" w:color="auto"/>
              <w:right w:val="outset" w:sz="6" w:space="0" w:color="auto"/>
            </w:tcBorders>
          </w:tcPr>
          <w:p w14:paraId="25A47E5A"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0,8</w:t>
            </w:r>
          </w:p>
        </w:tc>
        <w:tc>
          <w:tcPr>
            <w:tcW w:w="883" w:type="pct"/>
            <w:tcBorders>
              <w:top w:val="outset" w:sz="6" w:space="0" w:color="auto"/>
              <w:left w:val="outset" w:sz="6" w:space="0" w:color="auto"/>
              <w:bottom w:val="outset" w:sz="6" w:space="0" w:color="auto"/>
              <w:right w:val="outset" w:sz="6" w:space="0" w:color="auto"/>
            </w:tcBorders>
          </w:tcPr>
          <w:p w14:paraId="32900C21"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1,6</w:t>
            </w:r>
          </w:p>
        </w:tc>
        <w:tc>
          <w:tcPr>
            <w:tcW w:w="930" w:type="pct"/>
            <w:tcBorders>
              <w:top w:val="outset" w:sz="6" w:space="0" w:color="auto"/>
              <w:left w:val="outset" w:sz="6" w:space="0" w:color="auto"/>
              <w:bottom w:val="outset" w:sz="6" w:space="0" w:color="auto"/>
              <w:right w:val="outset" w:sz="6" w:space="0" w:color="auto"/>
            </w:tcBorders>
          </w:tcPr>
          <w:p w14:paraId="5B2E1026"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3,1</w:t>
            </w:r>
          </w:p>
        </w:tc>
        <w:tc>
          <w:tcPr>
            <w:tcW w:w="792" w:type="pct"/>
            <w:tcBorders>
              <w:top w:val="outset" w:sz="6" w:space="0" w:color="auto"/>
              <w:left w:val="outset" w:sz="6" w:space="0" w:color="auto"/>
              <w:bottom w:val="outset" w:sz="6" w:space="0" w:color="auto"/>
              <w:right w:val="outset" w:sz="6" w:space="0" w:color="auto"/>
            </w:tcBorders>
          </w:tcPr>
          <w:p w14:paraId="112E6A8F"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1,8</w:t>
            </w:r>
          </w:p>
        </w:tc>
      </w:tr>
      <w:tr w:rsidR="00030D15" w:rsidRPr="00857D68" w14:paraId="29B508A4"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5EBAA2AA"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viduriavimas</w:t>
            </w:r>
          </w:p>
        </w:tc>
        <w:tc>
          <w:tcPr>
            <w:tcW w:w="927" w:type="pct"/>
            <w:tcBorders>
              <w:top w:val="outset" w:sz="6" w:space="0" w:color="auto"/>
              <w:left w:val="outset" w:sz="6" w:space="0" w:color="auto"/>
              <w:bottom w:val="outset" w:sz="6" w:space="0" w:color="auto"/>
              <w:right w:val="outset" w:sz="6" w:space="0" w:color="auto"/>
            </w:tcBorders>
          </w:tcPr>
          <w:p w14:paraId="38FF462D"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0,6</w:t>
            </w:r>
          </w:p>
        </w:tc>
        <w:tc>
          <w:tcPr>
            <w:tcW w:w="883" w:type="pct"/>
            <w:tcBorders>
              <w:top w:val="outset" w:sz="6" w:space="0" w:color="auto"/>
              <w:left w:val="outset" w:sz="6" w:space="0" w:color="auto"/>
              <w:bottom w:val="outset" w:sz="6" w:space="0" w:color="auto"/>
              <w:right w:val="outset" w:sz="6" w:space="0" w:color="auto"/>
            </w:tcBorders>
          </w:tcPr>
          <w:p w14:paraId="3433EDD6"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0,5</w:t>
            </w:r>
          </w:p>
        </w:tc>
        <w:tc>
          <w:tcPr>
            <w:tcW w:w="930" w:type="pct"/>
            <w:tcBorders>
              <w:top w:val="outset" w:sz="6" w:space="0" w:color="auto"/>
              <w:left w:val="outset" w:sz="6" w:space="0" w:color="auto"/>
              <w:bottom w:val="outset" w:sz="6" w:space="0" w:color="auto"/>
              <w:right w:val="outset" w:sz="6" w:space="0" w:color="auto"/>
            </w:tcBorders>
          </w:tcPr>
          <w:p w14:paraId="4737FB24"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3,1</w:t>
            </w:r>
          </w:p>
        </w:tc>
        <w:tc>
          <w:tcPr>
            <w:tcW w:w="792" w:type="pct"/>
            <w:tcBorders>
              <w:top w:val="outset" w:sz="6" w:space="0" w:color="auto"/>
              <w:left w:val="outset" w:sz="6" w:space="0" w:color="auto"/>
              <w:bottom w:val="outset" w:sz="6" w:space="0" w:color="auto"/>
              <w:right w:val="outset" w:sz="6" w:space="0" w:color="auto"/>
            </w:tcBorders>
          </w:tcPr>
          <w:p w14:paraId="49AA6A18"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1,8</w:t>
            </w:r>
          </w:p>
        </w:tc>
      </w:tr>
      <w:tr w:rsidR="00030D15" w:rsidRPr="00857D68" w14:paraId="2137439B"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211940F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rijimo sutrikimas</w:t>
            </w:r>
          </w:p>
        </w:tc>
        <w:tc>
          <w:tcPr>
            <w:tcW w:w="927" w:type="pct"/>
            <w:tcBorders>
              <w:top w:val="outset" w:sz="6" w:space="0" w:color="auto"/>
              <w:left w:val="outset" w:sz="6" w:space="0" w:color="auto"/>
              <w:bottom w:val="outset" w:sz="6" w:space="0" w:color="auto"/>
              <w:right w:val="outset" w:sz="6" w:space="0" w:color="auto"/>
            </w:tcBorders>
          </w:tcPr>
          <w:p w14:paraId="60DDFED9"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0,4</w:t>
            </w:r>
          </w:p>
        </w:tc>
        <w:tc>
          <w:tcPr>
            <w:tcW w:w="883" w:type="pct"/>
            <w:tcBorders>
              <w:top w:val="outset" w:sz="6" w:space="0" w:color="auto"/>
              <w:left w:val="outset" w:sz="6" w:space="0" w:color="auto"/>
              <w:bottom w:val="outset" w:sz="6" w:space="0" w:color="auto"/>
              <w:right w:val="outset" w:sz="6" w:space="0" w:color="auto"/>
            </w:tcBorders>
          </w:tcPr>
          <w:p w14:paraId="3F86B0BC"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0,5</w:t>
            </w:r>
          </w:p>
        </w:tc>
        <w:tc>
          <w:tcPr>
            <w:tcW w:w="930" w:type="pct"/>
            <w:tcBorders>
              <w:top w:val="outset" w:sz="6" w:space="0" w:color="auto"/>
              <w:left w:val="outset" w:sz="6" w:space="0" w:color="auto"/>
              <w:bottom w:val="outset" w:sz="6" w:space="0" w:color="auto"/>
              <w:right w:val="outset" w:sz="6" w:space="0" w:color="auto"/>
            </w:tcBorders>
          </w:tcPr>
          <w:p w14:paraId="2D36F756"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1,0</w:t>
            </w:r>
          </w:p>
        </w:tc>
        <w:tc>
          <w:tcPr>
            <w:tcW w:w="792" w:type="pct"/>
            <w:tcBorders>
              <w:top w:val="outset" w:sz="6" w:space="0" w:color="auto"/>
              <w:left w:val="outset" w:sz="6" w:space="0" w:color="auto"/>
              <w:bottom w:val="outset" w:sz="6" w:space="0" w:color="auto"/>
              <w:right w:val="outset" w:sz="6" w:space="0" w:color="auto"/>
            </w:tcBorders>
          </w:tcPr>
          <w:p w14:paraId="30BB6C52"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r>
      <w:tr w:rsidR="00030D15" w:rsidRPr="00857D68" w14:paraId="12427534"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6029658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dujų susikaupimas</w:t>
            </w:r>
          </w:p>
        </w:tc>
        <w:tc>
          <w:tcPr>
            <w:tcW w:w="927" w:type="pct"/>
            <w:tcBorders>
              <w:top w:val="outset" w:sz="6" w:space="0" w:color="auto"/>
              <w:left w:val="outset" w:sz="6" w:space="0" w:color="auto"/>
              <w:bottom w:val="outset" w:sz="6" w:space="0" w:color="auto"/>
              <w:right w:val="outset" w:sz="6" w:space="0" w:color="auto"/>
            </w:tcBorders>
          </w:tcPr>
          <w:p w14:paraId="2F28CC2D"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0,4</w:t>
            </w:r>
          </w:p>
        </w:tc>
        <w:tc>
          <w:tcPr>
            <w:tcW w:w="883" w:type="pct"/>
            <w:tcBorders>
              <w:top w:val="outset" w:sz="6" w:space="0" w:color="auto"/>
              <w:left w:val="outset" w:sz="6" w:space="0" w:color="auto"/>
              <w:bottom w:val="outset" w:sz="6" w:space="0" w:color="auto"/>
              <w:right w:val="outset" w:sz="6" w:space="0" w:color="auto"/>
            </w:tcBorders>
          </w:tcPr>
          <w:p w14:paraId="4B2DB5E9"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1,6</w:t>
            </w:r>
          </w:p>
        </w:tc>
        <w:tc>
          <w:tcPr>
            <w:tcW w:w="930" w:type="pct"/>
            <w:tcBorders>
              <w:top w:val="outset" w:sz="6" w:space="0" w:color="auto"/>
              <w:left w:val="outset" w:sz="6" w:space="0" w:color="auto"/>
              <w:bottom w:val="outset" w:sz="6" w:space="0" w:color="auto"/>
              <w:right w:val="outset" w:sz="6" w:space="0" w:color="auto"/>
            </w:tcBorders>
          </w:tcPr>
          <w:p w14:paraId="33A88423"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2,6</w:t>
            </w:r>
          </w:p>
        </w:tc>
        <w:tc>
          <w:tcPr>
            <w:tcW w:w="792" w:type="pct"/>
            <w:tcBorders>
              <w:top w:val="outset" w:sz="6" w:space="0" w:color="auto"/>
              <w:left w:val="outset" w:sz="6" w:space="0" w:color="auto"/>
              <w:bottom w:val="outset" w:sz="6" w:space="0" w:color="auto"/>
              <w:right w:val="outset" w:sz="6" w:space="0" w:color="auto"/>
            </w:tcBorders>
          </w:tcPr>
          <w:p w14:paraId="62E1FA0B"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0,5</w:t>
            </w:r>
          </w:p>
        </w:tc>
      </w:tr>
      <w:tr w:rsidR="00030D15" w:rsidRPr="00857D68" w14:paraId="513B2F0C"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1A971360"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gastritas</w:t>
            </w:r>
          </w:p>
        </w:tc>
        <w:tc>
          <w:tcPr>
            <w:tcW w:w="927" w:type="pct"/>
            <w:tcBorders>
              <w:top w:val="outset" w:sz="6" w:space="0" w:color="auto"/>
              <w:left w:val="outset" w:sz="6" w:space="0" w:color="auto"/>
              <w:bottom w:val="outset" w:sz="6" w:space="0" w:color="auto"/>
              <w:right w:val="outset" w:sz="6" w:space="0" w:color="auto"/>
            </w:tcBorders>
          </w:tcPr>
          <w:p w14:paraId="30CF084B"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0,2</w:t>
            </w:r>
          </w:p>
        </w:tc>
        <w:tc>
          <w:tcPr>
            <w:tcW w:w="883" w:type="pct"/>
            <w:tcBorders>
              <w:top w:val="outset" w:sz="6" w:space="0" w:color="auto"/>
              <w:left w:val="outset" w:sz="6" w:space="0" w:color="auto"/>
              <w:bottom w:val="outset" w:sz="6" w:space="0" w:color="auto"/>
              <w:right w:val="outset" w:sz="6" w:space="0" w:color="auto"/>
            </w:tcBorders>
          </w:tcPr>
          <w:p w14:paraId="117DE47D"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1,1</w:t>
            </w:r>
          </w:p>
        </w:tc>
        <w:tc>
          <w:tcPr>
            <w:tcW w:w="930" w:type="pct"/>
            <w:tcBorders>
              <w:top w:val="outset" w:sz="6" w:space="0" w:color="auto"/>
              <w:left w:val="outset" w:sz="6" w:space="0" w:color="auto"/>
              <w:bottom w:val="outset" w:sz="6" w:space="0" w:color="auto"/>
              <w:right w:val="outset" w:sz="6" w:space="0" w:color="auto"/>
            </w:tcBorders>
          </w:tcPr>
          <w:p w14:paraId="25B34E94"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0,5</w:t>
            </w:r>
          </w:p>
        </w:tc>
        <w:tc>
          <w:tcPr>
            <w:tcW w:w="792" w:type="pct"/>
            <w:tcBorders>
              <w:top w:val="outset" w:sz="6" w:space="0" w:color="auto"/>
              <w:left w:val="outset" w:sz="6" w:space="0" w:color="auto"/>
              <w:bottom w:val="outset" w:sz="6" w:space="0" w:color="auto"/>
              <w:right w:val="outset" w:sz="6" w:space="0" w:color="auto"/>
            </w:tcBorders>
          </w:tcPr>
          <w:p w14:paraId="6ADA3BF6"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1,3</w:t>
            </w:r>
          </w:p>
        </w:tc>
      </w:tr>
      <w:tr w:rsidR="00030D15" w:rsidRPr="00857D68" w14:paraId="4324A88E"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6688C1BD"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skrandžio opa</w:t>
            </w:r>
          </w:p>
        </w:tc>
        <w:tc>
          <w:tcPr>
            <w:tcW w:w="927" w:type="pct"/>
            <w:tcBorders>
              <w:top w:val="outset" w:sz="6" w:space="0" w:color="auto"/>
              <w:left w:val="outset" w:sz="6" w:space="0" w:color="auto"/>
              <w:bottom w:val="outset" w:sz="6" w:space="0" w:color="auto"/>
              <w:right w:val="outset" w:sz="6" w:space="0" w:color="auto"/>
            </w:tcBorders>
          </w:tcPr>
          <w:p w14:paraId="277D5C75"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c>
          <w:tcPr>
            <w:tcW w:w="883" w:type="pct"/>
            <w:tcBorders>
              <w:top w:val="outset" w:sz="6" w:space="0" w:color="auto"/>
              <w:left w:val="outset" w:sz="6" w:space="0" w:color="auto"/>
              <w:bottom w:val="outset" w:sz="6" w:space="0" w:color="auto"/>
              <w:right w:val="outset" w:sz="6" w:space="0" w:color="auto"/>
            </w:tcBorders>
          </w:tcPr>
          <w:p w14:paraId="0F50C475"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1,1</w:t>
            </w:r>
          </w:p>
        </w:tc>
        <w:tc>
          <w:tcPr>
            <w:tcW w:w="930" w:type="pct"/>
            <w:tcBorders>
              <w:top w:val="outset" w:sz="6" w:space="0" w:color="auto"/>
              <w:left w:val="outset" w:sz="6" w:space="0" w:color="auto"/>
              <w:bottom w:val="outset" w:sz="6" w:space="0" w:color="auto"/>
              <w:right w:val="outset" w:sz="6" w:space="0" w:color="auto"/>
            </w:tcBorders>
          </w:tcPr>
          <w:p w14:paraId="288D68B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c>
          <w:tcPr>
            <w:tcW w:w="792" w:type="pct"/>
            <w:tcBorders>
              <w:top w:val="outset" w:sz="6" w:space="0" w:color="auto"/>
              <w:left w:val="outset" w:sz="6" w:space="0" w:color="auto"/>
              <w:bottom w:val="outset" w:sz="6" w:space="0" w:color="auto"/>
              <w:right w:val="outset" w:sz="6" w:space="0" w:color="auto"/>
            </w:tcBorders>
          </w:tcPr>
          <w:p w14:paraId="53F6EE66"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r>
      <w:tr w:rsidR="00030D15" w:rsidRPr="00857D68" w14:paraId="6422874B"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70631FD5"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stemplės opa</w:t>
            </w:r>
          </w:p>
        </w:tc>
        <w:tc>
          <w:tcPr>
            <w:tcW w:w="927" w:type="pct"/>
            <w:tcBorders>
              <w:top w:val="outset" w:sz="6" w:space="0" w:color="auto"/>
              <w:left w:val="outset" w:sz="6" w:space="0" w:color="auto"/>
              <w:bottom w:val="outset" w:sz="6" w:space="0" w:color="auto"/>
              <w:right w:val="outset" w:sz="6" w:space="0" w:color="auto"/>
            </w:tcBorders>
          </w:tcPr>
          <w:p w14:paraId="25C91CD3"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c>
          <w:tcPr>
            <w:tcW w:w="883" w:type="pct"/>
            <w:tcBorders>
              <w:top w:val="outset" w:sz="6" w:space="0" w:color="auto"/>
              <w:left w:val="outset" w:sz="6" w:space="0" w:color="auto"/>
              <w:bottom w:val="outset" w:sz="6" w:space="0" w:color="auto"/>
              <w:right w:val="outset" w:sz="6" w:space="0" w:color="auto"/>
            </w:tcBorders>
          </w:tcPr>
          <w:p w14:paraId="2F639A9A"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c>
          <w:tcPr>
            <w:tcW w:w="930" w:type="pct"/>
            <w:tcBorders>
              <w:top w:val="outset" w:sz="6" w:space="0" w:color="auto"/>
              <w:left w:val="outset" w:sz="6" w:space="0" w:color="auto"/>
              <w:bottom w:val="outset" w:sz="6" w:space="0" w:color="auto"/>
              <w:right w:val="outset" w:sz="6" w:space="0" w:color="auto"/>
            </w:tcBorders>
          </w:tcPr>
          <w:p w14:paraId="1B2ED885"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1,5</w:t>
            </w:r>
          </w:p>
        </w:tc>
        <w:tc>
          <w:tcPr>
            <w:tcW w:w="792" w:type="pct"/>
            <w:tcBorders>
              <w:top w:val="outset" w:sz="6" w:space="0" w:color="auto"/>
              <w:left w:val="outset" w:sz="6" w:space="0" w:color="auto"/>
              <w:bottom w:val="outset" w:sz="6" w:space="0" w:color="auto"/>
              <w:right w:val="outset" w:sz="6" w:space="0" w:color="auto"/>
            </w:tcBorders>
          </w:tcPr>
          <w:p w14:paraId="6F35203C"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r>
      <w:tr w:rsidR="00030D15" w:rsidRPr="00857D68" w14:paraId="7C050771"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1BAD3EDC"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i/>
                <w:iCs/>
              </w:rPr>
              <w:t>Skeleto, raumenų ir jungiamojo audinio sutrikimai</w:t>
            </w:r>
          </w:p>
        </w:tc>
        <w:tc>
          <w:tcPr>
            <w:tcW w:w="927" w:type="pct"/>
            <w:tcBorders>
              <w:top w:val="outset" w:sz="6" w:space="0" w:color="auto"/>
              <w:left w:val="outset" w:sz="6" w:space="0" w:color="auto"/>
              <w:bottom w:val="outset" w:sz="6" w:space="0" w:color="auto"/>
              <w:right w:val="outset" w:sz="6" w:space="0" w:color="auto"/>
            </w:tcBorders>
          </w:tcPr>
          <w:p w14:paraId="60514600"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883" w:type="pct"/>
            <w:tcBorders>
              <w:top w:val="outset" w:sz="6" w:space="0" w:color="auto"/>
              <w:left w:val="outset" w:sz="6" w:space="0" w:color="auto"/>
              <w:bottom w:val="outset" w:sz="6" w:space="0" w:color="auto"/>
              <w:right w:val="outset" w:sz="6" w:space="0" w:color="auto"/>
            </w:tcBorders>
          </w:tcPr>
          <w:p w14:paraId="28F7642A"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930" w:type="pct"/>
            <w:tcBorders>
              <w:top w:val="outset" w:sz="6" w:space="0" w:color="auto"/>
              <w:left w:val="outset" w:sz="6" w:space="0" w:color="auto"/>
              <w:bottom w:val="outset" w:sz="6" w:space="0" w:color="auto"/>
              <w:right w:val="outset" w:sz="6" w:space="0" w:color="auto"/>
            </w:tcBorders>
          </w:tcPr>
          <w:p w14:paraId="35CA63E5"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792" w:type="pct"/>
            <w:tcBorders>
              <w:top w:val="outset" w:sz="6" w:space="0" w:color="auto"/>
              <w:left w:val="outset" w:sz="6" w:space="0" w:color="auto"/>
              <w:bottom w:val="outset" w:sz="6" w:space="0" w:color="auto"/>
              <w:right w:val="outset" w:sz="6" w:space="0" w:color="auto"/>
            </w:tcBorders>
          </w:tcPr>
          <w:p w14:paraId="30670A5B"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r>
      <w:tr w:rsidR="00030D15" w:rsidRPr="00857D68" w14:paraId="5130B39A"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67FB77B4"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kaulų, raumenų (kaulų, raumenų arba sąnarių) skausmas</w:t>
            </w:r>
          </w:p>
        </w:tc>
        <w:tc>
          <w:tcPr>
            <w:tcW w:w="927" w:type="pct"/>
            <w:tcBorders>
              <w:top w:val="outset" w:sz="6" w:space="0" w:color="auto"/>
              <w:left w:val="outset" w:sz="6" w:space="0" w:color="auto"/>
              <w:bottom w:val="outset" w:sz="6" w:space="0" w:color="auto"/>
              <w:right w:val="outset" w:sz="6" w:space="0" w:color="auto"/>
            </w:tcBorders>
          </w:tcPr>
          <w:p w14:paraId="352C25C2"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2,9</w:t>
            </w:r>
          </w:p>
        </w:tc>
        <w:tc>
          <w:tcPr>
            <w:tcW w:w="883" w:type="pct"/>
            <w:tcBorders>
              <w:top w:val="outset" w:sz="6" w:space="0" w:color="auto"/>
              <w:left w:val="outset" w:sz="6" w:space="0" w:color="auto"/>
              <w:bottom w:val="outset" w:sz="6" w:space="0" w:color="auto"/>
              <w:right w:val="outset" w:sz="6" w:space="0" w:color="auto"/>
            </w:tcBorders>
          </w:tcPr>
          <w:p w14:paraId="79B1567E"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3,2</w:t>
            </w:r>
          </w:p>
        </w:tc>
        <w:tc>
          <w:tcPr>
            <w:tcW w:w="930" w:type="pct"/>
            <w:tcBorders>
              <w:top w:val="outset" w:sz="6" w:space="0" w:color="auto"/>
              <w:left w:val="outset" w:sz="6" w:space="0" w:color="auto"/>
              <w:bottom w:val="outset" w:sz="6" w:space="0" w:color="auto"/>
              <w:right w:val="outset" w:sz="6" w:space="0" w:color="auto"/>
            </w:tcBorders>
          </w:tcPr>
          <w:p w14:paraId="235029DE"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4,1</w:t>
            </w:r>
          </w:p>
        </w:tc>
        <w:tc>
          <w:tcPr>
            <w:tcW w:w="792" w:type="pct"/>
            <w:tcBorders>
              <w:top w:val="outset" w:sz="6" w:space="0" w:color="auto"/>
              <w:left w:val="outset" w:sz="6" w:space="0" w:color="auto"/>
              <w:bottom w:val="outset" w:sz="6" w:space="0" w:color="auto"/>
              <w:right w:val="outset" w:sz="6" w:space="0" w:color="auto"/>
            </w:tcBorders>
          </w:tcPr>
          <w:p w14:paraId="5562FA7F"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2,5</w:t>
            </w:r>
          </w:p>
        </w:tc>
      </w:tr>
      <w:tr w:rsidR="00030D15" w:rsidRPr="00857D68" w14:paraId="7D4FBAA0"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5466F023"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raumenų mėšlungis</w:t>
            </w:r>
          </w:p>
        </w:tc>
        <w:tc>
          <w:tcPr>
            <w:tcW w:w="927" w:type="pct"/>
            <w:tcBorders>
              <w:top w:val="outset" w:sz="6" w:space="0" w:color="auto"/>
              <w:left w:val="outset" w:sz="6" w:space="0" w:color="auto"/>
              <w:bottom w:val="outset" w:sz="6" w:space="0" w:color="auto"/>
              <w:right w:val="outset" w:sz="6" w:space="0" w:color="auto"/>
            </w:tcBorders>
          </w:tcPr>
          <w:p w14:paraId="0C175CB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0,2</w:t>
            </w:r>
          </w:p>
        </w:tc>
        <w:tc>
          <w:tcPr>
            <w:tcW w:w="883" w:type="pct"/>
            <w:tcBorders>
              <w:top w:val="outset" w:sz="6" w:space="0" w:color="auto"/>
              <w:left w:val="outset" w:sz="6" w:space="0" w:color="auto"/>
              <w:bottom w:val="outset" w:sz="6" w:space="0" w:color="auto"/>
              <w:right w:val="outset" w:sz="6" w:space="0" w:color="auto"/>
            </w:tcBorders>
          </w:tcPr>
          <w:p w14:paraId="774C7E7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1,1</w:t>
            </w:r>
          </w:p>
        </w:tc>
        <w:tc>
          <w:tcPr>
            <w:tcW w:w="930" w:type="pct"/>
            <w:tcBorders>
              <w:top w:val="outset" w:sz="6" w:space="0" w:color="auto"/>
              <w:left w:val="outset" w:sz="6" w:space="0" w:color="auto"/>
              <w:bottom w:val="outset" w:sz="6" w:space="0" w:color="auto"/>
              <w:right w:val="outset" w:sz="6" w:space="0" w:color="auto"/>
            </w:tcBorders>
          </w:tcPr>
          <w:p w14:paraId="4C9C9EF4"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0,0</w:t>
            </w:r>
          </w:p>
        </w:tc>
        <w:tc>
          <w:tcPr>
            <w:tcW w:w="792" w:type="pct"/>
            <w:tcBorders>
              <w:top w:val="outset" w:sz="6" w:space="0" w:color="auto"/>
              <w:left w:val="outset" w:sz="6" w:space="0" w:color="auto"/>
              <w:bottom w:val="outset" w:sz="6" w:space="0" w:color="auto"/>
              <w:right w:val="outset" w:sz="6" w:space="0" w:color="auto"/>
            </w:tcBorders>
          </w:tcPr>
          <w:p w14:paraId="2F8ADD12"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1,0</w:t>
            </w:r>
          </w:p>
        </w:tc>
      </w:tr>
      <w:tr w:rsidR="00030D15" w:rsidRPr="00857D68" w14:paraId="41A928E9"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76B78A14"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927" w:type="pct"/>
            <w:tcBorders>
              <w:top w:val="outset" w:sz="6" w:space="0" w:color="auto"/>
              <w:left w:val="outset" w:sz="6" w:space="0" w:color="auto"/>
              <w:bottom w:val="outset" w:sz="6" w:space="0" w:color="auto"/>
              <w:right w:val="outset" w:sz="6" w:space="0" w:color="auto"/>
            </w:tcBorders>
          </w:tcPr>
          <w:p w14:paraId="7A390824"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883" w:type="pct"/>
            <w:tcBorders>
              <w:top w:val="outset" w:sz="6" w:space="0" w:color="auto"/>
              <w:left w:val="outset" w:sz="6" w:space="0" w:color="auto"/>
              <w:bottom w:val="outset" w:sz="6" w:space="0" w:color="auto"/>
              <w:right w:val="outset" w:sz="6" w:space="0" w:color="auto"/>
            </w:tcBorders>
          </w:tcPr>
          <w:p w14:paraId="78FA360D"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930" w:type="pct"/>
            <w:tcBorders>
              <w:top w:val="outset" w:sz="6" w:space="0" w:color="auto"/>
              <w:left w:val="outset" w:sz="6" w:space="0" w:color="auto"/>
              <w:bottom w:val="outset" w:sz="6" w:space="0" w:color="auto"/>
              <w:right w:val="outset" w:sz="6" w:space="0" w:color="auto"/>
            </w:tcBorders>
          </w:tcPr>
          <w:p w14:paraId="31F87CFF"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792" w:type="pct"/>
            <w:tcBorders>
              <w:top w:val="outset" w:sz="6" w:space="0" w:color="auto"/>
              <w:left w:val="outset" w:sz="6" w:space="0" w:color="auto"/>
              <w:bottom w:val="outset" w:sz="6" w:space="0" w:color="auto"/>
              <w:right w:val="outset" w:sz="6" w:space="0" w:color="auto"/>
            </w:tcBorders>
          </w:tcPr>
          <w:p w14:paraId="24E0083F"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r>
      <w:tr w:rsidR="00030D15" w:rsidRPr="00857D68" w14:paraId="2593C82D"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11934C30"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i/>
                <w:iCs/>
              </w:rPr>
              <w:t>Nervų sistemos sutrikimai</w:t>
            </w:r>
          </w:p>
        </w:tc>
        <w:tc>
          <w:tcPr>
            <w:tcW w:w="927" w:type="pct"/>
            <w:tcBorders>
              <w:top w:val="outset" w:sz="6" w:space="0" w:color="auto"/>
              <w:left w:val="outset" w:sz="6" w:space="0" w:color="auto"/>
              <w:bottom w:val="outset" w:sz="6" w:space="0" w:color="auto"/>
              <w:right w:val="outset" w:sz="6" w:space="0" w:color="auto"/>
            </w:tcBorders>
          </w:tcPr>
          <w:p w14:paraId="5ADE833C"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883" w:type="pct"/>
            <w:tcBorders>
              <w:top w:val="outset" w:sz="6" w:space="0" w:color="auto"/>
              <w:left w:val="outset" w:sz="6" w:space="0" w:color="auto"/>
              <w:bottom w:val="outset" w:sz="6" w:space="0" w:color="auto"/>
              <w:right w:val="outset" w:sz="6" w:space="0" w:color="auto"/>
            </w:tcBorders>
          </w:tcPr>
          <w:p w14:paraId="255D7EAC"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930" w:type="pct"/>
            <w:tcBorders>
              <w:top w:val="outset" w:sz="6" w:space="0" w:color="auto"/>
              <w:left w:val="outset" w:sz="6" w:space="0" w:color="auto"/>
              <w:bottom w:val="outset" w:sz="6" w:space="0" w:color="auto"/>
              <w:right w:val="outset" w:sz="6" w:space="0" w:color="auto"/>
            </w:tcBorders>
          </w:tcPr>
          <w:p w14:paraId="0ED15937"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c>
          <w:tcPr>
            <w:tcW w:w="792" w:type="pct"/>
            <w:tcBorders>
              <w:top w:val="outset" w:sz="6" w:space="0" w:color="auto"/>
              <w:left w:val="outset" w:sz="6" w:space="0" w:color="auto"/>
              <w:bottom w:val="outset" w:sz="6" w:space="0" w:color="auto"/>
              <w:right w:val="outset" w:sz="6" w:space="0" w:color="auto"/>
            </w:tcBorders>
          </w:tcPr>
          <w:p w14:paraId="10584676"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w:t>
            </w:r>
          </w:p>
        </w:tc>
      </w:tr>
      <w:tr w:rsidR="00030D15" w:rsidRPr="00857D68" w14:paraId="6671CFD1" w14:textId="77777777" w:rsidTr="00BA68CB">
        <w:trPr>
          <w:tblCellSpacing w:w="0" w:type="dxa"/>
        </w:trPr>
        <w:tc>
          <w:tcPr>
            <w:tcW w:w="1468" w:type="pct"/>
            <w:tcBorders>
              <w:top w:val="outset" w:sz="6" w:space="0" w:color="auto"/>
              <w:left w:val="outset" w:sz="6" w:space="0" w:color="auto"/>
              <w:bottom w:val="outset" w:sz="6" w:space="0" w:color="auto"/>
              <w:right w:val="outset" w:sz="6" w:space="0" w:color="auto"/>
            </w:tcBorders>
          </w:tcPr>
          <w:p w14:paraId="31733FBD"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galvos skausmas</w:t>
            </w:r>
          </w:p>
        </w:tc>
        <w:tc>
          <w:tcPr>
            <w:tcW w:w="927" w:type="pct"/>
            <w:tcBorders>
              <w:top w:val="outset" w:sz="6" w:space="0" w:color="auto"/>
              <w:left w:val="outset" w:sz="6" w:space="0" w:color="auto"/>
              <w:bottom w:val="outset" w:sz="6" w:space="0" w:color="auto"/>
              <w:right w:val="outset" w:sz="6" w:space="0" w:color="auto"/>
            </w:tcBorders>
          </w:tcPr>
          <w:p w14:paraId="2D6103E3"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0,4</w:t>
            </w:r>
          </w:p>
        </w:tc>
        <w:tc>
          <w:tcPr>
            <w:tcW w:w="883" w:type="pct"/>
            <w:tcBorders>
              <w:top w:val="outset" w:sz="6" w:space="0" w:color="auto"/>
              <w:left w:val="outset" w:sz="6" w:space="0" w:color="auto"/>
              <w:bottom w:val="outset" w:sz="6" w:space="0" w:color="auto"/>
              <w:right w:val="outset" w:sz="6" w:space="0" w:color="auto"/>
            </w:tcBorders>
          </w:tcPr>
          <w:p w14:paraId="7DDEE737"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0,3</w:t>
            </w:r>
          </w:p>
        </w:tc>
        <w:tc>
          <w:tcPr>
            <w:tcW w:w="930" w:type="pct"/>
            <w:tcBorders>
              <w:top w:val="outset" w:sz="6" w:space="0" w:color="auto"/>
              <w:left w:val="outset" w:sz="6" w:space="0" w:color="auto"/>
              <w:bottom w:val="outset" w:sz="6" w:space="0" w:color="auto"/>
              <w:right w:val="outset" w:sz="6" w:space="0" w:color="auto"/>
            </w:tcBorders>
          </w:tcPr>
          <w:p w14:paraId="6B591B52"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2,6</w:t>
            </w:r>
          </w:p>
        </w:tc>
        <w:tc>
          <w:tcPr>
            <w:tcW w:w="792" w:type="pct"/>
            <w:tcBorders>
              <w:top w:val="outset" w:sz="6" w:space="0" w:color="auto"/>
              <w:left w:val="outset" w:sz="6" w:space="0" w:color="auto"/>
              <w:bottom w:val="outset" w:sz="6" w:space="0" w:color="auto"/>
              <w:right w:val="outset" w:sz="6" w:space="0" w:color="auto"/>
            </w:tcBorders>
          </w:tcPr>
          <w:p w14:paraId="5479F9D2" w14:textId="77777777" w:rsidR="00030D15" w:rsidRPr="00857D68" w:rsidRDefault="00030D15" w:rsidP="00BA68CB">
            <w:pPr>
              <w:spacing w:before="100" w:beforeAutospacing="1" w:after="100" w:afterAutospacing="1" w:line="240" w:lineRule="auto"/>
              <w:rPr>
                <w:rFonts w:ascii="Times New Roman" w:eastAsia="Times New Roman" w:hAnsi="Times New Roman" w:cs="Times New Roman"/>
              </w:rPr>
            </w:pPr>
            <w:r w:rsidRPr="00857D68">
              <w:rPr>
                <w:rFonts w:ascii="Times New Roman" w:eastAsia="Times New Roman" w:hAnsi="Times New Roman" w:cs="Times New Roman"/>
              </w:rPr>
              <w:t>1,5</w:t>
            </w:r>
          </w:p>
        </w:tc>
      </w:tr>
    </w:tbl>
    <w:p w14:paraId="373E7FA9" w14:textId="77777777" w:rsidR="00030D15" w:rsidRPr="00857D68" w:rsidRDefault="00030D15" w:rsidP="00030D15">
      <w:pPr>
        <w:spacing w:after="0" w:line="240" w:lineRule="auto"/>
        <w:rPr>
          <w:rFonts w:ascii="Times New Roman" w:eastAsia="Times New Roman" w:hAnsi="Times New Roman" w:cs="Times New Roman"/>
        </w:rPr>
      </w:pPr>
    </w:p>
    <w:p w14:paraId="73B43E19" w14:textId="77777777" w:rsidR="00030D15" w:rsidRPr="00857D68" w:rsidRDefault="00030D15" w:rsidP="00030D15">
      <w:pPr>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Nepageidaujamų reakcijų santrauka lentelėje</w:t>
      </w:r>
    </w:p>
    <w:p w14:paraId="64BF3EC3"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Apie toliau aprašytus nepageidaujamus reiškinius buvo pranešta klinikinių tyrimų metu ir (arba) po vaisto patekimo į rinką.</w:t>
      </w:r>
    </w:p>
    <w:p w14:paraId="17D7BE72"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 </w:t>
      </w:r>
    </w:p>
    <w:p w14:paraId="4AB1DBB4" w14:textId="50B3BDB2" w:rsidR="00030D15" w:rsidRPr="00857D68" w:rsidRDefault="00030D15" w:rsidP="00030D15">
      <w:pPr>
        <w:tabs>
          <w:tab w:val="left" w:pos="567"/>
        </w:tabs>
        <w:spacing w:after="0" w:line="260" w:lineRule="exact"/>
        <w:rPr>
          <w:rFonts w:ascii="Times New Roman" w:eastAsia="Times New Roman" w:hAnsi="Times New Roman" w:cs="Times New Roman"/>
          <w:iCs/>
        </w:rPr>
      </w:pPr>
      <w:r w:rsidRPr="00857D68">
        <w:rPr>
          <w:rFonts w:ascii="Times New Roman" w:eastAsia="Times New Roman" w:hAnsi="Times New Roman" w:cs="Times New Roman"/>
        </w:rPr>
        <w:t>Nepageidaujamo poveikio dažnis apibūdinamas taip</w:t>
      </w:r>
      <w:r w:rsidRPr="00857D68">
        <w:rPr>
          <w:rFonts w:ascii="Times New Roman" w:eastAsia="Times New Roman" w:hAnsi="Times New Roman" w:cs="Times New Roman"/>
          <w:iCs/>
        </w:rPr>
        <w:t>: labai dažni (≥ 1/10), dažni (≥ 1/100, &lt; 1/10), nedažni (≥ 1/1000, &lt; 1/100), reti (≥ 1/10000, &lt; 1/1000), labai reti (&lt; 1/10000)</w:t>
      </w:r>
      <w:r w:rsidR="00C85EB4">
        <w:rPr>
          <w:rFonts w:ascii="Times New Roman" w:eastAsia="Times New Roman" w:hAnsi="Times New Roman" w:cs="Times New Roman"/>
          <w:iCs/>
        </w:rPr>
        <w:t>, dažnis nežinomas (</w:t>
      </w:r>
      <w:r w:rsidR="002E6682" w:rsidRPr="00DC4AB7">
        <w:rPr>
          <w:rFonts w:ascii="Times New Roman" w:eastAsia="Times New Roman" w:hAnsi="Times New Roman" w:cs="Times New Roman"/>
          <w:iCs/>
        </w:rPr>
        <w:t>negali būti apskaičiuotas pagal turimus duomenis)</w:t>
      </w:r>
    </w:p>
    <w:p w14:paraId="24465C63" w14:textId="77777777" w:rsidR="00030D15" w:rsidRPr="00857D68" w:rsidRDefault="00030D15" w:rsidP="00030D15">
      <w:pPr>
        <w:tabs>
          <w:tab w:val="left" w:pos="567"/>
        </w:tabs>
        <w:spacing w:after="0" w:line="260" w:lineRule="exact"/>
        <w:rPr>
          <w:rFonts w:ascii="Times New Roman" w:eastAsia="Times New Roman" w:hAnsi="Times New Roman" w:cs="Times New Roman"/>
          <w:iCs/>
        </w:rPr>
      </w:pPr>
    </w:p>
    <w:tbl>
      <w:tblPr>
        <w:tblW w:w="458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14"/>
        <w:gridCol w:w="2566"/>
        <w:gridCol w:w="2736"/>
      </w:tblGrid>
      <w:tr w:rsidR="00030D15" w:rsidRPr="00857D68" w14:paraId="772E9F15" w14:textId="77777777" w:rsidTr="00783AD2">
        <w:tc>
          <w:tcPr>
            <w:tcW w:w="1812" w:type="pct"/>
          </w:tcPr>
          <w:p w14:paraId="3A530D32" w14:textId="77777777" w:rsidR="00030D15" w:rsidRPr="00857D68" w:rsidRDefault="00030D15" w:rsidP="00BA68CB">
            <w:pPr>
              <w:tabs>
                <w:tab w:val="left" w:pos="567"/>
              </w:tabs>
              <w:spacing w:after="0" w:line="260" w:lineRule="exact"/>
              <w:rPr>
                <w:rFonts w:ascii="Times New Roman" w:eastAsia="Times New Roman" w:hAnsi="Times New Roman" w:cs="Times New Roman"/>
                <w:b/>
                <w:bCs/>
                <w:color w:val="000000"/>
              </w:rPr>
            </w:pPr>
            <w:r w:rsidRPr="00857D68">
              <w:rPr>
                <w:rFonts w:ascii="Times New Roman" w:eastAsia="Times New Roman" w:hAnsi="Times New Roman" w:cs="Times New Roman"/>
                <w:b/>
                <w:bCs/>
                <w:color w:val="000000"/>
              </w:rPr>
              <w:t>Organų sistemos klasė</w:t>
            </w:r>
          </w:p>
        </w:tc>
        <w:tc>
          <w:tcPr>
            <w:tcW w:w="1543" w:type="pct"/>
          </w:tcPr>
          <w:p w14:paraId="1F2DF8BB" w14:textId="77777777" w:rsidR="00030D15" w:rsidRPr="00857D68" w:rsidRDefault="00030D15" w:rsidP="00BA68CB">
            <w:pPr>
              <w:tabs>
                <w:tab w:val="left" w:pos="567"/>
              </w:tabs>
              <w:spacing w:after="0" w:line="260" w:lineRule="exact"/>
              <w:rPr>
                <w:rFonts w:ascii="Times New Roman" w:eastAsia="Times New Roman" w:hAnsi="Times New Roman" w:cs="Times New Roman"/>
                <w:b/>
                <w:bCs/>
                <w:color w:val="000000"/>
              </w:rPr>
            </w:pPr>
            <w:r w:rsidRPr="00857D68">
              <w:rPr>
                <w:rFonts w:ascii="Times New Roman" w:eastAsia="Times New Roman" w:hAnsi="Times New Roman" w:cs="Times New Roman"/>
                <w:b/>
                <w:bCs/>
                <w:color w:val="000000"/>
              </w:rPr>
              <w:t>Dažnis</w:t>
            </w:r>
          </w:p>
        </w:tc>
        <w:tc>
          <w:tcPr>
            <w:tcW w:w="1645" w:type="pct"/>
          </w:tcPr>
          <w:p w14:paraId="41ABCEF0" w14:textId="77777777" w:rsidR="00030D15" w:rsidRPr="00857D68" w:rsidRDefault="00030D15" w:rsidP="00BA68CB">
            <w:pPr>
              <w:tabs>
                <w:tab w:val="left" w:pos="567"/>
              </w:tabs>
              <w:spacing w:after="0" w:line="260" w:lineRule="exact"/>
              <w:rPr>
                <w:rFonts w:ascii="Times New Roman" w:eastAsia="Times New Roman" w:hAnsi="Times New Roman" w:cs="Times New Roman"/>
                <w:b/>
                <w:bCs/>
                <w:color w:val="000000"/>
              </w:rPr>
            </w:pPr>
            <w:r w:rsidRPr="00857D68">
              <w:rPr>
                <w:rFonts w:ascii="Times New Roman" w:eastAsia="Times New Roman" w:hAnsi="Times New Roman" w:cs="Times New Roman"/>
                <w:b/>
                <w:bCs/>
                <w:color w:val="000000"/>
              </w:rPr>
              <w:t>Nepageidaujamo poveikio terminas</w:t>
            </w:r>
          </w:p>
        </w:tc>
      </w:tr>
      <w:tr w:rsidR="00030D15" w:rsidRPr="00857D68" w14:paraId="00654F74" w14:textId="77777777" w:rsidTr="00783AD2">
        <w:tc>
          <w:tcPr>
            <w:tcW w:w="1812" w:type="pct"/>
          </w:tcPr>
          <w:p w14:paraId="5299D6EC" w14:textId="77777777" w:rsidR="00030D15" w:rsidRPr="00857D68" w:rsidRDefault="00030D15" w:rsidP="00BA68CB">
            <w:pPr>
              <w:tabs>
                <w:tab w:val="left" w:pos="567"/>
              </w:tabs>
              <w:spacing w:after="0" w:line="260" w:lineRule="exact"/>
              <w:rPr>
                <w:rFonts w:ascii="Times New Roman" w:eastAsia="Times New Roman" w:hAnsi="Times New Roman" w:cs="Times New Roman"/>
                <w:b/>
                <w:color w:val="000000"/>
              </w:rPr>
            </w:pPr>
            <w:r w:rsidRPr="00857D68">
              <w:rPr>
                <w:rFonts w:ascii="Times New Roman" w:eastAsia="Times New Roman" w:hAnsi="Times New Roman" w:cs="Times New Roman"/>
                <w:b/>
                <w:color w:val="000000"/>
              </w:rPr>
              <w:t>Imuninės sistemos sutrikimai:</w:t>
            </w:r>
          </w:p>
        </w:tc>
        <w:tc>
          <w:tcPr>
            <w:tcW w:w="1543" w:type="pct"/>
          </w:tcPr>
          <w:p w14:paraId="72D703F5"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Reti</w:t>
            </w:r>
          </w:p>
        </w:tc>
        <w:tc>
          <w:tcPr>
            <w:tcW w:w="1645" w:type="pct"/>
          </w:tcPr>
          <w:p w14:paraId="3DBFC13E"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 xml:space="preserve">padidėjusio jautrumo reakcijos, įskaitant dilgėlinę ir angioedemą </w:t>
            </w:r>
          </w:p>
        </w:tc>
      </w:tr>
      <w:tr w:rsidR="00030D15" w:rsidRPr="00857D68" w14:paraId="22B1272B" w14:textId="77777777" w:rsidTr="00783AD2">
        <w:tc>
          <w:tcPr>
            <w:tcW w:w="1812" w:type="pct"/>
          </w:tcPr>
          <w:p w14:paraId="49A5C625" w14:textId="77777777" w:rsidR="00030D15" w:rsidRPr="00857D68" w:rsidRDefault="00030D15" w:rsidP="00BA68CB">
            <w:pPr>
              <w:tabs>
                <w:tab w:val="left" w:pos="567"/>
              </w:tabs>
              <w:spacing w:after="0" w:line="260" w:lineRule="exact"/>
              <w:rPr>
                <w:rFonts w:ascii="Times New Roman" w:eastAsia="Times New Roman" w:hAnsi="Times New Roman" w:cs="Times New Roman"/>
                <w:b/>
                <w:color w:val="000000"/>
              </w:rPr>
            </w:pPr>
            <w:r w:rsidRPr="00857D68">
              <w:rPr>
                <w:rFonts w:ascii="Times New Roman" w:eastAsia="Times New Roman" w:hAnsi="Times New Roman" w:cs="Times New Roman"/>
                <w:b/>
                <w:color w:val="000000"/>
              </w:rPr>
              <w:t>Metabolizmo ir mitybos sutrikimai:</w:t>
            </w:r>
          </w:p>
        </w:tc>
        <w:tc>
          <w:tcPr>
            <w:tcW w:w="1543" w:type="pct"/>
          </w:tcPr>
          <w:p w14:paraId="77AF4B56"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Reti</w:t>
            </w:r>
          </w:p>
        </w:tc>
        <w:tc>
          <w:tcPr>
            <w:tcW w:w="1645" w:type="pct"/>
          </w:tcPr>
          <w:p w14:paraId="1AEA1EED"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 xml:space="preserve">simptominė hipokalcemija, dažnai susijusi su </w:t>
            </w:r>
            <w:r w:rsidRPr="00857D68">
              <w:rPr>
                <w:rFonts w:ascii="Times New Roman" w:eastAsia="Times New Roman" w:hAnsi="Times New Roman" w:cs="Times New Roman"/>
                <w:color w:val="000000"/>
              </w:rPr>
              <w:lastRenderedPageBreak/>
              <w:t>predisponuojančiomis būklėmis</w:t>
            </w:r>
            <w:r w:rsidRPr="00857D68">
              <w:rPr>
                <w:rFonts w:ascii="Times New Roman" w:eastAsia="Times New Roman" w:hAnsi="Times New Roman" w:cs="Times New Roman"/>
                <w:color w:val="000000"/>
                <w:vertAlign w:val="superscript"/>
              </w:rPr>
              <w:t>§.</w:t>
            </w:r>
          </w:p>
        </w:tc>
      </w:tr>
      <w:tr w:rsidR="00030D15" w:rsidRPr="00857D68" w14:paraId="6AFAB8A4" w14:textId="77777777" w:rsidTr="00783AD2">
        <w:tc>
          <w:tcPr>
            <w:tcW w:w="1812" w:type="pct"/>
            <w:vMerge w:val="restart"/>
          </w:tcPr>
          <w:p w14:paraId="01385186" w14:textId="77777777" w:rsidR="00030D15" w:rsidRPr="00857D68" w:rsidRDefault="00030D15" w:rsidP="00BA68CB">
            <w:pPr>
              <w:tabs>
                <w:tab w:val="left" w:pos="567"/>
              </w:tabs>
              <w:spacing w:after="0" w:line="260" w:lineRule="exact"/>
              <w:rPr>
                <w:rFonts w:ascii="Times New Roman" w:eastAsia="Times New Roman" w:hAnsi="Times New Roman" w:cs="Times New Roman"/>
                <w:b/>
                <w:color w:val="000000"/>
              </w:rPr>
            </w:pPr>
            <w:r w:rsidRPr="00857D68">
              <w:rPr>
                <w:rFonts w:ascii="Times New Roman" w:eastAsia="Times New Roman" w:hAnsi="Times New Roman" w:cs="Times New Roman"/>
                <w:b/>
                <w:color w:val="000000"/>
              </w:rPr>
              <w:lastRenderedPageBreak/>
              <w:t>Nervų sistemos sutrikimai:</w:t>
            </w:r>
          </w:p>
        </w:tc>
        <w:tc>
          <w:tcPr>
            <w:tcW w:w="1543" w:type="pct"/>
          </w:tcPr>
          <w:p w14:paraId="689C3E4B"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Dažni</w:t>
            </w:r>
          </w:p>
          <w:p w14:paraId="4D0EC16D"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645" w:type="pct"/>
          </w:tcPr>
          <w:p w14:paraId="4A1F5368"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galvos skausmas, svaigulys</w:t>
            </w:r>
            <w:r w:rsidRPr="00857D68">
              <w:rPr>
                <w:rFonts w:ascii="Times New Roman" w:eastAsia="Times New Roman" w:hAnsi="Times New Roman" w:cs="Times New Roman"/>
                <w:color w:val="000000"/>
                <w:vertAlign w:val="superscript"/>
              </w:rPr>
              <w:t>†</w:t>
            </w:r>
          </w:p>
          <w:p w14:paraId="2ECF8A55"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r>
      <w:tr w:rsidR="00030D15" w:rsidRPr="00857D68" w14:paraId="71FCB76F" w14:textId="77777777" w:rsidTr="00783AD2">
        <w:tc>
          <w:tcPr>
            <w:tcW w:w="1812" w:type="pct"/>
            <w:vMerge/>
          </w:tcPr>
          <w:p w14:paraId="2F8A5CA5" w14:textId="77777777" w:rsidR="00030D15" w:rsidRPr="00857D68" w:rsidRDefault="00030D15" w:rsidP="00BA68CB">
            <w:pPr>
              <w:tabs>
                <w:tab w:val="left" w:pos="567"/>
              </w:tabs>
              <w:spacing w:after="0" w:line="260" w:lineRule="exact"/>
              <w:rPr>
                <w:rFonts w:ascii="Times New Roman" w:eastAsia="Times New Roman" w:hAnsi="Times New Roman" w:cs="Times New Roman"/>
                <w:b/>
                <w:color w:val="000000"/>
              </w:rPr>
            </w:pPr>
          </w:p>
        </w:tc>
        <w:tc>
          <w:tcPr>
            <w:tcW w:w="1543" w:type="pct"/>
          </w:tcPr>
          <w:p w14:paraId="6A110386"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Nedažni</w:t>
            </w:r>
          </w:p>
        </w:tc>
        <w:tc>
          <w:tcPr>
            <w:tcW w:w="1645" w:type="pct"/>
          </w:tcPr>
          <w:p w14:paraId="29C126DD"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skonio sutrikimas</w:t>
            </w:r>
            <w:r w:rsidRPr="00857D68">
              <w:rPr>
                <w:rFonts w:ascii="Times New Roman" w:eastAsia="Times New Roman" w:hAnsi="Times New Roman" w:cs="Times New Roman"/>
                <w:color w:val="000000"/>
                <w:vertAlign w:val="superscript"/>
              </w:rPr>
              <w:t>†</w:t>
            </w:r>
          </w:p>
        </w:tc>
      </w:tr>
      <w:tr w:rsidR="00030D15" w:rsidRPr="00857D68" w14:paraId="00D0DE6F" w14:textId="77777777" w:rsidTr="00783AD2">
        <w:tc>
          <w:tcPr>
            <w:tcW w:w="1812" w:type="pct"/>
          </w:tcPr>
          <w:p w14:paraId="071624A6" w14:textId="77777777" w:rsidR="00030D15" w:rsidRPr="00857D68" w:rsidRDefault="00030D15" w:rsidP="00BA68CB">
            <w:pPr>
              <w:tabs>
                <w:tab w:val="left" w:pos="567"/>
              </w:tabs>
              <w:spacing w:after="0" w:line="260" w:lineRule="exact"/>
              <w:rPr>
                <w:rFonts w:ascii="Times New Roman" w:eastAsia="Times New Roman" w:hAnsi="Times New Roman" w:cs="Times New Roman"/>
                <w:b/>
                <w:color w:val="000000"/>
              </w:rPr>
            </w:pPr>
            <w:r w:rsidRPr="00857D68">
              <w:rPr>
                <w:rFonts w:ascii="Times New Roman" w:eastAsia="Times New Roman" w:hAnsi="Times New Roman" w:cs="Times New Roman"/>
                <w:b/>
                <w:color w:val="000000"/>
              </w:rPr>
              <w:t>Akių sutrikimai:</w:t>
            </w:r>
          </w:p>
        </w:tc>
        <w:tc>
          <w:tcPr>
            <w:tcW w:w="1543" w:type="pct"/>
          </w:tcPr>
          <w:p w14:paraId="7788A993"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Nedažni</w:t>
            </w:r>
          </w:p>
        </w:tc>
        <w:tc>
          <w:tcPr>
            <w:tcW w:w="1645" w:type="pct"/>
          </w:tcPr>
          <w:p w14:paraId="50DE7239" w14:textId="1A81336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akių uždegimas (uveitas, skleritas</w:t>
            </w:r>
            <w:r w:rsidR="00EE4635">
              <w:rPr>
                <w:rFonts w:ascii="Times New Roman" w:eastAsia="Times New Roman" w:hAnsi="Times New Roman" w:cs="Times New Roman"/>
                <w:color w:val="000000"/>
              </w:rPr>
              <w:t xml:space="preserve"> ar</w:t>
            </w:r>
            <w:r w:rsidRPr="00857D68">
              <w:rPr>
                <w:rFonts w:ascii="Times New Roman" w:eastAsia="Times New Roman" w:hAnsi="Times New Roman" w:cs="Times New Roman"/>
                <w:color w:val="000000"/>
              </w:rPr>
              <w:t xml:space="preserve"> episkleritas)</w:t>
            </w:r>
          </w:p>
        </w:tc>
      </w:tr>
      <w:tr w:rsidR="00030D15" w:rsidRPr="00857D68" w14:paraId="4246AE0D" w14:textId="77777777" w:rsidTr="00783AD2">
        <w:tc>
          <w:tcPr>
            <w:tcW w:w="1812" w:type="pct"/>
            <w:vMerge w:val="restart"/>
          </w:tcPr>
          <w:p w14:paraId="67F2071D" w14:textId="77777777" w:rsidR="00030D15" w:rsidRPr="00857D68" w:rsidRDefault="00030D15" w:rsidP="00BA68CB">
            <w:pPr>
              <w:tabs>
                <w:tab w:val="left" w:pos="567"/>
              </w:tabs>
              <w:spacing w:after="0" w:line="260" w:lineRule="exact"/>
              <w:rPr>
                <w:rFonts w:ascii="Times New Roman" w:eastAsia="Times New Roman" w:hAnsi="Times New Roman" w:cs="Times New Roman"/>
                <w:b/>
                <w:color w:val="000000"/>
              </w:rPr>
            </w:pPr>
            <w:r w:rsidRPr="00857D68">
              <w:rPr>
                <w:rFonts w:ascii="Times New Roman" w:eastAsia="Times New Roman" w:hAnsi="Times New Roman" w:cs="Times New Roman"/>
                <w:b/>
                <w:color w:val="000000"/>
              </w:rPr>
              <w:t>Ausų ir labirinto sutrikimai:</w:t>
            </w:r>
          </w:p>
        </w:tc>
        <w:tc>
          <w:tcPr>
            <w:tcW w:w="1543" w:type="pct"/>
          </w:tcPr>
          <w:p w14:paraId="4B07C59E"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Dažni</w:t>
            </w:r>
          </w:p>
          <w:p w14:paraId="04351ACA"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645" w:type="pct"/>
          </w:tcPr>
          <w:p w14:paraId="04516970" w14:textId="699DB2CF"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Arial Unicode MS" w:hAnsi="Times New Roman" w:cs="Times New Roman"/>
                <w:color w:val="000000"/>
              </w:rPr>
              <w:t xml:space="preserve"> </w:t>
            </w:r>
            <w:r w:rsidR="00EE4635">
              <w:rPr>
                <w:rFonts w:ascii="Times New Roman" w:eastAsia="Arial Unicode MS" w:hAnsi="Times New Roman" w:cs="Times New Roman"/>
                <w:color w:val="000000"/>
              </w:rPr>
              <w:t>s</w:t>
            </w:r>
            <w:r w:rsidRPr="00857D68">
              <w:rPr>
                <w:rFonts w:ascii="Times New Roman" w:eastAsia="Arial Unicode MS" w:hAnsi="Times New Roman" w:cs="Times New Roman"/>
                <w:color w:val="000000"/>
              </w:rPr>
              <w:t>vaigimas (</w:t>
            </w:r>
            <w:r w:rsidRPr="00857D68">
              <w:rPr>
                <w:rFonts w:ascii="Times New Roman" w:eastAsia="Arial Unicode MS" w:hAnsi="Times New Roman" w:cs="Times New Roman"/>
                <w:i/>
                <w:color w:val="000000"/>
              </w:rPr>
              <w:t>vertigo</w:t>
            </w:r>
            <w:r w:rsidRPr="00857D68">
              <w:rPr>
                <w:rFonts w:ascii="Times New Roman" w:eastAsia="Arial Unicode MS" w:hAnsi="Times New Roman" w:cs="Times New Roman"/>
                <w:color w:val="000000"/>
              </w:rPr>
              <w:t>)</w:t>
            </w:r>
            <w:r w:rsidRPr="00857D68">
              <w:rPr>
                <w:rFonts w:ascii="Times New Roman" w:eastAsia="Times New Roman" w:hAnsi="Times New Roman" w:cs="Times New Roman"/>
                <w:color w:val="000000"/>
                <w:vertAlign w:val="superscript"/>
              </w:rPr>
              <w:t>†</w:t>
            </w:r>
          </w:p>
        </w:tc>
      </w:tr>
      <w:tr w:rsidR="00030D15" w:rsidRPr="00857D68" w14:paraId="45267B74" w14:textId="77777777" w:rsidTr="00783AD2">
        <w:tc>
          <w:tcPr>
            <w:tcW w:w="1812" w:type="pct"/>
            <w:vMerge/>
          </w:tcPr>
          <w:p w14:paraId="2C9003B0"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2BEA3E0C"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Labai reti</w:t>
            </w:r>
          </w:p>
        </w:tc>
        <w:tc>
          <w:tcPr>
            <w:tcW w:w="1645" w:type="pct"/>
          </w:tcPr>
          <w:p w14:paraId="545B144C" w14:textId="61E19879" w:rsidR="00030D15" w:rsidRPr="00857D68" w:rsidRDefault="00561D74" w:rsidP="00BA68CB">
            <w:pPr>
              <w:tabs>
                <w:tab w:val="left" w:pos="567"/>
              </w:tabs>
              <w:spacing w:after="0" w:line="260" w:lineRule="exact"/>
              <w:rPr>
                <w:rFonts w:ascii="Times New Roman" w:eastAsia="Times New Roman" w:hAnsi="Times New Roman" w:cs="Times New Roman"/>
                <w:color w:val="000000"/>
              </w:rPr>
            </w:pPr>
            <w:r>
              <w:rPr>
                <w:rFonts w:ascii="Times New Roman" w:eastAsia="Times New Roman" w:hAnsi="Times New Roman" w:cs="Times New Roman"/>
                <w:color w:val="000000"/>
              </w:rPr>
              <w:t>i</w:t>
            </w:r>
            <w:r w:rsidR="00030D15" w:rsidRPr="00857D68">
              <w:rPr>
                <w:rFonts w:ascii="Times New Roman" w:eastAsia="Times New Roman" w:hAnsi="Times New Roman" w:cs="Times New Roman"/>
                <w:color w:val="000000"/>
              </w:rPr>
              <w:t>šorinio ausies kanalo osteonekrozė (bisfosfonatų klasei priskiriama šalutinė reakcija)</w:t>
            </w:r>
          </w:p>
        </w:tc>
      </w:tr>
      <w:tr w:rsidR="00030D15" w:rsidRPr="00857D68" w14:paraId="3078D503" w14:textId="77777777" w:rsidTr="00783AD2">
        <w:tc>
          <w:tcPr>
            <w:tcW w:w="1812" w:type="pct"/>
            <w:vMerge w:val="restart"/>
          </w:tcPr>
          <w:p w14:paraId="705AF4CB"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b/>
                <w:color w:val="000000"/>
              </w:rPr>
              <w:t>Virškinimo trakto sutrikimai:</w:t>
            </w:r>
          </w:p>
        </w:tc>
        <w:tc>
          <w:tcPr>
            <w:tcW w:w="1543" w:type="pct"/>
          </w:tcPr>
          <w:p w14:paraId="6C6DFFE9"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Dažni:</w:t>
            </w:r>
          </w:p>
        </w:tc>
        <w:tc>
          <w:tcPr>
            <w:tcW w:w="1645" w:type="pct"/>
          </w:tcPr>
          <w:p w14:paraId="52FF8AB3"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pilvo skausmas, dispepsija, vidurių užkietėjimas, viduriavimas, dujų kaupimasis, stemplės opa*, rijimo sutrikimas*, pilvo tempimas, rūgštinio turinio atpylimas</w:t>
            </w:r>
          </w:p>
        </w:tc>
      </w:tr>
      <w:tr w:rsidR="00030D15" w:rsidRPr="00857D68" w14:paraId="08758034" w14:textId="77777777" w:rsidTr="00783AD2">
        <w:tc>
          <w:tcPr>
            <w:tcW w:w="1812" w:type="pct"/>
            <w:vMerge/>
          </w:tcPr>
          <w:p w14:paraId="2690A1B8"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1598CA37"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Nedažni:</w:t>
            </w:r>
          </w:p>
        </w:tc>
        <w:tc>
          <w:tcPr>
            <w:tcW w:w="1645" w:type="pct"/>
          </w:tcPr>
          <w:p w14:paraId="21926691"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pykinimas, vėmimas, gastritas, stemplės uždegimas*, stemplės erozijos*, melena</w:t>
            </w:r>
            <w:r w:rsidRPr="00857D68">
              <w:rPr>
                <w:rFonts w:ascii="Times New Roman" w:eastAsia="Times New Roman" w:hAnsi="Times New Roman" w:cs="Times New Roman"/>
                <w:color w:val="000000"/>
                <w:vertAlign w:val="superscript"/>
              </w:rPr>
              <w:t>†</w:t>
            </w:r>
          </w:p>
        </w:tc>
      </w:tr>
      <w:tr w:rsidR="00030D15" w:rsidRPr="00857D68" w14:paraId="737FC976" w14:textId="77777777" w:rsidTr="00783AD2">
        <w:tc>
          <w:tcPr>
            <w:tcW w:w="1812" w:type="pct"/>
            <w:vMerge/>
          </w:tcPr>
          <w:p w14:paraId="1EC3EEDC"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5DAF2897"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Reti:</w:t>
            </w:r>
          </w:p>
        </w:tc>
        <w:tc>
          <w:tcPr>
            <w:tcW w:w="1645" w:type="pct"/>
          </w:tcPr>
          <w:p w14:paraId="23B50B50"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stemplės susiaurėjimas*, opos burnoje ir ryklėje*, POK (perforacija, opos, kraujavimas) viršutiniame virškinimo trakte)</w:t>
            </w:r>
            <w:r w:rsidRPr="00857D68">
              <w:rPr>
                <w:rFonts w:ascii="Times New Roman" w:eastAsia="Times New Roman" w:hAnsi="Times New Roman" w:cs="Times New Roman"/>
                <w:color w:val="000000"/>
                <w:vertAlign w:val="superscript"/>
              </w:rPr>
              <w:t>§</w:t>
            </w:r>
          </w:p>
        </w:tc>
      </w:tr>
      <w:tr w:rsidR="00030D15" w:rsidRPr="00857D68" w14:paraId="66D63A2F" w14:textId="77777777" w:rsidTr="00783AD2">
        <w:tc>
          <w:tcPr>
            <w:tcW w:w="1812" w:type="pct"/>
            <w:vMerge w:val="restart"/>
          </w:tcPr>
          <w:p w14:paraId="0860A610"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b/>
                <w:color w:val="000000"/>
              </w:rPr>
              <w:t>Odos ir poodinio audinio sutrikimai:</w:t>
            </w:r>
          </w:p>
        </w:tc>
        <w:tc>
          <w:tcPr>
            <w:tcW w:w="1543" w:type="pct"/>
          </w:tcPr>
          <w:p w14:paraId="7ECF6064"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Dažni:</w:t>
            </w:r>
          </w:p>
        </w:tc>
        <w:tc>
          <w:tcPr>
            <w:tcW w:w="1645" w:type="pct"/>
          </w:tcPr>
          <w:p w14:paraId="74B1DF73"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alopecija</w:t>
            </w:r>
            <w:r w:rsidRPr="00857D68">
              <w:rPr>
                <w:rFonts w:ascii="Times New Roman" w:eastAsia="Times New Roman" w:hAnsi="Times New Roman" w:cs="Times New Roman"/>
                <w:color w:val="000000"/>
                <w:vertAlign w:val="superscript"/>
              </w:rPr>
              <w:t>†</w:t>
            </w:r>
            <w:r w:rsidRPr="00857D68">
              <w:rPr>
                <w:rFonts w:ascii="Times New Roman" w:eastAsia="Times New Roman" w:hAnsi="Times New Roman" w:cs="Times New Roman"/>
                <w:color w:val="000000"/>
              </w:rPr>
              <w:t>, niežėjimas</w:t>
            </w:r>
            <w:r w:rsidRPr="00857D68">
              <w:rPr>
                <w:rFonts w:ascii="Times New Roman" w:eastAsia="Times New Roman" w:hAnsi="Times New Roman" w:cs="Times New Roman"/>
                <w:color w:val="000000"/>
                <w:vertAlign w:val="superscript"/>
              </w:rPr>
              <w:t>†</w:t>
            </w:r>
          </w:p>
        </w:tc>
      </w:tr>
      <w:tr w:rsidR="00030D15" w:rsidRPr="00857D68" w14:paraId="088B2F35" w14:textId="77777777" w:rsidTr="00783AD2">
        <w:tc>
          <w:tcPr>
            <w:tcW w:w="1812" w:type="pct"/>
            <w:vMerge/>
          </w:tcPr>
          <w:p w14:paraId="4382FD35"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1338B5D2"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Nedažni:</w:t>
            </w:r>
          </w:p>
        </w:tc>
        <w:tc>
          <w:tcPr>
            <w:tcW w:w="1645" w:type="pct"/>
          </w:tcPr>
          <w:p w14:paraId="01A3EB6C"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išbėrimas, paraudimas</w:t>
            </w:r>
          </w:p>
        </w:tc>
      </w:tr>
      <w:tr w:rsidR="00030D15" w:rsidRPr="00857D68" w14:paraId="7D3C706B" w14:textId="77777777" w:rsidTr="00783AD2">
        <w:tc>
          <w:tcPr>
            <w:tcW w:w="1812" w:type="pct"/>
            <w:vMerge/>
          </w:tcPr>
          <w:p w14:paraId="5E9EB4BB"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09886349"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Reti:</w:t>
            </w:r>
          </w:p>
        </w:tc>
        <w:tc>
          <w:tcPr>
            <w:tcW w:w="1645" w:type="pct"/>
          </w:tcPr>
          <w:p w14:paraId="50558E2F"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 xml:space="preserve">išbėrimas ir jautrumas šviesai, pavieniai sunkių odos reakcijų atvejai, pvz., </w:t>
            </w:r>
            <w:bookmarkStart w:id="4" w:name="OLE_LINK4"/>
            <w:bookmarkStart w:id="5" w:name="OLE_LINK5"/>
            <w:r w:rsidRPr="00857D68">
              <w:rPr>
                <w:rFonts w:ascii="Times New Roman" w:eastAsia="Times New Roman" w:hAnsi="Times New Roman" w:cs="Times New Roman"/>
                <w:i/>
                <w:color w:val="000000"/>
              </w:rPr>
              <w:t>Stevens-Johnson</w:t>
            </w:r>
            <w:bookmarkEnd w:id="4"/>
            <w:bookmarkEnd w:id="5"/>
            <w:r w:rsidRPr="00857D68">
              <w:rPr>
                <w:rFonts w:ascii="Times New Roman" w:eastAsia="Times New Roman" w:hAnsi="Times New Roman" w:cs="Times New Roman"/>
                <w:color w:val="000000"/>
              </w:rPr>
              <w:t xml:space="preserve"> sindromas ir toksinė epidermio nekrolizė</w:t>
            </w:r>
            <w:r w:rsidRPr="00857D68">
              <w:rPr>
                <w:rFonts w:ascii="Times New Roman" w:eastAsia="Times New Roman" w:hAnsi="Times New Roman" w:cs="Times New Roman"/>
                <w:color w:val="000000"/>
                <w:vertAlign w:val="superscript"/>
              </w:rPr>
              <w:t>‡</w:t>
            </w:r>
          </w:p>
        </w:tc>
      </w:tr>
      <w:tr w:rsidR="00783AD2" w:rsidRPr="00857D68" w14:paraId="32FFD9DC" w14:textId="77777777" w:rsidTr="00783AD2">
        <w:tc>
          <w:tcPr>
            <w:tcW w:w="1812" w:type="pct"/>
            <w:vMerge w:val="restart"/>
          </w:tcPr>
          <w:p w14:paraId="12B1C6CA"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b/>
                <w:color w:val="000000"/>
              </w:rPr>
              <w:t>Skeleto, raumenų ir jungiamojo audinio sutrikimai:</w:t>
            </w:r>
          </w:p>
        </w:tc>
        <w:tc>
          <w:tcPr>
            <w:tcW w:w="1543" w:type="pct"/>
          </w:tcPr>
          <w:p w14:paraId="4923E80F"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Labai dažni:</w:t>
            </w:r>
          </w:p>
        </w:tc>
        <w:tc>
          <w:tcPr>
            <w:tcW w:w="1645" w:type="pct"/>
          </w:tcPr>
          <w:p w14:paraId="018A5587"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kaulų, raumenų skausmas (kaulų, raumenų, sąnarių) skausmas, kuris kartais būna stiprus</w:t>
            </w:r>
            <w:r w:rsidRPr="00857D68">
              <w:rPr>
                <w:rFonts w:ascii="Times New Roman" w:eastAsia="Times New Roman" w:hAnsi="Times New Roman" w:cs="Times New Roman"/>
                <w:color w:val="000000"/>
                <w:vertAlign w:val="superscript"/>
              </w:rPr>
              <w:t>†§</w:t>
            </w:r>
          </w:p>
        </w:tc>
      </w:tr>
      <w:tr w:rsidR="00783AD2" w:rsidRPr="00857D68" w14:paraId="0CB7D46C" w14:textId="77777777" w:rsidTr="00783AD2">
        <w:tc>
          <w:tcPr>
            <w:tcW w:w="1812" w:type="pct"/>
            <w:vMerge/>
          </w:tcPr>
          <w:p w14:paraId="1C55A125"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1C13CDB7"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Dažni:</w:t>
            </w:r>
          </w:p>
        </w:tc>
        <w:tc>
          <w:tcPr>
            <w:tcW w:w="1645" w:type="pct"/>
          </w:tcPr>
          <w:p w14:paraId="3EC7A954"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patinę sąnariai</w:t>
            </w:r>
            <w:r w:rsidRPr="00857D68">
              <w:rPr>
                <w:rFonts w:ascii="Times New Roman" w:eastAsia="Times New Roman" w:hAnsi="Times New Roman" w:cs="Times New Roman"/>
                <w:color w:val="000000"/>
                <w:vertAlign w:val="superscript"/>
              </w:rPr>
              <w:t>†</w:t>
            </w:r>
          </w:p>
        </w:tc>
      </w:tr>
      <w:tr w:rsidR="00783AD2" w:rsidRPr="00857D68" w14:paraId="48ECBEFB" w14:textId="77777777" w:rsidTr="00783AD2">
        <w:tc>
          <w:tcPr>
            <w:tcW w:w="1812" w:type="pct"/>
            <w:vMerge/>
          </w:tcPr>
          <w:p w14:paraId="035CE763"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1E2584A1"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Reti:</w:t>
            </w:r>
          </w:p>
        </w:tc>
        <w:tc>
          <w:tcPr>
            <w:tcW w:w="1645" w:type="pct"/>
          </w:tcPr>
          <w:p w14:paraId="205DC8CA" w14:textId="77777777" w:rsidR="00783AD2" w:rsidRPr="00857D68" w:rsidRDefault="00783AD2" w:rsidP="00BA68CB">
            <w:pPr>
              <w:spacing w:before="100" w:beforeAutospacing="1" w:after="100" w:afterAutospacing="1" w:line="240" w:lineRule="auto"/>
              <w:rPr>
                <w:rFonts w:ascii="Times New Roman" w:eastAsia="Times New Roman" w:hAnsi="Times New Roman" w:cs="Times New Roman"/>
                <w:color w:val="000000"/>
              </w:rPr>
            </w:pPr>
            <w:r w:rsidRPr="00857D68">
              <w:rPr>
                <w:rFonts w:ascii="Times New Roman" w:eastAsia="Times New Roman" w:hAnsi="Times New Roman" w:cs="Times New Roman"/>
                <w:color w:val="000000"/>
              </w:rPr>
              <w:t>žandikaulio osteonekrozė</w:t>
            </w:r>
            <w:r w:rsidRPr="00857D68">
              <w:rPr>
                <w:rFonts w:ascii="Times New Roman" w:eastAsia="Times New Roman" w:hAnsi="Times New Roman" w:cs="Times New Roman"/>
                <w:color w:val="000000"/>
                <w:vertAlign w:val="superscript"/>
              </w:rPr>
              <w:t>‡§</w:t>
            </w:r>
            <w:r w:rsidRPr="00857D68">
              <w:rPr>
                <w:rFonts w:ascii="Times New Roman" w:eastAsia="Times New Roman" w:hAnsi="Times New Roman" w:cs="Times New Roman"/>
                <w:color w:val="000000"/>
              </w:rPr>
              <w:t>; proksimalinės šlaunikaulio kūno dalies įtampos lūžiai)</w:t>
            </w:r>
            <w:r w:rsidRPr="00857D68">
              <w:rPr>
                <w:rFonts w:ascii="Times New Roman" w:eastAsia="Times New Roman" w:hAnsi="Times New Roman" w:cs="Times New Roman"/>
                <w:noProof/>
                <w:color w:val="000000"/>
                <w:vertAlign w:val="superscript"/>
                <w:lang w:eastAsia="lt-LT"/>
              </w:rPr>
              <w:drawing>
                <wp:inline distT="0" distB="0" distL="0" distR="0" wp14:anchorId="337BF98A" wp14:editId="3620F2A2">
                  <wp:extent cx="76200" cy="120015"/>
                  <wp:effectExtent l="0" t="0" r="0" b="0"/>
                  <wp:docPr id="1" name="Picture 2" descr="UP TACK (8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 TACK (88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 cy="120015"/>
                          </a:xfrm>
                          <a:prstGeom prst="rect">
                            <a:avLst/>
                          </a:prstGeom>
                          <a:noFill/>
                          <a:ln>
                            <a:noFill/>
                          </a:ln>
                        </pic:spPr>
                      </pic:pic>
                    </a:graphicData>
                  </a:graphic>
                </wp:inline>
              </w:drawing>
            </w:r>
          </w:p>
        </w:tc>
      </w:tr>
      <w:tr w:rsidR="00783AD2" w:rsidRPr="00857D68" w14:paraId="7D4B815A" w14:textId="77777777" w:rsidTr="00783AD2">
        <w:tc>
          <w:tcPr>
            <w:tcW w:w="1812" w:type="pct"/>
            <w:vMerge/>
          </w:tcPr>
          <w:p w14:paraId="25611FB2" w14:textId="77777777"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1A09BF17" w14:textId="538BC519" w:rsidR="00783AD2" w:rsidRPr="00857D68" w:rsidRDefault="00783AD2" w:rsidP="00BA68CB">
            <w:pPr>
              <w:tabs>
                <w:tab w:val="left" w:pos="567"/>
              </w:tabs>
              <w:spacing w:after="0" w:line="260" w:lineRule="exact"/>
              <w:rPr>
                <w:rFonts w:ascii="Times New Roman" w:eastAsia="Times New Roman" w:hAnsi="Times New Roman" w:cs="Times New Roman"/>
                <w:color w:val="000000"/>
              </w:rPr>
            </w:pPr>
            <w:r>
              <w:rPr>
                <w:rFonts w:ascii="Times New Roman" w:eastAsia="Times New Roman" w:hAnsi="Times New Roman" w:cs="Times New Roman"/>
                <w:color w:val="000000"/>
              </w:rPr>
              <w:t>Dažnis nežinomas</w:t>
            </w:r>
          </w:p>
        </w:tc>
        <w:tc>
          <w:tcPr>
            <w:tcW w:w="1645" w:type="pct"/>
          </w:tcPr>
          <w:p w14:paraId="02F49D84" w14:textId="013EF7F4" w:rsidR="00783AD2" w:rsidRPr="00DC4AB7" w:rsidRDefault="001820E9" w:rsidP="00BA68CB">
            <w:pPr>
              <w:spacing w:before="100" w:beforeAutospacing="1" w:after="100" w:afterAutospacing="1"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atipiniai kitų kaulų lūžiai</w:t>
            </w:r>
          </w:p>
        </w:tc>
      </w:tr>
      <w:tr w:rsidR="00030D15" w:rsidRPr="00857D68" w14:paraId="704E58A4" w14:textId="77777777" w:rsidTr="00783AD2">
        <w:tc>
          <w:tcPr>
            <w:tcW w:w="1812" w:type="pct"/>
          </w:tcPr>
          <w:p w14:paraId="3D67759B"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b/>
                <w:bCs/>
                <w:color w:val="000000"/>
              </w:rPr>
              <w:t>Bendrieji sutrikimai ir vartojimo vietos pažeidimai:</w:t>
            </w:r>
          </w:p>
        </w:tc>
        <w:tc>
          <w:tcPr>
            <w:tcW w:w="1543" w:type="pct"/>
          </w:tcPr>
          <w:p w14:paraId="45178DA8"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Dažni:</w:t>
            </w:r>
          </w:p>
        </w:tc>
        <w:tc>
          <w:tcPr>
            <w:tcW w:w="1645" w:type="pct"/>
          </w:tcPr>
          <w:p w14:paraId="33A23169"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astenija</w:t>
            </w:r>
            <w:r w:rsidRPr="00857D68">
              <w:rPr>
                <w:rFonts w:ascii="Times New Roman" w:eastAsia="Times New Roman" w:hAnsi="Times New Roman" w:cs="Times New Roman"/>
                <w:color w:val="000000"/>
                <w:vertAlign w:val="superscript"/>
              </w:rPr>
              <w:t>†</w:t>
            </w:r>
            <w:r w:rsidRPr="00857D68">
              <w:rPr>
                <w:rFonts w:ascii="Times New Roman" w:eastAsia="Times New Roman" w:hAnsi="Times New Roman" w:cs="Times New Roman"/>
                <w:color w:val="000000"/>
              </w:rPr>
              <w:t>, periferinė edema</w:t>
            </w:r>
            <w:r w:rsidRPr="00857D68">
              <w:rPr>
                <w:rFonts w:ascii="Times New Roman" w:eastAsia="Times New Roman" w:hAnsi="Times New Roman" w:cs="Times New Roman"/>
                <w:color w:val="000000"/>
                <w:vertAlign w:val="superscript"/>
              </w:rPr>
              <w:t>†</w:t>
            </w:r>
          </w:p>
        </w:tc>
      </w:tr>
      <w:tr w:rsidR="00030D15" w:rsidRPr="00857D68" w14:paraId="44F26983" w14:textId="77777777" w:rsidTr="00783AD2">
        <w:tc>
          <w:tcPr>
            <w:tcW w:w="1812" w:type="pct"/>
          </w:tcPr>
          <w:p w14:paraId="08AB8112"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p>
        </w:tc>
        <w:tc>
          <w:tcPr>
            <w:tcW w:w="1543" w:type="pct"/>
          </w:tcPr>
          <w:p w14:paraId="36833BD3"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Nedažni:</w:t>
            </w:r>
          </w:p>
        </w:tc>
        <w:tc>
          <w:tcPr>
            <w:tcW w:w="1645" w:type="pct"/>
          </w:tcPr>
          <w:p w14:paraId="639ACE8A" w14:textId="77777777" w:rsidR="00030D15" w:rsidRPr="00857D68" w:rsidRDefault="00030D15" w:rsidP="00BA68CB">
            <w:pPr>
              <w:tabs>
                <w:tab w:val="left" w:pos="567"/>
              </w:tabs>
              <w:spacing w:after="0" w:line="260" w:lineRule="exact"/>
              <w:rPr>
                <w:rFonts w:ascii="Times New Roman" w:eastAsia="Times New Roman" w:hAnsi="Times New Roman" w:cs="Times New Roman"/>
                <w:color w:val="000000"/>
              </w:rPr>
            </w:pPr>
            <w:r w:rsidRPr="00857D68">
              <w:rPr>
                <w:rFonts w:ascii="Times New Roman" w:eastAsia="Times New Roman" w:hAnsi="Times New Roman" w:cs="Times New Roman"/>
                <w:color w:val="000000"/>
              </w:rPr>
              <w:t>ūminės fazės atsako laikini simptomai (raumenų skausmas, negalavimas ir retkarčiais karščiavimas), susiję su gydymo pradžia</w:t>
            </w:r>
            <w:r w:rsidRPr="00857D68">
              <w:rPr>
                <w:rFonts w:ascii="Times New Roman" w:eastAsia="Times New Roman" w:hAnsi="Times New Roman" w:cs="Times New Roman"/>
                <w:color w:val="000000"/>
                <w:vertAlign w:val="superscript"/>
              </w:rPr>
              <w:t>†</w:t>
            </w:r>
            <w:r w:rsidRPr="00857D68">
              <w:rPr>
                <w:rFonts w:ascii="Times New Roman" w:eastAsia="Times New Roman" w:hAnsi="Times New Roman" w:cs="Times New Roman"/>
                <w:color w:val="000000"/>
              </w:rPr>
              <w:t>.</w:t>
            </w:r>
          </w:p>
        </w:tc>
      </w:tr>
      <w:tr w:rsidR="00030D15" w:rsidRPr="00857D68" w14:paraId="51BFBFFD" w14:textId="77777777" w:rsidTr="00BA68CB">
        <w:tc>
          <w:tcPr>
            <w:tcW w:w="5000" w:type="pct"/>
            <w:gridSpan w:val="3"/>
          </w:tcPr>
          <w:p w14:paraId="22C69737" w14:textId="77777777" w:rsidR="00030D15" w:rsidRPr="00857D68" w:rsidRDefault="00030D15" w:rsidP="00BA68CB">
            <w:pPr>
              <w:tabs>
                <w:tab w:val="left" w:pos="567"/>
              </w:tabs>
              <w:spacing w:after="120"/>
              <w:rPr>
                <w:rFonts w:ascii="Times New Roman" w:hAnsi="Times New Roman"/>
                <w:i/>
                <w:color w:val="000000"/>
                <w:shd w:val="clear" w:color="auto" w:fill="FFFFFF"/>
              </w:rPr>
            </w:pPr>
            <w:r w:rsidRPr="00857D68">
              <w:rPr>
                <w:rFonts w:ascii="Times New Roman" w:hAnsi="Times New Roman"/>
                <w:color w:val="000000"/>
                <w:shd w:val="clear" w:color="auto" w:fill="FFFFFF"/>
                <w:vertAlign w:val="superscript"/>
              </w:rPr>
              <w:t>§</w:t>
            </w:r>
            <w:r w:rsidRPr="00857D68">
              <w:rPr>
                <w:rFonts w:ascii="Times New Roman" w:hAnsi="Times New Roman"/>
                <w:i/>
                <w:color w:val="000000"/>
                <w:shd w:val="clear" w:color="auto" w:fill="FFFFFF"/>
              </w:rPr>
              <w:t>Žr. 4.4 skyrių</w:t>
            </w:r>
          </w:p>
          <w:p w14:paraId="37A3DD8A" w14:textId="26A33BAA" w:rsidR="00030D15" w:rsidRPr="00857D68" w:rsidRDefault="00030D15" w:rsidP="00BA68CB">
            <w:pPr>
              <w:spacing w:after="0"/>
              <w:rPr>
                <w:rFonts w:ascii="Times New Roman" w:hAnsi="Times New Roman"/>
                <w:i/>
                <w:color w:val="000000"/>
                <w:shd w:val="clear" w:color="auto" w:fill="FFFFFF"/>
              </w:rPr>
            </w:pPr>
            <w:r w:rsidRPr="00857D68">
              <w:rPr>
                <w:rFonts w:ascii="Times New Roman" w:hAnsi="Times New Roman"/>
                <w:i/>
                <w:color w:val="000000"/>
                <w:shd w:val="clear" w:color="auto" w:fill="FFFFFF"/>
              </w:rPr>
              <w:lastRenderedPageBreak/>
              <w:t>†Klinikinių tyrimų metu dažnis tiek vaist</w:t>
            </w:r>
            <w:r w:rsidR="00C255DD">
              <w:rPr>
                <w:rFonts w:ascii="Times New Roman" w:hAnsi="Times New Roman"/>
                <w:i/>
                <w:color w:val="000000"/>
                <w:shd w:val="clear" w:color="auto" w:fill="FFFFFF"/>
              </w:rPr>
              <w:t>inio preparato</w:t>
            </w:r>
            <w:r w:rsidRPr="00857D68">
              <w:rPr>
                <w:rFonts w:ascii="Times New Roman" w:hAnsi="Times New Roman"/>
                <w:i/>
                <w:color w:val="000000"/>
                <w:shd w:val="clear" w:color="auto" w:fill="FFFFFF"/>
              </w:rPr>
              <w:t xml:space="preserve"> tiek placebo vartojusiųjų grupėse buvo panašus.</w:t>
            </w:r>
          </w:p>
          <w:p w14:paraId="2476D8B1" w14:textId="77777777" w:rsidR="00030D15" w:rsidRPr="00857D68" w:rsidRDefault="00030D15" w:rsidP="00BA68CB">
            <w:pPr>
              <w:spacing w:after="0"/>
              <w:rPr>
                <w:rFonts w:ascii="Times New Roman" w:hAnsi="Times New Roman"/>
                <w:i/>
                <w:color w:val="000000"/>
                <w:shd w:val="clear" w:color="auto" w:fill="FFFFFF"/>
              </w:rPr>
            </w:pPr>
            <w:r w:rsidRPr="00857D68">
              <w:rPr>
                <w:rFonts w:ascii="Times New Roman" w:hAnsi="Times New Roman"/>
                <w:i/>
                <w:color w:val="000000"/>
                <w:shd w:val="clear" w:color="auto" w:fill="FFFFFF"/>
              </w:rPr>
              <w:t>*Žr. 4.2 ir 4.4 skyrius</w:t>
            </w:r>
          </w:p>
          <w:p w14:paraId="1CB11D5A" w14:textId="267AAB97" w:rsidR="00030D15" w:rsidRPr="00857D68" w:rsidRDefault="00030D15" w:rsidP="00DC4AB7">
            <w:pPr>
              <w:spacing w:after="0"/>
              <w:rPr>
                <w:rFonts w:ascii="Times New Roman" w:eastAsia="Times New Roman" w:hAnsi="Times New Roman" w:cs="Times New Roman"/>
                <w:color w:val="000000"/>
              </w:rPr>
            </w:pPr>
            <w:r w:rsidRPr="00857D68">
              <w:rPr>
                <w:rFonts w:ascii="Times New Roman" w:hAnsi="Times New Roman"/>
                <w:i/>
                <w:color w:val="000000"/>
                <w:shd w:val="clear" w:color="auto" w:fill="FFFFFF"/>
              </w:rPr>
              <w:t xml:space="preserve">‡Ši nepageidaujama reakcija buvo nustatyta po vaisto patekimo į rinką. </w:t>
            </w:r>
            <w:r w:rsidRPr="00857D68">
              <w:rPr>
                <w:rFonts w:ascii="Times New Roman" w:eastAsia="Times New Roman" w:hAnsi="Times New Roman" w:cs="Times New Roman"/>
                <w:i/>
                <w:color w:val="000000"/>
                <w:shd w:val="clear" w:color="auto" w:fill="FFFFFF"/>
              </w:rPr>
              <w:t>Remiantis atitinkamais klinikiniais tyrimais, nustatyta, kad reakcijos dažnis yra retas.</w:t>
            </w:r>
          </w:p>
        </w:tc>
      </w:tr>
    </w:tbl>
    <w:p w14:paraId="443532E3" w14:textId="77777777" w:rsidR="00030D15" w:rsidRDefault="00030D15" w:rsidP="00030D15">
      <w:pPr>
        <w:tabs>
          <w:tab w:val="left" w:pos="567"/>
        </w:tabs>
        <w:spacing w:after="0" w:line="260" w:lineRule="exact"/>
        <w:ind w:left="2160" w:hanging="2160"/>
        <w:rPr>
          <w:rFonts w:ascii="Times New Roman" w:eastAsia="Times New Roman" w:hAnsi="Times New Roman" w:cs="Times New Roman"/>
          <w:iCs/>
        </w:rPr>
      </w:pPr>
    </w:p>
    <w:p w14:paraId="0532E6ED" w14:textId="77777777" w:rsidR="00462B04" w:rsidRPr="00DC4AB7" w:rsidRDefault="00462B04" w:rsidP="00462B04">
      <w:pPr>
        <w:tabs>
          <w:tab w:val="left" w:pos="567"/>
        </w:tabs>
        <w:spacing w:after="0" w:line="260" w:lineRule="exact"/>
        <w:ind w:left="2160" w:hanging="2160"/>
        <w:rPr>
          <w:rFonts w:ascii="Times New Roman" w:eastAsia="Times New Roman" w:hAnsi="Times New Roman" w:cs="Times New Roman"/>
          <w:iCs/>
          <w:u w:val="single"/>
        </w:rPr>
      </w:pPr>
      <w:r w:rsidRPr="00DC4AB7">
        <w:rPr>
          <w:rFonts w:ascii="Times New Roman" w:eastAsia="Times New Roman" w:hAnsi="Times New Roman" w:cs="Times New Roman"/>
          <w:iCs/>
          <w:u w:val="single"/>
        </w:rPr>
        <w:t>Pasirinktų nepageidaujamų reakcijų aprašymas</w:t>
      </w:r>
    </w:p>
    <w:p w14:paraId="0CD1BA1D" w14:textId="77777777" w:rsidR="00462B04" w:rsidRPr="00462B04" w:rsidRDefault="00462B04" w:rsidP="00462B04">
      <w:pPr>
        <w:tabs>
          <w:tab w:val="left" w:pos="567"/>
        </w:tabs>
        <w:spacing w:after="0" w:line="260" w:lineRule="exact"/>
        <w:ind w:left="2160" w:hanging="2160"/>
        <w:rPr>
          <w:rFonts w:ascii="Times New Roman" w:eastAsia="Times New Roman" w:hAnsi="Times New Roman" w:cs="Times New Roman"/>
          <w:iCs/>
        </w:rPr>
      </w:pPr>
    </w:p>
    <w:p w14:paraId="62E0A9D4" w14:textId="77777777" w:rsidR="00C64030" w:rsidRDefault="00462B04" w:rsidP="00462B04">
      <w:pPr>
        <w:tabs>
          <w:tab w:val="left" w:pos="567"/>
        </w:tabs>
        <w:spacing w:after="0" w:line="260" w:lineRule="exact"/>
        <w:rPr>
          <w:rFonts w:ascii="Times New Roman" w:eastAsia="Times New Roman" w:hAnsi="Times New Roman" w:cs="Times New Roman"/>
          <w:iCs/>
        </w:rPr>
      </w:pPr>
      <w:r w:rsidRPr="00462B04">
        <w:rPr>
          <w:rFonts w:ascii="Times New Roman" w:eastAsia="Times New Roman" w:hAnsi="Times New Roman" w:cs="Times New Roman"/>
          <w:iCs/>
        </w:rPr>
        <w:t xml:space="preserve">Atipiniai subtrochanteriniai ir diafiziniai šlaunikaulio lūžiai </w:t>
      </w:r>
    </w:p>
    <w:p w14:paraId="5AED13D4" w14:textId="2B5B267F" w:rsidR="007D55C7" w:rsidRPr="00857D68" w:rsidRDefault="00462B04" w:rsidP="00DC4AB7">
      <w:pPr>
        <w:tabs>
          <w:tab w:val="left" w:pos="567"/>
        </w:tabs>
        <w:spacing w:after="0" w:line="260" w:lineRule="exact"/>
        <w:rPr>
          <w:rFonts w:ascii="Times New Roman" w:eastAsia="Times New Roman" w:hAnsi="Times New Roman" w:cs="Times New Roman"/>
          <w:iCs/>
        </w:rPr>
      </w:pPr>
      <w:r w:rsidRPr="00462B04">
        <w:rPr>
          <w:rFonts w:ascii="Times New Roman" w:eastAsia="Times New Roman" w:hAnsi="Times New Roman" w:cs="Times New Roman"/>
          <w:iCs/>
        </w:rPr>
        <w:t>Nors patofiziologija neaiški, epidemiologinių tyrimų duomenys rodo, kad ilgalaikės osteoporozės po menopauzės gydymo bisfosfonatais metu, ypač po trejų-penkerių metų vartojimo, padidėja netipinių subtrochanterinių ir diafizinių šlaunikaulio lūžių rizika. Absoliuti atipinių subtrochanterinių ir diafizinių ilgųjų kaulų lūžių (bisfosfonatų klasės nepageidaujamos reakcijos) rizika išlieka reta.</w:t>
      </w:r>
    </w:p>
    <w:p w14:paraId="47EE1079" w14:textId="77777777" w:rsidR="00030D15" w:rsidRPr="00857D68" w:rsidRDefault="00030D15" w:rsidP="00030D1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p>
    <w:p w14:paraId="12FABBEA" w14:textId="77777777" w:rsidR="00030D15" w:rsidRPr="00857D68" w:rsidRDefault="00030D15" w:rsidP="00030D1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857D68">
        <w:rPr>
          <w:rFonts w:ascii="Times New Roman" w:eastAsia="Times New Roman" w:hAnsi="Times New Roman" w:cs="Times New Roman"/>
          <w:snapToGrid w:val="0"/>
          <w:szCs w:val="24"/>
          <w:u w:val="single"/>
        </w:rPr>
        <w:t>Pranešimas apie įtariamas nepageidaujamas reakcijas</w:t>
      </w:r>
    </w:p>
    <w:p w14:paraId="4C5AD4E4" w14:textId="2C3F13E0" w:rsidR="003616E2" w:rsidRPr="00857D68" w:rsidRDefault="00030D15" w:rsidP="003616E2">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sidRPr="00857D68">
        <w:rPr>
          <w:rFonts w:ascii="Times New Roman" w:eastAsia="Times New Roman" w:hAnsi="Times New Roman" w:cs="Times New Roman"/>
          <w:snapToGrid w:val="0"/>
          <w:szCs w:val="24"/>
        </w:rPr>
        <w:t xml:space="preserve">Svarbu pranešti apie įtariamas nepageidaujamas reakcijas, pastebėtas po vaistinio preparato registracijos, nes tai leidžia nuolat stebėti vaistinio preparato naudos ir rizikos santykį. </w:t>
      </w:r>
      <w:r w:rsidR="003616E2" w:rsidRPr="00857D68">
        <w:rPr>
          <w:rFonts w:ascii="Times New Roman" w:eastAsia="Times New Roman" w:hAnsi="Times New Roman" w:cs="Times New Roman"/>
          <w:snapToGrid w:val="0"/>
          <w:szCs w:val="24"/>
        </w:rPr>
        <w:t xml:space="preserve">Sveikatos priežiūros ar farmacijos specialistai turi pranešti apie bet kokias įtariamas nepageidaujamas reakcijas, </w:t>
      </w:r>
      <w:r w:rsidR="00042D50" w:rsidRPr="00042D50">
        <w:rPr>
          <w:rFonts w:ascii="Times New Roman" w:eastAsia="Times New Roman" w:hAnsi="Times New Roman" w:cs="Times New Roman"/>
          <w:snapToGrid w:val="0"/>
          <w:szCs w:val="24"/>
        </w:rPr>
        <w:t xml:space="preserve">užpildę ir pateikę pranešimo formą Valstybinės vaistų kontrolės tarnybos prie Lietuvos Respublikos sveikatos apsaugos ministerijos tinklalapyje </w:t>
      </w:r>
      <w:r w:rsidR="00042D50" w:rsidRPr="00042D50">
        <w:rPr>
          <w:rFonts w:ascii="Times New Roman" w:eastAsia="Times New Roman" w:hAnsi="Times New Roman" w:cs="Times New Roman"/>
          <w:snapToGrid w:val="0"/>
          <w:szCs w:val="24"/>
          <w:u w:val="single"/>
        </w:rPr>
        <w:t>https://vvkt.lrv.lt/lt/</w:t>
      </w:r>
      <w:r w:rsidR="00042D50" w:rsidRPr="00042D50">
        <w:rPr>
          <w:rFonts w:ascii="Times New Roman" w:eastAsia="Times New Roman" w:hAnsi="Times New Roman" w:cs="Times New Roman"/>
          <w:snapToGrid w:val="0"/>
          <w:szCs w:val="24"/>
        </w:rPr>
        <w:t xml:space="preserve"> nurodytais būdais</w:t>
      </w:r>
      <w:r w:rsidR="003616E2" w:rsidRPr="00857D68">
        <w:rPr>
          <w:rFonts w:ascii="Times New Roman" w:eastAsia="Times New Roman" w:hAnsi="Times New Roman" w:cs="Times New Roman"/>
          <w:snapToGrid w:val="0"/>
          <w:szCs w:val="24"/>
        </w:rPr>
        <w:t>.</w:t>
      </w:r>
    </w:p>
    <w:p w14:paraId="1C187B3A" w14:textId="77777777" w:rsidR="00030D15" w:rsidRPr="00857D68" w:rsidRDefault="00030D15" w:rsidP="003616E2">
      <w:pPr>
        <w:tabs>
          <w:tab w:val="left" w:pos="567"/>
        </w:tabs>
        <w:autoSpaceDE w:val="0"/>
        <w:autoSpaceDN w:val="0"/>
        <w:adjustRightInd w:val="0"/>
        <w:spacing w:after="0" w:line="260" w:lineRule="exact"/>
        <w:rPr>
          <w:rFonts w:ascii="Times New Roman" w:eastAsia="Times New Roman" w:hAnsi="Times New Roman" w:cs="Times New Roman"/>
          <w:iCs/>
        </w:rPr>
      </w:pPr>
    </w:p>
    <w:p w14:paraId="723C2B98" w14:textId="77777777" w:rsidR="00030D15" w:rsidRPr="00857D68" w:rsidRDefault="00030D15" w:rsidP="00030D15">
      <w:pPr>
        <w:keepNext/>
        <w:tabs>
          <w:tab w:val="left" w:pos="567"/>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b/>
        </w:rPr>
        <w:t>4.9</w:t>
      </w:r>
      <w:r w:rsidRPr="00857D68">
        <w:rPr>
          <w:rFonts w:ascii="Times New Roman" w:eastAsia="Times New Roman" w:hAnsi="Times New Roman" w:cs="Times New Roman"/>
          <w:b/>
        </w:rPr>
        <w:tab/>
        <w:t>Perdozavimas</w:t>
      </w:r>
    </w:p>
    <w:p w14:paraId="09616A05" w14:textId="77777777" w:rsidR="00030D15" w:rsidRPr="00857D68" w:rsidRDefault="00030D15" w:rsidP="00030D15">
      <w:pPr>
        <w:keepNext/>
        <w:tabs>
          <w:tab w:val="left" w:pos="567"/>
        </w:tabs>
        <w:spacing w:after="0" w:line="240" w:lineRule="auto"/>
        <w:rPr>
          <w:rFonts w:ascii="Times New Roman" w:eastAsia="Times New Roman" w:hAnsi="Times New Roman" w:cs="Times New Roman"/>
        </w:rPr>
      </w:pPr>
    </w:p>
    <w:p w14:paraId="792D08C5" w14:textId="77777777" w:rsidR="00030D15" w:rsidRPr="00857D68" w:rsidRDefault="00030D15" w:rsidP="00030D15">
      <w:pPr>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Simptomai</w:t>
      </w:r>
    </w:p>
    <w:p w14:paraId="4FB66E4B" w14:textId="0AEA4D92"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Perdozavus geriamosios formos, gali pasireikšti hipokalcemija, hipofosfatemija ir viršutinės virškinimo trakto dalies nepageidaujam</w:t>
      </w:r>
      <w:r w:rsidR="00770959">
        <w:rPr>
          <w:rFonts w:ascii="Times New Roman" w:eastAsia="Times New Roman" w:hAnsi="Times New Roman" w:cs="Times New Roman"/>
        </w:rPr>
        <w:t>os reakcijos</w:t>
      </w:r>
      <w:r w:rsidRPr="00857D68">
        <w:rPr>
          <w:rFonts w:ascii="Times New Roman" w:eastAsia="Times New Roman" w:hAnsi="Times New Roman" w:cs="Times New Roman"/>
        </w:rPr>
        <w:t xml:space="preserve">, pvz., sutrikusi skrandžio veikla, rėmuo, stemplės uždegimas, gastritas arba opa. </w:t>
      </w:r>
    </w:p>
    <w:p w14:paraId="24B20F7C" w14:textId="77777777" w:rsidR="00030D15" w:rsidRPr="00857D68" w:rsidRDefault="00030D15" w:rsidP="00030D15">
      <w:pPr>
        <w:spacing w:after="0" w:line="240" w:lineRule="auto"/>
        <w:rPr>
          <w:rFonts w:ascii="Times New Roman" w:eastAsia="Times New Roman" w:hAnsi="Times New Roman" w:cs="Times New Roman"/>
        </w:rPr>
      </w:pPr>
    </w:p>
    <w:p w14:paraId="5E08D286" w14:textId="77777777" w:rsidR="00030D15" w:rsidRPr="00857D68" w:rsidRDefault="00030D15" w:rsidP="00030D15">
      <w:pPr>
        <w:spacing w:after="0" w:line="240" w:lineRule="auto"/>
        <w:rPr>
          <w:rFonts w:ascii="Times New Roman" w:eastAsia="Times New Roman" w:hAnsi="Times New Roman" w:cs="Times New Roman"/>
          <w:u w:val="single"/>
        </w:rPr>
      </w:pPr>
      <w:r w:rsidRPr="00857D68">
        <w:rPr>
          <w:rFonts w:ascii="Times New Roman" w:eastAsia="Times New Roman" w:hAnsi="Times New Roman" w:cs="Times New Roman"/>
          <w:u w:val="single"/>
        </w:rPr>
        <w:t>Gydymas</w:t>
      </w:r>
    </w:p>
    <w:p w14:paraId="13814DA7"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Specifinės informacijos apie perdozavimo alendrono rūgštimi gydymą nėra. Kad alendrono rūgštis būtų sujungta, reikia gerti pieno arba vartoti rūgštingumą mažinančių preparatų. Kad nepasireikštų stemplės dirginimas, negalima sukelti vėmimo ir pacientas turėtų pabūti vertikalioje padėtyje.</w:t>
      </w:r>
    </w:p>
    <w:p w14:paraId="628CB384" w14:textId="77777777" w:rsidR="00030D15" w:rsidRPr="00857D68" w:rsidRDefault="00030D15" w:rsidP="00030D15">
      <w:pPr>
        <w:spacing w:after="0" w:line="240" w:lineRule="auto"/>
        <w:rPr>
          <w:rFonts w:ascii="Times New Roman" w:eastAsia="Times New Roman" w:hAnsi="Times New Roman" w:cs="Times New Roman"/>
        </w:rPr>
      </w:pPr>
    </w:p>
    <w:p w14:paraId="4ACFC377" w14:textId="77777777" w:rsidR="00030D15" w:rsidRPr="00857D68" w:rsidRDefault="00030D15" w:rsidP="00030D15">
      <w:pPr>
        <w:spacing w:after="0" w:line="240" w:lineRule="auto"/>
        <w:rPr>
          <w:rFonts w:ascii="Times New Roman" w:eastAsia="Times New Roman" w:hAnsi="Times New Roman" w:cs="Times New Roman"/>
        </w:rPr>
      </w:pPr>
    </w:p>
    <w:p w14:paraId="1F8A9761" w14:textId="77777777" w:rsidR="00030D15" w:rsidRPr="00857D68" w:rsidRDefault="00030D15" w:rsidP="00030D15">
      <w:pPr>
        <w:spacing w:after="0" w:line="240" w:lineRule="auto"/>
        <w:ind w:left="567" w:hanging="567"/>
        <w:rPr>
          <w:rFonts w:ascii="Times New Roman" w:eastAsia="Times New Roman" w:hAnsi="Times New Roman" w:cs="Times New Roman"/>
        </w:rPr>
      </w:pPr>
      <w:r w:rsidRPr="00857D68">
        <w:rPr>
          <w:rFonts w:ascii="Times New Roman" w:eastAsia="Times New Roman" w:hAnsi="Times New Roman" w:cs="Times New Roman"/>
          <w:b/>
        </w:rPr>
        <w:t>5.</w:t>
      </w:r>
      <w:r w:rsidRPr="00857D68">
        <w:rPr>
          <w:rFonts w:ascii="Times New Roman" w:eastAsia="Times New Roman" w:hAnsi="Times New Roman" w:cs="Times New Roman"/>
          <w:b/>
        </w:rPr>
        <w:tab/>
        <w:t xml:space="preserve">FARMAKOLOGINĖS </w:t>
      </w:r>
      <w:r w:rsidRPr="00857D68">
        <w:rPr>
          <w:rFonts w:ascii="Times New Roman" w:eastAsia="Times New Roman" w:hAnsi="Times New Roman" w:cs="Times New Roman"/>
          <w:b/>
          <w:caps/>
        </w:rPr>
        <w:t>savybės</w:t>
      </w:r>
    </w:p>
    <w:p w14:paraId="22DE3457" w14:textId="77777777" w:rsidR="00030D15" w:rsidRPr="00857D68" w:rsidRDefault="00030D15" w:rsidP="00030D15">
      <w:pPr>
        <w:spacing w:after="0" w:line="240" w:lineRule="auto"/>
        <w:rPr>
          <w:rFonts w:ascii="Times New Roman" w:eastAsia="Times New Roman" w:hAnsi="Times New Roman" w:cs="Times New Roman"/>
        </w:rPr>
      </w:pPr>
    </w:p>
    <w:p w14:paraId="418AA7C0"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5.1</w:t>
      </w:r>
      <w:r w:rsidRPr="00857D68">
        <w:rPr>
          <w:rFonts w:ascii="Times New Roman" w:eastAsia="Times New Roman" w:hAnsi="Times New Roman" w:cs="Times New Roman"/>
          <w:b/>
        </w:rPr>
        <w:tab/>
        <w:t>Farmakodinaminės savybės</w:t>
      </w:r>
    </w:p>
    <w:p w14:paraId="7F5248CA" w14:textId="77777777" w:rsidR="00030D15" w:rsidRPr="00857D68" w:rsidRDefault="00030D15" w:rsidP="00030D15">
      <w:pPr>
        <w:spacing w:after="0" w:line="240" w:lineRule="auto"/>
        <w:rPr>
          <w:rFonts w:ascii="Times New Roman" w:eastAsia="Times New Roman" w:hAnsi="Times New Roman" w:cs="Times New Roman"/>
        </w:rPr>
      </w:pPr>
    </w:p>
    <w:p w14:paraId="12BF57A2" w14:textId="36607CA1"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Farmakoterapinė grupė – vaistiniai preparatai, veikiantys kaulų struktūrą ir mineralizaciją, bisfosfonatai, ATC kodas – M05BA04.</w:t>
      </w:r>
    </w:p>
    <w:p w14:paraId="5191AB35" w14:textId="77777777" w:rsidR="00030D15" w:rsidRPr="00857D68" w:rsidRDefault="00030D15" w:rsidP="00030D15">
      <w:pPr>
        <w:spacing w:after="0" w:line="240" w:lineRule="auto"/>
        <w:outlineLvl w:val="0"/>
        <w:rPr>
          <w:rFonts w:ascii="Times New Roman" w:eastAsia="Times New Roman" w:hAnsi="Times New Roman" w:cs="Times New Roman"/>
        </w:rPr>
      </w:pPr>
    </w:p>
    <w:p w14:paraId="5C61E36C"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szCs w:val="20"/>
          <w:u w:val="single"/>
        </w:rPr>
        <w:t>Veikimo mechanizmas</w:t>
      </w:r>
    </w:p>
    <w:p w14:paraId="325E97E7"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Alendronic acid Accord tablečių veiklioji medžiaga – natrio alendronatas – yra bisfosfonatas, slopinantis osteoklastinę kaulų rezorbciją, tačiau be tiesioginio poveikio kaulo formavimuisi. </w:t>
      </w:r>
    </w:p>
    <w:p w14:paraId="71F64172"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Ikiklinikiniai tyrimai parodė pirmenybinę alendrono rūgšties lokalizaciją aktyvios rezorbcijos vietose. Osteoklastų aktyvumas užslopintas, bet osteoklastų telkimasis arba prisijungimas yra nepaveikti. Kaulas, susiformavęs gydymo alendrono rūgštimi metu, yra normalios kokybės.</w:t>
      </w:r>
    </w:p>
    <w:p w14:paraId="0F39AC07" w14:textId="77777777" w:rsidR="00030D15" w:rsidRPr="00857D68" w:rsidRDefault="00030D15" w:rsidP="00030D15">
      <w:pPr>
        <w:spacing w:after="0" w:line="240" w:lineRule="auto"/>
        <w:rPr>
          <w:rFonts w:ascii="Times New Roman" w:eastAsia="Times New Roman" w:hAnsi="Times New Roman" w:cs="Times New Roman"/>
        </w:rPr>
      </w:pPr>
    </w:p>
    <w:p w14:paraId="32893487"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szCs w:val="20"/>
          <w:u w:val="single"/>
        </w:rPr>
        <w:t>Klinikinis veiksmingumas ir saugumas</w:t>
      </w:r>
    </w:p>
    <w:p w14:paraId="54B0EA6B" w14:textId="77777777" w:rsidR="00030D15" w:rsidRPr="00857D68" w:rsidRDefault="00030D15" w:rsidP="00030D15">
      <w:pPr>
        <w:spacing w:after="0" w:line="240" w:lineRule="auto"/>
        <w:rPr>
          <w:rFonts w:ascii="Times New Roman" w:eastAsia="Times New Roman" w:hAnsi="Times New Roman" w:cs="Times New Roman"/>
          <w:i/>
        </w:rPr>
      </w:pPr>
    </w:p>
    <w:p w14:paraId="221E00BC" w14:textId="77777777" w:rsidR="00030D15" w:rsidRPr="00857D68" w:rsidRDefault="00030D15" w:rsidP="00030D15">
      <w:pPr>
        <w:spacing w:after="0" w:line="240" w:lineRule="auto"/>
        <w:rPr>
          <w:rFonts w:ascii="Times New Roman" w:eastAsia="Times New Roman" w:hAnsi="Times New Roman" w:cs="Times New Roman"/>
          <w:i/>
        </w:rPr>
      </w:pPr>
      <w:r w:rsidRPr="00857D68">
        <w:rPr>
          <w:rFonts w:ascii="Times New Roman" w:eastAsia="Times New Roman" w:hAnsi="Times New Roman" w:cs="Times New Roman"/>
          <w:i/>
        </w:rPr>
        <w:t>Osteoporozės gydymas pomenopauziniu laikotarpiu</w:t>
      </w:r>
    </w:p>
    <w:p w14:paraId="740EFB6B" w14:textId="77777777" w:rsidR="00030D15" w:rsidRPr="00857D68" w:rsidRDefault="00030D15" w:rsidP="00030D15">
      <w:pPr>
        <w:spacing w:after="0" w:line="240" w:lineRule="auto"/>
        <w:rPr>
          <w:rFonts w:ascii="Times New Roman" w:eastAsia="Times New Roman" w:hAnsi="Times New Roman" w:cs="Times New Roman"/>
          <w:szCs w:val="20"/>
        </w:rPr>
      </w:pPr>
    </w:p>
    <w:p w14:paraId="7DD030E0" w14:textId="77777777" w:rsidR="00030D15" w:rsidRPr="00857D68" w:rsidRDefault="00030D15" w:rsidP="00030D15">
      <w:pPr>
        <w:spacing w:after="0" w:line="240" w:lineRule="auto"/>
        <w:rPr>
          <w:rFonts w:ascii="Times New Roman" w:eastAsia="Times New Roman" w:hAnsi="Times New Roman" w:cs="Times New Roman"/>
          <w:b/>
          <w:szCs w:val="20"/>
        </w:rPr>
      </w:pPr>
      <w:r w:rsidRPr="00857D68">
        <w:rPr>
          <w:rFonts w:ascii="Times New Roman" w:eastAsia="Times New Roman" w:hAnsi="Times New Roman" w:cs="Times New Roman"/>
          <w:b/>
          <w:szCs w:val="20"/>
        </w:rPr>
        <w:t>Osteoporozė diagnozuojama, kai jaunų žmonių stuburo arba šlaunikaulio KMT 2,5 SD mažesnis už vidutinį lygį arba yra buvęs patologinis lūžimas, nesusijęs su KMT.</w:t>
      </w:r>
    </w:p>
    <w:p w14:paraId="36F00F11" w14:textId="77777777" w:rsidR="00030D15" w:rsidRPr="00857D68" w:rsidRDefault="00030D15" w:rsidP="00030D15">
      <w:pPr>
        <w:spacing w:after="0" w:line="240" w:lineRule="auto"/>
        <w:rPr>
          <w:rFonts w:ascii="Times New Roman" w:eastAsia="Times New Roman" w:hAnsi="Times New Roman" w:cs="Times New Roman"/>
        </w:rPr>
      </w:pPr>
    </w:p>
    <w:p w14:paraId="327EC53C"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lastRenderedPageBreak/>
        <w:t>Atliekant vienerių metų trukmės daugiacentrį klinikinį tyrimą, kuriame dalyvavo pomenopauzinio laikotarpio moterys, vartojančios po 70 mg alendrono rūgšties tablečių (n=519) ir vartojančios po 10 mg alendrono rūgšties tablečių (n=370), buvo tiriamas terapinis lygiavertiškumas. Pirmaisiais gydymo metais vidutinis juosmeninės stuburo dalies KMT padidėjo nuo pradinio lygmens 70 mg vieną kartą per savaitę vartojusiųjų grupėje 5,1 % (95 % PI: 4,8, 5,4 %) ir 5,4 % (95 % PI: 5,0, 5,8 %) 10 mg vieną kartą per parą vartojusiųjų grupėje. Vidutinis šlaunikaulio kaklo KMT padidėjo 2,3 % ir 2,9 %, o viso šlaunikaulio atitinkamai 2,9 % ir 3,1 % vartojusiųjų 70 mg vieną kartą per savaitę ir 10 mg vieną kartą per parą vartojusiųjų grupėse. Abiejose tiriamųjų grupėse kitų kaulų KMT padidėjimas buvo panašus.</w:t>
      </w:r>
    </w:p>
    <w:p w14:paraId="44616244" w14:textId="77777777" w:rsidR="00030D15" w:rsidRPr="00857D68" w:rsidRDefault="00030D15" w:rsidP="00030D15">
      <w:pPr>
        <w:spacing w:after="0" w:line="240" w:lineRule="auto"/>
        <w:rPr>
          <w:rFonts w:ascii="Times New Roman" w:eastAsia="Times New Roman" w:hAnsi="Times New Roman" w:cs="Times New Roman"/>
        </w:rPr>
      </w:pPr>
    </w:p>
    <w:p w14:paraId="6703B1E1"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Atliekant du identiško plano pradinio veiksmingumo (n = 994) ir lūžių prevencijos (angl. </w:t>
      </w:r>
      <w:r w:rsidRPr="00857D68">
        <w:rPr>
          <w:rFonts w:ascii="Times New Roman" w:eastAsia="Times New Roman" w:hAnsi="Times New Roman" w:cs="Times New Roman"/>
          <w:i/>
        </w:rPr>
        <w:t>Fracture Intervention Trial</w:t>
      </w:r>
      <w:r w:rsidRPr="00857D68">
        <w:rPr>
          <w:rFonts w:ascii="Times New Roman" w:eastAsia="Times New Roman" w:hAnsi="Times New Roman" w:cs="Times New Roman"/>
        </w:rPr>
        <w:t>) (FIT: n = 6459) klinikinius tyrimus, kuriuose dalyvavo pomenopauzinio laikotarpio moterys, buvo tiriamas alendrono rūgšties poveikis kaulų masei ir lūžių dažniui.</w:t>
      </w:r>
    </w:p>
    <w:p w14:paraId="13CBE327" w14:textId="77777777" w:rsidR="00030D15" w:rsidRPr="00857D68" w:rsidRDefault="00030D15" w:rsidP="00030D15">
      <w:pPr>
        <w:spacing w:after="0" w:line="240" w:lineRule="auto"/>
        <w:rPr>
          <w:rFonts w:ascii="Times New Roman" w:eastAsia="Times New Roman" w:hAnsi="Times New Roman" w:cs="Times New Roman"/>
        </w:rPr>
      </w:pPr>
    </w:p>
    <w:p w14:paraId="0FD5FD8D"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Pradinio veiksmingumo tyrimų metu vidutinis kaulų mineralų tankis (KMT) trečiaisiais metais, palyginti su placebu, padidėjo 10 mg per parą alendrono rūgšties gavusiųjų grupėje: stuburo – 8,8 %, šlaunikaulio kaklo – 5,9 %, šlaunikaulio gūbrio – 7,8 %. Be to, gerokai padidėjo viso kūno KMT. Palyginti su placebu, tarp vartojusiųjų alendrono rūgštį 48 % sumažėjo pacientų (3,2 % vartojusių alendrono rūgštį, palyginti su 6,2 % vartojusių placebą), patyrusių vieną ar daugiau stuburo slankstelių lūžių. Pratęsus šiuos tyrimus dvejais metais, toliau didėjo stuburo ir šlaunikaulio gūbrio KMT, o šlaunikaulio kaklo KMT išliko toks pat.</w:t>
      </w:r>
    </w:p>
    <w:p w14:paraId="1F6CCE69"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FIT sudaro du placebu kontroliuojami klinikiniai tyrimai, atlikti kasdien vartojant alendrono rūgštį (dvejus metus kasdien vartojant po 5 mg ir dar vienerius arba dvejus papildomus metus kasdien vartojant po 10 mg) :</w:t>
      </w:r>
    </w:p>
    <w:p w14:paraId="2C3750D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tbl>
      <w:tblPr>
        <w:tblW w:w="0" w:type="auto"/>
        <w:tblLook w:val="01E0" w:firstRow="1" w:lastRow="1" w:firstColumn="1" w:lastColumn="1" w:noHBand="0" w:noVBand="0"/>
      </w:tblPr>
      <w:tblGrid>
        <w:gridCol w:w="964"/>
        <w:gridCol w:w="7991"/>
      </w:tblGrid>
      <w:tr w:rsidR="00030D15" w:rsidRPr="00857D68" w14:paraId="44154FDB" w14:textId="77777777" w:rsidTr="00BA68CB">
        <w:tc>
          <w:tcPr>
            <w:tcW w:w="964" w:type="dxa"/>
            <w:shd w:val="clear" w:color="auto" w:fill="auto"/>
          </w:tcPr>
          <w:p w14:paraId="6125E308" w14:textId="77777777" w:rsidR="00030D15" w:rsidRPr="00857D68" w:rsidRDefault="00030D15" w:rsidP="00BA68CB">
            <w:pPr>
              <w:numPr>
                <w:ilvl w:val="0"/>
                <w:numId w:val="18"/>
              </w:numPr>
              <w:tabs>
                <w:tab w:val="left" w:pos="360"/>
                <w:tab w:val="left" w:pos="567"/>
              </w:tabs>
              <w:spacing w:after="0" w:line="260" w:lineRule="exact"/>
              <w:ind w:left="360"/>
              <w:rPr>
                <w:rFonts w:ascii="Times New Roman" w:eastAsia="Times New Roman" w:hAnsi="Times New Roman" w:cs="Times New Roman"/>
              </w:rPr>
            </w:pPr>
            <w:r w:rsidRPr="00857D68">
              <w:rPr>
                <w:rFonts w:ascii="Times New Roman" w:eastAsia="Times New Roman" w:hAnsi="Times New Roman" w:cs="Times New Roman"/>
                <w:u w:val="single"/>
              </w:rPr>
              <w:t>FIT 1:</w:t>
            </w:r>
          </w:p>
        </w:tc>
        <w:tc>
          <w:tcPr>
            <w:tcW w:w="7991" w:type="dxa"/>
            <w:shd w:val="clear" w:color="auto" w:fill="auto"/>
          </w:tcPr>
          <w:p w14:paraId="0583A551" w14:textId="77777777" w:rsidR="00030D15" w:rsidRPr="00857D68" w:rsidRDefault="00030D15" w:rsidP="00BA68CB">
            <w:p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trejų metų trukmės tyrimas, kuriame dalyvavo 2027 pacientai, patyrę mažiausiai vieną bazinį stuburo slankstelio (kompresinį) lūžį. Šio tyrimo metu alendrono rūgštis sumažino lūžių dažnį: </w:t>
            </w:r>
            <w:r w:rsidRPr="00857D68">
              <w:rPr>
                <w:rFonts w:ascii="Times New Roman" w:eastAsia="Times New Roman" w:hAnsi="Times New Roman" w:cs="Times New Roman"/>
              </w:rPr>
              <w:sym w:font="Symbol" w:char="00B3"/>
            </w:r>
            <w:r w:rsidRPr="00857D68">
              <w:rPr>
                <w:rFonts w:ascii="Times New Roman" w:eastAsia="Times New Roman" w:hAnsi="Times New Roman" w:cs="Times New Roman"/>
              </w:rPr>
              <w:t xml:space="preserve"> 1 naujų stuburo slankstelių lūžių iki 47 % (7,9 % vartojusiems alendrono rūgštį, palyginti su 15,0 % vartojusių placebą). Be to, gerokai sumažėjo šlaunikaulio lūžių dažnis (1,1 %, palyginti su 2,2 %, 51 % sumažėjimas). </w:t>
            </w:r>
          </w:p>
          <w:p w14:paraId="2669CE1F"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p>
        </w:tc>
      </w:tr>
      <w:tr w:rsidR="00030D15" w:rsidRPr="00857D68" w14:paraId="1B416690" w14:textId="77777777" w:rsidTr="00BA68CB">
        <w:tc>
          <w:tcPr>
            <w:tcW w:w="964" w:type="dxa"/>
            <w:shd w:val="clear" w:color="auto" w:fill="auto"/>
          </w:tcPr>
          <w:p w14:paraId="00A5612D" w14:textId="77777777" w:rsidR="00030D15" w:rsidRPr="00857D68" w:rsidRDefault="00030D15" w:rsidP="00BA68CB">
            <w:pPr>
              <w:numPr>
                <w:ilvl w:val="0"/>
                <w:numId w:val="18"/>
              </w:numPr>
              <w:tabs>
                <w:tab w:val="left" w:pos="360"/>
                <w:tab w:val="left" w:pos="567"/>
              </w:tabs>
              <w:spacing w:after="0" w:line="260" w:lineRule="exact"/>
              <w:ind w:left="360"/>
              <w:rPr>
                <w:rFonts w:ascii="Times New Roman" w:eastAsia="Times New Roman" w:hAnsi="Times New Roman" w:cs="Times New Roman"/>
              </w:rPr>
            </w:pPr>
            <w:r w:rsidRPr="00857D68">
              <w:rPr>
                <w:rFonts w:ascii="Times New Roman" w:eastAsia="Times New Roman" w:hAnsi="Times New Roman" w:cs="Times New Roman"/>
                <w:u w:val="single"/>
              </w:rPr>
              <w:t>FIT 2:</w:t>
            </w:r>
          </w:p>
        </w:tc>
        <w:tc>
          <w:tcPr>
            <w:tcW w:w="7991" w:type="dxa"/>
            <w:shd w:val="clear" w:color="auto" w:fill="auto"/>
          </w:tcPr>
          <w:p w14:paraId="638D9BF1" w14:textId="77777777" w:rsidR="00030D15" w:rsidRPr="00857D68" w:rsidRDefault="00030D15" w:rsidP="00BA68CB">
            <w:p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ketverių metų trukmės tyrimas, kuriame dalyvavo 4432 turintys mažesnę kaulų masę, bet nepatyrę jokio stuburo slankstelio lūžio pacientai. Šio tyrimo metu osteoporoze sergančių moterų grupėje (37 % bendrosios populiacijos, atitinka anksčiau pateiktą osteoporozės apibūdinimą) buvo pastebėtas aiškus šlaunikaulio lūžių dažnio (1,0 % vartojusių alendrono rūgštį, palyginti su 2,2 % vartojusių placebą, 56 % sumažėjimas) ir </w:t>
            </w:r>
            <w:r w:rsidRPr="00857D68">
              <w:rPr>
                <w:rFonts w:ascii="Times New Roman" w:eastAsia="Times New Roman" w:hAnsi="Times New Roman" w:cs="Times New Roman"/>
              </w:rPr>
              <w:sym w:font="Symbol" w:char="00B3"/>
            </w:r>
            <w:r w:rsidRPr="00857D68">
              <w:rPr>
                <w:rFonts w:ascii="Times New Roman" w:eastAsia="Times New Roman" w:hAnsi="Times New Roman" w:cs="Times New Roman"/>
              </w:rPr>
              <w:t xml:space="preserve"> 1 stuburo slankstelio lūžių dažnio skirtumas (2,9 %, palyginti su 5,8 %, 50 % sumažėjimas). </w:t>
            </w:r>
          </w:p>
          <w:p w14:paraId="4AA446EA" w14:textId="77777777" w:rsidR="00030D15" w:rsidRPr="00857D68" w:rsidRDefault="00030D15" w:rsidP="00BA68CB">
            <w:pPr>
              <w:tabs>
                <w:tab w:val="left" w:pos="567"/>
              </w:tabs>
              <w:spacing w:after="0" w:line="260" w:lineRule="exact"/>
              <w:rPr>
                <w:rFonts w:ascii="Times New Roman" w:eastAsia="Times New Roman" w:hAnsi="Times New Roman" w:cs="Times New Roman"/>
              </w:rPr>
            </w:pPr>
          </w:p>
        </w:tc>
      </w:tr>
    </w:tbl>
    <w:p w14:paraId="370856D7" w14:textId="77777777" w:rsidR="00030D15" w:rsidRPr="00857D68" w:rsidRDefault="00030D15" w:rsidP="00030D15">
      <w:pPr>
        <w:tabs>
          <w:tab w:val="left" w:pos="567"/>
        </w:tabs>
        <w:spacing w:after="0" w:line="260" w:lineRule="exact"/>
        <w:jc w:val="both"/>
        <w:rPr>
          <w:rFonts w:ascii="Times New Roman" w:eastAsia="Times New Roman" w:hAnsi="Times New Roman" w:cs="Times New Roman"/>
        </w:rPr>
      </w:pPr>
    </w:p>
    <w:p w14:paraId="55F8363E" w14:textId="77777777" w:rsidR="00030D15" w:rsidRPr="00857D68" w:rsidRDefault="00030D15" w:rsidP="00030D15">
      <w:pPr>
        <w:spacing w:after="0" w:line="240" w:lineRule="auto"/>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Laboratorinių tyrimų duomenys</w:t>
      </w:r>
    </w:p>
    <w:p w14:paraId="2E45D4F2" w14:textId="77777777" w:rsidR="00030D15" w:rsidRPr="00857D68" w:rsidRDefault="00030D15" w:rsidP="00030D15">
      <w:pPr>
        <w:spacing w:after="0" w:line="240" w:lineRule="auto"/>
        <w:rPr>
          <w:rFonts w:ascii="Times New Roman" w:eastAsia="Times New Roman" w:hAnsi="Times New Roman" w:cs="Times New Roman"/>
        </w:rPr>
      </w:pPr>
    </w:p>
    <w:p w14:paraId="48071B62"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Klinikinių tyrimų duomenimis, buvo stebėtas simptomų nesukeliantis lengvas trumpalaikis kalcio ir fosfatų koncentracijų serume sumažėjimas atitinkamai maždaug 18 % ir 10 % pacientų, vartojančių 10 mg alendrono rūgšties paros dozę, palyginti su maždaug 12 % ir 3 % sumažėjimu, vartojant placebą. Vis dėlto kalcio koncentracijos serume sumažėjimo iki &lt; 8,0 mg/dl (2,0 mmol/l) ir fosfatų koncentracijos serume sumažėjimo iki MAŽESNĖS NEI ARBA LYGIOS (8804)2,0 mg/dl (0,65 mmol/l) dažnis abiejose gydymo grupėse buvo panašus.</w:t>
      </w:r>
    </w:p>
    <w:p w14:paraId="53B265C7" w14:textId="77777777" w:rsidR="00030D15" w:rsidRPr="00857D68" w:rsidRDefault="00030D15" w:rsidP="00030D15">
      <w:pPr>
        <w:spacing w:after="0" w:line="240" w:lineRule="auto"/>
        <w:rPr>
          <w:rFonts w:ascii="Times New Roman" w:eastAsia="Times New Roman" w:hAnsi="Times New Roman" w:cs="Times New Roman"/>
        </w:rPr>
      </w:pPr>
    </w:p>
    <w:p w14:paraId="7DF761B3" w14:textId="77777777" w:rsidR="00030D15" w:rsidRPr="00857D68" w:rsidRDefault="00030D15" w:rsidP="00030D15">
      <w:pPr>
        <w:spacing w:after="0" w:line="240" w:lineRule="auto"/>
        <w:rPr>
          <w:rFonts w:ascii="Times New Roman" w:eastAsia="Times New Roman" w:hAnsi="Times New Roman" w:cs="Times New Roman"/>
          <w:u w:val="single"/>
          <w:lang w:eastAsia="lt-LT"/>
        </w:rPr>
      </w:pPr>
      <w:r w:rsidRPr="00857D68">
        <w:rPr>
          <w:rFonts w:ascii="Times New Roman" w:eastAsia="Times New Roman" w:hAnsi="Times New Roman" w:cs="Times New Roman"/>
          <w:szCs w:val="20"/>
          <w:u w:val="single"/>
        </w:rPr>
        <w:t>Vaikų populiacija</w:t>
      </w:r>
    </w:p>
    <w:p w14:paraId="166C0B23" w14:textId="77777777" w:rsidR="00030D15" w:rsidRPr="00857D68" w:rsidRDefault="00030D15" w:rsidP="00030D15">
      <w:pPr>
        <w:spacing w:after="0" w:line="240" w:lineRule="auto"/>
        <w:rPr>
          <w:rFonts w:ascii="Times New Roman" w:eastAsia="Times New Roman" w:hAnsi="Times New Roman" w:cs="Times New Roman"/>
          <w:lang w:eastAsia="lt-LT"/>
        </w:rPr>
      </w:pPr>
      <w:r w:rsidRPr="00857D68">
        <w:rPr>
          <w:rFonts w:ascii="Times New Roman" w:eastAsia="Times New Roman" w:hAnsi="Times New Roman" w:cs="Times New Roman"/>
          <w:lang w:eastAsia="lt-LT"/>
        </w:rPr>
        <w:t>Natrio alendronato poveikio tyrime dalyvavo nedaug jaunesnių kaip 18 metų vaikų, kuriems buvo nebaigtinė osteogenezė. Gautų duomenų nepakanka pediatrinių pacientų, kuriems yra nebaigtinė osteogenezė, gydymui paremti.</w:t>
      </w:r>
    </w:p>
    <w:p w14:paraId="49F401F9" w14:textId="77777777" w:rsidR="00030D15" w:rsidRPr="00857D68" w:rsidRDefault="00030D15" w:rsidP="00030D15">
      <w:pPr>
        <w:spacing w:after="0" w:line="240" w:lineRule="auto"/>
        <w:rPr>
          <w:rFonts w:ascii="Times New Roman" w:eastAsia="Times New Roman" w:hAnsi="Times New Roman" w:cs="Times New Roman"/>
        </w:rPr>
      </w:pPr>
    </w:p>
    <w:p w14:paraId="30FC9981"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5.2</w:t>
      </w:r>
      <w:r w:rsidRPr="00857D68">
        <w:rPr>
          <w:rFonts w:ascii="Times New Roman" w:eastAsia="Times New Roman" w:hAnsi="Times New Roman" w:cs="Times New Roman"/>
          <w:b/>
        </w:rPr>
        <w:tab/>
        <w:t>Farmakokinetinės savybės</w:t>
      </w:r>
    </w:p>
    <w:p w14:paraId="6599C0DA" w14:textId="77777777" w:rsidR="00030D15" w:rsidRPr="00857D68" w:rsidRDefault="00030D15" w:rsidP="00030D15">
      <w:pPr>
        <w:spacing w:after="0" w:line="240" w:lineRule="auto"/>
        <w:ind w:left="567" w:hanging="567"/>
        <w:outlineLvl w:val="0"/>
        <w:rPr>
          <w:rFonts w:ascii="Times New Roman" w:eastAsia="Times New Roman" w:hAnsi="Times New Roman" w:cs="Times New Roman"/>
          <w:b/>
        </w:rPr>
      </w:pPr>
    </w:p>
    <w:p w14:paraId="568866FA" w14:textId="77777777" w:rsidR="00030D15" w:rsidRPr="00857D68" w:rsidRDefault="00030D15" w:rsidP="00030D15">
      <w:pPr>
        <w:spacing w:after="0" w:line="240" w:lineRule="auto"/>
        <w:ind w:left="567" w:hanging="567"/>
        <w:outlineLvl w:val="0"/>
        <w:rPr>
          <w:rFonts w:ascii="Times New Roman" w:eastAsia="Times New Roman" w:hAnsi="Times New Roman" w:cs="Times New Roman"/>
          <w:u w:val="single"/>
        </w:rPr>
      </w:pPr>
      <w:r w:rsidRPr="00857D68">
        <w:rPr>
          <w:rFonts w:ascii="Times New Roman" w:eastAsia="Times New Roman" w:hAnsi="Times New Roman" w:cs="Times New Roman"/>
          <w:szCs w:val="20"/>
          <w:u w:val="single"/>
        </w:rPr>
        <w:t>Absorbcija</w:t>
      </w:r>
    </w:p>
    <w:p w14:paraId="49E3615B" w14:textId="77777777" w:rsidR="00030D15" w:rsidRPr="00857D68" w:rsidRDefault="00030D15" w:rsidP="00030D15">
      <w:pPr>
        <w:spacing w:after="0" w:line="240" w:lineRule="auto"/>
        <w:ind w:left="567" w:hanging="567"/>
        <w:outlineLvl w:val="0"/>
        <w:rPr>
          <w:rFonts w:ascii="Times New Roman" w:eastAsia="Times New Roman" w:hAnsi="Times New Roman" w:cs="Times New Roman"/>
          <w:szCs w:val="20"/>
          <w:u w:val="single"/>
        </w:rPr>
      </w:pPr>
    </w:p>
    <w:p w14:paraId="331AC669"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Lyginant su į veną vartojama doze, geriamųjų alendrono rūgšties tablečių biologinis prieinamumas moterims buvo 0,64 %, vartojant 5–70 mg iškart po nakties, likus dviem valandoms iki įprastų pusryčių. Biologinis prieinamumas sumažėjo panašiai: 0,46 % ir 0,39 %, kai alendrono rūgštis buvo vartojama likus valandai arba pusvalandžiui iki įprastų pusryčių. Osteoporozės tyrimų metu alendrono rūgšties tabletė buvo veiksminga, vartojant ją mažiausiai 30 minučių iki pirmojo valgymo arba atsigėrimo dienos pradžioje.</w:t>
      </w:r>
    </w:p>
    <w:p w14:paraId="253A88A2" w14:textId="77777777" w:rsidR="00030D15" w:rsidRPr="00857D68" w:rsidRDefault="00030D15" w:rsidP="00030D15">
      <w:pPr>
        <w:spacing w:after="0" w:line="240" w:lineRule="auto"/>
        <w:outlineLvl w:val="0"/>
        <w:rPr>
          <w:rFonts w:ascii="Times New Roman" w:eastAsia="Times New Roman" w:hAnsi="Times New Roman" w:cs="Times New Roman"/>
        </w:rPr>
      </w:pPr>
    </w:p>
    <w:p w14:paraId="51986433"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Biologinis prieinamumas buvo nereikšmingas, kai alendrono rūgšties tabletė buvo vartojama pusryčių metu arba praėjus ne daugiau kaip dviem valandoms po įprastų pusryčių. Kai kartu su alendrono rūgštimi buvo geriama kavos arba apelsinų sulčių, biologinis prieinamumas sumažėjo 60 %.</w:t>
      </w:r>
    </w:p>
    <w:p w14:paraId="5E48DEF4" w14:textId="77777777" w:rsidR="00030D15" w:rsidRPr="00857D68" w:rsidRDefault="00030D15" w:rsidP="00030D15">
      <w:pPr>
        <w:spacing w:after="0" w:line="240" w:lineRule="auto"/>
        <w:outlineLvl w:val="0"/>
        <w:rPr>
          <w:rFonts w:ascii="Times New Roman" w:eastAsia="Times New Roman" w:hAnsi="Times New Roman" w:cs="Times New Roman"/>
        </w:rPr>
      </w:pPr>
    </w:p>
    <w:p w14:paraId="2C9E1C18"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Sveikiems asmenims vartojant geriamojo prednizono (20 mg tris kartus per parą penkias paras) alendrono rūgšties geriamosios formos biologinio prieinamumo pokytis buvo kliniškai nereikšmingas (vidutinis padidėjimas nuo 20 % iki 44 %).</w:t>
      </w:r>
    </w:p>
    <w:p w14:paraId="48A89C4F"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p>
    <w:p w14:paraId="07816981" w14:textId="77777777" w:rsidR="00030D15" w:rsidRPr="00857D68" w:rsidRDefault="00030D15" w:rsidP="00030D15">
      <w:pPr>
        <w:spacing w:after="0" w:line="240" w:lineRule="auto"/>
        <w:ind w:left="567" w:hanging="567"/>
        <w:outlineLvl w:val="0"/>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Pasiskirstymas</w:t>
      </w:r>
    </w:p>
    <w:p w14:paraId="0AB9356F" w14:textId="77777777" w:rsidR="00030D15" w:rsidRPr="00857D68" w:rsidRDefault="00030D15" w:rsidP="00030D15">
      <w:pPr>
        <w:spacing w:after="0" w:line="240" w:lineRule="auto"/>
        <w:ind w:left="567" w:hanging="567"/>
        <w:outlineLvl w:val="0"/>
        <w:rPr>
          <w:rFonts w:ascii="Times New Roman" w:eastAsia="Times New Roman" w:hAnsi="Times New Roman" w:cs="Times New Roman"/>
          <w:u w:val="single"/>
        </w:rPr>
      </w:pPr>
    </w:p>
    <w:p w14:paraId="7E43A64E"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Tyrimai su žiurkėmis parodė, kad alendrono rūgšties tabletė trumpam pasiskirsto minkštuosiuose audiniuose, vartojant 1 mg/kg dozę į veną, bet vėliau greitai pasiskirsto kauluose arba išsiskiria su šlapimu. Vidutinis pastovus pasiskirstymo tūris, išskyrus kaulus, žmonėms yra mažiausiai 28 litrai. Terapinėmis dozėmis vartojamo vaisto koncentracija kraujo plazmoje yra per maža, kad būtų galima ją aptikti (&lt;5 ng/ml). Prisijungimas prie žmogaus plazmos baltymų yra apie 78 %.</w:t>
      </w:r>
    </w:p>
    <w:p w14:paraId="04500D61"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p>
    <w:p w14:paraId="0E1DEC47" w14:textId="77777777" w:rsidR="00030D15" w:rsidRPr="00857D68" w:rsidRDefault="00030D15" w:rsidP="00030D15">
      <w:pPr>
        <w:spacing w:after="0" w:line="240" w:lineRule="auto"/>
        <w:ind w:left="567" w:hanging="567"/>
        <w:outlineLvl w:val="0"/>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Biotransformacija</w:t>
      </w:r>
    </w:p>
    <w:p w14:paraId="2CFE0F73" w14:textId="77777777" w:rsidR="00030D15" w:rsidRPr="00857D68" w:rsidRDefault="00030D15" w:rsidP="00030D15">
      <w:pPr>
        <w:spacing w:after="0" w:line="240" w:lineRule="auto"/>
        <w:ind w:left="567" w:hanging="567"/>
        <w:outlineLvl w:val="0"/>
        <w:rPr>
          <w:rFonts w:ascii="Times New Roman" w:eastAsia="Times New Roman" w:hAnsi="Times New Roman" w:cs="Times New Roman"/>
          <w:u w:val="single"/>
        </w:rPr>
      </w:pPr>
    </w:p>
    <w:p w14:paraId="29A37656"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rPr>
        <w:t>Alendrono rūgšties metabolizmas gyvūnų arba žmonių organizmuose neįrodytas.</w:t>
      </w:r>
    </w:p>
    <w:p w14:paraId="7EFF869F" w14:textId="77777777" w:rsidR="00030D15" w:rsidRPr="00857D68" w:rsidRDefault="00030D15" w:rsidP="00030D15">
      <w:pPr>
        <w:spacing w:after="0" w:line="240" w:lineRule="auto"/>
        <w:ind w:left="567" w:hanging="567"/>
        <w:outlineLvl w:val="0"/>
        <w:rPr>
          <w:rFonts w:ascii="Times New Roman" w:eastAsia="Times New Roman" w:hAnsi="Times New Roman" w:cs="Times New Roman"/>
          <w:b/>
        </w:rPr>
      </w:pPr>
    </w:p>
    <w:p w14:paraId="2BDC899C" w14:textId="77777777" w:rsidR="00030D15" w:rsidRPr="00857D68" w:rsidRDefault="00030D15" w:rsidP="00030D15">
      <w:pPr>
        <w:spacing w:after="0" w:line="240" w:lineRule="auto"/>
        <w:ind w:left="567" w:hanging="567"/>
        <w:outlineLvl w:val="0"/>
        <w:rPr>
          <w:rFonts w:ascii="Times New Roman" w:eastAsia="Times New Roman" w:hAnsi="Times New Roman" w:cs="Times New Roman"/>
          <w:szCs w:val="20"/>
          <w:u w:val="single"/>
        </w:rPr>
      </w:pPr>
      <w:r w:rsidRPr="00857D68">
        <w:rPr>
          <w:rFonts w:ascii="Times New Roman" w:eastAsia="Times New Roman" w:hAnsi="Times New Roman" w:cs="Times New Roman"/>
          <w:szCs w:val="20"/>
          <w:u w:val="single"/>
        </w:rPr>
        <w:t>Eliminacija</w:t>
      </w:r>
    </w:p>
    <w:p w14:paraId="4697E549" w14:textId="77777777" w:rsidR="00030D15" w:rsidRPr="00857D68" w:rsidRDefault="00030D15" w:rsidP="00030D15">
      <w:pPr>
        <w:spacing w:after="0" w:line="240" w:lineRule="auto"/>
        <w:ind w:left="567" w:hanging="567"/>
        <w:outlineLvl w:val="0"/>
        <w:rPr>
          <w:rFonts w:ascii="Times New Roman" w:eastAsia="Times New Roman" w:hAnsi="Times New Roman" w:cs="Times New Roman"/>
          <w:u w:val="single"/>
        </w:rPr>
      </w:pPr>
    </w:p>
    <w:p w14:paraId="4C440386" w14:textId="77777777" w:rsidR="00030D15" w:rsidRPr="00857D68" w:rsidRDefault="00030D15" w:rsidP="00030D15">
      <w:pPr>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rPr>
        <w:t xml:space="preserve">Vartojant vienkartinę žymėtos </w:t>
      </w:r>
      <w:r w:rsidRPr="00857D68">
        <w:rPr>
          <w:rFonts w:ascii="Times New Roman" w:eastAsia="Times New Roman" w:hAnsi="Times New Roman" w:cs="Times New Roman"/>
          <w:vertAlign w:val="superscript"/>
        </w:rPr>
        <w:t>14</w:t>
      </w:r>
      <w:r w:rsidRPr="00857D68">
        <w:rPr>
          <w:rFonts w:ascii="Times New Roman" w:eastAsia="Times New Roman" w:hAnsi="Times New Roman" w:cs="Times New Roman"/>
        </w:rPr>
        <w:t>C alendrono rūgšties tabletės dozę, maždaug 50 % radioaktyvių medžiagų pasišalina per 72 valandas su šlapimu, o išmatose radioaktyvių medžiagų aptikta nedaug arba visai nerasta. Vartojant vienkartinę 10 mg dozę į veną, alendrono rūgšties tabletės inkstų klirensas buvo 71 ml/min. ir sisteminis klirensas neviršijo 200 ml/min. Koncentracija plazmoje sumažėjo daugiau nei 95 % per šešias valandas, pavartojus vaisto į veną. Galutinis pusinės eliminacijos laikotarpis žmonėms ilgesnis nei dešimt metų priklausomai nuo alendrono rūgšties išsiskyrimo iš kaulų. Žiurkėms alendrono rūgštis neišsiskiria per inkstų rūgščių arba bazių transportines sistemas, todėl tikėtina, kad žmonių organizme nebus įtakos kitų vaistų išsiskyrimui per šias sistemas.</w:t>
      </w:r>
    </w:p>
    <w:p w14:paraId="68481BFF" w14:textId="77777777" w:rsidR="00030D15" w:rsidRPr="00857D68" w:rsidRDefault="00030D15" w:rsidP="00030D15">
      <w:pPr>
        <w:spacing w:after="0" w:line="240" w:lineRule="auto"/>
        <w:ind w:left="567" w:hanging="567"/>
        <w:outlineLvl w:val="0"/>
        <w:rPr>
          <w:rFonts w:ascii="Times New Roman" w:eastAsia="Times New Roman" w:hAnsi="Times New Roman" w:cs="Times New Roman"/>
          <w:b/>
        </w:rPr>
      </w:pPr>
    </w:p>
    <w:p w14:paraId="3166EA31" w14:textId="77777777" w:rsidR="00030D15" w:rsidRPr="00857D68" w:rsidRDefault="00030D15" w:rsidP="00030D15">
      <w:pPr>
        <w:spacing w:after="0" w:line="240" w:lineRule="auto"/>
        <w:ind w:left="567" w:hanging="567"/>
        <w:outlineLvl w:val="0"/>
        <w:rPr>
          <w:rFonts w:ascii="Times New Roman" w:eastAsia="Times New Roman" w:hAnsi="Times New Roman" w:cs="Times New Roman"/>
          <w:u w:val="single"/>
        </w:rPr>
      </w:pPr>
      <w:r w:rsidRPr="00857D68">
        <w:rPr>
          <w:rFonts w:ascii="Times New Roman" w:eastAsia="Times New Roman" w:hAnsi="Times New Roman" w:cs="Times New Roman"/>
          <w:u w:val="single"/>
        </w:rPr>
        <w:t>Inkstų sutrikimai</w:t>
      </w:r>
    </w:p>
    <w:p w14:paraId="54332A7F" w14:textId="77777777" w:rsidR="00030D15" w:rsidRPr="00857D68" w:rsidRDefault="00030D15" w:rsidP="00030D15">
      <w:pPr>
        <w:spacing w:after="0" w:line="240" w:lineRule="auto"/>
        <w:ind w:left="567" w:hanging="567"/>
        <w:outlineLvl w:val="0"/>
        <w:rPr>
          <w:rFonts w:ascii="Times New Roman" w:eastAsia="Times New Roman" w:hAnsi="Times New Roman" w:cs="Times New Roman"/>
          <w:szCs w:val="20"/>
          <w:u w:val="single"/>
        </w:rPr>
      </w:pPr>
    </w:p>
    <w:p w14:paraId="49F23C07"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Ikiklinikiniai tyrimai parodė, kad kauluose nesikaupiantis vaistas greitai pasišalina su šlapimu. Gyvūnams ilgai leidžiant kumuliacines (iki 35 mg/kg) dozes į veną, vaistinio preparato pasisavinimo kauluose įsotinimas neįrodytas. Nors nėra klinikinių duomenų, tikėtina, kad kaip ir gyvūnų, taip ir žmogaus organizme alendrono rūgšties per inkstus bus išskiriama mažiau, jeigu sutrikusi inkstų funkcija. Todėl pacientams, kurių inkstų funkcija sutrikusi, kartais gali daugiau alendrono rūgšties kauptis kauluose (žr. 4.2 skyrių).</w:t>
      </w:r>
    </w:p>
    <w:p w14:paraId="6CF5B5FA" w14:textId="77777777" w:rsidR="00030D15" w:rsidRPr="00857D68" w:rsidRDefault="00030D15" w:rsidP="00030D15">
      <w:pPr>
        <w:spacing w:after="0" w:line="240" w:lineRule="auto"/>
        <w:ind w:left="567" w:hanging="567"/>
        <w:outlineLvl w:val="0"/>
        <w:rPr>
          <w:rFonts w:ascii="Times New Roman" w:eastAsia="Times New Roman" w:hAnsi="Times New Roman" w:cs="Times New Roman"/>
          <w:b/>
        </w:rPr>
      </w:pPr>
    </w:p>
    <w:p w14:paraId="29532511"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5.3</w:t>
      </w:r>
      <w:r w:rsidRPr="00857D68">
        <w:rPr>
          <w:rFonts w:ascii="Times New Roman" w:eastAsia="Times New Roman" w:hAnsi="Times New Roman" w:cs="Times New Roman"/>
          <w:b/>
        </w:rPr>
        <w:tab/>
        <w:t>Ikiklinikinių saugumo tyrimų duomenys</w:t>
      </w:r>
    </w:p>
    <w:p w14:paraId="75C1D0B8"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77110FD"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Įprastų farmakologinio saugumo, kartotinių dozių toksiškumo, genotoksiškumo, galimo kancerogeniškumo ikiklinikinių tyrimų duomenys specifinio pavojaus žmogui nerodo. Tyrimai su vaikingomis žiurkėmis parodė, kad gydymas alendrono rūgštimi gimdymo metu sukelia su hipokalcemija susijusią distociją. Tyrimų su žiurkėmis metu, vaisto duodant didelėmis dozėmis, nevisiškai sukietėjo vaisiaus kaulai. Ar šis poveikis pasireiškia žmonėms, nežinoma.</w:t>
      </w:r>
    </w:p>
    <w:p w14:paraId="37A59459" w14:textId="77777777" w:rsidR="00030D15" w:rsidRPr="00857D68" w:rsidRDefault="00030D15" w:rsidP="00030D15">
      <w:pPr>
        <w:spacing w:after="0" w:line="260" w:lineRule="exact"/>
        <w:rPr>
          <w:rFonts w:ascii="Times New Roman" w:eastAsia="Times New Roman" w:hAnsi="Times New Roman" w:cs="Times New Roman"/>
        </w:rPr>
      </w:pPr>
    </w:p>
    <w:p w14:paraId="6638FD63" w14:textId="77777777" w:rsidR="00030D15" w:rsidRPr="00857D68" w:rsidRDefault="00030D15" w:rsidP="00030D15">
      <w:pPr>
        <w:spacing w:after="0" w:line="260" w:lineRule="exact"/>
        <w:rPr>
          <w:rFonts w:ascii="Times New Roman" w:eastAsia="Times New Roman" w:hAnsi="Times New Roman" w:cs="Times New Roman"/>
        </w:rPr>
      </w:pPr>
    </w:p>
    <w:p w14:paraId="335D9DC0" w14:textId="77777777" w:rsidR="00030D15" w:rsidRPr="00857D68" w:rsidRDefault="00030D15" w:rsidP="00030D15">
      <w:pPr>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lastRenderedPageBreak/>
        <w:t>6.</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farmacinė informacija</w:t>
      </w:r>
    </w:p>
    <w:p w14:paraId="29799FF9" w14:textId="77777777" w:rsidR="00030D15" w:rsidRPr="00857D68" w:rsidRDefault="00030D15" w:rsidP="00030D15">
      <w:pPr>
        <w:spacing w:after="0" w:line="260" w:lineRule="exact"/>
        <w:rPr>
          <w:rFonts w:ascii="Times New Roman" w:eastAsia="Times New Roman" w:hAnsi="Times New Roman" w:cs="Times New Roman"/>
        </w:rPr>
      </w:pPr>
    </w:p>
    <w:p w14:paraId="39FAE967"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6.1</w:t>
      </w:r>
      <w:r w:rsidRPr="00857D68">
        <w:rPr>
          <w:rFonts w:ascii="Times New Roman" w:eastAsia="Times New Roman" w:hAnsi="Times New Roman" w:cs="Times New Roman"/>
          <w:b/>
        </w:rPr>
        <w:tab/>
        <w:t>Pagalbinių medžiagų sąrašas</w:t>
      </w:r>
    </w:p>
    <w:p w14:paraId="69D8D501" w14:textId="77777777" w:rsidR="00030D15" w:rsidRPr="00857D68" w:rsidRDefault="00030D15" w:rsidP="00030D15">
      <w:pPr>
        <w:spacing w:after="0" w:line="240" w:lineRule="auto"/>
        <w:rPr>
          <w:rFonts w:ascii="Times New Roman" w:eastAsia="Times New Roman" w:hAnsi="Times New Roman" w:cs="Times New Roman"/>
          <w:iCs/>
        </w:rPr>
      </w:pPr>
    </w:p>
    <w:p w14:paraId="3E70773B" w14:textId="77777777" w:rsidR="00030D15" w:rsidRPr="00857D68" w:rsidRDefault="00030D15" w:rsidP="00030D15">
      <w:pPr>
        <w:spacing w:after="0" w:line="240" w:lineRule="auto"/>
        <w:rPr>
          <w:rFonts w:ascii="Times New Roman" w:eastAsia="Times New Roman" w:hAnsi="Times New Roman" w:cs="Times New Roman"/>
          <w:iCs/>
        </w:rPr>
      </w:pPr>
      <w:r w:rsidRPr="00857D68">
        <w:rPr>
          <w:rFonts w:ascii="Times New Roman" w:eastAsia="Times New Roman" w:hAnsi="Times New Roman" w:cs="Times New Roman"/>
          <w:iCs/>
        </w:rPr>
        <w:t>Bevandenė laktozė</w:t>
      </w:r>
    </w:p>
    <w:p w14:paraId="7B9AF38A" w14:textId="77777777" w:rsidR="00030D15" w:rsidRPr="00857D68" w:rsidRDefault="00030D15" w:rsidP="00030D15">
      <w:pPr>
        <w:spacing w:after="0" w:line="240" w:lineRule="auto"/>
        <w:rPr>
          <w:rFonts w:ascii="Times New Roman" w:eastAsia="Times New Roman" w:hAnsi="Times New Roman" w:cs="Times New Roman"/>
          <w:iCs/>
        </w:rPr>
      </w:pPr>
      <w:r w:rsidRPr="00857D68">
        <w:rPr>
          <w:rFonts w:ascii="Times New Roman" w:eastAsia="Times New Roman" w:hAnsi="Times New Roman" w:cs="Times New Roman"/>
          <w:iCs/>
        </w:rPr>
        <w:t>Mikrokristalinė celiuliozė (E460)</w:t>
      </w:r>
    </w:p>
    <w:p w14:paraId="027DDE90" w14:textId="77777777" w:rsidR="00030D15" w:rsidRPr="00857D68" w:rsidRDefault="00030D15" w:rsidP="00030D15">
      <w:pPr>
        <w:spacing w:after="0" w:line="240" w:lineRule="auto"/>
        <w:rPr>
          <w:rFonts w:ascii="Times New Roman" w:eastAsia="Times New Roman" w:hAnsi="Times New Roman" w:cs="Times New Roman"/>
          <w:iCs/>
        </w:rPr>
      </w:pPr>
      <w:r w:rsidRPr="00857D68">
        <w:rPr>
          <w:rFonts w:ascii="Times New Roman" w:eastAsia="Times New Roman" w:hAnsi="Times New Roman" w:cs="Times New Roman"/>
          <w:iCs/>
        </w:rPr>
        <w:t>Kroskarmeliozės natrio druska</w:t>
      </w:r>
    </w:p>
    <w:p w14:paraId="31CFDD4E" w14:textId="77777777" w:rsidR="00030D15" w:rsidRPr="00857D68" w:rsidRDefault="00030D15" w:rsidP="00030D15">
      <w:pPr>
        <w:spacing w:after="0" w:line="240" w:lineRule="auto"/>
        <w:rPr>
          <w:rFonts w:ascii="Times New Roman" w:eastAsia="Times New Roman" w:hAnsi="Times New Roman" w:cs="Times New Roman"/>
          <w:iCs/>
        </w:rPr>
      </w:pPr>
      <w:r w:rsidRPr="00857D68">
        <w:rPr>
          <w:rFonts w:ascii="Times New Roman" w:eastAsia="Times New Roman" w:hAnsi="Times New Roman" w:cs="Times New Roman"/>
          <w:iCs/>
        </w:rPr>
        <w:t>Magnio stearatas</w:t>
      </w:r>
    </w:p>
    <w:p w14:paraId="0E69CC83" w14:textId="77777777" w:rsidR="00030D15" w:rsidRPr="00857D68" w:rsidRDefault="00030D15" w:rsidP="00030D15">
      <w:pPr>
        <w:spacing w:after="0" w:line="240" w:lineRule="auto"/>
        <w:rPr>
          <w:rFonts w:ascii="Times New Roman" w:eastAsia="Times New Roman" w:hAnsi="Times New Roman" w:cs="Times New Roman"/>
          <w:iCs/>
        </w:rPr>
      </w:pPr>
    </w:p>
    <w:p w14:paraId="0BD77989"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6.2</w:t>
      </w:r>
      <w:r w:rsidRPr="00857D68">
        <w:rPr>
          <w:rFonts w:ascii="Times New Roman" w:eastAsia="Times New Roman" w:hAnsi="Times New Roman" w:cs="Times New Roman"/>
          <w:b/>
        </w:rPr>
        <w:tab/>
        <w:t>Nesuderinamumas</w:t>
      </w:r>
    </w:p>
    <w:p w14:paraId="645E3C3B" w14:textId="77777777" w:rsidR="00030D15" w:rsidRPr="00857D68" w:rsidRDefault="00030D15" w:rsidP="00030D15">
      <w:pPr>
        <w:spacing w:after="0" w:line="240" w:lineRule="auto"/>
        <w:rPr>
          <w:rFonts w:ascii="Times New Roman" w:eastAsia="Times New Roman" w:hAnsi="Times New Roman" w:cs="Times New Roman"/>
        </w:rPr>
      </w:pPr>
    </w:p>
    <w:p w14:paraId="0E399DDF"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Duomenys nebūtini.</w:t>
      </w:r>
    </w:p>
    <w:p w14:paraId="536A1FD8" w14:textId="77777777" w:rsidR="00030D15" w:rsidRPr="00857D68" w:rsidRDefault="00030D15" w:rsidP="00030D15">
      <w:pPr>
        <w:spacing w:after="0" w:line="240" w:lineRule="auto"/>
        <w:rPr>
          <w:rFonts w:ascii="Times New Roman" w:eastAsia="Times New Roman" w:hAnsi="Times New Roman" w:cs="Times New Roman"/>
        </w:rPr>
      </w:pPr>
    </w:p>
    <w:p w14:paraId="29548546"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6.3</w:t>
      </w:r>
      <w:r w:rsidRPr="00857D68">
        <w:rPr>
          <w:rFonts w:ascii="Times New Roman" w:eastAsia="Times New Roman" w:hAnsi="Times New Roman" w:cs="Times New Roman"/>
          <w:b/>
        </w:rPr>
        <w:tab/>
        <w:t>Tinkamumo laikas</w:t>
      </w:r>
    </w:p>
    <w:p w14:paraId="2A89A62C" w14:textId="77777777" w:rsidR="00030D15" w:rsidRPr="00857D68" w:rsidRDefault="00030D15" w:rsidP="00030D15">
      <w:pPr>
        <w:spacing w:after="0" w:line="240" w:lineRule="auto"/>
        <w:rPr>
          <w:rFonts w:ascii="Times New Roman" w:eastAsia="Times New Roman" w:hAnsi="Times New Roman" w:cs="Times New Roman"/>
        </w:rPr>
      </w:pPr>
    </w:p>
    <w:p w14:paraId="7DB8B45B"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3 metai.</w:t>
      </w:r>
    </w:p>
    <w:p w14:paraId="31EC071D"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46D9A758"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6.4</w:t>
      </w:r>
      <w:r w:rsidRPr="00857D68">
        <w:rPr>
          <w:rFonts w:ascii="Times New Roman" w:eastAsia="Times New Roman" w:hAnsi="Times New Roman" w:cs="Times New Roman"/>
          <w:b/>
        </w:rPr>
        <w:tab/>
        <w:t>Specialios laikymo sąlygos</w:t>
      </w:r>
    </w:p>
    <w:p w14:paraId="26F5C392" w14:textId="77777777" w:rsidR="00030D15" w:rsidRPr="00857D68" w:rsidRDefault="00030D15" w:rsidP="00030D15">
      <w:pPr>
        <w:spacing w:after="0" w:line="240" w:lineRule="auto"/>
        <w:rPr>
          <w:rFonts w:ascii="Times New Roman" w:eastAsia="Times New Roman" w:hAnsi="Times New Roman" w:cs="Times New Roman"/>
        </w:rPr>
      </w:pPr>
    </w:p>
    <w:p w14:paraId="3D5C8165"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Šiam vaistiniam preparatui specialių laikymo sąlygų nereikia.</w:t>
      </w:r>
    </w:p>
    <w:p w14:paraId="20DCD2DD" w14:textId="77777777" w:rsidR="00030D15" w:rsidRPr="00857D68" w:rsidRDefault="00030D15" w:rsidP="00030D15">
      <w:pPr>
        <w:spacing w:after="0" w:line="240" w:lineRule="auto"/>
        <w:rPr>
          <w:rFonts w:ascii="Times New Roman" w:eastAsia="Times New Roman" w:hAnsi="Times New Roman" w:cs="Times New Roman"/>
        </w:rPr>
      </w:pPr>
    </w:p>
    <w:p w14:paraId="52923396" w14:textId="77777777" w:rsidR="00030D15" w:rsidRPr="00857D68" w:rsidRDefault="00030D15" w:rsidP="00030D15">
      <w:pPr>
        <w:numPr>
          <w:ilvl w:val="1"/>
          <w:numId w:val="4"/>
        </w:numPr>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bCs/>
        </w:rPr>
        <w:t>Talpyklės pobūdis ir jos</w:t>
      </w:r>
      <w:r w:rsidRPr="00857D68">
        <w:rPr>
          <w:rFonts w:ascii="Times New Roman" w:eastAsia="Times New Roman" w:hAnsi="Times New Roman" w:cs="Times New Roman"/>
        </w:rPr>
        <w:t xml:space="preserve"> </w:t>
      </w:r>
      <w:r w:rsidRPr="00857D68">
        <w:rPr>
          <w:rFonts w:ascii="Times New Roman" w:eastAsia="Times New Roman" w:hAnsi="Times New Roman" w:cs="Times New Roman"/>
          <w:b/>
        </w:rPr>
        <w:t>turinys</w:t>
      </w:r>
    </w:p>
    <w:p w14:paraId="4DD1F063" w14:textId="77777777" w:rsidR="00030D15" w:rsidRPr="00857D68" w:rsidRDefault="00030D15" w:rsidP="00030D15">
      <w:pPr>
        <w:spacing w:after="0" w:line="240" w:lineRule="auto"/>
        <w:rPr>
          <w:rFonts w:ascii="Times New Roman" w:eastAsia="Times New Roman" w:hAnsi="Times New Roman" w:cs="Times New Roman"/>
          <w:iCs/>
        </w:rPr>
      </w:pPr>
    </w:p>
    <w:p w14:paraId="09FFD937"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OPA/Al/PVC/Al lizdinė plokštelė.</w:t>
      </w:r>
    </w:p>
    <w:p w14:paraId="373CBEE4"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Pakuotėje yra 4 arba 12 tablečių.</w:t>
      </w:r>
    </w:p>
    <w:p w14:paraId="3073F53D"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Gali būti tiekiamos ne visų dydžių pakuotės.</w:t>
      </w:r>
    </w:p>
    <w:p w14:paraId="6B93F8C7" w14:textId="77777777" w:rsidR="00030D15" w:rsidRPr="00857D68" w:rsidRDefault="00030D15" w:rsidP="00030D15">
      <w:pPr>
        <w:spacing w:after="0" w:line="240" w:lineRule="auto"/>
        <w:rPr>
          <w:rFonts w:ascii="Times New Roman" w:eastAsia="Times New Roman" w:hAnsi="Times New Roman" w:cs="Times New Roman"/>
        </w:rPr>
      </w:pPr>
    </w:p>
    <w:p w14:paraId="26BBDF68" w14:textId="77777777" w:rsidR="00030D15" w:rsidRPr="00857D68" w:rsidRDefault="00030D15" w:rsidP="00030D15">
      <w:pP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6.6</w:t>
      </w:r>
      <w:r w:rsidRPr="00857D68">
        <w:rPr>
          <w:rFonts w:ascii="Times New Roman" w:eastAsia="Times New Roman" w:hAnsi="Times New Roman" w:cs="Times New Roman"/>
          <w:b/>
        </w:rPr>
        <w:tab/>
      </w:r>
      <w:r w:rsidRPr="00857D68">
        <w:rPr>
          <w:rFonts w:ascii="Times New Roman" w:eastAsia="Times New Roman" w:hAnsi="Times New Roman" w:cs="Times New Roman"/>
          <w:b/>
          <w:bCs/>
          <w:color w:val="000000"/>
        </w:rPr>
        <w:t>Specialūs reikalavimai atliekoms tvarkyti ir vaistiniam preparatui ruošti</w:t>
      </w:r>
    </w:p>
    <w:p w14:paraId="10766F07" w14:textId="77777777" w:rsidR="00030D15" w:rsidRPr="00857D68" w:rsidRDefault="00030D15" w:rsidP="00030D15">
      <w:pPr>
        <w:spacing w:after="0" w:line="240" w:lineRule="auto"/>
        <w:rPr>
          <w:rFonts w:ascii="Times New Roman" w:eastAsia="Times New Roman" w:hAnsi="Times New Roman" w:cs="Times New Roman"/>
        </w:rPr>
      </w:pPr>
    </w:p>
    <w:p w14:paraId="2A8E15A5"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Nesuvartotą vaistinį preparatą ar atliekas reikia tvarkyti laikantis vietinių reikalavimų.</w:t>
      </w:r>
    </w:p>
    <w:p w14:paraId="27E113F7" w14:textId="77777777" w:rsidR="00030D15" w:rsidRPr="00857D68" w:rsidRDefault="00030D15" w:rsidP="00030D15">
      <w:pPr>
        <w:spacing w:after="0" w:line="240" w:lineRule="auto"/>
        <w:rPr>
          <w:rFonts w:ascii="Times New Roman" w:eastAsia="Times New Roman" w:hAnsi="Times New Roman" w:cs="Times New Roman"/>
        </w:rPr>
      </w:pPr>
    </w:p>
    <w:p w14:paraId="00C7A6FA" w14:textId="77777777" w:rsidR="00030D15" w:rsidRPr="00857D68" w:rsidRDefault="00030D15" w:rsidP="00030D15">
      <w:pPr>
        <w:spacing w:after="0" w:line="240" w:lineRule="auto"/>
        <w:rPr>
          <w:rFonts w:ascii="Times New Roman" w:eastAsia="Times New Roman" w:hAnsi="Times New Roman" w:cs="Times New Roman"/>
        </w:rPr>
      </w:pPr>
    </w:p>
    <w:p w14:paraId="065D79CC" w14:textId="77777777" w:rsidR="00030D15" w:rsidRPr="00857D68" w:rsidRDefault="00030D15" w:rsidP="00030D15">
      <w:pPr>
        <w:spacing w:after="0" w:line="240" w:lineRule="auto"/>
        <w:ind w:left="567" w:hanging="567"/>
        <w:rPr>
          <w:rFonts w:ascii="Times New Roman" w:eastAsia="Times New Roman" w:hAnsi="Times New Roman" w:cs="Times New Roman"/>
        </w:rPr>
      </w:pPr>
      <w:r w:rsidRPr="00857D68">
        <w:rPr>
          <w:rFonts w:ascii="Times New Roman" w:eastAsia="Times New Roman" w:hAnsi="Times New Roman" w:cs="Times New Roman"/>
          <w:b/>
        </w:rPr>
        <w:t>7.</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REGISTRUOTOJAS</w:t>
      </w:r>
    </w:p>
    <w:p w14:paraId="4B164AB2" w14:textId="77777777" w:rsidR="00030D15" w:rsidRPr="00857D68" w:rsidRDefault="00030D15" w:rsidP="00030D15">
      <w:pPr>
        <w:spacing w:after="0" w:line="240" w:lineRule="auto"/>
        <w:rPr>
          <w:rFonts w:ascii="Times New Roman" w:eastAsia="Times New Roman" w:hAnsi="Times New Roman" w:cs="Times New Roman"/>
        </w:rPr>
      </w:pPr>
    </w:p>
    <w:p w14:paraId="313C6DDB" w14:textId="5C4B33FF" w:rsidR="00030D15" w:rsidRPr="00857D68" w:rsidRDefault="00030D15" w:rsidP="000A2AD2">
      <w:pPr>
        <w:spacing w:after="0"/>
        <w:rPr>
          <w:rFonts w:ascii="Times New Roman" w:eastAsia="Times New Roman" w:hAnsi="Times New Roman" w:cs="Times New Roman"/>
        </w:rPr>
      </w:pPr>
      <w:r w:rsidRPr="00857D68">
        <w:rPr>
          <w:rFonts w:ascii="Times New Roman" w:eastAsia="Times New Roman" w:hAnsi="Times New Roman" w:cs="Times New Roman"/>
        </w:rPr>
        <w:t xml:space="preserve">Accord Healthcare </w:t>
      </w:r>
      <w:r w:rsidR="00EF57B4" w:rsidRPr="00857D68">
        <w:rPr>
          <w:rFonts w:ascii="Times New Roman" w:hAnsi="Times New Roman" w:cs="Times New Roman"/>
        </w:rPr>
        <w:t xml:space="preserve">B.V. </w:t>
      </w:r>
    </w:p>
    <w:p w14:paraId="06E2B371"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 xml:space="preserve">Winthontlaan 200 </w:t>
      </w:r>
    </w:p>
    <w:p w14:paraId="420AAD6C"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 xml:space="preserve">3526 KV Utrecht </w:t>
      </w:r>
    </w:p>
    <w:p w14:paraId="2EABEAFE"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Nyderlandai</w:t>
      </w:r>
    </w:p>
    <w:p w14:paraId="092DB0FE" w14:textId="77777777" w:rsidR="00030D15" w:rsidRPr="00857D68" w:rsidRDefault="00030D15" w:rsidP="00030D15">
      <w:pPr>
        <w:spacing w:after="0" w:line="240" w:lineRule="auto"/>
        <w:rPr>
          <w:rFonts w:ascii="Times New Roman" w:eastAsia="Times New Roman" w:hAnsi="Times New Roman" w:cs="Times New Roman"/>
        </w:rPr>
      </w:pPr>
    </w:p>
    <w:p w14:paraId="38EBB39A" w14:textId="77777777" w:rsidR="00030D15" w:rsidRPr="00857D68" w:rsidRDefault="00030D15" w:rsidP="00030D15">
      <w:pPr>
        <w:spacing w:after="0" w:line="240" w:lineRule="auto"/>
        <w:rPr>
          <w:rFonts w:ascii="Times New Roman" w:eastAsia="Times New Roman" w:hAnsi="Times New Roman" w:cs="Times New Roman"/>
        </w:rPr>
      </w:pPr>
    </w:p>
    <w:p w14:paraId="4555DEAE" w14:textId="77777777" w:rsidR="00030D15" w:rsidRPr="00857D68" w:rsidRDefault="00030D15" w:rsidP="00030D15">
      <w:pPr>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t>8.</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REGISTRACIJOS PAŽYMĖJIMO NUMERIS (-IAI)</w:t>
      </w:r>
    </w:p>
    <w:p w14:paraId="0A4C9AD9" w14:textId="77777777" w:rsidR="00030D15" w:rsidRPr="00857D68" w:rsidRDefault="00030D15" w:rsidP="00030D15">
      <w:pPr>
        <w:spacing w:after="0" w:line="240" w:lineRule="auto"/>
        <w:rPr>
          <w:rFonts w:ascii="Times New Roman" w:eastAsia="Times New Roman" w:hAnsi="Times New Roman" w:cs="Times New Roman"/>
        </w:rPr>
      </w:pPr>
    </w:p>
    <w:p w14:paraId="37DD1DF2" w14:textId="77777777" w:rsidR="00030D15" w:rsidRPr="00857D68" w:rsidRDefault="00030D15" w:rsidP="00030D15">
      <w:pPr>
        <w:tabs>
          <w:tab w:val="left" w:pos="567"/>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LT/1/09/1476/002</w:t>
      </w:r>
      <w:r w:rsidRPr="00857D68">
        <w:rPr>
          <w:rFonts w:ascii="Times New Roman" w:eastAsia="Arial Unicode MS" w:hAnsi="Times New Roman" w:cs="Times New Roman"/>
        </w:rPr>
        <w:t xml:space="preserve"> – N4</w:t>
      </w:r>
    </w:p>
    <w:p w14:paraId="38D29FB6" w14:textId="77777777" w:rsidR="00030D15" w:rsidRPr="00857D68" w:rsidRDefault="00030D15" w:rsidP="00030D15">
      <w:pPr>
        <w:tabs>
          <w:tab w:val="left" w:pos="567"/>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LT/1/09/1476/012 – N12</w:t>
      </w:r>
    </w:p>
    <w:p w14:paraId="0345D7F2" w14:textId="77777777" w:rsidR="00030D15" w:rsidRPr="00857D68" w:rsidRDefault="00030D15" w:rsidP="00030D15">
      <w:pPr>
        <w:spacing w:after="0" w:line="240" w:lineRule="auto"/>
        <w:rPr>
          <w:rFonts w:ascii="Times New Roman" w:eastAsia="Times New Roman" w:hAnsi="Times New Roman" w:cs="Times New Roman"/>
        </w:rPr>
      </w:pPr>
    </w:p>
    <w:p w14:paraId="297A15B0" w14:textId="77777777" w:rsidR="00030D15" w:rsidRPr="00857D68" w:rsidRDefault="00030D15" w:rsidP="00030D15">
      <w:pPr>
        <w:spacing w:after="0" w:line="240" w:lineRule="auto"/>
        <w:rPr>
          <w:rFonts w:ascii="Times New Roman" w:eastAsia="Times New Roman" w:hAnsi="Times New Roman" w:cs="Times New Roman"/>
        </w:rPr>
      </w:pPr>
    </w:p>
    <w:p w14:paraId="4B9ED250" w14:textId="77777777" w:rsidR="00030D15" w:rsidRPr="00857D68" w:rsidRDefault="00030D15" w:rsidP="00030D15">
      <w:pPr>
        <w:spacing w:after="0" w:line="240" w:lineRule="auto"/>
        <w:ind w:left="567" w:hanging="567"/>
        <w:rPr>
          <w:rFonts w:ascii="Times New Roman" w:eastAsia="Times New Roman" w:hAnsi="Times New Roman" w:cs="Times New Roman"/>
        </w:rPr>
      </w:pPr>
      <w:r w:rsidRPr="00857D68">
        <w:rPr>
          <w:rFonts w:ascii="Times New Roman" w:eastAsia="Times New Roman" w:hAnsi="Times New Roman" w:cs="Times New Roman"/>
          <w:b/>
        </w:rPr>
        <w:t>9.</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REGISTRAVIMO / PERREGISTRAVIMO data</w:t>
      </w:r>
    </w:p>
    <w:p w14:paraId="26F71B95" w14:textId="77777777" w:rsidR="00030D15" w:rsidRPr="00857D68" w:rsidRDefault="00030D15" w:rsidP="00030D15">
      <w:pPr>
        <w:spacing w:after="0" w:line="240" w:lineRule="auto"/>
        <w:rPr>
          <w:rFonts w:ascii="Times New Roman" w:eastAsia="Times New Roman" w:hAnsi="Times New Roman" w:cs="Times New Roman"/>
        </w:rPr>
      </w:pPr>
    </w:p>
    <w:p w14:paraId="70E9F8C5"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snapToGrid w:val="0"/>
          <w:szCs w:val="20"/>
        </w:rPr>
        <w:t xml:space="preserve">Registravimo data </w:t>
      </w:r>
      <w:r w:rsidRPr="00857D68">
        <w:rPr>
          <w:rFonts w:ascii="Times New Roman" w:eastAsia="Times New Roman" w:hAnsi="Times New Roman" w:cs="Times New Roman"/>
        </w:rPr>
        <w:t>2009 m. vasario 26 d.</w:t>
      </w:r>
    </w:p>
    <w:p w14:paraId="5AF98F02"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Paskutinio perregistravimo data 2018 m. birželio 8 d.</w:t>
      </w:r>
    </w:p>
    <w:p w14:paraId="32F019DE" w14:textId="77777777" w:rsidR="00030D15" w:rsidRPr="00857D68" w:rsidRDefault="00030D15" w:rsidP="00030D15">
      <w:pPr>
        <w:spacing w:after="0" w:line="240" w:lineRule="auto"/>
        <w:rPr>
          <w:rFonts w:ascii="Times New Roman" w:eastAsia="Times New Roman" w:hAnsi="Times New Roman" w:cs="Times New Roman"/>
        </w:rPr>
      </w:pPr>
    </w:p>
    <w:p w14:paraId="401D20D5" w14:textId="77777777" w:rsidR="00030D15" w:rsidRPr="00857D68" w:rsidRDefault="00030D15" w:rsidP="00030D15">
      <w:pPr>
        <w:spacing w:after="0" w:line="240" w:lineRule="auto"/>
        <w:rPr>
          <w:rFonts w:ascii="Times New Roman" w:eastAsia="Times New Roman" w:hAnsi="Times New Roman" w:cs="Times New Roman"/>
        </w:rPr>
      </w:pPr>
    </w:p>
    <w:p w14:paraId="38815449" w14:textId="77777777" w:rsidR="00030D15" w:rsidRPr="00857D68" w:rsidRDefault="00030D15" w:rsidP="00030D15">
      <w:pPr>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t>10.</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teksto peržiūros data</w:t>
      </w:r>
    </w:p>
    <w:p w14:paraId="548B443E" w14:textId="77777777" w:rsidR="00030D15" w:rsidRPr="00857D68" w:rsidRDefault="00030D15" w:rsidP="00030D15">
      <w:pPr>
        <w:spacing w:after="0" w:line="240" w:lineRule="auto"/>
        <w:rPr>
          <w:rFonts w:ascii="Times New Roman" w:eastAsia="Times New Roman" w:hAnsi="Times New Roman" w:cs="Times New Roman"/>
        </w:rPr>
      </w:pPr>
    </w:p>
    <w:p w14:paraId="2B9127DF" w14:textId="4245B009" w:rsidR="00030D15" w:rsidRPr="00857D68" w:rsidRDefault="00DE404B" w:rsidP="00030D15">
      <w:pPr>
        <w:spacing w:after="0" w:line="240" w:lineRule="auto"/>
        <w:rPr>
          <w:rFonts w:ascii="Times New Roman" w:eastAsia="Times New Roman" w:hAnsi="Times New Roman" w:cs="Times New Roman"/>
        </w:rPr>
      </w:pPr>
      <w:r>
        <w:rPr>
          <w:rFonts w:ascii="Times New Roman" w:eastAsia="Times New Roman" w:hAnsi="Times New Roman" w:cs="Times New Roman"/>
        </w:rPr>
        <w:t>202</w:t>
      </w:r>
      <w:r w:rsidR="00971B5C">
        <w:rPr>
          <w:rFonts w:ascii="Times New Roman" w:eastAsia="Times New Roman" w:hAnsi="Times New Roman" w:cs="Times New Roman"/>
          <w:lang w:val="en-US"/>
        </w:rPr>
        <w:t xml:space="preserve">5 m. sausio </w:t>
      </w:r>
      <w:r w:rsidR="00C92F71">
        <w:rPr>
          <w:rFonts w:ascii="Times New Roman" w:eastAsia="Times New Roman" w:hAnsi="Times New Roman" w:cs="Times New Roman"/>
          <w:lang w:val="en-US"/>
        </w:rPr>
        <w:t>3 d.</w:t>
      </w:r>
    </w:p>
    <w:p w14:paraId="7AB3582C" w14:textId="77777777" w:rsidR="00030D15" w:rsidRPr="00857D68" w:rsidRDefault="00030D15" w:rsidP="00030D15">
      <w:pPr>
        <w:spacing w:after="0" w:line="240" w:lineRule="auto"/>
        <w:rPr>
          <w:rFonts w:ascii="Times New Roman" w:eastAsia="Times New Roman" w:hAnsi="Times New Roman" w:cs="Times New Roman"/>
        </w:rPr>
      </w:pPr>
    </w:p>
    <w:p w14:paraId="4D4A78BC" w14:textId="1B7D0FD7" w:rsidR="00030D15" w:rsidRPr="00857D68" w:rsidRDefault="00030D15" w:rsidP="00030D15">
      <w:pPr>
        <w:spacing w:after="0" w:line="240" w:lineRule="auto"/>
        <w:rPr>
          <w:rFonts w:ascii="Times New Roman" w:eastAsia="Times New Roman" w:hAnsi="Times New Roman" w:cs="Times New Roman"/>
          <w:color w:val="0000FF"/>
        </w:rPr>
      </w:pPr>
      <w:r w:rsidRPr="00857D68">
        <w:rPr>
          <w:rFonts w:ascii="Times New Roman" w:eastAsia="Times New Roman" w:hAnsi="Times New Roman" w:cs="Times New Roman"/>
        </w:rPr>
        <w:lastRenderedPageBreak/>
        <w:t xml:space="preserve">Išsami informacija apie šį vaistinį preparatą pateikiama Valstybinės vaistų kontrolės tarnybos prie Lietuvos Respublikos sveikatos apsaugos ministerijos tinklalapyje </w:t>
      </w:r>
      <w:r w:rsidR="00435D05" w:rsidRPr="00435D05">
        <w:rPr>
          <w:rFonts w:ascii="Times New Roman" w:eastAsia="Times New Roman" w:hAnsi="Times New Roman" w:cs="Times New Roman"/>
          <w:u w:val="single"/>
        </w:rPr>
        <w:t>https://vvkt.lrv.lt/lt/.</w:t>
      </w:r>
    </w:p>
    <w:p w14:paraId="3D069BBD"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1917A86"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br w:type="page"/>
      </w:r>
    </w:p>
    <w:p w14:paraId="051650DB" w14:textId="77777777" w:rsidR="00030D15" w:rsidRPr="00857D68" w:rsidRDefault="00030D15" w:rsidP="00030D15">
      <w:pPr>
        <w:numPr>
          <w:ilvl w:val="12"/>
          <w:numId w:val="0"/>
        </w:numPr>
        <w:spacing w:after="0" w:line="240" w:lineRule="auto"/>
        <w:ind w:right="-2"/>
        <w:rPr>
          <w:rFonts w:ascii="Times New Roman" w:eastAsia="Times New Roman" w:hAnsi="Times New Roman" w:cs="Times New Roman"/>
        </w:rPr>
      </w:pPr>
    </w:p>
    <w:p w14:paraId="4428A3C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66209276"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0A9FB268"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2B8BE4B9"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30D255BD"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103006E9"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1D85C48E"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2FD23FFF"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2FEDED42"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55B3CBBA"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6D9B74BC"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7FDA4C26"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74A857BF"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793B23A8"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6CD3EC2C"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191855D6"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55A1C457"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39F61007"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2FD1AEE4"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1A2F2C35"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1EBFBCC1"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3CB9073D"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215781CF" w14:textId="77777777" w:rsidR="00030D15" w:rsidRPr="00857D68" w:rsidRDefault="00030D15" w:rsidP="00030D15">
      <w:pPr>
        <w:tabs>
          <w:tab w:val="left" w:pos="567"/>
        </w:tabs>
        <w:spacing w:after="0" w:line="260" w:lineRule="exact"/>
        <w:jc w:val="center"/>
        <w:rPr>
          <w:rFonts w:ascii="Times New Roman" w:eastAsia="Times New Roman" w:hAnsi="Times New Roman" w:cs="Times New Roman"/>
          <w:b/>
        </w:rPr>
      </w:pPr>
      <w:r w:rsidRPr="00857D68">
        <w:rPr>
          <w:rFonts w:ascii="Times New Roman" w:eastAsia="Times New Roman" w:hAnsi="Times New Roman" w:cs="Times New Roman"/>
          <w:b/>
        </w:rPr>
        <w:t>II PRIEDAS</w:t>
      </w:r>
    </w:p>
    <w:p w14:paraId="351BA317" w14:textId="77777777" w:rsidR="00030D15" w:rsidRPr="00857D68" w:rsidRDefault="00030D15" w:rsidP="00030D15">
      <w:pPr>
        <w:tabs>
          <w:tab w:val="left" w:pos="567"/>
        </w:tabs>
        <w:spacing w:after="0" w:line="260" w:lineRule="exact"/>
        <w:jc w:val="center"/>
        <w:rPr>
          <w:rFonts w:ascii="Times New Roman" w:eastAsia="Times New Roman" w:hAnsi="Times New Roman" w:cs="Times New Roman"/>
          <w:b/>
        </w:rPr>
      </w:pPr>
    </w:p>
    <w:p w14:paraId="004C6860" w14:textId="77777777" w:rsidR="00030D15" w:rsidRPr="00857D68" w:rsidRDefault="00030D15" w:rsidP="00030D15">
      <w:pPr>
        <w:tabs>
          <w:tab w:val="left" w:pos="567"/>
        </w:tabs>
        <w:spacing w:after="0" w:line="260" w:lineRule="exact"/>
        <w:jc w:val="center"/>
        <w:rPr>
          <w:rFonts w:ascii="Times New Roman" w:eastAsia="Times New Roman" w:hAnsi="Times New Roman" w:cs="Times New Roman"/>
          <w:b/>
        </w:rPr>
      </w:pPr>
      <w:r w:rsidRPr="00857D68">
        <w:rPr>
          <w:rFonts w:ascii="Times New Roman" w:eastAsia="Times New Roman" w:hAnsi="Times New Roman" w:cs="Times New Roman"/>
          <w:b/>
        </w:rPr>
        <w:t>REGISTRACIJOS SĄLYGOS</w:t>
      </w:r>
    </w:p>
    <w:p w14:paraId="0E4CD523" w14:textId="77777777" w:rsidR="00030D15" w:rsidRPr="00857D68" w:rsidRDefault="00030D15" w:rsidP="00030D15">
      <w:pPr>
        <w:tabs>
          <w:tab w:val="left" w:pos="567"/>
        </w:tabs>
        <w:spacing w:after="0" w:line="260" w:lineRule="exact"/>
        <w:jc w:val="center"/>
        <w:rPr>
          <w:rFonts w:ascii="Times New Roman" w:eastAsia="Times New Roman" w:hAnsi="Times New Roman" w:cs="Times New Roman"/>
          <w:b/>
        </w:rPr>
      </w:pPr>
    </w:p>
    <w:p w14:paraId="34996447" w14:textId="77777777" w:rsidR="00030D15" w:rsidRPr="00857D68" w:rsidRDefault="00030D15" w:rsidP="00030D15">
      <w:pPr>
        <w:tabs>
          <w:tab w:val="left" w:pos="567"/>
        </w:tabs>
        <w:spacing w:after="0" w:line="260" w:lineRule="exact"/>
        <w:ind w:left="1800" w:right="1416" w:hanging="807"/>
        <w:rPr>
          <w:rFonts w:ascii="Times New Roman" w:eastAsia="Times New Roman" w:hAnsi="Times New Roman" w:cs="Times New Roman"/>
          <w:b/>
          <w:highlight w:val="yellow"/>
        </w:rPr>
      </w:pPr>
      <w:r w:rsidRPr="00857D68">
        <w:rPr>
          <w:rFonts w:ascii="Times New Roman" w:eastAsia="Times New Roman" w:hAnsi="Times New Roman" w:cs="Times New Roman"/>
          <w:b/>
        </w:rPr>
        <w:t>A.</w:t>
      </w:r>
      <w:r w:rsidRPr="00857D68">
        <w:rPr>
          <w:rFonts w:ascii="Times New Roman" w:eastAsia="Times New Roman" w:hAnsi="Times New Roman" w:cs="Times New Roman"/>
          <w:b/>
        </w:rPr>
        <w:tab/>
        <w:t>GAMINTOJAS (-AI), ATSAKINGAS (-I) UŽ SERIJŲ IŠLEIDIMĄ</w:t>
      </w:r>
    </w:p>
    <w:p w14:paraId="7BA8C15A"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highlight w:val="yellow"/>
        </w:rPr>
      </w:pPr>
    </w:p>
    <w:p w14:paraId="140E89A4" w14:textId="77777777" w:rsidR="00030D15" w:rsidRPr="00857D68" w:rsidRDefault="00030D15" w:rsidP="00030D15">
      <w:pPr>
        <w:tabs>
          <w:tab w:val="left" w:pos="567"/>
        </w:tabs>
        <w:spacing w:after="0" w:line="260" w:lineRule="exact"/>
        <w:ind w:left="1800" w:right="1416" w:hanging="807"/>
        <w:rPr>
          <w:rFonts w:ascii="Times New Roman" w:eastAsia="Times New Roman" w:hAnsi="Times New Roman" w:cs="Times New Roman"/>
          <w:b/>
        </w:rPr>
      </w:pPr>
      <w:r w:rsidRPr="00857D68">
        <w:rPr>
          <w:rFonts w:ascii="Times New Roman" w:eastAsia="Times New Roman" w:hAnsi="Times New Roman" w:cs="Times New Roman"/>
          <w:b/>
        </w:rPr>
        <w:t>B.</w:t>
      </w:r>
      <w:r w:rsidRPr="00857D68">
        <w:rPr>
          <w:rFonts w:ascii="Times New Roman" w:eastAsia="Times New Roman" w:hAnsi="Times New Roman" w:cs="Times New Roman"/>
          <w:b/>
        </w:rPr>
        <w:tab/>
        <w:t>TIEKIMO IR VARTOJIMO SĄLYGOS AR APRIBOJIMAI</w:t>
      </w:r>
    </w:p>
    <w:p w14:paraId="0CC31A72" w14:textId="77777777" w:rsidR="00030D15" w:rsidRPr="00857D68" w:rsidRDefault="00030D15" w:rsidP="00030D15">
      <w:pPr>
        <w:tabs>
          <w:tab w:val="left" w:pos="567"/>
        </w:tabs>
        <w:spacing w:after="0" w:line="260" w:lineRule="exact"/>
        <w:ind w:left="1800" w:right="1416" w:hanging="807"/>
        <w:rPr>
          <w:rFonts w:ascii="Times New Roman" w:eastAsia="Times New Roman" w:hAnsi="Times New Roman" w:cs="Times New Roman"/>
          <w:b/>
        </w:rPr>
      </w:pPr>
    </w:p>
    <w:p w14:paraId="33DA2DEE"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highlight w:val="yellow"/>
        </w:rPr>
        <w:br w:type="page"/>
      </w:r>
      <w:r w:rsidRPr="00857D68">
        <w:rPr>
          <w:rFonts w:ascii="Times New Roman" w:eastAsia="Times New Roman" w:hAnsi="Times New Roman" w:cs="Times New Roman"/>
          <w:b/>
        </w:rPr>
        <w:lastRenderedPageBreak/>
        <w:t>A.</w:t>
      </w:r>
      <w:r w:rsidRPr="00857D68">
        <w:rPr>
          <w:rFonts w:ascii="Times New Roman" w:eastAsia="Times New Roman" w:hAnsi="Times New Roman" w:cs="Times New Roman"/>
          <w:b/>
        </w:rPr>
        <w:tab/>
        <w:t>GAMINTOJAS (-AI), ATSAKINGAS (-I) UŽ SERIJŲ IŠLEIDIMĄ</w:t>
      </w:r>
    </w:p>
    <w:p w14:paraId="5420C4DF" w14:textId="77777777" w:rsidR="00030D15" w:rsidRPr="00857D68" w:rsidRDefault="00030D15" w:rsidP="00030D15">
      <w:pPr>
        <w:tabs>
          <w:tab w:val="left" w:pos="567"/>
        </w:tabs>
        <w:spacing w:after="0" w:line="260" w:lineRule="exact"/>
        <w:rPr>
          <w:rFonts w:ascii="Times New Roman" w:eastAsia="Times New Roman" w:hAnsi="Times New Roman" w:cs="Times New Roman"/>
          <w:highlight w:val="yellow"/>
        </w:rPr>
      </w:pPr>
    </w:p>
    <w:p w14:paraId="082D8ECF" w14:textId="77777777" w:rsidR="00030D15" w:rsidRPr="00857D68" w:rsidRDefault="00030D15" w:rsidP="00030D15">
      <w:pPr>
        <w:tabs>
          <w:tab w:val="left" w:pos="567"/>
        </w:tabs>
        <w:spacing w:after="0" w:line="240" w:lineRule="auto"/>
        <w:jc w:val="both"/>
        <w:rPr>
          <w:rFonts w:ascii="Times New Roman" w:eastAsia="Times New Roman" w:hAnsi="Times New Roman" w:cs="Times New Roman"/>
          <w:snapToGrid w:val="0"/>
          <w:szCs w:val="24"/>
        </w:rPr>
      </w:pPr>
      <w:r w:rsidRPr="00857D68">
        <w:rPr>
          <w:rFonts w:ascii="Times New Roman" w:eastAsia="Times New Roman" w:hAnsi="Times New Roman" w:cs="Times New Roman"/>
          <w:snapToGrid w:val="0"/>
          <w:szCs w:val="24"/>
          <w:u w:val="single"/>
        </w:rPr>
        <w:t>Gamintojo (-ų), atsakingo (-ų) už serijų išleidimą, pavadinimas (-ai) ir adresas (-ai)</w:t>
      </w:r>
    </w:p>
    <w:p w14:paraId="56CC4EF9" w14:textId="77777777" w:rsidR="00030D15" w:rsidRPr="00857D68" w:rsidRDefault="00030D15" w:rsidP="00030D15">
      <w:pPr>
        <w:tabs>
          <w:tab w:val="left" w:pos="567"/>
        </w:tabs>
        <w:spacing w:after="0" w:line="260" w:lineRule="exact"/>
        <w:rPr>
          <w:rFonts w:ascii="Times New Roman" w:eastAsia="Times New Roman" w:hAnsi="Times New Roman" w:cs="Times New Roman"/>
          <w:highlight w:val="yellow"/>
        </w:rPr>
      </w:pPr>
    </w:p>
    <w:p w14:paraId="5DE91152" w14:textId="36B82142" w:rsidR="00CB1D9E" w:rsidRPr="00857D68" w:rsidRDefault="00CB1D9E" w:rsidP="00CB1D9E">
      <w:pPr>
        <w:tabs>
          <w:tab w:val="left" w:pos="567"/>
        </w:tabs>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Accord Healthcare Polska Sp.z o.o.,</w:t>
      </w:r>
    </w:p>
    <w:p w14:paraId="514A6934" w14:textId="77777777" w:rsidR="00CB1D9E" w:rsidRPr="00857D68" w:rsidRDefault="00CB1D9E" w:rsidP="00CB1D9E">
      <w:pPr>
        <w:tabs>
          <w:tab w:val="left" w:pos="567"/>
        </w:tabs>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ul. Lutomierska 50,95-200 Pabianice, Lenkija</w:t>
      </w:r>
    </w:p>
    <w:p w14:paraId="2EB2D7BE" w14:textId="77777777" w:rsidR="00030D15" w:rsidRPr="00857D68" w:rsidRDefault="00030D15" w:rsidP="00030D15">
      <w:pPr>
        <w:tabs>
          <w:tab w:val="left" w:pos="567"/>
        </w:tabs>
        <w:spacing w:after="0" w:line="260" w:lineRule="exact"/>
        <w:rPr>
          <w:rFonts w:ascii="Times New Roman" w:eastAsia="Times New Roman" w:hAnsi="Times New Roman" w:cs="Times New Roman"/>
          <w:highlight w:val="yellow"/>
        </w:rPr>
      </w:pPr>
    </w:p>
    <w:p w14:paraId="1E0B646D" w14:textId="77777777" w:rsidR="00030D15" w:rsidRPr="00857D68" w:rsidRDefault="00030D15" w:rsidP="00030D15">
      <w:pPr>
        <w:tabs>
          <w:tab w:val="left" w:pos="567"/>
        </w:tabs>
        <w:spacing w:after="0" w:line="260" w:lineRule="exact"/>
        <w:rPr>
          <w:rFonts w:ascii="Times New Roman" w:eastAsia="Times New Roman" w:hAnsi="Times New Roman" w:cs="Times New Roman"/>
          <w:highlight w:val="yellow"/>
        </w:rPr>
      </w:pPr>
    </w:p>
    <w:p w14:paraId="36185941"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B.</w:t>
      </w:r>
      <w:r w:rsidRPr="00857D68">
        <w:rPr>
          <w:rFonts w:ascii="Times New Roman" w:eastAsia="Times New Roman" w:hAnsi="Times New Roman" w:cs="Times New Roman"/>
          <w:b/>
        </w:rPr>
        <w:tab/>
        <w:t>TIEKIMO IR VARTOJIMO SĄLYGOS AR APRIBOJIMAI</w:t>
      </w:r>
    </w:p>
    <w:p w14:paraId="5F24DA2B"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3D28F5F" w14:textId="77777777" w:rsidR="00030D15" w:rsidRPr="00857D68" w:rsidRDefault="00030D15" w:rsidP="00030D15">
      <w:pPr>
        <w:numPr>
          <w:ilvl w:val="12"/>
          <w:numId w:val="0"/>
        </w:numPr>
        <w:tabs>
          <w:tab w:val="left" w:pos="567"/>
        </w:tabs>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Receptinis vaistinis preparatas.</w:t>
      </w:r>
    </w:p>
    <w:p w14:paraId="5FD2EAA1" w14:textId="77777777" w:rsidR="00030D15" w:rsidRPr="00857D68" w:rsidRDefault="00030D15" w:rsidP="00030D15">
      <w:pPr>
        <w:numPr>
          <w:ilvl w:val="12"/>
          <w:numId w:val="0"/>
        </w:numPr>
        <w:tabs>
          <w:tab w:val="left" w:pos="567"/>
        </w:tabs>
        <w:spacing w:after="0" w:line="260" w:lineRule="exact"/>
        <w:jc w:val="both"/>
        <w:rPr>
          <w:rFonts w:ascii="Times New Roman" w:eastAsia="Times New Roman" w:hAnsi="Times New Roman" w:cs="Times New Roman"/>
        </w:rPr>
      </w:pPr>
    </w:p>
    <w:p w14:paraId="39800864" w14:textId="77777777" w:rsidR="00030D15" w:rsidRPr="00857D68" w:rsidRDefault="00030D15" w:rsidP="00030D15">
      <w:pPr>
        <w:spacing w:after="0" w:line="240" w:lineRule="auto"/>
        <w:jc w:val="center"/>
        <w:outlineLvl w:val="0"/>
        <w:rPr>
          <w:rFonts w:ascii="Times New Roman" w:eastAsia="Times New Roman" w:hAnsi="Times New Roman" w:cs="Times New Roman"/>
        </w:rPr>
      </w:pPr>
      <w:r w:rsidRPr="00857D68">
        <w:rPr>
          <w:rFonts w:ascii="Times New Roman" w:eastAsia="Times New Roman" w:hAnsi="Times New Roman" w:cs="Times New Roman"/>
          <w:highlight w:val="yellow"/>
        </w:rPr>
        <w:br w:type="page"/>
      </w:r>
    </w:p>
    <w:p w14:paraId="7FCEBF5D"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39904739"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6F093A09"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50044D6D"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501B26A3"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3CA62577"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4CF80F6F"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637500EB"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1AB13148"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1ABC5EF1"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4792F77A"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6C2CD870"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0F7827B8"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0F986808"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64DBB87F"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5C41C5D0"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624EA90F"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7EB87EE2"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06E8AD86" w14:textId="77777777" w:rsidR="00030D15" w:rsidRPr="00857D68" w:rsidRDefault="00030D15" w:rsidP="00030D15">
      <w:pPr>
        <w:spacing w:after="0" w:line="240" w:lineRule="auto"/>
        <w:jc w:val="center"/>
        <w:outlineLvl w:val="0"/>
        <w:rPr>
          <w:rFonts w:ascii="Times New Roman" w:eastAsia="Times New Roman" w:hAnsi="Times New Roman" w:cs="Times New Roman"/>
        </w:rPr>
      </w:pPr>
    </w:p>
    <w:p w14:paraId="2755A641"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1BD7C469"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3F96BDD8"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14FDEF2C"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p>
    <w:p w14:paraId="6CCD2D72"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r w:rsidRPr="00857D68">
        <w:rPr>
          <w:rFonts w:ascii="Times New Roman" w:eastAsia="Times New Roman" w:hAnsi="Times New Roman" w:cs="Times New Roman"/>
          <w:b/>
        </w:rPr>
        <w:t>III PRIEDAS</w:t>
      </w:r>
    </w:p>
    <w:p w14:paraId="16554CAD" w14:textId="77777777" w:rsidR="00030D15" w:rsidRPr="00857D68" w:rsidRDefault="00030D15" w:rsidP="00030D15">
      <w:pPr>
        <w:spacing w:after="0" w:line="240" w:lineRule="auto"/>
        <w:jc w:val="center"/>
        <w:rPr>
          <w:rFonts w:ascii="Times New Roman" w:eastAsia="Times New Roman" w:hAnsi="Times New Roman" w:cs="Times New Roman"/>
          <w:b/>
        </w:rPr>
      </w:pPr>
    </w:p>
    <w:p w14:paraId="616B4FCE" w14:textId="77777777" w:rsidR="00030D15" w:rsidRPr="00857D68" w:rsidRDefault="00030D15" w:rsidP="00030D15">
      <w:pPr>
        <w:spacing w:after="0" w:line="240" w:lineRule="auto"/>
        <w:jc w:val="center"/>
        <w:outlineLvl w:val="0"/>
        <w:rPr>
          <w:rFonts w:ascii="Times New Roman" w:eastAsia="Times New Roman" w:hAnsi="Times New Roman" w:cs="Times New Roman"/>
          <w:b/>
        </w:rPr>
      </w:pPr>
      <w:r w:rsidRPr="00857D68">
        <w:rPr>
          <w:rFonts w:ascii="Times New Roman" w:eastAsia="Times New Roman" w:hAnsi="Times New Roman" w:cs="Times New Roman"/>
          <w:b/>
        </w:rPr>
        <w:t>ŽENKLINIMAS IR PAKUOTĖS LAPELIS</w:t>
      </w:r>
    </w:p>
    <w:p w14:paraId="6CE16C32"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br w:type="page"/>
      </w:r>
    </w:p>
    <w:p w14:paraId="1F00BC9E"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7A50B603"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05638F46"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577C1F69"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FCDD4B6"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6663498"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39FC62F7"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26D7CF7"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5D5FE466"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2CA00A2"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5A87300D"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0F4B3D77"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5481B06E"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0E5A60A1"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3C39ACD9"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0BA8C8B1"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6527E931"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729F429"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F88B04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9E02090"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164DFCB2"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8E3FDF9"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6D9313F8" w14:textId="77777777" w:rsidR="00030D15" w:rsidRPr="00857D68" w:rsidRDefault="00030D15" w:rsidP="00030D15">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36"/>
      <w:bookmarkStart w:id="7" w:name="_Toc129243261"/>
    </w:p>
    <w:p w14:paraId="3E71FB1E" w14:textId="77777777" w:rsidR="00030D15" w:rsidRPr="00857D68" w:rsidRDefault="00030D15" w:rsidP="00030D15">
      <w:pPr>
        <w:tabs>
          <w:tab w:val="left" w:pos="567"/>
        </w:tabs>
        <w:spacing w:after="0" w:line="240" w:lineRule="auto"/>
        <w:ind w:left="567" w:hanging="567"/>
        <w:jc w:val="center"/>
        <w:outlineLvl w:val="0"/>
        <w:rPr>
          <w:rFonts w:ascii="Times New Roman" w:eastAsia="Times New Roman" w:hAnsi="Times New Roman" w:cs="Times New Roman"/>
          <w:b/>
          <w:caps/>
        </w:rPr>
      </w:pPr>
      <w:r w:rsidRPr="00857D68">
        <w:rPr>
          <w:rFonts w:ascii="Times New Roman" w:eastAsia="Times New Roman" w:hAnsi="Times New Roman" w:cs="Times New Roman"/>
          <w:b/>
          <w:caps/>
        </w:rPr>
        <w:t>A. ŽENKLINIMAS</w:t>
      </w:r>
      <w:bookmarkEnd w:id="6"/>
      <w:bookmarkEnd w:id="7"/>
    </w:p>
    <w:p w14:paraId="35BB88A3"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7675ADC7"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1B989FF5"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493D4CCD"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4FB8234C"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662EF7BE"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32E32BC3"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5012955B"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73F8A2C4"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248929D3"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3D16376E"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18593E25"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32B1DA59"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6C12580E"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16C8F51E"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36704642"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0C441AF6"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2BCAFFB3"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25C02F93"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58EDE10F"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38DFE14E"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7FD3338A"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646D3CE7"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4DC648DA"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p>
    <w:p w14:paraId="4AE5B25B"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
        </w:rPr>
        <w:br w:type="page"/>
      </w:r>
    </w:p>
    <w:p w14:paraId="68F81AC2" w14:textId="77777777" w:rsidR="00030D15" w:rsidRPr="00857D68" w:rsidRDefault="00030D15" w:rsidP="00030D15">
      <w:pPr>
        <w:shd w:val="clear" w:color="auto" w:fill="FFFFFF"/>
        <w:spacing w:after="0" w:line="240" w:lineRule="auto"/>
        <w:rPr>
          <w:rFonts w:ascii="Times New Roman" w:eastAsia="Times New Roman" w:hAnsi="Times New Roman" w:cs="Times New Roman"/>
        </w:rPr>
      </w:pPr>
    </w:p>
    <w:p w14:paraId="11276C2E"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INFORMACIJA ANT IŠORINĖS PAKUOTĖS</w:t>
      </w:r>
    </w:p>
    <w:p w14:paraId="306DE32C"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02B0ED40"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857D68">
        <w:rPr>
          <w:rFonts w:ascii="Times New Roman" w:eastAsia="Times New Roman" w:hAnsi="Times New Roman" w:cs="Times New Roman"/>
          <w:b/>
          <w:bCs/>
        </w:rPr>
        <w:t>Kartono dėžutė</w:t>
      </w:r>
    </w:p>
    <w:p w14:paraId="588A50B1" w14:textId="77777777" w:rsidR="00030D15" w:rsidRPr="00857D68" w:rsidRDefault="00030D15" w:rsidP="00030D15">
      <w:pPr>
        <w:spacing w:after="0" w:line="240" w:lineRule="auto"/>
        <w:rPr>
          <w:rFonts w:ascii="Times New Roman" w:eastAsia="Times New Roman" w:hAnsi="Times New Roman" w:cs="Times New Roman"/>
        </w:rPr>
      </w:pPr>
    </w:p>
    <w:p w14:paraId="4D468918"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1.</w:t>
      </w:r>
      <w:r w:rsidRPr="00857D68">
        <w:rPr>
          <w:rFonts w:ascii="Times New Roman" w:eastAsia="Times New Roman" w:hAnsi="Times New Roman" w:cs="Times New Roman"/>
          <w:b/>
        </w:rPr>
        <w:tab/>
        <w:t>VAISTINIO PREPARATO PAVADINIMAS</w:t>
      </w:r>
    </w:p>
    <w:p w14:paraId="260632B0" w14:textId="77777777" w:rsidR="00030D15" w:rsidRPr="00857D68" w:rsidRDefault="00030D15" w:rsidP="00030D15">
      <w:pPr>
        <w:spacing w:after="0" w:line="240" w:lineRule="auto"/>
        <w:rPr>
          <w:rFonts w:ascii="Times New Roman" w:eastAsia="Times New Roman" w:hAnsi="Times New Roman" w:cs="Times New Roman"/>
        </w:rPr>
      </w:pPr>
    </w:p>
    <w:p w14:paraId="56D36307"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Alendronic acid Accord 70 mg tabletės </w:t>
      </w:r>
    </w:p>
    <w:p w14:paraId="068ADC43"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rūgštis</w:t>
      </w:r>
    </w:p>
    <w:p w14:paraId="1830AC37" w14:textId="77777777" w:rsidR="00030D15" w:rsidRPr="00857D68" w:rsidRDefault="00030D15" w:rsidP="00030D15">
      <w:pPr>
        <w:spacing w:after="0" w:line="240" w:lineRule="auto"/>
        <w:rPr>
          <w:rFonts w:ascii="Times New Roman" w:eastAsia="Times New Roman" w:hAnsi="Times New Roman" w:cs="Times New Roman"/>
        </w:rPr>
      </w:pPr>
    </w:p>
    <w:p w14:paraId="1E4B8476" w14:textId="77777777" w:rsidR="00030D15" w:rsidRPr="00857D68" w:rsidRDefault="00030D15" w:rsidP="00030D15">
      <w:pPr>
        <w:spacing w:after="0" w:line="260" w:lineRule="exact"/>
        <w:rPr>
          <w:rFonts w:ascii="Times New Roman" w:eastAsia="Times New Roman" w:hAnsi="Times New Roman" w:cs="Times New Roman"/>
        </w:rPr>
      </w:pPr>
    </w:p>
    <w:p w14:paraId="52256B79"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857D68">
        <w:rPr>
          <w:rFonts w:ascii="Times New Roman" w:eastAsia="Times New Roman" w:hAnsi="Times New Roman" w:cs="Times New Roman"/>
          <w:b/>
        </w:rPr>
        <w:t>2.</w:t>
      </w:r>
      <w:r w:rsidRPr="00857D68">
        <w:rPr>
          <w:rFonts w:ascii="Times New Roman" w:eastAsia="Times New Roman" w:hAnsi="Times New Roman" w:cs="Times New Roman"/>
          <w:b/>
        </w:rPr>
        <w:tab/>
        <w:t>VEIKLIOJI (-IOS) MEDŽIAGA (-OS) IR JOS (-Ų) KIEKIS (-IAI)</w:t>
      </w:r>
    </w:p>
    <w:p w14:paraId="0098DB2D" w14:textId="77777777" w:rsidR="00030D15" w:rsidRPr="00857D68" w:rsidRDefault="00030D15" w:rsidP="00030D15">
      <w:pPr>
        <w:spacing w:after="0" w:line="240" w:lineRule="auto"/>
        <w:rPr>
          <w:rFonts w:ascii="Times New Roman" w:eastAsia="Times New Roman" w:hAnsi="Times New Roman" w:cs="Times New Roman"/>
        </w:rPr>
      </w:pPr>
    </w:p>
    <w:p w14:paraId="031CF523"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Kiekvienoje tabletėje yra 70 mg alendrono rūgšties (natrio alendronato pavidalu).</w:t>
      </w:r>
    </w:p>
    <w:p w14:paraId="08F50481" w14:textId="77777777" w:rsidR="00030D15" w:rsidRPr="00857D68" w:rsidRDefault="00030D15" w:rsidP="00030D15">
      <w:pPr>
        <w:spacing w:after="0" w:line="240" w:lineRule="auto"/>
        <w:rPr>
          <w:rFonts w:ascii="Times New Roman" w:eastAsia="Times New Roman" w:hAnsi="Times New Roman" w:cs="Times New Roman"/>
        </w:rPr>
      </w:pPr>
    </w:p>
    <w:p w14:paraId="3ABA7E19" w14:textId="77777777" w:rsidR="00030D15" w:rsidRPr="00857D68" w:rsidRDefault="00030D15" w:rsidP="00030D15">
      <w:pPr>
        <w:spacing w:after="0" w:line="240" w:lineRule="auto"/>
        <w:rPr>
          <w:rFonts w:ascii="Times New Roman" w:eastAsia="Times New Roman" w:hAnsi="Times New Roman" w:cs="Times New Roman"/>
        </w:rPr>
      </w:pPr>
    </w:p>
    <w:p w14:paraId="1F845D3F"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57D68">
        <w:rPr>
          <w:rFonts w:ascii="Times New Roman" w:eastAsia="Times New Roman" w:hAnsi="Times New Roman" w:cs="Times New Roman"/>
          <w:b/>
        </w:rPr>
        <w:t>3.</w:t>
      </w:r>
      <w:r w:rsidRPr="00857D68">
        <w:rPr>
          <w:rFonts w:ascii="Times New Roman" w:eastAsia="Times New Roman" w:hAnsi="Times New Roman" w:cs="Times New Roman"/>
          <w:b/>
        </w:rPr>
        <w:tab/>
        <w:t>PAGALBINIŲ MEDŽIAGŲ SĄRAŠAS</w:t>
      </w:r>
    </w:p>
    <w:p w14:paraId="33FA044B" w14:textId="77777777" w:rsidR="00030D15" w:rsidRPr="00857D68" w:rsidRDefault="00030D15" w:rsidP="00030D15">
      <w:pPr>
        <w:spacing w:after="0" w:line="240" w:lineRule="auto"/>
        <w:rPr>
          <w:rFonts w:ascii="Times New Roman" w:eastAsia="Times New Roman" w:hAnsi="Times New Roman" w:cs="Times New Roman"/>
        </w:rPr>
      </w:pPr>
    </w:p>
    <w:p w14:paraId="198372E3"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Sudėtyje yra bevandenės laktozės.</w:t>
      </w:r>
    </w:p>
    <w:p w14:paraId="62DB266F"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Daugiau informacijos pateikta pakuotės lapelyje.</w:t>
      </w:r>
    </w:p>
    <w:p w14:paraId="0C5E6477" w14:textId="77777777" w:rsidR="00030D15" w:rsidRPr="00857D68" w:rsidRDefault="00030D15" w:rsidP="00030D15">
      <w:pPr>
        <w:spacing w:after="0" w:line="240" w:lineRule="auto"/>
        <w:rPr>
          <w:rFonts w:ascii="Times New Roman" w:eastAsia="Times New Roman" w:hAnsi="Times New Roman" w:cs="Times New Roman"/>
        </w:rPr>
      </w:pPr>
    </w:p>
    <w:p w14:paraId="1C40F18A" w14:textId="77777777" w:rsidR="00030D15" w:rsidRPr="00857D68" w:rsidRDefault="00030D15" w:rsidP="00030D15">
      <w:pPr>
        <w:spacing w:after="0" w:line="240" w:lineRule="auto"/>
        <w:rPr>
          <w:rFonts w:ascii="Times New Roman" w:eastAsia="Times New Roman" w:hAnsi="Times New Roman" w:cs="Times New Roman"/>
        </w:rPr>
      </w:pPr>
    </w:p>
    <w:p w14:paraId="027EF97A"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4.</w:t>
      </w:r>
      <w:r w:rsidRPr="00857D68">
        <w:rPr>
          <w:rFonts w:ascii="Times New Roman" w:eastAsia="Times New Roman" w:hAnsi="Times New Roman" w:cs="Times New Roman"/>
          <w:b/>
        </w:rPr>
        <w:tab/>
        <w:t>FARMACINĖ FORMA IR KIEKIS PAKUOTĖJE</w:t>
      </w:r>
    </w:p>
    <w:p w14:paraId="5C357597" w14:textId="77777777" w:rsidR="00030D15" w:rsidRPr="00857D68" w:rsidRDefault="00030D15" w:rsidP="00030D15">
      <w:pPr>
        <w:spacing w:after="0" w:line="240" w:lineRule="auto"/>
        <w:rPr>
          <w:rFonts w:ascii="Times New Roman" w:eastAsia="Times New Roman" w:hAnsi="Times New Roman" w:cs="Times New Roman"/>
        </w:rPr>
      </w:pPr>
    </w:p>
    <w:p w14:paraId="09ED0B83"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highlight w:val="lightGray"/>
        </w:rPr>
        <w:t>Tabletė.</w:t>
      </w:r>
    </w:p>
    <w:p w14:paraId="65DF490D"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4 tabletės</w:t>
      </w:r>
    </w:p>
    <w:p w14:paraId="420254DC"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highlight w:val="lightGray"/>
        </w:rPr>
        <w:t>12 tablečių</w:t>
      </w:r>
    </w:p>
    <w:p w14:paraId="6E7E4D4B" w14:textId="77777777" w:rsidR="00030D15" w:rsidRPr="00857D68" w:rsidRDefault="00030D15" w:rsidP="00030D15">
      <w:pPr>
        <w:spacing w:after="0" w:line="240" w:lineRule="auto"/>
        <w:rPr>
          <w:rFonts w:ascii="Times New Roman" w:eastAsia="Times New Roman" w:hAnsi="Times New Roman" w:cs="Times New Roman"/>
        </w:rPr>
      </w:pPr>
    </w:p>
    <w:p w14:paraId="7E681A1F" w14:textId="77777777" w:rsidR="00030D15" w:rsidRPr="00857D68" w:rsidRDefault="00030D15" w:rsidP="00030D15">
      <w:pPr>
        <w:spacing w:after="0" w:line="240" w:lineRule="auto"/>
        <w:rPr>
          <w:rFonts w:ascii="Times New Roman" w:eastAsia="Times New Roman" w:hAnsi="Times New Roman" w:cs="Times New Roman"/>
        </w:rPr>
      </w:pPr>
    </w:p>
    <w:p w14:paraId="7ABF1C68"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57D68">
        <w:rPr>
          <w:rFonts w:ascii="Times New Roman" w:eastAsia="Times New Roman" w:hAnsi="Times New Roman" w:cs="Times New Roman"/>
          <w:b/>
        </w:rPr>
        <w:t>5.</w:t>
      </w:r>
      <w:r w:rsidRPr="00857D68">
        <w:rPr>
          <w:rFonts w:ascii="Times New Roman" w:eastAsia="Times New Roman" w:hAnsi="Times New Roman" w:cs="Times New Roman"/>
          <w:b/>
        </w:rPr>
        <w:tab/>
        <w:t>VARTOJIMO METODAS IR BŪDAS (-AI)</w:t>
      </w:r>
    </w:p>
    <w:p w14:paraId="10B1B972" w14:textId="77777777" w:rsidR="00030D15" w:rsidRPr="00857D68" w:rsidRDefault="00030D15" w:rsidP="00030D15">
      <w:pPr>
        <w:spacing w:after="0" w:line="240" w:lineRule="auto"/>
        <w:rPr>
          <w:rFonts w:ascii="Times New Roman" w:eastAsia="Times New Roman" w:hAnsi="Times New Roman" w:cs="Times New Roman"/>
          <w:i/>
        </w:rPr>
      </w:pPr>
    </w:p>
    <w:p w14:paraId="0D24010A"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Vartoti per burną.</w:t>
      </w:r>
    </w:p>
    <w:p w14:paraId="3948A012"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Prieš vartojimą perskaitykite pakuotės lapelį.</w:t>
      </w:r>
    </w:p>
    <w:p w14:paraId="3231984C" w14:textId="77777777" w:rsidR="00030D15" w:rsidRPr="00857D68" w:rsidRDefault="00030D15" w:rsidP="00030D15">
      <w:pPr>
        <w:spacing w:after="0" w:line="240" w:lineRule="auto"/>
        <w:rPr>
          <w:rFonts w:ascii="Times New Roman" w:eastAsia="Times New Roman" w:hAnsi="Times New Roman" w:cs="Times New Roman"/>
        </w:rPr>
      </w:pPr>
    </w:p>
    <w:p w14:paraId="33AC7992" w14:textId="77777777" w:rsidR="00030D15" w:rsidRPr="00857D68" w:rsidRDefault="00030D15" w:rsidP="00030D15">
      <w:pPr>
        <w:spacing w:after="0" w:line="240" w:lineRule="auto"/>
        <w:rPr>
          <w:rFonts w:ascii="Times New Roman" w:eastAsia="Times New Roman" w:hAnsi="Times New Roman" w:cs="Times New Roman"/>
        </w:rPr>
      </w:pPr>
    </w:p>
    <w:p w14:paraId="7AC0A755" w14:textId="77777777" w:rsidR="00030D15" w:rsidRPr="00857D68" w:rsidRDefault="00030D15" w:rsidP="00030D1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6.</w:t>
      </w:r>
      <w:r w:rsidRPr="00857D68">
        <w:rPr>
          <w:rFonts w:ascii="Times New Roman" w:eastAsia="Times New Roman" w:hAnsi="Times New Roman" w:cs="Times New Roman"/>
          <w:b/>
        </w:rPr>
        <w:tab/>
      </w:r>
      <w:r w:rsidRPr="00857D68">
        <w:rPr>
          <w:rFonts w:ascii="Times New Roman" w:eastAsia="Times New Roman" w:hAnsi="Times New Roman" w:cs="Times New Roman"/>
          <w:b/>
          <w:bCs/>
        </w:rPr>
        <w:t>SPECIALUS ĮSPĖJIMAS, KAD VAISTINĮ PREPARATĄ BŪTINA LAIKYTI VAIKAMS NEPASTEBIMOJE IR NEPASIEKIAMOJE</w:t>
      </w:r>
      <w:r w:rsidRPr="00857D68" w:rsidDel="00EC65AD">
        <w:rPr>
          <w:rFonts w:ascii="Times New Roman" w:eastAsia="Times New Roman" w:hAnsi="Times New Roman" w:cs="Times New Roman"/>
          <w:b/>
          <w:bCs/>
        </w:rPr>
        <w:t xml:space="preserve"> </w:t>
      </w:r>
      <w:r w:rsidRPr="00857D68">
        <w:rPr>
          <w:rFonts w:ascii="Times New Roman" w:eastAsia="Times New Roman" w:hAnsi="Times New Roman" w:cs="Times New Roman"/>
          <w:b/>
          <w:bCs/>
        </w:rPr>
        <w:t>VIETOJE</w:t>
      </w:r>
    </w:p>
    <w:p w14:paraId="4BE06B27" w14:textId="77777777" w:rsidR="00030D15" w:rsidRPr="00857D68" w:rsidRDefault="00030D15" w:rsidP="00030D15">
      <w:pPr>
        <w:spacing w:after="0" w:line="240" w:lineRule="auto"/>
        <w:rPr>
          <w:rFonts w:ascii="Times New Roman" w:eastAsia="Times New Roman" w:hAnsi="Times New Roman" w:cs="Times New Roman"/>
        </w:rPr>
      </w:pPr>
    </w:p>
    <w:p w14:paraId="7B7B99FF" w14:textId="77777777" w:rsidR="00030D15" w:rsidRPr="00857D68" w:rsidRDefault="00030D15" w:rsidP="00030D15">
      <w:pPr>
        <w:spacing w:after="0" w:line="240" w:lineRule="auto"/>
        <w:rPr>
          <w:rFonts w:ascii="Times New Roman" w:eastAsia="Times New Roman" w:hAnsi="Times New Roman" w:cs="Times New Roman"/>
          <w:iCs/>
        </w:rPr>
      </w:pPr>
      <w:r w:rsidRPr="00857D68">
        <w:rPr>
          <w:rFonts w:ascii="Times New Roman" w:eastAsia="Times New Roman" w:hAnsi="Times New Roman" w:cs="Times New Roman"/>
          <w:iCs/>
        </w:rPr>
        <w:t>Laikyti vaikams nepastebimoje ir nepasiekiamoje</w:t>
      </w:r>
      <w:r w:rsidRPr="00857D68" w:rsidDel="00EC65AD">
        <w:rPr>
          <w:rFonts w:ascii="Times New Roman" w:eastAsia="Times New Roman" w:hAnsi="Times New Roman" w:cs="Times New Roman"/>
          <w:iCs/>
        </w:rPr>
        <w:t xml:space="preserve"> </w:t>
      </w:r>
      <w:r w:rsidRPr="00857D68">
        <w:rPr>
          <w:rFonts w:ascii="Times New Roman" w:eastAsia="Times New Roman" w:hAnsi="Times New Roman" w:cs="Times New Roman"/>
          <w:iCs/>
        </w:rPr>
        <w:t>vietoje.</w:t>
      </w:r>
    </w:p>
    <w:p w14:paraId="4FCFBBE1" w14:textId="77777777" w:rsidR="00030D15" w:rsidRPr="00857D68" w:rsidRDefault="00030D15" w:rsidP="00030D15">
      <w:pPr>
        <w:spacing w:after="0" w:line="240" w:lineRule="auto"/>
        <w:rPr>
          <w:rFonts w:ascii="Times New Roman" w:eastAsia="Times New Roman" w:hAnsi="Times New Roman" w:cs="Times New Roman"/>
        </w:rPr>
      </w:pPr>
    </w:p>
    <w:p w14:paraId="6F678479" w14:textId="77777777" w:rsidR="00030D15" w:rsidRPr="00857D68" w:rsidRDefault="00030D15" w:rsidP="00030D15">
      <w:pPr>
        <w:spacing w:after="0" w:line="240" w:lineRule="auto"/>
        <w:rPr>
          <w:rFonts w:ascii="Times New Roman" w:eastAsia="Times New Roman" w:hAnsi="Times New Roman" w:cs="Times New Roman"/>
        </w:rPr>
      </w:pPr>
    </w:p>
    <w:p w14:paraId="7151F8B6"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57D68">
        <w:rPr>
          <w:rFonts w:ascii="Times New Roman" w:eastAsia="Times New Roman" w:hAnsi="Times New Roman" w:cs="Times New Roman"/>
          <w:b/>
        </w:rPr>
        <w:t>7.</w:t>
      </w:r>
      <w:r w:rsidRPr="00857D68">
        <w:rPr>
          <w:rFonts w:ascii="Times New Roman" w:eastAsia="Times New Roman" w:hAnsi="Times New Roman" w:cs="Times New Roman"/>
          <w:b/>
        </w:rPr>
        <w:tab/>
      </w:r>
      <w:r w:rsidRPr="00857D68">
        <w:rPr>
          <w:rFonts w:ascii="Times New Roman" w:eastAsia="Times New Roman" w:hAnsi="Times New Roman" w:cs="Times New Roman"/>
          <w:b/>
          <w:bCs/>
        </w:rPr>
        <w:t>KITAS (-I) SPECIALUS (-ŪS) ĮSPĖJIMAS (-AI) (JEI REIKIA)</w:t>
      </w:r>
    </w:p>
    <w:p w14:paraId="70BF478A" w14:textId="77777777" w:rsidR="00030D15" w:rsidRPr="00857D68" w:rsidRDefault="00030D15" w:rsidP="00030D15">
      <w:pPr>
        <w:spacing w:after="0" w:line="240" w:lineRule="auto"/>
        <w:rPr>
          <w:rFonts w:ascii="Times New Roman" w:eastAsia="Times New Roman" w:hAnsi="Times New Roman" w:cs="Times New Roman"/>
        </w:rPr>
      </w:pPr>
    </w:p>
    <w:p w14:paraId="752868D9" w14:textId="77777777" w:rsidR="00030D15" w:rsidRPr="00857D68" w:rsidRDefault="00030D15" w:rsidP="00030D15">
      <w:pPr>
        <w:spacing w:after="0" w:line="240" w:lineRule="auto"/>
        <w:rPr>
          <w:rFonts w:ascii="Times New Roman" w:eastAsia="Times New Roman" w:hAnsi="Times New Roman" w:cs="Times New Roman"/>
        </w:rPr>
      </w:pPr>
    </w:p>
    <w:p w14:paraId="2A4B4671"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857D68">
        <w:rPr>
          <w:rFonts w:ascii="Times New Roman" w:eastAsia="Times New Roman" w:hAnsi="Times New Roman" w:cs="Times New Roman"/>
          <w:b/>
        </w:rPr>
        <w:t>8.</w:t>
      </w:r>
      <w:r w:rsidRPr="00857D68">
        <w:rPr>
          <w:rFonts w:ascii="Times New Roman" w:eastAsia="Times New Roman" w:hAnsi="Times New Roman" w:cs="Times New Roman"/>
          <w:b/>
        </w:rPr>
        <w:tab/>
      </w:r>
      <w:r w:rsidRPr="00857D68">
        <w:rPr>
          <w:rFonts w:ascii="Times New Roman" w:eastAsia="Times New Roman" w:hAnsi="Times New Roman" w:cs="Times New Roman"/>
          <w:b/>
          <w:bCs/>
        </w:rPr>
        <w:t>TINKAMUMO LAIKAS</w:t>
      </w:r>
    </w:p>
    <w:p w14:paraId="24DA2F66" w14:textId="77777777" w:rsidR="00030D15" w:rsidRPr="00857D68" w:rsidRDefault="00030D15" w:rsidP="00030D15">
      <w:pPr>
        <w:spacing w:after="0" w:line="240" w:lineRule="auto"/>
        <w:rPr>
          <w:rFonts w:ascii="Times New Roman" w:eastAsia="Times New Roman" w:hAnsi="Times New Roman" w:cs="Times New Roman"/>
        </w:rPr>
      </w:pPr>
    </w:p>
    <w:p w14:paraId="6159276E"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Tinka iki {mm-MMMM}</w:t>
      </w:r>
    </w:p>
    <w:p w14:paraId="344A9CD3" w14:textId="77777777" w:rsidR="00030D15" w:rsidRPr="00857D68" w:rsidRDefault="00030D15" w:rsidP="00030D15">
      <w:pPr>
        <w:spacing w:after="0" w:line="240" w:lineRule="auto"/>
        <w:rPr>
          <w:rFonts w:ascii="Times New Roman" w:eastAsia="Times New Roman" w:hAnsi="Times New Roman" w:cs="Times New Roman"/>
        </w:rPr>
      </w:pPr>
    </w:p>
    <w:p w14:paraId="2D6F19C7" w14:textId="77777777" w:rsidR="00030D15" w:rsidRPr="00857D68" w:rsidRDefault="00030D15" w:rsidP="00030D15">
      <w:pPr>
        <w:spacing w:after="0" w:line="240" w:lineRule="auto"/>
        <w:rPr>
          <w:rFonts w:ascii="Times New Roman" w:eastAsia="Times New Roman" w:hAnsi="Times New Roman" w:cs="Times New Roman"/>
        </w:rPr>
      </w:pPr>
    </w:p>
    <w:p w14:paraId="1A3CB9F1"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857D68">
        <w:rPr>
          <w:rFonts w:ascii="Times New Roman" w:eastAsia="Times New Roman" w:hAnsi="Times New Roman" w:cs="Times New Roman"/>
          <w:b/>
        </w:rPr>
        <w:t>9.</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SPECIALIOS laikymo sąlygos</w:t>
      </w:r>
    </w:p>
    <w:p w14:paraId="26B61371" w14:textId="77777777" w:rsidR="00030D15" w:rsidRPr="00857D68" w:rsidRDefault="00030D15" w:rsidP="00030D15">
      <w:pPr>
        <w:spacing w:after="0" w:line="240" w:lineRule="auto"/>
        <w:rPr>
          <w:rFonts w:ascii="Times New Roman" w:eastAsia="Times New Roman" w:hAnsi="Times New Roman" w:cs="Times New Roman"/>
        </w:rPr>
      </w:pPr>
    </w:p>
    <w:p w14:paraId="32149511" w14:textId="77777777" w:rsidR="00030D15" w:rsidRPr="00857D68" w:rsidRDefault="00030D15" w:rsidP="00030D15">
      <w:pPr>
        <w:spacing w:after="0" w:line="240" w:lineRule="auto"/>
        <w:ind w:left="567" w:hanging="567"/>
        <w:rPr>
          <w:rFonts w:ascii="Times New Roman" w:eastAsia="Times New Roman" w:hAnsi="Times New Roman" w:cs="Times New Roman"/>
        </w:rPr>
      </w:pPr>
    </w:p>
    <w:p w14:paraId="5AA77DCC" w14:textId="77777777" w:rsidR="00030D15" w:rsidRPr="00857D68" w:rsidRDefault="00030D15" w:rsidP="00030D1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857D68">
        <w:rPr>
          <w:rFonts w:ascii="Times New Roman" w:eastAsia="Times New Roman" w:hAnsi="Times New Roman" w:cs="Times New Roman"/>
          <w:b/>
        </w:rPr>
        <w:t>10.</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 xml:space="preserve">specialios atsargumo priemonės DĖL NESUVARTOTO </w:t>
      </w:r>
      <w:r w:rsidRPr="00857D68">
        <w:rPr>
          <w:rFonts w:ascii="Times New Roman" w:eastAsia="Times New Roman" w:hAnsi="Times New Roman" w:cs="Times New Roman"/>
          <w:b/>
          <w:bCs/>
          <w:caps/>
        </w:rPr>
        <w:t>VAISTINIO PREPARATO AR JO ATLIEK</w:t>
      </w:r>
      <w:r w:rsidRPr="00857D68">
        <w:rPr>
          <w:rFonts w:ascii="Times New Roman" w:eastAsia="Times New Roman" w:hAnsi="Times New Roman" w:cs="Times New Roman"/>
          <w:b/>
        </w:rPr>
        <w:t>Ų</w:t>
      </w:r>
      <w:r w:rsidRPr="00857D68">
        <w:rPr>
          <w:rFonts w:ascii="Times New Roman" w:eastAsia="Times New Roman" w:hAnsi="Times New Roman" w:cs="Times New Roman"/>
          <w:caps/>
        </w:rPr>
        <w:t xml:space="preserve"> </w:t>
      </w:r>
      <w:r w:rsidRPr="00857D68">
        <w:rPr>
          <w:rFonts w:ascii="Times New Roman" w:eastAsia="Times New Roman" w:hAnsi="Times New Roman" w:cs="Times New Roman"/>
          <w:b/>
          <w:bCs/>
          <w:caps/>
        </w:rPr>
        <w:t>TVARKYMO</w:t>
      </w:r>
      <w:r w:rsidRPr="00857D68">
        <w:rPr>
          <w:rFonts w:ascii="Times New Roman" w:eastAsia="Times New Roman" w:hAnsi="Times New Roman" w:cs="Times New Roman"/>
          <w:b/>
          <w:caps/>
        </w:rPr>
        <w:t xml:space="preserve"> (jei reikia)</w:t>
      </w:r>
    </w:p>
    <w:p w14:paraId="6691E608" w14:textId="77777777" w:rsidR="00030D15" w:rsidRPr="00857D68" w:rsidRDefault="00030D15" w:rsidP="00030D15">
      <w:pPr>
        <w:spacing w:after="0" w:line="240" w:lineRule="auto"/>
        <w:rPr>
          <w:rFonts w:ascii="Times New Roman" w:eastAsia="Times New Roman" w:hAnsi="Times New Roman" w:cs="Times New Roman"/>
        </w:rPr>
      </w:pPr>
    </w:p>
    <w:p w14:paraId="0632A277"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lastRenderedPageBreak/>
        <w:t>Nesuvartotą vaistą ar atliekas reikia tvarkyti laikantis vietinių reikalavimų.</w:t>
      </w:r>
    </w:p>
    <w:p w14:paraId="5F8F75BD" w14:textId="77777777" w:rsidR="00030D15" w:rsidRPr="00857D68" w:rsidRDefault="00030D15" w:rsidP="00030D15">
      <w:pPr>
        <w:spacing w:after="0" w:line="240" w:lineRule="auto"/>
        <w:rPr>
          <w:rFonts w:ascii="Times New Roman" w:eastAsia="Times New Roman" w:hAnsi="Times New Roman" w:cs="Times New Roman"/>
        </w:rPr>
      </w:pPr>
    </w:p>
    <w:p w14:paraId="1DA4AA94" w14:textId="77777777" w:rsidR="00030D15" w:rsidRPr="00857D68" w:rsidRDefault="00030D15" w:rsidP="00030D15">
      <w:pPr>
        <w:spacing w:after="0" w:line="240" w:lineRule="auto"/>
        <w:rPr>
          <w:rFonts w:ascii="Times New Roman" w:eastAsia="Times New Roman" w:hAnsi="Times New Roman" w:cs="Times New Roman"/>
        </w:rPr>
      </w:pPr>
    </w:p>
    <w:p w14:paraId="5130BE37" w14:textId="77777777" w:rsidR="00030D15" w:rsidRPr="00857D68" w:rsidRDefault="00030D15" w:rsidP="00030D1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rPr>
        <w:t>11.</w:t>
      </w:r>
      <w:r w:rsidRPr="00857D68">
        <w:rPr>
          <w:rFonts w:ascii="Times New Roman" w:eastAsia="Times New Roman" w:hAnsi="Times New Roman" w:cs="Times New Roman"/>
          <w:b/>
        </w:rPr>
        <w:tab/>
      </w:r>
      <w:r w:rsidRPr="00857D68">
        <w:rPr>
          <w:rFonts w:ascii="Times New Roman" w:eastAsia="Times New Roman" w:hAnsi="Times New Roman" w:cs="Times New Roman"/>
          <w:b/>
          <w:caps/>
          <w:szCs w:val="20"/>
        </w:rPr>
        <w:t>REGISTRUOTOJO PAVADINIMAS IR ADRESAS</w:t>
      </w:r>
    </w:p>
    <w:p w14:paraId="55FE24A3" w14:textId="77777777" w:rsidR="00030D15" w:rsidRPr="00857D68" w:rsidRDefault="00030D15" w:rsidP="00030D15">
      <w:pPr>
        <w:spacing w:after="0" w:line="240" w:lineRule="auto"/>
        <w:rPr>
          <w:rFonts w:ascii="Times New Roman" w:eastAsia="Times New Roman" w:hAnsi="Times New Roman" w:cs="Times New Roman"/>
        </w:rPr>
      </w:pPr>
    </w:p>
    <w:p w14:paraId="11D06732" w14:textId="0BA0879C" w:rsidR="00030D15" w:rsidRPr="00857D68" w:rsidRDefault="00030D15" w:rsidP="000A2AD2">
      <w:pPr>
        <w:spacing w:after="0"/>
        <w:rPr>
          <w:rFonts w:ascii="Times New Roman" w:eastAsia="Times New Roman" w:hAnsi="Times New Roman" w:cs="Times New Roman"/>
        </w:rPr>
      </w:pPr>
      <w:r w:rsidRPr="00857D68">
        <w:rPr>
          <w:rFonts w:ascii="Times New Roman" w:eastAsia="Times New Roman" w:hAnsi="Times New Roman" w:cs="Times New Roman"/>
        </w:rPr>
        <w:t xml:space="preserve">Accord Healthcare </w:t>
      </w:r>
      <w:r w:rsidR="00EF57B4" w:rsidRPr="00857D68">
        <w:rPr>
          <w:rFonts w:ascii="Times New Roman" w:hAnsi="Times New Roman" w:cs="Times New Roman"/>
        </w:rPr>
        <w:t xml:space="preserve">B.V. </w:t>
      </w:r>
    </w:p>
    <w:p w14:paraId="0B41A220"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 xml:space="preserve">Winthontlaan 200 </w:t>
      </w:r>
    </w:p>
    <w:p w14:paraId="6FF54E75"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 xml:space="preserve">3526 KV Utrecht </w:t>
      </w:r>
    </w:p>
    <w:p w14:paraId="30CFDE7C"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Nyderlandai</w:t>
      </w:r>
    </w:p>
    <w:p w14:paraId="4AFFE211" w14:textId="77777777" w:rsidR="00030D15" w:rsidRPr="00857D68" w:rsidRDefault="00030D15" w:rsidP="00030D15">
      <w:pPr>
        <w:spacing w:after="0" w:line="240" w:lineRule="auto"/>
        <w:rPr>
          <w:rFonts w:ascii="Times New Roman" w:eastAsia="Times New Roman" w:hAnsi="Times New Roman" w:cs="Times New Roman"/>
        </w:rPr>
      </w:pPr>
    </w:p>
    <w:p w14:paraId="55909358" w14:textId="77777777" w:rsidR="00030D15" w:rsidRPr="00857D68" w:rsidRDefault="00030D15" w:rsidP="00030D15">
      <w:pPr>
        <w:spacing w:after="0" w:line="240" w:lineRule="auto"/>
        <w:rPr>
          <w:rFonts w:ascii="Times New Roman" w:eastAsia="Times New Roman" w:hAnsi="Times New Roman" w:cs="Times New Roman"/>
        </w:rPr>
      </w:pPr>
    </w:p>
    <w:p w14:paraId="267189C3" w14:textId="77777777" w:rsidR="00030D15" w:rsidRPr="00857D68" w:rsidRDefault="00030D15" w:rsidP="00030D1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b/>
        </w:rPr>
        <w:t>12.</w:t>
      </w:r>
      <w:r w:rsidRPr="00857D68">
        <w:rPr>
          <w:rFonts w:ascii="Times New Roman" w:eastAsia="Times New Roman" w:hAnsi="Times New Roman" w:cs="Times New Roman"/>
          <w:b/>
        </w:rPr>
        <w:tab/>
      </w:r>
      <w:r w:rsidRPr="00857D68">
        <w:rPr>
          <w:rFonts w:ascii="Times New Roman" w:eastAsia="Times New Roman" w:hAnsi="Times New Roman" w:cs="Times New Roman"/>
          <w:b/>
          <w:szCs w:val="20"/>
        </w:rPr>
        <w:t>REGISTRACIJOS PAŽYMĖJIMO NUMERIS (-IAI)</w:t>
      </w:r>
    </w:p>
    <w:p w14:paraId="6CBEBBCE" w14:textId="77777777" w:rsidR="00030D15" w:rsidRPr="00857D68" w:rsidRDefault="00030D15" w:rsidP="00030D15">
      <w:pPr>
        <w:spacing w:after="0" w:line="240" w:lineRule="auto"/>
        <w:rPr>
          <w:rFonts w:ascii="Times New Roman" w:eastAsia="Times New Roman" w:hAnsi="Times New Roman" w:cs="Times New Roman"/>
        </w:rPr>
      </w:pPr>
    </w:p>
    <w:p w14:paraId="6C37AFFD" w14:textId="77777777" w:rsidR="00030D15" w:rsidRPr="00857D68" w:rsidRDefault="00030D15" w:rsidP="00030D15">
      <w:pPr>
        <w:tabs>
          <w:tab w:val="left" w:pos="567"/>
        </w:tabs>
        <w:spacing w:after="0" w:line="240" w:lineRule="auto"/>
        <w:rPr>
          <w:rFonts w:ascii="Times New Roman" w:eastAsia="Times New Roman" w:hAnsi="Times New Roman" w:cs="Times New Roman"/>
          <w:szCs w:val="20"/>
          <w:highlight w:val="lightGray"/>
        </w:rPr>
      </w:pPr>
      <w:r w:rsidRPr="00857D68">
        <w:rPr>
          <w:rFonts w:ascii="Times New Roman" w:eastAsia="Times New Roman" w:hAnsi="Times New Roman" w:cs="Times New Roman"/>
          <w:szCs w:val="20"/>
        </w:rPr>
        <w:t xml:space="preserve">LT/1/09/1476/002 </w:t>
      </w:r>
      <w:r w:rsidRPr="00857D68">
        <w:rPr>
          <w:rFonts w:ascii="Times New Roman" w:eastAsia="Times New Roman" w:hAnsi="Times New Roman" w:cs="Times New Roman"/>
          <w:szCs w:val="20"/>
          <w:highlight w:val="lightGray"/>
        </w:rPr>
        <w:t>– N4</w:t>
      </w:r>
    </w:p>
    <w:p w14:paraId="2F677B51" w14:textId="77777777" w:rsidR="00030D15" w:rsidRPr="00857D68" w:rsidRDefault="00030D15" w:rsidP="00030D15">
      <w:pPr>
        <w:tabs>
          <w:tab w:val="left" w:pos="567"/>
        </w:tabs>
        <w:spacing w:after="0" w:line="240" w:lineRule="auto"/>
        <w:rPr>
          <w:rFonts w:ascii="Times New Roman" w:eastAsia="Times New Roman" w:hAnsi="Times New Roman" w:cs="Times New Roman"/>
          <w:szCs w:val="20"/>
        </w:rPr>
      </w:pPr>
      <w:r w:rsidRPr="00857D68">
        <w:rPr>
          <w:rFonts w:ascii="Times New Roman" w:eastAsia="Times New Roman" w:hAnsi="Times New Roman" w:cs="Times New Roman"/>
          <w:szCs w:val="20"/>
          <w:highlight w:val="lightGray"/>
        </w:rPr>
        <w:t>LT/1/09/1476/012 – N12</w:t>
      </w:r>
    </w:p>
    <w:p w14:paraId="2FF29663" w14:textId="77777777" w:rsidR="00030D15" w:rsidRPr="00857D68" w:rsidRDefault="00030D15" w:rsidP="00030D15">
      <w:pPr>
        <w:spacing w:after="0" w:line="240" w:lineRule="auto"/>
        <w:rPr>
          <w:rFonts w:ascii="Times New Roman" w:eastAsia="Times New Roman" w:hAnsi="Times New Roman" w:cs="Times New Roman"/>
        </w:rPr>
      </w:pPr>
    </w:p>
    <w:p w14:paraId="08802424" w14:textId="77777777" w:rsidR="00030D15" w:rsidRPr="00857D68" w:rsidRDefault="00030D15" w:rsidP="00030D15">
      <w:pPr>
        <w:spacing w:after="0" w:line="240" w:lineRule="auto"/>
        <w:rPr>
          <w:rFonts w:ascii="Times New Roman" w:eastAsia="Times New Roman" w:hAnsi="Times New Roman" w:cs="Times New Roman"/>
        </w:rPr>
      </w:pPr>
    </w:p>
    <w:p w14:paraId="36F73A31" w14:textId="77777777" w:rsidR="00030D15" w:rsidRPr="00857D68" w:rsidRDefault="00030D15" w:rsidP="00030D1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b/>
        </w:rPr>
        <w:t>13.</w:t>
      </w:r>
      <w:r w:rsidRPr="00857D68">
        <w:rPr>
          <w:rFonts w:ascii="Times New Roman" w:eastAsia="Times New Roman" w:hAnsi="Times New Roman" w:cs="Times New Roman"/>
          <w:b/>
        </w:rPr>
        <w:tab/>
        <w:t>SERIJOS NUMERIS</w:t>
      </w:r>
    </w:p>
    <w:p w14:paraId="45803DB8" w14:textId="77777777" w:rsidR="00030D15" w:rsidRPr="00857D68" w:rsidRDefault="00030D15" w:rsidP="00030D15">
      <w:pPr>
        <w:spacing w:after="0" w:line="240" w:lineRule="auto"/>
        <w:rPr>
          <w:rFonts w:ascii="Times New Roman" w:eastAsia="Times New Roman" w:hAnsi="Times New Roman" w:cs="Times New Roman"/>
        </w:rPr>
      </w:pPr>
    </w:p>
    <w:p w14:paraId="63CCA677"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Serija:</w:t>
      </w:r>
    </w:p>
    <w:p w14:paraId="3D1B0F47" w14:textId="77777777" w:rsidR="00030D15" w:rsidRPr="00857D68" w:rsidRDefault="00030D15" w:rsidP="00030D15">
      <w:pPr>
        <w:spacing w:after="0" w:line="240" w:lineRule="auto"/>
        <w:rPr>
          <w:rFonts w:ascii="Times New Roman" w:eastAsia="Times New Roman" w:hAnsi="Times New Roman" w:cs="Times New Roman"/>
        </w:rPr>
      </w:pPr>
    </w:p>
    <w:p w14:paraId="5225EDC9" w14:textId="77777777" w:rsidR="00030D15" w:rsidRPr="00857D68" w:rsidRDefault="00030D15" w:rsidP="00030D15">
      <w:pPr>
        <w:spacing w:after="0" w:line="240" w:lineRule="auto"/>
        <w:rPr>
          <w:rFonts w:ascii="Times New Roman" w:eastAsia="Times New Roman" w:hAnsi="Times New Roman" w:cs="Times New Roman"/>
        </w:rPr>
      </w:pPr>
    </w:p>
    <w:p w14:paraId="14200D71" w14:textId="77777777" w:rsidR="00030D15" w:rsidRPr="00857D68" w:rsidRDefault="00030D15" w:rsidP="00030D1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b/>
        </w:rPr>
        <w:t>14.</w:t>
      </w:r>
      <w:r w:rsidRPr="00857D68">
        <w:rPr>
          <w:rFonts w:ascii="Times New Roman" w:eastAsia="Times New Roman" w:hAnsi="Times New Roman" w:cs="Times New Roman"/>
          <w:b/>
        </w:rPr>
        <w:tab/>
        <w:t>PARDAVIMO (IŠDAVIMO)</w:t>
      </w:r>
      <w:r w:rsidRPr="00857D68">
        <w:rPr>
          <w:rFonts w:ascii="Times New Roman" w:eastAsia="Times New Roman" w:hAnsi="Times New Roman" w:cs="Times New Roman"/>
          <w:b/>
          <w:caps/>
        </w:rPr>
        <w:t xml:space="preserve"> tvarka</w:t>
      </w:r>
    </w:p>
    <w:p w14:paraId="2CB05E3A" w14:textId="77777777" w:rsidR="00030D15" w:rsidRPr="00857D68" w:rsidRDefault="00030D15" w:rsidP="00030D15">
      <w:pPr>
        <w:spacing w:after="0" w:line="240" w:lineRule="auto"/>
        <w:outlineLvl w:val="0"/>
        <w:rPr>
          <w:rFonts w:ascii="Times New Roman" w:eastAsia="Times New Roman" w:hAnsi="Times New Roman" w:cs="Times New Roman"/>
          <w:b/>
        </w:rPr>
      </w:pPr>
    </w:p>
    <w:p w14:paraId="051B9710"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Receptinis vaistas</w:t>
      </w:r>
    </w:p>
    <w:p w14:paraId="0E7EF8F0" w14:textId="77777777" w:rsidR="00030D15" w:rsidRPr="00857D68" w:rsidRDefault="00030D15" w:rsidP="00030D15">
      <w:pPr>
        <w:spacing w:after="0" w:line="240" w:lineRule="auto"/>
        <w:rPr>
          <w:rFonts w:ascii="Times New Roman" w:eastAsia="Times New Roman" w:hAnsi="Times New Roman" w:cs="Times New Roman"/>
        </w:rPr>
      </w:pPr>
    </w:p>
    <w:p w14:paraId="3820C48A" w14:textId="77777777" w:rsidR="00030D15" w:rsidRPr="00857D68" w:rsidRDefault="00030D15" w:rsidP="00030D15">
      <w:pPr>
        <w:spacing w:after="0" w:line="240" w:lineRule="auto"/>
        <w:rPr>
          <w:rFonts w:ascii="Times New Roman" w:eastAsia="Times New Roman" w:hAnsi="Times New Roman" w:cs="Times New Roman"/>
        </w:rPr>
      </w:pPr>
    </w:p>
    <w:p w14:paraId="5C20A232" w14:textId="77777777" w:rsidR="00030D15" w:rsidRPr="00857D68" w:rsidRDefault="00030D15" w:rsidP="00030D1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b/>
        </w:rPr>
        <w:t>15.</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vartojimo instrukcijA</w:t>
      </w:r>
    </w:p>
    <w:p w14:paraId="6AFB3D9D" w14:textId="77777777" w:rsidR="00030D15" w:rsidRPr="00857D68" w:rsidRDefault="00030D15" w:rsidP="00030D15">
      <w:pPr>
        <w:spacing w:after="0" w:line="240" w:lineRule="auto"/>
        <w:rPr>
          <w:rFonts w:ascii="Times New Roman" w:eastAsia="Times New Roman" w:hAnsi="Times New Roman" w:cs="Times New Roman"/>
        </w:rPr>
      </w:pPr>
    </w:p>
    <w:p w14:paraId="4377ADFD" w14:textId="77777777" w:rsidR="00030D15" w:rsidRPr="00857D68" w:rsidRDefault="00030D15" w:rsidP="00030D15">
      <w:pPr>
        <w:spacing w:after="0" w:line="240" w:lineRule="auto"/>
        <w:rPr>
          <w:rFonts w:ascii="Times New Roman" w:eastAsia="Times New Roman" w:hAnsi="Times New Roman" w:cs="Times New Roman"/>
        </w:rPr>
      </w:pPr>
    </w:p>
    <w:p w14:paraId="615AA9C9" w14:textId="77777777" w:rsidR="00030D15" w:rsidRPr="00857D68" w:rsidRDefault="00030D15" w:rsidP="00030D15">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rPr>
      </w:pPr>
      <w:r w:rsidRPr="00857D68">
        <w:rPr>
          <w:rFonts w:ascii="Times New Roman" w:eastAsia="Times New Roman" w:hAnsi="Times New Roman" w:cs="Times New Roman"/>
          <w:b/>
        </w:rPr>
        <w:t>16.</w:t>
      </w:r>
      <w:r w:rsidRPr="00857D68">
        <w:rPr>
          <w:rFonts w:ascii="Times New Roman" w:eastAsia="Times New Roman" w:hAnsi="Times New Roman" w:cs="Times New Roman"/>
          <w:b/>
        </w:rPr>
        <w:tab/>
        <w:t>INFORMACIJA BRAILIO RAŠTU</w:t>
      </w:r>
    </w:p>
    <w:p w14:paraId="6E306CEB" w14:textId="77777777" w:rsidR="00030D15" w:rsidRPr="00857D68" w:rsidRDefault="00030D15" w:rsidP="00030D15">
      <w:pPr>
        <w:spacing w:after="0" w:line="240" w:lineRule="auto"/>
        <w:rPr>
          <w:rFonts w:ascii="Times New Roman" w:eastAsia="Times New Roman" w:hAnsi="Times New Roman" w:cs="Times New Roman"/>
        </w:rPr>
      </w:pPr>
    </w:p>
    <w:p w14:paraId="52CF5899"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Alendronic acid Accord 70 mg tabletės</w:t>
      </w:r>
    </w:p>
    <w:p w14:paraId="3196F7D1"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p>
    <w:p w14:paraId="07ADCC52" w14:textId="77777777" w:rsidR="00EF57B4" w:rsidRPr="00857D68" w:rsidRDefault="00EF57B4" w:rsidP="00EF57B4">
      <w:pPr>
        <w:tabs>
          <w:tab w:val="left" w:pos="567"/>
        </w:tabs>
        <w:spacing w:after="0" w:line="260" w:lineRule="exact"/>
        <w:rPr>
          <w:rFonts w:ascii="Times New Roman" w:hAnsi="Times New Roman"/>
        </w:rPr>
      </w:pPr>
    </w:p>
    <w:p w14:paraId="31840C87" w14:textId="77777777" w:rsidR="00EF57B4" w:rsidRPr="00857D68" w:rsidRDefault="00EF57B4" w:rsidP="00EF57B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rPr>
        <w:t>17.</w:t>
      </w:r>
      <w:r w:rsidRPr="00857D68">
        <w:rPr>
          <w:rFonts w:ascii="Times New Roman" w:eastAsia="Times New Roman" w:hAnsi="Times New Roman" w:cs="Times New Roman"/>
          <w:b/>
        </w:rPr>
        <w:tab/>
        <w:t>UNIKALUS IDENTIFIKATORIUS – 2D BRŪKŠNINIS KODAS</w:t>
      </w:r>
    </w:p>
    <w:p w14:paraId="31E16D5D"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p>
    <w:p w14:paraId="302D45DA"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2D brūkšninis kodas su nurodytu unikaliu identifikatoriumi.</w:t>
      </w:r>
    </w:p>
    <w:p w14:paraId="53DD9775"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p>
    <w:p w14:paraId="6ACD25A0"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p>
    <w:p w14:paraId="5B29670E" w14:textId="77777777" w:rsidR="00EF57B4" w:rsidRPr="00857D68" w:rsidRDefault="00EF57B4" w:rsidP="00EF57B4">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rPr>
        <w:t>18.</w:t>
      </w:r>
      <w:r w:rsidRPr="00857D68">
        <w:rPr>
          <w:rFonts w:ascii="Times New Roman" w:eastAsia="Times New Roman" w:hAnsi="Times New Roman" w:cs="Times New Roman"/>
          <w:b/>
        </w:rPr>
        <w:tab/>
        <w:t>UNIKALUS IDENTIFIKATORIUS – ŽMONĖMS SUPRANTAMI DUOMENYS</w:t>
      </w:r>
    </w:p>
    <w:p w14:paraId="5E636EB5"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p>
    <w:p w14:paraId="279B01CD"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PC: {numeris} </w:t>
      </w:r>
    </w:p>
    <w:p w14:paraId="00A0EC78"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SN: {numeris} </w:t>
      </w:r>
    </w:p>
    <w:p w14:paraId="389C66A6" w14:textId="77777777" w:rsidR="00EF57B4" w:rsidRPr="00857D68" w:rsidRDefault="00EF57B4" w:rsidP="00EF57B4">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NN: {numeris}</w:t>
      </w:r>
    </w:p>
    <w:p w14:paraId="7786CEB4"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09B4C987"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77A3F683"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0D15" w:rsidRPr="00857D68" w14:paraId="54F71BD2" w14:textId="77777777" w:rsidTr="00BA68CB">
        <w:trPr>
          <w:trHeight w:val="785"/>
        </w:trPr>
        <w:tc>
          <w:tcPr>
            <w:tcW w:w="9287" w:type="dxa"/>
            <w:tcBorders>
              <w:bottom w:val="single" w:sz="4" w:space="0" w:color="auto"/>
            </w:tcBorders>
          </w:tcPr>
          <w:p w14:paraId="683501D0" w14:textId="77777777" w:rsidR="00030D15" w:rsidRPr="00857D68" w:rsidRDefault="00030D15" w:rsidP="00BA68CB">
            <w:pPr>
              <w:tabs>
                <w:tab w:val="left" w:pos="567"/>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
              </w:rPr>
              <w:lastRenderedPageBreak/>
              <w:t xml:space="preserve">MINIMALI </w:t>
            </w:r>
            <w:r w:rsidRPr="00857D68">
              <w:rPr>
                <w:rFonts w:ascii="Times New Roman" w:eastAsia="Times New Roman" w:hAnsi="Times New Roman" w:cs="Times New Roman"/>
                <w:b/>
                <w:caps/>
              </w:rPr>
              <w:t xml:space="preserve">informacija ant </w:t>
            </w:r>
            <w:r w:rsidRPr="00857D68">
              <w:rPr>
                <w:rFonts w:ascii="Times New Roman" w:eastAsia="Times New Roman" w:hAnsi="Times New Roman" w:cs="Times New Roman"/>
                <w:b/>
              </w:rPr>
              <w:t>LIZDINIŲ PLOKŠTELIŲ ARBA DVISLUOKSNIŲ JUOSTELIŲ</w:t>
            </w:r>
          </w:p>
          <w:p w14:paraId="54937D13" w14:textId="77777777" w:rsidR="00030D15" w:rsidRPr="00857D68" w:rsidRDefault="00030D15" w:rsidP="00BA68CB">
            <w:pPr>
              <w:tabs>
                <w:tab w:val="left" w:pos="567"/>
              </w:tabs>
              <w:spacing w:after="0" w:line="260" w:lineRule="exact"/>
              <w:rPr>
                <w:rFonts w:ascii="Times New Roman" w:eastAsia="Times New Roman" w:hAnsi="Times New Roman" w:cs="Times New Roman"/>
                <w:b/>
              </w:rPr>
            </w:pPr>
          </w:p>
          <w:p w14:paraId="39322D0D" w14:textId="77777777" w:rsidR="00030D15" w:rsidRPr="00857D68" w:rsidRDefault="00030D15" w:rsidP="00BA68CB">
            <w:pPr>
              <w:tabs>
                <w:tab w:val="left" w:pos="567"/>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
              </w:rPr>
              <w:t>OPA-Al-PVC/Al lizdinė plokštelė</w:t>
            </w:r>
          </w:p>
        </w:tc>
      </w:tr>
    </w:tbl>
    <w:p w14:paraId="26F327CC" w14:textId="77777777" w:rsidR="00030D15" w:rsidRPr="00857D68" w:rsidRDefault="00030D15" w:rsidP="00030D15">
      <w:pPr>
        <w:spacing w:after="0" w:line="240" w:lineRule="auto"/>
        <w:rPr>
          <w:rFonts w:ascii="Times New Roman" w:eastAsia="Times New Roman" w:hAnsi="Times New Roman" w:cs="Times New Roman"/>
          <w:b/>
        </w:rPr>
      </w:pPr>
    </w:p>
    <w:p w14:paraId="594A9526" w14:textId="77777777" w:rsidR="00030D15" w:rsidRPr="00857D68" w:rsidRDefault="00030D15" w:rsidP="00030D15">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0D15" w:rsidRPr="00857D68" w14:paraId="0A898B4B" w14:textId="77777777" w:rsidTr="00BA68CB">
        <w:tc>
          <w:tcPr>
            <w:tcW w:w="9287" w:type="dxa"/>
          </w:tcPr>
          <w:p w14:paraId="1D48BD0E" w14:textId="77777777" w:rsidR="00030D15" w:rsidRPr="00857D68" w:rsidRDefault="00030D15" w:rsidP="00BA68CB">
            <w:pPr>
              <w:tabs>
                <w:tab w:val="left" w:pos="142"/>
              </w:tabs>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t>1.</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Vaistinio preparato pavadinimas</w:t>
            </w:r>
          </w:p>
        </w:tc>
      </w:tr>
    </w:tbl>
    <w:p w14:paraId="59B1817B" w14:textId="77777777" w:rsidR="00030D15" w:rsidRPr="00857D68" w:rsidRDefault="00030D15" w:rsidP="00030D15">
      <w:pPr>
        <w:spacing w:after="0" w:line="240" w:lineRule="auto"/>
        <w:ind w:left="567" w:hanging="567"/>
        <w:rPr>
          <w:rFonts w:ascii="Times New Roman" w:eastAsia="Times New Roman" w:hAnsi="Times New Roman" w:cs="Times New Roman"/>
        </w:rPr>
      </w:pPr>
    </w:p>
    <w:p w14:paraId="09C11F3B"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Alendronic acid Accord 70 mg tabletės </w:t>
      </w:r>
    </w:p>
    <w:p w14:paraId="50D7E237" w14:textId="77777777" w:rsidR="00030D15" w:rsidRPr="00857D68" w:rsidRDefault="00030D15" w:rsidP="00030D15">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Alendrono rūgštis</w:t>
      </w:r>
    </w:p>
    <w:p w14:paraId="050E3246" w14:textId="77777777" w:rsidR="00030D15" w:rsidRPr="00857D68" w:rsidRDefault="00030D15" w:rsidP="00030D15">
      <w:pPr>
        <w:spacing w:after="0" w:line="240" w:lineRule="auto"/>
        <w:rPr>
          <w:rFonts w:ascii="Times New Roman" w:eastAsia="Times New Roman" w:hAnsi="Times New Roman" w:cs="Times New Roman"/>
          <w:b/>
        </w:rPr>
      </w:pPr>
    </w:p>
    <w:p w14:paraId="0CAB5630" w14:textId="77777777" w:rsidR="00030D15" w:rsidRPr="00857D68" w:rsidRDefault="00030D15" w:rsidP="00030D15">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0D15" w:rsidRPr="00857D68" w14:paraId="024025EC" w14:textId="77777777" w:rsidTr="00BA68CB">
        <w:tc>
          <w:tcPr>
            <w:tcW w:w="9287" w:type="dxa"/>
          </w:tcPr>
          <w:p w14:paraId="2416301A" w14:textId="77777777" w:rsidR="00030D15" w:rsidRPr="00857D68" w:rsidRDefault="00030D15" w:rsidP="00BA68CB">
            <w:pPr>
              <w:tabs>
                <w:tab w:val="left" w:pos="142"/>
              </w:tabs>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t>2.</w:t>
            </w:r>
            <w:r w:rsidRPr="00857D68">
              <w:rPr>
                <w:rFonts w:ascii="Times New Roman" w:eastAsia="Times New Roman" w:hAnsi="Times New Roman" w:cs="Times New Roman"/>
                <w:b/>
              </w:rPr>
              <w:tab/>
            </w:r>
            <w:r w:rsidRPr="00857D68">
              <w:rPr>
                <w:rFonts w:ascii="Times New Roman" w:eastAsia="Times New Roman" w:hAnsi="Times New Roman" w:cs="Times New Roman"/>
                <w:b/>
                <w:caps/>
                <w:szCs w:val="20"/>
              </w:rPr>
              <w:t>REGISTRUOTOJO pavadinimas</w:t>
            </w:r>
          </w:p>
        </w:tc>
      </w:tr>
    </w:tbl>
    <w:p w14:paraId="71FB855B" w14:textId="77777777" w:rsidR="00030D15" w:rsidRPr="00857D68" w:rsidRDefault="00030D15" w:rsidP="00030D15">
      <w:pPr>
        <w:spacing w:after="0" w:line="240" w:lineRule="auto"/>
        <w:rPr>
          <w:rFonts w:ascii="Times New Roman" w:eastAsia="Times New Roman" w:hAnsi="Times New Roman" w:cs="Times New Roman"/>
          <w:b/>
        </w:rPr>
      </w:pPr>
    </w:p>
    <w:p w14:paraId="5937DDDC" w14:textId="77777777" w:rsidR="00030D15" w:rsidRPr="00857D68" w:rsidRDefault="00030D15" w:rsidP="00030D15">
      <w:pPr>
        <w:tabs>
          <w:tab w:val="left" w:pos="567"/>
        </w:tabs>
        <w:autoSpaceDE w:val="0"/>
        <w:autoSpaceDN w:val="0"/>
        <w:adjustRightInd w:val="0"/>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 xml:space="preserve">Accord </w:t>
      </w:r>
    </w:p>
    <w:p w14:paraId="4F471DC2" w14:textId="77777777" w:rsidR="00030D15" w:rsidRPr="00857D68" w:rsidRDefault="00030D15" w:rsidP="00030D15">
      <w:pPr>
        <w:spacing w:after="0" w:line="240" w:lineRule="auto"/>
        <w:rPr>
          <w:rFonts w:ascii="Times New Roman" w:eastAsia="Times New Roman" w:hAnsi="Times New Roman" w:cs="Times New Roman"/>
          <w:b/>
        </w:rPr>
      </w:pPr>
    </w:p>
    <w:p w14:paraId="764D7756" w14:textId="77777777" w:rsidR="00030D15" w:rsidRPr="00857D68" w:rsidRDefault="00030D15" w:rsidP="00030D15">
      <w:pPr>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0D15" w:rsidRPr="00857D68" w14:paraId="261EA199" w14:textId="77777777" w:rsidTr="00BA68CB">
        <w:tc>
          <w:tcPr>
            <w:tcW w:w="9287" w:type="dxa"/>
          </w:tcPr>
          <w:p w14:paraId="14E8129C" w14:textId="77777777" w:rsidR="00030D15" w:rsidRPr="00857D68" w:rsidRDefault="00030D15" w:rsidP="00BA68CB">
            <w:pPr>
              <w:tabs>
                <w:tab w:val="left" w:pos="142"/>
              </w:tabs>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t>3.</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tinkamumo laikas</w:t>
            </w:r>
          </w:p>
        </w:tc>
      </w:tr>
    </w:tbl>
    <w:p w14:paraId="002A2388" w14:textId="77777777" w:rsidR="00030D15" w:rsidRPr="00857D68" w:rsidRDefault="00030D15" w:rsidP="00030D15">
      <w:pPr>
        <w:tabs>
          <w:tab w:val="left" w:pos="567"/>
        </w:tabs>
        <w:autoSpaceDE w:val="0"/>
        <w:autoSpaceDN w:val="0"/>
        <w:adjustRightInd w:val="0"/>
        <w:spacing w:after="0" w:line="260" w:lineRule="exact"/>
        <w:jc w:val="both"/>
        <w:rPr>
          <w:rFonts w:ascii="Times New Roman" w:eastAsia="Times New Roman" w:hAnsi="Times New Roman" w:cs="Times New Roman"/>
        </w:rPr>
      </w:pPr>
    </w:p>
    <w:p w14:paraId="6BA1CDAE" w14:textId="77777777" w:rsidR="00030D15" w:rsidRPr="00857D68" w:rsidRDefault="00030D15" w:rsidP="00030D15">
      <w:pPr>
        <w:tabs>
          <w:tab w:val="left" w:pos="567"/>
        </w:tabs>
        <w:autoSpaceDE w:val="0"/>
        <w:autoSpaceDN w:val="0"/>
        <w:adjustRightInd w:val="0"/>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EXP {mm-MMMM}</w:t>
      </w:r>
    </w:p>
    <w:p w14:paraId="395C6BAC" w14:textId="77777777" w:rsidR="00030D15" w:rsidRPr="00857D68" w:rsidRDefault="00030D15" w:rsidP="00030D15">
      <w:pPr>
        <w:spacing w:after="0" w:line="240" w:lineRule="auto"/>
        <w:rPr>
          <w:rFonts w:ascii="Times New Roman" w:eastAsia="Times New Roman" w:hAnsi="Times New Roman" w:cs="Times New Roman"/>
          <w:b/>
        </w:rPr>
      </w:pPr>
    </w:p>
    <w:p w14:paraId="299B7715" w14:textId="77777777" w:rsidR="00030D15" w:rsidRPr="00857D68" w:rsidRDefault="00030D15" w:rsidP="00030D15">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0D15" w:rsidRPr="00857D68" w14:paraId="09974C13" w14:textId="77777777" w:rsidTr="00BA68CB">
        <w:tc>
          <w:tcPr>
            <w:tcW w:w="9287" w:type="dxa"/>
          </w:tcPr>
          <w:p w14:paraId="4C34330D" w14:textId="77777777" w:rsidR="00030D15" w:rsidRPr="00857D68" w:rsidRDefault="00030D15" w:rsidP="00BA68CB">
            <w:pPr>
              <w:tabs>
                <w:tab w:val="left" w:pos="142"/>
              </w:tabs>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t>4.</w:t>
            </w:r>
            <w:r w:rsidRPr="00857D68">
              <w:rPr>
                <w:rFonts w:ascii="Times New Roman" w:eastAsia="Times New Roman" w:hAnsi="Times New Roman" w:cs="Times New Roman"/>
                <w:b/>
              </w:rPr>
              <w:tab/>
            </w:r>
            <w:r w:rsidRPr="00857D68">
              <w:rPr>
                <w:rFonts w:ascii="Times New Roman" w:eastAsia="Times New Roman" w:hAnsi="Times New Roman" w:cs="Times New Roman"/>
                <w:b/>
                <w:caps/>
              </w:rPr>
              <w:t>serijos numeris</w:t>
            </w:r>
          </w:p>
        </w:tc>
      </w:tr>
    </w:tbl>
    <w:p w14:paraId="0C4E19EC" w14:textId="77777777" w:rsidR="00030D15" w:rsidRPr="00857D68" w:rsidRDefault="00030D15" w:rsidP="00030D15">
      <w:pPr>
        <w:tabs>
          <w:tab w:val="left" w:pos="567"/>
        </w:tabs>
        <w:autoSpaceDE w:val="0"/>
        <w:autoSpaceDN w:val="0"/>
        <w:adjustRightInd w:val="0"/>
        <w:spacing w:after="0" w:line="260" w:lineRule="exact"/>
        <w:jc w:val="both"/>
        <w:rPr>
          <w:rFonts w:ascii="Times New Roman" w:eastAsia="Times New Roman" w:hAnsi="Times New Roman" w:cs="Times New Roman"/>
        </w:rPr>
      </w:pPr>
    </w:p>
    <w:p w14:paraId="2B451BDF" w14:textId="77777777" w:rsidR="00030D15" w:rsidRPr="00857D68" w:rsidRDefault="00030D15" w:rsidP="00030D15">
      <w:pPr>
        <w:tabs>
          <w:tab w:val="left" w:pos="567"/>
        </w:tabs>
        <w:autoSpaceDE w:val="0"/>
        <w:autoSpaceDN w:val="0"/>
        <w:adjustRightInd w:val="0"/>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Lot</w:t>
      </w:r>
    </w:p>
    <w:p w14:paraId="154B0924" w14:textId="77777777" w:rsidR="00030D15" w:rsidRPr="00857D68" w:rsidRDefault="00030D15" w:rsidP="00030D15">
      <w:pPr>
        <w:spacing w:after="0" w:line="240" w:lineRule="auto"/>
        <w:ind w:right="113"/>
        <w:rPr>
          <w:rFonts w:ascii="Times New Roman" w:eastAsia="Times New Roman" w:hAnsi="Times New Roman" w:cs="Times New Roman"/>
        </w:rPr>
      </w:pPr>
    </w:p>
    <w:p w14:paraId="7AAA565C" w14:textId="77777777" w:rsidR="00030D15" w:rsidRPr="00857D68" w:rsidRDefault="00030D15" w:rsidP="00030D15">
      <w:pPr>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30D15" w:rsidRPr="00857D68" w14:paraId="25342204" w14:textId="77777777" w:rsidTr="00BA68CB">
        <w:tc>
          <w:tcPr>
            <w:tcW w:w="9287" w:type="dxa"/>
          </w:tcPr>
          <w:p w14:paraId="73BFEEAC" w14:textId="77777777" w:rsidR="00030D15" w:rsidRPr="00857D68" w:rsidRDefault="00030D15" w:rsidP="00BA68CB">
            <w:pPr>
              <w:tabs>
                <w:tab w:val="left" w:pos="142"/>
              </w:tabs>
              <w:spacing w:after="0" w:line="240" w:lineRule="auto"/>
              <w:ind w:left="567" w:hanging="567"/>
              <w:rPr>
                <w:rFonts w:ascii="Times New Roman" w:eastAsia="Times New Roman" w:hAnsi="Times New Roman" w:cs="Times New Roman"/>
                <w:b/>
              </w:rPr>
            </w:pPr>
            <w:r w:rsidRPr="00857D68">
              <w:rPr>
                <w:rFonts w:ascii="Times New Roman" w:eastAsia="Times New Roman" w:hAnsi="Times New Roman" w:cs="Times New Roman"/>
                <w:b/>
              </w:rPr>
              <w:t>5.</w:t>
            </w:r>
            <w:r w:rsidRPr="00857D68">
              <w:rPr>
                <w:rFonts w:ascii="Times New Roman" w:eastAsia="Times New Roman" w:hAnsi="Times New Roman" w:cs="Times New Roman"/>
                <w:b/>
              </w:rPr>
              <w:tab/>
              <w:t>KITA</w:t>
            </w:r>
          </w:p>
        </w:tc>
      </w:tr>
    </w:tbl>
    <w:p w14:paraId="5C09ABB9" w14:textId="77777777" w:rsidR="00030D15" w:rsidRPr="00857D68" w:rsidRDefault="00030D15" w:rsidP="00030D15">
      <w:pPr>
        <w:spacing w:after="0" w:line="240" w:lineRule="auto"/>
        <w:ind w:right="113"/>
        <w:rPr>
          <w:rFonts w:ascii="Times New Roman" w:eastAsia="Times New Roman" w:hAnsi="Times New Roman" w:cs="Times New Roman"/>
        </w:rPr>
      </w:pPr>
    </w:p>
    <w:p w14:paraId="7A0DC1DA" w14:textId="77777777" w:rsidR="00030D15" w:rsidRPr="00857D68" w:rsidRDefault="00030D15" w:rsidP="00030D15">
      <w:pPr>
        <w:spacing w:after="0" w:line="240" w:lineRule="auto"/>
        <w:rPr>
          <w:rFonts w:ascii="Times New Roman" w:eastAsia="Times New Roman" w:hAnsi="Times New Roman" w:cs="Times New Roman"/>
        </w:rPr>
      </w:pPr>
    </w:p>
    <w:p w14:paraId="7CD2CCBD"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p>
    <w:p w14:paraId="3E057B4D"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br w:type="page"/>
      </w:r>
    </w:p>
    <w:p w14:paraId="73581090"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14804B1E"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18CE7978"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416B394"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35F41D71"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711A485F"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185759ED"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6A21A4D9"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27BE0B2D"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40BF77DE"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0C66542C"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4CB7CB44"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41FDBAC8"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3DF364A5"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3D68ED8D"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7D6E0B5E"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01B70A7E"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661A2244"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13A18823"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36F073BE"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41950F5F"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0E7B9711"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365F1BB4"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79B68887"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rPr>
      </w:pPr>
      <w:r w:rsidRPr="00857D68">
        <w:rPr>
          <w:rFonts w:ascii="Times New Roman" w:eastAsia="Times New Roman" w:hAnsi="Times New Roman" w:cs="Times New Roman"/>
          <w:b/>
        </w:rPr>
        <w:t>B. PAKUOTĖS LAPELIS</w:t>
      </w:r>
    </w:p>
    <w:p w14:paraId="6AA08F76" w14:textId="77777777" w:rsidR="00030D15" w:rsidRPr="00857D68" w:rsidRDefault="00030D15" w:rsidP="00030D15">
      <w:pPr>
        <w:tabs>
          <w:tab w:val="left" w:pos="720"/>
        </w:tabs>
        <w:spacing w:after="0" w:line="240" w:lineRule="auto"/>
        <w:jc w:val="center"/>
        <w:rPr>
          <w:rFonts w:ascii="Times New Roman" w:eastAsia="Times New Roman" w:hAnsi="Times New Roman" w:cs="Times New Roman"/>
        </w:rPr>
      </w:pPr>
    </w:p>
    <w:p w14:paraId="2CAC9BC7"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b/>
        </w:rPr>
        <w:br w:type="page"/>
      </w:r>
    </w:p>
    <w:p w14:paraId="74E0E912"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r w:rsidRPr="00857D68">
        <w:rPr>
          <w:rFonts w:ascii="Times New Roman" w:eastAsia="Times New Roman" w:hAnsi="Times New Roman" w:cs="Times New Roman"/>
          <w:b/>
        </w:rPr>
        <w:lastRenderedPageBreak/>
        <w:t>Pakuotės lapelis: informacija vartotojui</w:t>
      </w:r>
    </w:p>
    <w:p w14:paraId="735A5830" w14:textId="77777777" w:rsidR="00030D15" w:rsidRPr="00857D68" w:rsidRDefault="00030D15" w:rsidP="00030D15">
      <w:pPr>
        <w:tabs>
          <w:tab w:val="left" w:pos="720"/>
        </w:tabs>
        <w:spacing w:after="0" w:line="240" w:lineRule="auto"/>
        <w:jc w:val="center"/>
        <w:outlineLvl w:val="0"/>
        <w:rPr>
          <w:rFonts w:ascii="Times New Roman" w:eastAsia="Times New Roman" w:hAnsi="Times New Roman" w:cs="Times New Roman"/>
          <w:b/>
        </w:rPr>
      </w:pPr>
    </w:p>
    <w:p w14:paraId="6BF624FE" w14:textId="77777777" w:rsidR="00030D15" w:rsidRPr="00857D68" w:rsidRDefault="00030D15" w:rsidP="00030D15">
      <w:pPr>
        <w:numPr>
          <w:ilvl w:val="12"/>
          <w:numId w:val="0"/>
        </w:numPr>
        <w:tabs>
          <w:tab w:val="left" w:pos="720"/>
        </w:tabs>
        <w:spacing w:after="0" w:line="240" w:lineRule="auto"/>
        <w:jc w:val="center"/>
        <w:rPr>
          <w:rFonts w:ascii="Times New Roman" w:eastAsia="Times New Roman" w:hAnsi="Times New Roman" w:cs="Times New Roman"/>
          <w:b/>
          <w:bCs/>
        </w:rPr>
      </w:pPr>
      <w:r w:rsidRPr="00857D68">
        <w:rPr>
          <w:rFonts w:ascii="Times New Roman" w:eastAsia="Times New Roman" w:hAnsi="Times New Roman" w:cs="Times New Roman"/>
          <w:b/>
          <w:bCs/>
        </w:rPr>
        <w:t>Alendronic acid Accord 70 mg tabletės</w:t>
      </w:r>
    </w:p>
    <w:p w14:paraId="5CF61257" w14:textId="27D5621B" w:rsidR="00030D15" w:rsidRPr="00857D68" w:rsidRDefault="00DD69F8" w:rsidP="00030D15">
      <w:pPr>
        <w:numPr>
          <w:ilvl w:val="12"/>
          <w:numId w:val="0"/>
        </w:numPr>
        <w:tabs>
          <w:tab w:val="left" w:pos="72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00030D15" w:rsidRPr="00857D68">
        <w:rPr>
          <w:rFonts w:ascii="Times New Roman" w:eastAsia="Times New Roman" w:hAnsi="Times New Roman" w:cs="Times New Roman"/>
        </w:rPr>
        <w:t>lendrono rūgštis</w:t>
      </w:r>
    </w:p>
    <w:p w14:paraId="672A8D5D" w14:textId="77777777" w:rsidR="00030D15" w:rsidRPr="00857D68" w:rsidRDefault="00030D15" w:rsidP="00030D15">
      <w:pPr>
        <w:tabs>
          <w:tab w:val="left" w:pos="720"/>
        </w:tabs>
        <w:spacing w:after="0" w:line="240" w:lineRule="auto"/>
        <w:jc w:val="center"/>
        <w:rPr>
          <w:rFonts w:ascii="Times New Roman" w:eastAsia="Times New Roman" w:hAnsi="Times New Roman" w:cs="Times New Roman"/>
        </w:rPr>
      </w:pPr>
    </w:p>
    <w:p w14:paraId="667E08FE" w14:textId="77777777" w:rsidR="00030D15" w:rsidRPr="00857D68" w:rsidRDefault="00030D15" w:rsidP="00030D15">
      <w:pPr>
        <w:tabs>
          <w:tab w:val="left" w:pos="0"/>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
        </w:rPr>
        <w:t xml:space="preserve">Atidžiai perskaitykite visą šį lapelį, prieš pradėdami vartoti vaistą, </w:t>
      </w:r>
      <w:r w:rsidRPr="00857D68">
        <w:rPr>
          <w:rFonts w:ascii="Times New Roman" w:eastAsia="Times New Roman" w:hAnsi="Times New Roman" w:cs="Times New Roman"/>
          <w:b/>
          <w:szCs w:val="20"/>
        </w:rPr>
        <w:t>nes jame pateikiama Jums svarbi informacija.</w:t>
      </w:r>
    </w:p>
    <w:p w14:paraId="0C2BDACF"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w:t>
      </w:r>
      <w:r w:rsidRPr="00857D68">
        <w:rPr>
          <w:rFonts w:ascii="Times New Roman" w:eastAsia="Times New Roman" w:hAnsi="Times New Roman" w:cs="Times New Roman"/>
        </w:rPr>
        <w:tab/>
        <w:t>Neišmeskite šio lapelio, nes vėl gali prireikti jį perskaityti.</w:t>
      </w:r>
    </w:p>
    <w:p w14:paraId="0975E535"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w:t>
      </w:r>
      <w:r w:rsidRPr="00857D68">
        <w:rPr>
          <w:rFonts w:ascii="Times New Roman" w:eastAsia="Times New Roman" w:hAnsi="Times New Roman" w:cs="Times New Roman"/>
        </w:rPr>
        <w:tab/>
        <w:t>Jeigu kiltų daugiau klausimų, kreipkitės į gydytoją arba vaistininką.</w:t>
      </w:r>
    </w:p>
    <w:p w14:paraId="0AE6E9F7" w14:textId="77777777" w:rsidR="00030D15" w:rsidRPr="00857D68" w:rsidRDefault="00030D15" w:rsidP="00030D15">
      <w:pPr>
        <w:numPr>
          <w:ilvl w:val="0"/>
          <w:numId w:val="1"/>
        </w:num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7AA55B0" w14:textId="77777777" w:rsidR="00030D15" w:rsidRPr="00857D68" w:rsidRDefault="00030D15" w:rsidP="00030D15">
      <w:pPr>
        <w:numPr>
          <w:ilvl w:val="0"/>
          <w:numId w:val="1"/>
        </w:numPr>
        <w:tabs>
          <w:tab w:val="left" w:pos="567"/>
        </w:tabs>
        <w:spacing w:after="0" w:line="240" w:lineRule="auto"/>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Jeigu pasireiškė šalutinis poveikis (net jeigu jis šiame lapelyje nenurodytas),</w:t>
      </w:r>
      <w:r w:rsidRPr="00857D68">
        <w:rPr>
          <w:rFonts w:ascii="Times New Roman" w:eastAsia="Times New Roman" w:hAnsi="Times New Roman" w:cs="Times New Roman"/>
          <w:color w:val="FF0000"/>
          <w:szCs w:val="20"/>
        </w:rPr>
        <w:t xml:space="preserve"> </w:t>
      </w:r>
      <w:r w:rsidRPr="00857D68">
        <w:rPr>
          <w:rFonts w:ascii="Times New Roman" w:eastAsia="Times New Roman" w:hAnsi="Times New Roman" w:cs="Times New Roman"/>
          <w:szCs w:val="20"/>
        </w:rPr>
        <w:t>kreipkitės į gydytoją arba vaistininką. Žr. 4 skyrių.</w:t>
      </w:r>
    </w:p>
    <w:p w14:paraId="3CA61A2D" w14:textId="77777777" w:rsidR="00030D15" w:rsidRPr="00857D68" w:rsidRDefault="00030D15" w:rsidP="00030D15">
      <w:pPr>
        <w:numPr>
          <w:ilvl w:val="0"/>
          <w:numId w:val="1"/>
        </w:numPr>
        <w:tabs>
          <w:tab w:val="left" w:pos="567"/>
        </w:tabs>
        <w:spacing w:after="0" w:line="240" w:lineRule="auto"/>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Prieš vartojant šį vaistą labai svarbu, kad gerai suprastumėte informaciją, pateiktą 3 skyriuje „</w:t>
      </w:r>
      <w:r w:rsidRPr="00857D68">
        <w:rPr>
          <w:rFonts w:ascii="Times New Roman" w:eastAsia="Times New Roman" w:hAnsi="Times New Roman" w:cs="Times New Roman"/>
        </w:rPr>
        <w:t>Kaip vartoti Alendronic acid Accord</w:t>
      </w:r>
      <w:r w:rsidRPr="00857D68">
        <w:rPr>
          <w:rFonts w:ascii="Times New Roman" w:eastAsia="Times New Roman" w:hAnsi="Times New Roman" w:cs="Times New Roman"/>
          <w:szCs w:val="20"/>
        </w:rPr>
        <w:t xml:space="preserve">“ </w:t>
      </w:r>
    </w:p>
    <w:p w14:paraId="4B471700" w14:textId="77777777" w:rsidR="00030D15" w:rsidRPr="00857D68" w:rsidRDefault="00030D15" w:rsidP="00030D15">
      <w:pPr>
        <w:tabs>
          <w:tab w:val="left" w:pos="720"/>
        </w:tabs>
        <w:spacing w:after="0" w:line="240" w:lineRule="auto"/>
        <w:ind w:right="-2"/>
        <w:rPr>
          <w:rFonts w:ascii="Times New Roman" w:eastAsia="Times New Roman" w:hAnsi="Times New Roman" w:cs="Times New Roman"/>
        </w:rPr>
      </w:pPr>
    </w:p>
    <w:p w14:paraId="014A2F00" w14:textId="77777777" w:rsidR="00030D15" w:rsidRPr="00857D68" w:rsidRDefault="00030D15" w:rsidP="00030D15">
      <w:pPr>
        <w:numPr>
          <w:ilvl w:val="12"/>
          <w:numId w:val="0"/>
        </w:numPr>
        <w:tabs>
          <w:tab w:val="left" w:pos="720"/>
        </w:tabs>
        <w:spacing w:after="0" w:line="240" w:lineRule="auto"/>
        <w:ind w:right="-2"/>
        <w:outlineLvl w:val="0"/>
        <w:rPr>
          <w:rFonts w:ascii="Times New Roman" w:eastAsia="Times New Roman" w:hAnsi="Times New Roman" w:cs="Times New Roman"/>
          <w:b/>
        </w:rPr>
      </w:pPr>
    </w:p>
    <w:p w14:paraId="15F9B7DE" w14:textId="77777777" w:rsidR="00030D15" w:rsidRPr="00857D68" w:rsidRDefault="00030D15" w:rsidP="00030D15">
      <w:pPr>
        <w:keepNext/>
        <w:numPr>
          <w:ilvl w:val="12"/>
          <w:numId w:val="0"/>
        </w:numPr>
        <w:spacing w:after="0" w:line="240" w:lineRule="auto"/>
        <w:ind w:right="-2"/>
        <w:outlineLvl w:val="0"/>
        <w:rPr>
          <w:rFonts w:ascii="Times New Roman" w:eastAsia="Times New Roman" w:hAnsi="Times New Roman" w:cs="Times New Roman"/>
          <w:szCs w:val="20"/>
        </w:rPr>
      </w:pPr>
      <w:r w:rsidRPr="00857D68">
        <w:rPr>
          <w:rFonts w:ascii="Times New Roman" w:eastAsia="Times New Roman" w:hAnsi="Times New Roman" w:cs="Times New Roman"/>
          <w:b/>
          <w:szCs w:val="20"/>
        </w:rPr>
        <w:t>Apie ką rašoma šiame lapelyje?</w:t>
      </w:r>
    </w:p>
    <w:p w14:paraId="280F8137"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1.</w:t>
      </w:r>
      <w:r w:rsidRPr="00857D68">
        <w:rPr>
          <w:rFonts w:ascii="Times New Roman" w:eastAsia="Times New Roman" w:hAnsi="Times New Roman" w:cs="Times New Roman"/>
        </w:rPr>
        <w:tab/>
        <w:t>Kas yra Alendronic acid Accord ir kam jis vartojamas</w:t>
      </w:r>
    </w:p>
    <w:p w14:paraId="75DCD77B"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2.</w:t>
      </w:r>
      <w:r w:rsidRPr="00857D68">
        <w:rPr>
          <w:rFonts w:ascii="Times New Roman" w:eastAsia="Times New Roman" w:hAnsi="Times New Roman" w:cs="Times New Roman"/>
        </w:rPr>
        <w:tab/>
        <w:t>Kas žinotina prieš vartojant Alendronic acid Accord</w:t>
      </w:r>
    </w:p>
    <w:p w14:paraId="34439098"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3.</w:t>
      </w:r>
      <w:r w:rsidRPr="00857D68">
        <w:rPr>
          <w:rFonts w:ascii="Times New Roman" w:eastAsia="Times New Roman" w:hAnsi="Times New Roman" w:cs="Times New Roman"/>
        </w:rPr>
        <w:tab/>
        <w:t>Kaip vartoti Alendronic acid Accord</w:t>
      </w:r>
    </w:p>
    <w:p w14:paraId="1F0EDFAD"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4.</w:t>
      </w:r>
      <w:r w:rsidRPr="00857D68">
        <w:rPr>
          <w:rFonts w:ascii="Times New Roman" w:eastAsia="Times New Roman" w:hAnsi="Times New Roman" w:cs="Times New Roman"/>
        </w:rPr>
        <w:tab/>
        <w:t>Galimas šalutinis poveikis</w:t>
      </w:r>
    </w:p>
    <w:p w14:paraId="18A7BC21"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5.</w:t>
      </w:r>
      <w:r w:rsidRPr="00857D68">
        <w:rPr>
          <w:rFonts w:ascii="Times New Roman" w:eastAsia="Times New Roman" w:hAnsi="Times New Roman" w:cs="Times New Roman"/>
        </w:rPr>
        <w:tab/>
        <w:t>Kaip laikyti Alendronic acid Accord</w:t>
      </w:r>
    </w:p>
    <w:p w14:paraId="75E8EE04"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szCs w:val="20"/>
        </w:rPr>
      </w:pPr>
      <w:r w:rsidRPr="00857D68">
        <w:rPr>
          <w:rFonts w:ascii="Times New Roman" w:eastAsia="Times New Roman" w:hAnsi="Times New Roman" w:cs="Times New Roman"/>
        </w:rPr>
        <w:t>6.</w:t>
      </w:r>
      <w:r w:rsidRPr="00857D68">
        <w:rPr>
          <w:rFonts w:ascii="Times New Roman" w:eastAsia="Times New Roman" w:hAnsi="Times New Roman" w:cs="Times New Roman"/>
        </w:rPr>
        <w:tab/>
      </w:r>
      <w:r w:rsidRPr="00857D68">
        <w:rPr>
          <w:rFonts w:ascii="Times New Roman" w:eastAsia="Times New Roman" w:hAnsi="Times New Roman" w:cs="Times New Roman"/>
          <w:szCs w:val="20"/>
        </w:rPr>
        <w:t>Pakuotės turinys ir kita informacija</w:t>
      </w:r>
    </w:p>
    <w:p w14:paraId="03FFF9DB"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0E20F757"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21BD8199" w14:textId="77777777" w:rsidR="00030D15" w:rsidRPr="00857D68" w:rsidRDefault="00030D15" w:rsidP="00030D15">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rPr>
        <w:t>1.</w:t>
      </w:r>
      <w:r w:rsidRPr="00857D68">
        <w:rPr>
          <w:rFonts w:ascii="Times New Roman" w:eastAsia="Times New Roman" w:hAnsi="Times New Roman" w:cs="Times New Roman"/>
          <w:b/>
        </w:rPr>
        <w:tab/>
        <w:t xml:space="preserve">Kas yra </w:t>
      </w:r>
      <w:r w:rsidRPr="00857D68">
        <w:rPr>
          <w:rFonts w:ascii="Times New Roman" w:eastAsia="Times New Roman" w:hAnsi="Times New Roman" w:cs="Times New Roman"/>
          <w:b/>
          <w:szCs w:val="20"/>
        </w:rPr>
        <w:t>Alendronic acid Accord</w:t>
      </w:r>
      <w:r w:rsidRPr="00857D68">
        <w:rPr>
          <w:rFonts w:ascii="Times New Roman" w:eastAsia="Times New Roman" w:hAnsi="Times New Roman" w:cs="Times New Roman"/>
          <w:b/>
        </w:rPr>
        <w:t xml:space="preserve"> ir kam jis vartojamas</w:t>
      </w:r>
    </w:p>
    <w:p w14:paraId="7E219EDF"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6AD8DE79"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Kas yra Alendronic acid Accord</w:t>
      </w:r>
    </w:p>
    <w:p w14:paraId="1CDBC5C4"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Alendronic acid Accord yra tabletė, kurios sudėtyje yra veikliosios medžiagos alendrono rūgšties (įprastai vadinamos alendronatu) ir ji priklauso nehormoninių vaistinių preparatų, vadinamų bisfosfonatais, grupei. Alendronic acid Accord apsaugo nuo kaulų retėjimo, kuris atsiranda moterims pomenopauziniu laikotarpiu, ir padeda atnaujinti kaulus. Šis vaistas sumažina stuburo ir šlaunikaulių lūžių riziką.</w:t>
      </w:r>
    </w:p>
    <w:p w14:paraId="363EA2C8"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1BF79D70"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Kam vartojamos Alendronic acid Accord tabletės</w:t>
      </w:r>
    </w:p>
    <w:p w14:paraId="055F8FCF"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b/>
        </w:rPr>
      </w:pPr>
    </w:p>
    <w:p w14:paraId="3E1C9B91"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Gydytojas paskyrė Jums Alendronic acid Accord osteoporozei gydyti. Alendronic acid Accord sumažina stuburo ir šlaunikaulių lūžių riziką. </w:t>
      </w:r>
    </w:p>
    <w:p w14:paraId="6A88D953"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1F062237"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 xml:space="preserve">Alendronic acid Accord vartojamas vieną kartą per savaitę. </w:t>
      </w:r>
    </w:p>
    <w:p w14:paraId="495B6262"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51DA319A"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b/>
        </w:rPr>
      </w:pPr>
      <w:r w:rsidRPr="00857D68">
        <w:rPr>
          <w:rFonts w:ascii="Times New Roman" w:eastAsia="Times New Roman" w:hAnsi="Times New Roman" w:cs="Times New Roman"/>
          <w:b/>
        </w:rPr>
        <w:t>Kas yra osteoporozė?</w:t>
      </w:r>
    </w:p>
    <w:p w14:paraId="3AADBF48"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Osteoporozė yra kaulų retėjimas ir silpnėjimas. Ji dažnai pasitaiko moterims po menopauzės. Menopauzė pasireiškia, kai kiaušidės nustoja gaminti moteriškąjį hormoną estrogeną, padedantį išlaikyti kaulus sveikus. Todėl kaulai retėja ir silpsta. Kuo anksčiau prasideda menopauzė, tuo didesnė osteoporozės rizika. </w:t>
      </w:r>
    </w:p>
    <w:p w14:paraId="368FFAEF"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4C9A6B21"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Dažniausiai pradinėje stadijoje osteoporozė yra besimptomė. Jos negydant, kaulai gali lūžti. Nors lūžiai dažniausiai sukelia skausmą, stuburo kaulų lūžiai gali likti nepastebėti, kol dėl jų pradeda mažėti ūgis. </w:t>
      </w:r>
    </w:p>
    <w:p w14:paraId="5B0CB5B1" w14:textId="7ADB4668"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Kaulai gali lūžti užsiimant įprasta kasdiene veikla, pvz., keliantis, arba nuo mažiausio sužeidimo, kuris paprastai normalaus kaulo nesulaužytų. Dažniausiai pasitaiko šlaunikaulio, stuburo arba riešo kaulų lūžių, o tai gali sukelti ne tik skausmą, bet ir tokias problemas, kaip susikūprinimą („našlės kuprą“) ir mobilumo praradimą.</w:t>
      </w:r>
    </w:p>
    <w:p w14:paraId="11A325F0"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3AF32B79"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b/>
          <w:szCs w:val="20"/>
        </w:rPr>
      </w:pPr>
      <w:r w:rsidRPr="00857D68">
        <w:rPr>
          <w:rFonts w:ascii="Times New Roman" w:eastAsia="Times New Roman" w:hAnsi="Times New Roman" w:cs="Times New Roman"/>
          <w:b/>
          <w:szCs w:val="20"/>
        </w:rPr>
        <w:t>Kaip galima gydyti osteoporozę?</w:t>
      </w:r>
    </w:p>
    <w:p w14:paraId="1DD79F25"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lastRenderedPageBreak/>
        <w:t>Be gydymo Alendronic acid Accord, gydytojas gali rekomenduoti pakeisti gyvenimo būdą, o tai gali palengvinti Jūsų būklę. Tai yra:</w:t>
      </w:r>
    </w:p>
    <w:p w14:paraId="74010E47"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678DB0B4" w14:textId="77777777" w:rsidR="00030D15" w:rsidRPr="00857D68" w:rsidRDefault="00030D15" w:rsidP="00030D15">
      <w:pPr>
        <w:numPr>
          <w:ilvl w:val="12"/>
          <w:numId w:val="0"/>
        </w:numPr>
        <w:tabs>
          <w:tab w:val="left" w:pos="720"/>
        </w:tabs>
        <w:spacing w:after="0" w:line="240" w:lineRule="auto"/>
        <w:ind w:left="3600" w:hanging="3600"/>
        <w:rPr>
          <w:rFonts w:ascii="Times New Roman" w:eastAsia="Times New Roman" w:hAnsi="Times New Roman" w:cs="Times New Roman"/>
        </w:rPr>
      </w:pPr>
      <w:r w:rsidRPr="00857D68">
        <w:rPr>
          <w:rFonts w:ascii="Times New Roman" w:eastAsia="Times New Roman" w:hAnsi="Times New Roman" w:cs="Times New Roman"/>
          <w:i/>
        </w:rPr>
        <w:t>Nustoti rūkyti</w:t>
      </w:r>
      <w:r w:rsidRPr="00857D68">
        <w:rPr>
          <w:rFonts w:ascii="Times New Roman" w:eastAsia="Times New Roman" w:hAnsi="Times New Roman" w:cs="Times New Roman"/>
        </w:rPr>
        <w:tab/>
        <w:t>Pasirodo, rūkymas didina kaulų retėjimo spartą, todėl gali padidėti kaulų lūžių pavojus.</w:t>
      </w:r>
      <w:r w:rsidRPr="00857D68">
        <w:rPr>
          <w:rFonts w:ascii="Times New Roman" w:eastAsia="Times New Roman" w:hAnsi="Times New Roman" w:cs="Times New Roman"/>
        </w:rPr>
        <w:tab/>
      </w:r>
      <w:r w:rsidRPr="00857D68">
        <w:rPr>
          <w:rFonts w:ascii="Times New Roman" w:eastAsia="Times New Roman" w:hAnsi="Times New Roman" w:cs="Times New Roman"/>
        </w:rPr>
        <w:tab/>
      </w:r>
    </w:p>
    <w:p w14:paraId="41C0CD6C" w14:textId="77777777" w:rsidR="00030D15" w:rsidRPr="00857D68" w:rsidRDefault="00030D15" w:rsidP="00030D15">
      <w:pPr>
        <w:numPr>
          <w:ilvl w:val="12"/>
          <w:numId w:val="0"/>
        </w:numPr>
        <w:tabs>
          <w:tab w:val="left" w:pos="720"/>
        </w:tabs>
        <w:spacing w:after="0" w:line="240" w:lineRule="auto"/>
        <w:ind w:left="3600" w:hanging="3600"/>
        <w:rPr>
          <w:rFonts w:ascii="Times New Roman" w:eastAsia="Times New Roman" w:hAnsi="Times New Roman" w:cs="Times New Roman"/>
        </w:rPr>
      </w:pPr>
      <w:r w:rsidRPr="00857D68">
        <w:rPr>
          <w:rFonts w:ascii="Times New Roman" w:eastAsia="Times New Roman" w:hAnsi="Times New Roman" w:cs="Times New Roman"/>
          <w:i/>
        </w:rPr>
        <w:t>Mankštintis</w:t>
      </w:r>
      <w:r w:rsidRPr="00857D68">
        <w:rPr>
          <w:rFonts w:ascii="Times New Roman" w:eastAsia="Times New Roman" w:hAnsi="Times New Roman" w:cs="Times New Roman"/>
        </w:rPr>
        <w:tab/>
        <w:t>Kaip ir raumenims, kaulams reikia mankštos, kad būtų sveiki ir stiprūs. Prieš pradėdami mankštintis, pasitarkite su gydytoju.</w:t>
      </w:r>
    </w:p>
    <w:p w14:paraId="1C956E85" w14:textId="77777777" w:rsidR="00030D15" w:rsidRPr="00857D68" w:rsidRDefault="00030D15" w:rsidP="00030D15">
      <w:pPr>
        <w:numPr>
          <w:ilvl w:val="12"/>
          <w:numId w:val="0"/>
        </w:numPr>
        <w:tabs>
          <w:tab w:val="left" w:pos="720"/>
        </w:tabs>
        <w:spacing w:after="0" w:line="240" w:lineRule="auto"/>
        <w:ind w:left="3600" w:hanging="3600"/>
        <w:rPr>
          <w:rFonts w:ascii="Times New Roman" w:eastAsia="Times New Roman" w:hAnsi="Times New Roman" w:cs="Times New Roman"/>
        </w:rPr>
      </w:pPr>
      <w:r w:rsidRPr="00857D68">
        <w:rPr>
          <w:rFonts w:ascii="Times New Roman" w:eastAsia="Times New Roman" w:hAnsi="Times New Roman" w:cs="Times New Roman"/>
          <w:i/>
        </w:rPr>
        <w:t>Valgyti subalansuotą maistą</w:t>
      </w:r>
      <w:r w:rsidRPr="00857D68">
        <w:rPr>
          <w:rFonts w:ascii="Times New Roman" w:eastAsia="Times New Roman" w:hAnsi="Times New Roman" w:cs="Times New Roman"/>
          <w:i/>
        </w:rPr>
        <w:tab/>
      </w:r>
      <w:r w:rsidRPr="00857D68">
        <w:rPr>
          <w:rFonts w:ascii="Times New Roman" w:eastAsia="Times New Roman" w:hAnsi="Times New Roman" w:cs="Times New Roman"/>
        </w:rPr>
        <w:t>Jūsų gydytojas gali pasiūlyti Jums laikytis dietos arba vartoti maisto papildus (ypač kalcį ir vitaminą D).</w:t>
      </w:r>
      <w:r w:rsidRPr="00857D68">
        <w:rPr>
          <w:rFonts w:ascii="Times New Roman" w:eastAsia="Times New Roman" w:hAnsi="Times New Roman" w:cs="Times New Roman"/>
        </w:rPr>
        <w:tab/>
      </w:r>
    </w:p>
    <w:p w14:paraId="2BBDA654"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25A2BF55"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6F92D90C" w14:textId="77777777" w:rsidR="00030D15" w:rsidRPr="00857D68" w:rsidRDefault="00030D15" w:rsidP="00030D15">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rPr>
        <w:t>2.</w:t>
      </w:r>
      <w:r w:rsidRPr="00857D68">
        <w:rPr>
          <w:rFonts w:ascii="Times New Roman" w:eastAsia="Times New Roman" w:hAnsi="Times New Roman" w:cs="Times New Roman"/>
          <w:b/>
        </w:rPr>
        <w:tab/>
        <w:t>Kas žinotina prieš vartojant Alendronic acid Accord</w:t>
      </w:r>
    </w:p>
    <w:p w14:paraId="6F9D91E6"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0AF31E2B" w14:textId="4928F0F4"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bCs/>
        </w:rPr>
      </w:pPr>
      <w:r w:rsidRPr="00857D68">
        <w:rPr>
          <w:rFonts w:ascii="Times New Roman" w:eastAsia="Times New Roman" w:hAnsi="Times New Roman" w:cs="Times New Roman"/>
          <w:b/>
          <w:bCs/>
        </w:rPr>
        <w:t xml:space="preserve">Alendronic acid Accord tablečių vartoti </w:t>
      </w:r>
      <w:r w:rsidR="00F82A9D">
        <w:rPr>
          <w:rFonts w:ascii="Times New Roman" w:eastAsia="Times New Roman" w:hAnsi="Times New Roman" w:cs="Times New Roman"/>
          <w:b/>
          <w:bCs/>
        </w:rPr>
        <w:t>draudžiama</w:t>
      </w:r>
      <w:r w:rsidRPr="00857D68">
        <w:rPr>
          <w:rFonts w:ascii="Times New Roman" w:eastAsia="Times New Roman" w:hAnsi="Times New Roman" w:cs="Times New Roman"/>
          <w:b/>
          <w:bCs/>
        </w:rPr>
        <w:t>:</w:t>
      </w:r>
    </w:p>
    <w:p w14:paraId="2BD9039B"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caps/>
        </w:rPr>
      </w:pPr>
    </w:p>
    <w:p w14:paraId="3F6C1CB0" w14:textId="77777777" w:rsidR="00030D15" w:rsidRPr="00857D68" w:rsidRDefault="00030D15" w:rsidP="00030D15">
      <w:pPr>
        <w:numPr>
          <w:ilvl w:val="0"/>
          <w:numId w:val="10"/>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jeigu yra alergija alendrono rūgščiai arba bet kuriai pagalbinei </w:t>
      </w:r>
      <w:r w:rsidRPr="00857D68">
        <w:rPr>
          <w:rFonts w:ascii="Times New Roman" w:eastAsia="Times New Roman" w:hAnsi="Times New Roman" w:cs="Times New Roman"/>
          <w:szCs w:val="20"/>
        </w:rPr>
        <w:t>šio vaisto medžiagai (jos išvardytos 6 skyriuje)</w:t>
      </w:r>
      <w:r w:rsidRPr="00857D68">
        <w:rPr>
          <w:rFonts w:ascii="Times New Roman" w:eastAsia="Times New Roman" w:hAnsi="Times New Roman" w:cs="Times New Roman"/>
        </w:rPr>
        <w:t>;</w:t>
      </w:r>
    </w:p>
    <w:p w14:paraId="31955B70" w14:textId="77777777" w:rsidR="00030D15" w:rsidRPr="00857D68" w:rsidRDefault="00030D15" w:rsidP="00030D15">
      <w:pPr>
        <w:numPr>
          <w:ilvl w:val="0"/>
          <w:numId w:val="10"/>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jeigu turite tam tikrų stemplės (vamzdelis, jungiantis burną su skrandžiu) sutrikimų, pvz., susiaurėjimą arba sunkumą nuryti;</w:t>
      </w:r>
    </w:p>
    <w:p w14:paraId="49E1A6D0" w14:textId="77777777" w:rsidR="00030D15" w:rsidRPr="00857D68" w:rsidRDefault="00030D15" w:rsidP="00030D15">
      <w:pPr>
        <w:numPr>
          <w:ilvl w:val="0"/>
          <w:numId w:val="10"/>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negalite stovėti arba tiesiai sėdėti mažiausiai 30 minučių;</w:t>
      </w:r>
    </w:p>
    <w:p w14:paraId="70C94C35" w14:textId="77777777" w:rsidR="00030D15" w:rsidRPr="00857D68" w:rsidRDefault="00030D15" w:rsidP="00030D15">
      <w:pPr>
        <w:numPr>
          <w:ilvl w:val="0"/>
          <w:numId w:val="10"/>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gydytojas Jums sakė, kad Jūsų maža kalcio koncentracija.</w:t>
      </w:r>
    </w:p>
    <w:p w14:paraId="757D7481"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68EB5E64"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Jei manote, kad kuris nors iš šių teiginių tinka Jums, nevartokite šių tablečių. Pirmiausia pasitarkite su gydytoju ir laikykitės jo patarimų. </w:t>
      </w:r>
    </w:p>
    <w:p w14:paraId="289100F7" w14:textId="77777777" w:rsidR="00030D15" w:rsidRPr="00857D68" w:rsidRDefault="00030D15" w:rsidP="00030D15">
      <w:pPr>
        <w:numPr>
          <w:ilvl w:val="12"/>
          <w:numId w:val="0"/>
        </w:numPr>
        <w:tabs>
          <w:tab w:val="left" w:pos="567"/>
        </w:tabs>
        <w:spacing w:after="0" w:line="260" w:lineRule="exact"/>
        <w:ind w:left="567" w:hanging="567"/>
        <w:rPr>
          <w:rFonts w:ascii="Times New Roman" w:eastAsia="Times New Roman" w:hAnsi="Times New Roman" w:cs="Times New Roman"/>
        </w:rPr>
      </w:pPr>
    </w:p>
    <w:p w14:paraId="5DDEC704" w14:textId="77777777" w:rsidR="00030D15" w:rsidRPr="00857D68" w:rsidRDefault="00030D15" w:rsidP="00030D15">
      <w:pPr>
        <w:numPr>
          <w:ilvl w:val="12"/>
          <w:numId w:val="0"/>
        </w:numPr>
        <w:spacing w:after="0" w:line="240" w:lineRule="auto"/>
        <w:outlineLvl w:val="0"/>
        <w:rPr>
          <w:rFonts w:ascii="Times New Roman" w:eastAsia="Times New Roman" w:hAnsi="Times New Roman" w:cs="Times New Roman"/>
          <w:b/>
        </w:rPr>
      </w:pPr>
      <w:r w:rsidRPr="00857D68">
        <w:rPr>
          <w:rFonts w:ascii="Times New Roman" w:eastAsia="Times New Roman" w:hAnsi="Times New Roman" w:cs="Times New Roman"/>
          <w:b/>
          <w:szCs w:val="20"/>
        </w:rPr>
        <w:t xml:space="preserve">Įspėjimai ir atsargumo priemonės </w:t>
      </w:r>
    </w:p>
    <w:p w14:paraId="4685C2A3" w14:textId="77777777" w:rsidR="00030D15" w:rsidRPr="00857D68" w:rsidRDefault="00030D15" w:rsidP="00030D15">
      <w:pPr>
        <w:numPr>
          <w:ilvl w:val="12"/>
          <w:numId w:val="0"/>
        </w:numPr>
        <w:spacing w:after="0" w:line="240" w:lineRule="auto"/>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Pasitarkite su gydytoju arba vaistininku, prieš pradėdami vartoti </w:t>
      </w:r>
      <w:r w:rsidRPr="00857D68">
        <w:rPr>
          <w:rFonts w:ascii="Times New Roman" w:eastAsia="Times New Roman" w:hAnsi="Times New Roman" w:cs="Times New Roman"/>
        </w:rPr>
        <w:t>Alendronic acid Accord</w:t>
      </w:r>
      <w:r w:rsidRPr="00857D68">
        <w:rPr>
          <w:rFonts w:ascii="Times New Roman" w:eastAsia="Times New Roman" w:hAnsi="Times New Roman" w:cs="Times New Roman"/>
          <w:szCs w:val="20"/>
        </w:rPr>
        <w:t>.</w:t>
      </w:r>
    </w:p>
    <w:p w14:paraId="1488CD6C"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szCs w:val="20"/>
        </w:rPr>
      </w:pPr>
    </w:p>
    <w:p w14:paraId="5F3D526B"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rPr>
        <w:t>Svarbu pasakyti gydytojui prieš pradedant vartoti Alendronic acid Accord tablečių, jei:</w:t>
      </w:r>
    </w:p>
    <w:p w14:paraId="4E8FB6D3" w14:textId="77777777" w:rsidR="00030D15" w:rsidRPr="00857D68" w:rsidRDefault="00030D15" w:rsidP="00030D15">
      <w:pPr>
        <w:numPr>
          <w:ilvl w:val="0"/>
          <w:numId w:val="11"/>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sergate inkstų sutrikimais;</w:t>
      </w:r>
    </w:p>
    <w:p w14:paraId="7A65A254" w14:textId="4050780C" w:rsidR="00030D15" w:rsidRPr="00857D68" w:rsidRDefault="00030D15" w:rsidP="00030D15">
      <w:pPr>
        <w:numPr>
          <w:ilvl w:val="0"/>
          <w:numId w:val="11"/>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turite</w:t>
      </w:r>
      <w:r w:rsidR="000E0741">
        <w:rPr>
          <w:rFonts w:ascii="Times New Roman" w:eastAsia="Times New Roman" w:hAnsi="Times New Roman" w:cs="Times New Roman"/>
        </w:rPr>
        <w:t>,</w:t>
      </w:r>
      <w:r w:rsidR="00087E73">
        <w:rPr>
          <w:rFonts w:ascii="Times New Roman" w:eastAsia="Times New Roman" w:hAnsi="Times New Roman" w:cs="Times New Roman"/>
        </w:rPr>
        <w:t xml:space="preserve"> ar nesen</w:t>
      </w:r>
      <w:r w:rsidR="000E0741">
        <w:rPr>
          <w:rFonts w:ascii="Times New Roman" w:eastAsia="Times New Roman" w:hAnsi="Times New Roman" w:cs="Times New Roman"/>
        </w:rPr>
        <w:t>ai turėjote,</w:t>
      </w:r>
      <w:r w:rsidRPr="00857D68">
        <w:rPr>
          <w:rFonts w:ascii="Times New Roman" w:eastAsia="Times New Roman" w:hAnsi="Times New Roman" w:cs="Times New Roman"/>
        </w:rPr>
        <w:t xml:space="preserve"> rijimo arba virškinimo sutrikimų;</w:t>
      </w:r>
    </w:p>
    <w:p w14:paraId="28115D03" w14:textId="2C9C74C7" w:rsidR="00030D15" w:rsidRDefault="00030D15" w:rsidP="00030D15">
      <w:pPr>
        <w:numPr>
          <w:ilvl w:val="0"/>
          <w:numId w:val="11"/>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gydytojas Jums sakė, kad Jums yra Bareto stemplė (būklė, susijusi su apatinę stemplės dalį jungiančių ląstelių pakitimais)</w:t>
      </w:r>
      <w:r w:rsidR="00240E68">
        <w:rPr>
          <w:rFonts w:ascii="Times New Roman" w:eastAsia="Times New Roman" w:hAnsi="Times New Roman" w:cs="Times New Roman"/>
        </w:rPr>
        <w:t>;</w:t>
      </w:r>
    </w:p>
    <w:p w14:paraId="619E9931" w14:textId="6D2AA0EA" w:rsidR="00E22A4B" w:rsidRPr="00857D68" w:rsidRDefault="001E14D5" w:rsidP="00030D15">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1E14D5">
        <w:rPr>
          <w:rFonts w:ascii="Times New Roman" w:eastAsia="Times New Roman" w:hAnsi="Times New Roman" w:cs="Times New Roman"/>
        </w:rPr>
        <w:t xml:space="preserve">ums buvo pasakyta, kad </w:t>
      </w:r>
      <w:r>
        <w:rPr>
          <w:rFonts w:ascii="Times New Roman" w:eastAsia="Times New Roman" w:hAnsi="Times New Roman" w:cs="Times New Roman"/>
        </w:rPr>
        <w:t>Jūsų</w:t>
      </w:r>
      <w:r w:rsidR="00240E68">
        <w:rPr>
          <w:rFonts w:ascii="Times New Roman" w:eastAsia="Times New Roman" w:hAnsi="Times New Roman" w:cs="Times New Roman"/>
        </w:rPr>
        <w:t>;</w:t>
      </w:r>
      <w:r>
        <w:rPr>
          <w:rFonts w:ascii="Times New Roman" w:eastAsia="Times New Roman" w:hAnsi="Times New Roman" w:cs="Times New Roman"/>
        </w:rPr>
        <w:t xml:space="preserve"> </w:t>
      </w:r>
      <w:r w:rsidRPr="001E14D5">
        <w:rPr>
          <w:rFonts w:ascii="Times New Roman" w:eastAsia="Times New Roman" w:hAnsi="Times New Roman" w:cs="Times New Roman"/>
        </w:rPr>
        <w:t>skrandis ar žarnynas sunkiai pasisavina mineralus (malabsorbcijos sindromas)</w:t>
      </w:r>
      <w:r w:rsidR="00240E68">
        <w:rPr>
          <w:rFonts w:ascii="Times New Roman" w:eastAsia="Times New Roman" w:hAnsi="Times New Roman" w:cs="Times New Roman"/>
        </w:rPr>
        <w:t>;</w:t>
      </w:r>
    </w:p>
    <w:p w14:paraId="3D2A1687" w14:textId="77777777" w:rsidR="00030D15" w:rsidRPr="00857D68" w:rsidRDefault="00030D15" w:rsidP="00030D15">
      <w:pPr>
        <w:numPr>
          <w:ilvl w:val="0"/>
          <w:numId w:val="11"/>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Jums buvo pasakyta, kad Jūsų kalcio koncentracija yra maža;</w:t>
      </w:r>
    </w:p>
    <w:p w14:paraId="12AF1C1A" w14:textId="42B08D24" w:rsidR="00030D15" w:rsidRPr="00857D68" w:rsidRDefault="00030D15" w:rsidP="00030D15">
      <w:pPr>
        <w:numPr>
          <w:ilvl w:val="0"/>
          <w:numId w:val="11"/>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nesirūpinate dantimis, sergate dantenų ligomis, planuojate traukti dantį arba nesilaikote įprasto dantų priežiūros režimo;</w:t>
      </w:r>
    </w:p>
    <w:p w14:paraId="62D5C9DD" w14:textId="77777777" w:rsidR="00030D15" w:rsidRPr="00857D68" w:rsidRDefault="00030D15" w:rsidP="00030D15">
      <w:pPr>
        <w:numPr>
          <w:ilvl w:val="0"/>
          <w:numId w:val="1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sergate vėžiu;</w:t>
      </w:r>
    </w:p>
    <w:p w14:paraId="3EAE1ADF" w14:textId="77777777" w:rsidR="00030D15" w:rsidRPr="00857D68" w:rsidRDefault="00030D15" w:rsidP="00030D15">
      <w:pPr>
        <w:numPr>
          <w:ilvl w:val="0"/>
          <w:numId w:val="1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Jums atliekama chemoterapija arba spindulinė terapija;</w:t>
      </w:r>
    </w:p>
    <w:p w14:paraId="3849B2F5" w14:textId="716C3936" w:rsidR="00030D15" w:rsidRPr="00857D68" w:rsidRDefault="00030D15" w:rsidP="00030D15">
      <w:pPr>
        <w:numPr>
          <w:ilvl w:val="0"/>
          <w:numId w:val="1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vartojate angiogenezės inhibitorius (pvz., bevacizumabą arba talidomidą)</w:t>
      </w:r>
      <w:r w:rsidR="001E14D5">
        <w:rPr>
          <w:rFonts w:ascii="Times New Roman" w:eastAsia="Times New Roman" w:hAnsi="Times New Roman" w:cs="Times New Roman"/>
        </w:rPr>
        <w:t>, kurie yra naudojami vėžio gydymui</w:t>
      </w:r>
      <w:r w:rsidRPr="00857D68">
        <w:rPr>
          <w:rFonts w:ascii="Times New Roman" w:eastAsia="Times New Roman" w:hAnsi="Times New Roman" w:cs="Times New Roman"/>
        </w:rPr>
        <w:t>;</w:t>
      </w:r>
    </w:p>
    <w:p w14:paraId="7E632197" w14:textId="5538700D" w:rsidR="00030D15" w:rsidRPr="00857D68" w:rsidRDefault="00030D15" w:rsidP="00030D15">
      <w:pPr>
        <w:numPr>
          <w:ilvl w:val="0"/>
          <w:numId w:val="1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vartojate kortikosteroidus (pvz., prednizoną arba deksametazoną)</w:t>
      </w:r>
      <w:r w:rsidR="00C946C8">
        <w:rPr>
          <w:rFonts w:ascii="Times New Roman" w:eastAsia="Times New Roman" w:hAnsi="Times New Roman" w:cs="Times New Roman"/>
        </w:rPr>
        <w:t xml:space="preserve">, </w:t>
      </w:r>
      <w:r w:rsidR="00C946C8" w:rsidRPr="00C946C8">
        <w:rPr>
          <w:rFonts w:ascii="Times New Roman" w:eastAsia="Times New Roman" w:hAnsi="Times New Roman" w:cs="Times New Roman"/>
        </w:rPr>
        <w:t>kuriais gydomos tokios ligos kaip astma, reumatoidinis artritas ir sunkios alergijos</w:t>
      </w:r>
      <w:r w:rsidRPr="00857D68">
        <w:rPr>
          <w:rFonts w:ascii="Times New Roman" w:eastAsia="Times New Roman" w:hAnsi="Times New Roman" w:cs="Times New Roman"/>
        </w:rPr>
        <w:t>;</w:t>
      </w:r>
    </w:p>
    <w:p w14:paraId="3C0C8DB9" w14:textId="0A238961" w:rsidR="00030D15" w:rsidRPr="00857D68" w:rsidRDefault="00030D15" w:rsidP="00030D15">
      <w:pPr>
        <w:numPr>
          <w:ilvl w:val="0"/>
          <w:numId w:val="12"/>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jeigu rūkote arba anksčiau daug rūkėte (nes tai gali didinti dantų problemas).</w:t>
      </w:r>
    </w:p>
    <w:p w14:paraId="48A5D364"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p>
    <w:p w14:paraId="1CAB6D5C"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Gydytojas Jums gali patarti pasitikrinti dantis prieš pradedant gydymą Alendronic acid Accord tabletėmis. </w:t>
      </w:r>
    </w:p>
    <w:p w14:paraId="778F2794"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p>
    <w:p w14:paraId="49EE4BB5"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Svarbu gerai prižiūrėti burną gydymo Alendronic acid Accord tabletėmis metu. Gydymo metu turite įprasta tvarka tikrintis dantis ir kreiptis į gydytoją arba dantų gydytoją, jeigu kyla kokių nors problemų burnoje arba dėl dantų, pavyzdžiui: danties iškritimas, skausmas ar patinimas.</w:t>
      </w:r>
    </w:p>
    <w:p w14:paraId="55DB2ACE"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p>
    <w:p w14:paraId="540608B0"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Gali pasireikšti stemplės (vamzdelio jungiančio burną su skrandžiu) dirginimas, uždegimas arba išopėjimas dažniausiai kartu su skausmu krūtinėje, rėmeniu, skausmu rijimo metu arba rijimo </w:t>
      </w:r>
      <w:r w:rsidRPr="00857D68">
        <w:rPr>
          <w:rFonts w:ascii="Times New Roman" w:eastAsia="Times New Roman" w:hAnsi="Times New Roman" w:cs="Times New Roman"/>
        </w:rPr>
        <w:lastRenderedPageBreak/>
        <w:t>sutrikimu. Šie simptomai dažniausiai pasireiškia pacientams, kurie neišgeria pilnos stiklinės vandens ir (arba) kurie atsigula nepraėjus 30 minučių po Alendronic acid Accord tablečių vartojimo. Šie simptomai gali blogėti, jeigu jiems atsiradus, pacientai ir toliau vartoja Alendronic acid Accord tabletes.</w:t>
      </w:r>
    </w:p>
    <w:p w14:paraId="06881857" w14:textId="77777777" w:rsidR="00030D15" w:rsidRPr="00857D68" w:rsidRDefault="00030D15" w:rsidP="00030D15">
      <w:pPr>
        <w:keepNext/>
        <w:numPr>
          <w:ilvl w:val="12"/>
          <w:numId w:val="0"/>
        </w:numPr>
        <w:spacing w:after="0" w:line="240" w:lineRule="auto"/>
        <w:rPr>
          <w:rFonts w:ascii="Times New Roman" w:eastAsia="Times New Roman" w:hAnsi="Times New Roman" w:cs="Times New Roman"/>
          <w:b/>
          <w:bCs/>
          <w:szCs w:val="20"/>
        </w:rPr>
      </w:pPr>
      <w:r w:rsidRPr="00857D68">
        <w:rPr>
          <w:rFonts w:ascii="Times New Roman" w:eastAsia="Times New Roman" w:hAnsi="Times New Roman" w:cs="Times New Roman"/>
          <w:b/>
          <w:szCs w:val="20"/>
        </w:rPr>
        <w:t>Vaikams ir paaugliams</w:t>
      </w:r>
    </w:p>
    <w:p w14:paraId="2E1A7143"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4777DEE5"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Vaikams ir paaugliams vartoti Alendronic acid Accord tabletes draudžiama. </w:t>
      </w:r>
    </w:p>
    <w:p w14:paraId="5CAEE2F0"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3C44F2AB"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 xml:space="preserve">Kiti vaistai ir Alendronic acid Accord </w:t>
      </w:r>
    </w:p>
    <w:p w14:paraId="3C1E7006"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p>
    <w:p w14:paraId="76BC7137"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Jeigu vartojate ar neseniai vartojote kitų vaistų arba dėl to nesate tikri, apie tai pasakykite gydytojui arba vaistininkui. </w:t>
      </w:r>
    </w:p>
    <w:p w14:paraId="36503F6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3F9DD033"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Tikėtina, kad kartu vartojami kalcio papildai ir rūgštingumą mažinantys preparatai gali sutrikdyti Alendronic acid Accord tablečių pasisavinimą. Todėl svarbu laikytis patarimų, išvardytų 3 skyriuje „Kaip vartoti Alendronic acid Accord“.</w:t>
      </w:r>
    </w:p>
    <w:p w14:paraId="244916AF"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22F80F78"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Kai kurie vaistai nuo reumato arba ilgalaikio skausmo, vadinami NVNU (pvz., acetilsalicilo rūgštis arba ibuprofenas) gali sukelti virškinimo problemų. Todėl reikia būti atsargiems, kai šie vaistai yra vartojami kartu su Alendronic acid Accord tabletėmis. </w:t>
      </w:r>
    </w:p>
    <w:p w14:paraId="2176248B"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4C64B9F1"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Alendronic acid Accord vartojimas su maistu ir gėrimais</w:t>
      </w:r>
    </w:p>
    <w:p w14:paraId="4F3E3D66"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p>
    <w:p w14:paraId="21C64CA5" w14:textId="77777777" w:rsidR="00030D15" w:rsidRPr="00857D68" w:rsidRDefault="00030D15" w:rsidP="00030D15">
      <w:pPr>
        <w:numPr>
          <w:ilvl w:val="12"/>
          <w:numId w:val="0"/>
        </w:numPr>
        <w:tabs>
          <w:tab w:val="left" w:pos="1290"/>
        </w:tabs>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Šis vaistinis preparatas gali sąveikauti su maistu ir gėrimais (taip pat ir su mineraliniu vandeniu), todėl gali veikti silpniau. Svarbu laikytis patarimų, išvardytų 3 skyriuje „Kaip vartoti Alendronic acid Accord“.</w:t>
      </w:r>
    </w:p>
    <w:p w14:paraId="4F772092" w14:textId="77777777" w:rsidR="00030D15" w:rsidRPr="00857D68" w:rsidRDefault="00030D15" w:rsidP="00030D15">
      <w:pPr>
        <w:numPr>
          <w:ilvl w:val="12"/>
          <w:numId w:val="0"/>
        </w:numPr>
        <w:tabs>
          <w:tab w:val="left" w:pos="1290"/>
        </w:tabs>
        <w:spacing w:after="0" w:line="240" w:lineRule="auto"/>
        <w:ind w:right="-2"/>
        <w:rPr>
          <w:rFonts w:ascii="Times New Roman" w:eastAsia="Times New Roman" w:hAnsi="Times New Roman" w:cs="Times New Roman"/>
        </w:rPr>
      </w:pPr>
    </w:p>
    <w:p w14:paraId="28295795" w14:textId="77777777" w:rsidR="00030D15" w:rsidRPr="00857D68" w:rsidRDefault="00030D15" w:rsidP="00030D15">
      <w:pPr>
        <w:keepNext/>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Nėštumas, žindymo laikotarpis ir vaisingumas</w:t>
      </w:r>
    </w:p>
    <w:p w14:paraId="5511C119" w14:textId="77777777" w:rsidR="00030D15" w:rsidRPr="00857D68" w:rsidRDefault="00030D15" w:rsidP="00030D15">
      <w:pPr>
        <w:keepNext/>
        <w:tabs>
          <w:tab w:val="left" w:pos="567"/>
        </w:tabs>
        <w:spacing w:after="0" w:line="260" w:lineRule="exact"/>
        <w:ind w:left="567" w:hanging="567"/>
        <w:rPr>
          <w:rFonts w:ascii="Times New Roman" w:eastAsia="Times New Roman" w:hAnsi="Times New Roman" w:cs="Times New Roman"/>
          <w:b/>
        </w:rPr>
      </w:pPr>
    </w:p>
    <w:p w14:paraId="2529D159" w14:textId="77777777" w:rsidR="00030D15" w:rsidRPr="00857D68" w:rsidRDefault="00030D15" w:rsidP="00030D15">
      <w:pPr>
        <w:numPr>
          <w:ilvl w:val="12"/>
          <w:numId w:val="0"/>
        </w:num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Alendronic acid Accord skirtas tik moterims po menopauzės. </w:t>
      </w:r>
      <w:r w:rsidRPr="00857D68">
        <w:rPr>
          <w:rFonts w:ascii="Times New Roman" w:eastAsia="Times New Roman" w:hAnsi="Times New Roman" w:cs="Times New Roman"/>
          <w:szCs w:val="20"/>
        </w:rPr>
        <w:t xml:space="preserve">Jeigu esate nėščia, žindote kūdikį, manote, kad galbūt esate nėščia arba planuojate pastoti, tai prieš vartodama šį vaistą pasitarkite su gydytoju arba vaistininku. </w:t>
      </w:r>
    </w:p>
    <w:p w14:paraId="50510113"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EA30327"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Vairavimas ir mechanizmų valdymas</w:t>
      </w:r>
    </w:p>
    <w:p w14:paraId="5EBCD36C"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p>
    <w:p w14:paraId="0D07B16D"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 xml:space="preserve">Gauta pranešimų apie vartojantiems Alendronic acid Accord pasireiškusį šalutinį poveikį (įskaitant, neryškų matymą, galvos sukimąsi ir stiprų kaulų, raumenų arba sąnarių skausmą), kuris gali paveikti Jūsų gebėjimą vairuoti arba valdyti mechanizmus. Individualus Alendronic acid Accord poveikis gali skirtis (žr. </w:t>
      </w:r>
      <w:r w:rsidRPr="00857D68">
        <w:rPr>
          <w:rFonts w:ascii="Times New Roman" w:eastAsia="Times New Roman" w:hAnsi="Times New Roman" w:cs="Times New Roman"/>
          <w:color w:val="000000"/>
          <w:szCs w:val="24"/>
        </w:rPr>
        <w:t>4 skyrių</w:t>
      </w:r>
      <w:r w:rsidRPr="00857D68">
        <w:rPr>
          <w:rFonts w:ascii="Times New Roman" w:eastAsia="Times New Roman" w:hAnsi="Times New Roman" w:cs="Times New Roman"/>
        </w:rPr>
        <w:t>).</w:t>
      </w:r>
    </w:p>
    <w:p w14:paraId="7B2E583E"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p>
    <w:p w14:paraId="3BFC44D3"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szCs w:val="20"/>
        </w:rPr>
        <w:t>Alendronic acid Accord sudėtyje yra laktozės</w:t>
      </w:r>
    </w:p>
    <w:p w14:paraId="57E927B2"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p>
    <w:p w14:paraId="26A4B7B9" w14:textId="77777777" w:rsidR="00030D15" w:rsidRPr="00857D68" w:rsidRDefault="00030D15" w:rsidP="00030D15">
      <w:pPr>
        <w:numPr>
          <w:ilvl w:val="12"/>
          <w:numId w:val="0"/>
        </w:numPr>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Jeigu gydytojas Jums yra sakęs, kad netoleruojate kokių nors angliavandenių, kreipkitės į jį prieš pradėdami vartoti šį vaistą.</w:t>
      </w:r>
    </w:p>
    <w:p w14:paraId="182908CE" w14:textId="3A7922A5"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1CA88796" w14:textId="27946B28" w:rsidR="00FB4F73" w:rsidRPr="00E05DEC" w:rsidRDefault="00FB4F73" w:rsidP="00FB4F73">
      <w:pPr>
        <w:spacing w:after="0" w:line="240" w:lineRule="auto"/>
        <w:rPr>
          <w:rFonts w:ascii="Times New Roman" w:eastAsia="Times New Roman" w:hAnsi="Times New Roman" w:cs="Times New Roman"/>
          <w:b/>
          <w:bCs/>
        </w:rPr>
      </w:pPr>
      <w:r w:rsidRPr="00E05DEC">
        <w:rPr>
          <w:rFonts w:ascii="Times New Roman" w:eastAsia="Times New Roman" w:hAnsi="Times New Roman" w:cs="Times New Roman"/>
          <w:b/>
          <w:bCs/>
        </w:rPr>
        <w:t>Alendronic Acid Accord sudėtyje yra natrio</w:t>
      </w:r>
    </w:p>
    <w:p w14:paraId="5432DF2B" w14:textId="0DC79E1D" w:rsidR="00FB4F73" w:rsidRPr="00857D68" w:rsidRDefault="00F2203E" w:rsidP="00F2203E">
      <w:pPr>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Š</w:t>
      </w:r>
      <w:r w:rsidR="00FB4F73" w:rsidRPr="00857D68">
        <w:rPr>
          <w:rFonts w:ascii="Times New Roman" w:eastAsia="Times New Roman" w:hAnsi="Times New Roman" w:cs="Times New Roman"/>
        </w:rPr>
        <w:t>io vaisto tabletėje yra mažiau kaip 1</w:t>
      </w:r>
      <w:r w:rsidRPr="00857D68">
        <w:rPr>
          <w:rFonts w:ascii="Times New Roman" w:eastAsia="Times New Roman" w:hAnsi="Times New Roman" w:cs="Times New Roman"/>
        </w:rPr>
        <w:t> </w:t>
      </w:r>
      <w:r w:rsidR="00FB4F73" w:rsidRPr="00857D68">
        <w:rPr>
          <w:rFonts w:ascii="Times New Roman" w:eastAsia="Times New Roman" w:hAnsi="Times New Roman" w:cs="Times New Roman"/>
        </w:rPr>
        <w:t>mmol natrio (23</w:t>
      </w:r>
      <w:r w:rsidRPr="00857D68">
        <w:rPr>
          <w:rFonts w:ascii="Times New Roman" w:eastAsia="Times New Roman" w:hAnsi="Times New Roman" w:cs="Times New Roman"/>
        </w:rPr>
        <w:t> </w:t>
      </w:r>
      <w:r w:rsidR="00FB4F73" w:rsidRPr="00857D68">
        <w:rPr>
          <w:rFonts w:ascii="Times New Roman" w:eastAsia="Times New Roman" w:hAnsi="Times New Roman" w:cs="Times New Roman"/>
        </w:rPr>
        <w:t xml:space="preserve">mg), </w:t>
      </w:r>
      <w:r w:rsidRPr="00857D68">
        <w:rPr>
          <w:rFonts w:ascii="Times New Roman" w:eastAsia="Times New Roman" w:hAnsi="Times New Roman" w:cs="Times New Roman"/>
        </w:rPr>
        <w:t>t.</w:t>
      </w:r>
      <w:r w:rsidR="00F82A9D">
        <w:rPr>
          <w:rFonts w:ascii="Times New Roman" w:eastAsia="Times New Roman" w:hAnsi="Times New Roman" w:cs="Times New Roman"/>
        </w:rPr>
        <w:t> </w:t>
      </w:r>
      <w:r w:rsidRPr="00857D68">
        <w:rPr>
          <w:rFonts w:ascii="Times New Roman" w:eastAsia="Times New Roman" w:hAnsi="Times New Roman" w:cs="Times New Roman"/>
        </w:rPr>
        <w:t>y. jis beveik neturi reikšmės.</w:t>
      </w:r>
    </w:p>
    <w:p w14:paraId="2729F0FC" w14:textId="77777777" w:rsidR="00F2203E" w:rsidRPr="00857D68" w:rsidRDefault="00F2203E" w:rsidP="00E05DEC">
      <w:pPr>
        <w:spacing w:after="0" w:line="240" w:lineRule="auto"/>
        <w:rPr>
          <w:rFonts w:ascii="Times New Roman" w:eastAsia="Times New Roman" w:hAnsi="Times New Roman" w:cs="Times New Roman"/>
        </w:rPr>
      </w:pPr>
    </w:p>
    <w:p w14:paraId="79437D15"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2D227BF3" w14:textId="77777777" w:rsidR="00030D15" w:rsidRPr="00857D68" w:rsidRDefault="00030D15" w:rsidP="00030D15">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rPr>
        <w:t>3.</w:t>
      </w:r>
      <w:r w:rsidRPr="00857D68">
        <w:rPr>
          <w:rFonts w:ascii="Times New Roman" w:eastAsia="Times New Roman" w:hAnsi="Times New Roman" w:cs="Times New Roman"/>
          <w:b/>
        </w:rPr>
        <w:tab/>
        <w:t xml:space="preserve">Kaip vartoti </w:t>
      </w:r>
      <w:r w:rsidRPr="00857D68">
        <w:rPr>
          <w:rFonts w:ascii="Times New Roman" w:eastAsia="Times New Roman" w:hAnsi="Times New Roman" w:cs="Times New Roman"/>
          <w:b/>
          <w:szCs w:val="20"/>
        </w:rPr>
        <w:t>Alendronic acid Accord</w:t>
      </w:r>
    </w:p>
    <w:p w14:paraId="1EF9F3B8"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76079688" w14:textId="77777777" w:rsidR="00030D15" w:rsidRPr="00857D68" w:rsidRDefault="00030D15" w:rsidP="00030D15">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t>Visada vartokite šį vaistą tiksliai kaip nurodė gydytojas arba vaistininkas. Jeigu abejojate, kreipkitės į gydytoją arba vaistininką.</w:t>
      </w:r>
    </w:p>
    <w:p w14:paraId="1C26E48E"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1B1AECE3" w14:textId="77777777" w:rsidR="00030D15" w:rsidRPr="00857D68" w:rsidRDefault="00030D15" w:rsidP="00030D15">
      <w:pPr>
        <w:tabs>
          <w:tab w:val="left" w:pos="567"/>
        </w:tabs>
        <w:spacing w:after="0" w:line="260" w:lineRule="exact"/>
        <w:rPr>
          <w:rFonts w:ascii="Times New Roman" w:eastAsia="Times New Roman" w:hAnsi="Times New Roman" w:cs="Times New Roman"/>
          <w:b/>
        </w:rPr>
      </w:pPr>
      <w:r w:rsidRPr="00857D68">
        <w:rPr>
          <w:rFonts w:ascii="Times New Roman" w:eastAsia="Times New Roman" w:hAnsi="Times New Roman" w:cs="Times New Roman"/>
          <w:b/>
        </w:rPr>
        <w:t>Gerkite vieną Alendronic acid Accord</w:t>
      </w:r>
      <w:r w:rsidRPr="00857D68">
        <w:rPr>
          <w:rFonts w:ascii="Times New Roman" w:eastAsia="Times New Roman" w:hAnsi="Times New Roman" w:cs="Times New Roman"/>
        </w:rPr>
        <w:t xml:space="preserve"> </w:t>
      </w:r>
      <w:r w:rsidRPr="00857D68">
        <w:rPr>
          <w:rFonts w:ascii="Times New Roman" w:eastAsia="Times New Roman" w:hAnsi="Times New Roman" w:cs="Times New Roman"/>
          <w:b/>
        </w:rPr>
        <w:t xml:space="preserve">tabletę </w:t>
      </w:r>
      <w:r w:rsidRPr="00857D68">
        <w:rPr>
          <w:rFonts w:ascii="Times New Roman" w:eastAsia="Times New Roman" w:hAnsi="Times New Roman" w:cs="Times New Roman"/>
          <w:b/>
          <w:szCs w:val="20"/>
          <w:u w:val="single"/>
        </w:rPr>
        <w:t>vieną kartą per savaitę</w:t>
      </w:r>
      <w:r w:rsidRPr="00857D68">
        <w:rPr>
          <w:rFonts w:ascii="Times New Roman" w:eastAsia="Times New Roman" w:hAnsi="Times New Roman" w:cs="Times New Roman"/>
          <w:b/>
        </w:rPr>
        <w:t>.</w:t>
      </w:r>
    </w:p>
    <w:p w14:paraId="72FE7703"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72890E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lastRenderedPageBreak/>
        <w:t xml:space="preserve">Kad Alendronic acid Accord tablečių vartojimas būtų naudingas, turite laikytis nurodymų. </w:t>
      </w:r>
    </w:p>
    <w:p w14:paraId="5A4C77B0"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2987F7E" w14:textId="77777777" w:rsidR="00030D15" w:rsidRPr="00857D68" w:rsidRDefault="00030D15" w:rsidP="00030D15">
      <w:pPr>
        <w:numPr>
          <w:ilvl w:val="0"/>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Pasirinkite labiausiai tinkančią savaitės dieną. Kiekvieną savaitę gerkite vieną Alendronic acid Accord tabletę Jūsų pasirinktą dieną.</w:t>
      </w:r>
    </w:p>
    <w:p w14:paraId="6F5FD578" w14:textId="77777777" w:rsidR="00030D15" w:rsidRPr="00857D68" w:rsidRDefault="00030D15" w:rsidP="00030D15">
      <w:pPr>
        <w:tabs>
          <w:tab w:val="left" w:pos="567"/>
        </w:tabs>
        <w:spacing w:after="0" w:line="260" w:lineRule="exact"/>
        <w:rPr>
          <w:rFonts w:ascii="Times New Roman" w:eastAsia="Times New Roman" w:hAnsi="Times New Roman" w:cs="Times New Roman"/>
          <w:i/>
        </w:rPr>
      </w:pPr>
    </w:p>
    <w:p w14:paraId="4A8D4E7C" w14:textId="77777777" w:rsidR="00030D15" w:rsidRPr="00857D68" w:rsidRDefault="00030D15" w:rsidP="00030D15">
      <w:pPr>
        <w:tabs>
          <w:tab w:val="left" w:pos="567"/>
        </w:tabs>
        <w:spacing w:after="0" w:line="260" w:lineRule="exact"/>
        <w:rPr>
          <w:rFonts w:ascii="Times New Roman" w:eastAsia="Times New Roman" w:hAnsi="Times New Roman" w:cs="Times New Roman"/>
          <w:i/>
        </w:rPr>
      </w:pPr>
      <w:r w:rsidRPr="00857D68">
        <w:rPr>
          <w:rFonts w:ascii="Times New Roman" w:eastAsia="Times New Roman" w:hAnsi="Times New Roman" w:cs="Times New Roman"/>
          <w:i/>
        </w:rPr>
        <w:t>Svarbu atlikti 2), 3), 4) ir 5) veiksmus, kad tabletė greitai pasiektų Jūsų skrandį ir stemplė būtų mažiau dirginama.</w:t>
      </w:r>
    </w:p>
    <w:p w14:paraId="2A08C87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2E0003EE" w14:textId="33BA8DE6" w:rsidR="00030D15" w:rsidRPr="00857D68" w:rsidRDefault="00030D15" w:rsidP="00030D15">
      <w:pPr>
        <w:numPr>
          <w:ilvl w:val="0"/>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Atsikėlę ryte prieš valgydami bet kokį maistą, gerdami arba vartodami kitą vaistą, nurykite Alendronic acid Accord tabletę užsigerdami pilna stikline paprasto vandens (ne mineralinio vandens) (ne mažiau kaip 200 ml)</w:t>
      </w:r>
      <w:r w:rsidR="00F05034">
        <w:rPr>
          <w:rFonts w:ascii="Times New Roman" w:eastAsia="Times New Roman" w:hAnsi="Times New Roman" w:cs="Times New Roman"/>
        </w:rPr>
        <w:t>,</w:t>
      </w:r>
      <w:r w:rsidR="00F05034" w:rsidRPr="00F05034">
        <w:t xml:space="preserve"> </w:t>
      </w:r>
      <w:r w:rsidR="00F05034" w:rsidRPr="00F05034">
        <w:rPr>
          <w:rFonts w:ascii="Times New Roman" w:eastAsia="Times New Roman" w:hAnsi="Times New Roman" w:cs="Times New Roman"/>
        </w:rPr>
        <w:t>kad alendrono rūgšties tabletės būtų tinkamai absorbuojamos</w:t>
      </w:r>
      <w:r w:rsidRPr="00857D68">
        <w:rPr>
          <w:rFonts w:ascii="Times New Roman" w:eastAsia="Times New Roman" w:hAnsi="Times New Roman" w:cs="Times New Roman"/>
        </w:rPr>
        <w:t>.</w:t>
      </w:r>
    </w:p>
    <w:p w14:paraId="51A394DB" w14:textId="77777777" w:rsidR="00030D15" w:rsidRPr="00857D68" w:rsidRDefault="00030D15" w:rsidP="00030D15">
      <w:pPr>
        <w:numPr>
          <w:ilvl w:val="1"/>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Neužsigerkite mineraliniu vandeniu (gazuotu ar negazuotu).</w:t>
      </w:r>
    </w:p>
    <w:p w14:paraId="0B9275C5" w14:textId="77777777" w:rsidR="00030D15" w:rsidRPr="00857D68" w:rsidRDefault="00030D15" w:rsidP="00030D15">
      <w:pPr>
        <w:numPr>
          <w:ilvl w:val="1"/>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Neužsigerkite kava arba arbata.</w:t>
      </w:r>
    </w:p>
    <w:p w14:paraId="0CBCC2BD" w14:textId="77777777" w:rsidR="00030D15" w:rsidRPr="00857D68" w:rsidRDefault="00030D15" w:rsidP="00030D15">
      <w:pPr>
        <w:numPr>
          <w:ilvl w:val="1"/>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Neužsigerkite sultimis arba pienu. </w:t>
      </w:r>
    </w:p>
    <w:p w14:paraId="40877AAB"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p>
    <w:p w14:paraId="2879B9D4" w14:textId="7C55AF43" w:rsidR="00030D15" w:rsidRPr="00857D68" w:rsidRDefault="00030D15" w:rsidP="00030D15">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Netraiškykite ir nekramtykite tabletės ir netirpinkite jos burnoje</w:t>
      </w:r>
      <w:r w:rsidR="006E34AE">
        <w:rPr>
          <w:rFonts w:ascii="Times New Roman" w:eastAsia="Times New Roman" w:hAnsi="Times New Roman" w:cs="Times New Roman"/>
        </w:rPr>
        <w:t xml:space="preserve">, </w:t>
      </w:r>
      <w:r w:rsidR="006E34AE" w:rsidRPr="006E34AE">
        <w:rPr>
          <w:rFonts w:ascii="Times New Roman" w:eastAsia="Times New Roman" w:hAnsi="Times New Roman" w:cs="Times New Roman"/>
        </w:rPr>
        <w:t>dėl</w:t>
      </w:r>
      <w:r w:rsidR="006E34AE">
        <w:rPr>
          <w:rFonts w:ascii="Times New Roman" w:eastAsia="Times New Roman" w:hAnsi="Times New Roman" w:cs="Times New Roman"/>
        </w:rPr>
        <w:t xml:space="preserve"> galimo</w:t>
      </w:r>
      <w:r w:rsidR="006E34AE" w:rsidRPr="006E34AE">
        <w:rPr>
          <w:rFonts w:ascii="Times New Roman" w:eastAsia="Times New Roman" w:hAnsi="Times New Roman" w:cs="Times New Roman"/>
        </w:rPr>
        <w:t xml:space="preserve"> burnos išopėjimo</w:t>
      </w:r>
      <w:r w:rsidRPr="00857D68">
        <w:rPr>
          <w:rFonts w:ascii="Times New Roman" w:eastAsia="Times New Roman" w:hAnsi="Times New Roman" w:cs="Times New Roman"/>
        </w:rPr>
        <w:t>.</w:t>
      </w:r>
    </w:p>
    <w:p w14:paraId="60DACD56" w14:textId="77777777" w:rsidR="00030D15" w:rsidRPr="00857D68" w:rsidRDefault="00030D15" w:rsidP="00030D15">
      <w:pPr>
        <w:numPr>
          <w:ilvl w:val="0"/>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Prariję Alendronic acid Accord tabletę nesigulkite. Likite visiškai stačioje padėtyje (sėdėkite arba stovėkite) mažiausiai 30 minučių ir iki pirmojo Jūsų dienos valgymo. </w:t>
      </w:r>
    </w:p>
    <w:p w14:paraId="4504357B" w14:textId="77777777" w:rsidR="00030D15" w:rsidRPr="00857D68" w:rsidRDefault="00030D15" w:rsidP="00030D15">
      <w:pPr>
        <w:numPr>
          <w:ilvl w:val="0"/>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Negerkite Alendronic acid Accord tablečių prieš miegą arba dar neatsikėlę ryte.</w:t>
      </w:r>
    </w:p>
    <w:p w14:paraId="4D849656" w14:textId="77777777" w:rsidR="00030D15" w:rsidRPr="00857D68" w:rsidRDefault="00030D15" w:rsidP="00030D15">
      <w:pPr>
        <w:numPr>
          <w:ilvl w:val="0"/>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Jums sunku nuryti arba rydami jaučiate skausmą, krūtinės skausmą arba naujai atsiradusį ar pasunkėjusį rėmenį, nustokite vartoti Alendronic acid Accord tabletes ir kreipkitės į gydytoją.</w:t>
      </w:r>
    </w:p>
    <w:p w14:paraId="7288353C" w14:textId="77777777" w:rsidR="00030D15" w:rsidRPr="00857D68" w:rsidRDefault="00030D15" w:rsidP="00030D15">
      <w:pPr>
        <w:numPr>
          <w:ilvl w:val="0"/>
          <w:numId w:val="19"/>
        </w:num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Prariję tabletę, geriau palaukite mažiausiai 30 minučių prieš pradėdami pirmą kartą valgyti arba prieš pradėdami vartoti kitus dienos vaistinius preparatus, pvz., rūgštingumą mažinančius preparatus, kalcio papildus arba vitaminus. Alendronic acid Accord tabletės veiksmingos, tik kai skrandis tuščias.</w:t>
      </w:r>
    </w:p>
    <w:p w14:paraId="6E6F3063"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3AA02DE4"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Pavartojus per didelę Alendronic acid Accord dozę</w:t>
      </w:r>
    </w:p>
    <w:p w14:paraId="2E0D5B45"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p>
    <w:p w14:paraId="51733EEE"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Jei atsitiktinai pavartojote per daug tablečių, išgerkite pilną stiklinę pieno ir nedelsdami kreipkitės į gydytoją. Nesistenkite išsivemti ir nesigulkite.</w:t>
      </w:r>
    </w:p>
    <w:p w14:paraId="4D421AA2"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b/>
        </w:rPr>
      </w:pPr>
    </w:p>
    <w:p w14:paraId="7C04A173" w14:textId="77777777" w:rsidR="00030D15" w:rsidRPr="00857D68" w:rsidRDefault="00030D15" w:rsidP="00030D15">
      <w:pPr>
        <w:keepNext/>
        <w:tabs>
          <w:tab w:val="left" w:pos="567"/>
        </w:tabs>
        <w:spacing w:after="0" w:line="260" w:lineRule="exact"/>
        <w:ind w:left="567" w:hanging="567"/>
        <w:rPr>
          <w:rFonts w:ascii="Times New Roman" w:eastAsia="Times New Roman" w:hAnsi="Times New Roman" w:cs="Times New Roman"/>
          <w:b/>
        </w:rPr>
      </w:pPr>
      <w:r w:rsidRPr="00857D68">
        <w:rPr>
          <w:rFonts w:ascii="Times New Roman" w:eastAsia="Times New Roman" w:hAnsi="Times New Roman" w:cs="Times New Roman"/>
          <w:b/>
        </w:rPr>
        <w:t>Pamiršus pavartoti Alendronic acid Accord</w:t>
      </w:r>
    </w:p>
    <w:p w14:paraId="58B2A87F" w14:textId="77777777" w:rsidR="00030D15" w:rsidRPr="00857D68" w:rsidRDefault="00030D15" w:rsidP="00030D15">
      <w:pPr>
        <w:keepNext/>
        <w:tabs>
          <w:tab w:val="left" w:pos="567"/>
        </w:tabs>
        <w:spacing w:after="0" w:line="260" w:lineRule="exact"/>
        <w:ind w:left="567" w:hanging="567"/>
        <w:rPr>
          <w:rFonts w:ascii="Times New Roman" w:eastAsia="Times New Roman" w:hAnsi="Times New Roman" w:cs="Times New Roman"/>
        </w:rPr>
      </w:pPr>
    </w:p>
    <w:p w14:paraId="58F6E361" w14:textId="77777777" w:rsidR="00030D15" w:rsidRPr="00857D68" w:rsidRDefault="00030D15" w:rsidP="00030D15">
      <w:pPr>
        <w:keepNext/>
        <w:tabs>
          <w:tab w:val="left" w:pos="720"/>
        </w:tabs>
        <w:spacing w:after="0" w:line="240" w:lineRule="auto"/>
        <w:rPr>
          <w:rFonts w:ascii="Times New Roman" w:eastAsia="Times New Roman" w:hAnsi="Times New Roman" w:cs="Times New Roman"/>
        </w:rPr>
      </w:pPr>
      <w:r w:rsidRPr="00857D68">
        <w:rPr>
          <w:rFonts w:ascii="Times New Roman" w:eastAsia="Times New Roman" w:hAnsi="Times New Roman" w:cs="Times New Roman"/>
        </w:rPr>
        <w:t>Jeigu praleidote dozę, vieną Alendronic acid Accord tabletę išgerkite, kai tik prisiminsite, kitą rytą. Negalima vartoti dvigubos dozės norint kompensuoti praleistą dozę. Toliau vartokite vieną tabletę per savaitę, kaip suplanuota, Jūsų pasirinktą dieną.</w:t>
      </w:r>
    </w:p>
    <w:p w14:paraId="127DF8E0"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05C16DCA"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b/>
        </w:rPr>
        <w:t xml:space="preserve">Nustojus vartoti Alendronic acid Accord </w:t>
      </w:r>
    </w:p>
    <w:p w14:paraId="689D8BA3"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7F02E153"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 xml:space="preserve">Svarbu, kad vartotumėte Alendronic acid Accord tabletes tiek laiko, kiek nurodė gydytojas. Kadangi nėra žinoma kiek laiko reikės vartoti Alendronic acid Accord tabletes, turite nuolat tartis su gydytoju, kad jis nuspręstų ar Alendronic acid Accord tabletės yra vis dar Jums tinkamos. </w:t>
      </w:r>
    </w:p>
    <w:p w14:paraId="2C8B29AF"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71CAF437"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Jeigu kiltų daugiau klausimų dėl šio vaisto vartojimo, kreipkitės į gydytoją arba vaistininką.</w:t>
      </w:r>
    </w:p>
    <w:p w14:paraId="1207D36D"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5146B05F"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1FE91A0F" w14:textId="77777777" w:rsidR="00030D15" w:rsidRPr="00857D68" w:rsidRDefault="00030D15" w:rsidP="00030D15">
      <w:pPr>
        <w:keepNext/>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857D68">
        <w:rPr>
          <w:rFonts w:ascii="Times New Roman" w:eastAsia="Times New Roman" w:hAnsi="Times New Roman" w:cs="Times New Roman"/>
          <w:b/>
          <w:caps/>
        </w:rPr>
        <w:t>4.</w:t>
      </w:r>
      <w:r w:rsidRPr="00857D68">
        <w:rPr>
          <w:rFonts w:ascii="Times New Roman" w:eastAsia="Times New Roman" w:hAnsi="Times New Roman" w:cs="Times New Roman"/>
          <w:b/>
          <w:caps/>
        </w:rPr>
        <w:tab/>
      </w:r>
      <w:r w:rsidRPr="00857D68">
        <w:rPr>
          <w:rFonts w:ascii="Times New Roman" w:eastAsia="Times New Roman" w:hAnsi="Times New Roman" w:cs="Times New Roman"/>
          <w:b/>
        </w:rPr>
        <w:t>Galimas šalutinis poveikis</w:t>
      </w:r>
    </w:p>
    <w:p w14:paraId="4C997A5B" w14:textId="77777777" w:rsidR="00030D15" w:rsidRPr="00857D68" w:rsidRDefault="00030D15" w:rsidP="00030D15">
      <w:pPr>
        <w:keepNext/>
        <w:tabs>
          <w:tab w:val="left" w:pos="567"/>
        </w:tabs>
        <w:spacing w:after="0" w:line="260" w:lineRule="exact"/>
        <w:ind w:left="567" w:hanging="567"/>
        <w:rPr>
          <w:rFonts w:ascii="Times New Roman" w:eastAsia="Times New Roman" w:hAnsi="Times New Roman" w:cs="Times New Roman"/>
        </w:rPr>
      </w:pPr>
    </w:p>
    <w:p w14:paraId="36F7C4C8" w14:textId="77777777" w:rsidR="00030D15" w:rsidRPr="00857D68" w:rsidRDefault="00030D15" w:rsidP="00030D15">
      <w:pPr>
        <w:keepNext/>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szCs w:val="20"/>
        </w:rPr>
        <w:t xml:space="preserve">Šis vaistas, </w:t>
      </w:r>
      <w:r w:rsidRPr="00857D68">
        <w:rPr>
          <w:rFonts w:ascii="Times New Roman" w:eastAsia="Times New Roman" w:hAnsi="Times New Roman" w:cs="Times New Roman"/>
        </w:rPr>
        <w:t>kaip ir visi kiti vaistai, gali sukelti šalutinį poveikį, nors jis pasireiškia ne visiems žmonėms.</w:t>
      </w:r>
    </w:p>
    <w:p w14:paraId="5A4510AF"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269DF639" w14:textId="77777777" w:rsidR="00030D15" w:rsidRPr="00857D68" w:rsidRDefault="00030D15" w:rsidP="00030D15">
      <w:pPr>
        <w:tabs>
          <w:tab w:val="left" w:pos="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Nedelsdami pasakykite gydytojui, jeigu pasireiškia toliau išvardytas sunkus šalutinis poveikis, nes gali prireikti Jus nedelsiant gydyti:</w:t>
      </w:r>
    </w:p>
    <w:p w14:paraId="14FBAAB9" w14:textId="77777777" w:rsidR="00030D15" w:rsidRPr="00857D68" w:rsidRDefault="00030D15" w:rsidP="00030D15">
      <w:pPr>
        <w:tabs>
          <w:tab w:val="left" w:pos="0"/>
        </w:tabs>
        <w:spacing w:after="0" w:line="260" w:lineRule="exact"/>
        <w:rPr>
          <w:rFonts w:ascii="Times New Roman" w:eastAsia="Times New Roman" w:hAnsi="Times New Roman" w:cs="Times New Roman"/>
        </w:rPr>
      </w:pPr>
    </w:p>
    <w:p w14:paraId="15D12FA9" w14:textId="0E478DA8" w:rsidR="00030D15" w:rsidRPr="00857D68" w:rsidRDefault="00375A01" w:rsidP="00030D15">
      <w:pPr>
        <w:tabs>
          <w:tab w:val="left" w:pos="567"/>
        </w:tabs>
        <w:spacing w:after="0" w:line="260" w:lineRule="exact"/>
        <w:ind w:left="567" w:hanging="567"/>
        <w:rPr>
          <w:rFonts w:ascii="Times New Roman" w:eastAsia="Times New Roman" w:hAnsi="Times New Roman" w:cs="Times New Roman"/>
        </w:rPr>
      </w:pPr>
      <w:r w:rsidRPr="00375A01">
        <w:rPr>
          <w:rFonts w:ascii="Times New Roman" w:eastAsia="Times New Roman" w:hAnsi="Times New Roman" w:cs="Times New Roman"/>
        </w:rPr>
        <w:t>Dažni šalutinio poveikio reiškiniai (gali pasireikšti rečiau kaip 1 iš 10 asmenų)</w:t>
      </w:r>
      <w:r w:rsidR="00030D15" w:rsidRPr="00857D68">
        <w:rPr>
          <w:rFonts w:ascii="Times New Roman" w:eastAsia="Times New Roman" w:hAnsi="Times New Roman" w:cs="Times New Roman"/>
        </w:rPr>
        <w:t>:</w:t>
      </w:r>
    </w:p>
    <w:p w14:paraId="151E1F91"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3FADC7DB"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lastRenderedPageBreak/>
        <w:t xml:space="preserve">rėmuo; rijimo sutrikimai; skausmas rijimo metu; stemplės (vamzdelio jungiančio burną su skrandžiu) opa arba prakiurimas, galinti sukelti skausmą krūtinėje, rėmenį arba sunkumą arba skausmą nuryjant. </w:t>
      </w:r>
    </w:p>
    <w:p w14:paraId="08D8EFA8" w14:textId="77777777" w:rsidR="00030D15" w:rsidRPr="00857D68" w:rsidRDefault="00030D15" w:rsidP="00030D15">
      <w:pPr>
        <w:tabs>
          <w:tab w:val="left" w:pos="0"/>
        </w:tabs>
        <w:spacing w:after="0" w:line="260" w:lineRule="exact"/>
        <w:rPr>
          <w:rFonts w:ascii="Times New Roman" w:eastAsia="Times New Roman" w:hAnsi="Times New Roman" w:cs="Times New Roman"/>
        </w:rPr>
      </w:pPr>
    </w:p>
    <w:p w14:paraId="056EC45F" w14:textId="6A122C3D" w:rsidR="00030D15" w:rsidRPr="00857D68" w:rsidRDefault="00375A01" w:rsidP="00030D15">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Reti </w:t>
      </w:r>
      <w:r w:rsidRPr="00375A01">
        <w:rPr>
          <w:rFonts w:ascii="Times New Roman" w:eastAsia="Times New Roman" w:hAnsi="Times New Roman" w:cs="Times New Roman"/>
        </w:rPr>
        <w:t>šalutinio poveikio reiškiniai (gali pasireikšti rečiau kaip 1 iš 1</w:t>
      </w:r>
      <w:r>
        <w:rPr>
          <w:rFonts w:ascii="Times New Roman" w:eastAsia="Times New Roman" w:hAnsi="Times New Roman" w:cs="Times New Roman"/>
        </w:rPr>
        <w:t> 00</w:t>
      </w:r>
      <w:r w:rsidRPr="00375A01">
        <w:rPr>
          <w:rFonts w:ascii="Times New Roman" w:eastAsia="Times New Roman" w:hAnsi="Times New Roman" w:cs="Times New Roman"/>
        </w:rPr>
        <w:t>0 asmenų)</w:t>
      </w:r>
      <w:r w:rsidR="00030D15" w:rsidRPr="00857D68">
        <w:rPr>
          <w:rFonts w:ascii="Times New Roman" w:eastAsia="Times New Roman" w:hAnsi="Times New Roman" w:cs="Times New Roman"/>
        </w:rPr>
        <w:t>:</w:t>
      </w:r>
    </w:p>
    <w:p w14:paraId="057016CE"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38278958" w14:textId="77777777" w:rsidR="00030D15" w:rsidRPr="00857D68" w:rsidRDefault="00030D15" w:rsidP="00030D15">
      <w:pPr>
        <w:keepNext/>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alerginės reakcijos, pvz., dilgėlinė, veido, lūpų, liežuvio ir (arba) gerklės patinimas, galintis sukelti kvėpavimo ir rijimo sutrikimų; sunkios odos reakcijos;</w:t>
      </w:r>
    </w:p>
    <w:p w14:paraId="5FCCCAC3" w14:textId="56380191"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burnos ir (arba) žandikaulio skausmas, patinimas ar opos burnoje, žandikaulio nutirpimas ar sunkumo pojūtis arba danties iškritimas. Tai gali būti žandikaulio pakenkimo (osteonekrozės) požymis, paprastai susijęs su ilgesniu gijimu ar infekcija, dažnai po danties ištraukimo. Kreipkitės į gydytoją arba dantų gydytoją, jeigu pasireiškia tokie simptomai;</w:t>
      </w:r>
    </w:p>
    <w:p w14:paraId="4E8B73DB"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retais atvejais gali pasireikšti neįprastas šlaunikaulio lūžis, ypač pacientams, kuriems taikomas ilgalaikis osteoporozės gydymas. Nedelsdami kreipkitės į gydytoją, jeigu pasireiškia šlaunies, klubo arba kirkšnies skausmas, silpnumas ar diskomfortas, nes tai gali būti ankstyvas šlaunikaulio lūžio požymis; </w:t>
      </w:r>
    </w:p>
    <w:p w14:paraId="56E86A4E"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stiprus kaulų, raumenų ir (arba) sąnarių skausmas. </w:t>
      </w:r>
    </w:p>
    <w:p w14:paraId="2D4312B2" w14:textId="77777777" w:rsidR="00030D15" w:rsidRPr="00857D68" w:rsidRDefault="00030D15" w:rsidP="00030D15">
      <w:pPr>
        <w:keepNext/>
        <w:spacing w:after="0" w:line="260" w:lineRule="exact"/>
        <w:ind w:left="567"/>
        <w:rPr>
          <w:rFonts w:ascii="Times New Roman" w:eastAsia="Times New Roman" w:hAnsi="Times New Roman" w:cs="Times New Roman"/>
        </w:rPr>
      </w:pPr>
    </w:p>
    <w:p w14:paraId="013100C6"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b/>
        </w:rPr>
        <w:t>Kiti šalutiniai reiškiniai</w:t>
      </w:r>
      <w:r w:rsidRPr="00857D68">
        <w:rPr>
          <w:rFonts w:ascii="Times New Roman" w:eastAsia="Times New Roman" w:hAnsi="Times New Roman" w:cs="Times New Roman"/>
        </w:rPr>
        <w:t xml:space="preserve"> </w:t>
      </w:r>
    </w:p>
    <w:p w14:paraId="4FF751B1"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5E05E21F" w14:textId="63219DD4" w:rsidR="00030D15" w:rsidRPr="00857D68" w:rsidRDefault="00375A01" w:rsidP="00030D15">
      <w:pPr>
        <w:tabs>
          <w:tab w:val="left" w:pos="567"/>
        </w:tabs>
        <w:spacing w:after="0" w:line="260" w:lineRule="exact"/>
        <w:ind w:left="567" w:hanging="567"/>
        <w:rPr>
          <w:rFonts w:ascii="Times New Roman" w:eastAsia="Times New Roman" w:hAnsi="Times New Roman" w:cs="Times New Roman"/>
        </w:rPr>
      </w:pPr>
      <w:r>
        <w:rPr>
          <w:rFonts w:ascii="Times New Roman" w:eastAsia="Times New Roman" w:hAnsi="Times New Roman" w:cs="Times New Roman"/>
          <w:szCs w:val="20"/>
        </w:rPr>
        <w:t>Labai d</w:t>
      </w:r>
      <w:r w:rsidRPr="00375A01">
        <w:rPr>
          <w:rFonts w:ascii="Times New Roman" w:eastAsia="Times New Roman" w:hAnsi="Times New Roman" w:cs="Times New Roman"/>
          <w:szCs w:val="20"/>
        </w:rPr>
        <w:t xml:space="preserve">ažni šalutinio poveikio reiškiniai (gali pasireikšti </w:t>
      </w:r>
      <w:r>
        <w:rPr>
          <w:rFonts w:ascii="Times New Roman" w:eastAsia="Times New Roman" w:hAnsi="Times New Roman" w:cs="Times New Roman"/>
          <w:szCs w:val="20"/>
        </w:rPr>
        <w:t xml:space="preserve">ne </w:t>
      </w:r>
      <w:r w:rsidRPr="00375A01">
        <w:rPr>
          <w:rFonts w:ascii="Times New Roman" w:eastAsia="Times New Roman" w:hAnsi="Times New Roman" w:cs="Times New Roman"/>
          <w:szCs w:val="20"/>
        </w:rPr>
        <w:t>rečiau kaip 1 iš 10 asmenų)</w:t>
      </w:r>
      <w:r w:rsidR="00030D15" w:rsidRPr="00857D68">
        <w:rPr>
          <w:rFonts w:ascii="Times New Roman" w:eastAsia="Times New Roman" w:hAnsi="Times New Roman" w:cs="Times New Roman"/>
        </w:rPr>
        <w:t>:</w:t>
      </w:r>
    </w:p>
    <w:p w14:paraId="22C09701"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szCs w:val="20"/>
        </w:rPr>
      </w:pPr>
    </w:p>
    <w:p w14:paraId="516DCFBD"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kaulų, raumenų ir (arba) sąnarių skausmas, kuris kartais būna stiprus.</w:t>
      </w:r>
    </w:p>
    <w:p w14:paraId="7CC75F59"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07A1C36F" w14:textId="1BB0C215" w:rsidR="00030D15" w:rsidRPr="00857D68" w:rsidRDefault="00375A01" w:rsidP="00030D15">
      <w:pPr>
        <w:tabs>
          <w:tab w:val="left" w:pos="567"/>
        </w:tabs>
        <w:spacing w:after="0" w:line="260" w:lineRule="exact"/>
        <w:ind w:left="567" w:hanging="567"/>
        <w:rPr>
          <w:rFonts w:ascii="Times New Roman" w:eastAsia="Times New Roman" w:hAnsi="Times New Roman" w:cs="Times New Roman"/>
        </w:rPr>
      </w:pPr>
      <w:r w:rsidRPr="00375A01">
        <w:rPr>
          <w:rFonts w:ascii="Times New Roman" w:eastAsia="Times New Roman" w:hAnsi="Times New Roman" w:cs="Times New Roman"/>
        </w:rPr>
        <w:t>Dažni šalutinio poveikio reiškiniai (gali pasireikšti rečiau kaip 1 iš 10 asmenų)</w:t>
      </w:r>
      <w:r w:rsidR="00030D15" w:rsidRPr="00857D68">
        <w:rPr>
          <w:rFonts w:ascii="Times New Roman" w:eastAsia="Times New Roman" w:hAnsi="Times New Roman" w:cs="Times New Roman"/>
        </w:rPr>
        <w:t>:</w:t>
      </w:r>
    </w:p>
    <w:p w14:paraId="63D33497" w14:textId="77777777"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p>
    <w:p w14:paraId="389578B2"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sąnarių patinimas;</w:t>
      </w:r>
    </w:p>
    <w:p w14:paraId="59441775"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pilvo skausmas; nemalonus pojūtis skrandyje arba raugėjimas po valgio;</w:t>
      </w:r>
    </w:p>
    <w:p w14:paraId="2444D8B2"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vidurių užkietėjimas; pilnumo arba išsipūtimo pojūtis skrandyje; viduriavimas; dujų kaupimasis;</w:t>
      </w:r>
    </w:p>
    <w:p w14:paraId="0039DB71"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galvos skausmas, svaigulys;</w:t>
      </w:r>
    </w:p>
    <w:p w14:paraId="46A4290F"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plaukų slinkimas, niežulys;</w:t>
      </w:r>
    </w:p>
    <w:p w14:paraId="22C80855" w14:textId="77777777" w:rsidR="00030D15" w:rsidRPr="00857D68" w:rsidRDefault="00030D15" w:rsidP="00030D15">
      <w:pPr>
        <w:numPr>
          <w:ilvl w:val="0"/>
          <w:numId w:val="13"/>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nuovargis, rankų ar kojų tinimas. </w:t>
      </w:r>
    </w:p>
    <w:p w14:paraId="6EF46B9C"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31D12B7F" w14:textId="68D5A801" w:rsidR="00030D15" w:rsidRPr="00857D68" w:rsidRDefault="00030D15" w:rsidP="00030D15">
      <w:pPr>
        <w:tabs>
          <w:tab w:val="left" w:pos="567"/>
        </w:tabs>
        <w:spacing w:after="0" w:line="260" w:lineRule="exact"/>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Nedažni </w:t>
      </w:r>
      <w:r w:rsidR="00375A01" w:rsidRPr="00375A01">
        <w:rPr>
          <w:rFonts w:ascii="Times New Roman" w:eastAsia="Times New Roman" w:hAnsi="Times New Roman" w:cs="Times New Roman"/>
        </w:rPr>
        <w:t>šalutinio poveikio reiškiniai (gali pasireikšti rečiau kaip 1 iš 10</w:t>
      </w:r>
      <w:r w:rsidR="00375A01">
        <w:rPr>
          <w:rFonts w:ascii="Times New Roman" w:eastAsia="Times New Roman" w:hAnsi="Times New Roman" w:cs="Times New Roman"/>
        </w:rPr>
        <w:t>0</w:t>
      </w:r>
      <w:r w:rsidR="00375A01" w:rsidRPr="00375A01">
        <w:rPr>
          <w:rFonts w:ascii="Times New Roman" w:eastAsia="Times New Roman" w:hAnsi="Times New Roman" w:cs="Times New Roman"/>
        </w:rPr>
        <w:t xml:space="preserve"> asmenų)</w:t>
      </w:r>
      <w:r w:rsidRPr="00857D68">
        <w:rPr>
          <w:rFonts w:ascii="Times New Roman" w:eastAsia="Times New Roman" w:hAnsi="Times New Roman" w:cs="Times New Roman"/>
          <w:szCs w:val="20"/>
        </w:rPr>
        <w:t>:</w:t>
      </w:r>
    </w:p>
    <w:p w14:paraId="407E694C"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p>
    <w:p w14:paraId="4C9A715C" w14:textId="77777777" w:rsidR="00030D15" w:rsidRPr="00857D68"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pykinimas;</w:t>
      </w:r>
    </w:p>
    <w:p w14:paraId="5BFBADB6" w14:textId="77777777" w:rsidR="00030D15" w:rsidRPr="00857D68"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vėmimas;</w:t>
      </w:r>
    </w:p>
    <w:p w14:paraId="61441068" w14:textId="77777777" w:rsidR="00030D15" w:rsidRPr="00857D68"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stemplės (vamzdelio jungiančio burną su skrandžiu) arba skrandžio dirginimas ar uždegimas;</w:t>
      </w:r>
    </w:p>
    <w:p w14:paraId="0B365833" w14:textId="77777777" w:rsidR="00030D15" w:rsidRPr="00857D68"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juodos arba į degutą panašios išmatos;</w:t>
      </w:r>
    </w:p>
    <w:p w14:paraId="3EE25E04" w14:textId="77777777" w:rsidR="00030D15" w:rsidRPr="00857D68"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bėrimas; odos paraudimas;</w:t>
      </w:r>
    </w:p>
    <w:p w14:paraId="0D3D8FDB" w14:textId="77777777" w:rsidR="00030D15" w:rsidRPr="00857D68"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neryškus matymas, akies skausmas arba paraudimas;</w:t>
      </w:r>
    </w:p>
    <w:p w14:paraId="0DC47437" w14:textId="77777777" w:rsidR="00030D15" w:rsidRPr="00857D68"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į gripą panašūs praeinantys simptomai, pvz., raumenų skausmas, bendras negalavimas ir kartais karščiavimas, dažniausiai gydymo pradžioje;</w:t>
      </w:r>
    </w:p>
    <w:p w14:paraId="44AB2989" w14:textId="77777777" w:rsidR="00030D15" w:rsidRPr="00857D68" w:rsidDel="009F388F" w:rsidRDefault="00030D15" w:rsidP="00030D15">
      <w:pPr>
        <w:numPr>
          <w:ilvl w:val="0"/>
          <w:numId w:val="14"/>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iCs/>
        </w:rPr>
        <w:t xml:space="preserve">skonio sutrikimas. </w:t>
      </w:r>
    </w:p>
    <w:p w14:paraId="75655883" w14:textId="77777777" w:rsidR="00030D15" w:rsidRPr="00857D68" w:rsidRDefault="00030D15" w:rsidP="00030D15">
      <w:pPr>
        <w:spacing w:after="0" w:line="260" w:lineRule="exact"/>
        <w:ind w:left="567"/>
        <w:rPr>
          <w:rFonts w:ascii="Times New Roman" w:eastAsia="Times New Roman" w:hAnsi="Times New Roman" w:cs="Times New Roman"/>
        </w:rPr>
      </w:pPr>
    </w:p>
    <w:p w14:paraId="4C01A16F" w14:textId="36A8B4D0" w:rsidR="00030D15" w:rsidRPr="00857D68" w:rsidRDefault="00030D15" w:rsidP="00030D15">
      <w:pPr>
        <w:tabs>
          <w:tab w:val="left" w:pos="567"/>
        </w:tabs>
        <w:spacing w:after="0" w:line="260" w:lineRule="exact"/>
        <w:ind w:left="567" w:hanging="567"/>
        <w:rPr>
          <w:rFonts w:ascii="Times New Roman" w:eastAsia="Times New Roman" w:hAnsi="Times New Roman" w:cs="Times New Roman"/>
          <w:szCs w:val="20"/>
        </w:rPr>
      </w:pPr>
      <w:r w:rsidRPr="00857D68">
        <w:rPr>
          <w:rFonts w:ascii="Times New Roman" w:eastAsia="Times New Roman" w:hAnsi="Times New Roman" w:cs="Times New Roman"/>
          <w:szCs w:val="20"/>
        </w:rPr>
        <w:t xml:space="preserve">Reti </w:t>
      </w:r>
      <w:r w:rsidR="00375A01" w:rsidRPr="00375A01">
        <w:rPr>
          <w:rFonts w:ascii="Times New Roman" w:eastAsia="Times New Roman" w:hAnsi="Times New Roman" w:cs="Times New Roman"/>
        </w:rPr>
        <w:t>šalutinio poveikio reiškiniai (gali pasireikšti rečiau kaip 1 iš 1</w:t>
      </w:r>
      <w:r w:rsidR="00FF4538">
        <w:rPr>
          <w:rFonts w:ascii="Times New Roman" w:eastAsia="Times New Roman" w:hAnsi="Times New Roman" w:cs="Times New Roman"/>
        </w:rPr>
        <w:t> 00</w:t>
      </w:r>
      <w:r w:rsidR="00375A01" w:rsidRPr="00375A01">
        <w:rPr>
          <w:rFonts w:ascii="Times New Roman" w:eastAsia="Times New Roman" w:hAnsi="Times New Roman" w:cs="Times New Roman"/>
        </w:rPr>
        <w:t>0 asmenų)</w:t>
      </w:r>
      <w:r w:rsidRPr="00857D68">
        <w:rPr>
          <w:rFonts w:ascii="Times New Roman" w:eastAsia="Times New Roman" w:hAnsi="Times New Roman" w:cs="Times New Roman"/>
          <w:szCs w:val="20"/>
        </w:rPr>
        <w:t>:</w:t>
      </w:r>
    </w:p>
    <w:p w14:paraId="759B054C" w14:textId="77777777" w:rsidR="00030D15" w:rsidRPr="00857D68" w:rsidRDefault="00030D15" w:rsidP="00030D15">
      <w:pPr>
        <w:keepNext/>
        <w:tabs>
          <w:tab w:val="left" w:pos="567"/>
        </w:tabs>
        <w:spacing w:after="0" w:line="260" w:lineRule="exact"/>
        <w:rPr>
          <w:rFonts w:ascii="Times New Roman" w:eastAsia="Times New Roman" w:hAnsi="Times New Roman" w:cs="Times New Roman"/>
        </w:rPr>
      </w:pPr>
    </w:p>
    <w:p w14:paraId="57273CFA"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mažos kalcio koncentracijos kraujyje simptomai, pvz., raumenų mėšlungiai arba spazmai ir (arba) dygčiojimo pojūtis pirštuose arba aplink burną;</w:t>
      </w:r>
    </w:p>
    <w:p w14:paraId="175B3324"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skrandžio arba pepsinės opos (kartais sunkios arba kraujuojančios);</w:t>
      </w:r>
    </w:p>
    <w:p w14:paraId="20C5AA45"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stemplės (vamzdelio jungiančio burną su skrandžiu) susiaurėjimas;</w:t>
      </w:r>
    </w:p>
    <w:p w14:paraId="5A21E9C3"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bėrimas, pasunkėjęs pabuvus saulėje;</w:t>
      </w:r>
    </w:p>
    <w:p w14:paraId="6211CFBB"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stiprus kaulų, raumenų ir (arba) sąnarių skausmas;</w:t>
      </w:r>
    </w:p>
    <w:p w14:paraId="605B165E"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 xml:space="preserve">opos burnoje, jei tabletės buvo kramtomos arba čiulpiamos. </w:t>
      </w:r>
    </w:p>
    <w:p w14:paraId="21760165"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47205316" w14:textId="012D5420" w:rsidR="00030D15" w:rsidRPr="00857D68" w:rsidRDefault="00030D15" w:rsidP="00030D15">
      <w:pPr>
        <w:tabs>
          <w:tab w:val="left" w:pos="567"/>
        </w:tabs>
        <w:spacing w:after="0" w:line="260" w:lineRule="exact"/>
        <w:ind w:left="567" w:hanging="567"/>
        <w:rPr>
          <w:rFonts w:ascii="Times New Roman" w:eastAsia="Times New Roman" w:hAnsi="Times New Roman" w:cs="Times New Roman"/>
        </w:rPr>
      </w:pPr>
      <w:r w:rsidRPr="00857D68">
        <w:rPr>
          <w:rFonts w:ascii="Times New Roman" w:eastAsia="Times New Roman" w:hAnsi="Times New Roman" w:cs="Times New Roman"/>
          <w:szCs w:val="20"/>
        </w:rPr>
        <w:t xml:space="preserve">Labai reti </w:t>
      </w:r>
      <w:r w:rsidR="00FF4538" w:rsidRPr="00FF4538">
        <w:rPr>
          <w:rFonts w:ascii="Times New Roman" w:eastAsia="Times New Roman" w:hAnsi="Times New Roman" w:cs="Times New Roman"/>
        </w:rPr>
        <w:t>šalutinio poveikio reiškiniai (gali pasireikšti rečiau kaip 1 iš 1</w:t>
      </w:r>
      <w:r w:rsidR="00FF4538">
        <w:rPr>
          <w:rFonts w:ascii="Times New Roman" w:eastAsia="Times New Roman" w:hAnsi="Times New Roman" w:cs="Times New Roman"/>
        </w:rPr>
        <w:t>0</w:t>
      </w:r>
      <w:r w:rsidR="00FD214D">
        <w:rPr>
          <w:rFonts w:ascii="Times New Roman" w:eastAsia="Times New Roman" w:hAnsi="Times New Roman" w:cs="Times New Roman"/>
        </w:rPr>
        <w:t> 00</w:t>
      </w:r>
      <w:r w:rsidR="00FF4538" w:rsidRPr="00FF4538">
        <w:rPr>
          <w:rFonts w:ascii="Times New Roman" w:eastAsia="Times New Roman" w:hAnsi="Times New Roman" w:cs="Times New Roman"/>
        </w:rPr>
        <w:t>0 asmenų)</w:t>
      </w:r>
      <w:r w:rsidRPr="00857D68">
        <w:rPr>
          <w:rFonts w:ascii="Times New Roman" w:eastAsia="Times New Roman" w:hAnsi="Times New Roman" w:cs="Times New Roman"/>
        </w:rPr>
        <w:t>:</w:t>
      </w:r>
    </w:p>
    <w:p w14:paraId="3E205333" w14:textId="77777777" w:rsidR="00030D15" w:rsidRPr="00857D68" w:rsidRDefault="00030D15" w:rsidP="00030D15">
      <w:pPr>
        <w:numPr>
          <w:ilvl w:val="0"/>
          <w:numId w:val="15"/>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lastRenderedPageBreak/>
        <w:t xml:space="preserve">pasikalbėkite su gydytoju, jei skauda ausį, atsirado išskyrų ir (arba) prasidėjo ausies infekcija. Tai gali būti ausies kaulo pažeidimo požymiai. </w:t>
      </w:r>
    </w:p>
    <w:p w14:paraId="7924AE0E"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0F3649D2" w14:textId="77777777" w:rsidR="00030D15" w:rsidRPr="00857D68" w:rsidRDefault="00030D15" w:rsidP="00030D15">
      <w:pPr>
        <w:tabs>
          <w:tab w:val="left" w:pos="567"/>
        </w:tabs>
        <w:spacing w:after="0" w:line="260" w:lineRule="exact"/>
        <w:rPr>
          <w:rFonts w:ascii="Times New Roman" w:eastAsia="Times New Roman" w:hAnsi="Times New Roman" w:cs="Times New Roman"/>
          <w:b/>
          <w:szCs w:val="20"/>
        </w:rPr>
      </w:pPr>
      <w:r w:rsidRPr="00857D68">
        <w:rPr>
          <w:rFonts w:ascii="Times New Roman" w:eastAsia="Times New Roman" w:hAnsi="Times New Roman" w:cs="Times New Roman"/>
          <w:b/>
          <w:szCs w:val="20"/>
        </w:rPr>
        <w:t>Pranešimas apie šalutinį poveikį</w:t>
      </w:r>
    </w:p>
    <w:p w14:paraId="62D953D9" w14:textId="5C4841B9" w:rsidR="00F2203E" w:rsidRPr="00857D68" w:rsidRDefault="00030D15" w:rsidP="00030D15">
      <w:pPr>
        <w:tabs>
          <w:tab w:val="left" w:pos="567"/>
        </w:tabs>
        <w:spacing w:after="0" w:line="260" w:lineRule="exact"/>
        <w:rPr>
          <w:rFonts w:ascii="Times New Roman" w:eastAsia="Times New Roman" w:hAnsi="Times New Roman" w:cs="Times New Roman"/>
          <w:szCs w:val="20"/>
        </w:rPr>
      </w:pPr>
      <w:r w:rsidRPr="00857D68">
        <w:rPr>
          <w:rFonts w:ascii="Times New Roman" w:eastAsia="Times New Roman" w:hAnsi="Times New Roman" w:cs="Times New Roman"/>
          <w:szCs w:val="20"/>
        </w:rPr>
        <w:t>Jeigu pasireiškė šalutinis poveikis, įskaitant šiame lapelyje nenurodytą, pasakykite gydytojui arba slaugytojui</w:t>
      </w:r>
      <w:r w:rsidR="00F2203E" w:rsidRPr="00857D68">
        <w:rPr>
          <w:rFonts w:ascii="Times New Roman" w:eastAsia="Times New Roman" w:hAnsi="Times New Roman" w:cs="Times New Roman"/>
          <w:szCs w:val="20"/>
        </w:rPr>
        <w:t xml:space="preserve">. Pranešimą apie šalutinį poveikį galite </w:t>
      </w:r>
      <w:r w:rsidR="00F62DBB" w:rsidRPr="00F62DBB">
        <w:rPr>
          <w:rFonts w:ascii="Times New Roman" w:eastAsia="Times New Roman" w:hAnsi="Times New Roman" w:cs="Times New Roman"/>
          <w:szCs w:val="20"/>
        </w:rPr>
        <w:t xml:space="preserve">užpildyti ir pateikti Valstybinės vaistų kontrolės tarnybos prie Lietuvos Respublikos sveikatos apsaugos ministerijos tinklalapyje </w:t>
      </w:r>
      <w:r w:rsidR="00F62DBB" w:rsidRPr="00F62DBB">
        <w:rPr>
          <w:rFonts w:ascii="Times New Roman" w:eastAsia="Times New Roman" w:hAnsi="Times New Roman" w:cs="Times New Roman"/>
          <w:szCs w:val="20"/>
          <w:u w:val="single"/>
        </w:rPr>
        <w:t>https://vvkt.lrv.lt/lt/</w:t>
      </w:r>
      <w:r w:rsidR="00F62DBB" w:rsidRPr="00F62DBB">
        <w:rPr>
          <w:rFonts w:ascii="Times New Roman" w:eastAsia="Times New Roman" w:hAnsi="Times New Roman" w:cs="Times New Roman"/>
          <w:szCs w:val="20"/>
        </w:rPr>
        <w:t xml:space="preserve"> nurodytais būdais arba paskambinti nemokamu telefonu 8 800 73 568. Pranešdami apie šalutinį poveikį galite mums padėti gauti daugiau informacijos apie šio vaisto saugumą</w:t>
      </w:r>
      <w:r w:rsidR="00F2203E" w:rsidRPr="00857D68">
        <w:rPr>
          <w:rFonts w:ascii="Times New Roman" w:eastAsia="Times New Roman" w:hAnsi="Times New Roman" w:cs="Times New Roman"/>
          <w:szCs w:val="20"/>
        </w:rPr>
        <w:t>.</w:t>
      </w:r>
    </w:p>
    <w:p w14:paraId="4DF68D06"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p>
    <w:p w14:paraId="068D0696"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6B424F14" w14:textId="77777777" w:rsidR="00030D15" w:rsidRPr="00857D68" w:rsidRDefault="00030D15" w:rsidP="00030D15">
      <w:pPr>
        <w:numPr>
          <w:ilvl w:val="12"/>
          <w:numId w:val="0"/>
        </w:numPr>
        <w:tabs>
          <w:tab w:val="left" w:pos="720"/>
        </w:tabs>
        <w:spacing w:after="0" w:line="240" w:lineRule="auto"/>
        <w:ind w:left="567" w:right="-2" w:hanging="567"/>
        <w:rPr>
          <w:rFonts w:ascii="Times New Roman" w:eastAsia="Times New Roman" w:hAnsi="Times New Roman" w:cs="Times New Roman"/>
        </w:rPr>
      </w:pPr>
      <w:r w:rsidRPr="00857D68">
        <w:rPr>
          <w:rFonts w:ascii="Times New Roman" w:eastAsia="Times New Roman" w:hAnsi="Times New Roman" w:cs="Times New Roman"/>
          <w:b/>
        </w:rPr>
        <w:t>5.</w:t>
      </w:r>
      <w:r w:rsidRPr="00857D68">
        <w:rPr>
          <w:rFonts w:ascii="Times New Roman" w:eastAsia="Times New Roman" w:hAnsi="Times New Roman" w:cs="Times New Roman"/>
          <w:b/>
        </w:rPr>
        <w:tab/>
        <w:t>Kaip laikyti Alendronic acid Accord</w:t>
      </w:r>
    </w:p>
    <w:p w14:paraId="69E0A102"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698DB58C" w14:textId="77777777" w:rsidR="00030D15" w:rsidRPr="00857D68" w:rsidRDefault="00030D15" w:rsidP="00030D15">
      <w:pPr>
        <w:numPr>
          <w:ilvl w:val="0"/>
          <w:numId w:val="16"/>
        </w:numPr>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rPr>
        <w:t>Šį vaistą laikykite vaikams nepastebimoje ir nepasiekiamoje</w:t>
      </w:r>
      <w:r w:rsidRPr="00857D68" w:rsidDel="00B76353">
        <w:rPr>
          <w:rFonts w:ascii="Times New Roman" w:eastAsia="Times New Roman" w:hAnsi="Times New Roman" w:cs="Times New Roman"/>
        </w:rPr>
        <w:t xml:space="preserve"> </w:t>
      </w:r>
      <w:r w:rsidRPr="00857D68">
        <w:rPr>
          <w:rFonts w:ascii="Times New Roman" w:eastAsia="Times New Roman" w:hAnsi="Times New Roman" w:cs="Times New Roman"/>
        </w:rPr>
        <w:t xml:space="preserve">vietoje. </w:t>
      </w:r>
    </w:p>
    <w:p w14:paraId="7C7AA44E" w14:textId="77777777" w:rsidR="00030D15" w:rsidRPr="00857D68" w:rsidRDefault="00030D15" w:rsidP="00030D15">
      <w:pPr>
        <w:numPr>
          <w:ilvl w:val="0"/>
          <w:numId w:val="16"/>
        </w:numPr>
        <w:spacing w:after="0" w:line="260" w:lineRule="exact"/>
        <w:rPr>
          <w:rFonts w:ascii="Times New Roman" w:eastAsia="Times New Roman" w:hAnsi="Times New Roman" w:cs="Times New Roman"/>
        </w:rPr>
      </w:pPr>
      <w:r w:rsidRPr="00857D68">
        <w:rPr>
          <w:rFonts w:ascii="Times New Roman" w:eastAsia="Times New Roman" w:hAnsi="Times New Roman" w:cs="Times New Roman"/>
        </w:rPr>
        <w:t>Šiam vaistui specialių laikymo sąlygų nereikia.</w:t>
      </w:r>
    </w:p>
    <w:p w14:paraId="07FE4C7C" w14:textId="77777777" w:rsidR="00030D15" w:rsidRPr="00857D68" w:rsidRDefault="00030D15" w:rsidP="00030D15">
      <w:pPr>
        <w:numPr>
          <w:ilvl w:val="0"/>
          <w:numId w:val="16"/>
        </w:numPr>
        <w:spacing w:after="0" w:line="240" w:lineRule="auto"/>
        <w:rPr>
          <w:rFonts w:ascii="Times New Roman" w:eastAsia="Times New Roman" w:hAnsi="Times New Roman" w:cs="Times New Roman"/>
          <w:iCs/>
        </w:rPr>
      </w:pPr>
      <w:r w:rsidRPr="00857D68">
        <w:rPr>
          <w:rFonts w:ascii="Times New Roman" w:eastAsia="Times New Roman" w:hAnsi="Times New Roman" w:cs="Times New Roman"/>
          <w:iCs/>
        </w:rPr>
        <w:t>Ant dėžutės ir lizdinės plokštelės po „Tinka iki/EXP“ nurodytam tinkamumo laikui pasibaigus, šio vaisto vartoti negalima. Vaistas tinkamas vartoti iki paskutinės nurodyto mėnesio dienos.</w:t>
      </w:r>
    </w:p>
    <w:p w14:paraId="41C8E62C" w14:textId="77777777" w:rsidR="00030D15" w:rsidRPr="00857D68" w:rsidRDefault="00030D15" w:rsidP="00030D15">
      <w:pPr>
        <w:numPr>
          <w:ilvl w:val="0"/>
          <w:numId w:val="16"/>
        </w:numPr>
        <w:spacing w:after="0" w:line="240" w:lineRule="auto"/>
        <w:ind w:right="-2"/>
        <w:rPr>
          <w:rFonts w:ascii="Times New Roman" w:eastAsia="Times New Roman" w:hAnsi="Times New Roman" w:cs="Times New Roman"/>
        </w:rPr>
      </w:pPr>
      <w:r w:rsidRPr="00857D68">
        <w:rPr>
          <w:rFonts w:ascii="Times New Roman" w:eastAsia="Times New Roman" w:hAnsi="Times New Roman" w:cs="Times New Roman"/>
          <w:szCs w:val="20"/>
        </w:rPr>
        <w:t>Vaistų negalima išmesti į kanalizaciją arba su buitinėmis atliekomis. Kaip išmesti nereikalingus vaistus, klauskite vaistininko. Šios priemonės padės apsaugoti aplinką.</w:t>
      </w:r>
    </w:p>
    <w:p w14:paraId="5332F781"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654E01AD"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7CA346AD" w14:textId="77777777" w:rsidR="00030D15" w:rsidRPr="00857D68" w:rsidRDefault="00030D15" w:rsidP="00030D15">
      <w:pPr>
        <w:keepNext/>
        <w:tabs>
          <w:tab w:val="left" w:pos="567"/>
        </w:tabs>
        <w:spacing w:after="0" w:line="240" w:lineRule="auto"/>
        <w:ind w:right="-2"/>
        <w:rPr>
          <w:rFonts w:ascii="Times New Roman" w:eastAsia="Times New Roman" w:hAnsi="Times New Roman" w:cs="Times New Roman"/>
          <w:b/>
          <w:szCs w:val="20"/>
        </w:rPr>
      </w:pPr>
      <w:r w:rsidRPr="00857D68">
        <w:rPr>
          <w:rFonts w:ascii="Times New Roman" w:eastAsia="Times New Roman" w:hAnsi="Times New Roman" w:cs="Times New Roman"/>
          <w:b/>
        </w:rPr>
        <w:t>6.</w:t>
      </w:r>
      <w:r w:rsidRPr="00857D68">
        <w:rPr>
          <w:rFonts w:ascii="Times New Roman" w:eastAsia="Times New Roman" w:hAnsi="Times New Roman" w:cs="Times New Roman"/>
          <w:b/>
        </w:rPr>
        <w:tab/>
      </w:r>
      <w:r w:rsidRPr="00857D68">
        <w:rPr>
          <w:rFonts w:ascii="Times New Roman" w:eastAsia="Times New Roman" w:hAnsi="Times New Roman" w:cs="Times New Roman"/>
          <w:b/>
          <w:szCs w:val="20"/>
        </w:rPr>
        <w:t>Pakuotės turinys ir kita informacija</w:t>
      </w:r>
    </w:p>
    <w:p w14:paraId="1EDB4C37"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b/>
          <w:szCs w:val="20"/>
        </w:rPr>
      </w:pPr>
    </w:p>
    <w:p w14:paraId="5E07AD13"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b/>
          <w:bCs/>
        </w:rPr>
      </w:pPr>
      <w:r w:rsidRPr="00857D68">
        <w:rPr>
          <w:rFonts w:ascii="Times New Roman" w:eastAsia="Times New Roman" w:hAnsi="Times New Roman" w:cs="Times New Roman"/>
          <w:b/>
          <w:bCs/>
        </w:rPr>
        <w:t xml:space="preserve">Alendronic acid Accord sudėtis </w:t>
      </w:r>
    </w:p>
    <w:p w14:paraId="67879C99"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u w:val="single"/>
        </w:rPr>
      </w:pPr>
    </w:p>
    <w:p w14:paraId="588F8C99" w14:textId="77777777" w:rsidR="00030D15" w:rsidRPr="00857D68" w:rsidRDefault="00030D15" w:rsidP="00030D15">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rPr>
      </w:pPr>
      <w:r w:rsidRPr="00857D68">
        <w:rPr>
          <w:rFonts w:ascii="Times New Roman" w:eastAsia="Times New Roman" w:hAnsi="Times New Roman" w:cs="Times New Roman"/>
        </w:rPr>
        <w:t xml:space="preserve">Veiklioji medžiaga yra alendrono rūgštis (natrio alendronato pavidalu). </w:t>
      </w:r>
    </w:p>
    <w:p w14:paraId="16119C75" w14:textId="77777777" w:rsidR="00030D15" w:rsidRPr="00857D68" w:rsidRDefault="00030D15" w:rsidP="00030D15">
      <w:pPr>
        <w:tabs>
          <w:tab w:val="left" w:pos="720"/>
        </w:tabs>
        <w:spacing w:after="0" w:line="240" w:lineRule="auto"/>
        <w:ind w:right="-2" w:firstLine="567"/>
        <w:rPr>
          <w:rFonts w:ascii="Times New Roman" w:eastAsia="Times New Roman" w:hAnsi="Times New Roman" w:cs="Times New Roman"/>
          <w:i/>
          <w:iCs/>
        </w:rPr>
      </w:pPr>
      <w:r w:rsidRPr="00857D68">
        <w:rPr>
          <w:rFonts w:ascii="Times New Roman" w:eastAsia="Times New Roman" w:hAnsi="Times New Roman" w:cs="Times New Roman"/>
        </w:rPr>
        <w:t>Kiekvienoje tabletėje yra 70 mg alendrono rūgšties (natrio alendronato pavidalu).</w:t>
      </w:r>
    </w:p>
    <w:p w14:paraId="3CABE3EF" w14:textId="77777777" w:rsidR="00030D15" w:rsidRPr="00857D68" w:rsidRDefault="00030D15" w:rsidP="00030D15">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857D68">
        <w:rPr>
          <w:rFonts w:ascii="Times New Roman" w:eastAsia="Times New Roman" w:hAnsi="Times New Roman" w:cs="Times New Roman"/>
        </w:rPr>
        <w:t>Pagalbinės medžiagos yra bevandenė laktozė, mikrokristalinė celiuliozė (E460),kroskarmeliozės natrio druska ir magnio stearatas.</w:t>
      </w:r>
    </w:p>
    <w:p w14:paraId="295420D7" w14:textId="77777777" w:rsidR="00030D15" w:rsidRPr="00857D68" w:rsidRDefault="00030D15" w:rsidP="00030D15">
      <w:pPr>
        <w:tabs>
          <w:tab w:val="left" w:pos="720"/>
        </w:tabs>
        <w:spacing w:after="0" w:line="240" w:lineRule="auto"/>
        <w:ind w:right="-2"/>
        <w:rPr>
          <w:rFonts w:ascii="Times New Roman" w:eastAsia="Times New Roman" w:hAnsi="Times New Roman" w:cs="Times New Roman"/>
        </w:rPr>
      </w:pPr>
    </w:p>
    <w:p w14:paraId="1B7CA9DB"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b/>
          <w:bCs/>
        </w:rPr>
      </w:pPr>
      <w:r w:rsidRPr="00857D68">
        <w:rPr>
          <w:rFonts w:ascii="Times New Roman" w:eastAsia="Times New Roman" w:hAnsi="Times New Roman" w:cs="Times New Roman"/>
          <w:b/>
          <w:bCs/>
        </w:rPr>
        <w:t>Alendronic acid Accord išvaizda ir kiekis pakuotėje</w:t>
      </w:r>
    </w:p>
    <w:p w14:paraId="188CF08E"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u w:val="single"/>
        </w:rPr>
      </w:pPr>
    </w:p>
    <w:p w14:paraId="71F541B0" w14:textId="77777777" w:rsidR="00030D15" w:rsidRPr="00857D68" w:rsidRDefault="00030D15" w:rsidP="00030D15">
      <w:pPr>
        <w:tabs>
          <w:tab w:val="left" w:pos="567"/>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bCs/>
        </w:rPr>
        <w:t xml:space="preserve">Alendronic acid Accord 70 mg tabletės yra </w:t>
      </w:r>
      <w:r w:rsidRPr="00857D68">
        <w:rPr>
          <w:rFonts w:ascii="Times New Roman" w:eastAsia="Times New Roman" w:hAnsi="Times New Roman" w:cs="Times New Roman"/>
        </w:rPr>
        <w:t>baltos arba balkšvos, ovalo formos, abipus išgaubtos, vienoje jų pusėje įspausta „AHI“, o kita pusė lygi.</w:t>
      </w:r>
    </w:p>
    <w:p w14:paraId="68E5EF6D" w14:textId="77777777" w:rsidR="00030D15" w:rsidRPr="00857D68" w:rsidRDefault="00030D15" w:rsidP="00030D15">
      <w:pPr>
        <w:tabs>
          <w:tab w:val="left" w:pos="720"/>
        </w:tabs>
        <w:spacing w:after="0" w:line="260" w:lineRule="exact"/>
        <w:rPr>
          <w:rFonts w:ascii="Times New Roman" w:eastAsia="Times New Roman" w:hAnsi="Times New Roman" w:cs="Times New Roman"/>
        </w:rPr>
      </w:pPr>
      <w:r w:rsidRPr="00857D68">
        <w:rPr>
          <w:rFonts w:ascii="Times New Roman" w:eastAsia="Times New Roman" w:hAnsi="Times New Roman" w:cs="Times New Roman"/>
          <w:bCs/>
        </w:rPr>
        <w:t>Alendronic acid Accord 70 mg tabletės tiekiamos</w:t>
      </w:r>
      <w:r w:rsidRPr="00857D68">
        <w:rPr>
          <w:rFonts w:ascii="Times New Roman" w:eastAsia="Times New Roman" w:hAnsi="Times New Roman" w:cs="Times New Roman"/>
        </w:rPr>
        <w:t xml:space="preserve"> OPA/Al/PVC/Al lizdinėmis plokštelėmis, kuriose yra po 4 arba 12 tablečių. Gali būti tiekiamos ne visų dydžių pakuotės.</w:t>
      </w:r>
    </w:p>
    <w:p w14:paraId="581F176A"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3BD23026" w14:textId="77777777" w:rsidR="00030D15" w:rsidRPr="00857D68" w:rsidRDefault="00030D15" w:rsidP="00030D15">
      <w:pPr>
        <w:numPr>
          <w:ilvl w:val="12"/>
          <w:numId w:val="0"/>
        </w:numPr>
        <w:tabs>
          <w:tab w:val="left" w:pos="720"/>
        </w:tabs>
        <w:spacing w:after="0" w:line="240" w:lineRule="auto"/>
        <w:ind w:right="-2"/>
        <w:rPr>
          <w:rFonts w:ascii="Times New Roman" w:hAnsi="Times New Roman"/>
          <w:b/>
        </w:rPr>
      </w:pPr>
      <w:r w:rsidRPr="00857D68">
        <w:rPr>
          <w:rFonts w:ascii="Times New Roman" w:eastAsia="Times New Roman" w:hAnsi="Times New Roman" w:cs="Times New Roman"/>
          <w:b/>
          <w:szCs w:val="20"/>
        </w:rPr>
        <w:t>Registruotojas</w:t>
      </w:r>
      <w:r w:rsidRPr="00857D68">
        <w:rPr>
          <w:rFonts w:ascii="Times New Roman" w:eastAsia="Times New Roman" w:hAnsi="Times New Roman" w:cs="Times New Roman"/>
          <w:szCs w:val="20"/>
        </w:rPr>
        <w:t xml:space="preserve"> </w:t>
      </w:r>
      <w:r w:rsidRPr="00857D68">
        <w:rPr>
          <w:rFonts w:ascii="Times New Roman" w:eastAsia="Times New Roman" w:hAnsi="Times New Roman" w:cs="Times New Roman"/>
          <w:b/>
          <w:szCs w:val="20"/>
        </w:rPr>
        <w:t>ir gamintojas</w:t>
      </w:r>
    </w:p>
    <w:p w14:paraId="77AF24B4" w14:textId="77777777" w:rsidR="00F2203E" w:rsidRPr="00857D68" w:rsidRDefault="00F2203E" w:rsidP="00030D15">
      <w:pPr>
        <w:tabs>
          <w:tab w:val="left" w:pos="567"/>
        </w:tabs>
        <w:spacing w:after="0" w:line="260" w:lineRule="exact"/>
        <w:jc w:val="both"/>
        <w:rPr>
          <w:rFonts w:ascii="Times New Roman" w:eastAsia="Times New Roman" w:hAnsi="Times New Roman" w:cs="Times New Roman"/>
          <w:b/>
          <w:szCs w:val="20"/>
        </w:rPr>
      </w:pPr>
    </w:p>
    <w:p w14:paraId="098DF833" w14:textId="12BCFFD4" w:rsidR="00CB1D9E" w:rsidRPr="00857D68" w:rsidRDefault="00CB1D9E" w:rsidP="00030D15">
      <w:pPr>
        <w:tabs>
          <w:tab w:val="left" w:pos="567"/>
        </w:tabs>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b/>
          <w:szCs w:val="20"/>
        </w:rPr>
        <w:t>Registruotojas</w:t>
      </w:r>
    </w:p>
    <w:p w14:paraId="26778090" w14:textId="488D5718" w:rsidR="00030D15" w:rsidRPr="00857D68" w:rsidRDefault="00030D15" w:rsidP="000A2AD2">
      <w:pPr>
        <w:spacing w:after="0"/>
        <w:rPr>
          <w:rFonts w:ascii="Times New Roman" w:eastAsia="Times New Roman" w:hAnsi="Times New Roman" w:cs="Times New Roman"/>
        </w:rPr>
      </w:pPr>
      <w:r w:rsidRPr="00857D68">
        <w:rPr>
          <w:rFonts w:ascii="Times New Roman" w:eastAsia="Times New Roman" w:hAnsi="Times New Roman" w:cs="Times New Roman"/>
        </w:rPr>
        <w:t xml:space="preserve">Accord Healthcare </w:t>
      </w:r>
      <w:r w:rsidR="00EF57B4" w:rsidRPr="00857D68">
        <w:rPr>
          <w:rFonts w:ascii="Times New Roman" w:hAnsi="Times New Roman" w:cs="Times New Roman"/>
        </w:rPr>
        <w:t xml:space="preserve">B.V. </w:t>
      </w:r>
    </w:p>
    <w:p w14:paraId="15E48BED"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 xml:space="preserve">Winthontlaan 200 </w:t>
      </w:r>
    </w:p>
    <w:p w14:paraId="7BD8B333"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 xml:space="preserve">3526 KV Utrecht </w:t>
      </w:r>
    </w:p>
    <w:p w14:paraId="435F9CE5" w14:textId="77777777" w:rsidR="00EF57B4" w:rsidRPr="00857D68" w:rsidRDefault="00EF57B4" w:rsidP="00EF57B4">
      <w:pPr>
        <w:spacing w:after="0"/>
        <w:rPr>
          <w:rFonts w:ascii="Times New Roman" w:hAnsi="Times New Roman" w:cs="Times New Roman"/>
        </w:rPr>
      </w:pPr>
      <w:r w:rsidRPr="00857D68">
        <w:rPr>
          <w:rFonts w:ascii="Times New Roman" w:hAnsi="Times New Roman" w:cs="Times New Roman"/>
        </w:rPr>
        <w:t>Nyderlandai</w:t>
      </w:r>
    </w:p>
    <w:p w14:paraId="10DD3EC0" w14:textId="77777777" w:rsidR="00F2203E" w:rsidRPr="00857D68" w:rsidRDefault="00F2203E" w:rsidP="009C0427">
      <w:pPr>
        <w:tabs>
          <w:tab w:val="left" w:pos="567"/>
        </w:tabs>
        <w:spacing w:after="0" w:line="260" w:lineRule="exact"/>
        <w:jc w:val="both"/>
        <w:rPr>
          <w:rFonts w:ascii="Times New Roman" w:eastAsia="Times New Roman" w:hAnsi="Times New Roman" w:cs="Times New Roman"/>
          <w:b/>
          <w:szCs w:val="20"/>
        </w:rPr>
      </w:pPr>
    </w:p>
    <w:p w14:paraId="56A144B2" w14:textId="219FF741" w:rsidR="00CB1D9E" w:rsidRPr="00857D68" w:rsidRDefault="00CB1D9E" w:rsidP="009C0427">
      <w:pPr>
        <w:tabs>
          <w:tab w:val="left" w:pos="567"/>
        </w:tabs>
        <w:spacing w:after="0" w:line="260" w:lineRule="exact"/>
        <w:jc w:val="both"/>
        <w:rPr>
          <w:rFonts w:ascii="Times New Roman" w:hAnsi="Times New Roman"/>
        </w:rPr>
      </w:pPr>
      <w:r w:rsidRPr="00857D68">
        <w:rPr>
          <w:rFonts w:ascii="Times New Roman" w:eastAsia="Times New Roman" w:hAnsi="Times New Roman" w:cs="Times New Roman"/>
          <w:b/>
          <w:szCs w:val="20"/>
        </w:rPr>
        <w:t>Gamintojas</w:t>
      </w:r>
    </w:p>
    <w:p w14:paraId="5C2B1B87" w14:textId="625534F6" w:rsidR="00CB1D9E" w:rsidRPr="00857D68" w:rsidRDefault="00CB1D9E" w:rsidP="00CB1D9E">
      <w:pPr>
        <w:tabs>
          <w:tab w:val="left" w:pos="567"/>
        </w:tabs>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Accord Healthcare Polska Sp.z o.o.,</w:t>
      </w:r>
    </w:p>
    <w:p w14:paraId="7CCBED18" w14:textId="77777777" w:rsidR="00CB1D9E" w:rsidRPr="00857D68" w:rsidRDefault="00CB1D9E" w:rsidP="00CB1D9E">
      <w:pPr>
        <w:tabs>
          <w:tab w:val="left" w:pos="567"/>
        </w:tabs>
        <w:spacing w:after="0" w:line="260" w:lineRule="exact"/>
        <w:jc w:val="both"/>
        <w:rPr>
          <w:rFonts w:ascii="Times New Roman" w:eastAsia="Times New Roman" w:hAnsi="Times New Roman" w:cs="Times New Roman"/>
        </w:rPr>
      </w:pPr>
      <w:r w:rsidRPr="00857D68">
        <w:rPr>
          <w:rFonts w:ascii="Times New Roman" w:eastAsia="Times New Roman" w:hAnsi="Times New Roman" w:cs="Times New Roman"/>
        </w:rPr>
        <w:t>ul. Lutomierska 50,95-200 Pabianice, Lenkija</w:t>
      </w:r>
    </w:p>
    <w:p w14:paraId="3653B6DE"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rPr>
      </w:pPr>
    </w:p>
    <w:p w14:paraId="449B33F2" w14:textId="64D3D84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b/>
        </w:rPr>
      </w:pPr>
      <w:r w:rsidRPr="00857D68">
        <w:rPr>
          <w:rFonts w:ascii="Times New Roman" w:eastAsia="Times New Roman" w:hAnsi="Times New Roman" w:cs="Times New Roman"/>
          <w:b/>
        </w:rPr>
        <w:t xml:space="preserve">Šis vaistas </w:t>
      </w:r>
      <w:r w:rsidR="00F2203E" w:rsidRPr="00857D68">
        <w:rPr>
          <w:rFonts w:ascii="Times New Roman" w:eastAsia="Times New Roman" w:hAnsi="Times New Roman" w:cs="Times New Roman"/>
          <w:b/>
        </w:rPr>
        <w:t>Europos ekonominės erdvės</w:t>
      </w:r>
      <w:r w:rsidRPr="00857D68">
        <w:rPr>
          <w:rFonts w:ascii="Times New Roman" w:eastAsia="Times New Roman" w:hAnsi="Times New Roman" w:cs="Times New Roman"/>
          <w:b/>
        </w:rPr>
        <w:t xml:space="preserve"> valstybėse narėse </w:t>
      </w:r>
      <w:r w:rsidR="00F2203E" w:rsidRPr="00857D68">
        <w:rPr>
          <w:rFonts w:ascii="Times New Roman" w:eastAsia="Times New Roman" w:hAnsi="Times New Roman" w:cs="Times New Roman"/>
          <w:b/>
        </w:rPr>
        <w:t xml:space="preserve">ir Jungtinėje Karalystėje (Šiaurės Airijoje) </w:t>
      </w:r>
      <w:r w:rsidRPr="00857D68">
        <w:rPr>
          <w:rFonts w:ascii="Times New Roman" w:eastAsia="Times New Roman" w:hAnsi="Times New Roman" w:cs="Times New Roman"/>
          <w:b/>
        </w:rPr>
        <w:t>registruotas tokiais pavadinimais:</w:t>
      </w:r>
    </w:p>
    <w:p w14:paraId="1124A7D4" w14:textId="77777777" w:rsidR="00030D15" w:rsidRPr="00857D68" w:rsidRDefault="00030D15" w:rsidP="00030D15">
      <w:pPr>
        <w:numPr>
          <w:ilvl w:val="12"/>
          <w:numId w:val="0"/>
        </w:numPr>
        <w:tabs>
          <w:tab w:val="left" w:pos="720"/>
        </w:tabs>
        <w:spacing w:after="0" w:line="240" w:lineRule="auto"/>
        <w:ind w:right="-2"/>
        <w:rPr>
          <w:rFonts w:ascii="Times New Roman" w:eastAsia="Times New Roman" w:hAnsi="Times New Roman" w:cs="Times New Roman"/>
          <w:b/>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415"/>
      </w:tblGrid>
      <w:tr w:rsidR="004F570E" w:rsidRPr="00857D68" w14:paraId="5B99D55C" w14:textId="77777777" w:rsidTr="00E05DEC">
        <w:trPr>
          <w:trHeight w:val="64"/>
        </w:trPr>
        <w:tc>
          <w:tcPr>
            <w:tcW w:w="2518" w:type="dxa"/>
          </w:tcPr>
          <w:p w14:paraId="6FAAAF64" w14:textId="22A5FD45" w:rsidR="004F570E" w:rsidRPr="00857D68" w:rsidRDefault="004F570E"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b/>
                <w:color w:val="000000"/>
              </w:rPr>
              <w:t>Valstybė narė</w:t>
            </w:r>
          </w:p>
        </w:tc>
        <w:tc>
          <w:tcPr>
            <w:tcW w:w="5415" w:type="dxa"/>
          </w:tcPr>
          <w:p w14:paraId="021786C5" w14:textId="54F20261" w:rsidR="004F570E" w:rsidRPr="00857D68" w:rsidRDefault="004F570E" w:rsidP="00E05DEC">
            <w:pPr>
              <w:keepNext/>
              <w:overflowPunct w:val="0"/>
              <w:autoSpaceDE w:val="0"/>
              <w:autoSpaceDN w:val="0"/>
              <w:adjustRightInd w:val="0"/>
              <w:spacing w:after="0" w:line="240" w:lineRule="auto"/>
              <w:textAlignment w:val="baseline"/>
              <w:outlineLvl w:val="1"/>
              <w:rPr>
                <w:rFonts w:ascii="Times New Roman" w:hAnsi="Times New Roman"/>
                <w:color w:val="000000"/>
              </w:rPr>
            </w:pPr>
            <w:r w:rsidRPr="00857D68">
              <w:rPr>
                <w:rFonts w:ascii="Times New Roman" w:hAnsi="Times New Roman"/>
                <w:b/>
                <w:color w:val="000000"/>
              </w:rPr>
              <w:t>Vaisto pavadinimas</w:t>
            </w:r>
          </w:p>
        </w:tc>
      </w:tr>
      <w:tr w:rsidR="004F570E" w:rsidRPr="00857D68" w14:paraId="3CB99859" w14:textId="77777777" w:rsidTr="00E05DEC">
        <w:trPr>
          <w:trHeight w:val="64"/>
        </w:trPr>
        <w:tc>
          <w:tcPr>
            <w:tcW w:w="2518" w:type="dxa"/>
          </w:tcPr>
          <w:p w14:paraId="2949AA39" w14:textId="2C3D8848" w:rsidR="004F570E" w:rsidRPr="00857D68" w:rsidRDefault="004F570E"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Estija</w:t>
            </w:r>
          </w:p>
        </w:tc>
        <w:tc>
          <w:tcPr>
            <w:tcW w:w="5415" w:type="dxa"/>
          </w:tcPr>
          <w:p w14:paraId="0A1402BC" w14:textId="2E1D031F" w:rsidR="004F570E" w:rsidRPr="00857D68" w:rsidRDefault="004F570E"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Alendronic Acid Accord 70</w:t>
            </w:r>
            <w:r w:rsidR="006905F6">
              <w:rPr>
                <w:rFonts w:ascii="Times New Roman" w:hAnsi="Times New Roman"/>
                <w:color w:val="000000"/>
              </w:rPr>
              <w:t> </w:t>
            </w:r>
            <w:r w:rsidRPr="00857D68">
              <w:rPr>
                <w:rFonts w:ascii="Times New Roman" w:hAnsi="Times New Roman"/>
                <w:color w:val="000000"/>
              </w:rPr>
              <w:t>mg, tabletid</w:t>
            </w:r>
          </w:p>
        </w:tc>
      </w:tr>
      <w:tr w:rsidR="00030D15" w:rsidRPr="00857D68" w14:paraId="2E606E9C" w14:textId="77777777" w:rsidTr="00E05DEC">
        <w:trPr>
          <w:trHeight w:val="64"/>
        </w:trPr>
        <w:tc>
          <w:tcPr>
            <w:tcW w:w="2518" w:type="dxa"/>
          </w:tcPr>
          <w:p w14:paraId="5FCED1F4"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Italija</w:t>
            </w:r>
          </w:p>
        </w:tc>
        <w:tc>
          <w:tcPr>
            <w:tcW w:w="5415" w:type="dxa"/>
          </w:tcPr>
          <w:p w14:paraId="1C597168" w14:textId="2A0D823F"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 xml:space="preserve">Alendronato AHCL </w:t>
            </w:r>
            <w:r w:rsidR="006905F6" w:rsidRPr="00857D68">
              <w:rPr>
                <w:rFonts w:ascii="Times New Roman" w:hAnsi="Times New Roman"/>
                <w:color w:val="000000"/>
              </w:rPr>
              <w:t>70</w:t>
            </w:r>
            <w:r w:rsidR="006905F6">
              <w:rPr>
                <w:rFonts w:ascii="Times New Roman" w:hAnsi="Times New Roman"/>
                <w:color w:val="000000"/>
              </w:rPr>
              <w:t> </w:t>
            </w:r>
            <w:r w:rsidRPr="00857D68">
              <w:rPr>
                <w:rFonts w:ascii="Times New Roman" w:hAnsi="Times New Roman"/>
                <w:color w:val="000000"/>
              </w:rPr>
              <w:t>mg Compresse</w:t>
            </w:r>
          </w:p>
        </w:tc>
      </w:tr>
      <w:tr w:rsidR="00030D15" w:rsidRPr="00857D68" w14:paraId="61BA4CC9" w14:textId="77777777" w:rsidTr="00E05DEC">
        <w:trPr>
          <w:trHeight w:val="64"/>
        </w:trPr>
        <w:tc>
          <w:tcPr>
            <w:tcW w:w="2518" w:type="dxa"/>
          </w:tcPr>
          <w:p w14:paraId="4480299E"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Lietuva</w:t>
            </w:r>
          </w:p>
        </w:tc>
        <w:tc>
          <w:tcPr>
            <w:tcW w:w="5415" w:type="dxa"/>
          </w:tcPr>
          <w:p w14:paraId="03C96F2A" w14:textId="634A7763"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 xml:space="preserve">Alendronic acid Accord </w:t>
            </w:r>
            <w:r w:rsidR="006905F6" w:rsidRPr="00857D68">
              <w:rPr>
                <w:rFonts w:ascii="Times New Roman" w:hAnsi="Times New Roman"/>
                <w:color w:val="000000"/>
              </w:rPr>
              <w:t>70</w:t>
            </w:r>
            <w:r w:rsidR="006905F6">
              <w:rPr>
                <w:rFonts w:ascii="Times New Roman" w:hAnsi="Times New Roman"/>
                <w:color w:val="000000"/>
              </w:rPr>
              <w:t> </w:t>
            </w:r>
            <w:r w:rsidRPr="00857D68">
              <w:rPr>
                <w:rFonts w:ascii="Times New Roman" w:hAnsi="Times New Roman"/>
                <w:color w:val="000000"/>
              </w:rPr>
              <w:t>mg tabletės</w:t>
            </w:r>
          </w:p>
        </w:tc>
      </w:tr>
      <w:tr w:rsidR="00030D15" w:rsidRPr="00857D68" w14:paraId="22F306E4" w14:textId="77777777" w:rsidTr="00E05DEC">
        <w:trPr>
          <w:trHeight w:val="64"/>
        </w:trPr>
        <w:tc>
          <w:tcPr>
            <w:tcW w:w="2518" w:type="dxa"/>
          </w:tcPr>
          <w:p w14:paraId="4320B381"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lastRenderedPageBreak/>
              <w:t>Slovėnija</w:t>
            </w:r>
          </w:p>
        </w:tc>
        <w:tc>
          <w:tcPr>
            <w:tcW w:w="5415" w:type="dxa"/>
          </w:tcPr>
          <w:p w14:paraId="589338B3" w14:textId="3AD2FC43"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 xml:space="preserve">Natrijev Alendronat Accord </w:t>
            </w:r>
            <w:r w:rsidR="006905F6" w:rsidRPr="00857D68">
              <w:rPr>
                <w:rFonts w:ascii="Times New Roman" w:hAnsi="Times New Roman"/>
                <w:color w:val="000000"/>
              </w:rPr>
              <w:t>70</w:t>
            </w:r>
            <w:r w:rsidR="006905F6">
              <w:rPr>
                <w:rFonts w:ascii="Times New Roman" w:hAnsi="Times New Roman"/>
                <w:color w:val="000000"/>
              </w:rPr>
              <w:t> </w:t>
            </w:r>
            <w:r w:rsidRPr="00857D68">
              <w:rPr>
                <w:rFonts w:ascii="Times New Roman" w:hAnsi="Times New Roman"/>
                <w:color w:val="000000"/>
              </w:rPr>
              <w:t>mg Tablete</w:t>
            </w:r>
          </w:p>
        </w:tc>
      </w:tr>
      <w:tr w:rsidR="00030D15" w:rsidRPr="00857D68" w14:paraId="24C0396A" w14:textId="77777777" w:rsidTr="00E05DEC">
        <w:trPr>
          <w:trHeight w:val="64"/>
        </w:trPr>
        <w:tc>
          <w:tcPr>
            <w:tcW w:w="2518" w:type="dxa"/>
          </w:tcPr>
          <w:p w14:paraId="605C26D4"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Nyderlandai</w:t>
            </w:r>
          </w:p>
        </w:tc>
        <w:tc>
          <w:tcPr>
            <w:tcW w:w="5415" w:type="dxa"/>
          </w:tcPr>
          <w:p w14:paraId="4A4A703A" w14:textId="4B247460"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 xml:space="preserve">Alendroninezuur Accord </w:t>
            </w:r>
            <w:r w:rsidR="006905F6" w:rsidRPr="00857D68">
              <w:rPr>
                <w:rFonts w:ascii="Times New Roman" w:hAnsi="Times New Roman"/>
                <w:color w:val="000000"/>
              </w:rPr>
              <w:t>70</w:t>
            </w:r>
            <w:r w:rsidR="006905F6">
              <w:rPr>
                <w:rFonts w:ascii="Times New Roman" w:hAnsi="Times New Roman"/>
                <w:color w:val="000000"/>
              </w:rPr>
              <w:t> </w:t>
            </w:r>
            <w:r w:rsidRPr="00857D68">
              <w:rPr>
                <w:rFonts w:ascii="Times New Roman" w:hAnsi="Times New Roman"/>
                <w:color w:val="000000"/>
              </w:rPr>
              <w:t>mg tabletten</w:t>
            </w:r>
          </w:p>
        </w:tc>
      </w:tr>
      <w:tr w:rsidR="00030D15" w:rsidRPr="00857D68" w14:paraId="7409262B" w14:textId="77777777" w:rsidTr="00E05DEC">
        <w:trPr>
          <w:trHeight w:val="64"/>
        </w:trPr>
        <w:tc>
          <w:tcPr>
            <w:tcW w:w="2518" w:type="dxa"/>
          </w:tcPr>
          <w:p w14:paraId="7D6750E6"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Kipras</w:t>
            </w:r>
          </w:p>
        </w:tc>
        <w:tc>
          <w:tcPr>
            <w:tcW w:w="5415" w:type="dxa"/>
          </w:tcPr>
          <w:p w14:paraId="7F978D00"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Alendronic Acid Once Weekly 70 mg Tablets</w:t>
            </w:r>
          </w:p>
        </w:tc>
      </w:tr>
      <w:tr w:rsidR="00030D15" w:rsidRPr="00857D68" w14:paraId="0D79AFE1" w14:textId="77777777" w:rsidTr="00E05DEC">
        <w:trPr>
          <w:trHeight w:val="64"/>
        </w:trPr>
        <w:tc>
          <w:tcPr>
            <w:tcW w:w="2518" w:type="dxa"/>
          </w:tcPr>
          <w:p w14:paraId="1E0A327D"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Airija</w:t>
            </w:r>
          </w:p>
        </w:tc>
        <w:tc>
          <w:tcPr>
            <w:tcW w:w="5415" w:type="dxa"/>
          </w:tcPr>
          <w:p w14:paraId="083FAA6C"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Alendronic Acid Once Weekly 70</w:t>
            </w:r>
            <w:r w:rsidRPr="00E05DEC">
              <w:t xml:space="preserve"> </w:t>
            </w:r>
            <w:r w:rsidRPr="00857D68">
              <w:rPr>
                <w:rFonts w:ascii="Times New Roman" w:hAnsi="Times New Roman"/>
                <w:color w:val="000000"/>
              </w:rPr>
              <w:t>mg Tablets</w:t>
            </w:r>
          </w:p>
        </w:tc>
      </w:tr>
      <w:tr w:rsidR="00030D15" w:rsidRPr="00857D68" w14:paraId="57A8515E" w14:textId="77777777" w:rsidTr="00E05DEC">
        <w:tc>
          <w:tcPr>
            <w:tcW w:w="2518" w:type="dxa"/>
          </w:tcPr>
          <w:p w14:paraId="105CF886" w14:textId="361BAC58"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Jungtinė Karalystė</w:t>
            </w:r>
            <w:r w:rsidR="00F2203E" w:rsidRPr="00857D68">
              <w:rPr>
                <w:rFonts w:ascii="Times New Roman" w:hAnsi="Times New Roman"/>
                <w:color w:val="000000"/>
              </w:rPr>
              <w:t xml:space="preserve"> (Šiaurės Airija)</w:t>
            </w:r>
          </w:p>
        </w:tc>
        <w:tc>
          <w:tcPr>
            <w:tcW w:w="5415" w:type="dxa"/>
          </w:tcPr>
          <w:p w14:paraId="59B6DF7B" w14:textId="77777777" w:rsidR="00030D15" w:rsidRPr="00857D68" w:rsidRDefault="00030D15" w:rsidP="000A2AD2">
            <w:pPr>
              <w:overflowPunct w:val="0"/>
              <w:autoSpaceDE w:val="0"/>
              <w:autoSpaceDN w:val="0"/>
              <w:adjustRightInd w:val="0"/>
              <w:spacing w:after="0" w:line="240" w:lineRule="auto"/>
              <w:textAlignment w:val="baseline"/>
              <w:rPr>
                <w:rFonts w:ascii="Times New Roman" w:hAnsi="Times New Roman"/>
                <w:color w:val="000000"/>
              </w:rPr>
            </w:pPr>
            <w:r w:rsidRPr="00857D68">
              <w:rPr>
                <w:rFonts w:ascii="Times New Roman" w:hAnsi="Times New Roman"/>
                <w:color w:val="000000"/>
              </w:rPr>
              <w:t>Alendronic Acid Once Weekly 70</w:t>
            </w:r>
            <w:r w:rsidRPr="00E05DEC">
              <w:t xml:space="preserve"> </w:t>
            </w:r>
            <w:r w:rsidRPr="00857D68">
              <w:rPr>
                <w:rFonts w:ascii="Times New Roman" w:hAnsi="Times New Roman"/>
                <w:color w:val="000000"/>
              </w:rPr>
              <w:t>mg Tablets</w:t>
            </w:r>
          </w:p>
        </w:tc>
      </w:tr>
    </w:tbl>
    <w:p w14:paraId="6F465B43" w14:textId="77777777" w:rsidR="00030D15" w:rsidRPr="00857D68" w:rsidRDefault="00030D15" w:rsidP="00030D15">
      <w:pPr>
        <w:numPr>
          <w:ilvl w:val="12"/>
          <w:numId w:val="0"/>
        </w:numPr>
        <w:tabs>
          <w:tab w:val="left" w:pos="720"/>
        </w:tabs>
        <w:spacing w:after="0" w:line="240" w:lineRule="auto"/>
        <w:ind w:right="-2"/>
        <w:outlineLvl w:val="0"/>
        <w:rPr>
          <w:rFonts w:ascii="Times New Roman" w:eastAsia="Times New Roman" w:hAnsi="Times New Roman" w:cs="Times New Roman"/>
          <w:b/>
          <w:bCs/>
        </w:rPr>
      </w:pPr>
    </w:p>
    <w:p w14:paraId="79280A8E" w14:textId="13F785C7" w:rsidR="00030D15" w:rsidRPr="00857D68" w:rsidRDefault="00030D15" w:rsidP="00030D15">
      <w:pPr>
        <w:numPr>
          <w:ilvl w:val="12"/>
          <w:numId w:val="0"/>
        </w:numPr>
        <w:tabs>
          <w:tab w:val="left" w:pos="720"/>
        </w:tabs>
        <w:spacing w:after="0" w:line="240" w:lineRule="auto"/>
        <w:ind w:right="-2"/>
        <w:outlineLvl w:val="0"/>
        <w:rPr>
          <w:rFonts w:ascii="Times New Roman" w:eastAsia="Times New Roman" w:hAnsi="Times New Roman" w:cs="Times New Roman"/>
          <w:b/>
          <w:bCs/>
        </w:rPr>
      </w:pPr>
      <w:r w:rsidRPr="00857D68">
        <w:rPr>
          <w:rFonts w:ascii="Times New Roman" w:eastAsia="Times New Roman" w:hAnsi="Times New Roman" w:cs="Times New Roman"/>
          <w:b/>
          <w:bCs/>
        </w:rPr>
        <w:t>Šis pakuotės lapelis paskutinį kartą peržiūrėtas</w:t>
      </w:r>
      <w:r w:rsidR="006C2448">
        <w:rPr>
          <w:rFonts w:ascii="Times New Roman" w:eastAsia="Times New Roman" w:hAnsi="Times New Roman" w:cs="Times New Roman"/>
          <w:b/>
          <w:bCs/>
        </w:rPr>
        <w:t xml:space="preserve"> 2025-01-03.</w:t>
      </w:r>
    </w:p>
    <w:p w14:paraId="1029D51C" w14:textId="77777777" w:rsidR="00030D15" w:rsidRPr="00857D68" w:rsidRDefault="00030D15" w:rsidP="00030D15">
      <w:pPr>
        <w:numPr>
          <w:ilvl w:val="12"/>
          <w:numId w:val="0"/>
        </w:numPr>
        <w:tabs>
          <w:tab w:val="left" w:pos="720"/>
        </w:tabs>
        <w:spacing w:after="0" w:line="240" w:lineRule="auto"/>
        <w:ind w:right="-2"/>
        <w:outlineLvl w:val="0"/>
        <w:rPr>
          <w:rFonts w:ascii="Times New Roman" w:eastAsia="Times New Roman" w:hAnsi="Times New Roman" w:cs="Times New Roman"/>
          <w:b/>
          <w:bCs/>
        </w:rPr>
      </w:pPr>
    </w:p>
    <w:p w14:paraId="2FE15FD3" w14:textId="19D3DC3E" w:rsidR="00030D15" w:rsidRPr="00857D68" w:rsidRDefault="00030D15" w:rsidP="00030D15">
      <w:pPr>
        <w:tabs>
          <w:tab w:val="left" w:pos="567"/>
        </w:tabs>
        <w:spacing w:after="0" w:line="260" w:lineRule="exact"/>
        <w:rPr>
          <w:rFonts w:ascii="Times New Roman" w:eastAsia="Times New Roman" w:hAnsi="Times New Roman" w:cs="Times New Roman"/>
          <w:color w:val="0000FF"/>
          <w:szCs w:val="20"/>
        </w:rPr>
      </w:pPr>
      <w:r w:rsidRPr="00857D68">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r w:rsidR="00287069" w:rsidRPr="00287069">
        <w:rPr>
          <w:rFonts w:ascii="Times New Roman" w:eastAsia="Times New Roman" w:hAnsi="Times New Roman" w:cs="Times New Roman"/>
          <w:bCs/>
          <w:u w:val="single"/>
        </w:rPr>
        <w:t>https://vvkt.lrv.lt/lt/</w:t>
      </w:r>
      <w:r w:rsidR="00287069">
        <w:rPr>
          <w:rFonts w:ascii="Times New Roman" w:eastAsia="Times New Roman" w:hAnsi="Times New Roman" w:cs="Times New Roman"/>
          <w:bCs/>
          <w:u w:val="single"/>
        </w:rPr>
        <w:t>.</w:t>
      </w:r>
    </w:p>
    <w:p w14:paraId="7425F485" w14:textId="77777777" w:rsidR="00030D15" w:rsidRPr="00857D68" w:rsidRDefault="00030D15" w:rsidP="00030D15"/>
    <w:p w14:paraId="6F228E78" w14:textId="77777777" w:rsidR="00A97E70" w:rsidRPr="00857D68" w:rsidRDefault="00A97E70"/>
    <w:sectPr w:rsidR="00A97E70" w:rsidRPr="00857D68" w:rsidSect="00BA68CB">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0A2E9" w14:textId="77777777" w:rsidR="00A05ACC" w:rsidRDefault="00A05ACC" w:rsidP="000A2AD2">
      <w:pPr>
        <w:spacing w:after="0" w:line="240" w:lineRule="auto"/>
      </w:pPr>
      <w:r>
        <w:separator/>
      </w:r>
    </w:p>
  </w:endnote>
  <w:endnote w:type="continuationSeparator" w:id="0">
    <w:p w14:paraId="1347F11A" w14:textId="77777777" w:rsidR="00A05ACC" w:rsidRDefault="00A05ACC" w:rsidP="000A2AD2">
      <w:pPr>
        <w:spacing w:after="0" w:line="240" w:lineRule="auto"/>
      </w:pPr>
      <w:r>
        <w:continuationSeparator/>
      </w:r>
    </w:p>
  </w:endnote>
  <w:endnote w:type="continuationNotice" w:id="1">
    <w:p w14:paraId="78DFA17F" w14:textId="77777777" w:rsidR="00A05ACC" w:rsidRDefault="00A05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0910D" w14:textId="74ECCE59" w:rsidR="00BA68CB" w:rsidRDefault="00BA68CB">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B1EBC">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5F03" w14:textId="678C6950" w:rsidR="00BA68CB" w:rsidRDefault="00BA68CB">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B1EBC">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0C5D" w14:textId="77777777" w:rsidR="00A05ACC" w:rsidRDefault="00A05ACC" w:rsidP="000A2AD2">
      <w:pPr>
        <w:spacing w:after="0" w:line="240" w:lineRule="auto"/>
      </w:pPr>
      <w:r>
        <w:separator/>
      </w:r>
    </w:p>
  </w:footnote>
  <w:footnote w:type="continuationSeparator" w:id="0">
    <w:p w14:paraId="168C42E5" w14:textId="77777777" w:rsidR="00A05ACC" w:rsidRDefault="00A05ACC" w:rsidP="000A2AD2">
      <w:pPr>
        <w:spacing w:after="0" w:line="240" w:lineRule="auto"/>
      </w:pPr>
      <w:r>
        <w:continuationSeparator/>
      </w:r>
    </w:p>
  </w:footnote>
  <w:footnote w:type="continuationNotice" w:id="1">
    <w:p w14:paraId="75E329D3" w14:textId="77777777" w:rsidR="00A05ACC" w:rsidRDefault="00A05A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0BC2" w14:textId="77777777" w:rsidR="00BA68CB" w:rsidRDefault="00BA68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C077A"/>
    <w:multiLevelType w:val="hybridMultilevel"/>
    <w:tmpl w:val="E3DC08AE"/>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17106"/>
    <w:multiLevelType w:val="hybridMultilevel"/>
    <w:tmpl w:val="39D62E10"/>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Symbol"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Symbol"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Symbol"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767EA"/>
    <w:multiLevelType w:val="hybridMultilevel"/>
    <w:tmpl w:val="EE2245D4"/>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14F1A"/>
    <w:multiLevelType w:val="hybridMultilevel"/>
    <w:tmpl w:val="A4968F8E"/>
    <w:lvl w:ilvl="0" w:tplc="B26A112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0C85229"/>
    <w:multiLevelType w:val="hybridMultilevel"/>
    <w:tmpl w:val="90822D70"/>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3082351B"/>
    <w:multiLevelType w:val="hybridMultilevel"/>
    <w:tmpl w:val="FEE2C90C"/>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12D3F8A"/>
    <w:multiLevelType w:val="hybridMultilevel"/>
    <w:tmpl w:val="806058C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E022C9"/>
    <w:multiLevelType w:val="hybridMultilevel"/>
    <w:tmpl w:val="7C3A55CC"/>
    <w:lvl w:ilvl="0" w:tplc="A72231A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047BA"/>
    <w:multiLevelType w:val="hybridMultilevel"/>
    <w:tmpl w:val="62749734"/>
    <w:lvl w:ilvl="0" w:tplc="C8FA94F4">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177DD"/>
    <w:multiLevelType w:val="hybridMultilevel"/>
    <w:tmpl w:val="6448A410"/>
    <w:lvl w:ilvl="0" w:tplc="D0DAD5A2">
      <w:start w:val="4"/>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D2CE3"/>
    <w:multiLevelType w:val="hybridMultilevel"/>
    <w:tmpl w:val="C1848296"/>
    <w:lvl w:ilvl="0" w:tplc="BC9C5658">
      <w:start w:val="1"/>
      <w:numFmt w:val="decimal"/>
      <w:lvlText w:val="%1)"/>
      <w:lvlJc w:val="left"/>
      <w:pPr>
        <w:tabs>
          <w:tab w:val="num" w:pos="284"/>
        </w:tabs>
        <w:ind w:left="284" w:hanging="284"/>
      </w:pPr>
      <w:rPr>
        <w:rFonts w:hint="default"/>
      </w:rPr>
    </w:lvl>
    <w:lvl w:ilvl="1" w:tplc="11CC2864">
      <w:start w:val="1"/>
      <w:numFmt w:val="decimal"/>
      <w:lvlText w:val="%2."/>
      <w:lvlJc w:val="left"/>
      <w:pPr>
        <w:tabs>
          <w:tab w:val="num" w:pos="1647"/>
        </w:tabs>
        <w:ind w:left="164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607605"/>
    <w:multiLevelType w:val="hybridMultilevel"/>
    <w:tmpl w:val="D5B6620C"/>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6773E7"/>
    <w:multiLevelType w:val="hybridMultilevel"/>
    <w:tmpl w:val="9202C6C2"/>
    <w:lvl w:ilvl="0" w:tplc="B26A112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A13F1C"/>
    <w:multiLevelType w:val="hybridMultilevel"/>
    <w:tmpl w:val="92CC061E"/>
    <w:lvl w:ilvl="0" w:tplc="A72231A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5545CD5"/>
    <w:multiLevelType w:val="multilevel"/>
    <w:tmpl w:val="58E8476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12"/>
  </w:num>
  <w:num w:numId="5">
    <w:abstractNumId w:val="6"/>
  </w:num>
  <w:num w:numId="6">
    <w:abstractNumId w:val="5"/>
  </w:num>
  <w:num w:numId="7">
    <w:abstractNumId w:val="4"/>
  </w:num>
  <w:num w:numId="8">
    <w:abstractNumId w:val="18"/>
  </w:num>
  <w:num w:numId="9">
    <w:abstractNumId w:val="13"/>
  </w:num>
  <w:num w:numId="10">
    <w:abstractNumId w:val="3"/>
  </w:num>
  <w:num w:numId="11">
    <w:abstractNumId w:val="9"/>
  </w:num>
  <w:num w:numId="12">
    <w:abstractNumId w:val="15"/>
  </w:num>
  <w:num w:numId="13">
    <w:abstractNumId w:val="17"/>
  </w:num>
  <w:num w:numId="14">
    <w:abstractNumId w:val="19"/>
  </w:num>
  <w:num w:numId="15">
    <w:abstractNumId w:val="7"/>
  </w:num>
  <w:num w:numId="16">
    <w:abstractNumId w:val="1"/>
  </w:num>
  <w:num w:numId="17">
    <w:abstractNumId w:val="16"/>
  </w:num>
  <w:num w:numId="18">
    <w:abstractNumId w:val="1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1"/>
  </w:num>
  <w:num w:numId="22">
    <w:abstractNumId w:val="21"/>
  </w:num>
  <w:num w:numId="23">
    <w:abstractNumId w:val="0"/>
    <w:lvlOverride w:ilvl="0">
      <w:lvl w:ilvl="0">
        <w:start w:val="1"/>
        <w:numFmt w:val="bullet"/>
        <w:lvlText w:val=""/>
        <w:legacy w:legacy="1" w:legacySpace="120" w:legacyIndent="360"/>
        <w:lvlJc w:val="left"/>
        <w:pPr>
          <w:ind w:left="720" w:hanging="360"/>
        </w:pPr>
        <w:rPr>
          <w:rFonts w:ascii="Symbol" w:hAnsi="Symbol" w:hint="default"/>
          <w:strike w:val="0"/>
          <w:color w:val="auto"/>
        </w:rPr>
      </w:lvl>
    </w:lvlOverride>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90"/>
    <w:rsid w:val="00030D15"/>
    <w:rsid w:val="00042D50"/>
    <w:rsid w:val="00087E73"/>
    <w:rsid w:val="000A2AD2"/>
    <w:rsid w:val="000E0741"/>
    <w:rsid w:val="00103C2E"/>
    <w:rsid w:val="00117C36"/>
    <w:rsid w:val="00121968"/>
    <w:rsid w:val="001552F7"/>
    <w:rsid w:val="001747DF"/>
    <w:rsid w:val="001820E9"/>
    <w:rsid w:val="001949AF"/>
    <w:rsid w:val="00196536"/>
    <w:rsid w:val="001E14D5"/>
    <w:rsid w:val="00201F27"/>
    <w:rsid w:val="00230170"/>
    <w:rsid w:val="00236B65"/>
    <w:rsid w:val="00240E68"/>
    <w:rsid w:val="00247121"/>
    <w:rsid w:val="00255786"/>
    <w:rsid w:val="00257292"/>
    <w:rsid w:val="00287069"/>
    <w:rsid w:val="002C4B1D"/>
    <w:rsid w:val="002E6682"/>
    <w:rsid w:val="003170AB"/>
    <w:rsid w:val="00325B59"/>
    <w:rsid w:val="003616E2"/>
    <w:rsid w:val="00372F34"/>
    <w:rsid w:val="00375A01"/>
    <w:rsid w:val="003835C1"/>
    <w:rsid w:val="003875A5"/>
    <w:rsid w:val="003C6C98"/>
    <w:rsid w:val="003D43FA"/>
    <w:rsid w:val="003E2190"/>
    <w:rsid w:val="003E6588"/>
    <w:rsid w:val="00410980"/>
    <w:rsid w:val="00410F5C"/>
    <w:rsid w:val="00416C12"/>
    <w:rsid w:val="00435D05"/>
    <w:rsid w:val="00462B04"/>
    <w:rsid w:val="00464B4C"/>
    <w:rsid w:val="00487C18"/>
    <w:rsid w:val="004A1F02"/>
    <w:rsid w:val="004B6826"/>
    <w:rsid w:val="004B68EA"/>
    <w:rsid w:val="004D7098"/>
    <w:rsid w:val="004F37CF"/>
    <w:rsid w:val="004F570E"/>
    <w:rsid w:val="004F65D1"/>
    <w:rsid w:val="00552433"/>
    <w:rsid w:val="00552728"/>
    <w:rsid w:val="00561D74"/>
    <w:rsid w:val="00642076"/>
    <w:rsid w:val="00670963"/>
    <w:rsid w:val="006905F6"/>
    <w:rsid w:val="006C2448"/>
    <w:rsid w:val="006E0B2C"/>
    <w:rsid w:val="006E34AE"/>
    <w:rsid w:val="0071557E"/>
    <w:rsid w:val="007465FD"/>
    <w:rsid w:val="00770959"/>
    <w:rsid w:val="00783AD2"/>
    <w:rsid w:val="007C2D32"/>
    <w:rsid w:val="007D1F40"/>
    <w:rsid w:val="007D55C7"/>
    <w:rsid w:val="007F72EF"/>
    <w:rsid w:val="00802996"/>
    <w:rsid w:val="00835A49"/>
    <w:rsid w:val="0083650F"/>
    <w:rsid w:val="00842B05"/>
    <w:rsid w:val="00854D1D"/>
    <w:rsid w:val="00856A3F"/>
    <w:rsid w:val="00857D68"/>
    <w:rsid w:val="00873B83"/>
    <w:rsid w:val="00894CAC"/>
    <w:rsid w:val="008E4F4F"/>
    <w:rsid w:val="008F415F"/>
    <w:rsid w:val="009312AC"/>
    <w:rsid w:val="00936616"/>
    <w:rsid w:val="00962DEA"/>
    <w:rsid w:val="00971B5C"/>
    <w:rsid w:val="00980909"/>
    <w:rsid w:val="00987420"/>
    <w:rsid w:val="009B2E2C"/>
    <w:rsid w:val="009C0427"/>
    <w:rsid w:val="009C347D"/>
    <w:rsid w:val="00A05ACC"/>
    <w:rsid w:val="00A45318"/>
    <w:rsid w:val="00A75E0F"/>
    <w:rsid w:val="00A97E70"/>
    <w:rsid w:val="00AC6572"/>
    <w:rsid w:val="00AD4E32"/>
    <w:rsid w:val="00AF4539"/>
    <w:rsid w:val="00B00C38"/>
    <w:rsid w:val="00B176C6"/>
    <w:rsid w:val="00B320F6"/>
    <w:rsid w:val="00B426E8"/>
    <w:rsid w:val="00B83249"/>
    <w:rsid w:val="00B85A8C"/>
    <w:rsid w:val="00BA68CB"/>
    <w:rsid w:val="00BB6179"/>
    <w:rsid w:val="00BE0DB4"/>
    <w:rsid w:val="00BF3195"/>
    <w:rsid w:val="00C255DD"/>
    <w:rsid w:val="00C447B1"/>
    <w:rsid w:val="00C64030"/>
    <w:rsid w:val="00C702CE"/>
    <w:rsid w:val="00C81004"/>
    <w:rsid w:val="00C856DA"/>
    <w:rsid w:val="00C85EB4"/>
    <w:rsid w:val="00C92F71"/>
    <w:rsid w:val="00C946C8"/>
    <w:rsid w:val="00CB1D9E"/>
    <w:rsid w:val="00CB1EBC"/>
    <w:rsid w:val="00CB4699"/>
    <w:rsid w:val="00CE073E"/>
    <w:rsid w:val="00CF3E64"/>
    <w:rsid w:val="00DC4AB7"/>
    <w:rsid w:val="00DD69F8"/>
    <w:rsid w:val="00DE404B"/>
    <w:rsid w:val="00E05DEC"/>
    <w:rsid w:val="00E06A7B"/>
    <w:rsid w:val="00E129BD"/>
    <w:rsid w:val="00E22A4B"/>
    <w:rsid w:val="00E57C6E"/>
    <w:rsid w:val="00EC6822"/>
    <w:rsid w:val="00EE4635"/>
    <w:rsid w:val="00EF57B4"/>
    <w:rsid w:val="00F05034"/>
    <w:rsid w:val="00F2203E"/>
    <w:rsid w:val="00F62A41"/>
    <w:rsid w:val="00F62DBB"/>
    <w:rsid w:val="00F82A9D"/>
    <w:rsid w:val="00F83534"/>
    <w:rsid w:val="00FB4F73"/>
    <w:rsid w:val="00FD214D"/>
    <w:rsid w:val="00FF45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F7EE"/>
  <w15:docId w15:val="{ABA10B97-08F0-41F8-BE7B-CFF0C0EE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2AD2"/>
    <w:rPr>
      <w:lang w:val="lt-LT"/>
    </w:rPr>
  </w:style>
  <w:style w:type="paragraph" w:styleId="Antrat1">
    <w:name w:val="heading 1"/>
    <w:basedOn w:val="prastasis"/>
    <w:next w:val="prastasis"/>
    <w:link w:val="Antrat1Diagrama"/>
    <w:qFormat/>
    <w:rsid w:val="00030D15"/>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
    <w:semiHidden/>
    <w:unhideWhenUsed/>
    <w:qFormat/>
    <w:rsid w:val="00030D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30D15"/>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
    <w:semiHidden/>
    <w:rsid w:val="00030D15"/>
    <w:rPr>
      <w:rFonts w:asciiTheme="majorHAnsi" w:eastAsiaTheme="majorEastAsia" w:hAnsiTheme="majorHAnsi" w:cstheme="majorBidi"/>
      <w:b/>
      <w:bCs/>
      <w:color w:val="4F81BD" w:themeColor="accent1"/>
      <w:sz w:val="26"/>
      <w:szCs w:val="26"/>
      <w:lang w:val="lt-LT"/>
    </w:rPr>
  </w:style>
  <w:style w:type="numbering" w:customStyle="1" w:styleId="Sraonra1">
    <w:name w:val="Sąrašo nėra1"/>
    <w:next w:val="Sraonra"/>
    <w:uiPriority w:val="99"/>
    <w:semiHidden/>
    <w:unhideWhenUsed/>
    <w:rsid w:val="00030D15"/>
  </w:style>
  <w:style w:type="paragraph" w:styleId="Antrats">
    <w:name w:val="header"/>
    <w:basedOn w:val="prastasis"/>
    <w:link w:val="AntratsDiagrama"/>
    <w:rsid w:val="00030D1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030D15"/>
    <w:rPr>
      <w:rFonts w:ascii="Helvetica" w:eastAsia="Times New Roman" w:hAnsi="Helvetica" w:cs="Times New Roman"/>
      <w:sz w:val="20"/>
      <w:szCs w:val="20"/>
      <w:lang w:val="en-GB"/>
    </w:rPr>
  </w:style>
  <w:style w:type="paragraph" w:styleId="Porat">
    <w:name w:val="footer"/>
    <w:basedOn w:val="prastasis"/>
    <w:link w:val="PoratDiagrama"/>
    <w:rsid w:val="00030D15"/>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030D15"/>
    <w:rPr>
      <w:rFonts w:ascii="Helvetica" w:eastAsia="Times New Roman" w:hAnsi="Helvetica" w:cs="Times New Roman"/>
      <w:sz w:val="16"/>
      <w:szCs w:val="20"/>
      <w:lang w:val="en-GB"/>
    </w:rPr>
  </w:style>
  <w:style w:type="character" w:styleId="Puslapionumeris">
    <w:name w:val="page number"/>
    <w:basedOn w:val="Numatytasispastraiposriftas"/>
    <w:rsid w:val="00030D15"/>
  </w:style>
  <w:style w:type="paragraph" w:styleId="Pagrindinistekstas">
    <w:name w:val="Body Text"/>
    <w:basedOn w:val="prastasis"/>
    <w:link w:val="PagrindinistekstasDiagrama"/>
    <w:rsid w:val="00030D15"/>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030D15"/>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030D15"/>
    <w:pPr>
      <w:spacing w:before="120" w:after="120" w:line="240" w:lineRule="auto"/>
      <w:jc w:val="both"/>
    </w:pPr>
    <w:rPr>
      <w:rFonts w:ascii="Times New Roman" w:eastAsia="Times New Roman" w:hAnsi="Times New Roman" w:cs="Times New Roman"/>
      <w:szCs w:val="20"/>
      <w:lang w:val="en-US"/>
    </w:rPr>
  </w:style>
  <w:style w:type="character" w:styleId="Hipersaitas">
    <w:name w:val="Hyperlink"/>
    <w:rsid w:val="00030D15"/>
    <w:rPr>
      <w:color w:val="0000FF"/>
      <w:u w:val="single"/>
    </w:rPr>
  </w:style>
  <w:style w:type="paragraph" w:customStyle="1" w:styleId="AHeader1">
    <w:name w:val="AHeader 1"/>
    <w:basedOn w:val="prastasis"/>
    <w:rsid w:val="000A2AD2"/>
    <w:pPr>
      <w:numPr>
        <w:numId w:val="6"/>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0A2AD2"/>
    <w:pPr>
      <w:numPr>
        <w:ilvl w:val="1"/>
      </w:numPr>
      <w:tabs>
        <w:tab w:val="clear" w:pos="709"/>
        <w:tab w:val="num" w:pos="360"/>
      </w:tabs>
    </w:pPr>
    <w:rPr>
      <w:sz w:val="22"/>
    </w:rPr>
  </w:style>
  <w:style w:type="paragraph" w:customStyle="1" w:styleId="AHeader3">
    <w:name w:val="AHeader 3"/>
    <w:basedOn w:val="AHeader2"/>
    <w:rsid w:val="000A2AD2"/>
    <w:pPr>
      <w:numPr>
        <w:ilvl w:val="2"/>
      </w:numPr>
      <w:tabs>
        <w:tab w:val="clear" w:pos="1276"/>
        <w:tab w:val="num" w:pos="360"/>
      </w:tabs>
    </w:pPr>
  </w:style>
  <w:style w:type="paragraph" w:customStyle="1" w:styleId="AHeader2abc">
    <w:name w:val="AHeader 2 abc"/>
    <w:basedOn w:val="AHeader3"/>
    <w:rsid w:val="000A2AD2"/>
    <w:pPr>
      <w:numPr>
        <w:ilvl w:val="3"/>
      </w:numPr>
      <w:tabs>
        <w:tab w:val="clear" w:pos="1276"/>
        <w:tab w:val="num" w:pos="360"/>
      </w:tabs>
      <w:jc w:val="both"/>
    </w:pPr>
    <w:rPr>
      <w:b w:val="0"/>
      <w:bCs w:val="0"/>
    </w:rPr>
  </w:style>
  <w:style w:type="paragraph" w:customStyle="1" w:styleId="AHeader3abc">
    <w:name w:val="AHeader 3 abc"/>
    <w:basedOn w:val="AHeader2abc"/>
    <w:rsid w:val="000A2AD2"/>
    <w:pPr>
      <w:numPr>
        <w:ilvl w:val="4"/>
      </w:numPr>
      <w:tabs>
        <w:tab w:val="clear" w:pos="1701"/>
        <w:tab w:val="num" w:pos="360"/>
      </w:tabs>
    </w:pPr>
  </w:style>
  <w:style w:type="character" w:styleId="Grietas">
    <w:name w:val="Strong"/>
    <w:qFormat/>
    <w:rsid w:val="00030D15"/>
    <w:rPr>
      <w:b/>
      <w:bCs/>
    </w:rPr>
  </w:style>
  <w:style w:type="paragraph" w:styleId="prastasiniatinklio">
    <w:name w:val="Normal (Web)"/>
    <w:basedOn w:val="prastasis"/>
    <w:rsid w:val="00030D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ferenceLine">
    <w:name w:val="Reference Line"/>
    <w:basedOn w:val="Pagrindinistekstas"/>
    <w:rsid w:val="00030D15"/>
    <w:pPr>
      <w:jc w:val="both"/>
    </w:pPr>
    <w:rPr>
      <w:rFonts w:ascii="Arial" w:hAnsi="Arial"/>
      <w:i w:val="0"/>
      <w:color w:val="auto"/>
      <w:sz w:val="24"/>
    </w:rPr>
  </w:style>
  <w:style w:type="paragraph" w:customStyle="1" w:styleId="BTEMEASMCA">
    <w:name w:val="BT EMEA_SMCA"/>
    <w:basedOn w:val="prastasis"/>
    <w:autoRedefine/>
    <w:rsid w:val="00030D15"/>
    <w:pPr>
      <w:spacing w:after="0" w:line="240" w:lineRule="auto"/>
    </w:pPr>
    <w:rPr>
      <w:rFonts w:ascii="Times New Roman" w:eastAsia="Times New Roman" w:hAnsi="Times New Roman" w:cs="Times New Roman"/>
      <w:noProof/>
    </w:rPr>
  </w:style>
  <w:style w:type="paragraph" w:customStyle="1" w:styleId="TTEMEASMCA">
    <w:name w:val="TT EMEA_SMCA"/>
    <w:basedOn w:val="Antrat1"/>
    <w:autoRedefine/>
    <w:rsid w:val="00030D15"/>
    <w:pPr>
      <w:spacing w:before="0" w:after="0" w:line="240" w:lineRule="auto"/>
      <w:ind w:left="567" w:hanging="567"/>
      <w:jc w:val="center"/>
    </w:pPr>
    <w:rPr>
      <w:sz w:val="22"/>
      <w:szCs w:val="22"/>
    </w:rPr>
  </w:style>
  <w:style w:type="paragraph" w:styleId="Komentarotekstas">
    <w:name w:val="annotation text"/>
    <w:basedOn w:val="prastasis"/>
    <w:link w:val="KomentarotekstasDiagrama"/>
    <w:semiHidden/>
    <w:rsid w:val="00030D15"/>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030D15"/>
    <w:rPr>
      <w:rFonts w:ascii="Times New Roman" w:eastAsia="Times New Roman" w:hAnsi="Times New Roman" w:cs="Times New Roman"/>
      <w:sz w:val="20"/>
      <w:szCs w:val="20"/>
      <w:lang w:val="en-GB"/>
    </w:rPr>
  </w:style>
  <w:style w:type="table" w:styleId="Lentelstinklelis">
    <w:name w:val="Table Grid"/>
    <w:basedOn w:val="prastojilentel"/>
    <w:rsid w:val="00030D15"/>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030D15"/>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030D15"/>
    <w:rPr>
      <w:rFonts w:ascii="Tahoma" w:eastAsia="Times New Roman" w:hAnsi="Tahoma" w:cs="Tahoma"/>
      <w:sz w:val="16"/>
      <w:szCs w:val="16"/>
      <w:lang w:val="en-GB"/>
    </w:rPr>
  </w:style>
  <w:style w:type="paragraph" w:styleId="Pagrindinistekstas2">
    <w:name w:val="Body Text 2"/>
    <w:basedOn w:val="prastasis"/>
    <w:link w:val="Pagrindinistekstas2Diagrama"/>
    <w:rsid w:val="00030D15"/>
    <w:pPr>
      <w:tabs>
        <w:tab w:val="left" w:pos="567"/>
      </w:tabs>
      <w:spacing w:after="120" w:line="480" w:lineRule="auto"/>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rsid w:val="00030D15"/>
    <w:rPr>
      <w:rFonts w:ascii="Times New Roman" w:eastAsia="Times New Roman" w:hAnsi="Times New Roman" w:cs="Times New Roman"/>
      <w:szCs w:val="20"/>
      <w:lang w:val="en-GB"/>
    </w:rPr>
  </w:style>
  <w:style w:type="paragraph" w:customStyle="1" w:styleId="Default">
    <w:name w:val="Default"/>
    <w:rsid w:val="00030D15"/>
    <w:pPr>
      <w:autoSpaceDE w:val="0"/>
      <w:autoSpaceDN w:val="0"/>
      <w:adjustRightInd w:val="0"/>
      <w:spacing w:after="0" w:line="240" w:lineRule="auto"/>
    </w:pPr>
    <w:rPr>
      <w:rFonts w:ascii="Arial" w:eastAsia="Times New Roman" w:hAnsi="Arial" w:cs="Arial"/>
      <w:sz w:val="20"/>
      <w:szCs w:val="20"/>
      <w:lang w:val="en-US"/>
    </w:rPr>
  </w:style>
  <w:style w:type="character" w:customStyle="1" w:styleId="shorttext">
    <w:name w:val="short_text"/>
    <w:basedOn w:val="Numatytasispastraiposriftas"/>
    <w:rsid w:val="00030D15"/>
  </w:style>
  <w:style w:type="character" w:customStyle="1" w:styleId="hps">
    <w:name w:val="hps"/>
    <w:basedOn w:val="Numatytasispastraiposriftas"/>
    <w:rsid w:val="00030D15"/>
  </w:style>
  <w:style w:type="paragraph" w:styleId="Sraopastraipa">
    <w:name w:val="List Paragraph"/>
    <w:basedOn w:val="prastasis"/>
    <w:uiPriority w:val="34"/>
    <w:qFormat/>
    <w:rsid w:val="00030D15"/>
    <w:pPr>
      <w:tabs>
        <w:tab w:val="left" w:pos="567"/>
      </w:tabs>
      <w:spacing w:after="0" w:line="260" w:lineRule="exact"/>
      <w:ind w:left="720"/>
      <w:contextualSpacing/>
    </w:pPr>
    <w:rPr>
      <w:rFonts w:ascii="Times New Roman" w:eastAsia="Times New Roman" w:hAnsi="Times New Roman" w:cs="Times New Roman"/>
      <w:szCs w:val="20"/>
      <w:lang w:eastAsia="lt-LT" w:bidi="lt-LT"/>
    </w:rPr>
  </w:style>
  <w:style w:type="character" w:styleId="Komentaronuoroda">
    <w:name w:val="annotation reference"/>
    <w:basedOn w:val="Numatytasispastraiposriftas"/>
    <w:semiHidden/>
    <w:unhideWhenUsed/>
    <w:rsid w:val="00030D15"/>
    <w:rPr>
      <w:sz w:val="16"/>
      <w:szCs w:val="16"/>
    </w:rPr>
  </w:style>
  <w:style w:type="paragraph" w:styleId="Komentarotema">
    <w:name w:val="annotation subject"/>
    <w:basedOn w:val="Komentarotekstas"/>
    <w:next w:val="Komentarotekstas"/>
    <w:link w:val="KomentarotemaDiagrama"/>
    <w:semiHidden/>
    <w:unhideWhenUsed/>
    <w:rsid w:val="00030D15"/>
    <w:pPr>
      <w:spacing w:line="240" w:lineRule="auto"/>
    </w:pPr>
    <w:rPr>
      <w:b/>
      <w:bCs/>
    </w:rPr>
  </w:style>
  <w:style w:type="character" w:customStyle="1" w:styleId="KomentarotemaDiagrama">
    <w:name w:val="Komentaro tema Diagrama"/>
    <w:basedOn w:val="KomentarotekstasDiagrama"/>
    <w:link w:val="Komentarotema"/>
    <w:semiHidden/>
    <w:rsid w:val="00030D15"/>
    <w:rPr>
      <w:rFonts w:ascii="Times New Roman" w:eastAsia="Times New Roman" w:hAnsi="Times New Roman" w:cs="Times New Roman"/>
      <w:b/>
      <w:bCs/>
      <w:sz w:val="20"/>
      <w:szCs w:val="20"/>
      <w:lang w:val="en-GB"/>
    </w:rPr>
  </w:style>
  <w:style w:type="paragraph" w:styleId="Pataisymai">
    <w:name w:val="Revision"/>
    <w:hidden/>
    <w:uiPriority w:val="99"/>
    <w:semiHidden/>
    <w:rsid w:val="000A2AD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095783AF-4A98-4068-9CC8-F43328C6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1ADDC-E644-43D6-ABC8-DBD933F27F95}">
  <ds:schemaRefs>
    <ds:schemaRef ds:uri="http://schemas.microsoft.com/sharepoint/v3/contenttype/forms"/>
  </ds:schemaRefs>
</ds:datastoreItem>
</file>

<file path=customXml/itemProps3.xml><?xml version="1.0" encoding="utf-8"?>
<ds:datastoreItem xmlns:ds="http://schemas.openxmlformats.org/officeDocument/2006/customXml" ds:itemID="{7E5ED654-3D27-4341-BEB8-6F92095C3697}">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525029b5-868e-4932-a2f1-2267ab1d00cd"/>
    <ds:schemaRef ds:uri="http://schemas.openxmlformats.org/package/2006/metadata/core-properties"/>
    <ds:schemaRef ds:uri="dbf2eccc-375d-4251-95f3-c31d8c47615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31762</Words>
  <Characters>18105</Characters>
  <Application>Microsoft Office Word</Application>
  <DocSecurity>4</DocSecurity>
  <Lines>150</Lines>
  <Paragraphs>99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4.1	Terapinės indikacijos</vt:lpstr>
      <vt:lpstr>Dozavimas ir vartojimo metodas</vt:lpstr>
      <vt:lpstr>4.4	Specialūs įspėjimai ir atsargumo priemonės</vt:lpstr>
      <vt:lpstr>4.5	Sąveika su kitais vaistiniais preparatais ir kitokia sąveika</vt:lpstr>
      <vt:lpstr>Nėštumas</vt:lpstr>
      <vt:lpstr>Duomenų apie alendronato vartojimą nėštumo metu nėra arba jie yra riboti. Su gyv</vt:lpstr>
      <vt:lpstr/>
      <vt:lpstr>Alendrono rūgštį nėštumo metu vartoti draudžiama. </vt:lpstr>
      <vt:lpstr/>
      <vt:lpstr>Žindymas</vt:lpstr>
      <vt:lpstr>Nežinoma, ar alendrono rūgšties išsiskiria į žmogaus pieną. Pagal indikacijas al</vt:lpstr>
      <vt:lpstr/>
      <vt:lpstr>Vaisingumas</vt:lpstr>
      <vt:lpstr>Bisfosfonatai susikaupia kaulo matricoje, iš kur jie laipsniškai atpalaiduojami </vt:lpstr>
      <vt:lpstr/>
      <vt:lpstr>4.7	Poveikis gebėjimui vairuoti ir valdyti mechanizmus</vt:lpstr>
      <vt:lpstr>Nepageidaujamas poveikis</vt:lpstr>
      <vt:lpstr>5.1	Farmakodinaminės savybės</vt:lpstr>
      <vt:lpstr>Farmakoterapinė grupė – vaistiniai preparatai, veikiantys kaulų struktūrą ir min</vt:lpstr>
      <vt:lpstr/>
      <vt:lpstr>Veikimo mechanizmas</vt:lpstr>
      <vt:lpstr>5.2	Farmakokinetinės savybės</vt:lpstr>
      <vt:lpstr/>
      <vt:lpstr>Absorbcija</vt:lpstr>
      <vt:lpstr/>
      <vt:lpstr>Lyginant su į veną vartojama doze, geriamųjų alendrono rūgšties tablečių biologi</vt:lpstr>
      <vt:lpstr/>
      <vt:lpstr>Biologinis prieinamumas buvo nereikšmingas, kai alendrono rūgšties tabletė buvo </vt:lpstr>
      <vt:lpstr/>
      <vt:lpstr>Sveikiems asmenims vartojant geriamojo prednizono (20 mg tris kartus per parą pe</vt:lpstr>
      <vt:lpstr/>
      <vt:lpstr>Pasiskirstymas</vt:lpstr>
      <vt:lpstr/>
      <vt:lpstr>Tyrimai su žiurkėmis parodė, kad alendrono rūgšties tabletė trumpam pasiskirsto </vt:lpstr>
      <vt:lpstr/>
      <vt:lpstr>Biotransformacija</vt:lpstr>
      <vt:lpstr/>
      <vt:lpstr>Alendrono rūgšties metabolizmas gyvūnų arba žmonių organizmuose neįrodytas.</vt:lpstr>
      <vt:lpstr/>
      <vt:lpstr>Eliminacija</vt:lpstr>
      <vt:lpstr/>
      <vt:lpstr>Vartojant vienkartinę žymėtos 14C alendrono rūgšties tabletės dozę, maždaug 50 %</vt:lpstr>
      <vt:lpstr/>
      <vt:lpstr>Inkstų sutrikimai</vt:lpstr>
      <vt:lpstr/>
      <vt:lpstr/>
      <vt:lpstr>5.3	Ikiklinikinių saugumo tyrimų duomenys</vt:lpstr>
      <vt:lpstr>6.1	Pagalbinių medžiagų sąrašas</vt:lpstr>
      <vt:lpstr>6.2	Nesuderinamumas</vt:lpstr>
      <vt:lpstr>6.3	Tinkamumo laikas</vt:lpstr>
      <vt:lpstr>6.4	Specialios laikymo sąlygos</vt:lpstr>
      <vt:lpstr>Talpyklės pobūdis ir jos turinys</vt:lpstr>
      <vt:lpstr>6.6	Specialūs reikalavimai atliekoms tvarkyti ir vaistiniam preparatui ruošti</vt:lpstr>
      <vt:lpstr/>
      <vt:lpstr/>
      <vt:lpstr/>
      <vt:lpstr/>
      <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vector>
  </TitlesOfParts>
  <Company>Hewlett-Packard Company</Company>
  <LinksUpToDate>false</LinksUpToDate>
  <CharactersWithSpaces>49768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dc:creator>
  <cp:keywords/>
  <dc:description/>
  <cp:lastModifiedBy>Albina Burkauskaitė</cp:lastModifiedBy>
  <cp:revision>2</cp:revision>
  <dcterms:created xsi:type="dcterms:W3CDTF">2025-01-31T08:31:00Z</dcterms:created>
  <dcterms:modified xsi:type="dcterms:W3CDTF">2025-01-31T08:31:00Z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