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7A" w:rsidRPr="001749EE" w:rsidRDefault="00500B7A" w:rsidP="00500B7A">
      <w:pPr>
        <w:jc w:val="center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Pakuotės lapelis: informacija vartotojui</w:t>
      </w:r>
    </w:p>
    <w:p w:rsidR="00500B7A" w:rsidRPr="001749EE" w:rsidRDefault="00500B7A" w:rsidP="00500B7A">
      <w:pPr>
        <w:numPr>
          <w:ilvl w:val="12"/>
          <w:numId w:val="0"/>
        </w:numPr>
        <w:jc w:val="center"/>
        <w:rPr>
          <w:b/>
          <w:bCs/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jc w:val="center"/>
        <w:rPr>
          <w:b/>
          <w:bCs/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>Bronchipret TI geriamasis tirpalas</w:t>
      </w:r>
    </w:p>
    <w:p w:rsidR="00500B7A" w:rsidRPr="001749EE" w:rsidRDefault="00500B7A" w:rsidP="00500B7A">
      <w:pPr>
        <w:numPr>
          <w:ilvl w:val="12"/>
          <w:numId w:val="0"/>
        </w:numPr>
        <w:jc w:val="center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Pr="001749EE">
        <w:rPr>
          <w:noProof/>
          <w:szCs w:val="22"/>
          <w:lang w:val="lt-LT"/>
        </w:rPr>
        <w:t>aistinių čiobrelių žolės skystasis ekstraktas, gebenių lapų skystasis ekstraktas</w:t>
      </w:r>
    </w:p>
    <w:p w:rsidR="00500B7A" w:rsidRPr="001749EE" w:rsidRDefault="00500B7A" w:rsidP="00500B7A">
      <w:pPr>
        <w:ind w:right="-2"/>
        <w:jc w:val="center"/>
        <w:rPr>
          <w:noProof/>
          <w:szCs w:val="22"/>
          <w:lang w:val="lt-LT"/>
        </w:rPr>
      </w:pPr>
    </w:p>
    <w:p w:rsidR="00500B7A" w:rsidRPr="001749EE" w:rsidRDefault="00500B7A" w:rsidP="00500B7A">
      <w:pPr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 xml:space="preserve">Atidžiai perskaitykite visą šį lapelį, </w:t>
      </w:r>
      <w:r w:rsidRPr="001749EE">
        <w:rPr>
          <w:b/>
          <w:szCs w:val="22"/>
          <w:lang w:val="lt-LT"/>
        </w:rPr>
        <w:t xml:space="preserve">prieš pradėdami vartoti šį vaistą, </w:t>
      </w:r>
      <w:r w:rsidRPr="001749EE">
        <w:rPr>
          <w:b/>
          <w:noProof/>
          <w:szCs w:val="22"/>
          <w:lang w:val="lt-LT"/>
        </w:rPr>
        <w:t>nes jame pateikiama Jums svarbi informacija.</w:t>
      </w:r>
    </w:p>
    <w:p w:rsidR="00500B7A" w:rsidRPr="001749EE" w:rsidRDefault="00500B7A" w:rsidP="00500B7A">
      <w:pPr>
        <w:numPr>
          <w:ilvl w:val="12"/>
          <w:numId w:val="0"/>
        </w:numPr>
        <w:rPr>
          <w:szCs w:val="22"/>
          <w:lang w:val="lt-LT"/>
        </w:rPr>
      </w:pPr>
      <w:r w:rsidRPr="001749EE"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-</w:t>
      </w:r>
      <w:r w:rsidRPr="001749EE">
        <w:rPr>
          <w:noProof/>
          <w:szCs w:val="22"/>
          <w:lang w:val="lt-LT"/>
        </w:rPr>
        <w:tab/>
        <w:t>Neišmeskite šio lapelio, nes vėl gali prireikti jį perskaityti.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-</w:t>
      </w:r>
      <w:r w:rsidRPr="001749EE">
        <w:rPr>
          <w:noProof/>
          <w:szCs w:val="22"/>
          <w:lang w:val="lt-LT"/>
        </w:rPr>
        <w:tab/>
        <w:t>Jeigu norite sužinoti daugiau arba pasitarti, kreipkitės į vaistininką.</w:t>
      </w:r>
    </w:p>
    <w:p w:rsidR="00500B7A" w:rsidRPr="001749EE" w:rsidRDefault="00500B7A" w:rsidP="00500B7A">
      <w:pPr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 w:rsidRPr="001749EE">
        <w:rPr>
          <w:noProof/>
          <w:szCs w:val="22"/>
          <w:lang w:val="lt-LT"/>
        </w:rPr>
        <w:t>Jeigu pasireiškė šalutinis poveikis</w:t>
      </w:r>
      <w:r w:rsidRPr="001749EE">
        <w:rPr>
          <w:szCs w:val="22"/>
          <w:lang w:val="lt-LT"/>
        </w:rPr>
        <w:t xml:space="preserve"> (net jeigu jis šiame lapelyje nenurodytas), kreipkitės į gydytoją</w:t>
      </w:r>
      <w:r>
        <w:rPr>
          <w:szCs w:val="22"/>
          <w:lang w:val="lt-LT"/>
        </w:rPr>
        <w:t xml:space="preserve">, </w:t>
      </w:r>
      <w:r w:rsidRPr="001749EE">
        <w:rPr>
          <w:szCs w:val="22"/>
          <w:lang w:val="lt-LT"/>
        </w:rPr>
        <w:t xml:space="preserve">vaistininką arba slaugytoją. </w:t>
      </w:r>
      <w:r w:rsidRPr="001749EE">
        <w:rPr>
          <w:noProof/>
          <w:szCs w:val="22"/>
          <w:lang w:val="lt-LT"/>
        </w:rPr>
        <w:t>Žr. 4 skyrių.</w:t>
      </w:r>
    </w:p>
    <w:p w:rsidR="00500B7A" w:rsidRPr="001749EE" w:rsidRDefault="00500B7A" w:rsidP="00500B7A">
      <w:pPr>
        <w:numPr>
          <w:ilvl w:val="0"/>
          <w:numId w:val="2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1749EE">
        <w:rPr>
          <w:szCs w:val="22"/>
          <w:lang w:val="lt-LT"/>
        </w:rPr>
        <w:t>Jeigu per 7–14 dienų Jūsų savijauta nepagerėjo arba net pablogėjo, kreipkitės į gydytoją.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>Apie ką rašoma šiame lapelyje?</w:t>
      </w:r>
    </w:p>
    <w:p w:rsidR="00500B7A" w:rsidRPr="001749EE" w:rsidRDefault="00500B7A" w:rsidP="00500B7A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1.</w:t>
      </w:r>
      <w:r w:rsidRPr="001749EE">
        <w:rPr>
          <w:noProof/>
          <w:szCs w:val="22"/>
          <w:lang w:val="lt-LT"/>
        </w:rPr>
        <w:tab/>
        <w:t>Kas yra Bronchipret TI ir kam jis vartojamas</w:t>
      </w:r>
    </w:p>
    <w:p w:rsidR="00500B7A" w:rsidRPr="001749EE" w:rsidRDefault="00500B7A" w:rsidP="00500B7A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2.</w:t>
      </w:r>
      <w:r w:rsidRPr="001749EE">
        <w:rPr>
          <w:noProof/>
          <w:szCs w:val="22"/>
          <w:lang w:val="lt-LT"/>
        </w:rPr>
        <w:tab/>
        <w:t>Kas žinotina prieš vartojant Bronchipret TI</w:t>
      </w:r>
    </w:p>
    <w:p w:rsidR="00500B7A" w:rsidRPr="001749EE" w:rsidRDefault="00500B7A" w:rsidP="00500B7A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3.</w:t>
      </w:r>
      <w:r w:rsidRPr="001749EE">
        <w:rPr>
          <w:noProof/>
          <w:szCs w:val="22"/>
          <w:lang w:val="lt-LT"/>
        </w:rPr>
        <w:tab/>
        <w:t>Kaip vartoti Bronchipret TI</w:t>
      </w:r>
    </w:p>
    <w:p w:rsidR="00500B7A" w:rsidRPr="001749EE" w:rsidRDefault="00500B7A" w:rsidP="00500B7A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4.</w:t>
      </w:r>
      <w:r w:rsidRPr="001749EE">
        <w:rPr>
          <w:noProof/>
          <w:szCs w:val="22"/>
          <w:lang w:val="lt-LT"/>
        </w:rPr>
        <w:tab/>
        <w:t>Galimas šalutinis poveikis</w:t>
      </w:r>
    </w:p>
    <w:p w:rsidR="00500B7A" w:rsidRPr="001749EE" w:rsidRDefault="00500B7A" w:rsidP="00500B7A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5.</w:t>
      </w:r>
      <w:r w:rsidRPr="001749EE">
        <w:rPr>
          <w:noProof/>
          <w:szCs w:val="22"/>
          <w:lang w:val="lt-LT"/>
        </w:rPr>
        <w:tab/>
        <w:t>Kaip laikyti Bronchipret TI</w:t>
      </w:r>
    </w:p>
    <w:p w:rsidR="00500B7A" w:rsidRPr="001749EE" w:rsidRDefault="00500B7A" w:rsidP="00500B7A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6.</w:t>
      </w:r>
      <w:r w:rsidRPr="001749EE">
        <w:rPr>
          <w:noProof/>
          <w:szCs w:val="22"/>
          <w:lang w:val="lt-LT"/>
        </w:rPr>
        <w:tab/>
      </w:r>
      <w:r w:rsidRPr="001749EE">
        <w:rPr>
          <w:szCs w:val="22"/>
          <w:lang w:val="lt-LT"/>
        </w:rPr>
        <w:t>Pakuotės turinys ir kita</w:t>
      </w:r>
      <w:r w:rsidRPr="001749EE">
        <w:rPr>
          <w:noProof/>
          <w:szCs w:val="22"/>
          <w:lang w:val="lt-LT"/>
        </w:rPr>
        <w:t xml:space="preserve"> informacija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 xml:space="preserve">Kas yra </w:t>
      </w: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 ir kam jis vartojamas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</w:p>
    <w:p w:rsidR="00500B7A" w:rsidRPr="001749EE" w:rsidRDefault="00500B7A" w:rsidP="00500B7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yra augalinis vaistas, skirtas ūminio bronchito sukelto drėgno kosulio priepuoliams retinti ir atsikosėjimui gerinti.</w:t>
      </w:r>
    </w:p>
    <w:p w:rsidR="00500B7A" w:rsidRPr="001749EE" w:rsidRDefault="00500B7A" w:rsidP="00500B7A">
      <w:pPr>
        <w:tabs>
          <w:tab w:val="left" w:pos="0"/>
        </w:tabs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2.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 xml:space="preserve">Kas žinotina prieš vartojant </w:t>
      </w: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 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b/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 xml:space="preserve">Bronchipret TI </w:t>
      </w:r>
      <w:r w:rsidRPr="001749EE">
        <w:rPr>
          <w:b/>
          <w:bCs/>
          <w:noProof/>
          <w:szCs w:val="22"/>
          <w:lang w:val="lt-LT"/>
        </w:rPr>
        <w:t xml:space="preserve">vartoti </w:t>
      </w:r>
      <w:r>
        <w:rPr>
          <w:b/>
          <w:bCs/>
          <w:noProof/>
          <w:szCs w:val="22"/>
          <w:lang w:val="lt-LT"/>
        </w:rPr>
        <w:t>draudžiama</w:t>
      </w:r>
      <w:r w:rsidRPr="001749EE">
        <w:rPr>
          <w:b/>
          <w:bCs/>
          <w:noProof/>
          <w:szCs w:val="22"/>
          <w:lang w:val="lt-LT"/>
        </w:rPr>
        <w:t>:</w:t>
      </w:r>
    </w:p>
    <w:p w:rsidR="00500B7A" w:rsidRPr="001749EE" w:rsidRDefault="00500B7A" w:rsidP="00500B7A">
      <w:pPr>
        <w:numPr>
          <w:ilvl w:val="12"/>
          <w:numId w:val="0"/>
        </w:numPr>
        <w:tabs>
          <w:tab w:val="clear" w:pos="567"/>
        </w:tabs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-</w:t>
      </w:r>
      <w:r w:rsidRPr="001749EE">
        <w:rPr>
          <w:noProof/>
          <w:szCs w:val="22"/>
          <w:lang w:val="lt-LT"/>
        </w:rPr>
        <w:tab/>
        <w:t xml:space="preserve">jeigu yra alergija gebenėms, čiobreliams arba kitiems </w:t>
      </w:r>
      <w:r w:rsidRPr="001749EE">
        <w:rPr>
          <w:i/>
          <w:noProof/>
          <w:szCs w:val="22"/>
          <w:lang w:val="lt-LT"/>
        </w:rPr>
        <w:t>Lamiaceae</w:t>
      </w:r>
      <w:r w:rsidRPr="001749EE">
        <w:rPr>
          <w:noProof/>
          <w:szCs w:val="22"/>
          <w:lang w:val="lt-LT"/>
        </w:rPr>
        <w:t xml:space="preserve"> (lūpažiedžių) ir</w:t>
      </w:r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Araliaceae</w:t>
      </w:r>
      <w:proofErr w:type="spellEnd"/>
      <w:r w:rsidRPr="001749EE">
        <w:rPr>
          <w:noProof/>
          <w:szCs w:val="22"/>
          <w:lang w:val="lt-LT"/>
        </w:rPr>
        <w:t xml:space="preserve"> šeimų augalams, beržams, paprastiesiems kiečiams, salierams arba bet kuriai pagalbinei šio vaisto medžiagai (jos išvardytos 6 skyriuje).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Įspėjimai ir atsargumo priemonės</w:t>
      </w:r>
    </w:p>
    <w:p w:rsidR="00500B7A" w:rsidRPr="001749EE" w:rsidRDefault="00500B7A" w:rsidP="00500B7A">
      <w:pPr>
        <w:ind w:left="567" w:hanging="567"/>
        <w:rPr>
          <w:b/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Pasitarkite su gydytoju arba vaistininku, prieš pradėdami vartoti Bronchipret TI.</w:t>
      </w:r>
    </w:p>
    <w:p w:rsidR="00500B7A" w:rsidRPr="001749EE" w:rsidRDefault="00500B7A" w:rsidP="00500B7A">
      <w:pPr>
        <w:tabs>
          <w:tab w:val="clear" w:pos="567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simptomai išlieka ilgiau nei 1 savaitę arba jeigu prasideda dusulys, karščiavimas, o skrepliai tampa pūlingi arba juose atsiranda kraujo priemaišų, reikia nedelsiant kreiptis į gydytoją.</w:t>
      </w:r>
    </w:p>
    <w:p w:rsidR="00500B7A" w:rsidRPr="001749EE" w:rsidRDefault="00500B7A" w:rsidP="00500B7A">
      <w:pPr>
        <w:tabs>
          <w:tab w:val="clear" w:pos="567"/>
        </w:tabs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Rekomenduojama imtis atsargumo priemonių pacientams, sergantiems gastritu arba skrandžio opa.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>Vaikams ir paaugliams</w:t>
      </w:r>
    </w:p>
    <w:p w:rsidR="00500B7A" w:rsidRPr="001749EE" w:rsidRDefault="00500B7A" w:rsidP="00500B7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negalima vartoti jaunesniems nei 1 metų amžiaus vaikams. Jeigu 1–4 metų vaikams pasireiškia nuolatinis arba pasikartojantis kosulys, reikia kreiptis į gydytoją.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 xml:space="preserve">Kiti vaistai ir </w:t>
      </w: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Sąveika su kitais vaistais nežinoma.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vartojate ar neseniai vartojote kitų vaistų arba dėl to nesate tikri, apie tai pasakykite gydytojui arba vaistininkui.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Bronchipret TI vartojimas su maistu</w:t>
      </w:r>
      <w:r w:rsidRPr="001749EE">
        <w:rPr>
          <w:b/>
          <w:szCs w:val="22"/>
          <w:lang w:val="lt-LT"/>
        </w:rPr>
        <w:t>, gėrimais ir alkoholiu</w:t>
      </w:r>
    </w:p>
    <w:p w:rsidR="00500B7A" w:rsidRPr="001749EE" w:rsidRDefault="00500B7A" w:rsidP="00500B7A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Apribojimų nėra.</w:t>
      </w:r>
    </w:p>
    <w:p w:rsidR="00500B7A" w:rsidRPr="001749EE" w:rsidRDefault="00500B7A" w:rsidP="00500B7A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Nėštumas, žindymo laikotarpis</w:t>
      </w:r>
      <w:r w:rsidRPr="001749EE">
        <w:rPr>
          <w:b/>
          <w:bCs/>
          <w:szCs w:val="22"/>
          <w:lang w:val="lt-LT"/>
        </w:rPr>
        <w:t xml:space="preserve"> ir vaisingumas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lastRenderedPageBreak/>
        <w:t>Jeigu esate nėščia, žindote kūdikį, manote, kad galbūt esate nėščia, arba planuojate pastoti, tai prieš vartodama šį vaistą, pasitarkite su vaistininku.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Tyrimų atlikta nepakankamai, todėl šio vaisto nėštumo ir žindymo laikotarpiu reikėtų nevartoti. Nėra atlikta tyrimų vaisto poveikio vaisingumui įvertinti.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Vairavimas ir mechanizmų valdymas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TI, vartojamas rekomenduojamomis dozėmis, gebėjimo vairuoti ir valdyti mechanizmus neveikia.</w:t>
      </w:r>
      <w:r w:rsidRPr="001749EE" w:rsidDel="00D051CA">
        <w:rPr>
          <w:noProof/>
          <w:szCs w:val="22"/>
          <w:lang w:val="lt-LT"/>
        </w:rPr>
        <w:t xml:space="preserve"> 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Default="00500B7A" w:rsidP="00500B7A">
      <w:pPr>
        <w:tabs>
          <w:tab w:val="clear" w:pos="567"/>
          <w:tab w:val="left" w:pos="0"/>
        </w:tabs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Bronchipret TI sudėtyje yra etanolio ir maltitolio</w:t>
      </w:r>
    </w:p>
    <w:p w:rsidR="00500B7A" w:rsidRPr="002F4B83" w:rsidRDefault="00500B7A" w:rsidP="00500B7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Š</w:t>
      </w:r>
      <w:r w:rsidRPr="002F4B83">
        <w:rPr>
          <w:noProof/>
          <w:szCs w:val="22"/>
          <w:lang w:val="lt-LT"/>
        </w:rPr>
        <w:t>io vaist</w:t>
      </w:r>
      <w:r>
        <w:rPr>
          <w:noProof/>
          <w:szCs w:val="22"/>
          <w:lang w:val="lt-LT"/>
        </w:rPr>
        <w:t xml:space="preserve">o 5,4 ml </w:t>
      </w:r>
      <w:r w:rsidRPr="002F4B83">
        <w:rPr>
          <w:noProof/>
          <w:szCs w:val="22"/>
          <w:lang w:val="lt-LT"/>
        </w:rPr>
        <w:t xml:space="preserve">yra </w:t>
      </w:r>
      <w:r>
        <w:rPr>
          <w:noProof/>
          <w:szCs w:val="22"/>
          <w:lang w:val="lt-LT"/>
        </w:rPr>
        <w:t>300 </w:t>
      </w:r>
      <w:r w:rsidRPr="002F4B83">
        <w:rPr>
          <w:noProof/>
          <w:szCs w:val="22"/>
          <w:lang w:val="lt-LT"/>
        </w:rPr>
        <w:t>mg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 xml:space="preserve">alkoholio (etanolio), tai atitinka </w:t>
      </w:r>
      <w:r>
        <w:rPr>
          <w:noProof/>
          <w:szCs w:val="22"/>
          <w:lang w:val="lt-LT"/>
        </w:rPr>
        <w:t>56 </w:t>
      </w:r>
      <w:r w:rsidRPr="002F4B83">
        <w:rPr>
          <w:noProof/>
          <w:szCs w:val="22"/>
          <w:lang w:val="lt-LT"/>
        </w:rPr>
        <w:t>mg/</w:t>
      </w:r>
      <w:r>
        <w:rPr>
          <w:noProof/>
          <w:szCs w:val="22"/>
          <w:lang w:val="lt-LT"/>
        </w:rPr>
        <w:t xml:space="preserve">ml </w:t>
      </w:r>
      <w:r w:rsidRPr="002F4B83">
        <w:rPr>
          <w:noProof/>
          <w:szCs w:val="22"/>
          <w:lang w:val="lt-LT"/>
        </w:rPr>
        <w:t>(</w:t>
      </w:r>
      <w:r>
        <w:rPr>
          <w:noProof/>
          <w:szCs w:val="22"/>
          <w:lang w:val="lt-LT"/>
        </w:rPr>
        <w:t>7 </w:t>
      </w:r>
      <w:r w:rsidRPr="002F4B83">
        <w:rPr>
          <w:noProof/>
          <w:szCs w:val="22"/>
          <w:lang w:val="lt-LT"/>
        </w:rPr>
        <w:t>%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m/m).</w:t>
      </w:r>
    </w:p>
    <w:p w:rsidR="00500B7A" w:rsidRPr="00166FFF" w:rsidRDefault="00500B7A" w:rsidP="00500B7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2F4B83">
        <w:rPr>
          <w:noProof/>
          <w:szCs w:val="22"/>
          <w:lang w:val="lt-LT"/>
        </w:rPr>
        <w:t xml:space="preserve">Toks </w:t>
      </w:r>
      <w:r>
        <w:rPr>
          <w:noProof/>
          <w:szCs w:val="22"/>
          <w:lang w:val="lt-LT"/>
        </w:rPr>
        <w:t>šio vaisto 5,4 ml</w:t>
      </w:r>
      <w:r w:rsidRPr="002F4B83">
        <w:rPr>
          <w:noProof/>
          <w:szCs w:val="22"/>
          <w:lang w:val="lt-LT"/>
        </w:rPr>
        <w:t xml:space="preserve"> esantis alkoholio kiekis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 xml:space="preserve">atitinka </w:t>
      </w:r>
      <w:r>
        <w:rPr>
          <w:noProof/>
          <w:szCs w:val="22"/>
          <w:lang w:val="lt-LT"/>
        </w:rPr>
        <w:t>8 </w:t>
      </w:r>
      <w:r w:rsidRPr="002F4B83">
        <w:rPr>
          <w:noProof/>
          <w:szCs w:val="22"/>
          <w:lang w:val="lt-LT"/>
        </w:rPr>
        <w:t xml:space="preserve">ml alaus ar </w:t>
      </w:r>
      <w:r>
        <w:rPr>
          <w:noProof/>
          <w:szCs w:val="22"/>
          <w:lang w:val="lt-LT"/>
        </w:rPr>
        <w:t>3 </w:t>
      </w:r>
      <w:r w:rsidRPr="002F4B83">
        <w:rPr>
          <w:noProof/>
          <w:szCs w:val="22"/>
          <w:lang w:val="lt-LT"/>
        </w:rPr>
        <w:t>ml vyno.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Alkoholio kiekis, esantis šio vaisto sudėtyje,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nesukelia poveikio suaugusiesiems ir paaugliams, o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poveikis vaikams, tikėtina, kad bus nepastebimas.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Vis dėl to, mažiems vaikams toks alkoholio kiekis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gali daryti nedidelį poveikį, pavyzdžiui, sukelti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mieguistumą.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Alkoholio kiekis, esantis šio vaisto sudėtyje, gali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keisti kitų vaistų poveikį.</w:t>
      </w:r>
      <w:r>
        <w:rPr>
          <w:noProof/>
          <w:szCs w:val="22"/>
          <w:lang w:val="lt-LT"/>
        </w:rPr>
        <w:t xml:space="preserve"> Jeigu vartojate </w:t>
      </w:r>
      <w:r w:rsidRPr="001F5B1A">
        <w:rPr>
          <w:noProof/>
          <w:szCs w:val="22"/>
          <w:lang w:val="lt-LT"/>
        </w:rPr>
        <w:t>kitų vaist</w:t>
      </w:r>
      <w:r>
        <w:rPr>
          <w:noProof/>
          <w:szCs w:val="22"/>
          <w:lang w:val="lt-LT"/>
        </w:rPr>
        <w:t>ų, pasitarkite</w:t>
      </w:r>
      <w:r w:rsidRPr="001F5B1A">
        <w:rPr>
          <w:noProof/>
          <w:szCs w:val="22"/>
          <w:lang w:val="lt-LT"/>
        </w:rPr>
        <w:t xml:space="preserve"> su gydytoju arba vaistininku</w:t>
      </w:r>
      <w:r>
        <w:rPr>
          <w:noProof/>
          <w:szCs w:val="22"/>
          <w:lang w:val="lt-LT"/>
        </w:rPr>
        <w:t>.</w:t>
      </w:r>
      <w:r w:rsidRPr="00166FFF">
        <w:rPr>
          <w:noProof/>
          <w:szCs w:val="22"/>
          <w:lang w:val="lt-LT"/>
        </w:rPr>
        <w:t xml:space="preserve"> </w:t>
      </w:r>
      <w:r w:rsidRPr="009D3C3D">
        <w:rPr>
          <w:noProof/>
          <w:szCs w:val="22"/>
          <w:lang w:val="lt-LT"/>
        </w:rPr>
        <w:t>Jeigu esate nėščia ar žindote kūdikį, prieš</w:t>
      </w:r>
      <w:r>
        <w:rPr>
          <w:noProof/>
          <w:szCs w:val="22"/>
          <w:lang w:val="lt-LT"/>
        </w:rPr>
        <w:t xml:space="preserve"> </w:t>
      </w:r>
      <w:r w:rsidRPr="009D3C3D">
        <w:rPr>
          <w:noProof/>
          <w:szCs w:val="22"/>
          <w:lang w:val="lt-LT"/>
        </w:rPr>
        <w:t>vartodama šį vaistą pasitarkite su gydytoju arba</w:t>
      </w:r>
      <w:r>
        <w:rPr>
          <w:noProof/>
          <w:szCs w:val="22"/>
          <w:lang w:val="lt-LT"/>
        </w:rPr>
        <w:t xml:space="preserve"> </w:t>
      </w:r>
      <w:r w:rsidRPr="009D3C3D">
        <w:rPr>
          <w:noProof/>
          <w:szCs w:val="22"/>
          <w:lang w:val="lt-LT"/>
        </w:rPr>
        <w:t>vaistininku.</w:t>
      </w:r>
      <w:r w:rsidRPr="00166FFF">
        <w:rPr>
          <w:noProof/>
          <w:szCs w:val="22"/>
          <w:lang w:val="lt-LT"/>
        </w:rPr>
        <w:t xml:space="preserve"> </w:t>
      </w:r>
      <w:r w:rsidRPr="009D3C3D">
        <w:rPr>
          <w:noProof/>
          <w:szCs w:val="22"/>
          <w:lang w:val="lt-LT"/>
        </w:rPr>
        <w:t>Jeigu esate priklausomi nuo alkoholio, prieš</w:t>
      </w:r>
      <w:r>
        <w:rPr>
          <w:noProof/>
          <w:szCs w:val="22"/>
          <w:lang w:val="lt-LT"/>
        </w:rPr>
        <w:t xml:space="preserve"> </w:t>
      </w:r>
      <w:r w:rsidRPr="009D3C3D">
        <w:rPr>
          <w:noProof/>
          <w:szCs w:val="22"/>
          <w:lang w:val="lt-LT"/>
        </w:rPr>
        <w:t>vartodami šį vaistą pasitarkite su gydytoju arba</w:t>
      </w:r>
      <w:r>
        <w:rPr>
          <w:noProof/>
          <w:szCs w:val="22"/>
          <w:lang w:val="lt-LT"/>
        </w:rPr>
        <w:t xml:space="preserve"> </w:t>
      </w:r>
      <w:r w:rsidRPr="009D3C3D">
        <w:rPr>
          <w:noProof/>
          <w:szCs w:val="22"/>
          <w:lang w:val="lt-LT"/>
        </w:rPr>
        <w:t>vaistininku.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Šio vaisto sudėtyje yra maltitolio. Jeigu gydytojas </w:t>
      </w:r>
      <w:r>
        <w:rPr>
          <w:noProof/>
          <w:szCs w:val="22"/>
          <w:lang w:val="lt-LT"/>
        </w:rPr>
        <w:t xml:space="preserve">Jums </w:t>
      </w:r>
      <w:r w:rsidRPr="001749EE">
        <w:rPr>
          <w:noProof/>
          <w:szCs w:val="22"/>
          <w:lang w:val="lt-LT"/>
        </w:rPr>
        <w:t>yra sakęs, kad netoleruojate kokių nors angliavandenių, kreipkitės į jį prieš pradėdami vartoti šį vaistą.</w:t>
      </w:r>
    </w:p>
    <w:p w:rsidR="00500B7A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Default="00500B7A" w:rsidP="00500B7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</w:t>
      </w:r>
      <w:r w:rsidRPr="001749EE" w:rsidDel="00D10648">
        <w:rPr>
          <w:b/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 xml:space="preserve">5,4 ml yra </w:t>
      </w:r>
      <w:r w:rsidRPr="00166FFF">
        <w:rPr>
          <w:b/>
          <w:bCs/>
          <w:noProof/>
          <w:szCs w:val="22"/>
          <w:lang w:val="lt-LT"/>
        </w:rPr>
        <w:t>90,8 mg hidroksipropilbetadekso</w:t>
      </w:r>
      <w:r>
        <w:rPr>
          <w:noProof/>
          <w:szCs w:val="22"/>
          <w:lang w:val="lt-LT"/>
        </w:rPr>
        <w:t xml:space="preserve"> (</w:t>
      </w:r>
      <w:r w:rsidRPr="003C027A">
        <w:rPr>
          <w:noProof/>
          <w:szCs w:val="22"/>
          <w:lang w:val="lt-LT"/>
        </w:rPr>
        <w:t>ciklodekstino</w:t>
      </w:r>
      <w:r>
        <w:rPr>
          <w:noProof/>
          <w:szCs w:val="22"/>
          <w:lang w:val="lt-LT"/>
        </w:rPr>
        <w:t>)</w:t>
      </w:r>
      <w:r w:rsidRPr="003C027A">
        <w:rPr>
          <w:noProof/>
          <w:szCs w:val="22"/>
          <w:lang w:val="lt-LT"/>
        </w:rPr>
        <w:t xml:space="preserve">, tai atitinka </w:t>
      </w:r>
      <w:r>
        <w:rPr>
          <w:noProof/>
          <w:szCs w:val="22"/>
          <w:lang w:val="lt-LT"/>
        </w:rPr>
        <w:t>16,8 mg/ml.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Informacija sergantiems cukriniu diabetu: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Vienkartinėje suaugusiems žmonėms skirtoje Bronchipret TI dozėje (5,4 ml) yra 0,18 angliavandenių.</w:t>
      </w:r>
    </w:p>
    <w:p w:rsidR="00500B7A" w:rsidRPr="001749EE" w:rsidRDefault="00500B7A" w:rsidP="00500B7A">
      <w:pPr>
        <w:numPr>
          <w:ilvl w:val="12"/>
          <w:numId w:val="0"/>
        </w:numPr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3.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 xml:space="preserve">Kaip vartoti </w:t>
      </w: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</w:t>
      </w:r>
      <w:r w:rsidRPr="001749EE" w:rsidDel="00D10648">
        <w:rPr>
          <w:b/>
          <w:noProof/>
          <w:szCs w:val="22"/>
          <w:lang w:val="lt-LT"/>
        </w:rPr>
        <w:t xml:space="preserve"> 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749EE">
        <w:rPr>
          <w:noProof/>
          <w:szCs w:val="22"/>
          <w:lang w:val="lt-LT"/>
        </w:rPr>
        <w:t>Visada vartokite šį vaistą tiksliai kaip nurodė gydytojas arba vaistininkas.</w:t>
      </w:r>
      <w:r w:rsidRPr="001749EE">
        <w:rPr>
          <w:szCs w:val="22"/>
          <w:lang w:val="lt-LT"/>
        </w:rPr>
        <w:t xml:space="preserve"> </w:t>
      </w:r>
      <w:r w:rsidRPr="001749EE">
        <w:rPr>
          <w:noProof/>
          <w:szCs w:val="22"/>
          <w:lang w:val="lt-LT"/>
        </w:rPr>
        <w:t>Jeigu abejojate, kreipkitės į gydytoją arba vaistininką.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gydytojas nepaskyrė kitaip, vartokite Bronchipret TI, kaip nurodyta žemiau.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reikia gerti 3 kartus per parą, naudojant pridedamą taurelę. Dozavimas pagal amžių pateiktas žemiau esančioje lentelėje.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1"/>
        <w:gridCol w:w="2299"/>
        <w:gridCol w:w="3014"/>
      </w:tblGrid>
      <w:tr w:rsidR="00500B7A" w:rsidRPr="001749EE" w:rsidTr="001A2B86">
        <w:tc>
          <w:tcPr>
            <w:tcW w:w="4077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Amžius</w:t>
            </w:r>
          </w:p>
        </w:tc>
        <w:tc>
          <w:tcPr>
            <w:tcW w:w="2493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Dozė, ml</w:t>
            </w:r>
          </w:p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(3 kartus per parą)</w:t>
            </w:r>
          </w:p>
        </w:tc>
        <w:tc>
          <w:tcPr>
            <w:tcW w:w="3285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Bendra paros dozė</w:t>
            </w:r>
          </w:p>
        </w:tc>
      </w:tr>
      <w:tr w:rsidR="00500B7A" w:rsidRPr="001749EE" w:rsidTr="001A2B86">
        <w:tc>
          <w:tcPr>
            <w:tcW w:w="4077" w:type="dxa"/>
          </w:tcPr>
          <w:p w:rsidR="00500B7A" w:rsidRPr="001749EE" w:rsidRDefault="00500B7A" w:rsidP="001A2B86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1–5 metų amžiaus vaikai</w:t>
            </w:r>
          </w:p>
          <w:p w:rsidR="00500B7A" w:rsidRPr="001749EE" w:rsidRDefault="00500B7A" w:rsidP="001A2B86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6–11 metų amžiaus vaikai</w:t>
            </w:r>
          </w:p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12 metų ir vyresni paaugliai ir suaugusieji</w:t>
            </w:r>
          </w:p>
        </w:tc>
        <w:tc>
          <w:tcPr>
            <w:tcW w:w="2493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3,2 ml</w:t>
            </w:r>
          </w:p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4,3 ml</w:t>
            </w:r>
          </w:p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5,4 ml</w:t>
            </w:r>
          </w:p>
        </w:tc>
        <w:tc>
          <w:tcPr>
            <w:tcW w:w="3285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9,6 ml</w:t>
            </w:r>
          </w:p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12,9 ml</w:t>
            </w:r>
          </w:p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16,2 ml</w:t>
            </w:r>
          </w:p>
        </w:tc>
      </w:tr>
    </w:tbl>
    <w:p w:rsidR="00500B7A" w:rsidRPr="001749EE" w:rsidRDefault="00500B7A" w:rsidP="00500B7A">
      <w:pPr>
        <w:rPr>
          <w:noProof/>
          <w:szCs w:val="22"/>
          <w:lang w:val="lt-LT"/>
        </w:rPr>
      </w:pPr>
    </w:p>
    <w:p w:rsidR="00500B7A" w:rsidRPr="001749EE" w:rsidRDefault="00500B7A" w:rsidP="00500B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nurykite nepraskiestą. Po vaisto vartojimo, išgerkite šiek tiek skysčio (geriausia vandens).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 vartojimą gerai suplakite! Gydymo trukmė priklauso nuo ligos eigos. Jeigu ligos simptomai tęsiasi ilgiau kaip vieną savaitę arba pasireiškia dusulys, karščiavimas bei atsiranda pūlingų arba kruvinų skreplių, reikia kreiptis į gydytoją (žr. skyrių „Nepageidaujamas poveikis“).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>Vartojimas vaikams</w:t>
      </w:r>
    </w:p>
    <w:p w:rsidR="00500B7A" w:rsidRPr="001749EE" w:rsidRDefault="00500B7A" w:rsidP="00500B7A">
      <w:pPr>
        <w:tabs>
          <w:tab w:val="clear" w:pos="567"/>
          <w:tab w:val="left" w:pos="0"/>
        </w:tabs>
        <w:rPr>
          <w:szCs w:val="22"/>
          <w:lang w:val="lt-LT"/>
        </w:rPr>
      </w:pPr>
      <w:r w:rsidRPr="001749EE">
        <w:rPr>
          <w:noProof/>
          <w:szCs w:val="22"/>
          <w:lang w:val="lt-LT"/>
        </w:rPr>
        <w:t>Vaisto negalima skirti jaunesniems nei 1 metų vaikams. Jeigu 1–4 metų amžiaus vaikams pasireiškia nuolatinis arba pasikartojantis kosulys, reikia kreiptis į gydytoją.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szCs w:val="22"/>
          <w:lang w:val="lt-LT"/>
        </w:rPr>
        <w:t xml:space="preserve">Ką daryti </w:t>
      </w:r>
      <w:r w:rsidRPr="001749EE">
        <w:rPr>
          <w:b/>
          <w:noProof/>
          <w:szCs w:val="22"/>
          <w:lang w:val="lt-LT"/>
        </w:rPr>
        <w:t>pavartojus per didelę Bronchipret TI dozę</w:t>
      </w:r>
    </w:p>
    <w:p w:rsidR="00500B7A" w:rsidRPr="001749EE" w:rsidRDefault="00500B7A" w:rsidP="00500B7A">
      <w:pPr>
        <w:tabs>
          <w:tab w:val="left" w:pos="0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Perdozavus gali sutrikti skrandžio veikla, prasidėti vėmimas ir viduriavimas.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lastRenderedPageBreak/>
        <w:t>Tokiu atveju kreipkitės į gydytoją. Jis nuspręs, kokių priemonių reikia imtis.</w:t>
      </w:r>
    </w:p>
    <w:p w:rsidR="00500B7A" w:rsidRPr="001749EE" w:rsidRDefault="00500B7A" w:rsidP="00500B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 xml:space="preserve">Pamiršus pavartoti Bronchipret TI </w:t>
      </w:r>
    </w:p>
    <w:p w:rsidR="00500B7A" w:rsidRPr="001749EE" w:rsidRDefault="00500B7A" w:rsidP="00500B7A">
      <w:pPr>
        <w:tabs>
          <w:tab w:val="left" w:pos="0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Negalima vartoti dvigubos dozės norint kompensuoti praleistą dozę. Toliau vaisto vartokite kaip paskirta gydytojo arba kaip nurodyta 3 skyriuje „Kaip vartoti Bronchipret TI“.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Nustojus vartoti Bronchipret TI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Paprastai Bronchipret TI galite nustoti vartoti be jokių keblumų.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1749EE">
        <w:rPr>
          <w:b/>
          <w:caps/>
          <w:noProof/>
          <w:szCs w:val="22"/>
          <w:lang w:val="lt-LT"/>
        </w:rPr>
        <w:t>4.</w:t>
      </w:r>
      <w:r w:rsidRPr="001749EE">
        <w:rPr>
          <w:b/>
          <w:caps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>Galimas šalutinis poveikis</w:t>
      </w:r>
    </w:p>
    <w:p w:rsidR="00500B7A" w:rsidRPr="001749EE" w:rsidRDefault="00500B7A" w:rsidP="00500B7A">
      <w:pPr>
        <w:ind w:left="567" w:hanging="567"/>
        <w:rPr>
          <w:noProof/>
          <w:szCs w:val="22"/>
          <w:lang w:val="lt-LT"/>
        </w:rPr>
      </w:pPr>
    </w:p>
    <w:p w:rsidR="00500B7A" w:rsidRPr="001749EE" w:rsidRDefault="00500B7A" w:rsidP="00500B7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5"/>
        <w:gridCol w:w="4259"/>
      </w:tblGrid>
      <w:tr w:rsidR="00500B7A" w:rsidRPr="001749EE" w:rsidTr="001A2B86">
        <w:tc>
          <w:tcPr>
            <w:tcW w:w="4235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Labai dažnas (&gt;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1/10)</w:t>
            </w:r>
          </w:p>
        </w:tc>
        <w:tc>
          <w:tcPr>
            <w:tcW w:w="4259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Dažnas (&gt;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1/100, &lt;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1/10)</w:t>
            </w:r>
          </w:p>
        </w:tc>
      </w:tr>
      <w:tr w:rsidR="00500B7A" w:rsidRPr="001749EE" w:rsidTr="001A2B86">
        <w:tc>
          <w:tcPr>
            <w:tcW w:w="4235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Nedažnas (&gt;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000, &lt;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1/100)</w:t>
            </w:r>
          </w:p>
        </w:tc>
        <w:tc>
          <w:tcPr>
            <w:tcW w:w="4259" w:type="dxa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Retas (&gt;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1/10 000, &lt;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000)</w:t>
            </w:r>
          </w:p>
        </w:tc>
      </w:tr>
      <w:tr w:rsidR="00500B7A" w:rsidRPr="001749EE" w:rsidTr="001A2B86">
        <w:tc>
          <w:tcPr>
            <w:tcW w:w="8494" w:type="dxa"/>
            <w:gridSpan w:val="2"/>
          </w:tcPr>
          <w:p w:rsidR="00500B7A" w:rsidRPr="001749EE" w:rsidRDefault="00500B7A" w:rsidP="001A2B86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Labai retas (&lt;</w:t>
            </w:r>
            <w:r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1/10 000), įskaitant pavienius atvejus</w:t>
            </w:r>
          </w:p>
        </w:tc>
      </w:tr>
    </w:tbl>
    <w:p w:rsidR="00500B7A" w:rsidRPr="001749EE" w:rsidRDefault="00500B7A" w:rsidP="00500B7A">
      <w:pPr>
        <w:ind w:left="567" w:hanging="567"/>
        <w:rPr>
          <w:b/>
          <w:noProof/>
          <w:szCs w:val="22"/>
          <w:lang w:val="lt-LT"/>
        </w:rPr>
      </w:pPr>
    </w:p>
    <w:p w:rsidR="00500B7A" w:rsidRPr="001749EE" w:rsidRDefault="00500B7A" w:rsidP="00500B7A">
      <w:pPr>
        <w:rPr>
          <w:b/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pasireiškia bet koks žemiau nurodytas šalutinis poveikis, Bronchipret TI nevartokite ir pasakykite gydytojui</w:t>
      </w:r>
      <w:r w:rsidRPr="001749EE">
        <w:rPr>
          <w:b/>
          <w:noProof/>
          <w:szCs w:val="22"/>
          <w:lang w:val="lt-LT"/>
        </w:rPr>
        <w:t>.</w:t>
      </w:r>
    </w:p>
    <w:p w:rsidR="00500B7A" w:rsidRPr="001749EE" w:rsidRDefault="00500B7A" w:rsidP="00500B7A">
      <w:pPr>
        <w:rPr>
          <w:b/>
          <w:noProof/>
          <w:szCs w:val="22"/>
          <w:lang w:val="lt-LT"/>
        </w:rPr>
      </w:pPr>
    </w:p>
    <w:p w:rsidR="00500B7A" w:rsidRPr="001749EE" w:rsidRDefault="00500B7A" w:rsidP="00500B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Virškinimo trakto sutrikimai (pvz., diegliai, pykinimas, vėmimas, viduriavimas) yra nedažni. </w:t>
      </w:r>
    </w:p>
    <w:p w:rsidR="00500B7A" w:rsidRPr="001749EE" w:rsidRDefault="00500B7A" w:rsidP="00500B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Retais atvejais gali pasireikšti padidėjusio jautrumo odos reakcijos, įskaitant odos išbėrimą. </w:t>
      </w:r>
    </w:p>
    <w:p w:rsidR="00500B7A" w:rsidRPr="001749EE" w:rsidRDefault="00500B7A" w:rsidP="00500B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Be to, gali atsirasti ir kitokių padidėjusio jautrumo reakcijų: dusulys, dilgėlinė, veido, burnos ir (arba) gerklės paburkimas.</w:t>
      </w:r>
    </w:p>
    <w:p w:rsidR="00500B7A" w:rsidRPr="001749EE" w:rsidRDefault="00500B7A" w:rsidP="00500B7A">
      <w:pPr>
        <w:rPr>
          <w:noProof/>
          <w:szCs w:val="22"/>
          <w:lang w:val="lt-LT"/>
        </w:rPr>
      </w:pPr>
    </w:p>
    <w:p w:rsidR="00500B7A" w:rsidRPr="001749EE" w:rsidRDefault="00500B7A" w:rsidP="00500B7A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Atsiradus pirmųjų padidėjusio jautrumo reakcijos požymių, Bronchipret TI vartojimą nutraukite.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spacing w:line="240" w:lineRule="auto"/>
        <w:rPr>
          <w:b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Pranešimas apie šalutinį poveikį</w:t>
      </w:r>
    </w:p>
    <w:p w:rsidR="00500B7A" w:rsidRPr="005D144F" w:rsidRDefault="00500B7A" w:rsidP="00500B7A">
      <w:pPr>
        <w:ind w:right="-1"/>
        <w:rPr>
          <w:rFonts w:eastAsia="Times New Roman"/>
          <w:snapToGrid w:val="0"/>
          <w:lang w:val="lt-LT"/>
        </w:rPr>
      </w:pPr>
      <w:r w:rsidRPr="001749EE">
        <w:rPr>
          <w:noProof/>
          <w:szCs w:val="22"/>
          <w:lang w:val="lt-LT"/>
        </w:rPr>
        <w:t>Jeigu pasireiškė šalutinis poveikis, įskaitant šiame lapelyje nenurodytą, pasakykite gydytojui arba vaistininkui</w:t>
      </w:r>
      <w:r w:rsidRPr="001749EE">
        <w:rPr>
          <w:szCs w:val="22"/>
          <w:lang w:val="lt-LT"/>
        </w:rPr>
        <w:t>.</w:t>
      </w:r>
      <w:r w:rsidRPr="001749EE">
        <w:rPr>
          <w:noProof/>
          <w:szCs w:val="22"/>
          <w:lang w:val="lt-LT"/>
        </w:rPr>
        <w:t xml:space="preserve"> </w:t>
      </w:r>
      <w:r w:rsidRPr="005D144F">
        <w:rPr>
          <w:rFonts w:eastAsia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144F">
          <w:rPr>
            <w:rFonts w:eastAsia="Times New Roman"/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Pr="005D144F">
        <w:rPr>
          <w:rFonts w:eastAsia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5D144F">
          <w:rPr>
            <w:rFonts w:eastAsia="Times New Roman"/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Pr="005D144F">
        <w:rPr>
          <w:rFonts w:eastAsia="Times New Roman"/>
          <w:snapToGrid w:val="0"/>
          <w:lang w:val="lt-LT"/>
        </w:rPr>
        <w:t xml:space="preserve">, ir atsiunčiant elektroniniu paštu (adresu </w:t>
      </w:r>
      <w:hyperlink r:id="rId7" w:history="1">
        <w:r w:rsidRPr="005D144F">
          <w:rPr>
            <w:rFonts w:eastAsia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Pr="005D144F">
        <w:rPr>
          <w:rFonts w:eastAsia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left="567" w:right="-2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5.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>Kaip laikyti</w:t>
      </w:r>
      <w:r w:rsidRPr="001749EE">
        <w:rPr>
          <w:szCs w:val="22"/>
          <w:lang w:val="lt-LT"/>
        </w:rPr>
        <w:t xml:space="preserve"> </w:t>
      </w:r>
      <w:r w:rsidRPr="001749EE">
        <w:rPr>
          <w:b/>
          <w:noProof/>
          <w:szCs w:val="22"/>
          <w:lang w:val="lt-LT"/>
        </w:rPr>
        <w:t xml:space="preserve">Bronchipret TI 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Šį vaistą </w:t>
      </w:r>
      <w:r>
        <w:rPr>
          <w:noProof/>
          <w:szCs w:val="22"/>
          <w:lang w:val="lt-LT"/>
        </w:rPr>
        <w:t>laikykite</w:t>
      </w:r>
      <w:r w:rsidRPr="001749EE">
        <w:rPr>
          <w:noProof/>
          <w:szCs w:val="22"/>
          <w:lang w:val="lt-LT"/>
        </w:rPr>
        <w:t xml:space="preserve"> vaikams nepastebimoje ir nepasiekiamoje</w:t>
      </w:r>
      <w:r>
        <w:rPr>
          <w:noProof/>
          <w:szCs w:val="22"/>
          <w:lang w:val="lt-LT"/>
        </w:rPr>
        <w:t xml:space="preserve"> vietoje</w:t>
      </w:r>
      <w:r w:rsidRPr="001749EE">
        <w:rPr>
          <w:noProof/>
          <w:szCs w:val="22"/>
          <w:lang w:val="lt-LT"/>
        </w:rPr>
        <w:t>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1749EE">
        <w:rPr>
          <w:i w:val="0"/>
          <w:iCs/>
          <w:noProof/>
          <w:color w:val="auto"/>
          <w:szCs w:val="22"/>
          <w:lang w:val="lt-LT"/>
        </w:rPr>
        <w:t>Ant dėžutės ir buteliuko po „Tinka iki“ nurodytam tinkamumo laikui pasibaigus, šio vaisto vartoti negalima. Vaistas tinkamas vartoti iki paskutinės nurodyto mėnesio dienos.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Buteliuką laikyti išorinėje dėžutėje, kad </w:t>
      </w:r>
      <w:r>
        <w:rPr>
          <w:noProof/>
          <w:szCs w:val="22"/>
          <w:lang w:val="lt-LT"/>
        </w:rPr>
        <w:t>vaistas</w:t>
      </w:r>
      <w:r w:rsidRPr="001749EE">
        <w:rPr>
          <w:noProof/>
          <w:szCs w:val="22"/>
          <w:lang w:val="lt-LT"/>
        </w:rPr>
        <w:t xml:space="preserve"> būtų apsaugotas nuo šviesos. Laikyti ne aukštesnėje kaip 25 °C temperatūroje.</w:t>
      </w:r>
    </w:p>
    <w:p w:rsidR="00500B7A" w:rsidRPr="001749EE" w:rsidRDefault="00500B7A" w:rsidP="00500B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Pirmą kartą atidarius buteliuką, </w:t>
      </w:r>
      <w:r>
        <w:rPr>
          <w:noProof/>
          <w:szCs w:val="22"/>
          <w:lang w:val="lt-LT"/>
        </w:rPr>
        <w:t xml:space="preserve">vaisto </w:t>
      </w:r>
      <w:r w:rsidRPr="001749EE">
        <w:rPr>
          <w:noProof/>
          <w:szCs w:val="22"/>
          <w:lang w:val="lt-LT"/>
        </w:rPr>
        <w:t>tinkamumo laikas yra 6 mėnesiai. Po pirmojo atidarymo laikyti ne aukštesnėje kaip 25 °C temperatūroje.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Laikymo metu </w:t>
      </w:r>
      <w:r w:rsidRPr="001749EE">
        <w:rPr>
          <w:szCs w:val="22"/>
          <w:lang w:val="lt-LT"/>
        </w:rPr>
        <w:t>vaistas gali susidrumsti ar gali iškristi nuosėdos, bet tai vaisto gydomųjų savybių nekeičia.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1749EE">
        <w:rPr>
          <w:noProof/>
          <w:szCs w:val="22"/>
          <w:lang w:val="lt-LT"/>
        </w:rPr>
        <w:t>Vaistų negalima išmesti į kanalizaciją arba su buitinėmis atliekomis.</w:t>
      </w:r>
      <w:r w:rsidRPr="001749EE">
        <w:rPr>
          <w:szCs w:val="22"/>
          <w:lang w:val="lt-LT"/>
        </w:rPr>
        <w:t xml:space="preserve"> </w:t>
      </w:r>
      <w:r w:rsidRPr="001749EE">
        <w:rPr>
          <w:noProof/>
          <w:szCs w:val="22"/>
          <w:lang w:val="lt-LT"/>
        </w:rPr>
        <w:t>Kaip išmesti nereikalingus vaistus, klauskite vaistininko.</w:t>
      </w:r>
      <w:r w:rsidRPr="001749EE">
        <w:rPr>
          <w:szCs w:val="22"/>
          <w:lang w:val="lt-LT"/>
        </w:rPr>
        <w:t xml:space="preserve"> </w:t>
      </w:r>
      <w:r w:rsidRPr="001749EE">
        <w:rPr>
          <w:noProof/>
          <w:szCs w:val="22"/>
          <w:lang w:val="lt-LT"/>
        </w:rPr>
        <w:t>Šios priemonės padės apsaugoti aplinką.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>Pakuotės turinys ir kita informacija</w:t>
      </w:r>
      <w:r w:rsidRPr="001749EE" w:rsidDel="00C84788">
        <w:rPr>
          <w:b/>
          <w:noProof/>
          <w:szCs w:val="22"/>
          <w:lang w:val="lt-LT"/>
        </w:rPr>
        <w:t xml:space="preserve"> 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>Bronchipret TI sudėtis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Veikliosios medžiagos. </w:t>
      </w:r>
    </w:p>
    <w:p w:rsidR="00500B7A" w:rsidRPr="001749EE" w:rsidRDefault="00500B7A" w:rsidP="00500B7A">
      <w:pPr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 g geriamojo tirpalo (atitinka 0,89 ml) yra: </w:t>
      </w:r>
    </w:p>
    <w:p w:rsidR="00500B7A" w:rsidRPr="001749EE" w:rsidRDefault="00500B7A" w:rsidP="00500B7A">
      <w:pPr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150 mg </w:t>
      </w:r>
      <w:proofErr w:type="spellStart"/>
      <w:r w:rsidRPr="001749EE">
        <w:rPr>
          <w:i/>
          <w:szCs w:val="22"/>
          <w:lang w:val="lt-LT"/>
        </w:rPr>
        <w:t>Thymus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vulgaris</w:t>
      </w:r>
      <w:proofErr w:type="spellEnd"/>
      <w:r w:rsidRPr="001749EE">
        <w:rPr>
          <w:szCs w:val="22"/>
          <w:lang w:val="lt-LT"/>
        </w:rPr>
        <w:t xml:space="preserve"> L. ir (ar) </w:t>
      </w:r>
      <w:proofErr w:type="spellStart"/>
      <w:r w:rsidRPr="001749EE">
        <w:rPr>
          <w:i/>
          <w:szCs w:val="22"/>
          <w:lang w:val="lt-LT"/>
        </w:rPr>
        <w:t>Thymus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zygis</w:t>
      </w:r>
      <w:proofErr w:type="spellEnd"/>
      <w:r w:rsidRPr="001749EE">
        <w:rPr>
          <w:szCs w:val="22"/>
          <w:lang w:val="lt-LT"/>
        </w:rPr>
        <w:t xml:space="preserve"> L., </w:t>
      </w:r>
      <w:proofErr w:type="spellStart"/>
      <w:r w:rsidRPr="001749EE">
        <w:rPr>
          <w:szCs w:val="22"/>
          <w:lang w:val="lt-LT"/>
        </w:rPr>
        <w:t>herba</w:t>
      </w:r>
      <w:proofErr w:type="spellEnd"/>
      <w:r w:rsidRPr="001749EE">
        <w:rPr>
          <w:szCs w:val="22"/>
          <w:lang w:val="lt-LT"/>
        </w:rPr>
        <w:t xml:space="preserve"> (</w:t>
      </w:r>
      <w:r w:rsidRPr="001749EE">
        <w:rPr>
          <w:noProof/>
          <w:szCs w:val="22"/>
          <w:lang w:val="lt-LT"/>
        </w:rPr>
        <w:t xml:space="preserve">vaistinių čiobrelių žolės) skystojo ekstrakto (1:2–2,5). Ekstrakcijos tirpiklis: 10 % (m/m) amoniako tirpalas, 85 % (m/m) glicerolis, 90 % (V/V) etanolis, vanduo (1/20/70/109). </w:t>
      </w:r>
    </w:p>
    <w:p w:rsidR="00500B7A" w:rsidRPr="001749EE" w:rsidRDefault="00500B7A" w:rsidP="00500B7A">
      <w:p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15 mg </w:t>
      </w:r>
      <w:proofErr w:type="spellStart"/>
      <w:r w:rsidRPr="001749EE">
        <w:rPr>
          <w:i/>
          <w:szCs w:val="22"/>
          <w:lang w:val="lt-LT"/>
        </w:rPr>
        <w:t>Hedera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helix</w:t>
      </w:r>
      <w:proofErr w:type="spellEnd"/>
      <w:r w:rsidRPr="001749EE">
        <w:rPr>
          <w:szCs w:val="22"/>
          <w:lang w:val="lt-LT"/>
        </w:rPr>
        <w:t xml:space="preserve"> L., </w:t>
      </w:r>
      <w:proofErr w:type="spellStart"/>
      <w:r w:rsidRPr="001749EE">
        <w:rPr>
          <w:szCs w:val="22"/>
          <w:lang w:val="lt-LT"/>
        </w:rPr>
        <w:t>folium</w:t>
      </w:r>
      <w:proofErr w:type="spellEnd"/>
      <w:r w:rsidRPr="001749EE">
        <w:rPr>
          <w:szCs w:val="22"/>
          <w:lang w:val="lt-LT"/>
        </w:rPr>
        <w:t xml:space="preserve"> (</w:t>
      </w:r>
      <w:r w:rsidRPr="001749EE">
        <w:rPr>
          <w:noProof/>
          <w:szCs w:val="22"/>
          <w:lang w:val="lt-LT"/>
        </w:rPr>
        <w:t>gebenių lapų) skystojo ekstrakto (1:1). Ekstrakcijos tirpiklis: 70 % (V/V) etanolis.</w:t>
      </w:r>
    </w:p>
    <w:p w:rsidR="00500B7A" w:rsidRPr="001749EE" w:rsidRDefault="00500B7A" w:rsidP="00500B7A">
      <w:pPr>
        <w:numPr>
          <w:ilvl w:val="0"/>
          <w:numId w:val="1"/>
        </w:numPr>
        <w:tabs>
          <w:tab w:val="clear" w:pos="567"/>
          <w:tab w:val="left" w:pos="709"/>
        </w:tabs>
        <w:spacing w:line="240" w:lineRule="auto"/>
        <w:ind w:left="0" w:right="-2" w:firstLine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Pagalbinės medžiagos yra citrinų rūgštis monohidratas, išgrynintas vanduo, kalio sorbatas, skystasis maltitolis, etanolis </w:t>
      </w:r>
      <w:r w:rsidRPr="001749EE">
        <w:rPr>
          <w:iCs/>
          <w:noProof/>
          <w:szCs w:val="22"/>
          <w:lang w:val="lt-LT"/>
        </w:rPr>
        <w:t>(96 %)</w:t>
      </w:r>
      <w:r w:rsidRPr="001749EE">
        <w:rPr>
          <w:noProof/>
          <w:szCs w:val="22"/>
          <w:lang w:val="lt-LT"/>
        </w:rPr>
        <w:t>, hidroksipropilbetadeksas.</w:t>
      </w:r>
    </w:p>
    <w:p w:rsidR="00500B7A" w:rsidRPr="001749EE" w:rsidRDefault="00500B7A" w:rsidP="00500B7A">
      <w:p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>Bronchipret TI išvaizda ir kiekis pakuotėje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</w:p>
    <w:p w:rsidR="00500B7A" w:rsidRPr="001749EE" w:rsidRDefault="00500B7A" w:rsidP="00500B7A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Šviesiai rudos spalvos, skaidrus, aromatingo kvapo tirpalas buteliukuose po 50 ml ar 100 ml. Laikymo metu gali</w:t>
      </w:r>
      <w:r w:rsidRPr="001749EE">
        <w:rPr>
          <w:szCs w:val="22"/>
          <w:lang w:val="lt-LT"/>
        </w:rPr>
        <w:t xml:space="preserve"> susidrumsti ar iškristi nuosėdų.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Kartono dėžutėje yra vienas rudo stiklo buteliukas </w:t>
      </w:r>
      <w:r w:rsidRPr="001749EE">
        <w:rPr>
          <w:iCs/>
          <w:noProof/>
          <w:szCs w:val="22"/>
          <w:lang w:val="lt-LT"/>
        </w:rPr>
        <w:t xml:space="preserve">su bespalviu MTPE </w:t>
      </w:r>
      <w:r w:rsidRPr="001749EE">
        <w:rPr>
          <w:noProof/>
          <w:szCs w:val="22"/>
          <w:lang w:val="lt-LT"/>
        </w:rPr>
        <w:t xml:space="preserve">lašintuvu su baltu PP užsukamu dangteliu, turinčiu DTPE apsauginį žiedą, ir sugraduota bespalvė PP taurelė </w:t>
      </w:r>
      <w:r w:rsidRPr="001749EE">
        <w:rPr>
          <w:szCs w:val="22"/>
          <w:lang w:val="lt-LT"/>
        </w:rPr>
        <w:t>(1,1; 2,2; 3,2; 4,3 ir 5,4 ml).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>Registruotojas ir gamintojas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rPr>
          <w:szCs w:val="22"/>
          <w:lang w:val="lt-LT"/>
        </w:rPr>
      </w:pPr>
      <w:r w:rsidRPr="001749EE">
        <w:rPr>
          <w:szCs w:val="22"/>
          <w:lang w:val="lt-LT"/>
        </w:rPr>
        <w:t>BIONORICA SE</w:t>
      </w:r>
    </w:p>
    <w:p w:rsidR="00500B7A" w:rsidRPr="001749EE" w:rsidRDefault="00500B7A" w:rsidP="00500B7A">
      <w:pPr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Kerschensteinerstrasse</w:t>
      </w:r>
      <w:proofErr w:type="spellEnd"/>
      <w:r w:rsidRPr="001749EE">
        <w:rPr>
          <w:szCs w:val="22"/>
          <w:lang w:val="lt-LT"/>
        </w:rPr>
        <w:t xml:space="preserve"> 11-15 </w:t>
      </w:r>
    </w:p>
    <w:p w:rsidR="00500B7A" w:rsidRPr="001749EE" w:rsidRDefault="00500B7A" w:rsidP="00500B7A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92318 </w:t>
      </w:r>
      <w:proofErr w:type="spellStart"/>
      <w:r w:rsidRPr="001749EE">
        <w:rPr>
          <w:szCs w:val="22"/>
          <w:lang w:val="lt-LT"/>
        </w:rPr>
        <w:t>Neumarkt</w:t>
      </w:r>
      <w:proofErr w:type="spellEnd"/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szCs w:val="22"/>
          <w:lang w:val="lt-LT"/>
        </w:rPr>
        <w:t>i.d.Opf</w:t>
      </w:r>
      <w:proofErr w:type="spellEnd"/>
      <w:r w:rsidRPr="001749EE">
        <w:rPr>
          <w:szCs w:val="22"/>
          <w:lang w:val="lt-LT"/>
        </w:rPr>
        <w:t xml:space="preserve">. </w:t>
      </w:r>
    </w:p>
    <w:p w:rsidR="00500B7A" w:rsidRPr="001749EE" w:rsidRDefault="00500B7A" w:rsidP="00500B7A">
      <w:pPr>
        <w:rPr>
          <w:szCs w:val="22"/>
          <w:lang w:val="lt-LT"/>
        </w:rPr>
      </w:pPr>
      <w:r w:rsidRPr="001749EE">
        <w:rPr>
          <w:szCs w:val="22"/>
          <w:lang w:val="lt-LT"/>
        </w:rPr>
        <w:t>Vokietija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apie šį vaistą norite sužinoti daugiau, kreipkitės į vietinį registruotojo atstovą.</w:t>
      </w:r>
    </w:p>
    <w:p w:rsidR="00500B7A" w:rsidRPr="001749EE" w:rsidRDefault="00500B7A" w:rsidP="00500B7A">
      <w:pPr>
        <w:rPr>
          <w:szCs w:val="22"/>
          <w:lang w:val="lt-LT"/>
        </w:rPr>
      </w:pPr>
    </w:p>
    <w:p w:rsidR="00500B7A" w:rsidRPr="001749EE" w:rsidRDefault="00500B7A" w:rsidP="00500B7A">
      <w:pPr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Bionorica</w:t>
      </w:r>
      <w:proofErr w:type="spellEnd"/>
      <w:r w:rsidRPr="001749EE">
        <w:rPr>
          <w:szCs w:val="22"/>
          <w:lang w:val="lt-LT"/>
        </w:rPr>
        <w:t xml:space="preserve"> Lithuania </w:t>
      </w:r>
    </w:p>
    <w:p w:rsidR="00500B7A" w:rsidRPr="001749EE" w:rsidRDefault="00500B7A" w:rsidP="00500B7A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Šiaulių g. 10-57 </w:t>
      </w:r>
    </w:p>
    <w:p w:rsidR="00500B7A" w:rsidRPr="001749EE" w:rsidRDefault="00500B7A" w:rsidP="00500B7A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LT-01134 Vilnius </w:t>
      </w:r>
    </w:p>
    <w:p w:rsidR="00500B7A" w:rsidRPr="001749EE" w:rsidRDefault="00500B7A" w:rsidP="00500B7A">
      <w:pPr>
        <w:rPr>
          <w:szCs w:val="22"/>
          <w:lang w:val="lt-LT"/>
        </w:rPr>
      </w:pPr>
      <w:r w:rsidRPr="001749EE">
        <w:rPr>
          <w:szCs w:val="22"/>
          <w:lang w:val="lt-LT"/>
        </w:rPr>
        <w:t>Lietuva</w:t>
      </w:r>
    </w:p>
    <w:p w:rsidR="00500B7A" w:rsidRPr="001749EE" w:rsidRDefault="00500B7A" w:rsidP="00500B7A">
      <w:pPr>
        <w:rPr>
          <w:szCs w:val="22"/>
          <w:lang w:val="lt-LT"/>
        </w:rPr>
      </w:pPr>
      <w:r w:rsidRPr="001749EE">
        <w:rPr>
          <w:szCs w:val="22"/>
          <w:lang w:val="lt-LT"/>
        </w:rPr>
        <w:t>Tel.: +370 5 2157481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szCs w:val="22"/>
          <w:lang w:val="lt-LT"/>
        </w:rPr>
        <w:t>El. paštas: info@bionorica.lt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00B7A" w:rsidRPr="001749EE" w:rsidRDefault="00500B7A" w:rsidP="00500B7A">
      <w:pPr>
        <w:numPr>
          <w:ilvl w:val="12"/>
          <w:numId w:val="0"/>
        </w:numPr>
        <w:ind w:right="-2"/>
        <w:outlineLvl w:val="0"/>
        <w:rPr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 xml:space="preserve">Šis pakuotės </w:t>
      </w:r>
      <w:r w:rsidRPr="001749EE">
        <w:rPr>
          <w:b/>
          <w:noProof/>
          <w:szCs w:val="22"/>
          <w:lang w:val="lt-LT"/>
        </w:rPr>
        <w:t xml:space="preserve">lapelis paskutinį kartą peržiūrėtas </w:t>
      </w:r>
      <w:r>
        <w:rPr>
          <w:b/>
          <w:noProof/>
          <w:szCs w:val="22"/>
          <w:lang w:val="lt-LT"/>
        </w:rPr>
        <w:t>2022-03-15.</w:t>
      </w:r>
    </w:p>
    <w:p w:rsidR="00500B7A" w:rsidRPr="001749EE" w:rsidRDefault="00500B7A" w:rsidP="00500B7A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500B7A" w:rsidRDefault="00500B7A" w:rsidP="00500B7A">
      <w:pPr>
        <w:tabs>
          <w:tab w:val="clear" w:pos="567"/>
        </w:tabs>
        <w:spacing w:line="240" w:lineRule="auto"/>
        <w:rPr>
          <w:rFonts w:eastAsia="Times New Roman"/>
          <w:snapToGrid w:val="0"/>
          <w:szCs w:val="22"/>
          <w:lang w:val="lt-LT"/>
        </w:rPr>
      </w:pPr>
      <w:r w:rsidRPr="001749EE">
        <w:rPr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1749EE">
          <w:rPr>
            <w:rFonts w:eastAsia="SimSun"/>
            <w:snapToGrid w:val="0"/>
            <w:color w:val="0000FF"/>
            <w:szCs w:val="22"/>
            <w:u w:val="single"/>
            <w:lang w:val="lt-LT"/>
          </w:rPr>
          <w:t>http://www.vvkt.lt/</w:t>
        </w:r>
      </w:hyperlink>
      <w:r w:rsidRPr="001749EE">
        <w:rPr>
          <w:rFonts w:eastAsia="Times New Roman"/>
          <w:snapToGrid w:val="0"/>
          <w:szCs w:val="22"/>
          <w:lang w:val="lt-LT"/>
        </w:rPr>
        <w:t>.</w:t>
      </w: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7A"/>
    <w:rsid w:val="00234094"/>
    <w:rsid w:val="00500B7A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44993-C8BF-4F26-8BE9-8B6D6143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0B7A"/>
    <w:pPr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00B7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00B7A"/>
    <w:rPr>
      <w:rFonts w:ascii="Times New Roman" w:eastAsia="Calibri" w:hAnsi="Times New Roman" w:cs="Times New Roman"/>
      <w:i/>
      <w:color w:val="008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6475</Words>
  <Characters>3692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2022-04-05T10:32:00Z</dcterms:created>
  <dcterms:modified xsi:type="dcterms:W3CDTF">2022-04-05T10:33:00Z</dcterms:modified>
</cp:coreProperties>
</file>