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6C65F" w14:textId="77777777" w:rsidR="00941804" w:rsidRPr="00C03483" w:rsidRDefault="00941804" w:rsidP="004D2419">
      <w:pPr>
        <w:ind w:left="5529"/>
        <w:rPr>
          <w:b/>
          <w:sz w:val="22"/>
        </w:rPr>
      </w:pPr>
      <w:bookmarkStart w:id="0" w:name="_Toc129243098"/>
      <w:bookmarkStart w:id="1" w:name="_Toc129243223"/>
    </w:p>
    <w:p w14:paraId="0A94F598" w14:textId="77777777" w:rsidR="00941804" w:rsidRPr="00C03483" w:rsidRDefault="00941804" w:rsidP="004D2419">
      <w:pPr>
        <w:ind w:left="5529"/>
        <w:rPr>
          <w:sz w:val="22"/>
        </w:rPr>
      </w:pPr>
    </w:p>
    <w:p w14:paraId="0F9E7BD9" w14:textId="77777777" w:rsidR="00941804" w:rsidRPr="00C03483" w:rsidRDefault="00941804" w:rsidP="004D2419">
      <w:pPr>
        <w:rPr>
          <w:sz w:val="22"/>
        </w:rPr>
      </w:pPr>
    </w:p>
    <w:p w14:paraId="4E01ED14" w14:textId="77777777" w:rsidR="00941804" w:rsidRPr="00C03483" w:rsidRDefault="00941804" w:rsidP="004D2419">
      <w:pPr>
        <w:rPr>
          <w:sz w:val="22"/>
        </w:rPr>
      </w:pPr>
    </w:p>
    <w:p w14:paraId="3AF0E96A" w14:textId="77777777" w:rsidR="00941804" w:rsidRPr="00C03483" w:rsidRDefault="00941804" w:rsidP="004D2419">
      <w:pPr>
        <w:rPr>
          <w:sz w:val="22"/>
        </w:rPr>
      </w:pPr>
    </w:p>
    <w:p w14:paraId="4737567B" w14:textId="77777777" w:rsidR="00941804" w:rsidRPr="00C03483" w:rsidRDefault="00941804" w:rsidP="004D2419">
      <w:pPr>
        <w:rPr>
          <w:sz w:val="22"/>
        </w:rPr>
      </w:pPr>
    </w:p>
    <w:p w14:paraId="30FD97C2" w14:textId="77777777" w:rsidR="00941804" w:rsidRPr="00C03483" w:rsidRDefault="00941804" w:rsidP="004D2419">
      <w:pPr>
        <w:rPr>
          <w:sz w:val="22"/>
        </w:rPr>
      </w:pPr>
    </w:p>
    <w:p w14:paraId="0BB3B69C" w14:textId="77777777" w:rsidR="00941804" w:rsidRPr="00C03483" w:rsidRDefault="00941804" w:rsidP="004D2419">
      <w:pPr>
        <w:ind w:right="141"/>
        <w:rPr>
          <w:sz w:val="22"/>
        </w:rPr>
      </w:pPr>
    </w:p>
    <w:p w14:paraId="08713CF1" w14:textId="77777777" w:rsidR="00941804" w:rsidRPr="00C03483" w:rsidRDefault="00941804" w:rsidP="004D2419">
      <w:pPr>
        <w:rPr>
          <w:sz w:val="22"/>
        </w:rPr>
      </w:pPr>
    </w:p>
    <w:p w14:paraId="7B3B9ADA" w14:textId="77777777" w:rsidR="00941804" w:rsidRPr="00C03483" w:rsidRDefault="00941804" w:rsidP="004D2419">
      <w:pPr>
        <w:rPr>
          <w:sz w:val="22"/>
        </w:rPr>
      </w:pPr>
    </w:p>
    <w:p w14:paraId="38B08AF7" w14:textId="77777777" w:rsidR="00941804" w:rsidRPr="00C03483" w:rsidRDefault="00941804" w:rsidP="004D2419">
      <w:pPr>
        <w:rPr>
          <w:sz w:val="22"/>
        </w:rPr>
      </w:pPr>
    </w:p>
    <w:p w14:paraId="67D0039D" w14:textId="77777777" w:rsidR="00941804" w:rsidRPr="00C03483" w:rsidRDefault="00941804" w:rsidP="004D2419">
      <w:pPr>
        <w:rPr>
          <w:sz w:val="22"/>
        </w:rPr>
      </w:pPr>
    </w:p>
    <w:p w14:paraId="32278EBA" w14:textId="77777777" w:rsidR="00941804" w:rsidRPr="00C03483" w:rsidRDefault="00941804" w:rsidP="004D2419">
      <w:pPr>
        <w:rPr>
          <w:sz w:val="22"/>
        </w:rPr>
      </w:pPr>
    </w:p>
    <w:p w14:paraId="329B569B" w14:textId="77777777" w:rsidR="00941804" w:rsidRPr="00C03483" w:rsidRDefault="00941804" w:rsidP="004D2419">
      <w:pPr>
        <w:rPr>
          <w:sz w:val="22"/>
        </w:rPr>
      </w:pPr>
    </w:p>
    <w:p w14:paraId="0C563468" w14:textId="77777777" w:rsidR="00941804" w:rsidRPr="00C03483" w:rsidRDefault="00941804" w:rsidP="004D2419">
      <w:pPr>
        <w:rPr>
          <w:sz w:val="22"/>
        </w:rPr>
      </w:pPr>
    </w:p>
    <w:p w14:paraId="622520D1" w14:textId="77777777" w:rsidR="00941804" w:rsidRPr="00C03483" w:rsidRDefault="00941804" w:rsidP="004D2419">
      <w:pPr>
        <w:rPr>
          <w:sz w:val="22"/>
        </w:rPr>
      </w:pPr>
    </w:p>
    <w:p w14:paraId="4568E41E" w14:textId="77777777" w:rsidR="00941804" w:rsidRPr="00C03483" w:rsidRDefault="00941804" w:rsidP="004D2419">
      <w:pPr>
        <w:rPr>
          <w:sz w:val="22"/>
        </w:rPr>
      </w:pPr>
    </w:p>
    <w:p w14:paraId="640425D8" w14:textId="77777777" w:rsidR="00941804" w:rsidRPr="00C03483" w:rsidRDefault="00941804" w:rsidP="004D2419">
      <w:pPr>
        <w:rPr>
          <w:sz w:val="22"/>
        </w:rPr>
      </w:pPr>
    </w:p>
    <w:p w14:paraId="0E2CAC3C" w14:textId="77777777" w:rsidR="00941804" w:rsidRPr="00C03483" w:rsidRDefault="00941804" w:rsidP="004D2419">
      <w:pPr>
        <w:rPr>
          <w:sz w:val="22"/>
        </w:rPr>
      </w:pPr>
    </w:p>
    <w:p w14:paraId="62D82853" w14:textId="77777777" w:rsidR="00941804" w:rsidRPr="00C03483" w:rsidRDefault="00941804" w:rsidP="004D2419">
      <w:pPr>
        <w:rPr>
          <w:sz w:val="22"/>
        </w:rPr>
      </w:pPr>
    </w:p>
    <w:p w14:paraId="198FF0A4" w14:textId="77777777" w:rsidR="00941804" w:rsidRPr="00C03483" w:rsidRDefault="00941804" w:rsidP="00C03483">
      <w:pPr>
        <w:pStyle w:val="Antrat2"/>
        <w:spacing w:before="0" w:after="0"/>
        <w:jc w:val="center"/>
        <w:rPr>
          <w:b w:val="0"/>
          <w:sz w:val="22"/>
        </w:rPr>
      </w:pPr>
    </w:p>
    <w:p w14:paraId="420F7A0D" w14:textId="77777777" w:rsidR="00941804" w:rsidRPr="00C03483" w:rsidRDefault="00941804" w:rsidP="00C03483">
      <w:pPr>
        <w:pStyle w:val="Antrat2"/>
        <w:spacing w:before="0" w:after="0"/>
        <w:jc w:val="center"/>
        <w:rPr>
          <w:b w:val="0"/>
          <w:sz w:val="22"/>
        </w:rPr>
      </w:pPr>
    </w:p>
    <w:p w14:paraId="66CA2095" w14:textId="77777777" w:rsidR="00941804" w:rsidRPr="00C03483" w:rsidRDefault="00941804" w:rsidP="00C03483">
      <w:pPr>
        <w:pStyle w:val="Antrat2"/>
        <w:spacing w:before="0" w:after="0"/>
        <w:jc w:val="center"/>
        <w:rPr>
          <w:b w:val="0"/>
          <w:sz w:val="22"/>
        </w:rPr>
      </w:pPr>
    </w:p>
    <w:p w14:paraId="7350E87D" w14:textId="77777777" w:rsidR="00941804" w:rsidRPr="00C03483" w:rsidRDefault="00941804" w:rsidP="00C03483">
      <w:pPr>
        <w:pStyle w:val="Antrat2"/>
        <w:spacing w:before="0" w:after="0"/>
        <w:jc w:val="center"/>
        <w:rPr>
          <w:b w:val="0"/>
          <w:sz w:val="22"/>
        </w:rPr>
      </w:pPr>
      <w:r w:rsidRPr="00C03483">
        <w:rPr>
          <w:rFonts w:ascii="Times New Roman" w:hAnsi="Times New Roman"/>
          <w:i w:val="0"/>
          <w:sz w:val="22"/>
        </w:rPr>
        <w:t>I PRIEDAS</w:t>
      </w:r>
    </w:p>
    <w:p w14:paraId="01F406FD" w14:textId="77777777" w:rsidR="00941804" w:rsidRPr="00C03483" w:rsidRDefault="00941804" w:rsidP="004D2419">
      <w:pPr>
        <w:rPr>
          <w:sz w:val="22"/>
        </w:rPr>
      </w:pPr>
    </w:p>
    <w:p w14:paraId="09BCC9E4" w14:textId="77777777" w:rsidR="00941804" w:rsidRPr="00C03483" w:rsidRDefault="00941804" w:rsidP="00C03483">
      <w:pPr>
        <w:pStyle w:val="Antrat2"/>
        <w:spacing w:before="0" w:after="0"/>
        <w:jc w:val="center"/>
        <w:rPr>
          <w:b w:val="0"/>
          <w:sz w:val="22"/>
        </w:rPr>
      </w:pPr>
      <w:r w:rsidRPr="00C03483">
        <w:rPr>
          <w:rFonts w:ascii="Times New Roman" w:hAnsi="Times New Roman"/>
          <w:i w:val="0"/>
          <w:sz w:val="22"/>
        </w:rPr>
        <w:t>PREPARATO CHARAKTERISTIKŲ SANTRAUKA</w:t>
      </w:r>
    </w:p>
    <w:p w14:paraId="2A99E93A" w14:textId="77777777" w:rsidR="00941804" w:rsidRPr="00C03483" w:rsidRDefault="00941804" w:rsidP="004D2419">
      <w:pPr>
        <w:ind w:left="540" w:hanging="540"/>
        <w:rPr>
          <w:b/>
          <w:sz w:val="22"/>
        </w:rPr>
      </w:pPr>
      <w:r w:rsidRPr="00C03483">
        <w:rPr>
          <w:sz w:val="22"/>
        </w:rPr>
        <w:br w:type="page"/>
      </w:r>
      <w:bookmarkEnd w:id="0"/>
      <w:bookmarkEnd w:id="1"/>
      <w:r w:rsidRPr="00C03483">
        <w:rPr>
          <w:b/>
          <w:sz w:val="22"/>
        </w:rPr>
        <w:lastRenderedPageBreak/>
        <w:t>1.</w:t>
      </w:r>
      <w:r w:rsidRPr="00C03483">
        <w:rPr>
          <w:b/>
          <w:sz w:val="22"/>
        </w:rPr>
        <w:tab/>
        <w:t>VAISTINIO PREPARATO PAVADINIMAS</w:t>
      </w:r>
    </w:p>
    <w:p w14:paraId="6D9525C8" w14:textId="77777777" w:rsidR="00941804" w:rsidRPr="00C03483" w:rsidRDefault="00941804" w:rsidP="004D2419">
      <w:pPr>
        <w:rPr>
          <w:sz w:val="22"/>
        </w:rPr>
      </w:pPr>
    </w:p>
    <w:p w14:paraId="0DD764CE" w14:textId="77777777" w:rsidR="00941804" w:rsidRPr="00C03483" w:rsidRDefault="00941804" w:rsidP="004D2419">
      <w:pPr>
        <w:rPr>
          <w:sz w:val="22"/>
        </w:rPr>
      </w:pPr>
      <w:r w:rsidRPr="00C03483">
        <w:rPr>
          <w:color w:val="000000"/>
          <w:sz w:val="22"/>
        </w:rPr>
        <w:t xml:space="preserve">RISONATE </w:t>
      </w:r>
      <w:r w:rsidRPr="00C03483">
        <w:rPr>
          <w:sz w:val="22"/>
        </w:rPr>
        <w:t xml:space="preserve">35 mg </w:t>
      </w:r>
      <w:bookmarkStart w:id="2" w:name="OLE_LINK2"/>
      <w:r w:rsidRPr="00C03483">
        <w:rPr>
          <w:sz w:val="22"/>
        </w:rPr>
        <w:t>plėvele dengtos tabletės</w:t>
      </w:r>
      <w:bookmarkEnd w:id="2"/>
    </w:p>
    <w:p w14:paraId="1B42E75D" w14:textId="77777777" w:rsidR="00941804" w:rsidRPr="00C03483" w:rsidRDefault="00941804" w:rsidP="004D2419">
      <w:pPr>
        <w:rPr>
          <w:sz w:val="22"/>
        </w:rPr>
      </w:pPr>
    </w:p>
    <w:p w14:paraId="70B29AEC" w14:textId="77777777" w:rsidR="00941804" w:rsidRPr="00C03483" w:rsidRDefault="00941804" w:rsidP="004D2419">
      <w:pPr>
        <w:rPr>
          <w:sz w:val="22"/>
        </w:rPr>
      </w:pPr>
    </w:p>
    <w:p w14:paraId="0EEE3C29" w14:textId="77777777" w:rsidR="00941804" w:rsidRPr="00C03483" w:rsidRDefault="00941804" w:rsidP="004D2419">
      <w:pPr>
        <w:ind w:left="540" w:hanging="540"/>
        <w:rPr>
          <w:b/>
          <w:sz w:val="22"/>
        </w:rPr>
      </w:pPr>
      <w:bookmarkStart w:id="3" w:name="_Toc129243099"/>
      <w:bookmarkStart w:id="4" w:name="_Toc129243224"/>
      <w:r w:rsidRPr="00C03483">
        <w:rPr>
          <w:b/>
          <w:sz w:val="22"/>
        </w:rPr>
        <w:t>2.</w:t>
      </w:r>
      <w:r w:rsidRPr="00C03483">
        <w:rPr>
          <w:b/>
          <w:sz w:val="22"/>
        </w:rPr>
        <w:tab/>
        <w:t>KOKYBINĖ IR KIEKYBINĖ SUDĖTIS</w:t>
      </w:r>
      <w:bookmarkEnd w:id="3"/>
      <w:bookmarkEnd w:id="4"/>
    </w:p>
    <w:p w14:paraId="64869E13" w14:textId="77777777" w:rsidR="00941804" w:rsidRPr="00C03483" w:rsidRDefault="00941804" w:rsidP="004D2419">
      <w:pPr>
        <w:rPr>
          <w:sz w:val="22"/>
        </w:rPr>
      </w:pPr>
    </w:p>
    <w:p w14:paraId="1B6B2D0D" w14:textId="77777777" w:rsidR="00941804" w:rsidRPr="00C03483" w:rsidRDefault="00941804" w:rsidP="004D2419">
      <w:pPr>
        <w:rPr>
          <w:sz w:val="22"/>
        </w:rPr>
      </w:pPr>
      <w:r w:rsidRPr="00C03483">
        <w:rPr>
          <w:sz w:val="22"/>
        </w:rPr>
        <w:t>Kiekvienoje plėvele dengtoje tabletėje yra 35 mg natrio rizedronato (tai atitinka 32,5 mg rizedrono rūgšties).</w:t>
      </w:r>
    </w:p>
    <w:p w14:paraId="79ABFFA5" w14:textId="77777777" w:rsidR="00941804" w:rsidRPr="00C03483" w:rsidRDefault="00941804" w:rsidP="004D2419">
      <w:pPr>
        <w:rPr>
          <w:i/>
          <w:sz w:val="22"/>
        </w:rPr>
      </w:pPr>
    </w:p>
    <w:p w14:paraId="567B586C" w14:textId="77777777" w:rsidR="00941804" w:rsidRPr="00C03483" w:rsidRDefault="00941804" w:rsidP="004D2419">
      <w:pPr>
        <w:rPr>
          <w:sz w:val="22"/>
          <w:u w:val="single"/>
        </w:rPr>
      </w:pPr>
      <w:r w:rsidRPr="00C03483">
        <w:rPr>
          <w:sz w:val="22"/>
          <w:u w:val="single"/>
        </w:rPr>
        <w:t>Pagalbinės medžiagos, kurių poveikis žinomas:</w:t>
      </w:r>
      <w:r w:rsidR="00066982">
        <w:rPr>
          <w:sz w:val="22"/>
          <w:u w:val="single"/>
        </w:rPr>
        <w:t xml:space="preserve"> </w:t>
      </w:r>
    </w:p>
    <w:p w14:paraId="54FC0E43" w14:textId="77777777" w:rsidR="00941804" w:rsidRPr="00C03483" w:rsidRDefault="00941804" w:rsidP="004D2419">
      <w:pPr>
        <w:rPr>
          <w:sz w:val="22"/>
        </w:rPr>
      </w:pPr>
      <w:r w:rsidRPr="00C03483">
        <w:rPr>
          <w:sz w:val="22"/>
        </w:rPr>
        <w:t>Kiekvienoje plėvele dengtoje tabletėje yra 140 mg laktozės monohidrato</w:t>
      </w:r>
      <w:r w:rsidRPr="0039042E">
        <w:rPr>
          <w:sz w:val="22"/>
          <w:szCs w:val="22"/>
        </w:rPr>
        <w:t>.</w:t>
      </w:r>
    </w:p>
    <w:p w14:paraId="64BBF0D0" w14:textId="77777777" w:rsidR="00941804" w:rsidRPr="00C03483" w:rsidRDefault="00941804" w:rsidP="004D2419">
      <w:pPr>
        <w:rPr>
          <w:sz w:val="22"/>
        </w:rPr>
      </w:pPr>
      <w:r w:rsidRPr="00C03483">
        <w:rPr>
          <w:sz w:val="22"/>
        </w:rPr>
        <w:t>Visos pagalbinės medžiagos išvardytos 6.1 skyriuje.</w:t>
      </w:r>
    </w:p>
    <w:p w14:paraId="1912388D" w14:textId="77777777" w:rsidR="00941804" w:rsidRPr="00C03483" w:rsidRDefault="00941804" w:rsidP="004D2419">
      <w:pPr>
        <w:rPr>
          <w:sz w:val="22"/>
        </w:rPr>
      </w:pPr>
    </w:p>
    <w:p w14:paraId="6B103CA8" w14:textId="77777777" w:rsidR="00941804" w:rsidRPr="00C03483" w:rsidRDefault="00941804" w:rsidP="004D2419">
      <w:pPr>
        <w:rPr>
          <w:sz w:val="22"/>
        </w:rPr>
      </w:pPr>
    </w:p>
    <w:p w14:paraId="68F3E527" w14:textId="77777777" w:rsidR="00941804" w:rsidRPr="00C03483" w:rsidRDefault="00941804" w:rsidP="004D2419">
      <w:pPr>
        <w:ind w:left="540" w:hanging="540"/>
        <w:rPr>
          <w:b/>
          <w:sz w:val="22"/>
        </w:rPr>
      </w:pPr>
      <w:bookmarkStart w:id="5" w:name="_Toc129243100"/>
      <w:bookmarkStart w:id="6" w:name="_Toc129243225"/>
      <w:r w:rsidRPr="00C03483">
        <w:rPr>
          <w:b/>
          <w:sz w:val="22"/>
        </w:rPr>
        <w:t>3.</w:t>
      </w:r>
      <w:r w:rsidRPr="00C03483">
        <w:rPr>
          <w:b/>
          <w:sz w:val="22"/>
        </w:rPr>
        <w:tab/>
        <w:t>FARMACINĖ FORMA</w:t>
      </w:r>
      <w:bookmarkEnd w:id="5"/>
      <w:bookmarkEnd w:id="6"/>
    </w:p>
    <w:p w14:paraId="6FAAE733" w14:textId="77777777" w:rsidR="00941804" w:rsidRPr="00C03483" w:rsidRDefault="00941804" w:rsidP="004D2419">
      <w:pPr>
        <w:rPr>
          <w:sz w:val="22"/>
        </w:rPr>
      </w:pPr>
    </w:p>
    <w:p w14:paraId="0A748E29" w14:textId="77777777" w:rsidR="00941804" w:rsidRPr="00C03483" w:rsidRDefault="00941804" w:rsidP="004D2419">
      <w:pPr>
        <w:rPr>
          <w:sz w:val="22"/>
        </w:rPr>
      </w:pPr>
      <w:r w:rsidRPr="00C03483">
        <w:rPr>
          <w:sz w:val="22"/>
        </w:rPr>
        <w:t>Plėvele dengta tabletė.</w:t>
      </w:r>
    </w:p>
    <w:p w14:paraId="347E6D79" w14:textId="77777777" w:rsidR="00941804" w:rsidRPr="00C03483" w:rsidRDefault="00941804" w:rsidP="004D2419">
      <w:pPr>
        <w:rPr>
          <w:sz w:val="22"/>
        </w:rPr>
      </w:pPr>
    </w:p>
    <w:p w14:paraId="713A85BC" w14:textId="77777777" w:rsidR="00941804" w:rsidRPr="00C03483" w:rsidRDefault="00941804" w:rsidP="004D2419">
      <w:pPr>
        <w:rPr>
          <w:sz w:val="22"/>
        </w:rPr>
      </w:pPr>
      <w:r w:rsidRPr="00C03483">
        <w:rPr>
          <w:sz w:val="22"/>
        </w:rPr>
        <w:t>Oranžinės, apvalios plėvele dengtos tabletės, kurių vienoje pusėje įspaustas ženklas “R35“, kita pusė lygi.</w:t>
      </w:r>
    </w:p>
    <w:p w14:paraId="6D2961C6" w14:textId="77777777" w:rsidR="00941804" w:rsidRPr="00C03483" w:rsidRDefault="00941804" w:rsidP="004D2419">
      <w:pPr>
        <w:rPr>
          <w:sz w:val="22"/>
        </w:rPr>
      </w:pPr>
    </w:p>
    <w:p w14:paraId="6798D918" w14:textId="77777777" w:rsidR="00941804" w:rsidRPr="00C03483" w:rsidRDefault="00941804" w:rsidP="004D2419">
      <w:pPr>
        <w:rPr>
          <w:sz w:val="22"/>
        </w:rPr>
      </w:pPr>
    </w:p>
    <w:p w14:paraId="6DCD6AC6" w14:textId="77777777" w:rsidR="00941804" w:rsidRPr="00C03483" w:rsidRDefault="00941804" w:rsidP="004D2419">
      <w:pPr>
        <w:ind w:left="540" w:hanging="540"/>
        <w:rPr>
          <w:b/>
          <w:sz w:val="22"/>
        </w:rPr>
      </w:pPr>
      <w:bookmarkStart w:id="7" w:name="_Toc129243101"/>
      <w:bookmarkStart w:id="8" w:name="_Toc129243226"/>
      <w:r w:rsidRPr="00C03483">
        <w:rPr>
          <w:b/>
          <w:sz w:val="22"/>
        </w:rPr>
        <w:t>4.</w:t>
      </w:r>
      <w:r w:rsidRPr="00C03483">
        <w:rPr>
          <w:b/>
          <w:sz w:val="22"/>
        </w:rPr>
        <w:tab/>
        <w:t>KLINIKINĖ INFORMACIJA</w:t>
      </w:r>
      <w:bookmarkEnd w:id="7"/>
      <w:bookmarkEnd w:id="8"/>
    </w:p>
    <w:p w14:paraId="7C860DD6" w14:textId="77777777" w:rsidR="00941804" w:rsidRPr="00C03483" w:rsidRDefault="00941804" w:rsidP="004D2419">
      <w:pPr>
        <w:rPr>
          <w:sz w:val="22"/>
        </w:rPr>
      </w:pPr>
    </w:p>
    <w:p w14:paraId="3DCDB7C3" w14:textId="77777777" w:rsidR="00941804" w:rsidRPr="00C03483" w:rsidRDefault="00941804" w:rsidP="004D2419">
      <w:pPr>
        <w:ind w:left="540" w:hanging="540"/>
        <w:rPr>
          <w:b/>
          <w:sz w:val="22"/>
        </w:rPr>
      </w:pPr>
      <w:bookmarkStart w:id="9" w:name="_Toc129243102"/>
      <w:bookmarkStart w:id="10" w:name="_Toc129243227"/>
      <w:r w:rsidRPr="00C03483">
        <w:rPr>
          <w:b/>
          <w:sz w:val="22"/>
        </w:rPr>
        <w:t>4.1</w:t>
      </w:r>
      <w:r w:rsidRPr="00C03483">
        <w:rPr>
          <w:b/>
          <w:sz w:val="22"/>
        </w:rPr>
        <w:tab/>
        <w:t>Terapinės indikacijos</w:t>
      </w:r>
      <w:bookmarkEnd w:id="9"/>
      <w:bookmarkEnd w:id="10"/>
    </w:p>
    <w:p w14:paraId="180F98C5" w14:textId="77777777" w:rsidR="00941804" w:rsidRPr="004D2419" w:rsidRDefault="00941804" w:rsidP="00C03483">
      <w:pPr>
        <w:pStyle w:val="Pagrindinistekstas"/>
        <w:spacing w:after="0"/>
      </w:pPr>
    </w:p>
    <w:p w14:paraId="29648ABF" w14:textId="77777777" w:rsidR="00941804" w:rsidRPr="004D2419" w:rsidRDefault="00941804" w:rsidP="00C03483">
      <w:pPr>
        <w:pStyle w:val="Pagrindinistekstas"/>
        <w:numPr>
          <w:ilvl w:val="0"/>
          <w:numId w:val="16"/>
        </w:numPr>
        <w:spacing w:after="0"/>
        <w:ind w:left="567" w:hanging="567"/>
        <w:rPr>
          <w:color w:val="000000"/>
        </w:rPr>
      </w:pPr>
      <w:bookmarkStart w:id="11" w:name="OLE_LINK10"/>
      <w:bookmarkStart w:id="12" w:name="OLE_LINK11"/>
      <w:r w:rsidRPr="004D2419">
        <w:t>Osteoporozės po menopauzės gydymas</w:t>
      </w:r>
      <w:r w:rsidRPr="004D2419">
        <w:rPr>
          <w:color w:val="000000"/>
        </w:rPr>
        <w:t>, siekiant sumažinti stuburo slankstelių lūžių riziką.</w:t>
      </w:r>
    </w:p>
    <w:bookmarkEnd w:id="11"/>
    <w:bookmarkEnd w:id="12"/>
    <w:p w14:paraId="112B7850" w14:textId="77777777" w:rsidR="00941804" w:rsidRPr="00C03483" w:rsidRDefault="00941804" w:rsidP="00C03483">
      <w:pPr>
        <w:pStyle w:val="Sraopastraipa1"/>
        <w:numPr>
          <w:ilvl w:val="0"/>
          <w:numId w:val="16"/>
        </w:numPr>
        <w:ind w:left="567" w:hanging="567"/>
        <w:rPr>
          <w:color w:val="000000"/>
          <w:sz w:val="22"/>
        </w:rPr>
      </w:pPr>
      <w:r w:rsidRPr="00C03483">
        <w:rPr>
          <w:color w:val="000000"/>
          <w:sz w:val="22"/>
        </w:rPr>
        <w:t xml:space="preserve">Diagnozuotos </w:t>
      </w:r>
      <w:r w:rsidRPr="00C03483">
        <w:rPr>
          <w:sz w:val="22"/>
        </w:rPr>
        <w:t>osteoporozės po menopauzės gydymas</w:t>
      </w:r>
      <w:r w:rsidRPr="00C03483">
        <w:rPr>
          <w:color w:val="000000"/>
          <w:sz w:val="22"/>
        </w:rPr>
        <w:t>, siekiant sumažinti šlaunikaulio kaklelio lūžių riziką</w:t>
      </w:r>
      <w:r w:rsidRPr="00C03483">
        <w:rPr>
          <w:sz w:val="22"/>
        </w:rPr>
        <w:t xml:space="preserve"> (žr. 5.1 skyrių).</w:t>
      </w:r>
    </w:p>
    <w:p w14:paraId="4BB34E02" w14:textId="77777777" w:rsidR="00941804" w:rsidRPr="004D2419" w:rsidRDefault="00941804" w:rsidP="00C03483">
      <w:pPr>
        <w:pStyle w:val="Pagrindinistekstas"/>
        <w:numPr>
          <w:ilvl w:val="0"/>
          <w:numId w:val="16"/>
        </w:numPr>
        <w:spacing w:after="0"/>
        <w:ind w:left="567" w:hanging="567"/>
      </w:pPr>
      <w:r w:rsidRPr="004D2419">
        <w:t>Vyrų osteoporozės gydymas, esant didelei lūžių rizikai (žr. 5.1 skyrių).</w:t>
      </w:r>
    </w:p>
    <w:p w14:paraId="38C47E5D" w14:textId="77777777" w:rsidR="00941804" w:rsidRPr="00C03483" w:rsidRDefault="00941804" w:rsidP="004D2419">
      <w:pPr>
        <w:rPr>
          <w:sz w:val="22"/>
        </w:rPr>
      </w:pPr>
    </w:p>
    <w:p w14:paraId="6530953E" w14:textId="77777777" w:rsidR="00941804" w:rsidRPr="00C03483" w:rsidRDefault="00941804" w:rsidP="004D2419">
      <w:pPr>
        <w:ind w:left="540" w:hanging="540"/>
        <w:rPr>
          <w:b/>
          <w:sz w:val="22"/>
        </w:rPr>
      </w:pPr>
      <w:bookmarkStart w:id="13" w:name="_Toc129243103"/>
      <w:bookmarkStart w:id="14" w:name="_Toc129243228"/>
      <w:r w:rsidRPr="00C03483">
        <w:rPr>
          <w:b/>
          <w:sz w:val="22"/>
        </w:rPr>
        <w:t>4.2</w:t>
      </w:r>
      <w:r w:rsidRPr="00C03483">
        <w:rPr>
          <w:b/>
          <w:sz w:val="22"/>
        </w:rPr>
        <w:tab/>
        <w:t>Dozavimas ir vartojimo metodas</w:t>
      </w:r>
      <w:bookmarkEnd w:id="13"/>
      <w:bookmarkEnd w:id="14"/>
    </w:p>
    <w:p w14:paraId="13DA551A" w14:textId="77777777" w:rsidR="00941804" w:rsidRPr="00C03483" w:rsidRDefault="00941804" w:rsidP="004D2419">
      <w:pPr>
        <w:ind w:left="540" w:hanging="540"/>
        <w:rPr>
          <w:b/>
          <w:sz w:val="22"/>
        </w:rPr>
      </w:pPr>
    </w:p>
    <w:p w14:paraId="39FF774D" w14:textId="77777777" w:rsidR="00941804" w:rsidRPr="00C03483" w:rsidRDefault="00941804" w:rsidP="004D2419">
      <w:pPr>
        <w:ind w:left="540" w:hanging="540"/>
        <w:rPr>
          <w:sz w:val="22"/>
          <w:u w:val="single"/>
        </w:rPr>
      </w:pPr>
      <w:r w:rsidRPr="00C03483">
        <w:rPr>
          <w:sz w:val="22"/>
          <w:u w:val="single"/>
        </w:rPr>
        <w:t>Dozavimas</w:t>
      </w:r>
    </w:p>
    <w:p w14:paraId="189088EF" w14:textId="77777777" w:rsidR="00941804" w:rsidRPr="00C03483" w:rsidRDefault="00941804" w:rsidP="004D2419">
      <w:pPr>
        <w:rPr>
          <w:sz w:val="22"/>
        </w:rPr>
      </w:pPr>
    </w:p>
    <w:p w14:paraId="7BE208FF" w14:textId="77777777" w:rsidR="00941804" w:rsidRPr="00C03483" w:rsidDel="007037ED" w:rsidRDefault="00941804" w:rsidP="004D2419">
      <w:pPr>
        <w:rPr>
          <w:sz w:val="22"/>
        </w:rPr>
      </w:pPr>
      <w:r w:rsidRPr="00C03483" w:rsidDel="007037ED">
        <w:rPr>
          <w:sz w:val="22"/>
        </w:rPr>
        <w:t xml:space="preserve">Suaugusiems žmonėms rekomenduojama gerti po vieną 35 mg tabletę per savaitę. Tabletę reikia gerti kiekvieną savaitę tą pačią dieną. </w:t>
      </w:r>
    </w:p>
    <w:p w14:paraId="2980061D" w14:textId="77777777" w:rsidR="00941804" w:rsidRPr="00C03483" w:rsidDel="007037ED" w:rsidRDefault="00941804" w:rsidP="004D2419">
      <w:pPr>
        <w:rPr>
          <w:sz w:val="22"/>
        </w:rPr>
      </w:pPr>
    </w:p>
    <w:p w14:paraId="2F775A88" w14:textId="77777777" w:rsidR="00941804" w:rsidRPr="00C03483" w:rsidRDefault="00941804" w:rsidP="004D2419">
      <w:pPr>
        <w:rPr>
          <w:sz w:val="22"/>
        </w:rPr>
      </w:pPr>
      <w:r w:rsidRPr="00C03483">
        <w:rPr>
          <w:sz w:val="22"/>
        </w:rPr>
        <w:t>Pacientus reikia informuoti, kad praleidus dozę, vieną tabletę reikia išgerti tą dieną, kai prisimenama. Po to pacientas turi grįžti prie įprastinio vartojimo, t. y. įprastą dieną gerti kartą per savaitę po vieną tabletę. Dviejų tablečių gerti tą pačią dieną negalima.</w:t>
      </w:r>
    </w:p>
    <w:p w14:paraId="10D8DEA3" w14:textId="77777777" w:rsidR="00941804" w:rsidRPr="00C03483" w:rsidRDefault="00941804" w:rsidP="004D2419">
      <w:pPr>
        <w:rPr>
          <w:sz w:val="22"/>
        </w:rPr>
      </w:pPr>
    </w:p>
    <w:p w14:paraId="6AE1D4C6" w14:textId="77777777" w:rsidR="00941804" w:rsidRPr="00C03483" w:rsidRDefault="00941804" w:rsidP="004D2419">
      <w:pPr>
        <w:rPr>
          <w:sz w:val="22"/>
        </w:rPr>
      </w:pPr>
      <w:r w:rsidRPr="00C03483">
        <w:rPr>
          <w:sz w:val="22"/>
        </w:rPr>
        <w:t>Jeigu su maistu gaunama nepakankamai kalcio ir vitamino D, reikia apsvarstyti, ar minėtų medžiagų nevertėtų skirti papildomai.</w:t>
      </w:r>
    </w:p>
    <w:p w14:paraId="74ACADA8" w14:textId="77777777" w:rsidR="00941804" w:rsidRPr="00C03483" w:rsidRDefault="00941804" w:rsidP="004D2419">
      <w:pPr>
        <w:rPr>
          <w:sz w:val="22"/>
        </w:rPr>
      </w:pPr>
    </w:p>
    <w:p w14:paraId="1F8EFE71" w14:textId="77777777" w:rsidR="00941804" w:rsidRPr="00C03483" w:rsidRDefault="00941804" w:rsidP="004D2419">
      <w:pPr>
        <w:rPr>
          <w:sz w:val="22"/>
        </w:rPr>
      </w:pPr>
      <w:r w:rsidRPr="00C03483">
        <w:rPr>
          <w:sz w:val="22"/>
        </w:rPr>
        <w:t>Optimali osteoporozės gydymo bisfosfonatais trukmė nėra nustatyta. Gydymo pratęsimo būtinybę, remiantis natrio rizedronato gydymo nauda ir rizika konkrečiam pacientui, reikia vertinti periodiškai, ypač praėjus 5 ar daugiau gydymo metų.</w:t>
      </w:r>
    </w:p>
    <w:p w14:paraId="4BC40AFE" w14:textId="77777777" w:rsidR="00941804" w:rsidRPr="00C03483" w:rsidRDefault="00941804" w:rsidP="004D2419">
      <w:pPr>
        <w:rPr>
          <w:sz w:val="22"/>
        </w:rPr>
      </w:pPr>
    </w:p>
    <w:p w14:paraId="3AE6993A" w14:textId="77777777" w:rsidR="00941804" w:rsidRPr="00C03483" w:rsidRDefault="00941804" w:rsidP="004D2419">
      <w:pPr>
        <w:rPr>
          <w:sz w:val="22"/>
        </w:rPr>
      </w:pPr>
      <w:r w:rsidRPr="00C03483">
        <w:rPr>
          <w:sz w:val="22"/>
        </w:rPr>
        <w:t>Senyvi pacientai</w:t>
      </w:r>
    </w:p>
    <w:p w14:paraId="3B910F93" w14:textId="77777777" w:rsidR="00941804" w:rsidRPr="00C03483" w:rsidRDefault="00941804" w:rsidP="004D2419">
      <w:pPr>
        <w:rPr>
          <w:sz w:val="22"/>
        </w:rPr>
      </w:pPr>
    </w:p>
    <w:p w14:paraId="470F5B82" w14:textId="77777777" w:rsidR="00941804" w:rsidRPr="00C03483" w:rsidRDefault="00941804" w:rsidP="004D2419">
      <w:pPr>
        <w:rPr>
          <w:sz w:val="22"/>
        </w:rPr>
      </w:pPr>
      <w:r w:rsidRPr="00C03483">
        <w:rPr>
          <w:sz w:val="22"/>
        </w:rPr>
        <w:t>Šio vaistinio preparato dozės koreguoti nereikia, kadangi jo biologinis prieinamumas, pasiskirstymas ir eliminacija vyresnių kaip 60 metų ir jaunesnių žmonių organizme būna panaši. Tai pastebėta ir labai senyvo amžiaus, 75 metų ir vyresniems, pacientams.</w:t>
      </w:r>
    </w:p>
    <w:p w14:paraId="333673A7" w14:textId="77777777" w:rsidR="00941804" w:rsidRPr="00C03483" w:rsidRDefault="00941804" w:rsidP="004D2419">
      <w:pPr>
        <w:rPr>
          <w:sz w:val="22"/>
        </w:rPr>
      </w:pPr>
    </w:p>
    <w:p w14:paraId="4AFF96F3" w14:textId="77777777" w:rsidR="00941804" w:rsidRPr="00C03483" w:rsidRDefault="00941804" w:rsidP="004D2419">
      <w:pPr>
        <w:rPr>
          <w:sz w:val="22"/>
        </w:rPr>
      </w:pPr>
      <w:r w:rsidRPr="00C03483">
        <w:rPr>
          <w:sz w:val="22"/>
        </w:rPr>
        <w:t>Inkstų funkcijos sutrikimas</w:t>
      </w:r>
    </w:p>
    <w:p w14:paraId="4A4EB47B" w14:textId="77777777" w:rsidR="00941804" w:rsidRPr="00C03483" w:rsidRDefault="00941804" w:rsidP="004D2419">
      <w:pPr>
        <w:rPr>
          <w:sz w:val="22"/>
        </w:rPr>
      </w:pPr>
    </w:p>
    <w:p w14:paraId="486EA21B" w14:textId="77777777" w:rsidR="00941804" w:rsidRPr="00C03483" w:rsidRDefault="00941804" w:rsidP="004D2419">
      <w:pPr>
        <w:rPr>
          <w:sz w:val="22"/>
        </w:rPr>
      </w:pPr>
      <w:bookmarkStart w:id="15" w:name="_Toc129243104"/>
      <w:bookmarkStart w:id="16" w:name="_Toc129243229"/>
      <w:r w:rsidRPr="00C03483">
        <w:rPr>
          <w:sz w:val="22"/>
        </w:rPr>
        <w:t>Pacientams, kuriems yra lengvas ar vidutinio sunkumo inkstų funkcijos sutrikimas, dozavimo koreguoti nereikia. Pacientams, kuriems yra sunkus inkstų funkcijos sutrikimas (kreatinino klirensas mažesnis nei 30 ml/min.), natrio rizedronato vartoti draudžiama (žr. 4.3 ir 5.2 skyrius).</w:t>
      </w:r>
    </w:p>
    <w:p w14:paraId="574DD454" w14:textId="77777777" w:rsidR="00941804" w:rsidRPr="00C03483" w:rsidRDefault="00941804" w:rsidP="004D2419">
      <w:pPr>
        <w:rPr>
          <w:sz w:val="22"/>
        </w:rPr>
      </w:pPr>
    </w:p>
    <w:p w14:paraId="5FD77148" w14:textId="77777777" w:rsidR="00941804" w:rsidRPr="00C03483" w:rsidRDefault="00941804" w:rsidP="004D2419">
      <w:pPr>
        <w:rPr>
          <w:i/>
          <w:sz w:val="22"/>
        </w:rPr>
      </w:pPr>
      <w:r w:rsidRPr="00C03483">
        <w:rPr>
          <w:i/>
          <w:sz w:val="22"/>
        </w:rPr>
        <w:t>Vaikų populiacija</w:t>
      </w:r>
    </w:p>
    <w:p w14:paraId="6721BE08" w14:textId="77777777" w:rsidR="00941804" w:rsidRPr="00C03483" w:rsidRDefault="00941804" w:rsidP="004D2419">
      <w:pPr>
        <w:rPr>
          <w:i/>
          <w:sz w:val="22"/>
        </w:rPr>
      </w:pPr>
    </w:p>
    <w:p w14:paraId="148421CF" w14:textId="77777777" w:rsidR="00941804" w:rsidRPr="00C03483" w:rsidRDefault="00941804" w:rsidP="004D2419">
      <w:pPr>
        <w:rPr>
          <w:sz w:val="22"/>
        </w:rPr>
      </w:pPr>
      <w:r w:rsidRPr="00C03483">
        <w:rPr>
          <w:sz w:val="22"/>
        </w:rPr>
        <w:t>Risonate vartoti vaikams ir paaugliams iki 18 metų amžiaus nerekomenduojama, kadangi jo saugumo ir veiksmingumo duomenų nepakanka (taip pat žr. 5.1 skyrių).</w:t>
      </w:r>
    </w:p>
    <w:p w14:paraId="2C11C111" w14:textId="77777777" w:rsidR="00941804" w:rsidRPr="00C03483" w:rsidRDefault="00941804" w:rsidP="004D2419">
      <w:pPr>
        <w:ind w:left="540" w:hanging="540"/>
        <w:rPr>
          <w:b/>
          <w:sz w:val="22"/>
        </w:rPr>
      </w:pPr>
    </w:p>
    <w:p w14:paraId="40286BDD" w14:textId="77777777" w:rsidR="00941804" w:rsidRPr="00C03483" w:rsidRDefault="00941804" w:rsidP="004D2419">
      <w:pPr>
        <w:ind w:left="540" w:hanging="540"/>
        <w:rPr>
          <w:sz w:val="22"/>
          <w:u w:val="single"/>
        </w:rPr>
      </w:pPr>
      <w:r w:rsidRPr="00C03483">
        <w:rPr>
          <w:sz w:val="22"/>
          <w:u w:val="single"/>
        </w:rPr>
        <w:t>Vartojimo metodas</w:t>
      </w:r>
    </w:p>
    <w:p w14:paraId="69BECA16" w14:textId="77777777" w:rsidR="00941804" w:rsidRPr="00C03483" w:rsidRDefault="00941804" w:rsidP="004D2419">
      <w:pPr>
        <w:rPr>
          <w:sz w:val="22"/>
        </w:rPr>
      </w:pPr>
      <w:r w:rsidRPr="00C03483">
        <w:rPr>
          <w:sz w:val="22"/>
        </w:rPr>
        <w:t>Maistas daro įtaką natrio rizedronato absorbcijai, vadinasi, kad absorbcija būtų pakankama, pacientai tabletę turi nuryti:</w:t>
      </w:r>
    </w:p>
    <w:p w14:paraId="575B8ECC" w14:textId="77777777" w:rsidR="00941804" w:rsidRPr="00C03483" w:rsidRDefault="00941804" w:rsidP="00C03483">
      <w:pPr>
        <w:pStyle w:val="Sraopastraipa"/>
        <w:numPr>
          <w:ilvl w:val="0"/>
          <w:numId w:val="18"/>
        </w:numPr>
        <w:ind w:left="567" w:hanging="567"/>
        <w:rPr>
          <w:sz w:val="22"/>
        </w:rPr>
      </w:pPr>
      <w:r w:rsidRPr="00C03483">
        <w:rPr>
          <w:sz w:val="22"/>
        </w:rPr>
        <w:t>prieš pusryčius, t. y. mažiausiai 30 minučių prieš pirmą tos dienos valgymą, kitų vaistinių preparatų vartojimą ar skysčių (kitokių nei paprastas vanduo) gėrimą.</w:t>
      </w:r>
    </w:p>
    <w:p w14:paraId="6E821C05" w14:textId="77777777" w:rsidR="00941804" w:rsidRPr="00C03483" w:rsidRDefault="00941804" w:rsidP="004D2419">
      <w:pPr>
        <w:rPr>
          <w:sz w:val="22"/>
          <w:u w:val="single"/>
        </w:rPr>
      </w:pPr>
    </w:p>
    <w:p w14:paraId="1079EBF2" w14:textId="77777777" w:rsidR="00941804" w:rsidRPr="00C03483" w:rsidRDefault="00941804" w:rsidP="004D2419">
      <w:pPr>
        <w:rPr>
          <w:sz w:val="22"/>
        </w:rPr>
      </w:pPr>
      <w:r w:rsidRPr="00C03483">
        <w:rPr>
          <w:sz w:val="22"/>
        </w:rPr>
        <w:t>Tabletę būtina nuryti visą, jos čiulpti ar kramtyti negalima. Kad tabletė lengviau patektų į skrandį, ji nuryjama esant vertikalioje padėtyje, užsigeriant stikline (120 ml ar daugiau) paprasto vandens. Išgėrus tabletę, pacientui negalima atsigulti bent 30 min. (žr. 4.4 skyrių).</w:t>
      </w:r>
    </w:p>
    <w:p w14:paraId="305D6DC5" w14:textId="77777777" w:rsidR="00941804" w:rsidRPr="00C03483" w:rsidRDefault="00941804" w:rsidP="004D2419">
      <w:pPr>
        <w:ind w:left="540" w:hanging="540"/>
        <w:rPr>
          <w:b/>
          <w:sz w:val="22"/>
        </w:rPr>
      </w:pPr>
    </w:p>
    <w:p w14:paraId="0B48E3A7" w14:textId="77777777" w:rsidR="00941804" w:rsidRPr="00C03483" w:rsidRDefault="00941804" w:rsidP="004D2419">
      <w:pPr>
        <w:ind w:left="540" w:hanging="540"/>
        <w:rPr>
          <w:b/>
          <w:sz w:val="22"/>
        </w:rPr>
      </w:pPr>
      <w:r w:rsidRPr="00C03483">
        <w:rPr>
          <w:b/>
          <w:sz w:val="22"/>
        </w:rPr>
        <w:t>4.3</w:t>
      </w:r>
      <w:r w:rsidRPr="00C03483">
        <w:rPr>
          <w:b/>
          <w:sz w:val="22"/>
        </w:rPr>
        <w:tab/>
        <w:t>Kontraindikacijos</w:t>
      </w:r>
      <w:bookmarkEnd w:id="15"/>
      <w:bookmarkEnd w:id="16"/>
    </w:p>
    <w:p w14:paraId="06524348" w14:textId="77777777" w:rsidR="00941804" w:rsidRPr="00C03483" w:rsidRDefault="00941804" w:rsidP="004D2419">
      <w:pPr>
        <w:rPr>
          <w:sz w:val="22"/>
        </w:rPr>
      </w:pPr>
    </w:p>
    <w:p w14:paraId="1CEBCAD2" w14:textId="77777777" w:rsidR="00941804" w:rsidRPr="00C03483" w:rsidRDefault="00941804" w:rsidP="00C03483">
      <w:pPr>
        <w:pStyle w:val="Sraopastraipa1"/>
        <w:numPr>
          <w:ilvl w:val="0"/>
          <w:numId w:val="17"/>
        </w:numPr>
        <w:ind w:left="567" w:hanging="567"/>
        <w:rPr>
          <w:sz w:val="22"/>
        </w:rPr>
      </w:pPr>
      <w:r w:rsidRPr="00C03483">
        <w:rPr>
          <w:sz w:val="22"/>
        </w:rPr>
        <w:t>Padidėjęs jautrumas veikliajai arba bet kuriai 6.1 skyriuje nurodytai pagalbinei medžiagai.</w:t>
      </w:r>
    </w:p>
    <w:p w14:paraId="1CD08D78" w14:textId="77777777" w:rsidR="00941804" w:rsidRPr="00C03483" w:rsidRDefault="00941804" w:rsidP="00C03483">
      <w:pPr>
        <w:pStyle w:val="Sraopastraipa1"/>
        <w:numPr>
          <w:ilvl w:val="0"/>
          <w:numId w:val="17"/>
        </w:numPr>
        <w:ind w:left="567" w:hanging="567"/>
        <w:rPr>
          <w:sz w:val="22"/>
        </w:rPr>
      </w:pPr>
      <w:r w:rsidRPr="00C03483">
        <w:rPr>
          <w:sz w:val="22"/>
        </w:rPr>
        <w:t>Hipokalcemija (žr. 4.4 skyrių).</w:t>
      </w:r>
    </w:p>
    <w:p w14:paraId="07CFEA65" w14:textId="77777777" w:rsidR="00941804" w:rsidRPr="00C03483" w:rsidRDefault="00941804" w:rsidP="00C03483">
      <w:pPr>
        <w:pStyle w:val="Sraopastraipa1"/>
        <w:numPr>
          <w:ilvl w:val="0"/>
          <w:numId w:val="17"/>
        </w:numPr>
        <w:ind w:left="567" w:hanging="567"/>
        <w:rPr>
          <w:sz w:val="22"/>
        </w:rPr>
      </w:pPr>
      <w:r w:rsidRPr="00C03483">
        <w:rPr>
          <w:sz w:val="22"/>
        </w:rPr>
        <w:t>Nėštumas ir žindymo laikotarpis.</w:t>
      </w:r>
    </w:p>
    <w:p w14:paraId="4E5FE834" w14:textId="77777777" w:rsidR="00941804" w:rsidRPr="00C03483" w:rsidRDefault="00941804" w:rsidP="00C03483">
      <w:pPr>
        <w:pStyle w:val="Sraopastraipa1"/>
        <w:numPr>
          <w:ilvl w:val="0"/>
          <w:numId w:val="17"/>
        </w:numPr>
        <w:ind w:left="567" w:hanging="567"/>
        <w:rPr>
          <w:sz w:val="22"/>
        </w:rPr>
      </w:pPr>
      <w:r w:rsidRPr="00C03483">
        <w:rPr>
          <w:sz w:val="22"/>
        </w:rPr>
        <w:t>Sunkus inkstų funkcijos sutrikimas (kreatinino klirensas &lt; 30 ml/min.).</w:t>
      </w:r>
    </w:p>
    <w:p w14:paraId="505BDF9E" w14:textId="77777777" w:rsidR="00941804" w:rsidRPr="00C03483" w:rsidRDefault="00941804" w:rsidP="004D2419">
      <w:pPr>
        <w:rPr>
          <w:sz w:val="22"/>
        </w:rPr>
      </w:pPr>
    </w:p>
    <w:p w14:paraId="6F9E8A3C" w14:textId="77777777" w:rsidR="00941804" w:rsidRPr="00C03483" w:rsidRDefault="00941804" w:rsidP="004D2419">
      <w:pPr>
        <w:ind w:left="540" w:hanging="540"/>
        <w:rPr>
          <w:b/>
          <w:sz w:val="22"/>
        </w:rPr>
      </w:pPr>
      <w:bookmarkStart w:id="17" w:name="_Toc129243105"/>
      <w:bookmarkStart w:id="18" w:name="_Toc129243230"/>
      <w:r w:rsidRPr="00C03483">
        <w:rPr>
          <w:b/>
          <w:sz w:val="22"/>
        </w:rPr>
        <w:t>4.4</w:t>
      </w:r>
      <w:r w:rsidRPr="00C03483">
        <w:rPr>
          <w:b/>
          <w:sz w:val="22"/>
        </w:rPr>
        <w:tab/>
        <w:t>Specialūs įspėjimai ir atsargumo priemonės</w:t>
      </w:r>
      <w:bookmarkEnd w:id="17"/>
      <w:bookmarkEnd w:id="18"/>
    </w:p>
    <w:p w14:paraId="302A17D5" w14:textId="77777777" w:rsidR="00941804" w:rsidRPr="00C03483" w:rsidRDefault="00941804" w:rsidP="004D2419">
      <w:pPr>
        <w:rPr>
          <w:sz w:val="22"/>
        </w:rPr>
      </w:pPr>
    </w:p>
    <w:p w14:paraId="59E11FEB" w14:textId="77777777" w:rsidR="00941804" w:rsidRPr="00C03483" w:rsidRDefault="00941804" w:rsidP="004D2419">
      <w:pPr>
        <w:rPr>
          <w:sz w:val="22"/>
        </w:rPr>
      </w:pPr>
      <w:r w:rsidRPr="00C03483">
        <w:rPr>
          <w:sz w:val="22"/>
        </w:rPr>
        <w:t>Maistas, gėrimai (kitokie nei paprastas vanduo) ir vaistiniai preparatai, kurių sudėtyje yra polivalentinių katijonų (pvz., kalcio, magnio, geležies ir aliuminio), trukdo bisfosfonatų absorbcijai, taigi jų ir natrio rizedronato vartoti kartu negalima (žr. 4.5 skyrių). Kad pasireikštų numatytas veiksmingumas, būtina tiksliai laikytis dozavimo rekomendacijų (žr. 4.2 skyrių).</w:t>
      </w:r>
    </w:p>
    <w:p w14:paraId="2C925689" w14:textId="77777777" w:rsidR="00941804" w:rsidRPr="00C03483" w:rsidRDefault="00941804" w:rsidP="004D2419">
      <w:pPr>
        <w:rPr>
          <w:sz w:val="22"/>
        </w:rPr>
      </w:pPr>
    </w:p>
    <w:p w14:paraId="050E8949" w14:textId="77777777" w:rsidR="00941804" w:rsidRPr="00C03483" w:rsidRDefault="00941804" w:rsidP="004D2419">
      <w:pPr>
        <w:rPr>
          <w:sz w:val="22"/>
        </w:rPr>
      </w:pPr>
      <w:r w:rsidRPr="00C03483">
        <w:rPr>
          <w:sz w:val="22"/>
        </w:rPr>
        <w:t>Bisfosfonatų veiksmingumas gydant osteoporozę yra susijęs su mažu kaulų mineraliniu tankiu ir (arba) kaulų lūžių dominavimu. Vien senyvo amžiaus ar klinikinių kaulų lūžių rizikos veiksnių buvimo nepakanka, kad būtų pradėtas osteoporozės gydymas bisfosfonatais. Įrodymų, patvirtinančių bisfosfonatų, įskaitant natrio rizedronato, veiksmingumą vyresniems kaip  80 metų pacientams, yra nedaug (žr. 5.1 skyrių).</w:t>
      </w:r>
    </w:p>
    <w:p w14:paraId="19B55BE3" w14:textId="77777777" w:rsidR="00941804" w:rsidRPr="00C03483" w:rsidRDefault="00941804" w:rsidP="004D2419">
      <w:pPr>
        <w:rPr>
          <w:sz w:val="22"/>
        </w:rPr>
      </w:pPr>
    </w:p>
    <w:p w14:paraId="5D92C6F0" w14:textId="77777777" w:rsidR="00941804" w:rsidRPr="00C03483" w:rsidRDefault="00941804" w:rsidP="004D2419">
      <w:pPr>
        <w:rPr>
          <w:sz w:val="22"/>
        </w:rPr>
      </w:pPr>
      <w:r w:rsidRPr="00C03483">
        <w:rPr>
          <w:sz w:val="22"/>
        </w:rPr>
        <w:t>Bisfosfonatai yra susiję su ezofagitu, gastritu, stemplės išopėjimu ir skrandžio bei dvylikapirštės žarnos išopėjimu. Vadinasi, reikia būti atsargiems:</w:t>
      </w:r>
    </w:p>
    <w:p w14:paraId="62E6DD39" w14:textId="77777777" w:rsidR="00941804" w:rsidRPr="00C03483" w:rsidRDefault="00941804" w:rsidP="004D2419">
      <w:pPr>
        <w:numPr>
          <w:ilvl w:val="0"/>
          <w:numId w:val="14"/>
        </w:numPr>
        <w:rPr>
          <w:sz w:val="22"/>
        </w:rPr>
      </w:pPr>
      <w:r w:rsidRPr="00C03483">
        <w:rPr>
          <w:sz w:val="22"/>
        </w:rPr>
        <w:t>pacientams, kuriems anamnezėje buvo stemplės sutrikimų, uždelsiančių maisto slinkimą stemple ar stemplės išsituštinimą, pavyzdžiui, stemplės susiaurėjimas ar achalazija;</w:t>
      </w:r>
    </w:p>
    <w:p w14:paraId="4DC1AD19" w14:textId="77777777" w:rsidR="00941804" w:rsidRPr="00C03483" w:rsidRDefault="00941804" w:rsidP="004D2419">
      <w:pPr>
        <w:numPr>
          <w:ilvl w:val="0"/>
          <w:numId w:val="14"/>
        </w:numPr>
        <w:rPr>
          <w:sz w:val="22"/>
        </w:rPr>
      </w:pPr>
      <w:r w:rsidRPr="00C03483">
        <w:rPr>
          <w:sz w:val="22"/>
        </w:rPr>
        <w:t>pacientams, kurie negali išbūti vertikalioje padėtyje mažiausiai 30 minučių po tabletės išgėrimo;</w:t>
      </w:r>
    </w:p>
    <w:p w14:paraId="1A1A664F" w14:textId="77777777" w:rsidR="00941804" w:rsidRPr="00C03483" w:rsidRDefault="00941804" w:rsidP="004D2419">
      <w:pPr>
        <w:numPr>
          <w:ilvl w:val="0"/>
          <w:numId w:val="14"/>
        </w:numPr>
        <w:rPr>
          <w:sz w:val="22"/>
        </w:rPr>
      </w:pPr>
      <w:r w:rsidRPr="00C03483">
        <w:rPr>
          <w:sz w:val="22"/>
        </w:rPr>
        <w:t>rizedronato vartojant pacientams, kuriems yra ar neseniai buvo stemplės ar viršutinės virškinimo trakto dalies problemų (įskaitant žinomą Bareto stemplę).</w:t>
      </w:r>
    </w:p>
    <w:p w14:paraId="01D3B075" w14:textId="77777777" w:rsidR="00941804" w:rsidRPr="00C03483" w:rsidRDefault="00941804" w:rsidP="004D2419">
      <w:pPr>
        <w:rPr>
          <w:sz w:val="22"/>
        </w:rPr>
      </w:pPr>
    </w:p>
    <w:p w14:paraId="31251E1F" w14:textId="77777777" w:rsidR="00941804" w:rsidRPr="00C03483" w:rsidRDefault="00941804" w:rsidP="004D2419">
      <w:pPr>
        <w:rPr>
          <w:sz w:val="22"/>
        </w:rPr>
      </w:pPr>
      <w:r w:rsidRPr="00C03483">
        <w:rPr>
          <w:sz w:val="22"/>
        </w:rPr>
        <w:t xml:space="preserve">Gydytojas, kuris paskiria vaistinį preparatą, turi akcentuoti, kad yra labai svarbu kreipti dėmesį į dozavimo nurodymus ir įspėti dėl bet kokių galimos stemplės reakcijos požymių ir simptomų. Pacientus reikia informuoti laiku kreiptis medicininės pagalbos, jeigu jiems atsiranda stemplės dirginimo reiškinių, tokių kaip rijimo sutrikimas, skausmas ryjant, skausmas už krūtinkaulio ar rėmuo (arba jis pasunkėja). </w:t>
      </w:r>
    </w:p>
    <w:p w14:paraId="780145C8" w14:textId="77777777" w:rsidR="00941804" w:rsidRPr="00C03483" w:rsidRDefault="00941804" w:rsidP="004D2419">
      <w:pPr>
        <w:rPr>
          <w:sz w:val="22"/>
        </w:rPr>
      </w:pPr>
    </w:p>
    <w:p w14:paraId="63DEF52D" w14:textId="77777777" w:rsidR="00941804" w:rsidRPr="00C03483" w:rsidRDefault="00941804" w:rsidP="004D2419">
      <w:pPr>
        <w:rPr>
          <w:sz w:val="22"/>
        </w:rPr>
      </w:pPr>
      <w:r w:rsidRPr="00C03483">
        <w:rPr>
          <w:sz w:val="22"/>
        </w:rPr>
        <w:lastRenderedPageBreak/>
        <w:t>Prieš pradedant vartoti natrio rizedronato, reikia koreguoti hipokalcemiją. Pradedant gydymą šiuo vaistiniu preparatu, reikia sureguliuoti kitus kaulų ir mineralų metabolizmo sutrikimus (t.y. prieskydinių liaukų disfunkciją, hipovitaminozę D).</w:t>
      </w:r>
    </w:p>
    <w:p w14:paraId="7B70B25C" w14:textId="77777777" w:rsidR="00941804" w:rsidRPr="00C03483" w:rsidRDefault="00941804" w:rsidP="004D2419">
      <w:pPr>
        <w:rPr>
          <w:sz w:val="22"/>
        </w:rPr>
      </w:pPr>
    </w:p>
    <w:p w14:paraId="2D776CA8" w14:textId="77777777" w:rsidR="00941804" w:rsidRPr="00C03483" w:rsidRDefault="00941804" w:rsidP="004D2419">
      <w:pPr>
        <w:rPr>
          <w:sz w:val="22"/>
        </w:rPr>
      </w:pPr>
      <w:r w:rsidRPr="00C03483">
        <w:rPr>
          <w:sz w:val="22"/>
        </w:rPr>
        <w:t>Vėžiu sergantiems pacientams, kuriems pagal gydymo schemą bisfosfonatai skiriami visų pirma į veną, pastebėta žandikaulio osteonekrozė, paprastai susijusi su danties ištraukimu ir (arba) lokalia infekcija (įskaitant osteomielitą). Be to, dauguma šių pacientų buvo gydomi chemoterapija ir kortikosteroidais. Žandikaulio osteonekrozė taip pat buvo pastebėta osteoporoze sergantiems pacientams, vartojusiems geriamųjų bisfosfonatų.</w:t>
      </w:r>
    </w:p>
    <w:p w14:paraId="59903EF9" w14:textId="77777777" w:rsidR="00941804" w:rsidRPr="00C03483" w:rsidRDefault="00941804" w:rsidP="004D2419">
      <w:pPr>
        <w:rPr>
          <w:sz w:val="22"/>
        </w:rPr>
      </w:pPr>
    </w:p>
    <w:p w14:paraId="0DCCBD69" w14:textId="77777777" w:rsidR="00941804" w:rsidRPr="00C03483" w:rsidRDefault="00941804" w:rsidP="004D2419">
      <w:pPr>
        <w:rPr>
          <w:sz w:val="22"/>
        </w:rPr>
      </w:pPr>
      <w:r w:rsidRPr="00C03483">
        <w:rPr>
          <w:sz w:val="22"/>
        </w:rPr>
        <w:t>Prieš pradedant taikyti gydymą bisfosfonatais reikia apsvarstyti, ar nevertėtų patikrinti pacientų, kuriems yra susijusių rizikos veiksnių (pvz., vėžys, chemoterapija, spindulinis gydymas, gydymas kortikosteroidais, bloga burnos higiena), dantis ir taikyti jų profilaktinį gydymą.</w:t>
      </w:r>
    </w:p>
    <w:p w14:paraId="028B2EA7" w14:textId="77777777" w:rsidR="00941804" w:rsidRPr="00C03483" w:rsidRDefault="00941804" w:rsidP="004D2419">
      <w:pPr>
        <w:rPr>
          <w:sz w:val="22"/>
        </w:rPr>
      </w:pPr>
    </w:p>
    <w:p w14:paraId="3089776A" w14:textId="77777777" w:rsidR="00941804" w:rsidRPr="00C03483" w:rsidRDefault="00941804" w:rsidP="004D2419">
      <w:pPr>
        <w:rPr>
          <w:sz w:val="22"/>
        </w:rPr>
      </w:pPr>
      <w:r w:rsidRPr="00C03483">
        <w:rPr>
          <w:sz w:val="22"/>
        </w:rPr>
        <w:t>Gydymo metu, jeigu įmanoma, minėti ligoniai turi vengti invazinių dantų procedūrų. Bisfosfonatais gydomiems pacientams, kuriems pasireiškia osteonekrozė, chirurginės dantų procedūros gali pabloginti būklę. Duomenų, rodančių, kad gydymo bisfosfonatais nutraukimas pacientams, kuriems reikia atlikti dantų procedūrą, mažina žandikaulio osteonekrozės riziką, nėra.</w:t>
      </w:r>
    </w:p>
    <w:p w14:paraId="24B6E093" w14:textId="77777777" w:rsidR="00941804" w:rsidRPr="00C03483" w:rsidRDefault="00941804" w:rsidP="004D2419">
      <w:pPr>
        <w:rPr>
          <w:sz w:val="22"/>
        </w:rPr>
      </w:pPr>
    </w:p>
    <w:p w14:paraId="16D22153" w14:textId="77777777" w:rsidR="00941804" w:rsidRPr="00C03483" w:rsidRDefault="00941804" w:rsidP="004D2419">
      <w:pPr>
        <w:rPr>
          <w:sz w:val="22"/>
        </w:rPr>
      </w:pPr>
      <w:r w:rsidRPr="00C03483">
        <w:rPr>
          <w:sz w:val="22"/>
        </w:rPr>
        <w:t>Gydymą taikančio gydytojo klinikiniai sprendimai turėtų remtis kiekvieno paciento gydymo planu, pagrįstu individualiu naudos ir rizikos vertinimu.</w:t>
      </w:r>
    </w:p>
    <w:p w14:paraId="1655304A" w14:textId="77777777" w:rsidR="00941804" w:rsidRPr="00C03483" w:rsidRDefault="00941804" w:rsidP="004D2419">
      <w:pPr>
        <w:rPr>
          <w:sz w:val="22"/>
        </w:rPr>
      </w:pPr>
      <w:r w:rsidRPr="00C03483">
        <w:rPr>
          <w:sz w:val="22"/>
        </w:rPr>
        <w:t>Gydymo bisfosfonatais metu, ypač jei buvo gydoma ilgą laiką, buvo pranešta apie išorinės klausos landos osteonekrozės atvejus. Galimi išorinės klausos landos osteonekrozės rizikos veiksniai yra steroidų vartojimas, chemoterapija ir/arba vietiniai rizikos veiksniai, tokie kaip infekcija ar trauma.</w:t>
      </w:r>
    </w:p>
    <w:p w14:paraId="5D2A5721" w14:textId="77777777" w:rsidR="00941804" w:rsidRPr="00C03483" w:rsidRDefault="00941804" w:rsidP="004D2419">
      <w:pPr>
        <w:rPr>
          <w:sz w:val="22"/>
        </w:rPr>
      </w:pPr>
      <w:r w:rsidRPr="00C03483">
        <w:rPr>
          <w:sz w:val="22"/>
        </w:rPr>
        <w:t>Išorinės klausos landos osteonekrozės galimybė turi būti apsvarstyta pacientams, vartojantiems bisfosfonatus, kuriems yra ausų simptomų, įskaitant lėtines ausų infekcijas.</w:t>
      </w:r>
    </w:p>
    <w:p w14:paraId="3C5D7B6F" w14:textId="77777777" w:rsidR="00941804" w:rsidRPr="00C03483" w:rsidRDefault="00941804" w:rsidP="00C03483">
      <w:pPr>
        <w:pStyle w:val="Default"/>
        <w:rPr>
          <w:sz w:val="22"/>
        </w:rPr>
      </w:pPr>
    </w:p>
    <w:p w14:paraId="6955211F" w14:textId="77777777" w:rsidR="00941804" w:rsidRPr="00C03483" w:rsidRDefault="00941804" w:rsidP="00C03483">
      <w:pPr>
        <w:pStyle w:val="Default"/>
        <w:rPr>
          <w:sz w:val="22"/>
        </w:rPr>
      </w:pPr>
      <w:r w:rsidRPr="00C03483">
        <w:rPr>
          <w:sz w:val="22"/>
        </w:rPr>
        <w:t>Atipiniai šlaunikaulio lūžiai</w:t>
      </w:r>
    </w:p>
    <w:p w14:paraId="01E48D43" w14:textId="77777777" w:rsidR="00941804" w:rsidRPr="00C03483" w:rsidRDefault="00941804" w:rsidP="00C03483">
      <w:pPr>
        <w:pStyle w:val="Default"/>
        <w:rPr>
          <w:sz w:val="22"/>
        </w:rPr>
      </w:pPr>
      <w:r w:rsidRPr="00C03483">
        <w:rPr>
          <w:sz w:val="22"/>
        </w:rPr>
        <w:t>Gydant bisfosfonatais buvo pastebėti atipiniai šlaunikaulio pogūbriniai ar diafizės lūžiai, visų pirma ilgai nuo osteoporozės gydytiems pacientams. Šie skersiniai ar trumpi įstrižiniai lūžiai gali pasireikšti bet kurioje šlaunikaulio vietoje – nuo pat mažojo gūbrio iki pat virškrumplinės keteros. Šie lūžiai įvyksta po mažos traumos arba ne dėl jos, o kai kurie pacientai kelias savaites ar mėnesius iki pilno šlaunikaulio lūžio jaučia šlaunies ar kirkšnies skausmą, dažnai susijusį su stresinių lūžių radiologiniais požymiais. Lūžiai dažnai būna abipusiai, todėl reikia ištirti bisfosfonatais gydomų pacientų, kuriems yra lūžęs šlaunikaulio kūnas, priešingos pusės šlaunikaulį. Be to, buvo pastebėtas blogas tokių lūžių gijimas. Reikia apsvarstyti, ar pacientams, kuriems įtariamas atipinis šlaunikaulio lūžis, gydymo bisfosfonatais nevertėtų nutraukti, kol jam individualiai bus įvertintas naudos ir rizikos santykis.</w:t>
      </w:r>
    </w:p>
    <w:p w14:paraId="380C0581" w14:textId="77777777" w:rsidR="00941804" w:rsidRPr="00C03483" w:rsidRDefault="00941804" w:rsidP="004D2419">
      <w:pPr>
        <w:rPr>
          <w:sz w:val="22"/>
        </w:rPr>
      </w:pPr>
    </w:p>
    <w:p w14:paraId="403BE841" w14:textId="77777777" w:rsidR="00941804" w:rsidRPr="00C03483" w:rsidRDefault="00941804" w:rsidP="004D2419">
      <w:pPr>
        <w:rPr>
          <w:sz w:val="22"/>
        </w:rPr>
      </w:pPr>
      <w:r w:rsidRPr="00C03483">
        <w:rPr>
          <w:sz w:val="22"/>
        </w:rPr>
        <w:t>Pacientams reikia patarti, kad bisfosfonatų vartojimo metu praneštų apie bet kokį šlaunies, klubo ar kirkšnies skausmą, o visus pacientus, kuriems pasireiškia tokie simptomai, reikia ištirti, ar jie nepatyrė nepilno šlaunikaulio lūžio.</w:t>
      </w:r>
    </w:p>
    <w:p w14:paraId="5549CD8B" w14:textId="77777777" w:rsidR="00941804" w:rsidRDefault="00941804" w:rsidP="004D2419">
      <w:pPr>
        <w:rPr>
          <w:sz w:val="22"/>
        </w:rPr>
      </w:pPr>
    </w:p>
    <w:p w14:paraId="0B5F35BA" w14:textId="77777777" w:rsidR="00066982" w:rsidRDefault="00066982" w:rsidP="004D2419">
      <w:pPr>
        <w:rPr>
          <w:sz w:val="22"/>
        </w:rPr>
      </w:pPr>
      <w:r>
        <w:rPr>
          <w:sz w:val="22"/>
        </w:rPr>
        <w:t>Pagalbinės medžiagos</w:t>
      </w:r>
    </w:p>
    <w:p w14:paraId="5E9CC715" w14:textId="77777777" w:rsidR="00066982" w:rsidRDefault="00066982" w:rsidP="004D2419">
      <w:pPr>
        <w:rPr>
          <w:sz w:val="22"/>
        </w:rPr>
      </w:pPr>
    </w:p>
    <w:p w14:paraId="3F8E5868" w14:textId="77777777" w:rsidR="00066982" w:rsidRDefault="00066982" w:rsidP="004D2419">
      <w:pPr>
        <w:rPr>
          <w:sz w:val="22"/>
        </w:rPr>
      </w:pPr>
      <w:r>
        <w:rPr>
          <w:sz w:val="22"/>
        </w:rPr>
        <w:t>Laktozė</w:t>
      </w:r>
    </w:p>
    <w:p w14:paraId="52E25736" w14:textId="77777777" w:rsidR="00941804" w:rsidRPr="00C03483" w:rsidRDefault="00941804" w:rsidP="00066982">
      <w:pPr>
        <w:rPr>
          <w:sz w:val="22"/>
        </w:rPr>
      </w:pPr>
      <w:r w:rsidRPr="00C03483">
        <w:rPr>
          <w:sz w:val="22"/>
        </w:rPr>
        <w:t xml:space="preserve">Šio vaistinio preparato </w:t>
      </w:r>
      <w:r w:rsidR="00066982">
        <w:rPr>
          <w:sz w:val="22"/>
        </w:rPr>
        <w:t>negalima vartoti</w:t>
      </w:r>
      <w:r w:rsidRPr="00C03483">
        <w:rPr>
          <w:sz w:val="22"/>
        </w:rPr>
        <w:t xml:space="preserve"> </w:t>
      </w:r>
      <w:r w:rsidR="00066982">
        <w:rPr>
          <w:sz w:val="22"/>
        </w:rPr>
        <w:t>p</w:t>
      </w:r>
      <w:r w:rsidRPr="00C03483">
        <w:rPr>
          <w:sz w:val="22"/>
        </w:rPr>
        <w:t xml:space="preserve">acientams, kuriems </w:t>
      </w:r>
      <w:r w:rsidR="00066982">
        <w:rPr>
          <w:sz w:val="22"/>
        </w:rPr>
        <w:t xml:space="preserve">nustatytas </w:t>
      </w:r>
      <w:r w:rsidRPr="00C03483">
        <w:rPr>
          <w:sz w:val="22"/>
        </w:rPr>
        <w:t xml:space="preserve">retas paveldimas </w:t>
      </w:r>
      <w:r w:rsidR="00066982">
        <w:rPr>
          <w:sz w:val="22"/>
        </w:rPr>
        <w:t xml:space="preserve">sutrikimas – </w:t>
      </w:r>
      <w:r w:rsidRPr="00C03483">
        <w:rPr>
          <w:sz w:val="22"/>
        </w:rPr>
        <w:t xml:space="preserve">galaktozės netoleravimas, </w:t>
      </w:r>
      <w:r w:rsidR="00066982" w:rsidRPr="00435460">
        <w:rPr>
          <w:iCs/>
          <w:sz w:val="22"/>
        </w:rPr>
        <w:t xml:space="preserve">visiškas </w:t>
      </w:r>
      <w:r w:rsidRPr="00C03483">
        <w:rPr>
          <w:sz w:val="22"/>
        </w:rPr>
        <w:t xml:space="preserve">laktazės </w:t>
      </w:r>
      <w:r w:rsidR="00066982">
        <w:rPr>
          <w:sz w:val="22"/>
        </w:rPr>
        <w:t>stygius</w:t>
      </w:r>
      <w:r w:rsidR="00066982" w:rsidRPr="00C03483">
        <w:rPr>
          <w:sz w:val="22"/>
        </w:rPr>
        <w:t xml:space="preserve"> </w:t>
      </w:r>
      <w:r w:rsidRPr="00C03483">
        <w:rPr>
          <w:sz w:val="22"/>
        </w:rPr>
        <w:t>ar</w:t>
      </w:r>
      <w:r w:rsidR="00066982">
        <w:rPr>
          <w:sz w:val="22"/>
        </w:rPr>
        <w:t>ba</w:t>
      </w:r>
      <w:r w:rsidRPr="00C03483">
        <w:rPr>
          <w:sz w:val="22"/>
        </w:rPr>
        <w:t xml:space="preserve"> gliukozės</w:t>
      </w:r>
      <w:r w:rsidR="00066982">
        <w:rPr>
          <w:sz w:val="22"/>
        </w:rPr>
        <w:t xml:space="preserve"> ir</w:t>
      </w:r>
      <w:r w:rsidR="000C3D2B">
        <w:rPr>
          <w:sz w:val="22"/>
        </w:rPr>
        <w:t xml:space="preserve"> </w:t>
      </w:r>
      <w:r w:rsidRPr="00C03483">
        <w:rPr>
          <w:sz w:val="22"/>
        </w:rPr>
        <w:t>galaktozės malabsorbcija.</w:t>
      </w:r>
    </w:p>
    <w:p w14:paraId="50388CC1" w14:textId="77777777" w:rsidR="00941804" w:rsidRPr="000D06FD" w:rsidRDefault="00941804" w:rsidP="004D2419">
      <w:pPr>
        <w:rPr>
          <w:sz w:val="22"/>
          <w:szCs w:val="22"/>
        </w:rPr>
      </w:pPr>
    </w:p>
    <w:p w14:paraId="247CB5A9" w14:textId="77777777" w:rsidR="00066982" w:rsidRPr="000C3D2B" w:rsidRDefault="00066982" w:rsidP="00066982">
      <w:pPr>
        <w:rPr>
          <w:i/>
          <w:iCs/>
          <w:sz w:val="22"/>
          <w:szCs w:val="22"/>
        </w:rPr>
      </w:pPr>
      <w:r w:rsidRPr="000C3D2B">
        <w:rPr>
          <w:i/>
          <w:iCs/>
          <w:sz w:val="22"/>
          <w:szCs w:val="22"/>
        </w:rPr>
        <w:t>Natris</w:t>
      </w:r>
    </w:p>
    <w:p w14:paraId="5F51DD4C" w14:textId="77777777" w:rsidR="00066982" w:rsidRPr="000D06FD" w:rsidRDefault="00066982" w:rsidP="008D44A0">
      <w:pPr>
        <w:rPr>
          <w:sz w:val="22"/>
          <w:szCs w:val="22"/>
        </w:rPr>
      </w:pPr>
      <w:r w:rsidRPr="000C3D2B">
        <w:rPr>
          <w:sz w:val="22"/>
          <w:szCs w:val="22"/>
        </w:rPr>
        <w:t xml:space="preserve">Šio </w:t>
      </w:r>
      <w:r w:rsidR="008D44A0">
        <w:rPr>
          <w:sz w:val="22"/>
          <w:szCs w:val="22"/>
        </w:rPr>
        <w:t>vaist</w:t>
      </w:r>
      <w:r w:rsidR="000C3D2B">
        <w:rPr>
          <w:sz w:val="22"/>
          <w:szCs w:val="22"/>
        </w:rPr>
        <w:t>inio preparato</w:t>
      </w:r>
      <w:r w:rsidRPr="00066982">
        <w:rPr>
          <w:sz w:val="22"/>
          <w:szCs w:val="22"/>
        </w:rPr>
        <w:t xml:space="preserve"> </w:t>
      </w:r>
      <w:r>
        <w:rPr>
          <w:sz w:val="22"/>
          <w:szCs w:val="22"/>
        </w:rPr>
        <w:t xml:space="preserve">plėvele dengtoje tabletėje </w:t>
      </w:r>
      <w:r w:rsidRPr="00066982">
        <w:rPr>
          <w:sz w:val="22"/>
          <w:szCs w:val="22"/>
        </w:rPr>
        <w:t>yra mažiau kaip 1</w:t>
      </w:r>
      <w:r w:rsidR="000C3D2B">
        <w:rPr>
          <w:sz w:val="22"/>
          <w:szCs w:val="22"/>
        </w:rPr>
        <w:t> </w:t>
      </w:r>
      <w:r w:rsidRPr="00066982">
        <w:rPr>
          <w:sz w:val="22"/>
          <w:szCs w:val="22"/>
        </w:rPr>
        <w:t>mmol (23</w:t>
      </w:r>
      <w:r w:rsidR="000C3D2B">
        <w:rPr>
          <w:sz w:val="22"/>
          <w:szCs w:val="22"/>
        </w:rPr>
        <w:t> </w:t>
      </w:r>
      <w:r w:rsidRPr="00066982">
        <w:rPr>
          <w:sz w:val="22"/>
          <w:szCs w:val="22"/>
        </w:rPr>
        <w:t>mg) natrio, t.y. jis beveik neturi reikšmės</w:t>
      </w:r>
      <w:r>
        <w:rPr>
          <w:sz w:val="22"/>
          <w:szCs w:val="22"/>
        </w:rPr>
        <w:t>.</w:t>
      </w:r>
    </w:p>
    <w:p w14:paraId="62A3A2B2" w14:textId="77777777" w:rsidR="00066982" w:rsidRPr="000C3D2B" w:rsidRDefault="00066982" w:rsidP="004D2419">
      <w:pPr>
        <w:rPr>
          <w:sz w:val="22"/>
          <w:szCs w:val="22"/>
        </w:rPr>
      </w:pPr>
    </w:p>
    <w:p w14:paraId="3AA56AB2" w14:textId="77777777" w:rsidR="00941804" w:rsidRPr="00C03483" w:rsidRDefault="00941804" w:rsidP="004D2419">
      <w:pPr>
        <w:ind w:left="540" w:hanging="540"/>
        <w:rPr>
          <w:b/>
          <w:sz w:val="22"/>
        </w:rPr>
      </w:pPr>
      <w:bookmarkStart w:id="19" w:name="_Toc129243106"/>
      <w:bookmarkStart w:id="20" w:name="_Toc129243231"/>
      <w:r w:rsidRPr="00C03483">
        <w:rPr>
          <w:b/>
          <w:sz w:val="22"/>
        </w:rPr>
        <w:t>4.5</w:t>
      </w:r>
      <w:r w:rsidRPr="00C03483">
        <w:rPr>
          <w:b/>
          <w:sz w:val="22"/>
        </w:rPr>
        <w:tab/>
        <w:t>Sąveika su kitais vaistiniais preparatais ir kitokia sąveika</w:t>
      </w:r>
      <w:bookmarkEnd w:id="19"/>
      <w:bookmarkEnd w:id="20"/>
    </w:p>
    <w:p w14:paraId="76FAF4F2" w14:textId="77777777" w:rsidR="00941804" w:rsidRPr="00C03483" w:rsidRDefault="00941804" w:rsidP="004D2419">
      <w:pPr>
        <w:rPr>
          <w:sz w:val="22"/>
        </w:rPr>
      </w:pPr>
    </w:p>
    <w:p w14:paraId="1493D04B" w14:textId="77777777" w:rsidR="00941804" w:rsidRPr="00C03483" w:rsidRDefault="00941804" w:rsidP="004D2419">
      <w:pPr>
        <w:rPr>
          <w:sz w:val="22"/>
        </w:rPr>
      </w:pPr>
      <w:r w:rsidRPr="00C03483">
        <w:rPr>
          <w:sz w:val="22"/>
        </w:rPr>
        <w:t xml:space="preserve">Formalių sąveikos tyrimų neatlikta, tačiau klinikinių tyrimų metu klinikai reikšmingos sąveikos su kitais vaistiniais preparatais nenustatyta. III fazės natrio rizedronato klinikinių tyrimų, kurių metu osteoporozės gydymui vaistinio preparato buvo vartojama kartą per parą, duomenimis, acetilsalicilo </w:t>
      </w:r>
      <w:r w:rsidRPr="00C03483">
        <w:rPr>
          <w:sz w:val="22"/>
        </w:rPr>
        <w:lastRenderedPageBreak/>
        <w:t>rūgštį arba NVNU vartojo atitinkamai 33% ir 45% pacientų. III fazės tyrimų, kurių metu moterys pomenopauzinės osteoporozės gydymui vartojo vieną dozę per savaitę, duomenimis, acetilsalicilo rūgštį arba NVNU vartojo atitinkamai 57% ir 40% pacienčių. Nuolatinėms acetilsalicilo rūgšties ir NVNU vartotojoms (3 ar daugiau dienų per savaitę), viršutinės virškinimo trakto dalies nepageidaujamų reiškinių dažnis vartojant natrio rizedronato buvo panašus į nepageidaujamų reiškinių dažnį kontrolinės grupės pacientėms.</w:t>
      </w:r>
    </w:p>
    <w:p w14:paraId="05AA81C6" w14:textId="77777777" w:rsidR="00941804" w:rsidRPr="00C03483" w:rsidRDefault="00941804" w:rsidP="004D2419">
      <w:pPr>
        <w:rPr>
          <w:sz w:val="22"/>
        </w:rPr>
      </w:pPr>
    </w:p>
    <w:p w14:paraId="79414911" w14:textId="77777777" w:rsidR="00941804" w:rsidRPr="00C03483" w:rsidRDefault="00941804" w:rsidP="004D2419">
      <w:pPr>
        <w:rPr>
          <w:sz w:val="22"/>
        </w:rPr>
      </w:pPr>
      <w:r w:rsidRPr="00C03483">
        <w:rPr>
          <w:sz w:val="22"/>
        </w:rPr>
        <w:t>Jeigu nusprendžiama, kad tinka, gydymą natrio rizedronatu galima taikyti kartu su pakaitine estrogenų terapija (tik moterims).</w:t>
      </w:r>
    </w:p>
    <w:p w14:paraId="589CFD99" w14:textId="77777777" w:rsidR="00941804" w:rsidRPr="00C03483" w:rsidRDefault="00941804" w:rsidP="004D2419">
      <w:pPr>
        <w:rPr>
          <w:sz w:val="22"/>
        </w:rPr>
      </w:pPr>
    </w:p>
    <w:p w14:paraId="19B9AA21" w14:textId="77777777" w:rsidR="00941804" w:rsidRPr="00C03483" w:rsidRDefault="00941804" w:rsidP="004D2419">
      <w:pPr>
        <w:rPr>
          <w:sz w:val="22"/>
        </w:rPr>
      </w:pPr>
      <w:r w:rsidRPr="00C03483">
        <w:rPr>
          <w:sz w:val="22"/>
        </w:rPr>
        <w:t>Kartu vartojami vaistiniai preparatai, kurių sudėtyje yra polivalentinių katijonų (pvz., kalcio, magnio, geležies, aliuminio), trikdo natrio rizedronato absorbciją (žr. 4.4 skyrių).</w:t>
      </w:r>
    </w:p>
    <w:p w14:paraId="02C07BC6" w14:textId="77777777" w:rsidR="00941804" w:rsidRPr="00C03483" w:rsidRDefault="00941804" w:rsidP="004D2419">
      <w:pPr>
        <w:rPr>
          <w:sz w:val="22"/>
        </w:rPr>
      </w:pPr>
    </w:p>
    <w:p w14:paraId="2D590EDB" w14:textId="77777777" w:rsidR="00941804" w:rsidRPr="00C03483" w:rsidRDefault="00941804" w:rsidP="004D2419">
      <w:pPr>
        <w:rPr>
          <w:sz w:val="22"/>
        </w:rPr>
      </w:pPr>
      <w:r w:rsidRPr="00C03483">
        <w:rPr>
          <w:sz w:val="22"/>
        </w:rPr>
        <w:t>Natrio rizedronatas sistemiškai nemetabolizuojamas, neindukuoja citochromo P450 fermentų ir tik maža jo dalis prisijungia prie baltymų.</w:t>
      </w:r>
    </w:p>
    <w:p w14:paraId="4C9BBCAE" w14:textId="77777777" w:rsidR="00941804" w:rsidRPr="00C03483" w:rsidRDefault="00941804" w:rsidP="004D2419">
      <w:pPr>
        <w:rPr>
          <w:sz w:val="22"/>
        </w:rPr>
      </w:pPr>
    </w:p>
    <w:p w14:paraId="0DA236E1" w14:textId="77777777" w:rsidR="00941804" w:rsidRPr="00C03483" w:rsidRDefault="00941804" w:rsidP="004D2419">
      <w:pPr>
        <w:ind w:left="540" w:hanging="540"/>
        <w:rPr>
          <w:b/>
          <w:sz w:val="22"/>
        </w:rPr>
      </w:pPr>
      <w:bookmarkStart w:id="21" w:name="_Toc129243107"/>
      <w:bookmarkStart w:id="22" w:name="_Toc129243232"/>
      <w:r w:rsidRPr="00C03483">
        <w:rPr>
          <w:b/>
          <w:sz w:val="22"/>
        </w:rPr>
        <w:t>4.6</w:t>
      </w:r>
      <w:r w:rsidRPr="00C03483">
        <w:rPr>
          <w:b/>
          <w:sz w:val="22"/>
        </w:rPr>
        <w:tab/>
        <w:t>Vaisingumas, nėštumo ir žindymo laikotarpis</w:t>
      </w:r>
      <w:bookmarkEnd w:id="21"/>
      <w:bookmarkEnd w:id="22"/>
    </w:p>
    <w:p w14:paraId="23201D26" w14:textId="77777777" w:rsidR="00941804" w:rsidRPr="00C03483" w:rsidRDefault="00941804" w:rsidP="004D2419">
      <w:pPr>
        <w:rPr>
          <w:sz w:val="22"/>
        </w:rPr>
      </w:pPr>
    </w:p>
    <w:p w14:paraId="220AF241" w14:textId="77777777" w:rsidR="00941804" w:rsidRPr="00C03483" w:rsidRDefault="00941804" w:rsidP="004D2419">
      <w:pPr>
        <w:rPr>
          <w:sz w:val="22"/>
          <w:u w:val="single"/>
        </w:rPr>
      </w:pPr>
      <w:r w:rsidRPr="00C03483">
        <w:rPr>
          <w:sz w:val="22"/>
          <w:u w:val="single"/>
        </w:rPr>
        <w:t>Nėštumas</w:t>
      </w:r>
    </w:p>
    <w:p w14:paraId="18FC6AFA" w14:textId="77777777" w:rsidR="00941804" w:rsidRPr="00C03483" w:rsidRDefault="00941804" w:rsidP="004D2419">
      <w:pPr>
        <w:rPr>
          <w:sz w:val="22"/>
        </w:rPr>
      </w:pPr>
      <w:r w:rsidRPr="00C03483">
        <w:rPr>
          <w:sz w:val="22"/>
        </w:rPr>
        <w:t>Duomenų apie nėščių moterų gydymą natrio rizedronatu nepakanka. Tyrimuose su gyvūnais pastebėtas toksinis poveikis dauginimuisi (žr. 5.3 skyrių). Galima rizika žmogui nežinoma.</w:t>
      </w:r>
    </w:p>
    <w:p w14:paraId="26A0B79D" w14:textId="77777777" w:rsidR="00941804" w:rsidRPr="00C03483" w:rsidRDefault="00941804" w:rsidP="004D2419">
      <w:pPr>
        <w:rPr>
          <w:sz w:val="22"/>
        </w:rPr>
      </w:pPr>
    </w:p>
    <w:p w14:paraId="7EB0BDC0" w14:textId="77777777" w:rsidR="00941804" w:rsidRPr="004D2419" w:rsidRDefault="00941804" w:rsidP="00C03483">
      <w:pPr>
        <w:pStyle w:val="Pagrindinistekstas"/>
        <w:spacing w:after="0"/>
        <w:rPr>
          <w:u w:val="single"/>
        </w:rPr>
      </w:pPr>
      <w:r w:rsidRPr="004D2419">
        <w:rPr>
          <w:u w:val="single"/>
        </w:rPr>
        <w:t>Žindymas</w:t>
      </w:r>
    </w:p>
    <w:p w14:paraId="5D6C6609" w14:textId="77777777" w:rsidR="00941804" w:rsidRPr="004D2419" w:rsidRDefault="00941804" w:rsidP="00C03483">
      <w:pPr>
        <w:pStyle w:val="Pagrindinistekstas"/>
        <w:spacing w:after="0"/>
      </w:pPr>
      <w:r w:rsidRPr="004D2419">
        <w:t>Su gyvūnais atlikti tyrimai rodo, kad šiek tiek natrio rizedronato patenka į motinos pieną.</w:t>
      </w:r>
    </w:p>
    <w:p w14:paraId="229347B4" w14:textId="77777777" w:rsidR="00941804" w:rsidRPr="00C03483" w:rsidRDefault="00941804" w:rsidP="004D2419">
      <w:pPr>
        <w:rPr>
          <w:sz w:val="22"/>
        </w:rPr>
      </w:pPr>
    </w:p>
    <w:p w14:paraId="07329578" w14:textId="77777777" w:rsidR="00941804" w:rsidRPr="00C03483" w:rsidRDefault="00941804" w:rsidP="004D2419">
      <w:pPr>
        <w:rPr>
          <w:sz w:val="22"/>
        </w:rPr>
      </w:pPr>
      <w:r w:rsidRPr="00C03483">
        <w:rPr>
          <w:sz w:val="22"/>
        </w:rPr>
        <w:t>Nėščioms moterims ir žindyvėms natrio rizedronato vartoti draudžiama.</w:t>
      </w:r>
    </w:p>
    <w:p w14:paraId="3A9CBE3D" w14:textId="77777777" w:rsidR="00941804" w:rsidRPr="00C03483" w:rsidRDefault="00941804" w:rsidP="004D2419">
      <w:pPr>
        <w:rPr>
          <w:sz w:val="22"/>
        </w:rPr>
      </w:pPr>
    </w:p>
    <w:p w14:paraId="2A3AF2FE" w14:textId="77777777" w:rsidR="00941804" w:rsidRPr="00C03483" w:rsidRDefault="00941804" w:rsidP="004D2419">
      <w:pPr>
        <w:ind w:left="540" w:hanging="540"/>
        <w:rPr>
          <w:b/>
          <w:sz w:val="22"/>
        </w:rPr>
      </w:pPr>
      <w:bookmarkStart w:id="23" w:name="_Toc129243108"/>
      <w:bookmarkStart w:id="24" w:name="_Toc129243233"/>
      <w:r w:rsidRPr="00C03483">
        <w:rPr>
          <w:b/>
          <w:sz w:val="22"/>
        </w:rPr>
        <w:t>4.7</w:t>
      </w:r>
      <w:r w:rsidRPr="00C03483">
        <w:rPr>
          <w:b/>
          <w:sz w:val="22"/>
        </w:rPr>
        <w:tab/>
        <w:t>Poveikis gebėjimui vairuoti ir valdyti mechanizmus</w:t>
      </w:r>
      <w:bookmarkEnd w:id="23"/>
      <w:bookmarkEnd w:id="24"/>
    </w:p>
    <w:p w14:paraId="3288C308" w14:textId="77777777" w:rsidR="00941804" w:rsidRPr="00C03483" w:rsidRDefault="00941804" w:rsidP="004D2419">
      <w:pPr>
        <w:rPr>
          <w:sz w:val="22"/>
        </w:rPr>
      </w:pPr>
    </w:p>
    <w:p w14:paraId="43AECBB2" w14:textId="77777777" w:rsidR="00941804" w:rsidRPr="00C03483" w:rsidRDefault="00941804" w:rsidP="004D2419">
      <w:pPr>
        <w:rPr>
          <w:sz w:val="22"/>
        </w:rPr>
      </w:pPr>
      <w:r w:rsidRPr="00C03483">
        <w:rPr>
          <w:sz w:val="22"/>
        </w:rPr>
        <w:t>RISONATE gebėjimo vairuoti ir valdyti mechanizmus neveikia.</w:t>
      </w:r>
    </w:p>
    <w:p w14:paraId="23C93193" w14:textId="77777777" w:rsidR="00941804" w:rsidRPr="00C03483" w:rsidRDefault="00941804" w:rsidP="004D2419">
      <w:pPr>
        <w:rPr>
          <w:sz w:val="22"/>
        </w:rPr>
      </w:pPr>
    </w:p>
    <w:p w14:paraId="787F99EF" w14:textId="77777777" w:rsidR="00941804" w:rsidRPr="00C03483" w:rsidRDefault="00941804" w:rsidP="004D2419">
      <w:pPr>
        <w:ind w:left="540" w:hanging="540"/>
        <w:rPr>
          <w:b/>
          <w:sz w:val="22"/>
        </w:rPr>
      </w:pPr>
      <w:bookmarkStart w:id="25" w:name="_Toc129243109"/>
      <w:bookmarkStart w:id="26" w:name="_Toc129243234"/>
      <w:r w:rsidRPr="00C03483">
        <w:rPr>
          <w:b/>
          <w:sz w:val="22"/>
        </w:rPr>
        <w:t>4.8</w:t>
      </w:r>
      <w:r w:rsidRPr="00C03483">
        <w:rPr>
          <w:b/>
          <w:sz w:val="22"/>
        </w:rPr>
        <w:tab/>
        <w:t>Nepageidaujamas poveikis</w:t>
      </w:r>
      <w:bookmarkEnd w:id="25"/>
      <w:bookmarkEnd w:id="26"/>
    </w:p>
    <w:p w14:paraId="5241553E" w14:textId="77777777" w:rsidR="00941804" w:rsidRPr="00C03483" w:rsidRDefault="00941804" w:rsidP="004D2419">
      <w:pPr>
        <w:rPr>
          <w:sz w:val="22"/>
        </w:rPr>
      </w:pPr>
    </w:p>
    <w:p w14:paraId="2F700943" w14:textId="77777777" w:rsidR="00941804" w:rsidRPr="00C03483" w:rsidRDefault="00941804" w:rsidP="004D2419">
      <w:pPr>
        <w:rPr>
          <w:sz w:val="22"/>
        </w:rPr>
      </w:pPr>
      <w:r w:rsidRPr="00C03483">
        <w:rPr>
          <w:sz w:val="22"/>
        </w:rPr>
        <w:t>Natrio rizedronato III fazės klinikiniuose tyrimuose dalyvavo daugiau negu 15000 moterų.</w:t>
      </w:r>
    </w:p>
    <w:p w14:paraId="78200BBB" w14:textId="77777777" w:rsidR="00941804" w:rsidRPr="00C03483" w:rsidRDefault="00941804" w:rsidP="004D2419">
      <w:pPr>
        <w:rPr>
          <w:sz w:val="22"/>
        </w:rPr>
      </w:pPr>
      <w:r w:rsidRPr="00C03483">
        <w:rPr>
          <w:sz w:val="22"/>
        </w:rPr>
        <w:t>Dauguma klinikinių tyrimų metu pastebėtų nepageidaujamų reiškinių buvo lengvi arba vidutinio sunkumo ir dėl jų nutraukti vaistinio preparato vartojimo paprastai nereikėdavo.</w:t>
      </w:r>
    </w:p>
    <w:p w14:paraId="006EEE36" w14:textId="77777777" w:rsidR="00941804" w:rsidRPr="004D2419" w:rsidRDefault="00941804" w:rsidP="00C03483">
      <w:pPr>
        <w:pStyle w:val="Pagrindinistekstas"/>
        <w:spacing w:after="0"/>
      </w:pPr>
    </w:p>
    <w:p w14:paraId="3AB54909" w14:textId="77777777" w:rsidR="00941804" w:rsidRPr="004D2419" w:rsidRDefault="00941804" w:rsidP="00C03483">
      <w:pPr>
        <w:pStyle w:val="Pagrindinistekstas"/>
        <w:spacing w:after="0"/>
      </w:pPr>
      <w:r w:rsidRPr="004D2419">
        <w:t xml:space="preserve">Nepageidaujami reiškiniai, nustatyti III fazės klinikinių tyrimų metu moterims po menopauzės, kurios ne ilgiau kaip 36 mėn. kasdien vartojo 5 mg natrio rizedronato (n </w:t>
      </w:r>
      <w:r w:rsidRPr="004D2419">
        <w:sym w:font="Symbol" w:char="F03D"/>
      </w:r>
      <w:r w:rsidRPr="004D2419">
        <w:t xml:space="preserve"> 5020) ar placebo (n </w:t>
      </w:r>
      <w:r w:rsidRPr="004D2419">
        <w:sym w:font="Symbol" w:char="F03D"/>
      </w:r>
      <w:r w:rsidRPr="004D2419">
        <w:t xml:space="preserve"> 5048), yra išvardyti toliau, remiantis tokiu susitarimu (dažnumas palyginti su placebu yra rodomas skliausteliuose): labai dažni (≥1/10); dažni (nuo ≥1/100 iki &lt;1/10); nedažni (nuo ≥1/1 000 iki &lt;1/100); reti (nuo ≥1/10000 iki &lt;1/1000); labai reti (&lt;1/10000), dažnis nežinomas (negali būti apskaičiuotas pagal turimus duomenis).</w:t>
      </w:r>
    </w:p>
    <w:p w14:paraId="57BFB9AF" w14:textId="77777777" w:rsidR="00941804" w:rsidRPr="00C03483" w:rsidRDefault="00941804" w:rsidP="004D2419">
      <w:pPr>
        <w:rPr>
          <w:sz w:val="22"/>
        </w:rPr>
      </w:pPr>
    </w:p>
    <w:p w14:paraId="71434497" w14:textId="77777777" w:rsidR="00941804" w:rsidRPr="00C03483" w:rsidRDefault="00941804" w:rsidP="004D2419">
      <w:pPr>
        <w:rPr>
          <w:sz w:val="22"/>
          <w:u w:val="single"/>
        </w:rPr>
      </w:pPr>
      <w:r w:rsidRPr="00C03483">
        <w:rPr>
          <w:sz w:val="22"/>
          <w:u w:val="single"/>
        </w:rPr>
        <w:t>Nervų sistemos sutrikimai</w:t>
      </w:r>
    </w:p>
    <w:p w14:paraId="3CAB42C7" w14:textId="77777777" w:rsidR="00941804" w:rsidRPr="00C03483" w:rsidRDefault="00941804" w:rsidP="004D2419">
      <w:pPr>
        <w:tabs>
          <w:tab w:val="left" w:pos="567"/>
        </w:tabs>
        <w:rPr>
          <w:sz w:val="22"/>
        </w:rPr>
      </w:pPr>
      <w:r w:rsidRPr="00C03483">
        <w:rPr>
          <w:sz w:val="22"/>
        </w:rPr>
        <w:t>Dažni:</w:t>
      </w:r>
      <w:r w:rsidRPr="00C03483">
        <w:rPr>
          <w:sz w:val="22"/>
        </w:rPr>
        <w:tab/>
        <w:t>galvos skausmas (1,8</w:t>
      </w:r>
      <w:r w:rsidRPr="00C03483">
        <w:rPr>
          <w:sz w:val="22"/>
        </w:rPr>
        <w:sym w:font="Symbol" w:char="F025"/>
      </w:r>
      <w:r w:rsidRPr="00C03483">
        <w:rPr>
          <w:sz w:val="22"/>
        </w:rPr>
        <w:t>, palyginti su 1,4</w:t>
      </w:r>
      <w:r w:rsidRPr="00C03483">
        <w:rPr>
          <w:sz w:val="22"/>
        </w:rPr>
        <w:sym w:font="Symbol" w:char="F025"/>
      </w:r>
      <w:r w:rsidRPr="00C03483">
        <w:rPr>
          <w:sz w:val="22"/>
        </w:rPr>
        <w:t>)</w:t>
      </w:r>
    </w:p>
    <w:p w14:paraId="112D91C1" w14:textId="77777777" w:rsidR="00941804" w:rsidRPr="00C03483" w:rsidRDefault="00941804" w:rsidP="004D2419">
      <w:pPr>
        <w:tabs>
          <w:tab w:val="left" w:pos="567"/>
        </w:tabs>
        <w:rPr>
          <w:sz w:val="22"/>
        </w:rPr>
      </w:pPr>
    </w:p>
    <w:p w14:paraId="1C3D5B34" w14:textId="77777777" w:rsidR="00941804" w:rsidRPr="00C03483" w:rsidRDefault="00941804" w:rsidP="004D2419">
      <w:pPr>
        <w:rPr>
          <w:sz w:val="22"/>
          <w:u w:val="single"/>
        </w:rPr>
      </w:pPr>
      <w:r w:rsidRPr="00C03483">
        <w:rPr>
          <w:sz w:val="22"/>
          <w:u w:val="single"/>
        </w:rPr>
        <w:t>Akių sutrikimai</w:t>
      </w:r>
    </w:p>
    <w:p w14:paraId="78E0954E" w14:textId="77777777" w:rsidR="00941804" w:rsidRPr="00C03483" w:rsidRDefault="00941804" w:rsidP="004D2419">
      <w:pPr>
        <w:tabs>
          <w:tab w:val="left" w:pos="567"/>
        </w:tabs>
        <w:rPr>
          <w:sz w:val="22"/>
        </w:rPr>
      </w:pPr>
      <w:r w:rsidRPr="00C03483">
        <w:rPr>
          <w:sz w:val="22"/>
        </w:rPr>
        <w:t>Nedažni:</w:t>
      </w:r>
      <w:r w:rsidRPr="00C03483">
        <w:rPr>
          <w:sz w:val="22"/>
        </w:rPr>
        <w:tab/>
        <w:t>rainelės uždegimas*</w:t>
      </w:r>
    </w:p>
    <w:p w14:paraId="5ACCD31C" w14:textId="77777777" w:rsidR="00941804" w:rsidRPr="00C03483" w:rsidRDefault="00941804" w:rsidP="004D2419">
      <w:pPr>
        <w:tabs>
          <w:tab w:val="left" w:pos="567"/>
        </w:tabs>
        <w:rPr>
          <w:sz w:val="22"/>
        </w:rPr>
      </w:pPr>
    </w:p>
    <w:p w14:paraId="7ECBCA16" w14:textId="77777777" w:rsidR="00941804" w:rsidRPr="00C03483" w:rsidRDefault="00941804" w:rsidP="004D2419">
      <w:pPr>
        <w:rPr>
          <w:sz w:val="22"/>
          <w:u w:val="single"/>
        </w:rPr>
      </w:pPr>
      <w:r w:rsidRPr="00C03483">
        <w:rPr>
          <w:sz w:val="22"/>
          <w:u w:val="single"/>
        </w:rPr>
        <w:t>Virškinimo trakto sutrikimai</w:t>
      </w:r>
    </w:p>
    <w:p w14:paraId="6B14A3ED" w14:textId="77777777" w:rsidR="00941804" w:rsidRPr="00C03483" w:rsidRDefault="00941804" w:rsidP="004D2419">
      <w:pPr>
        <w:tabs>
          <w:tab w:val="left" w:pos="567"/>
        </w:tabs>
        <w:ind w:left="1290" w:hanging="1290"/>
        <w:rPr>
          <w:sz w:val="22"/>
        </w:rPr>
      </w:pPr>
      <w:r w:rsidRPr="00C03483">
        <w:rPr>
          <w:sz w:val="22"/>
        </w:rPr>
        <w:t>Dažni:</w:t>
      </w:r>
      <w:r w:rsidRPr="00C03483">
        <w:rPr>
          <w:sz w:val="22"/>
        </w:rPr>
        <w:tab/>
        <w:t>vidurių užkietėjimas (5</w:t>
      </w:r>
      <w:r w:rsidRPr="00C03483">
        <w:rPr>
          <w:sz w:val="22"/>
        </w:rPr>
        <w:sym w:font="Symbol" w:char="F025"/>
      </w:r>
      <w:r w:rsidRPr="00C03483">
        <w:rPr>
          <w:sz w:val="22"/>
        </w:rPr>
        <w:t>, palyginti su 4,8</w:t>
      </w:r>
      <w:r w:rsidRPr="00C03483">
        <w:rPr>
          <w:sz w:val="22"/>
        </w:rPr>
        <w:sym w:font="Symbol" w:char="F025"/>
      </w:r>
      <w:r w:rsidRPr="00C03483">
        <w:rPr>
          <w:sz w:val="22"/>
        </w:rPr>
        <w:t>), virškinimo sutrikimas (4,5</w:t>
      </w:r>
      <w:r w:rsidRPr="00C03483">
        <w:rPr>
          <w:sz w:val="22"/>
        </w:rPr>
        <w:sym w:font="Symbol" w:char="F025"/>
      </w:r>
      <w:r w:rsidRPr="00C03483">
        <w:rPr>
          <w:sz w:val="22"/>
        </w:rPr>
        <w:t>, palyginti su 4,1</w:t>
      </w:r>
      <w:r w:rsidRPr="00C03483">
        <w:rPr>
          <w:sz w:val="22"/>
        </w:rPr>
        <w:sym w:font="Symbol" w:char="F025"/>
      </w:r>
      <w:r w:rsidRPr="00C03483">
        <w:rPr>
          <w:sz w:val="22"/>
        </w:rPr>
        <w:t>), pykinimas (4,3</w:t>
      </w:r>
      <w:r w:rsidRPr="00C03483">
        <w:rPr>
          <w:sz w:val="22"/>
        </w:rPr>
        <w:sym w:font="Symbol" w:char="F025"/>
      </w:r>
      <w:r w:rsidRPr="00C03483">
        <w:rPr>
          <w:sz w:val="22"/>
        </w:rPr>
        <w:t>, palyginti su 4</w:t>
      </w:r>
      <w:r w:rsidRPr="00C03483">
        <w:rPr>
          <w:sz w:val="22"/>
        </w:rPr>
        <w:sym w:font="Symbol" w:char="F025"/>
      </w:r>
      <w:r w:rsidRPr="00C03483">
        <w:rPr>
          <w:sz w:val="22"/>
        </w:rPr>
        <w:t>), pilvo skausmas (3,5</w:t>
      </w:r>
      <w:r w:rsidRPr="00C03483">
        <w:rPr>
          <w:sz w:val="22"/>
        </w:rPr>
        <w:sym w:font="Symbol" w:char="F025"/>
      </w:r>
      <w:r w:rsidRPr="00C03483">
        <w:rPr>
          <w:sz w:val="22"/>
        </w:rPr>
        <w:t>, palyginti su 3,3</w:t>
      </w:r>
      <w:r w:rsidRPr="00C03483">
        <w:rPr>
          <w:sz w:val="22"/>
        </w:rPr>
        <w:sym w:font="Symbol" w:char="F025"/>
      </w:r>
      <w:r w:rsidRPr="00C03483">
        <w:rPr>
          <w:sz w:val="22"/>
        </w:rPr>
        <w:t>), viduriavimas (3</w:t>
      </w:r>
      <w:r w:rsidRPr="00C03483">
        <w:rPr>
          <w:sz w:val="22"/>
        </w:rPr>
        <w:sym w:font="Symbol" w:char="F025"/>
      </w:r>
      <w:r w:rsidRPr="00C03483">
        <w:rPr>
          <w:sz w:val="22"/>
        </w:rPr>
        <w:t>, palyginti su 2,7</w:t>
      </w:r>
      <w:r w:rsidRPr="00C03483">
        <w:rPr>
          <w:sz w:val="22"/>
        </w:rPr>
        <w:sym w:font="Symbol" w:char="F025"/>
      </w:r>
      <w:r w:rsidRPr="00C03483">
        <w:rPr>
          <w:sz w:val="22"/>
        </w:rPr>
        <w:t>)</w:t>
      </w:r>
    </w:p>
    <w:p w14:paraId="11E1B7B5" w14:textId="77777777" w:rsidR="00941804" w:rsidRPr="00C03483" w:rsidRDefault="00941804" w:rsidP="004D2419">
      <w:pPr>
        <w:tabs>
          <w:tab w:val="left" w:pos="567"/>
        </w:tabs>
        <w:ind w:left="1290" w:hanging="1290"/>
        <w:rPr>
          <w:sz w:val="22"/>
        </w:rPr>
      </w:pPr>
      <w:r w:rsidRPr="00C03483">
        <w:rPr>
          <w:sz w:val="22"/>
        </w:rPr>
        <w:t>Nedažni:</w:t>
      </w:r>
      <w:r w:rsidRPr="00C03483">
        <w:rPr>
          <w:sz w:val="22"/>
        </w:rPr>
        <w:tab/>
        <w:t>skrandžio uždegimas (0,9</w:t>
      </w:r>
      <w:r w:rsidRPr="00C03483">
        <w:rPr>
          <w:sz w:val="22"/>
        </w:rPr>
        <w:sym w:font="Symbol" w:char="F025"/>
      </w:r>
      <w:r w:rsidRPr="00C03483">
        <w:rPr>
          <w:sz w:val="22"/>
        </w:rPr>
        <w:t>, palyginti su 0,7</w:t>
      </w:r>
      <w:r w:rsidRPr="00C03483">
        <w:rPr>
          <w:sz w:val="22"/>
        </w:rPr>
        <w:sym w:font="Symbol" w:char="F025"/>
      </w:r>
      <w:r w:rsidRPr="00C03483">
        <w:rPr>
          <w:sz w:val="22"/>
        </w:rPr>
        <w:t>), stemplės uždegimas (0,9</w:t>
      </w:r>
      <w:r w:rsidRPr="00C03483">
        <w:rPr>
          <w:sz w:val="22"/>
        </w:rPr>
        <w:sym w:font="Symbol" w:char="F025"/>
      </w:r>
      <w:r w:rsidRPr="00C03483">
        <w:rPr>
          <w:sz w:val="22"/>
        </w:rPr>
        <w:t>, palyginti su 0,9</w:t>
      </w:r>
      <w:r w:rsidRPr="00C03483">
        <w:rPr>
          <w:sz w:val="22"/>
        </w:rPr>
        <w:sym w:font="Symbol" w:char="F025"/>
      </w:r>
      <w:r w:rsidRPr="00C03483">
        <w:rPr>
          <w:sz w:val="22"/>
        </w:rPr>
        <w:t>), rijimo sutrikimas (0,4</w:t>
      </w:r>
      <w:r w:rsidRPr="00C03483">
        <w:rPr>
          <w:sz w:val="22"/>
        </w:rPr>
        <w:sym w:font="Symbol" w:char="F025"/>
      </w:r>
      <w:r w:rsidRPr="00C03483">
        <w:rPr>
          <w:sz w:val="22"/>
        </w:rPr>
        <w:t>, palyginti su 0,2</w:t>
      </w:r>
      <w:r w:rsidRPr="00C03483">
        <w:rPr>
          <w:sz w:val="22"/>
        </w:rPr>
        <w:sym w:font="Symbol" w:char="F025"/>
      </w:r>
      <w:r w:rsidRPr="00C03483">
        <w:rPr>
          <w:sz w:val="22"/>
        </w:rPr>
        <w:t>), dvylikapirštės žarnos uždegimas (0,2</w:t>
      </w:r>
      <w:r w:rsidRPr="00C03483">
        <w:rPr>
          <w:sz w:val="22"/>
        </w:rPr>
        <w:sym w:font="Symbol" w:char="F025"/>
      </w:r>
      <w:r w:rsidRPr="00C03483">
        <w:rPr>
          <w:sz w:val="22"/>
        </w:rPr>
        <w:t>, palyginti su 0,1</w:t>
      </w:r>
      <w:r w:rsidRPr="00C03483">
        <w:rPr>
          <w:sz w:val="22"/>
        </w:rPr>
        <w:sym w:font="Symbol" w:char="F025"/>
      </w:r>
      <w:r w:rsidRPr="00C03483">
        <w:rPr>
          <w:sz w:val="22"/>
        </w:rPr>
        <w:t>), stemplės opa (0,2</w:t>
      </w:r>
      <w:r w:rsidRPr="00C03483">
        <w:rPr>
          <w:sz w:val="22"/>
        </w:rPr>
        <w:sym w:font="Symbol" w:char="F025"/>
      </w:r>
      <w:r w:rsidRPr="00C03483">
        <w:rPr>
          <w:sz w:val="22"/>
        </w:rPr>
        <w:t>, palyginti su 0,2</w:t>
      </w:r>
      <w:r w:rsidRPr="00C03483">
        <w:rPr>
          <w:sz w:val="22"/>
        </w:rPr>
        <w:sym w:font="Symbol" w:char="F025"/>
      </w:r>
      <w:r w:rsidRPr="00C03483">
        <w:rPr>
          <w:sz w:val="22"/>
        </w:rPr>
        <w:t>)</w:t>
      </w:r>
    </w:p>
    <w:p w14:paraId="1B5150EE" w14:textId="77777777" w:rsidR="00941804" w:rsidRPr="00C03483" w:rsidRDefault="00941804" w:rsidP="004D2419">
      <w:pPr>
        <w:ind w:left="1290" w:hanging="1290"/>
        <w:rPr>
          <w:sz w:val="22"/>
        </w:rPr>
      </w:pPr>
      <w:r w:rsidRPr="00C03483">
        <w:rPr>
          <w:sz w:val="22"/>
        </w:rPr>
        <w:lastRenderedPageBreak/>
        <w:t>Reti:</w:t>
      </w:r>
      <w:r w:rsidRPr="00C03483">
        <w:rPr>
          <w:i/>
          <w:sz w:val="22"/>
        </w:rPr>
        <w:tab/>
      </w:r>
      <w:r w:rsidRPr="00C03483">
        <w:rPr>
          <w:sz w:val="22"/>
        </w:rPr>
        <w:t>liežuvio uždegimas (&lt;0,1</w:t>
      </w:r>
      <w:r w:rsidRPr="00C03483">
        <w:rPr>
          <w:sz w:val="22"/>
        </w:rPr>
        <w:sym w:font="Symbol" w:char="F025"/>
      </w:r>
      <w:r w:rsidRPr="00C03483">
        <w:rPr>
          <w:sz w:val="22"/>
        </w:rPr>
        <w:t>, palyginti su 0,1</w:t>
      </w:r>
      <w:r w:rsidRPr="00C03483">
        <w:rPr>
          <w:sz w:val="22"/>
        </w:rPr>
        <w:sym w:font="Symbol" w:char="F025"/>
      </w:r>
      <w:r w:rsidRPr="00C03483">
        <w:rPr>
          <w:sz w:val="22"/>
        </w:rPr>
        <w:t>), stemplės susiaurėjimas (0,1</w:t>
      </w:r>
      <w:r w:rsidRPr="00C03483">
        <w:rPr>
          <w:sz w:val="22"/>
        </w:rPr>
        <w:sym w:font="Symbol" w:char="F025"/>
      </w:r>
      <w:r w:rsidRPr="00C03483">
        <w:rPr>
          <w:sz w:val="22"/>
        </w:rPr>
        <w:t>, palyginti su 0,0</w:t>
      </w:r>
      <w:r w:rsidRPr="00C03483">
        <w:rPr>
          <w:sz w:val="22"/>
        </w:rPr>
        <w:sym w:font="Symbol" w:char="F025"/>
      </w:r>
      <w:r w:rsidRPr="00C03483">
        <w:rPr>
          <w:sz w:val="22"/>
        </w:rPr>
        <w:t>)</w:t>
      </w:r>
    </w:p>
    <w:p w14:paraId="199A7A74" w14:textId="77777777" w:rsidR="00941804" w:rsidRPr="00C03483" w:rsidRDefault="00941804" w:rsidP="004D2419">
      <w:pPr>
        <w:rPr>
          <w:sz w:val="22"/>
        </w:rPr>
      </w:pPr>
    </w:p>
    <w:p w14:paraId="56586C43" w14:textId="77777777" w:rsidR="00941804" w:rsidRPr="00C03483" w:rsidRDefault="00941804" w:rsidP="004D2419">
      <w:pPr>
        <w:rPr>
          <w:sz w:val="22"/>
          <w:u w:val="single"/>
        </w:rPr>
      </w:pPr>
      <w:r w:rsidRPr="00C03483">
        <w:rPr>
          <w:sz w:val="22"/>
          <w:u w:val="single"/>
        </w:rPr>
        <w:t>Skeleto, raumenų ir jungiamojo audinio sutrikimai</w:t>
      </w:r>
    </w:p>
    <w:p w14:paraId="193E220E" w14:textId="77777777" w:rsidR="00941804" w:rsidRPr="00C03483" w:rsidRDefault="00941804" w:rsidP="004D2419">
      <w:pPr>
        <w:rPr>
          <w:sz w:val="22"/>
        </w:rPr>
      </w:pPr>
      <w:r w:rsidRPr="00C03483">
        <w:rPr>
          <w:sz w:val="22"/>
        </w:rPr>
        <w:t>Dažni:</w:t>
      </w:r>
      <w:r w:rsidRPr="00C03483">
        <w:rPr>
          <w:i/>
          <w:sz w:val="22"/>
        </w:rPr>
        <w:tab/>
      </w:r>
      <w:r w:rsidRPr="00C03483">
        <w:rPr>
          <w:sz w:val="22"/>
        </w:rPr>
        <w:t>kaulų ir raumenų skausmas (2,1</w:t>
      </w:r>
      <w:r w:rsidRPr="00C03483">
        <w:rPr>
          <w:sz w:val="22"/>
        </w:rPr>
        <w:sym w:font="Symbol" w:char="F025"/>
      </w:r>
      <w:r w:rsidRPr="00C03483">
        <w:rPr>
          <w:sz w:val="22"/>
        </w:rPr>
        <w:t>, palyginti su 1,9</w:t>
      </w:r>
      <w:r w:rsidRPr="00C03483">
        <w:rPr>
          <w:sz w:val="22"/>
        </w:rPr>
        <w:sym w:font="Symbol" w:char="F025"/>
      </w:r>
      <w:r w:rsidRPr="00C03483">
        <w:rPr>
          <w:sz w:val="22"/>
        </w:rPr>
        <w:t>).</w:t>
      </w:r>
    </w:p>
    <w:p w14:paraId="7FAD3325" w14:textId="77777777" w:rsidR="00941804" w:rsidRPr="00C03483" w:rsidRDefault="00941804" w:rsidP="004D2419">
      <w:pPr>
        <w:rPr>
          <w:sz w:val="22"/>
        </w:rPr>
      </w:pPr>
    </w:p>
    <w:p w14:paraId="32901E42" w14:textId="77777777" w:rsidR="00941804" w:rsidRPr="00C03483" w:rsidRDefault="00941804" w:rsidP="004D2419">
      <w:pPr>
        <w:rPr>
          <w:sz w:val="22"/>
          <w:u w:val="single"/>
        </w:rPr>
      </w:pPr>
      <w:r w:rsidRPr="00C03483">
        <w:rPr>
          <w:sz w:val="22"/>
          <w:u w:val="single"/>
        </w:rPr>
        <w:t>Tyrimai</w:t>
      </w:r>
    </w:p>
    <w:p w14:paraId="5DE5A1B7" w14:textId="77777777" w:rsidR="00941804" w:rsidRPr="00C03483" w:rsidRDefault="00941804" w:rsidP="004D2419">
      <w:pPr>
        <w:rPr>
          <w:sz w:val="22"/>
        </w:rPr>
      </w:pPr>
      <w:r w:rsidRPr="00C03483">
        <w:rPr>
          <w:sz w:val="22"/>
        </w:rPr>
        <w:t>Reti:</w:t>
      </w:r>
      <w:r w:rsidRPr="00C03483">
        <w:rPr>
          <w:i/>
          <w:sz w:val="22"/>
        </w:rPr>
        <w:tab/>
      </w:r>
      <w:r w:rsidRPr="00C03483">
        <w:rPr>
          <w:sz w:val="22"/>
        </w:rPr>
        <w:t>nenormalūs kepenų funkcijos tyrimų duomenys*.</w:t>
      </w:r>
    </w:p>
    <w:p w14:paraId="4D79DE38" w14:textId="77777777" w:rsidR="00941804" w:rsidRPr="00C03483" w:rsidRDefault="00941804" w:rsidP="004D2419">
      <w:pPr>
        <w:rPr>
          <w:sz w:val="22"/>
        </w:rPr>
      </w:pPr>
    </w:p>
    <w:p w14:paraId="574EE408" w14:textId="77777777" w:rsidR="00941804" w:rsidRPr="00C03483" w:rsidRDefault="00941804" w:rsidP="004D2419">
      <w:pPr>
        <w:ind w:right="-3"/>
        <w:rPr>
          <w:sz w:val="22"/>
        </w:rPr>
      </w:pPr>
      <w:r w:rsidRPr="00C03483">
        <w:rPr>
          <w:sz w:val="22"/>
        </w:rPr>
        <w:t>*III fazės osteoporozės tyrimų metu šių reiškinių dažnumas buvo nereikšmingas. Pateiktas dažnumas nustatytas pagal ankstesnių klinikinių tyrimų metu pastebėtus nepageidaujamus reiškinius, laboratorinių tyrimų duomenis.</w:t>
      </w:r>
    </w:p>
    <w:p w14:paraId="088EF102" w14:textId="77777777" w:rsidR="00941804" w:rsidRPr="00C03483" w:rsidRDefault="00941804" w:rsidP="004D2419">
      <w:pPr>
        <w:rPr>
          <w:b/>
          <w:sz w:val="22"/>
          <w:u w:val="single"/>
        </w:rPr>
      </w:pPr>
    </w:p>
    <w:p w14:paraId="6EC094FE" w14:textId="77777777" w:rsidR="00941804" w:rsidRPr="00C03483" w:rsidRDefault="00941804" w:rsidP="004D2419">
      <w:pPr>
        <w:rPr>
          <w:sz w:val="22"/>
        </w:rPr>
      </w:pPr>
      <w:r w:rsidRPr="00C03483">
        <w:rPr>
          <w:sz w:val="22"/>
        </w:rPr>
        <w:t xml:space="preserve">Vienerių metų trukmės daugiacentriu, dvigubai aklu klinikiniu tyrimu, kuriame dalyvavo osteoporoze sergančios moterys po menopauzės, nustatyta, kad, gydant kasdien geriamomis natrio rizedronato 5 mg dozėms (n = 480) arba kartą per savaitę geriamomis 35 mg dozėmis (n = 485), abiejų vaistinių preparatų bendrosios saugumo ir toleravimo savybės yra panašios. </w:t>
      </w:r>
    </w:p>
    <w:p w14:paraId="6D20C81C" w14:textId="77777777" w:rsidR="00941804" w:rsidRPr="00C03483" w:rsidRDefault="00941804" w:rsidP="004D2419">
      <w:pPr>
        <w:rPr>
          <w:sz w:val="22"/>
        </w:rPr>
      </w:pPr>
      <w:r w:rsidRPr="00C03483">
        <w:rPr>
          <w:sz w:val="22"/>
        </w:rPr>
        <w:t>Be to, papildomai buvo šių nepageidaujamų reiškinių, kurie, tyrėjų nuomone, yra galimai arba tikėtinai susiję su vaistinio preparato vartojimu (35 mg natrio rizedronato dozę vartojusių pacientų grupėje jie pasireiškė dažniau, negu pacientų, vartojusių 5 mg natrio rizedronato dozę, grupėje): virškinimo trakto sutrikimai (1,6</w:t>
      </w:r>
      <w:r w:rsidRPr="00C03483">
        <w:rPr>
          <w:sz w:val="22"/>
        </w:rPr>
        <w:sym w:font="Symbol" w:char="F025"/>
      </w:r>
      <w:r w:rsidRPr="00C03483">
        <w:rPr>
          <w:sz w:val="22"/>
        </w:rPr>
        <w:t>, palyginti su 1</w:t>
      </w:r>
      <w:r w:rsidRPr="00C03483">
        <w:rPr>
          <w:sz w:val="22"/>
        </w:rPr>
        <w:sym w:font="Symbol" w:char="F025"/>
      </w:r>
      <w:r w:rsidRPr="00C03483">
        <w:rPr>
          <w:sz w:val="22"/>
        </w:rPr>
        <w:t>) ir skausmas (1,2</w:t>
      </w:r>
      <w:r w:rsidRPr="00C03483">
        <w:rPr>
          <w:sz w:val="22"/>
        </w:rPr>
        <w:sym w:font="Symbol" w:char="F025"/>
      </w:r>
      <w:r w:rsidRPr="00C03483">
        <w:rPr>
          <w:sz w:val="22"/>
        </w:rPr>
        <w:t>, palyginti su 0,8%).</w:t>
      </w:r>
    </w:p>
    <w:p w14:paraId="1DA9D37C" w14:textId="77777777" w:rsidR="00941804" w:rsidRPr="00C03483" w:rsidRDefault="00941804" w:rsidP="004D2419">
      <w:pPr>
        <w:rPr>
          <w:sz w:val="22"/>
        </w:rPr>
      </w:pPr>
      <w:r w:rsidRPr="00C03483">
        <w:rPr>
          <w:sz w:val="22"/>
        </w:rPr>
        <w:t>Dviejų metų trukmės klinikinio tyrimo, kuriame dalyvavo osteoporoze sergantys vyrai, duomenimis, vaistinio preparato arba placebo vartojusių pacientų grupėse bendrosios saugumo ir toleravimo savybės yra panašios. Nepageidaujami reiškiniai atitiko anksčiau moterims pastebėtus nepageidaujamus reiškinius.</w:t>
      </w:r>
    </w:p>
    <w:p w14:paraId="1722F286" w14:textId="77777777" w:rsidR="00941804" w:rsidRPr="00C03483" w:rsidRDefault="00941804" w:rsidP="004D2419">
      <w:pPr>
        <w:rPr>
          <w:strike/>
          <w:sz w:val="22"/>
        </w:rPr>
      </w:pPr>
    </w:p>
    <w:p w14:paraId="32BEB42E" w14:textId="77777777" w:rsidR="00941804" w:rsidRPr="00C03483" w:rsidRDefault="00941804" w:rsidP="004D2419">
      <w:pPr>
        <w:tabs>
          <w:tab w:val="left" w:pos="475"/>
        </w:tabs>
        <w:rPr>
          <w:sz w:val="22"/>
          <w:u w:val="single"/>
        </w:rPr>
      </w:pPr>
      <w:r w:rsidRPr="00C03483">
        <w:rPr>
          <w:sz w:val="22"/>
          <w:u w:val="single"/>
        </w:rPr>
        <w:t>Laboratoriniai tyrimai</w:t>
      </w:r>
    </w:p>
    <w:p w14:paraId="591316B6" w14:textId="77777777" w:rsidR="00941804" w:rsidRPr="00C03483" w:rsidRDefault="00941804" w:rsidP="004D2419">
      <w:pPr>
        <w:tabs>
          <w:tab w:val="left" w:pos="475"/>
        </w:tabs>
        <w:rPr>
          <w:sz w:val="22"/>
        </w:rPr>
      </w:pPr>
      <w:r w:rsidRPr="00C03483">
        <w:rPr>
          <w:sz w:val="22"/>
        </w:rPr>
        <w:t>Kai kuriems pacientams pastebėtas ankstyvas, laikinas ir besimptomis nedidelis kalcio ir fosfatų koncentracijos kraujo serume sumažėjimas.</w:t>
      </w:r>
    </w:p>
    <w:p w14:paraId="4C5B2154" w14:textId="77777777" w:rsidR="00941804" w:rsidRPr="00C03483" w:rsidRDefault="00941804" w:rsidP="004D2419">
      <w:pPr>
        <w:tabs>
          <w:tab w:val="left" w:pos="475"/>
        </w:tabs>
        <w:rPr>
          <w:sz w:val="22"/>
        </w:rPr>
      </w:pPr>
    </w:p>
    <w:p w14:paraId="5F1A6BDB" w14:textId="77777777" w:rsidR="00941804" w:rsidRPr="00C03483" w:rsidRDefault="00941804" w:rsidP="004D2419">
      <w:pPr>
        <w:ind w:right="-3"/>
        <w:rPr>
          <w:sz w:val="22"/>
        </w:rPr>
      </w:pPr>
      <w:r w:rsidRPr="00C03483">
        <w:rPr>
          <w:sz w:val="22"/>
        </w:rPr>
        <w:t>Toliau išvardinti papildomi nepageidaujami reiškiniai, pastebėti po to, kai vaistinis preparatas pateko į rinką (dažnis nežinomas):</w:t>
      </w:r>
    </w:p>
    <w:p w14:paraId="13A89052" w14:textId="77777777" w:rsidR="00941804" w:rsidRPr="00C03483" w:rsidRDefault="00941804" w:rsidP="004D2419">
      <w:pPr>
        <w:tabs>
          <w:tab w:val="left" w:pos="475"/>
          <w:tab w:val="left" w:pos="1995"/>
        </w:tabs>
        <w:rPr>
          <w:sz w:val="22"/>
        </w:rPr>
      </w:pPr>
    </w:p>
    <w:p w14:paraId="44B55283" w14:textId="77777777" w:rsidR="00941804" w:rsidRPr="00C03483" w:rsidRDefault="00941804" w:rsidP="004D2419">
      <w:pPr>
        <w:tabs>
          <w:tab w:val="left" w:pos="475"/>
          <w:tab w:val="left" w:pos="1995"/>
        </w:tabs>
        <w:rPr>
          <w:sz w:val="22"/>
          <w:u w:val="single"/>
        </w:rPr>
      </w:pPr>
      <w:r w:rsidRPr="00C03483">
        <w:rPr>
          <w:sz w:val="22"/>
          <w:u w:val="single"/>
        </w:rPr>
        <w:t>Akių sutrikimai</w:t>
      </w:r>
    </w:p>
    <w:p w14:paraId="7B2B3252" w14:textId="77777777" w:rsidR="00941804" w:rsidRPr="00C03483" w:rsidRDefault="00941804" w:rsidP="004D2419">
      <w:pPr>
        <w:tabs>
          <w:tab w:val="left" w:pos="475"/>
        </w:tabs>
        <w:rPr>
          <w:sz w:val="22"/>
        </w:rPr>
      </w:pPr>
      <w:r w:rsidRPr="00C03483">
        <w:rPr>
          <w:sz w:val="22"/>
        </w:rPr>
        <w:t>Uveitas</w:t>
      </w:r>
    </w:p>
    <w:p w14:paraId="43365F9C" w14:textId="77777777" w:rsidR="00941804" w:rsidRPr="00C03483" w:rsidRDefault="00941804" w:rsidP="004D2419">
      <w:pPr>
        <w:tabs>
          <w:tab w:val="left" w:pos="475"/>
        </w:tabs>
        <w:rPr>
          <w:b/>
          <w:sz w:val="22"/>
          <w:u w:val="single"/>
        </w:rPr>
      </w:pPr>
    </w:p>
    <w:p w14:paraId="17FECC33" w14:textId="77777777" w:rsidR="00941804" w:rsidRPr="00C03483" w:rsidRDefault="00941804" w:rsidP="004D2419">
      <w:pPr>
        <w:rPr>
          <w:sz w:val="22"/>
          <w:u w:val="single"/>
        </w:rPr>
      </w:pPr>
      <w:r w:rsidRPr="00C03483">
        <w:rPr>
          <w:sz w:val="22"/>
          <w:u w:val="single"/>
        </w:rPr>
        <w:t xml:space="preserve">Skeleto, raumenų ir jungiamojo audinio sutrikimai </w:t>
      </w:r>
    </w:p>
    <w:p w14:paraId="24EC82EA" w14:textId="77777777" w:rsidR="00941804" w:rsidRPr="00C03483" w:rsidRDefault="00941804" w:rsidP="004D2419">
      <w:pPr>
        <w:tabs>
          <w:tab w:val="left" w:pos="475"/>
        </w:tabs>
        <w:rPr>
          <w:sz w:val="22"/>
        </w:rPr>
      </w:pPr>
      <w:r w:rsidRPr="00C03483">
        <w:rPr>
          <w:sz w:val="22"/>
        </w:rPr>
        <w:t>Žandikaulio osteonekrozė</w:t>
      </w:r>
    </w:p>
    <w:p w14:paraId="2067224D" w14:textId="77777777" w:rsidR="00941804" w:rsidRPr="00C03483" w:rsidRDefault="00941804" w:rsidP="004D2419">
      <w:pPr>
        <w:tabs>
          <w:tab w:val="left" w:pos="475"/>
        </w:tabs>
        <w:rPr>
          <w:b/>
          <w:sz w:val="22"/>
          <w:u w:val="single"/>
        </w:rPr>
      </w:pPr>
    </w:p>
    <w:p w14:paraId="2F9BAEE7" w14:textId="77777777" w:rsidR="00941804" w:rsidRPr="004D2419" w:rsidRDefault="00941804" w:rsidP="00C03483">
      <w:pPr>
        <w:pStyle w:val="BTEMEASMCA"/>
      </w:pPr>
      <w:r w:rsidRPr="004D2419">
        <w:t xml:space="preserve">Kepenų, tulžies pūslės ir latakų sutrikimai </w:t>
      </w:r>
    </w:p>
    <w:p w14:paraId="02919FF9" w14:textId="77777777" w:rsidR="00941804" w:rsidRPr="004D2419" w:rsidRDefault="00941804" w:rsidP="00C03483">
      <w:pPr>
        <w:pStyle w:val="BTEMEASMCA"/>
      </w:pPr>
      <w:r w:rsidRPr="004D2419">
        <w:t>Sunkūs kepenų funkcijos sutrikimai. Daugumoje aprašytų atvejų pacientai buvo kartu gydomi ir kitais kepenis pažeidžiančiais vaistiniais preparatais.</w:t>
      </w:r>
    </w:p>
    <w:p w14:paraId="27B2D4F2" w14:textId="77777777" w:rsidR="00941804" w:rsidRPr="00C03483" w:rsidRDefault="00941804" w:rsidP="004D2419">
      <w:pPr>
        <w:tabs>
          <w:tab w:val="left" w:pos="475"/>
        </w:tabs>
        <w:rPr>
          <w:sz w:val="22"/>
          <w:u w:val="single"/>
        </w:rPr>
      </w:pPr>
    </w:p>
    <w:p w14:paraId="12A01851" w14:textId="77777777" w:rsidR="00941804" w:rsidRPr="00C03483" w:rsidRDefault="00941804" w:rsidP="004D2419">
      <w:pPr>
        <w:rPr>
          <w:sz w:val="22"/>
          <w:u w:val="single"/>
        </w:rPr>
      </w:pPr>
      <w:r w:rsidRPr="00C03483">
        <w:rPr>
          <w:sz w:val="22"/>
          <w:u w:val="single"/>
        </w:rPr>
        <w:t>Odos ir poodinio audinio sutrikimai</w:t>
      </w:r>
    </w:p>
    <w:p w14:paraId="22D1A216" w14:textId="77777777" w:rsidR="00941804" w:rsidRPr="00C03483" w:rsidRDefault="00941804" w:rsidP="004D2419">
      <w:pPr>
        <w:rPr>
          <w:sz w:val="22"/>
        </w:rPr>
      </w:pPr>
      <w:r w:rsidRPr="00C03483">
        <w:rPr>
          <w:sz w:val="22"/>
        </w:rPr>
        <w:t>Padidėjusio jautrumo ir odos reakcijos, įskaitant angioneurozinę edemą, generalizuotą išbėrimą, dilgėlinę, pūslines odos reakcijas ir leukocitoklastinį vaskulitą, kai kuriais atvejais sunkias, įskaitant pavienius Stivenso-Džonsono (</w:t>
      </w:r>
      <w:r w:rsidRPr="00C03483">
        <w:rPr>
          <w:i/>
          <w:sz w:val="22"/>
        </w:rPr>
        <w:t>Stevens-Johnson</w:t>
      </w:r>
      <w:r w:rsidRPr="00C03483">
        <w:rPr>
          <w:sz w:val="22"/>
        </w:rPr>
        <w:t>) sindromo bei toksinės epidermio nekrolizės atvejus.</w:t>
      </w:r>
    </w:p>
    <w:p w14:paraId="5F43E47B" w14:textId="77777777" w:rsidR="00941804" w:rsidRPr="00C03483" w:rsidRDefault="00941804" w:rsidP="004D2419">
      <w:pPr>
        <w:rPr>
          <w:sz w:val="22"/>
        </w:rPr>
      </w:pPr>
    </w:p>
    <w:p w14:paraId="4AA12F41" w14:textId="77777777" w:rsidR="00941804" w:rsidRPr="00C03483" w:rsidRDefault="00941804" w:rsidP="004D2419">
      <w:pPr>
        <w:rPr>
          <w:sz w:val="22"/>
        </w:rPr>
      </w:pPr>
      <w:r w:rsidRPr="00C03483">
        <w:rPr>
          <w:sz w:val="22"/>
        </w:rPr>
        <w:t>Plaukų slinkimas.</w:t>
      </w:r>
    </w:p>
    <w:p w14:paraId="249EB206" w14:textId="77777777" w:rsidR="00941804" w:rsidRPr="00C03483" w:rsidRDefault="00941804" w:rsidP="004D2419">
      <w:pPr>
        <w:rPr>
          <w:sz w:val="22"/>
        </w:rPr>
      </w:pPr>
    </w:p>
    <w:p w14:paraId="772048BF" w14:textId="77777777" w:rsidR="00941804" w:rsidRPr="00C03483" w:rsidRDefault="00941804" w:rsidP="004D2419">
      <w:pPr>
        <w:rPr>
          <w:sz w:val="22"/>
        </w:rPr>
      </w:pPr>
      <w:r w:rsidRPr="00C03483">
        <w:rPr>
          <w:sz w:val="22"/>
          <w:u w:val="single"/>
        </w:rPr>
        <w:t>Imuninės sistemos sutrikimai</w:t>
      </w:r>
    </w:p>
    <w:p w14:paraId="2C93CCE9" w14:textId="77777777" w:rsidR="00941804" w:rsidRPr="00C03483" w:rsidRDefault="00941804" w:rsidP="004D2419">
      <w:pPr>
        <w:rPr>
          <w:sz w:val="22"/>
        </w:rPr>
      </w:pPr>
      <w:r w:rsidRPr="00C03483">
        <w:rPr>
          <w:sz w:val="22"/>
        </w:rPr>
        <w:t>Anafilaksinė reakcija.</w:t>
      </w:r>
    </w:p>
    <w:p w14:paraId="3D28D47F" w14:textId="77777777" w:rsidR="00941804" w:rsidRPr="00C03483" w:rsidRDefault="00941804" w:rsidP="004D2419">
      <w:pPr>
        <w:rPr>
          <w:sz w:val="22"/>
        </w:rPr>
      </w:pPr>
    </w:p>
    <w:p w14:paraId="626CDB69" w14:textId="77777777" w:rsidR="00941804" w:rsidRPr="00C03483" w:rsidRDefault="00941804" w:rsidP="00C03483">
      <w:pPr>
        <w:pStyle w:val="Default"/>
        <w:jc w:val="both"/>
        <w:rPr>
          <w:sz w:val="22"/>
        </w:rPr>
      </w:pPr>
      <w:r w:rsidRPr="00C03483">
        <w:rPr>
          <w:sz w:val="22"/>
        </w:rPr>
        <w:t>Vaistiniam preparatui jau esant rinkoje buvo pastebėtos šios reakcijos:</w:t>
      </w:r>
    </w:p>
    <w:p w14:paraId="052A2BBB" w14:textId="77777777" w:rsidR="00941804" w:rsidRPr="00C03483" w:rsidRDefault="00941804" w:rsidP="004D2419">
      <w:pPr>
        <w:rPr>
          <w:sz w:val="22"/>
        </w:rPr>
      </w:pPr>
      <w:r w:rsidRPr="00C03483">
        <w:rPr>
          <w:sz w:val="22"/>
        </w:rPr>
        <w:t>Retos: atipiniai šlaunikaulio pogūbriniai ir diafizės lūžiai (nepageidaujama reakcija į bisfosfonatų klasės preparatus);</w:t>
      </w:r>
    </w:p>
    <w:p w14:paraId="3DDC5D94" w14:textId="77777777" w:rsidR="00941804" w:rsidRPr="00C03483" w:rsidRDefault="00941804" w:rsidP="004D2419">
      <w:pPr>
        <w:rPr>
          <w:sz w:val="22"/>
        </w:rPr>
      </w:pPr>
      <w:r w:rsidRPr="00C03483">
        <w:rPr>
          <w:sz w:val="22"/>
        </w:rPr>
        <w:t>Labai retos: išorinės klausos landos osteonekrozė (bisfosfonatų klasės nepageidaujama reakcija).</w:t>
      </w:r>
    </w:p>
    <w:p w14:paraId="49FEDCE5" w14:textId="77777777" w:rsidR="00941804" w:rsidRPr="00C03483" w:rsidRDefault="00941804" w:rsidP="004D2419">
      <w:pPr>
        <w:rPr>
          <w:sz w:val="22"/>
        </w:rPr>
      </w:pPr>
    </w:p>
    <w:p w14:paraId="516D06C5" w14:textId="77777777" w:rsidR="00941804" w:rsidRPr="00C03483" w:rsidRDefault="00941804" w:rsidP="004D2419">
      <w:pPr>
        <w:tabs>
          <w:tab w:val="left" w:pos="567"/>
        </w:tabs>
        <w:autoSpaceDE w:val="0"/>
        <w:autoSpaceDN w:val="0"/>
        <w:adjustRightInd w:val="0"/>
        <w:spacing w:line="260" w:lineRule="exact"/>
        <w:jc w:val="both"/>
        <w:rPr>
          <w:sz w:val="22"/>
          <w:u w:val="single"/>
        </w:rPr>
      </w:pPr>
      <w:r w:rsidRPr="00C03483">
        <w:rPr>
          <w:sz w:val="22"/>
          <w:u w:val="single"/>
        </w:rPr>
        <w:t>Pranešimas apie įtariamas nepageidaujamas reakcijas</w:t>
      </w:r>
    </w:p>
    <w:p w14:paraId="5EA99BA4" w14:textId="77777777" w:rsidR="00941804" w:rsidRPr="00C03483" w:rsidRDefault="00941804" w:rsidP="004D2419">
      <w:pPr>
        <w:rPr>
          <w:sz w:val="22"/>
        </w:rPr>
      </w:pPr>
      <w:r w:rsidRPr="00C03483">
        <w:rPr>
          <w:sz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2BC4C7E2" w14:textId="77777777" w:rsidR="00941804" w:rsidRPr="00C03483" w:rsidRDefault="00941804" w:rsidP="004D2419">
      <w:pPr>
        <w:rPr>
          <w:sz w:val="22"/>
        </w:rPr>
      </w:pPr>
    </w:p>
    <w:p w14:paraId="3734F2C2" w14:textId="77777777" w:rsidR="00941804" w:rsidRPr="00C03483" w:rsidRDefault="00941804" w:rsidP="004D2419">
      <w:pPr>
        <w:ind w:left="540" w:hanging="540"/>
        <w:rPr>
          <w:b/>
          <w:sz w:val="22"/>
        </w:rPr>
      </w:pPr>
      <w:bookmarkStart w:id="27" w:name="_Toc129243110"/>
      <w:bookmarkStart w:id="28" w:name="_Toc129243235"/>
      <w:bookmarkStart w:id="29" w:name="OLE_LINK1"/>
      <w:r w:rsidRPr="00C03483">
        <w:rPr>
          <w:b/>
          <w:sz w:val="22"/>
        </w:rPr>
        <w:t>4.9</w:t>
      </w:r>
      <w:r w:rsidRPr="00C03483">
        <w:rPr>
          <w:b/>
          <w:sz w:val="22"/>
        </w:rPr>
        <w:tab/>
        <w:t>Perdozavimas</w:t>
      </w:r>
      <w:bookmarkEnd w:id="27"/>
      <w:bookmarkEnd w:id="28"/>
    </w:p>
    <w:bookmarkEnd w:id="29"/>
    <w:p w14:paraId="0551C529" w14:textId="77777777" w:rsidR="00941804" w:rsidRPr="00C03483" w:rsidRDefault="00941804" w:rsidP="004D2419">
      <w:pPr>
        <w:rPr>
          <w:sz w:val="22"/>
        </w:rPr>
      </w:pPr>
    </w:p>
    <w:p w14:paraId="2D0570B7" w14:textId="77777777" w:rsidR="00941804" w:rsidRPr="00C03483" w:rsidRDefault="00941804" w:rsidP="004D2419">
      <w:pPr>
        <w:rPr>
          <w:sz w:val="22"/>
        </w:rPr>
      </w:pPr>
      <w:r w:rsidRPr="00C03483">
        <w:rPr>
          <w:sz w:val="22"/>
        </w:rPr>
        <w:t>Specialios informacijos apie ūminio apsinuodijimo natrio rizedronatu gydymą nėra.</w:t>
      </w:r>
    </w:p>
    <w:p w14:paraId="44C1E682" w14:textId="77777777" w:rsidR="00941804" w:rsidRPr="00C03483" w:rsidRDefault="00941804" w:rsidP="004D2419">
      <w:pPr>
        <w:rPr>
          <w:sz w:val="22"/>
        </w:rPr>
      </w:pPr>
    </w:p>
    <w:p w14:paraId="5DB4F4BF" w14:textId="77777777" w:rsidR="00941804" w:rsidRPr="00C03483" w:rsidRDefault="00941804" w:rsidP="004D2419">
      <w:pPr>
        <w:rPr>
          <w:sz w:val="22"/>
        </w:rPr>
      </w:pPr>
      <w:r w:rsidRPr="00C03483">
        <w:rPr>
          <w:sz w:val="22"/>
        </w:rPr>
        <w:t>Simptomai</w:t>
      </w:r>
    </w:p>
    <w:p w14:paraId="021E3655" w14:textId="77777777" w:rsidR="00941804" w:rsidRPr="00C03483" w:rsidRDefault="00941804" w:rsidP="004D2419">
      <w:pPr>
        <w:rPr>
          <w:sz w:val="22"/>
        </w:rPr>
      </w:pPr>
      <w:r w:rsidRPr="00C03483">
        <w:rPr>
          <w:sz w:val="22"/>
        </w:rPr>
        <w:t>Perdozavus gali sumažėti kalcio koncentracija. Kai kada tokiais atvejais gali atsirasti hipokalcemijos simptomų ir požymių.</w:t>
      </w:r>
    </w:p>
    <w:p w14:paraId="5C17006B" w14:textId="77777777" w:rsidR="00941804" w:rsidRPr="00C03483" w:rsidRDefault="00941804" w:rsidP="004D2419">
      <w:pPr>
        <w:rPr>
          <w:sz w:val="22"/>
        </w:rPr>
      </w:pPr>
    </w:p>
    <w:p w14:paraId="7977E2C9" w14:textId="77777777" w:rsidR="00941804" w:rsidRPr="00C03483" w:rsidRDefault="00941804" w:rsidP="004D2419">
      <w:pPr>
        <w:rPr>
          <w:sz w:val="22"/>
        </w:rPr>
      </w:pPr>
      <w:r w:rsidRPr="00C03483">
        <w:rPr>
          <w:sz w:val="22"/>
        </w:rPr>
        <w:t>Priemonės</w:t>
      </w:r>
    </w:p>
    <w:p w14:paraId="074428AB" w14:textId="77777777" w:rsidR="00941804" w:rsidRPr="00C03483" w:rsidRDefault="00941804" w:rsidP="004D2419">
      <w:pPr>
        <w:rPr>
          <w:sz w:val="22"/>
        </w:rPr>
      </w:pPr>
      <w:r w:rsidRPr="00C03483">
        <w:rPr>
          <w:sz w:val="22"/>
        </w:rPr>
        <w:t>Natrio rizedronatui sujungti ir jo absorbcijai mažinti reikia duoti išgerti pieno ar antacidinių preparatų, kuriuose yra magnio, kalcio ar aliuminio. Reikšmingo perdozavimo atveju neabsorbuoto natrio rizedronato pašalinimui galima apsvarstyti skrandžio išplovimo galimybę.</w:t>
      </w:r>
    </w:p>
    <w:p w14:paraId="5CD8CE1C" w14:textId="77777777" w:rsidR="00941804" w:rsidRPr="00C03483" w:rsidRDefault="00941804" w:rsidP="004D2419">
      <w:pPr>
        <w:rPr>
          <w:sz w:val="22"/>
        </w:rPr>
      </w:pPr>
    </w:p>
    <w:p w14:paraId="0467E589" w14:textId="77777777" w:rsidR="00941804" w:rsidRPr="00C03483" w:rsidRDefault="00941804" w:rsidP="004D2419">
      <w:pPr>
        <w:rPr>
          <w:sz w:val="22"/>
        </w:rPr>
      </w:pPr>
    </w:p>
    <w:p w14:paraId="20DD78B0" w14:textId="77777777" w:rsidR="00941804" w:rsidRPr="00C03483" w:rsidRDefault="00941804" w:rsidP="004D2419">
      <w:pPr>
        <w:ind w:left="540" w:hanging="540"/>
        <w:rPr>
          <w:b/>
          <w:sz w:val="22"/>
        </w:rPr>
      </w:pPr>
      <w:bookmarkStart w:id="30" w:name="_Toc129243111"/>
      <w:bookmarkStart w:id="31" w:name="_Toc129243236"/>
      <w:r w:rsidRPr="00C03483">
        <w:rPr>
          <w:b/>
          <w:sz w:val="22"/>
        </w:rPr>
        <w:t>5.</w:t>
      </w:r>
      <w:r w:rsidRPr="00C03483">
        <w:rPr>
          <w:b/>
          <w:sz w:val="22"/>
        </w:rPr>
        <w:tab/>
        <w:t>FARMAKOLOGINĖS SAVYBĖS</w:t>
      </w:r>
      <w:bookmarkEnd w:id="30"/>
      <w:bookmarkEnd w:id="31"/>
    </w:p>
    <w:p w14:paraId="6B6BA917" w14:textId="77777777" w:rsidR="00941804" w:rsidRPr="00C03483" w:rsidRDefault="00941804" w:rsidP="004D2419">
      <w:pPr>
        <w:rPr>
          <w:sz w:val="22"/>
        </w:rPr>
      </w:pPr>
    </w:p>
    <w:p w14:paraId="1C42B731" w14:textId="77777777" w:rsidR="00941804" w:rsidRPr="00C03483" w:rsidRDefault="00941804" w:rsidP="004D2419">
      <w:pPr>
        <w:ind w:left="540" w:hanging="540"/>
        <w:rPr>
          <w:b/>
          <w:sz w:val="22"/>
        </w:rPr>
      </w:pPr>
      <w:bookmarkStart w:id="32" w:name="_Toc129243112"/>
      <w:bookmarkStart w:id="33" w:name="_Toc129243237"/>
      <w:r w:rsidRPr="00C03483">
        <w:rPr>
          <w:b/>
          <w:sz w:val="22"/>
        </w:rPr>
        <w:t>5.1</w:t>
      </w:r>
      <w:r w:rsidRPr="00C03483">
        <w:rPr>
          <w:b/>
          <w:sz w:val="22"/>
        </w:rPr>
        <w:tab/>
        <w:t>Farmakodinaminės savybės</w:t>
      </w:r>
      <w:bookmarkEnd w:id="32"/>
      <w:bookmarkEnd w:id="33"/>
    </w:p>
    <w:p w14:paraId="467A9291" w14:textId="77777777" w:rsidR="00941804" w:rsidRPr="00C03483" w:rsidRDefault="00941804" w:rsidP="004D2419">
      <w:pPr>
        <w:tabs>
          <w:tab w:val="left" w:pos="567"/>
        </w:tabs>
        <w:rPr>
          <w:sz w:val="22"/>
        </w:rPr>
      </w:pPr>
    </w:p>
    <w:p w14:paraId="67558E41" w14:textId="77777777" w:rsidR="00941804" w:rsidRPr="00C03483" w:rsidRDefault="00941804" w:rsidP="004D2419">
      <w:pPr>
        <w:tabs>
          <w:tab w:val="left" w:pos="2520"/>
        </w:tabs>
        <w:rPr>
          <w:sz w:val="22"/>
        </w:rPr>
      </w:pPr>
      <w:r w:rsidRPr="00C03483">
        <w:rPr>
          <w:sz w:val="22"/>
        </w:rPr>
        <w:t>Farmakoterapinė grupė - bisfosfonatai, ATC kodas -</w:t>
      </w:r>
      <w:bookmarkStart w:id="34" w:name="OLE_LINK3"/>
      <w:bookmarkStart w:id="35" w:name="OLE_LINK4"/>
      <w:r w:rsidRPr="00C03483">
        <w:rPr>
          <w:sz w:val="22"/>
        </w:rPr>
        <w:t xml:space="preserve"> M05BA07</w:t>
      </w:r>
      <w:bookmarkEnd w:id="34"/>
      <w:bookmarkEnd w:id="35"/>
    </w:p>
    <w:p w14:paraId="583F3BB0" w14:textId="77777777" w:rsidR="00941804" w:rsidRPr="00C03483" w:rsidRDefault="00941804" w:rsidP="004D2419">
      <w:pPr>
        <w:tabs>
          <w:tab w:val="left" w:pos="567"/>
        </w:tabs>
        <w:rPr>
          <w:sz w:val="22"/>
        </w:rPr>
      </w:pPr>
    </w:p>
    <w:p w14:paraId="0CE1B43E" w14:textId="77777777" w:rsidR="00941804" w:rsidRPr="00C03483" w:rsidRDefault="00941804" w:rsidP="004D2419">
      <w:pPr>
        <w:tabs>
          <w:tab w:val="left" w:pos="567"/>
        </w:tabs>
        <w:rPr>
          <w:sz w:val="22"/>
        </w:rPr>
      </w:pPr>
      <w:r w:rsidRPr="00C03483">
        <w:rPr>
          <w:sz w:val="22"/>
        </w:rPr>
        <w:t>Veikimo mechanizmas</w:t>
      </w:r>
    </w:p>
    <w:p w14:paraId="49CC782D" w14:textId="77777777" w:rsidR="00941804" w:rsidRPr="00C03483" w:rsidRDefault="00941804" w:rsidP="004D2419">
      <w:pPr>
        <w:rPr>
          <w:sz w:val="22"/>
        </w:rPr>
      </w:pPr>
      <w:r w:rsidRPr="00C03483">
        <w:rPr>
          <w:sz w:val="22"/>
        </w:rPr>
        <w:t xml:space="preserve">Natrio rizedronatas yra piridinilo bisfosfonatas, kuris prisijungia prie kaulo hidroksiapatito ir slopina nuo osteoklastų priklausomą kaulinio audinio rezorbciją. Kaulinio audinio apykaita sulėtėja, bet osteoblastų aktyvumas ir kaulų mineralizacija išsaugomi. Ikiklinikinių tyrimų metu nustatyta, kad natrio rizedronatas sukelia antiosteoklastinį ir antirezorbcinį poveikį bei, priklausomai nuo dozės, padidina kaulinio audinio masę ir skeleto biomechaninį atsparumą. Natrio rizedronato aktyvumas patvirtintas farmakodinaminiais ir klinikiniais tyrimais, kurių metu buvo matuojami kaulinio audinio apykaitos biocheminiai žymenys. Moterų po menopauzės klinikinių tyrimų duomenimis, kaulinio audinio apykaitos biocheminiai žymenys pradeda mažėti jau pirmąjį gydymo mėnesį, o maksimalus poveikis pasireiškia per 3 </w:t>
      </w:r>
      <w:r w:rsidRPr="00C03483">
        <w:rPr>
          <w:sz w:val="22"/>
        </w:rPr>
        <w:noBreakHyphen/>
        <w:t xml:space="preserve"> 6 mėnesius. 12 mėnesių vartojant kartą per savaitę po 35 mg natrio rizedronato arba kasdien po 5 mg natrio rizedronato, kaulų metabolizmo biocheminiai žymenys sumažėjo panašiai.</w:t>
      </w:r>
    </w:p>
    <w:p w14:paraId="442B4564" w14:textId="77777777" w:rsidR="00941804" w:rsidRPr="00C03483" w:rsidRDefault="00941804" w:rsidP="004D2419">
      <w:pPr>
        <w:rPr>
          <w:sz w:val="22"/>
        </w:rPr>
      </w:pPr>
    </w:p>
    <w:p w14:paraId="4B11EE83" w14:textId="77777777" w:rsidR="00941804" w:rsidRPr="00C03483" w:rsidRDefault="00941804" w:rsidP="004D2419">
      <w:pPr>
        <w:rPr>
          <w:sz w:val="22"/>
        </w:rPr>
      </w:pPr>
      <w:r w:rsidRPr="00C03483">
        <w:rPr>
          <w:sz w:val="22"/>
        </w:rPr>
        <w:t>Osteoporoze sergančių vyrų klinikinio tyrimo metu kaulinio audinio apykaitos biocheminių žymenų sumažėjimas išmatuotas anksčiausiai po 3 mėnesių ir toliau buvo stebimas 24 mėnesius.</w:t>
      </w:r>
    </w:p>
    <w:p w14:paraId="09F7E19F" w14:textId="77777777" w:rsidR="00941804" w:rsidRPr="00C03483" w:rsidRDefault="00941804" w:rsidP="004D2419">
      <w:pPr>
        <w:rPr>
          <w:sz w:val="22"/>
        </w:rPr>
      </w:pPr>
    </w:p>
    <w:p w14:paraId="059755ED" w14:textId="77777777" w:rsidR="00941804" w:rsidRPr="00C03483" w:rsidRDefault="00941804" w:rsidP="004D2419">
      <w:pPr>
        <w:rPr>
          <w:sz w:val="22"/>
          <w:u w:val="single"/>
        </w:rPr>
      </w:pPr>
      <w:r w:rsidRPr="00C03483">
        <w:rPr>
          <w:sz w:val="22"/>
          <w:u w:val="single"/>
        </w:rPr>
        <w:t>Osteoporozės po menopauzės gydymas</w:t>
      </w:r>
    </w:p>
    <w:p w14:paraId="19C80B50" w14:textId="77777777" w:rsidR="00941804" w:rsidRPr="00C03483" w:rsidRDefault="00941804" w:rsidP="004D2419">
      <w:pPr>
        <w:rPr>
          <w:sz w:val="22"/>
          <w:u w:val="single"/>
        </w:rPr>
      </w:pPr>
    </w:p>
    <w:p w14:paraId="2A66C7F7" w14:textId="77777777" w:rsidR="00941804" w:rsidRPr="00C03483" w:rsidRDefault="00941804" w:rsidP="004D2419">
      <w:pPr>
        <w:rPr>
          <w:sz w:val="22"/>
        </w:rPr>
      </w:pPr>
      <w:r w:rsidRPr="00C03483">
        <w:rPr>
          <w:sz w:val="22"/>
        </w:rPr>
        <w:t>Kai kurie rizikos veiksniai, įskaitant mažą kaulų masę, mažą kaulų mineralinį tankį, ankstyvą menopauzę, rūkymą ir kraujo giminaičių osteoporozę, yra susiję su osteoporozės po menopauzės atsiradimu. Klinikinė osteoporozės pasekmė yra kaulų lūžiai. Kuo daugiau rizikos veiksnių, tuo didesnė lūžių rizika.</w:t>
      </w:r>
    </w:p>
    <w:p w14:paraId="441228A5" w14:textId="77777777" w:rsidR="00941804" w:rsidRPr="00C03483" w:rsidRDefault="00941804" w:rsidP="004D2419">
      <w:pPr>
        <w:rPr>
          <w:sz w:val="22"/>
        </w:rPr>
      </w:pPr>
      <w:r w:rsidRPr="00C03483">
        <w:rPr>
          <w:sz w:val="22"/>
        </w:rPr>
        <w:t>Vienerių metų dvigubai aklo daugiacentrio tyrimo, kuriame dalyvavo osteoporoze sergančios moterys po menopauzės, duomenimis, pagal poveikį juosmens slankstelių KMT vidutiniam pokyčiui, 35 mg natrio rizedronato vieną kartą per savaitę vartojimas (n = 485) buvo lygiavertis gydymui 5 mg natrio rizedronato paros doze (n = 480).</w:t>
      </w:r>
    </w:p>
    <w:p w14:paraId="07AE1A96" w14:textId="77777777" w:rsidR="00941804" w:rsidRPr="004D2419" w:rsidRDefault="00941804" w:rsidP="00C03483">
      <w:pPr>
        <w:pStyle w:val="Pagrindinistekstas"/>
        <w:spacing w:after="0"/>
      </w:pPr>
      <w:r w:rsidRPr="004D2419">
        <w:lastRenderedPageBreak/>
        <w:t>Klinikinės programos metu, kurioje dalyvavo įvairaus amžiaus (iš karto po menopauzės ir vėliau) moterys, patyrusios ar nepatyrusios kaulų lūžių, buvo tirta vieną kartą per parą vartojamo natrio rizedronato įtaka šlaunikaulio kaklelio ir slankstelių lūžių rizikai. Visose grupėse buvo tirtos 2,5 mg ir 5 mg dozės, visų grupių, įskaitant kontrolinę, pacientės kartu vartojo kalcį ir vitaminą D, jei šių medžiagų kiekis prieš pradedant tyrimą buvo mažas. Slankstelių bei šlaunikaulio kaklelio naujų lūžių absoliuti ir santykinė rizika buvo nustatyta, remiantis laikotarpio iki pirmo lūžio analize.</w:t>
      </w:r>
    </w:p>
    <w:p w14:paraId="3D3E9B66" w14:textId="77777777" w:rsidR="00941804" w:rsidRPr="004D2419" w:rsidRDefault="00941804" w:rsidP="00C03483">
      <w:pPr>
        <w:pStyle w:val="Pagrindinistekstas"/>
        <w:numPr>
          <w:ilvl w:val="0"/>
          <w:numId w:val="1"/>
        </w:numPr>
        <w:tabs>
          <w:tab w:val="clear" w:pos="357"/>
          <w:tab w:val="num" w:pos="540"/>
        </w:tabs>
        <w:spacing w:after="0"/>
        <w:ind w:left="540" w:hanging="540"/>
      </w:pPr>
      <w:r w:rsidRPr="004D2419">
        <w:t>Dviejuose placebu kontroliuojamuose klinikiniuose tyrimuose (n = 3661) dalyvavo jaunesnės kaip 85 metų amžiaus moterys po menopauzės, jau patyrusios slankstelių lūžių. Trejus metus vartojant 5 mg natrio rizedronato paros dozę, nustatytas santykinis naujų stuburo slankstelių lūžių rizikos sumažėjimas, palyginti su kontroline grupe. Moterims, kurios atitinkamai buvo patyrusios mažiausiai 2 ir mažiausiai 1 stuburo slankstelių lūžį, santykinis rizikos sumažėjimas buvo atitinkamai 49 % ir 41 % (naujų stuburo slankstelių lūžių dažnis vartojant natrio rizedronatą buvo atitinkamai 18,1 % ir 11,3 %, vartojant placebą – 29,0 % ir 16,3 %). Gydomasis poveikis pastebėtas ne anksčiau, kaip pirmųjų vaistinio preparato vartojimo metų pabaigoje. Be to, gydomasis poveikis nustatytas ir moterims, kurios prieš gydymo pradžią buvo daug kartų patyrusios kaulų lūžių. 5 mg paros dozėmis vartotas natrio rizedronatas taip pat sulėtino kasmetinį ūgio mažėjimą (lyginant su kontroline grupe).</w:t>
      </w:r>
    </w:p>
    <w:p w14:paraId="25DC66A8" w14:textId="77777777" w:rsidR="00941804" w:rsidRPr="004D2419" w:rsidRDefault="00941804" w:rsidP="00C03483">
      <w:pPr>
        <w:pStyle w:val="Pagrindinistekstas"/>
        <w:numPr>
          <w:ilvl w:val="0"/>
          <w:numId w:val="1"/>
        </w:numPr>
        <w:tabs>
          <w:tab w:val="clear" w:pos="357"/>
          <w:tab w:val="num" w:pos="540"/>
        </w:tabs>
        <w:spacing w:after="0"/>
        <w:ind w:left="540" w:hanging="540"/>
      </w:pPr>
      <w:r w:rsidRPr="004D2419">
        <w:t xml:space="preserve">Dviejuose vėliau atliktuose placebu kontroliuojamose tyrimuose dalyvavo vyresnės kaip 70 metų moterys po menopauzės, iš kurių vienos jau buvo patyrusios slankstelių lūžių, kitos – ne. Į tyrimą įtrauktos 70 - 79 metų amžiaus moterys, kurių šlaunikaulio kaklelio KMT T lygmuo, nustatytas gamintojo metodika, buvo mažesnis už normalų daugiau kaip 3 neigiamais vidutiniais kvadratiniais nuokrypiais (t. y. daugiau kaip 2,5 neigiamo vidutinio kvadratinio nuokrypio pagal </w:t>
      </w:r>
      <w:r w:rsidRPr="004D2419">
        <w:rPr>
          <w:i/>
        </w:rPr>
        <w:t>NHANES III</w:t>
      </w:r>
      <w:r w:rsidRPr="004D2419">
        <w:t>) ir kurioms buvo dar bent vienas papildomas rizikos veiksnys. 80 metų ir vyresnės moterys galėjo būti įtrauktos, jei turėjo bent vieną su skeletu nesusijusį šlaunikaulio lūžių rizikos veiksnį arba mažą šlaunikaulio kaklelio KMT. Kad natrio rizedronatas buvo statistiškai reikšmingai veiksmingesnis už placebą, nustatyta tik pagal jungtinius abiejų 2,5 mg ir 5 mg per parą gydymo grupių duomenis. Toliau pateikti duomenys pagrįsti tik pogrupių, nustatytų remiantis klinikine praktika ir dabartiniu osteoporozės apibrėžimu, metaanalize.</w:t>
      </w:r>
    </w:p>
    <w:p w14:paraId="135B0344" w14:textId="77777777" w:rsidR="00941804" w:rsidRPr="004D2419" w:rsidRDefault="00941804" w:rsidP="00C03483">
      <w:pPr>
        <w:pStyle w:val="Pagrindinistekstas"/>
        <w:numPr>
          <w:ilvl w:val="0"/>
          <w:numId w:val="2"/>
        </w:numPr>
        <w:tabs>
          <w:tab w:val="clear" w:pos="357"/>
          <w:tab w:val="num" w:pos="714"/>
        </w:tabs>
        <w:spacing w:after="0"/>
        <w:ind w:left="714"/>
      </w:pPr>
      <w:r w:rsidRPr="004D2419">
        <w:t xml:space="preserve">Bent vieną slankstelių lūžį patyrusioms pacientėms, kurių šlaunikaulio kaklelio KMT T rodmuo pagal </w:t>
      </w:r>
      <w:r w:rsidRPr="004D2419">
        <w:rPr>
          <w:i/>
        </w:rPr>
        <w:t>NHANES III</w:t>
      </w:r>
      <w:r w:rsidRPr="004D2419">
        <w:t xml:space="preserve"> buvo mažesnis už normalų 2,5 vidutinio neigiamo kvadratinio nuokrypio ar daugiau, trejus metus vartotas natrio rizedronatas sumažino šlaunikaulio lūžių pavojų 46 %, lyginant su kontroline grupe. Jų dažnumas bendroje 2,5 mg ir 5 mg dozę per parą vartojusių pacienčių grupėje buvo 3,8 %, placebo – 7,4 %.</w:t>
      </w:r>
    </w:p>
    <w:p w14:paraId="2598FF14" w14:textId="77777777" w:rsidR="00941804" w:rsidRPr="004D2419" w:rsidRDefault="00941804" w:rsidP="00C03483">
      <w:pPr>
        <w:pStyle w:val="Pagrindinistekstas"/>
        <w:numPr>
          <w:ilvl w:val="0"/>
          <w:numId w:val="2"/>
        </w:numPr>
        <w:tabs>
          <w:tab w:val="clear" w:pos="357"/>
          <w:tab w:val="num" w:pos="714"/>
        </w:tabs>
        <w:spacing w:after="0"/>
        <w:ind w:left="714"/>
      </w:pPr>
      <w:r w:rsidRPr="004D2419">
        <w:t>Duomenys rodo, kad nuo kaulų lūžių apsaugantis natrio rizedronato poveikis labai senyvoms (80 metų ir vyresnėms) moterims gali būti silpnesnis. Šis skirtumas gali priklausyti nuo su skeletu nesusijusių šlaunikaulio lūžių rizikos veiksnių įtakos didėjimo senstant.</w:t>
      </w:r>
    </w:p>
    <w:p w14:paraId="797E5EA8" w14:textId="77777777" w:rsidR="00941804" w:rsidRPr="004D2419" w:rsidRDefault="00941804" w:rsidP="00C03483">
      <w:pPr>
        <w:pStyle w:val="Pagrindinistekstas"/>
        <w:spacing w:after="0"/>
        <w:ind w:left="714"/>
      </w:pPr>
      <w:r w:rsidRPr="004D2419">
        <w:t>Analizuojant šių klinikinių tyrimų antrines vertinamąsias baigtis nustatyta, kad naujo slankstelių lūžio rizika sumažėja ir toms mažą šlaunikaulio kaklelio KMT turinčioms pacientėms, kurios dar nepatyrė slankstelių lūžių, ir toms mažą šlaunikaulio kaklelio KMT turinčioms pacientėms, kurioms slanksteliai jau buvo lūžę arba ne.</w:t>
      </w:r>
    </w:p>
    <w:p w14:paraId="00023C4F" w14:textId="77777777" w:rsidR="00941804" w:rsidRPr="004D2419" w:rsidRDefault="00941804" w:rsidP="00C03483">
      <w:pPr>
        <w:pStyle w:val="Pagrindinistekstas"/>
        <w:numPr>
          <w:ilvl w:val="0"/>
          <w:numId w:val="1"/>
        </w:numPr>
        <w:tabs>
          <w:tab w:val="clear" w:pos="357"/>
          <w:tab w:val="num" w:pos="540"/>
        </w:tabs>
        <w:spacing w:after="0"/>
        <w:ind w:left="540" w:hanging="540"/>
      </w:pPr>
      <w:r w:rsidRPr="004D2419">
        <w:t>3 metus 5 mg paros dozėmis vartotas natrio rizedronatas padidino, lyginant su kontroline grupe, juosmens slankstelių, šlaunikaulio kaklelio, šlaunikaulio gūbrio ir riešo kaulų mineralinį tankį (KMT) ir padėjo išlaikyti stipinkaulio diafizės KMT.</w:t>
      </w:r>
    </w:p>
    <w:p w14:paraId="70D05E1D" w14:textId="77777777" w:rsidR="00941804" w:rsidRPr="004D2419" w:rsidRDefault="00941804" w:rsidP="00C03483">
      <w:pPr>
        <w:pStyle w:val="Pagrindinistekstas"/>
        <w:numPr>
          <w:ilvl w:val="0"/>
          <w:numId w:val="1"/>
        </w:numPr>
        <w:tabs>
          <w:tab w:val="clear" w:pos="357"/>
          <w:tab w:val="num" w:pos="540"/>
        </w:tabs>
        <w:spacing w:after="0"/>
        <w:ind w:left="540" w:hanging="540"/>
      </w:pPr>
      <w:r w:rsidRPr="004D2419">
        <w:t>Vienerius metus stebint pacientes, prieš tai 3 metus vartojusias 5 mg natrio rizedronato paros dozę, nustatyta, kad, nutraukus šio vaistinio preparato vartojimą, kaulinio audinio apykaitą slopinantis poveikis greitai išnyksta.</w:t>
      </w:r>
    </w:p>
    <w:p w14:paraId="04B78051" w14:textId="77777777" w:rsidR="00941804" w:rsidRPr="004D2419" w:rsidRDefault="00941804" w:rsidP="00C03483">
      <w:pPr>
        <w:pStyle w:val="Pagrindinistekstas"/>
        <w:numPr>
          <w:ilvl w:val="0"/>
          <w:numId w:val="1"/>
        </w:numPr>
        <w:tabs>
          <w:tab w:val="clear" w:pos="357"/>
          <w:tab w:val="num" w:pos="540"/>
        </w:tabs>
        <w:spacing w:after="0"/>
        <w:ind w:left="540" w:hanging="540"/>
      </w:pPr>
      <w:r w:rsidRPr="004D2419">
        <w:t>Ištyrus moterų po menopauzės, kurios 2–3 metus vartojo 5 mg natrio rizedronato paros dozę, kaulų biopsijos mėginius, nustatyta, kad kaulinio audinio apykaita saikingai sulėtėjo (kaip ir buvo tikėtasi). Kaulinis audinys, susiformavęs gydant natrio rizedronatu, buvo normalios plokštelinės struktūros ir įprastai mineralizuotas. Šie duomenys ir sumažėjęs su osteoporoze susijusių slankstelių lūžių skaičius leidžia manyti, kad natrio rizedronatas nekenkia kaulinio audinio kokybei.</w:t>
      </w:r>
    </w:p>
    <w:p w14:paraId="0EC2558E" w14:textId="77777777" w:rsidR="00941804" w:rsidRPr="004D2419" w:rsidRDefault="00941804" w:rsidP="00C03483">
      <w:pPr>
        <w:pStyle w:val="Pagrindinistekstas"/>
        <w:spacing w:after="0"/>
      </w:pPr>
      <w:r w:rsidRPr="004D2419">
        <w:t>Atlikus endoskopiją tam tikram skaičiui pacienčių (tiek natrio rizedronato grupės, tiek kontrolinės grupės), kurioms buvo įvairių vidutinio sunkumo ar sunkių virškinimo trakto sutrikimų, nė vienoje grupėje su vaistinio preparato vartojimu susijusių skrandžio, dvylikapirštės žarnos ar stemplės opų nenustatyta, tačiau natrio rizedronatą vartojusioms pacientėms nedažnai nustatytas dvylikapirštės žarnos uždegimas.</w:t>
      </w:r>
    </w:p>
    <w:p w14:paraId="5058EFEB" w14:textId="77777777" w:rsidR="00941804" w:rsidRPr="004D2419" w:rsidRDefault="00941804" w:rsidP="00C03483">
      <w:pPr>
        <w:pStyle w:val="BTEMEASMCA"/>
      </w:pPr>
    </w:p>
    <w:p w14:paraId="7EF8E136" w14:textId="77777777" w:rsidR="00941804" w:rsidRPr="00C03483" w:rsidRDefault="00941804" w:rsidP="004D2419">
      <w:pPr>
        <w:rPr>
          <w:sz w:val="22"/>
          <w:u w:val="single"/>
        </w:rPr>
      </w:pPr>
      <w:r w:rsidRPr="00C03483">
        <w:rPr>
          <w:sz w:val="22"/>
          <w:u w:val="single"/>
        </w:rPr>
        <w:t>Vyrų osteoporozės gydymas</w:t>
      </w:r>
    </w:p>
    <w:p w14:paraId="2CE4C277" w14:textId="77777777" w:rsidR="00941804" w:rsidRPr="00C03483" w:rsidRDefault="00941804" w:rsidP="004D2419">
      <w:pPr>
        <w:rPr>
          <w:sz w:val="22"/>
        </w:rPr>
      </w:pPr>
      <w:r w:rsidRPr="00C03483">
        <w:rPr>
          <w:sz w:val="22"/>
        </w:rPr>
        <w:t xml:space="preserve">35 mg natrio rizedronato, vartojamo kartą per parą, veiksmingumą parodė dvejų metų dvigubai aklas daugiacentrio tyrimo, kuriame dalyvavo 284 osteoporoze sergantys 36 – 84 metų vyrai, kurių dalis (n = 191) kartą per savaitę vartojo po 35 mg natrio rizedronato, duomenys. Visi pacientai papildomai vartojo kalcio ir vitamino D. </w:t>
      </w:r>
    </w:p>
    <w:p w14:paraId="5F050DCB" w14:textId="77777777" w:rsidR="00941804" w:rsidRPr="00C03483" w:rsidRDefault="00941804" w:rsidP="004D2419">
      <w:pPr>
        <w:rPr>
          <w:sz w:val="22"/>
        </w:rPr>
      </w:pPr>
      <w:r w:rsidRPr="00C03483">
        <w:rPr>
          <w:sz w:val="22"/>
        </w:rPr>
        <w:t>Po dviejų metų gydymo KMT padidėjimas nustatytas ne anksčiau kaip po 6 mėnesių nuo gydymo natrio rizedronatu pradžios. 2 metus kartą per savaitę vartotas 35 mg dozėmis natrio rizedronatas padidino, lyginant su kontroline grupe, vidutinį juosmens slankstelių, šlaunikaulio kaklelio, šlaunikaulio gūbrio ir bendrą šlaunikaulio mineralinį tankį (KMT). Šio tyrimo duomenys nuo lūžių apsaugančio veiksmingumo neparodė. Natrio rizedronato poveikis vyrų ir moterų kaulams (KMT didėjimui ir kaulų metabolizmo žymenų mažėjimui) yra panašus.</w:t>
      </w:r>
    </w:p>
    <w:p w14:paraId="5FEF1849" w14:textId="77777777" w:rsidR="00941804" w:rsidRPr="00C03483" w:rsidRDefault="00941804" w:rsidP="004D2419">
      <w:pPr>
        <w:rPr>
          <w:sz w:val="22"/>
          <w:highlight w:val="green"/>
        </w:rPr>
      </w:pPr>
    </w:p>
    <w:p w14:paraId="728385CD" w14:textId="77777777" w:rsidR="00941804" w:rsidRPr="004D2419" w:rsidRDefault="00941804" w:rsidP="00C03483">
      <w:pPr>
        <w:pStyle w:val="Pagrindinistekstas"/>
        <w:spacing w:after="0"/>
        <w:rPr>
          <w:u w:val="single"/>
        </w:rPr>
      </w:pPr>
      <w:r w:rsidRPr="004D2419">
        <w:rPr>
          <w:u w:val="single"/>
        </w:rPr>
        <w:t>Vaikų populiacija</w:t>
      </w:r>
    </w:p>
    <w:p w14:paraId="3AB10F25" w14:textId="77777777" w:rsidR="00941804" w:rsidRPr="00C03483" w:rsidRDefault="00941804" w:rsidP="004D2419">
      <w:pPr>
        <w:rPr>
          <w:sz w:val="22"/>
        </w:rPr>
      </w:pPr>
    </w:p>
    <w:p w14:paraId="359EDA14" w14:textId="77777777" w:rsidR="00941804" w:rsidRPr="00C03483" w:rsidRDefault="00941804" w:rsidP="004D2419">
      <w:pPr>
        <w:rPr>
          <w:sz w:val="22"/>
        </w:rPr>
      </w:pPr>
      <w:r w:rsidRPr="00C03483">
        <w:rPr>
          <w:sz w:val="22"/>
        </w:rPr>
        <w:t xml:space="preserve">Natrio rizedronato saugumo ir veiksmingumo 3 metų klinikinis tyrimas (atsitiktinių imčių, dvigubai aklo, placebu kontroliuojamo daugiacentrinio paralelinių grupių tyrimo vienerių metų trukmės fazė, po to 2 metų atvira tyrimo fazė), kuriame dalyvavo vaikai nuo 4 metų ir jaunesni kaip 16 metų , sergantys nebaigtine osteogeneze. Tyrimo metu pacientams, kurių kūno svoris buvo 10-30 kg, skirta rezidronato paros dozė buvo 2,5 mg, o sveriančių daugiau kaip 30 kg  - 5 mg paros dozė. </w:t>
      </w:r>
    </w:p>
    <w:p w14:paraId="2A2110BA" w14:textId="77777777" w:rsidR="00941804" w:rsidRPr="00C03483" w:rsidRDefault="00941804" w:rsidP="004D2419">
      <w:pPr>
        <w:rPr>
          <w:sz w:val="22"/>
        </w:rPr>
      </w:pPr>
      <w:r w:rsidRPr="00C03483">
        <w:rPr>
          <w:sz w:val="22"/>
        </w:rPr>
        <w:t>Užbaigus vienerius metus trukusią atsitiktinių imčių dvigubai aklu būdu atliktą placebu kontroliuojamąją tyrimo fazę, nustatytas statistiškai reikšmingas juosmens stuburo slankstelių KMT padidėjimas rizedronato grupėje, palyginti su placebo grupe. Vis dėlto rizedronato grupėje, palyginti su placebu, nustatyta daugiau atvejų, kai buvo rastas mažiausiai vienas naujo morfometrinio (diagnozuoto rentgenologiniu tyrimu) stuburo slankstelio lūžis. Vienerių metų dvigubai aklo tyrimo fazės metu pacientų, kuriems kliniškai nustatyti lūžimai, dažnis rizedronato grupėje buvo 30,9%, placebo grupėje – 49,0%.</w:t>
      </w:r>
    </w:p>
    <w:p w14:paraId="518B72C8" w14:textId="77777777" w:rsidR="00941804" w:rsidRPr="00C03483" w:rsidRDefault="00941804" w:rsidP="004D2419">
      <w:pPr>
        <w:rPr>
          <w:sz w:val="22"/>
        </w:rPr>
      </w:pPr>
      <w:r w:rsidRPr="00C03483">
        <w:rPr>
          <w:sz w:val="22"/>
        </w:rPr>
        <w:t>Atviros tyrimo fazės metu visi pacientai buvo gydomi rizedronatu (nuo 12 iki 36 mėnesio); kaulų lūžimų simptomai nustatyti 65,3% pacientų, kurie nuo tyrimo pradžios buvo atrinkti į placebo grupę ir 52,9% pacientų, kurie nuo pradžios buvo atrinkti į rizedronato grupę. Tyrimo duomenys nepatvirtino natrio rizedronato vartojimo vaikams, kuriems pasireiškia nebaigtinė osteogenezė, gydyti.</w:t>
      </w:r>
    </w:p>
    <w:p w14:paraId="6DBF39DF" w14:textId="77777777" w:rsidR="00941804" w:rsidRPr="00C03483" w:rsidRDefault="00941804" w:rsidP="004D2419">
      <w:pPr>
        <w:rPr>
          <w:sz w:val="22"/>
        </w:rPr>
      </w:pPr>
    </w:p>
    <w:p w14:paraId="5C1C0A55" w14:textId="77777777" w:rsidR="00941804" w:rsidRPr="00C03483" w:rsidRDefault="00941804" w:rsidP="004D2419">
      <w:pPr>
        <w:ind w:left="540" w:hanging="540"/>
        <w:rPr>
          <w:b/>
          <w:sz w:val="22"/>
        </w:rPr>
      </w:pPr>
      <w:bookmarkStart w:id="36" w:name="_Toc129243113"/>
      <w:bookmarkStart w:id="37" w:name="_Toc129243238"/>
      <w:r w:rsidRPr="00C03483">
        <w:rPr>
          <w:b/>
          <w:sz w:val="22"/>
        </w:rPr>
        <w:t>5.2</w:t>
      </w:r>
      <w:r w:rsidRPr="00C03483">
        <w:rPr>
          <w:b/>
          <w:sz w:val="22"/>
        </w:rPr>
        <w:tab/>
        <w:t>Farmakokinetinės savybės</w:t>
      </w:r>
      <w:bookmarkEnd w:id="36"/>
      <w:bookmarkEnd w:id="37"/>
    </w:p>
    <w:p w14:paraId="3AC5557E" w14:textId="77777777" w:rsidR="00941804" w:rsidRPr="00C03483" w:rsidRDefault="00941804" w:rsidP="004D2419">
      <w:pPr>
        <w:rPr>
          <w:sz w:val="22"/>
        </w:rPr>
      </w:pPr>
    </w:p>
    <w:p w14:paraId="3F6D8ADB" w14:textId="77777777" w:rsidR="00941804" w:rsidRPr="00C03483" w:rsidRDefault="00941804" w:rsidP="004D2419">
      <w:pPr>
        <w:rPr>
          <w:sz w:val="22"/>
          <w:u w:val="single"/>
        </w:rPr>
      </w:pPr>
      <w:r w:rsidRPr="00C03483">
        <w:rPr>
          <w:sz w:val="22"/>
          <w:u w:val="single"/>
        </w:rPr>
        <w:t>Absorbcija</w:t>
      </w:r>
    </w:p>
    <w:p w14:paraId="6874C35B" w14:textId="77777777" w:rsidR="00941804" w:rsidRPr="00C03483" w:rsidRDefault="00941804" w:rsidP="004D2419">
      <w:pPr>
        <w:rPr>
          <w:sz w:val="22"/>
        </w:rPr>
      </w:pPr>
      <w:r w:rsidRPr="00C03483">
        <w:rPr>
          <w:sz w:val="22"/>
        </w:rPr>
        <w:t>Išgertos dozės absorbcija santykinai greita (t</w:t>
      </w:r>
      <w:r w:rsidRPr="00C03483">
        <w:rPr>
          <w:sz w:val="22"/>
          <w:vertAlign w:val="subscript"/>
        </w:rPr>
        <w:t>max</w:t>
      </w:r>
      <w:r w:rsidRPr="00C03483">
        <w:rPr>
          <w:sz w:val="22"/>
        </w:rPr>
        <w:t xml:space="preserve"> atsiranda maždaug per 1 valandą) ir tirtų dozių diapazone nuo dozės nepriklausė (tirtos vienkartinės 2,5 - 30 mg diapazono, kartotinės 2,5 </w:t>
      </w:r>
      <w:r w:rsidRPr="00C03483">
        <w:rPr>
          <w:sz w:val="22"/>
        </w:rPr>
        <w:noBreakHyphen/>
        <w:t xml:space="preserve"> 5 mg diapazono paros dozės ir kartą per savaitę vartojamos ne didesnės kaip 50 mg dozės). Išgertų tablečių vidutinis biologinis prieinamumas yra 0,63 % ir būna mažesnis, jeigu natrio rizedronato vartojama valgant. Vyrų ir moterų organizme biologinis prieinamumas yra panašus.</w:t>
      </w:r>
    </w:p>
    <w:p w14:paraId="6277650E" w14:textId="77777777" w:rsidR="00941804" w:rsidRPr="00C03483" w:rsidRDefault="00941804" w:rsidP="004D2419">
      <w:pPr>
        <w:rPr>
          <w:sz w:val="22"/>
        </w:rPr>
      </w:pPr>
    </w:p>
    <w:p w14:paraId="196CB29D" w14:textId="77777777" w:rsidR="00941804" w:rsidRPr="00C03483" w:rsidRDefault="00941804" w:rsidP="004D2419">
      <w:pPr>
        <w:rPr>
          <w:sz w:val="22"/>
          <w:u w:val="single"/>
        </w:rPr>
      </w:pPr>
      <w:r w:rsidRPr="00C03483">
        <w:rPr>
          <w:sz w:val="22"/>
          <w:u w:val="single"/>
        </w:rPr>
        <w:t>Pasiskirstymas</w:t>
      </w:r>
    </w:p>
    <w:p w14:paraId="7A0CF36B" w14:textId="77777777" w:rsidR="00941804" w:rsidRPr="00C03483" w:rsidRDefault="00941804" w:rsidP="004D2419">
      <w:pPr>
        <w:rPr>
          <w:sz w:val="22"/>
        </w:rPr>
      </w:pPr>
      <w:r w:rsidRPr="00C03483">
        <w:rPr>
          <w:sz w:val="22"/>
        </w:rPr>
        <w:t>Nusistovėjus pusiausvyrinei koncentracijai vidutinis pasiskirstymo tūris žmogaus organizme yra 6,3 l/kg. Maždaug 24 % vaistinio preparato prisijungia prie plazmos baltymų.</w:t>
      </w:r>
    </w:p>
    <w:p w14:paraId="5DE34D86" w14:textId="77777777" w:rsidR="00941804" w:rsidRPr="00C03483" w:rsidRDefault="00941804" w:rsidP="004D2419">
      <w:pPr>
        <w:rPr>
          <w:sz w:val="22"/>
        </w:rPr>
      </w:pPr>
    </w:p>
    <w:p w14:paraId="7421FF0B" w14:textId="77777777" w:rsidR="00941804" w:rsidRPr="00C03483" w:rsidRDefault="00941804" w:rsidP="004D2419">
      <w:pPr>
        <w:rPr>
          <w:sz w:val="22"/>
          <w:u w:val="single"/>
        </w:rPr>
      </w:pPr>
      <w:r w:rsidRPr="00C03483">
        <w:rPr>
          <w:sz w:val="22"/>
          <w:u w:val="single"/>
        </w:rPr>
        <w:t>Biotransformacija</w:t>
      </w:r>
    </w:p>
    <w:p w14:paraId="57424261" w14:textId="77777777" w:rsidR="00941804" w:rsidRPr="00C03483" w:rsidRDefault="00941804" w:rsidP="004D2419">
      <w:pPr>
        <w:rPr>
          <w:sz w:val="22"/>
        </w:rPr>
      </w:pPr>
      <w:r w:rsidRPr="00C03483">
        <w:rPr>
          <w:sz w:val="22"/>
        </w:rPr>
        <w:t>Duomenų, rodančių sisteminį natrio rizedronato metabolizmą, nėra.</w:t>
      </w:r>
    </w:p>
    <w:p w14:paraId="23F966F8" w14:textId="77777777" w:rsidR="00941804" w:rsidRPr="00C03483" w:rsidRDefault="00941804" w:rsidP="004D2419">
      <w:pPr>
        <w:rPr>
          <w:sz w:val="22"/>
        </w:rPr>
      </w:pPr>
    </w:p>
    <w:p w14:paraId="31F008DE" w14:textId="77777777" w:rsidR="00941804" w:rsidRPr="00C03483" w:rsidRDefault="00941804" w:rsidP="004D2419">
      <w:pPr>
        <w:rPr>
          <w:sz w:val="22"/>
          <w:u w:val="single"/>
        </w:rPr>
      </w:pPr>
      <w:r w:rsidRPr="00C03483">
        <w:rPr>
          <w:sz w:val="22"/>
          <w:u w:val="single"/>
        </w:rPr>
        <w:t>Eliminacija</w:t>
      </w:r>
    </w:p>
    <w:p w14:paraId="6090FF25" w14:textId="77777777" w:rsidR="00941804" w:rsidRPr="00C03483" w:rsidRDefault="00941804" w:rsidP="004D2419">
      <w:pPr>
        <w:rPr>
          <w:sz w:val="22"/>
        </w:rPr>
      </w:pPr>
      <w:r w:rsidRPr="00C03483">
        <w:rPr>
          <w:sz w:val="22"/>
        </w:rPr>
        <w:t>Maždaug pusė absorbuotos dozės pasišalina su šlapimu per 24 valandas, o 85 % intraveninės dozės - per 28 paras. Vidutinis inkstų klirensas - 105 ml/min., vidutinis bendrasis klirensas - 122 ml/min., skirtumas greičiausiai atsiranda dėl adsorbcijos kauluose. Inkstų klirensas nuo koncentracijos nepriklauso, tarp inkstų klirenso ir kreatinino klirenso yra tiesinė priklausomybė. Neabsorbuotas natrio rizedronatas šalinamas nepakitusiu pavidalu su išmatomis. Išgerto vaisto koncentracijos kitimas rodo, kad jis šalinamas trimis fazėmis, galutinis pusinės eliminacijos periodas trunka 480 valandų.</w:t>
      </w:r>
    </w:p>
    <w:p w14:paraId="359907C2" w14:textId="77777777" w:rsidR="00941804" w:rsidRPr="00C03483" w:rsidRDefault="00941804" w:rsidP="004D2419">
      <w:pPr>
        <w:rPr>
          <w:sz w:val="22"/>
        </w:rPr>
      </w:pPr>
    </w:p>
    <w:p w14:paraId="4ACB64BC" w14:textId="77777777" w:rsidR="00941804" w:rsidRPr="004D2419" w:rsidRDefault="00941804" w:rsidP="00C03483">
      <w:pPr>
        <w:pStyle w:val="Pagrindinistekstas"/>
        <w:spacing w:after="0"/>
        <w:outlineLvl w:val="0"/>
        <w:rPr>
          <w:u w:val="single"/>
        </w:rPr>
      </w:pPr>
      <w:r w:rsidRPr="004D2419">
        <w:rPr>
          <w:u w:val="single"/>
        </w:rPr>
        <w:t>Ypatingos populiacijos</w:t>
      </w:r>
    </w:p>
    <w:p w14:paraId="77E4502B" w14:textId="77777777" w:rsidR="00941804" w:rsidRPr="004D2419" w:rsidRDefault="00941804" w:rsidP="00C03483">
      <w:pPr>
        <w:pStyle w:val="Pagrindinistekstas"/>
        <w:spacing w:after="0"/>
        <w:outlineLvl w:val="0"/>
        <w:rPr>
          <w:u w:val="single"/>
        </w:rPr>
      </w:pPr>
    </w:p>
    <w:p w14:paraId="0CE47397" w14:textId="77777777" w:rsidR="00941804" w:rsidRPr="004D2419" w:rsidRDefault="00941804" w:rsidP="00C03483">
      <w:pPr>
        <w:pStyle w:val="Pagrindinistekstas"/>
        <w:spacing w:after="0"/>
        <w:rPr>
          <w:i/>
        </w:rPr>
      </w:pPr>
      <w:r w:rsidRPr="004D2419">
        <w:t>Senyvi pacientai</w:t>
      </w:r>
    </w:p>
    <w:p w14:paraId="333325F9" w14:textId="77777777" w:rsidR="00941804" w:rsidRPr="004D2419" w:rsidRDefault="00941804" w:rsidP="00C03483">
      <w:pPr>
        <w:pStyle w:val="Pagrindinistekstas"/>
        <w:spacing w:after="0"/>
        <w:rPr>
          <w:i/>
        </w:rPr>
      </w:pPr>
      <w:r w:rsidRPr="004D2419">
        <w:t>Dozavimo koregavimas nereikalingas.</w:t>
      </w:r>
    </w:p>
    <w:p w14:paraId="4C448B30" w14:textId="77777777" w:rsidR="00941804" w:rsidRPr="004D2419" w:rsidRDefault="00941804" w:rsidP="00C03483">
      <w:pPr>
        <w:pStyle w:val="Pagrindinistekstas"/>
        <w:spacing w:after="0"/>
      </w:pPr>
    </w:p>
    <w:p w14:paraId="7C9C8015" w14:textId="77777777" w:rsidR="00941804" w:rsidRPr="004D2419" w:rsidRDefault="00941804" w:rsidP="00C03483">
      <w:pPr>
        <w:pStyle w:val="Pagrindinistekstas"/>
        <w:spacing w:after="0"/>
        <w:outlineLvl w:val="0"/>
        <w:rPr>
          <w:i/>
        </w:rPr>
      </w:pPr>
      <w:r w:rsidRPr="004D2419">
        <w:t>Pacientai, vartojantys acetilsalicilo rūgšties preparatus ar NVNU</w:t>
      </w:r>
    </w:p>
    <w:p w14:paraId="1AEAA90E" w14:textId="77777777" w:rsidR="00941804" w:rsidRPr="004D2419" w:rsidRDefault="00941804" w:rsidP="00C03483">
      <w:pPr>
        <w:pStyle w:val="Pagrindinistekstas"/>
        <w:spacing w:after="0"/>
        <w:outlineLvl w:val="0"/>
      </w:pPr>
      <w:r w:rsidRPr="004D2419">
        <w:t>Pacientams, kurie reguliariai (3 paras per savaitę ar dažniau)</w:t>
      </w:r>
      <w:r w:rsidRPr="004D2419">
        <w:rPr>
          <w:i/>
        </w:rPr>
        <w:t xml:space="preserve"> </w:t>
      </w:r>
      <w:r w:rsidRPr="004D2419">
        <w:t>vartojo acetilsalicilo rūgšties arba NVNU, viršutinės virškinimo trakto dalies nepageidaujamų reiškinių dažnis natrio rizedronatu gydomų pacientų grupėje ir kontrolinėje grupėje buvo panašus.</w:t>
      </w:r>
    </w:p>
    <w:p w14:paraId="376448A4" w14:textId="77777777" w:rsidR="00941804" w:rsidRPr="00C03483" w:rsidRDefault="00941804" w:rsidP="004D2419">
      <w:pPr>
        <w:rPr>
          <w:sz w:val="22"/>
        </w:rPr>
      </w:pPr>
    </w:p>
    <w:p w14:paraId="1D438B28" w14:textId="77777777" w:rsidR="00941804" w:rsidRPr="00C03483" w:rsidRDefault="00941804" w:rsidP="004D2419">
      <w:pPr>
        <w:ind w:left="540" w:hanging="540"/>
        <w:rPr>
          <w:b/>
          <w:sz w:val="22"/>
        </w:rPr>
      </w:pPr>
      <w:bookmarkStart w:id="38" w:name="_Toc129243114"/>
      <w:bookmarkStart w:id="39" w:name="_Toc129243239"/>
      <w:r w:rsidRPr="00C03483">
        <w:rPr>
          <w:b/>
          <w:sz w:val="22"/>
        </w:rPr>
        <w:t>5.3</w:t>
      </w:r>
      <w:r w:rsidRPr="00C03483">
        <w:rPr>
          <w:b/>
          <w:sz w:val="22"/>
        </w:rPr>
        <w:tab/>
        <w:t>Ikiklinikinių saugumo tyrimų duomenys</w:t>
      </w:r>
      <w:bookmarkEnd w:id="38"/>
      <w:bookmarkEnd w:id="39"/>
    </w:p>
    <w:p w14:paraId="433E2D43" w14:textId="77777777" w:rsidR="00941804" w:rsidRPr="00C03483" w:rsidRDefault="00941804" w:rsidP="004D2419">
      <w:pPr>
        <w:rPr>
          <w:sz w:val="22"/>
        </w:rPr>
      </w:pPr>
    </w:p>
    <w:p w14:paraId="435B31DD" w14:textId="77777777" w:rsidR="00941804" w:rsidRPr="00C03483" w:rsidRDefault="00941804" w:rsidP="004D2419">
      <w:pPr>
        <w:rPr>
          <w:sz w:val="22"/>
        </w:rPr>
      </w:pPr>
      <w:r w:rsidRPr="00C03483">
        <w:rPr>
          <w:sz w:val="22"/>
        </w:rPr>
        <w:t>Toksinio poveikio tyrimų su žiurkėmis ir šunimis duomenimis, natrio rizedronatas sukėlė nuo dozės priklausomą toksinį poveikį kepenims, visų pirma žiurkės kepenų fermentų aktyvumo padidėjimą ir histologinius pokyčius. Klinikinė šių reiškinių svarba nežinoma. Šunims bei žiurkėms, kurių organizme ekspozicija buvo gerokai didesnė, nei būna žmogui vartojant gydomąją dozę, pasireiškė toksinis poveikis sėklidėms. Tyrimų metu graužikams dažnai atsirasdavo nuo dozės priklausomas viršutinių kvėpavimo takų dirginimas. Panašus poveikis pastebėtas ir vartojant kitų bisfosfonatų. Ilgiau trukusių tyrimų su graužikais metu pasireiškė poveikis apatiniams kvėpavimo takams, tačiau tokio poveikio klinikinė reikšmė neaiški. Toksinio poveikio dauginimuisi tyrimais nustatyta, kad, esant panašiai ekspozicijai, kuri būna žmogui vartojant gydomąją dozę, žiurkių vaisiams atsirado krūtinkaulio ir (arba) kaukolės kaulėjimo pokyčių. Vaikingų patelių, kurioms buvo leista vaikuotis, atsivestiems jaunikliams nustatyta hipokalcemija bei padidėjęs krintamumas. Duodant 3,2 mg/kg kūno svorio paros dozę žiurkių patelėms ir 10 mg/kg kūno svorio paros dozę triušių patelėms, teratogeninio poveikio nenustatyta, tačiau turima duomenų tik apie nedidelį skaičių triušių. Ištirti didesnių dozių poveikį dauginimuisi sutrukdė toksinis poveikis vaikingoms patelėms. Genotoksinio ir kancerogeninio poveikio tyrimais jokios ypatingos rizikos žmogui nenustatyta.</w:t>
      </w:r>
    </w:p>
    <w:p w14:paraId="1C94D2EA" w14:textId="77777777" w:rsidR="00941804" w:rsidRPr="00C03483" w:rsidRDefault="00941804" w:rsidP="004D2419">
      <w:pPr>
        <w:rPr>
          <w:sz w:val="22"/>
        </w:rPr>
      </w:pPr>
    </w:p>
    <w:p w14:paraId="146C1681" w14:textId="77777777" w:rsidR="00941804" w:rsidRPr="00C03483" w:rsidRDefault="00941804" w:rsidP="004D2419">
      <w:pPr>
        <w:rPr>
          <w:sz w:val="22"/>
        </w:rPr>
      </w:pPr>
    </w:p>
    <w:p w14:paraId="11A80EE2" w14:textId="77777777" w:rsidR="00941804" w:rsidRPr="00C03483" w:rsidRDefault="00941804" w:rsidP="004D2419">
      <w:pPr>
        <w:ind w:left="540" w:hanging="540"/>
        <w:rPr>
          <w:b/>
          <w:sz w:val="22"/>
        </w:rPr>
      </w:pPr>
      <w:bookmarkStart w:id="40" w:name="_Toc129243115"/>
      <w:bookmarkStart w:id="41" w:name="_Toc129243240"/>
      <w:r w:rsidRPr="00C03483">
        <w:rPr>
          <w:b/>
          <w:sz w:val="22"/>
        </w:rPr>
        <w:t>6.</w:t>
      </w:r>
      <w:r w:rsidRPr="00C03483">
        <w:rPr>
          <w:b/>
          <w:sz w:val="22"/>
        </w:rPr>
        <w:tab/>
        <w:t>FARMACINĖ INFORMACIJA</w:t>
      </w:r>
      <w:bookmarkEnd w:id="40"/>
      <w:bookmarkEnd w:id="41"/>
    </w:p>
    <w:p w14:paraId="774FBA88" w14:textId="77777777" w:rsidR="00941804" w:rsidRPr="00C03483" w:rsidRDefault="00941804" w:rsidP="004D2419">
      <w:pPr>
        <w:rPr>
          <w:sz w:val="22"/>
        </w:rPr>
      </w:pPr>
    </w:p>
    <w:p w14:paraId="48B3E9B8" w14:textId="77777777" w:rsidR="00941804" w:rsidRPr="00C03483" w:rsidRDefault="00941804" w:rsidP="004D2419">
      <w:pPr>
        <w:ind w:left="540" w:hanging="540"/>
        <w:rPr>
          <w:b/>
          <w:sz w:val="22"/>
        </w:rPr>
      </w:pPr>
      <w:bookmarkStart w:id="42" w:name="_Toc129243116"/>
      <w:bookmarkStart w:id="43" w:name="_Toc129243241"/>
      <w:r w:rsidRPr="00C03483">
        <w:rPr>
          <w:b/>
          <w:sz w:val="22"/>
        </w:rPr>
        <w:t>6.1</w:t>
      </w:r>
      <w:r w:rsidRPr="00C03483">
        <w:rPr>
          <w:b/>
          <w:sz w:val="22"/>
        </w:rPr>
        <w:tab/>
        <w:t>Pagalbinių medžiagų sąrašas</w:t>
      </w:r>
      <w:bookmarkEnd w:id="42"/>
      <w:bookmarkEnd w:id="43"/>
    </w:p>
    <w:p w14:paraId="391A0A7E" w14:textId="77777777" w:rsidR="00941804" w:rsidRPr="00C03483" w:rsidRDefault="00941804" w:rsidP="004D2419">
      <w:pPr>
        <w:rPr>
          <w:sz w:val="22"/>
        </w:rPr>
      </w:pPr>
    </w:p>
    <w:p w14:paraId="371144AA" w14:textId="77777777" w:rsidR="00941804" w:rsidRPr="00C03483" w:rsidRDefault="00941804" w:rsidP="004D2419">
      <w:pPr>
        <w:rPr>
          <w:i/>
          <w:sz w:val="22"/>
        </w:rPr>
      </w:pPr>
      <w:r w:rsidRPr="00C03483">
        <w:rPr>
          <w:i/>
          <w:sz w:val="22"/>
        </w:rPr>
        <w:t>Tabletės šerdis</w:t>
      </w:r>
    </w:p>
    <w:p w14:paraId="2C83ECC6" w14:textId="77777777" w:rsidR="00941804" w:rsidRPr="00C03483" w:rsidRDefault="00941804" w:rsidP="004D2419">
      <w:pPr>
        <w:rPr>
          <w:sz w:val="22"/>
        </w:rPr>
      </w:pPr>
      <w:r w:rsidRPr="00C03483">
        <w:rPr>
          <w:sz w:val="22"/>
        </w:rPr>
        <w:t>Laktozė monohidratas</w:t>
      </w:r>
    </w:p>
    <w:p w14:paraId="5C1F388D" w14:textId="77777777" w:rsidR="00941804" w:rsidRPr="00C03483" w:rsidRDefault="00941804" w:rsidP="004D2419">
      <w:pPr>
        <w:rPr>
          <w:sz w:val="22"/>
        </w:rPr>
      </w:pPr>
      <w:r w:rsidRPr="00C03483">
        <w:rPr>
          <w:sz w:val="22"/>
        </w:rPr>
        <w:t>Kukurūzų krakmolas</w:t>
      </w:r>
    </w:p>
    <w:p w14:paraId="34C96425" w14:textId="77777777" w:rsidR="00941804" w:rsidRPr="00C03483" w:rsidRDefault="00941804" w:rsidP="004D2419">
      <w:pPr>
        <w:rPr>
          <w:sz w:val="22"/>
        </w:rPr>
      </w:pPr>
      <w:r w:rsidRPr="00C03483">
        <w:rPr>
          <w:sz w:val="22"/>
        </w:rPr>
        <w:t>Pregelifikuotas kukurūzų krakmolas</w:t>
      </w:r>
    </w:p>
    <w:p w14:paraId="2D13C100" w14:textId="77777777" w:rsidR="00941804" w:rsidRPr="00C03483" w:rsidRDefault="00941804" w:rsidP="004D2419">
      <w:pPr>
        <w:rPr>
          <w:sz w:val="22"/>
        </w:rPr>
      </w:pPr>
      <w:r w:rsidRPr="00C03483">
        <w:rPr>
          <w:sz w:val="22"/>
        </w:rPr>
        <w:t>Bevandenis koloidinis silicio dioksidas</w:t>
      </w:r>
    </w:p>
    <w:p w14:paraId="69DFE381" w14:textId="77777777" w:rsidR="00941804" w:rsidRPr="00C03483" w:rsidRDefault="00941804" w:rsidP="004D2419">
      <w:pPr>
        <w:rPr>
          <w:sz w:val="22"/>
        </w:rPr>
      </w:pPr>
      <w:r w:rsidRPr="00C03483">
        <w:rPr>
          <w:sz w:val="22"/>
        </w:rPr>
        <w:t>Natrio stearilfumaratas</w:t>
      </w:r>
    </w:p>
    <w:p w14:paraId="4D27C925" w14:textId="77777777" w:rsidR="00941804" w:rsidRPr="00C03483" w:rsidRDefault="00941804" w:rsidP="004D2419">
      <w:pPr>
        <w:rPr>
          <w:sz w:val="22"/>
        </w:rPr>
      </w:pPr>
      <w:r w:rsidRPr="00C03483">
        <w:rPr>
          <w:sz w:val="22"/>
        </w:rPr>
        <w:t>Magnio stearatas</w:t>
      </w:r>
    </w:p>
    <w:p w14:paraId="0A5C5EE5" w14:textId="77777777" w:rsidR="00941804" w:rsidRPr="00C03483" w:rsidRDefault="00941804" w:rsidP="004D2419">
      <w:pPr>
        <w:rPr>
          <w:sz w:val="22"/>
        </w:rPr>
      </w:pPr>
    </w:p>
    <w:p w14:paraId="14B1317D" w14:textId="77777777" w:rsidR="00941804" w:rsidRPr="00C03483" w:rsidRDefault="00941804" w:rsidP="004D2419">
      <w:pPr>
        <w:rPr>
          <w:i/>
          <w:sz w:val="22"/>
        </w:rPr>
      </w:pPr>
      <w:r w:rsidRPr="00C03483">
        <w:rPr>
          <w:i/>
          <w:sz w:val="22"/>
        </w:rPr>
        <w:t>Tabletės plėvelė</w:t>
      </w:r>
    </w:p>
    <w:p w14:paraId="6CC44806" w14:textId="77777777" w:rsidR="00C03483" w:rsidRDefault="00691557" w:rsidP="004D2419">
      <w:pPr>
        <w:rPr>
          <w:sz w:val="22"/>
          <w:szCs w:val="22"/>
        </w:rPr>
      </w:pPr>
      <w:r>
        <w:rPr>
          <w:sz w:val="22"/>
          <w:szCs w:val="22"/>
        </w:rPr>
        <w:t>Polivinilo alkoholis</w:t>
      </w:r>
    </w:p>
    <w:p w14:paraId="410BF030" w14:textId="77777777" w:rsidR="00941804" w:rsidRPr="00C03483" w:rsidRDefault="00941804" w:rsidP="004D2419">
      <w:pPr>
        <w:rPr>
          <w:sz w:val="22"/>
        </w:rPr>
      </w:pPr>
      <w:r w:rsidRPr="0039042E">
        <w:rPr>
          <w:sz w:val="22"/>
          <w:szCs w:val="22"/>
        </w:rPr>
        <w:t>Titano</w:t>
      </w:r>
      <w:r w:rsidRPr="00C03483">
        <w:rPr>
          <w:sz w:val="22"/>
        </w:rPr>
        <w:t xml:space="preserve"> dioksidas (E171)</w:t>
      </w:r>
    </w:p>
    <w:p w14:paraId="020A2B65" w14:textId="77777777" w:rsidR="00941804" w:rsidRPr="00C03483" w:rsidRDefault="00941804" w:rsidP="004D2419">
      <w:pPr>
        <w:rPr>
          <w:sz w:val="22"/>
        </w:rPr>
      </w:pPr>
      <w:r w:rsidRPr="00C03483">
        <w:rPr>
          <w:sz w:val="22"/>
        </w:rPr>
        <w:t>Makrogolis</w:t>
      </w:r>
    </w:p>
    <w:p w14:paraId="5B2F7FE1" w14:textId="77777777" w:rsidR="00691557" w:rsidRPr="0039042E" w:rsidRDefault="00691557" w:rsidP="00941804">
      <w:pPr>
        <w:rPr>
          <w:sz w:val="22"/>
          <w:szCs w:val="22"/>
        </w:rPr>
      </w:pPr>
      <w:r>
        <w:rPr>
          <w:sz w:val="22"/>
          <w:szCs w:val="22"/>
        </w:rPr>
        <w:t>Talkas</w:t>
      </w:r>
    </w:p>
    <w:p w14:paraId="4849D1CD" w14:textId="77777777" w:rsidR="00941804" w:rsidRPr="00C03483" w:rsidRDefault="00941804" w:rsidP="004D2419">
      <w:pPr>
        <w:rPr>
          <w:sz w:val="22"/>
        </w:rPr>
      </w:pPr>
      <w:r w:rsidRPr="00C03483">
        <w:rPr>
          <w:sz w:val="22"/>
        </w:rPr>
        <w:t>Geltonasis geležies oksidas (E172)</w:t>
      </w:r>
    </w:p>
    <w:p w14:paraId="53028801" w14:textId="77777777" w:rsidR="00941804" w:rsidRPr="00C03483" w:rsidRDefault="00941804" w:rsidP="004D2419">
      <w:pPr>
        <w:rPr>
          <w:sz w:val="22"/>
        </w:rPr>
      </w:pPr>
      <w:r w:rsidRPr="00C03483">
        <w:rPr>
          <w:sz w:val="22"/>
        </w:rPr>
        <w:t>Raudonasis geležies oksidas (E172)</w:t>
      </w:r>
    </w:p>
    <w:p w14:paraId="232862BC" w14:textId="77777777" w:rsidR="00941804" w:rsidRPr="00C03483" w:rsidRDefault="00941804" w:rsidP="004D2419">
      <w:pPr>
        <w:rPr>
          <w:sz w:val="22"/>
        </w:rPr>
      </w:pPr>
    </w:p>
    <w:p w14:paraId="5F608E00" w14:textId="77777777" w:rsidR="00941804" w:rsidRPr="00C03483" w:rsidRDefault="00941804" w:rsidP="004D2419">
      <w:pPr>
        <w:ind w:left="540" w:hanging="540"/>
        <w:rPr>
          <w:b/>
          <w:sz w:val="22"/>
        </w:rPr>
      </w:pPr>
      <w:bookmarkStart w:id="44" w:name="_Toc129243117"/>
      <w:bookmarkStart w:id="45" w:name="_Toc129243242"/>
      <w:r w:rsidRPr="00C03483">
        <w:rPr>
          <w:b/>
          <w:sz w:val="22"/>
        </w:rPr>
        <w:t>6.2</w:t>
      </w:r>
      <w:r w:rsidRPr="00C03483">
        <w:rPr>
          <w:b/>
          <w:sz w:val="22"/>
        </w:rPr>
        <w:tab/>
        <w:t>Nesuderinamumas</w:t>
      </w:r>
      <w:bookmarkEnd w:id="44"/>
      <w:bookmarkEnd w:id="45"/>
    </w:p>
    <w:p w14:paraId="16348FB0" w14:textId="77777777" w:rsidR="00941804" w:rsidRPr="00C03483" w:rsidRDefault="00941804" w:rsidP="004D2419">
      <w:pPr>
        <w:rPr>
          <w:sz w:val="22"/>
        </w:rPr>
      </w:pPr>
    </w:p>
    <w:p w14:paraId="797905D0" w14:textId="77777777" w:rsidR="00941804" w:rsidRPr="00C03483" w:rsidRDefault="00941804" w:rsidP="004D2419">
      <w:pPr>
        <w:rPr>
          <w:sz w:val="22"/>
        </w:rPr>
      </w:pPr>
      <w:r w:rsidRPr="00C03483">
        <w:rPr>
          <w:sz w:val="22"/>
        </w:rPr>
        <w:t>Duomenys nebūtini.</w:t>
      </w:r>
    </w:p>
    <w:p w14:paraId="32E0E337" w14:textId="77777777" w:rsidR="00941804" w:rsidRPr="00C03483" w:rsidRDefault="00941804" w:rsidP="004D2419">
      <w:pPr>
        <w:rPr>
          <w:sz w:val="22"/>
        </w:rPr>
      </w:pPr>
    </w:p>
    <w:p w14:paraId="7879891F" w14:textId="77777777" w:rsidR="00941804" w:rsidRPr="00C03483" w:rsidRDefault="00941804" w:rsidP="004D2419">
      <w:pPr>
        <w:ind w:left="540" w:hanging="540"/>
        <w:rPr>
          <w:b/>
          <w:sz w:val="22"/>
        </w:rPr>
      </w:pPr>
      <w:bookmarkStart w:id="46" w:name="_Toc129243118"/>
      <w:bookmarkStart w:id="47" w:name="_Toc129243243"/>
      <w:r w:rsidRPr="00C03483">
        <w:rPr>
          <w:b/>
          <w:sz w:val="22"/>
        </w:rPr>
        <w:t>6.3</w:t>
      </w:r>
      <w:r w:rsidRPr="00C03483">
        <w:rPr>
          <w:b/>
          <w:sz w:val="22"/>
        </w:rPr>
        <w:tab/>
        <w:t>Tinkamumo laikas</w:t>
      </w:r>
      <w:bookmarkEnd w:id="46"/>
      <w:bookmarkEnd w:id="47"/>
    </w:p>
    <w:p w14:paraId="698E69CA" w14:textId="77777777" w:rsidR="00941804" w:rsidRPr="00C03483" w:rsidRDefault="00941804" w:rsidP="004D2419">
      <w:pPr>
        <w:rPr>
          <w:sz w:val="22"/>
        </w:rPr>
      </w:pPr>
    </w:p>
    <w:p w14:paraId="177D4A38" w14:textId="77777777" w:rsidR="00941804" w:rsidRPr="00C03483" w:rsidRDefault="00941804" w:rsidP="004D2419">
      <w:pPr>
        <w:rPr>
          <w:sz w:val="22"/>
        </w:rPr>
      </w:pPr>
      <w:r w:rsidRPr="00C03483">
        <w:rPr>
          <w:sz w:val="22"/>
        </w:rPr>
        <w:t>3 metai.</w:t>
      </w:r>
    </w:p>
    <w:p w14:paraId="3C950609" w14:textId="77777777" w:rsidR="00941804" w:rsidRPr="00C03483" w:rsidRDefault="00941804" w:rsidP="004D2419">
      <w:pPr>
        <w:rPr>
          <w:sz w:val="22"/>
        </w:rPr>
      </w:pPr>
    </w:p>
    <w:p w14:paraId="3C1549E2" w14:textId="77777777" w:rsidR="00941804" w:rsidRPr="00C03483" w:rsidRDefault="00941804" w:rsidP="004D2419">
      <w:pPr>
        <w:ind w:left="540" w:hanging="540"/>
        <w:rPr>
          <w:b/>
          <w:sz w:val="22"/>
        </w:rPr>
      </w:pPr>
      <w:bookmarkStart w:id="48" w:name="_Toc129243119"/>
      <w:bookmarkStart w:id="49" w:name="_Toc129243244"/>
      <w:r w:rsidRPr="00C03483">
        <w:rPr>
          <w:b/>
          <w:sz w:val="22"/>
        </w:rPr>
        <w:t>6.4</w:t>
      </w:r>
      <w:r w:rsidRPr="00C03483">
        <w:rPr>
          <w:b/>
          <w:sz w:val="22"/>
        </w:rPr>
        <w:tab/>
        <w:t>Specialios laikymo sąlygos</w:t>
      </w:r>
      <w:bookmarkEnd w:id="48"/>
      <w:bookmarkEnd w:id="49"/>
    </w:p>
    <w:p w14:paraId="17C028F0" w14:textId="77777777" w:rsidR="00941804" w:rsidRPr="00C03483" w:rsidRDefault="00941804" w:rsidP="004D2419">
      <w:pPr>
        <w:rPr>
          <w:sz w:val="22"/>
        </w:rPr>
      </w:pPr>
    </w:p>
    <w:p w14:paraId="41EF3DC1" w14:textId="77777777" w:rsidR="00941804" w:rsidRPr="00C03483" w:rsidRDefault="00941804" w:rsidP="004D2419">
      <w:pPr>
        <w:rPr>
          <w:sz w:val="22"/>
        </w:rPr>
      </w:pPr>
      <w:r w:rsidRPr="00C03483">
        <w:rPr>
          <w:sz w:val="22"/>
        </w:rPr>
        <w:t>Šiam vaistiniam preparatui specialių laikymo sąlygų nereikia.</w:t>
      </w:r>
    </w:p>
    <w:p w14:paraId="1220E24B" w14:textId="77777777" w:rsidR="00941804" w:rsidRPr="00C03483" w:rsidRDefault="00941804" w:rsidP="004D2419">
      <w:pPr>
        <w:rPr>
          <w:sz w:val="22"/>
        </w:rPr>
      </w:pPr>
    </w:p>
    <w:p w14:paraId="12960E2C" w14:textId="77777777" w:rsidR="00941804" w:rsidRPr="00C03483" w:rsidRDefault="00941804" w:rsidP="004D2419">
      <w:pPr>
        <w:ind w:left="540" w:hanging="540"/>
        <w:rPr>
          <w:b/>
          <w:sz w:val="22"/>
        </w:rPr>
      </w:pPr>
      <w:bookmarkStart w:id="50" w:name="_Toc129243120"/>
      <w:bookmarkStart w:id="51" w:name="_Toc129243245"/>
      <w:r w:rsidRPr="00C03483">
        <w:rPr>
          <w:b/>
          <w:sz w:val="22"/>
        </w:rPr>
        <w:t>6.5</w:t>
      </w:r>
      <w:r w:rsidRPr="00C03483">
        <w:rPr>
          <w:b/>
          <w:sz w:val="22"/>
        </w:rPr>
        <w:tab/>
        <w:t>Talpyklės pobūdis ir jos turinys</w:t>
      </w:r>
      <w:bookmarkEnd w:id="50"/>
      <w:bookmarkEnd w:id="51"/>
    </w:p>
    <w:p w14:paraId="21AA66EF" w14:textId="77777777" w:rsidR="00941804" w:rsidRPr="00C03483" w:rsidRDefault="00941804" w:rsidP="004D2419">
      <w:pPr>
        <w:rPr>
          <w:sz w:val="22"/>
        </w:rPr>
      </w:pPr>
    </w:p>
    <w:p w14:paraId="213B941A" w14:textId="77777777" w:rsidR="00941804" w:rsidRPr="00C03483" w:rsidRDefault="00941804" w:rsidP="004D2419">
      <w:pPr>
        <w:rPr>
          <w:sz w:val="22"/>
        </w:rPr>
      </w:pPr>
      <w:r w:rsidRPr="00C03483">
        <w:rPr>
          <w:sz w:val="22"/>
        </w:rPr>
        <w:t>Skaidrios PVC/PVdC-aliuminio lizdinės plokštelės kartono dėžutėje.</w:t>
      </w:r>
    </w:p>
    <w:p w14:paraId="05AD628B" w14:textId="77777777" w:rsidR="00941804" w:rsidRPr="00C03483" w:rsidRDefault="00941804" w:rsidP="004D2419">
      <w:pPr>
        <w:rPr>
          <w:sz w:val="22"/>
        </w:rPr>
      </w:pPr>
      <w:r w:rsidRPr="00C03483">
        <w:rPr>
          <w:sz w:val="22"/>
        </w:rPr>
        <w:t>Dėžutėje lizdinėse plokštelėse yra 1, 2, 4, 8, 10, 12, 12 (3x4), 14, 16, 16 (4x4) ar 30 tablečių.</w:t>
      </w:r>
    </w:p>
    <w:p w14:paraId="67AA31B4" w14:textId="77777777" w:rsidR="00941804" w:rsidRPr="00C03483" w:rsidRDefault="00941804" w:rsidP="004D2419">
      <w:pPr>
        <w:rPr>
          <w:sz w:val="22"/>
        </w:rPr>
      </w:pPr>
      <w:r w:rsidRPr="00C03483">
        <w:rPr>
          <w:sz w:val="22"/>
        </w:rPr>
        <w:t>Pakuotėje gydymo įstaigai yra 4 (4x1), 10 (10x1) ar 50 (50x1) tablečių.</w:t>
      </w:r>
    </w:p>
    <w:p w14:paraId="0741C3F9" w14:textId="77777777" w:rsidR="00941804" w:rsidRPr="00C03483" w:rsidRDefault="00941804" w:rsidP="004D2419">
      <w:pPr>
        <w:rPr>
          <w:sz w:val="22"/>
        </w:rPr>
      </w:pPr>
      <w:r w:rsidRPr="00C03483">
        <w:rPr>
          <w:sz w:val="22"/>
        </w:rPr>
        <w:t>Gali būti tiekiamos ne visų dydžių pakuotės.</w:t>
      </w:r>
    </w:p>
    <w:p w14:paraId="0107EB6C" w14:textId="77777777" w:rsidR="00941804" w:rsidRPr="00C03483" w:rsidRDefault="00941804" w:rsidP="004D2419">
      <w:pPr>
        <w:rPr>
          <w:sz w:val="22"/>
        </w:rPr>
      </w:pPr>
    </w:p>
    <w:p w14:paraId="27DF380C" w14:textId="77777777" w:rsidR="00941804" w:rsidRPr="00C03483" w:rsidRDefault="00941804" w:rsidP="004D2419">
      <w:pPr>
        <w:ind w:left="540" w:hanging="540"/>
        <w:rPr>
          <w:b/>
          <w:sz w:val="22"/>
        </w:rPr>
      </w:pPr>
      <w:bookmarkStart w:id="52" w:name="_Toc129243121"/>
      <w:bookmarkStart w:id="53" w:name="_Toc129243246"/>
      <w:r w:rsidRPr="00C03483">
        <w:rPr>
          <w:b/>
          <w:sz w:val="22"/>
        </w:rPr>
        <w:t>6.6</w:t>
      </w:r>
      <w:r w:rsidRPr="00C03483">
        <w:rPr>
          <w:b/>
          <w:sz w:val="22"/>
        </w:rPr>
        <w:tab/>
        <w:t>Specialūs reikalavimai atliekoms tvarkyti</w:t>
      </w:r>
      <w:bookmarkEnd w:id="52"/>
      <w:bookmarkEnd w:id="53"/>
    </w:p>
    <w:p w14:paraId="3975E579" w14:textId="77777777" w:rsidR="00941804" w:rsidRPr="00C03483" w:rsidRDefault="00941804" w:rsidP="004D2419">
      <w:pPr>
        <w:rPr>
          <w:sz w:val="22"/>
        </w:rPr>
      </w:pPr>
    </w:p>
    <w:p w14:paraId="7AF13260" w14:textId="77777777" w:rsidR="00941804" w:rsidRPr="00C03483" w:rsidRDefault="00941804" w:rsidP="004D2419">
      <w:pPr>
        <w:rPr>
          <w:sz w:val="22"/>
        </w:rPr>
      </w:pPr>
      <w:r w:rsidRPr="00C03483">
        <w:rPr>
          <w:sz w:val="22"/>
        </w:rPr>
        <w:t>Nesuvartotą vaistinį preparatą ar atliekas reikia tvarkyti laikantis vietinių reikalavimų.</w:t>
      </w:r>
    </w:p>
    <w:p w14:paraId="1226861D" w14:textId="77777777" w:rsidR="00941804" w:rsidRPr="00C03483" w:rsidRDefault="00941804" w:rsidP="004D2419">
      <w:pPr>
        <w:rPr>
          <w:sz w:val="22"/>
        </w:rPr>
      </w:pPr>
    </w:p>
    <w:p w14:paraId="6AF3B61D" w14:textId="77777777" w:rsidR="00941804" w:rsidRPr="00C03483" w:rsidRDefault="00941804" w:rsidP="004D2419">
      <w:pPr>
        <w:rPr>
          <w:sz w:val="22"/>
        </w:rPr>
      </w:pPr>
    </w:p>
    <w:p w14:paraId="229E5D7D" w14:textId="77777777" w:rsidR="00941804" w:rsidRPr="00C03483" w:rsidRDefault="00941804" w:rsidP="004D2419">
      <w:pPr>
        <w:ind w:left="540" w:hanging="540"/>
        <w:rPr>
          <w:b/>
          <w:sz w:val="22"/>
        </w:rPr>
      </w:pPr>
      <w:bookmarkStart w:id="54" w:name="_Toc129243122"/>
      <w:bookmarkStart w:id="55" w:name="_Toc129243247"/>
      <w:r w:rsidRPr="00C03483">
        <w:rPr>
          <w:b/>
          <w:sz w:val="22"/>
        </w:rPr>
        <w:t>7.</w:t>
      </w:r>
      <w:r w:rsidRPr="00C03483">
        <w:rPr>
          <w:b/>
          <w:sz w:val="22"/>
        </w:rPr>
        <w:tab/>
      </w:r>
      <w:bookmarkEnd w:id="54"/>
      <w:bookmarkEnd w:id="55"/>
      <w:r w:rsidRPr="00C03483">
        <w:rPr>
          <w:b/>
          <w:sz w:val="22"/>
        </w:rPr>
        <w:t>REGISTRUOTOJAS</w:t>
      </w:r>
    </w:p>
    <w:p w14:paraId="30754E11" w14:textId="77777777" w:rsidR="00941804" w:rsidRPr="00C03483" w:rsidRDefault="00941804" w:rsidP="004D2419">
      <w:pPr>
        <w:rPr>
          <w:sz w:val="22"/>
        </w:rPr>
      </w:pPr>
    </w:p>
    <w:p w14:paraId="1F40AADC" w14:textId="77777777" w:rsidR="00941804" w:rsidRPr="00C03483" w:rsidRDefault="00941804" w:rsidP="004D2419">
      <w:pPr>
        <w:tabs>
          <w:tab w:val="left" w:pos="540"/>
        </w:tabs>
        <w:rPr>
          <w:sz w:val="22"/>
        </w:rPr>
      </w:pPr>
      <w:r w:rsidRPr="00C03483">
        <w:rPr>
          <w:sz w:val="22"/>
        </w:rPr>
        <w:t>Teva Pharma B.V.</w:t>
      </w:r>
    </w:p>
    <w:p w14:paraId="0EE774BE" w14:textId="77777777" w:rsidR="00941804" w:rsidRPr="00C03483" w:rsidRDefault="00941804" w:rsidP="004D2419">
      <w:pPr>
        <w:tabs>
          <w:tab w:val="left" w:pos="540"/>
        </w:tabs>
        <w:rPr>
          <w:sz w:val="22"/>
        </w:rPr>
      </w:pPr>
      <w:r w:rsidRPr="00C03483">
        <w:rPr>
          <w:sz w:val="22"/>
        </w:rPr>
        <w:t>Swensweg 5</w:t>
      </w:r>
    </w:p>
    <w:p w14:paraId="6076670D" w14:textId="77777777" w:rsidR="00941804" w:rsidRPr="00C03483" w:rsidRDefault="00941804" w:rsidP="004D2419">
      <w:pPr>
        <w:tabs>
          <w:tab w:val="left" w:pos="540"/>
        </w:tabs>
        <w:rPr>
          <w:sz w:val="22"/>
        </w:rPr>
      </w:pPr>
      <w:r w:rsidRPr="00C03483">
        <w:rPr>
          <w:sz w:val="22"/>
        </w:rPr>
        <w:t>2031 GA Haarlem</w:t>
      </w:r>
    </w:p>
    <w:p w14:paraId="395C493F" w14:textId="77777777" w:rsidR="00941804" w:rsidRPr="00C03483" w:rsidRDefault="00941804" w:rsidP="004D2419">
      <w:pPr>
        <w:tabs>
          <w:tab w:val="left" w:pos="540"/>
        </w:tabs>
        <w:rPr>
          <w:sz w:val="22"/>
        </w:rPr>
      </w:pPr>
      <w:r w:rsidRPr="00C03483">
        <w:rPr>
          <w:sz w:val="22"/>
        </w:rPr>
        <w:t>Nyderlandai</w:t>
      </w:r>
    </w:p>
    <w:p w14:paraId="2472C277" w14:textId="77777777" w:rsidR="00941804" w:rsidRPr="00C03483" w:rsidRDefault="00941804" w:rsidP="004D2419">
      <w:pPr>
        <w:rPr>
          <w:sz w:val="22"/>
        </w:rPr>
      </w:pPr>
    </w:p>
    <w:p w14:paraId="619B1B22" w14:textId="77777777" w:rsidR="00941804" w:rsidRPr="00C03483" w:rsidRDefault="00941804" w:rsidP="004D2419">
      <w:pPr>
        <w:rPr>
          <w:sz w:val="22"/>
        </w:rPr>
      </w:pPr>
    </w:p>
    <w:p w14:paraId="166CC145" w14:textId="77777777" w:rsidR="00941804" w:rsidRPr="00C03483" w:rsidRDefault="00941804" w:rsidP="004D2419">
      <w:pPr>
        <w:ind w:left="540" w:hanging="540"/>
        <w:rPr>
          <w:b/>
          <w:sz w:val="22"/>
        </w:rPr>
      </w:pPr>
      <w:bookmarkStart w:id="56" w:name="_Toc129243123"/>
      <w:bookmarkStart w:id="57" w:name="_Toc129243248"/>
      <w:r w:rsidRPr="00C03483">
        <w:rPr>
          <w:b/>
          <w:sz w:val="22"/>
        </w:rPr>
        <w:t>8.</w:t>
      </w:r>
      <w:r w:rsidRPr="00C03483">
        <w:rPr>
          <w:b/>
          <w:sz w:val="22"/>
        </w:rPr>
        <w:tab/>
        <w:t>REGISTRACIJOS PAŽYMĖJIMO NUMERIS</w:t>
      </w:r>
      <w:bookmarkEnd w:id="56"/>
      <w:bookmarkEnd w:id="57"/>
      <w:r w:rsidRPr="00C03483">
        <w:rPr>
          <w:b/>
          <w:sz w:val="22"/>
        </w:rPr>
        <w:t xml:space="preserve"> (-IAI)</w:t>
      </w:r>
    </w:p>
    <w:p w14:paraId="653F2657" w14:textId="77777777" w:rsidR="00941804" w:rsidRPr="00C03483" w:rsidRDefault="00941804" w:rsidP="004D2419">
      <w:pPr>
        <w:rPr>
          <w:sz w:val="22"/>
        </w:rPr>
      </w:pPr>
    </w:p>
    <w:p w14:paraId="42AED33D" w14:textId="77777777" w:rsidR="00941804" w:rsidRPr="00C03483" w:rsidRDefault="00941804" w:rsidP="004D2419">
      <w:pPr>
        <w:rPr>
          <w:sz w:val="22"/>
        </w:rPr>
      </w:pPr>
      <w:r w:rsidRPr="00C03483">
        <w:rPr>
          <w:sz w:val="22"/>
        </w:rPr>
        <w:t xml:space="preserve">N1 - LT/1/08/1362/001 </w:t>
      </w:r>
    </w:p>
    <w:p w14:paraId="47EA99C3" w14:textId="77777777" w:rsidR="00941804" w:rsidRPr="00C03483" w:rsidRDefault="00941804" w:rsidP="004D2419">
      <w:pPr>
        <w:rPr>
          <w:sz w:val="22"/>
        </w:rPr>
      </w:pPr>
      <w:r w:rsidRPr="00C03483">
        <w:rPr>
          <w:sz w:val="22"/>
        </w:rPr>
        <w:t xml:space="preserve">N2 - LT/1/08/1362/002 </w:t>
      </w:r>
    </w:p>
    <w:p w14:paraId="0E199613" w14:textId="77777777" w:rsidR="00941804" w:rsidRPr="00C03483" w:rsidRDefault="00941804" w:rsidP="004D2419">
      <w:pPr>
        <w:rPr>
          <w:sz w:val="22"/>
        </w:rPr>
      </w:pPr>
      <w:r w:rsidRPr="00C03483">
        <w:rPr>
          <w:sz w:val="22"/>
        </w:rPr>
        <w:t xml:space="preserve">N4 - LT/1/08/1362/003 </w:t>
      </w:r>
    </w:p>
    <w:p w14:paraId="069F0E47" w14:textId="77777777" w:rsidR="00941804" w:rsidRPr="00C03483" w:rsidRDefault="00941804" w:rsidP="004D2419">
      <w:pPr>
        <w:rPr>
          <w:sz w:val="22"/>
        </w:rPr>
      </w:pPr>
      <w:r w:rsidRPr="00C03483">
        <w:rPr>
          <w:sz w:val="22"/>
        </w:rPr>
        <w:t xml:space="preserve">N8 - LT/1/08/1362/004 </w:t>
      </w:r>
    </w:p>
    <w:p w14:paraId="1EF37630" w14:textId="77777777" w:rsidR="00941804" w:rsidRPr="00C03483" w:rsidRDefault="00941804" w:rsidP="004D2419">
      <w:pPr>
        <w:rPr>
          <w:sz w:val="22"/>
        </w:rPr>
      </w:pPr>
      <w:r w:rsidRPr="00C03483">
        <w:rPr>
          <w:sz w:val="22"/>
        </w:rPr>
        <w:t xml:space="preserve">N10 - LT/1/08/1362/005 </w:t>
      </w:r>
    </w:p>
    <w:p w14:paraId="7D09D258" w14:textId="77777777" w:rsidR="00941804" w:rsidRPr="00C03483" w:rsidRDefault="00941804" w:rsidP="004D2419">
      <w:pPr>
        <w:rPr>
          <w:sz w:val="22"/>
        </w:rPr>
      </w:pPr>
      <w:r w:rsidRPr="00C03483">
        <w:rPr>
          <w:sz w:val="22"/>
        </w:rPr>
        <w:t xml:space="preserve">N12 - LT/1/08/1362/006 </w:t>
      </w:r>
    </w:p>
    <w:p w14:paraId="7CD78209" w14:textId="77777777" w:rsidR="00941804" w:rsidRPr="00C03483" w:rsidRDefault="00941804" w:rsidP="004D2419">
      <w:pPr>
        <w:rPr>
          <w:sz w:val="22"/>
        </w:rPr>
      </w:pPr>
      <w:r w:rsidRPr="00C03483">
        <w:rPr>
          <w:sz w:val="22"/>
        </w:rPr>
        <w:t xml:space="preserve">N12 (3x4) - LT/1/08/1362/007 </w:t>
      </w:r>
    </w:p>
    <w:p w14:paraId="72A48E13" w14:textId="77777777" w:rsidR="00941804" w:rsidRPr="00C03483" w:rsidRDefault="00941804" w:rsidP="004D2419">
      <w:pPr>
        <w:rPr>
          <w:sz w:val="22"/>
        </w:rPr>
      </w:pPr>
      <w:r w:rsidRPr="00C03483">
        <w:rPr>
          <w:sz w:val="22"/>
        </w:rPr>
        <w:t xml:space="preserve">N14 - LT/1/08/1362/008 </w:t>
      </w:r>
    </w:p>
    <w:p w14:paraId="2DEB6404" w14:textId="77777777" w:rsidR="00941804" w:rsidRPr="00C03483" w:rsidRDefault="00941804" w:rsidP="004D2419">
      <w:pPr>
        <w:rPr>
          <w:sz w:val="22"/>
        </w:rPr>
      </w:pPr>
      <w:r w:rsidRPr="00C03483">
        <w:rPr>
          <w:sz w:val="22"/>
        </w:rPr>
        <w:t xml:space="preserve">N16 - LT/1/08/1362/009 </w:t>
      </w:r>
    </w:p>
    <w:p w14:paraId="3A68C3B2" w14:textId="77777777" w:rsidR="00941804" w:rsidRPr="00C03483" w:rsidRDefault="00941804" w:rsidP="004D2419">
      <w:pPr>
        <w:rPr>
          <w:sz w:val="22"/>
        </w:rPr>
      </w:pPr>
      <w:r w:rsidRPr="00C03483">
        <w:rPr>
          <w:sz w:val="22"/>
        </w:rPr>
        <w:t xml:space="preserve">N16 (4x4) - LT/1/08/1362/010 </w:t>
      </w:r>
    </w:p>
    <w:p w14:paraId="60286020" w14:textId="77777777" w:rsidR="00941804" w:rsidRPr="00C03483" w:rsidRDefault="00941804" w:rsidP="004D2419">
      <w:pPr>
        <w:rPr>
          <w:sz w:val="22"/>
        </w:rPr>
      </w:pPr>
      <w:r w:rsidRPr="00C03483">
        <w:rPr>
          <w:sz w:val="22"/>
        </w:rPr>
        <w:t xml:space="preserve">N30 - LT/1/08/1362/011 </w:t>
      </w:r>
    </w:p>
    <w:p w14:paraId="07FC8B03" w14:textId="77777777" w:rsidR="00941804" w:rsidRPr="00C03483" w:rsidRDefault="00941804" w:rsidP="004D2419">
      <w:pPr>
        <w:rPr>
          <w:sz w:val="22"/>
        </w:rPr>
      </w:pPr>
      <w:r w:rsidRPr="00C03483">
        <w:rPr>
          <w:sz w:val="22"/>
        </w:rPr>
        <w:t>N4 - LT/1/08/1362/012 (gydymo įstaigoms)</w:t>
      </w:r>
    </w:p>
    <w:p w14:paraId="7E6DAE54" w14:textId="77777777" w:rsidR="00941804" w:rsidRPr="00C03483" w:rsidRDefault="00941804" w:rsidP="004D2419">
      <w:pPr>
        <w:rPr>
          <w:sz w:val="22"/>
        </w:rPr>
      </w:pPr>
      <w:r w:rsidRPr="00C03483">
        <w:rPr>
          <w:sz w:val="22"/>
        </w:rPr>
        <w:t>N10 - LT/1/08/1362/013 (gydymo įstaigoms)</w:t>
      </w:r>
    </w:p>
    <w:p w14:paraId="50C5CE37" w14:textId="77777777" w:rsidR="00941804" w:rsidRPr="00C03483" w:rsidRDefault="00941804" w:rsidP="004D2419">
      <w:pPr>
        <w:rPr>
          <w:sz w:val="22"/>
        </w:rPr>
      </w:pPr>
      <w:r w:rsidRPr="00C03483">
        <w:rPr>
          <w:sz w:val="22"/>
        </w:rPr>
        <w:t>N50 - LT/1/08/1362/014 (gydymo įstaigoms)</w:t>
      </w:r>
    </w:p>
    <w:p w14:paraId="4F84FE01" w14:textId="77777777" w:rsidR="00941804" w:rsidRPr="00C03483" w:rsidRDefault="00941804" w:rsidP="004D2419">
      <w:pPr>
        <w:rPr>
          <w:sz w:val="22"/>
        </w:rPr>
      </w:pPr>
    </w:p>
    <w:p w14:paraId="3C114707" w14:textId="77777777" w:rsidR="00941804" w:rsidRPr="00C03483" w:rsidRDefault="00941804" w:rsidP="004D2419">
      <w:pPr>
        <w:rPr>
          <w:sz w:val="22"/>
        </w:rPr>
      </w:pPr>
    </w:p>
    <w:p w14:paraId="7DDEA923" w14:textId="77777777" w:rsidR="00941804" w:rsidRPr="00C03483" w:rsidRDefault="00941804" w:rsidP="004D2419">
      <w:pPr>
        <w:ind w:left="540" w:hanging="540"/>
        <w:rPr>
          <w:b/>
          <w:sz w:val="22"/>
        </w:rPr>
      </w:pPr>
      <w:bookmarkStart w:id="58" w:name="_Toc129243124"/>
      <w:bookmarkStart w:id="59" w:name="_Toc129243249"/>
      <w:r w:rsidRPr="00C03483">
        <w:rPr>
          <w:b/>
          <w:sz w:val="22"/>
        </w:rPr>
        <w:t>9.</w:t>
      </w:r>
      <w:r w:rsidRPr="00C03483">
        <w:rPr>
          <w:b/>
          <w:sz w:val="22"/>
        </w:rPr>
        <w:tab/>
        <w:t>REGISTRAVIMO / PERREGISTRAVIMO DATA</w:t>
      </w:r>
      <w:bookmarkEnd w:id="58"/>
      <w:bookmarkEnd w:id="59"/>
    </w:p>
    <w:p w14:paraId="620B9C7F" w14:textId="77777777" w:rsidR="00941804" w:rsidRPr="00C03483" w:rsidRDefault="00941804" w:rsidP="004D2419">
      <w:pPr>
        <w:rPr>
          <w:sz w:val="22"/>
        </w:rPr>
      </w:pPr>
    </w:p>
    <w:p w14:paraId="727FACD8" w14:textId="77777777" w:rsidR="00941804" w:rsidRPr="00C03483" w:rsidRDefault="00941804" w:rsidP="004D2419">
      <w:pPr>
        <w:rPr>
          <w:sz w:val="22"/>
        </w:rPr>
      </w:pPr>
      <w:r w:rsidRPr="00C03483">
        <w:rPr>
          <w:sz w:val="22"/>
        </w:rPr>
        <w:t>Registravimo data 2008 m. lapkričio mėn. 27 d.</w:t>
      </w:r>
    </w:p>
    <w:p w14:paraId="2716CC36" w14:textId="77777777" w:rsidR="00941804" w:rsidRPr="00C03483" w:rsidRDefault="00941804" w:rsidP="004D2419">
      <w:pPr>
        <w:rPr>
          <w:sz w:val="22"/>
        </w:rPr>
      </w:pPr>
      <w:r w:rsidRPr="00C03483">
        <w:rPr>
          <w:sz w:val="22"/>
        </w:rPr>
        <w:t>Paskutinio perregistravimo data 2013 m. vasario mėn. 28 d.</w:t>
      </w:r>
    </w:p>
    <w:p w14:paraId="30A50344" w14:textId="77777777" w:rsidR="00941804" w:rsidRPr="00C03483" w:rsidRDefault="00941804" w:rsidP="004D2419">
      <w:pPr>
        <w:rPr>
          <w:sz w:val="22"/>
        </w:rPr>
      </w:pPr>
    </w:p>
    <w:p w14:paraId="457B24C4" w14:textId="77777777" w:rsidR="00941804" w:rsidRPr="00C03483" w:rsidRDefault="00941804" w:rsidP="004D2419">
      <w:pPr>
        <w:rPr>
          <w:sz w:val="22"/>
        </w:rPr>
      </w:pPr>
    </w:p>
    <w:p w14:paraId="203E3D9C" w14:textId="77777777" w:rsidR="00941804" w:rsidRPr="00C03483" w:rsidRDefault="00941804" w:rsidP="004D2419">
      <w:pPr>
        <w:ind w:left="540" w:hanging="540"/>
        <w:rPr>
          <w:b/>
          <w:sz w:val="22"/>
        </w:rPr>
      </w:pPr>
      <w:bookmarkStart w:id="60" w:name="_Toc129243125"/>
      <w:bookmarkStart w:id="61" w:name="_Toc129243250"/>
      <w:r w:rsidRPr="00C03483">
        <w:rPr>
          <w:b/>
          <w:sz w:val="22"/>
        </w:rPr>
        <w:t>10.</w:t>
      </w:r>
      <w:r w:rsidRPr="00C03483">
        <w:rPr>
          <w:b/>
          <w:sz w:val="22"/>
        </w:rPr>
        <w:tab/>
        <w:t>TEKSTO PERŽIŪROS DATA</w:t>
      </w:r>
      <w:bookmarkEnd w:id="60"/>
      <w:bookmarkEnd w:id="61"/>
    </w:p>
    <w:p w14:paraId="0ECE4B50" w14:textId="77777777" w:rsidR="00941804" w:rsidRPr="00C03483" w:rsidRDefault="00941804" w:rsidP="004D2419">
      <w:pPr>
        <w:rPr>
          <w:sz w:val="22"/>
        </w:rPr>
      </w:pPr>
    </w:p>
    <w:p w14:paraId="1B2BF409" w14:textId="77777777" w:rsidR="00C03483" w:rsidRPr="00000415" w:rsidRDefault="00435460" w:rsidP="004D2419">
      <w:pPr>
        <w:rPr>
          <w:sz w:val="22"/>
          <w:szCs w:val="22"/>
        </w:rPr>
      </w:pPr>
      <w:r w:rsidRPr="00000415">
        <w:rPr>
          <w:sz w:val="22"/>
          <w:szCs w:val="22"/>
        </w:rPr>
        <w:t>2020 m. lapkričio 10 d.</w:t>
      </w:r>
    </w:p>
    <w:p w14:paraId="003DCB0D" w14:textId="77777777" w:rsidR="00941804" w:rsidRPr="00C03483" w:rsidRDefault="00941804" w:rsidP="004D2419">
      <w:pPr>
        <w:rPr>
          <w:sz w:val="22"/>
        </w:rPr>
      </w:pPr>
    </w:p>
    <w:p w14:paraId="5DA353AA" w14:textId="77777777" w:rsidR="00941804" w:rsidRPr="00C03483" w:rsidRDefault="00941804" w:rsidP="004D2419">
      <w:pPr>
        <w:rPr>
          <w:color w:val="0000FF"/>
          <w:sz w:val="22"/>
        </w:rPr>
      </w:pPr>
      <w:r w:rsidRPr="00C03483">
        <w:rPr>
          <w:sz w:val="22"/>
        </w:rPr>
        <w:t>Išsami informacija apie šį vaistinį preparatą pateikiama Valstybinės vaistų kontrolės tarnybos prie Lietuvos Respublikos sveikatos apsaugos ministerijos tinklalapyje http://www.vvkt.lt</w:t>
      </w:r>
    </w:p>
    <w:p w14:paraId="5DCD8576" w14:textId="77777777" w:rsidR="00941804" w:rsidRPr="00C03483" w:rsidRDefault="00941804" w:rsidP="00941804">
      <w:pPr>
        <w:spacing w:after="200" w:line="276" w:lineRule="auto"/>
        <w:rPr>
          <w:sz w:val="22"/>
        </w:rPr>
      </w:pPr>
    </w:p>
    <w:p w14:paraId="3085ECE4" w14:textId="77777777" w:rsidR="00941804" w:rsidRPr="00C03483" w:rsidRDefault="00941804" w:rsidP="00941804">
      <w:pPr>
        <w:spacing w:after="200" w:line="276" w:lineRule="auto"/>
        <w:rPr>
          <w:sz w:val="22"/>
        </w:rPr>
      </w:pPr>
    </w:p>
    <w:p w14:paraId="1CDDA552" w14:textId="77777777" w:rsidR="00941804" w:rsidRPr="00C03483" w:rsidRDefault="00941804" w:rsidP="004D2419">
      <w:pPr>
        <w:ind w:left="540" w:hanging="540"/>
        <w:rPr>
          <w:sz w:val="22"/>
        </w:rPr>
      </w:pPr>
    </w:p>
    <w:p w14:paraId="7E1C00FE" w14:textId="77777777" w:rsidR="00941804" w:rsidRPr="00C03483" w:rsidRDefault="00941804" w:rsidP="00941804">
      <w:pPr>
        <w:spacing w:after="200" w:line="276" w:lineRule="auto"/>
        <w:rPr>
          <w:sz w:val="22"/>
        </w:rPr>
      </w:pPr>
    </w:p>
    <w:p w14:paraId="135F180C" w14:textId="77777777" w:rsidR="00941804" w:rsidRPr="00C03483" w:rsidRDefault="00941804" w:rsidP="00941804">
      <w:pPr>
        <w:spacing w:after="200" w:line="276" w:lineRule="auto"/>
        <w:rPr>
          <w:sz w:val="22"/>
        </w:rPr>
      </w:pPr>
    </w:p>
    <w:p w14:paraId="422A3CEE" w14:textId="77777777" w:rsidR="00941804" w:rsidRPr="00C03483" w:rsidRDefault="00941804" w:rsidP="00941804">
      <w:pPr>
        <w:spacing w:after="200" w:line="276" w:lineRule="auto"/>
        <w:rPr>
          <w:sz w:val="22"/>
        </w:rPr>
      </w:pPr>
    </w:p>
    <w:p w14:paraId="6970559E" w14:textId="77777777" w:rsidR="00941804" w:rsidRPr="00C03483" w:rsidRDefault="00941804" w:rsidP="00941804">
      <w:pPr>
        <w:spacing w:after="200" w:line="276" w:lineRule="auto"/>
        <w:rPr>
          <w:sz w:val="22"/>
        </w:rPr>
      </w:pPr>
    </w:p>
    <w:p w14:paraId="15918277" w14:textId="77777777" w:rsidR="00941804" w:rsidRPr="00C03483" w:rsidRDefault="00941804" w:rsidP="00941804">
      <w:pPr>
        <w:spacing w:after="200" w:line="276" w:lineRule="auto"/>
        <w:rPr>
          <w:sz w:val="22"/>
        </w:rPr>
      </w:pPr>
    </w:p>
    <w:p w14:paraId="0A46D092" w14:textId="77777777" w:rsidR="00941804" w:rsidRPr="00C03483" w:rsidRDefault="00941804" w:rsidP="00941804">
      <w:pPr>
        <w:spacing w:after="200" w:line="276" w:lineRule="auto"/>
        <w:rPr>
          <w:sz w:val="22"/>
        </w:rPr>
      </w:pPr>
    </w:p>
    <w:p w14:paraId="59BC3380" w14:textId="77777777" w:rsidR="00941804" w:rsidRPr="00C03483" w:rsidRDefault="00941804" w:rsidP="00941804">
      <w:pPr>
        <w:spacing w:after="200" w:line="276" w:lineRule="auto"/>
        <w:rPr>
          <w:sz w:val="22"/>
        </w:rPr>
      </w:pPr>
    </w:p>
    <w:p w14:paraId="241093C3" w14:textId="77777777" w:rsidR="00941804" w:rsidRPr="00C03483" w:rsidRDefault="00941804" w:rsidP="00941804">
      <w:pPr>
        <w:spacing w:after="200" w:line="276" w:lineRule="auto"/>
        <w:rPr>
          <w:sz w:val="22"/>
        </w:rPr>
      </w:pPr>
    </w:p>
    <w:p w14:paraId="2B0166A6" w14:textId="77777777" w:rsidR="00941804" w:rsidRPr="00C03483" w:rsidRDefault="00941804" w:rsidP="00941804">
      <w:pPr>
        <w:spacing w:after="200" w:line="276" w:lineRule="auto"/>
        <w:rPr>
          <w:sz w:val="22"/>
        </w:rPr>
      </w:pPr>
    </w:p>
    <w:p w14:paraId="6FCBBABB" w14:textId="77777777" w:rsidR="00941804" w:rsidRPr="00C03483" w:rsidRDefault="00941804" w:rsidP="00941804">
      <w:pPr>
        <w:spacing w:after="200" w:line="276" w:lineRule="auto"/>
        <w:rPr>
          <w:sz w:val="22"/>
        </w:rPr>
      </w:pPr>
    </w:p>
    <w:p w14:paraId="75C77C42" w14:textId="77777777" w:rsidR="00941804" w:rsidRPr="00C03483" w:rsidRDefault="00941804" w:rsidP="00941804">
      <w:pPr>
        <w:spacing w:after="200" w:line="276" w:lineRule="auto"/>
        <w:rPr>
          <w:sz w:val="22"/>
        </w:rPr>
      </w:pPr>
    </w:p>
    <w:p w14:paraId="00F6F893" w14:textId="77777777" w:rsidR="00941804" w:rsidRPr="00C03483" w:rsidRDefault="00941804" w:rsidP="004D2419">
      <w:pPr>
        <w:rPr>
          <w:sz w:val="22"/>
        </w:rPr>
      </w:pPr>
    </w:p>
    <w:p w14:paraId="1DAAD7FA" w14:textId="77777777" w:rsidR="00941804" w:rsidRPr="00C03483" w:rsidRDefault="00941804" w:rsidP="004D2419">
      <w:pPr>
        <w:rPr>
          <w:sz w:val="22"/>
        </w:rPr>
      </w:pPr>
    </w:p>
    <w:p w14:paraId="3E2C4A9E" w14:textId="77777777" w:rsidR="00941804" w:rsidRPr="00C03483" w:rsidRDefault="00941804" w:rsidP="004D2419">
      <w:pPr>
        <w:rPr>
          <w:sz w:val="22"/>
        </w:rPr>
      </w:pPr>
    </w:p>
    <w:p w14:paraId="4437689A" w14:textId="77777777" w:rsidR="00941804" w:rsidRPr="00C03483" w:rsidRDefault="00941804" w:rsidP="004D2419">
      <w:pPr>
        <w:rPr>
          <w:sz w:val="22"/>
        </w:rPr>
      </w:pPr>
    </w:p>
    <w:p w14:paraId="1CB4ABF9" w14:textId="77777777" w:rsidR="00941804" w:rsidRPr="00C03483" w:rsidRDefault="00941804" w:rsidP="00C03483">
      <w:pPr>
        <w:pStyle w:val="TTEMEASMCA"/>
        <w:rPr>
          <w:b w:val="0"/>
          <w:caps w:val="0"/>
          <w:sz w:val="22"/>
        </w:rPr>
      </w:pPr>
      <w:r w:rsidRPr="00C03483">
        <w:rPr>
          <w:sz w:val="22"/>
        </w:rPr>
        <w:t xml:space="preserve">II PRIEDAS </w:t>
      </w:r>
    </w:p>
    <w:p w14:paraId="5A3622A2" w14:textId="77777777" w:rsidR="00941804" w:rsidRPr="00C03483" w:rsidRDefault="00941804" w:rsidP="00C03483">
      <w:pPr>
        <w:pStyle w:val="TTEMEASMCA"/>
        <w:rPr>
          <w:b w:val="0"/>
          <w:caps w:val="0"/>
          <w:sz w:val="22"/>
        </w:rPr>
      </w:pPr>
    </w:p>
    <w:p w14:paraId="69DB7D03" w14:textId="77777777" w:rsidR="00941804" w:rsidRPr="00C03483" w:rsidRDefault="00941804" w:rsidP="00C03483">
      <w:pPr>
        <w:pStyle w:val="TTEMEASMCA"/>
        <w:rPr>
          <w:b w:val="0"/>
          <w:caps w:val="0"/>
          <w:sz w:val="22"/>
        </w:rPr>
      </w:pPr>
      <w:r w:rsidRPr="00C03483">
        <w:rPr>
          <w:sz w:val="22"/>
        </w:rPr>
        <w:t>Registracijos SĄLYGOS</w:t>
      </w:r>
    </w:p>
    <w:p w14:paraId="2457C5F7" w14:textId="77777777" w:rsidR="00941804" w:rsidRPr="004D2419" w:rsidRDefault="00941804" w:rsidP="00C03483">
      <w:pPr>
        <w:pStyle w:val="BTEMEASMCA"/>
      </w:pPr>
    </w:p>
    <w:p w14:paraId="56526175" w14:textId="77777777" w:rsidR="00941804" w:rsidRPr="00C03483" w:rsidRDefault="00941804" w:rsidP="004D2419">
      <w:pPr>
        <w:ind w:left="1701" w:right="-2" w:hanging="708"/>
        <w:rPr>
          <w:b/>
          <w:sz w:val="22"/>
        </w:rPr>
      </w:pPr>
      <w:r w:rsidRPr="00C03483">
        <w:rPr>
          <w:b/>
          <w:sz w:val="22"/>
        </w:rPr>
        <w:t>A.</w:t>
      </w:r>
      <w:r w:rsidRPr="00C03483">
        <w:rPr>
          <w:b/>
          <w:sz w:val="22"/>
        </w:rPr>
        <w:tab/>
        <w:t>GAMINTOJAS (-AI), ATSAKINGAS (-I) UŽ SERIJŲ IŠLEIDIMĄ</w:t>
      </w:r>
    </w:p>
    <w:p w14:paraId="31719F58" w14:textId="77777777" w:rsidR="00941804" w:rsidRPr="00C03483" w:rsidRDefault="00941804" w:rsidP="004D2419">
      <w:pPr>
        <w:rPr>
          <w:sz w:val="22"/>
        </w:rPr>
      </w:pPr>
    </w:p>
    <w:p w14:paraId="6EFAC4A3" w14:textId="77777777" w:rsidR="00941804" w:rsidRPr="00C03483" w:rsidRDefault="00941804" w:rsidP="004D2419">
      <w:pPr>
        <w:suppressLineNumbers/>
        <w:ind w:left="1701" w:right="-2" w:hanging="708"/>
        <w:rPr>
          <w:sz w:val="22"/>
        </w:rPr>
      </w:pPr>
      <w:r w:rsidRPr="00C03483">
        <w:rPr>
          <w:b/>
          <w:sz w:val="22"/>
        </w:rPr>
        <w:t>B.</w:t>
      </w:r>
      <w:r w:rsidRPr="00C03483">
        <w:rPr>
          <w:b/>
          <w:sz w:val="22"/>
        </w:rPr>
        <w:tab/>
        <w:t>TIEKIMO IR VARTOJIMO SĄLYGOS AR APRIBOJIMAI</w:t>
      </w:r>
    </w:p>
    <w:p w14:paraId="2556A0F8" w14:textId="77777777" w:rsidR="00941804" w:rsidRPr="00C03483" w:rsidRDefault="00941804" w:rsidP="004D2419">
      <w:pPr>
        <w:rPr>
          <w:sz w:val="22"/>
        </w:rPr>
      </w:pPr>
    </w:p>
    <w:p w14:paraId="076A1866" w14:textId="77777777" w:rsidR="00941804" w:rsidRPr="00C03483" w:rsidRDefault="00941804" w:rsidP="00C03483">
      <w:pPr>
        <w:pStyle w:val="BTAnIIEMEASMCA"/>
        <w:ind w:left="1440" w:hanging="731"/>
        <w:rPr>
          <w:b/>
          <w:sz w:val="22"/>
          <w:highlight w:val="yellow"/>
        </w:rPr>
      </w:pPr>
    </w:p>
    <w:p w14:paraId="0C36AD6A" w14:textId="77777777" w:rsidR="00941804" w:rsidRPr="004D2419" w:rsidRDefault="00941804" w:rsidP="00C03483">
      <w:pPr>
        <w:pStyle w:val="PI-1EMEASMCA"/>
      </w:pPr>
      <w:r w:rsidRPr="004D2419">
        <w:br w:type="page"/>
      </w:r>
      <w:r w:rsidRPr="004D2419">
        <w:lastRenderedPageBreak/>
        <w:t>A.</w:t>
      </w:r>
      <w:r w:rsidRPr="004D2419">
        <w:tab/>
        <w:t>GAMINTOJAS (-AI), ATSAKINGAS (-I) UŽ SERIJŲ IŠLEIDIMĄ</w:t>
      </w:r>
    </w:p>
    <w:p w14:paraId="28A7835E" w14:textId="77777777" w:rsidR="00941804" w:rsidRPr="00C03483" w:rsidRDefault="00941804" w:rsidP="004D2419">
      <w:pPr>
        <w:rPr>
          <w:sz w:val="22"/>
          <w:highlight w:val="yellow"/>
        </w:rPr>
      </w:pPr>
    </w:p>
    <w:p w14:paraId="3D67680B" w14:textId="77777777" w:rsidR="00941804" w:rsidRPr="00C03483" w:rsidRDefault="00941804" w:rsidP="004D2419">
      <w:pPr>
        <w:rPr>
          <w:sz w:val="22"/>
          <w:u w:val="single"/>
        </w:rPr>
      </w:pPr>
      <w:r w:rsidRPr="00C03483">
        <w:rPr>
          <w:sz w:val="22"/>
          <w:u w:val="single"/>
        </w:rPr>
        <w:t>Gamintojo (-ų), atsakingo (-ų) už serijų išleidimą, pavadinimai ir adresai:</w:t>
      </w:r>
    </w:p>
    <w:p w14:paraId="430F3EFE" w14:textId="77777777" w:rsidR="00941804" w:rsidRPr="00C03483" w:rsidRDefault="00941804" w:rsidP="004D2419">
      <w:pPr>
        <w:rPr>
          <w:sz w:val="22"/>
        </w:rPr>
      </w:pPr>
    </w:p>
    <w:p w14:paraId="27DA75BD" w14:textId="77777777" w:rsidR="00941804" w:rsidRPr="00C03483" w:rsidRDefault="00941804" w:rsidP="004D2419">
      <w:pPr>
        <w:rPr>
          <w:sz w:val="22"/>
        </w:rPr>
      </w:pPr>
      <w:r w:rsidRPr="00C03483">
        <w:rPr>
          <w:sz w:val="22"/>
        </w:rPr>
        <w:t xml:space="preserve">Pharmachemie B.V. </w:t>
      </w:r>
    </w:p>
    <w:p w14:paraId="02E3A1F7" w14:textId="77777777" w:rsidR="00941804" w:rsidRPr="00C03483" w:rsidRDefault="00941804" w:rsidP="004D2419">
      <w:pPr>
        <w:rPr>
          <w:sz w:val="22"/>
        </w:rPr>
      </w:pPr>
      <w:r w:rsidRPr="00C03483">
        <w:rPr>
          <w:sz w:val="22"/>
        </w:rPr>
        <w:t>Swensweg 5</w:t>
      </w:r>
    </w:p>
    <w:p w14:paraId="71C92D16" w14:textId="77777777" w:rsidR="00941804" w:rsidRPr="00C03483" w:rsidRDefault="00941804" w:rsidP="004D2419">
      <w:pPr>
        <w:rPr>
          <w:sz w:val="22"/>
        </w:rPr>
      </w:pPr>
      <w:r w:rsidRPr="00C03483">
        <w:rPr>
          <w:sz w:val="22"/>
        </w:rPr>
        <w:t>2031 GA Haarlem</w:t>
      </w:r>
    </w:p>
    <w:p w14:paraId="4DD39337" w14:textId="77777777" w:rsidR="00941804" w:rsidRPr="00C03483" w:rsidRDefault="00941804" w:rsidP="004D2419">
      <w:pPr>
        <w:rPr>
          <w:sz w:val="22"/>
        </w:rPr>
      </w:pPr>
      <w:r w:rsidRPr="00C03483">
        <w:rPr>
          <w:sz w:val="22"/>
        </w:rPr>
        <w:t>Nyderlandai</w:t>
      </w:r>
    </w:p>
    <w:p w14:paraId="48C376E0" w14:textId="77777777" w:rsidR="00941804" w:rsidRPr="00C03483" w:rsidRDefault="00941804" w:rsidP="004D2419">
      <w:pPr>
        <w:rPr>
          <w:sz w:val="22"/>
        </w:rPr>
      </w:pPr>
    </w:p>
    <w:p w14:paraId="0DB45DAC" w14:textId="77777777" w:rsidR="00941804" w:rsidRPr="00C03483" w:rsidRDefault="00941804" w:rsidP="004D2419">
      <w:pPr>
        <w:rPr>
          <w:sz w:val="22"/>
        </w:rPr>
      </w:pPr>
      <w:r w:rsidRPr="00C03483">
        <w:rPr>
          <w:sz w:val="22"/>
        </w:rPr>
        <w:t>arba</w:t>
      </w:r>
    </w:p>
    <w:p w14:paraId="5B7A5158" w14:textId="77777777" w:rsidR="00941804" w:rsidRPr="00853EF3" w:rsidRDefault="00941804" w:rsidP="004D2419">
      <w:pPr>
        <w:rPr>
          <w:sz w:val="22"/>
          <w:lang w:val="en-GB"/>
        </w:rPr>
      </w:pPr>
    </w:p>
    <w:p w14:paraId="7E8F9034" w14:textId="77777777" w:rsidR="00941804" w:rsidRPr="00C03483" w:rsidRDefault="00941804" w:rsidP="004D2419">
      <w:pPr>
        <w:rPr>
          <w:sz w:val="22"/>
        </w:rPr>
      </w:pPr>
      <w:r w:rsidRPr="00C03483">
        <w:rPr>
          <w:sz w:val="22"/>
        </w:rPr>
        <w:t>Teva Pharmaceutical Works Private Limited Company</w:t>
      </w:r>
    </w:p>
    <w:p w14:paraId="649C2907" w14:textId="77777777" w:rsidR="00941804" w:rsidRPr="00C03483" w:rsidRDefault="00941804" w:rsidP="004D2419">
      <w:pPr>
        <w:rPr>
          <w:sz w:val="22"/>
        </w:rPr>
      </w:pPr>
      <w:r w:rsidRPr="00C03483">
        <w:rPr>
          <w:sz w:val="22"/>
        </w:rPr>
        <w:t>Pallagi ùt 13</w:t>
      </w:r>
    </w:p>
    <w:p w14:paraId="55DEE169" w14:textId="77777777" w:rsidR="00941804" w:rsidRPr="00C03483" w:rsidRDefault="00941804" w:rsidP="004D2419">
      <w:pPr>
        <w:rPr>
          <w:sz w:val="22"/>
        </w:rPr>
      </w:pPr>
      <w:r w:rsidRPr="00C03483">
        <w:rPr>
          <w:sz w:val="22"/>
        </w:rPr>
        <w:t>4042 Debrecen</w:t>
      </w:r>
    </w:p>
    <w:p w14:paraId="627A5A40" w14:textId="77777777" w:rsidR="00941804" w:rsidRPr="00C03483" w:rsidRDefault="00941804" w:rsidP="004D2419">
      <w:pPr>
        <w:rPr>
          <w:sz w:val="22"/>
        </w:rPr>
      </w:pPr>
      <w:r w:rsidRPr="00C03483">
        <w:rPr>
          <w:sz w:val="22"/>
        </w:rPr>
        <w:t>Vengrija</w:t>
      </w:r>
    </w:p>
    <w:p w14:paraId="0AE532AD" w14:textId="77777777" w:rsidR="00941804" w:rsidRPr="00C03483" w:rsidRDefault="00941804" w:rsidP="004D2419">
      <w:pPr>
        <w:rPr>
          <w:sz w:val="22"/>
        </w:rPr>
      </w:pPr>
    </w:p>
    <w:p w14:paraId="15D5E021" w14:textId="77777777" w:rsidR="00941804" w:rsidRPr="00C03483" w:rsidRDefault="00941804" w:rsidP="004D2419">
      <w:pPr>
        <w:rPr>
          <w:sz w:val="22"/>
        </w:rPr>
      </w:pPr>
      <w:r w:rsidRPr="00C03483">
        <w:rPr>
          <w:sz w:val="22"/>
        </w:rPr>
        <w:t>arba</w:t>
      </w:r>
    </w:p>
    <w:p w14:paraId="49041E31" w14:textId="77777777" w:rsidR="00941804" w:rsidRPr="00853EF3" w:rsidRDefault="00941804" w:rsidP="004D2419">
      <w:pPr>
        <w:rPr>
          <w:color w:val="000000"/>
          <w:sz w:val="22"/>
        </w:rPr>
      </w:pPr>
    </w:p>
    <w:p w14:paraId="3E070D3A" w14:textId="77777777" w:rsidR="00941804" w:rsidRPr="00C03483" w:rsidRDefault="00941804" w:rsidP="004D2419">
      <w:pPr>
        <w:rPr>
          <w:sz w:val="22"/>
          <w:lang w:val="es-ES"/>
        </w:rPr>
      </w:pPr>
      <w:r w:rsidRPr="00C03483">
        <w:rPr>
          <w:sz w:val="22"/>
          <w:lang w:val="es-ES"/>
        </w:rPr>
        <w:t>Teva Czech Industries s.r.o.</w:t>
      </w:r>
    </w:p>
    <w:p w14:paraId="2F93323A" w14:textId="77777777" w:rsidR="00941804" w:rsidRPr="00C03483" w:rsidRDefault="00941804" w:rsidP="004D2419">
      <w:pPr>
        <w:rPr>
          <w:sz w:val="22"/>
        </w:rPr>
      </w:pPr>
      <w:r w:rsidRPr="00C03483">
        <w:rPr>
          <w:sz w:val="22"/>
        </w:rPr>
        <w:t>Ostravská 29</w:t>
      </w:r>
    </w:p>
    <w:p w14:paraId="3CFAB1D6" w14:textId="77777777" w:rsidR="00941804" w:rsidRPr="00C03483" w:rsidRDefault="00941804" w:rsidP="004D2419">
      <w:pPr>
        <w:rPr>
          <w:sz w:val="22"/>
        </w:rPr>
      </w:pPr>
      <w:r w:rsidRPr="00C03483">
        <w:rPr>
          <w:sz w:val="22"/>
        </w:rPr>
        <w:t>č.p. 305, 747 70 Opava –Komárov</w:t>
      </w:r>
    </w:p>
    <w:p w14:paraId="7885459E" w14:textId="77777777" w:rsidR="00941804" w:rsidRPr="00C03483" w:rsidRDefault="00941804" w:rsidP="004D2419">
      <w:pPr>
        <w:rPr>
          <w:color w:val="000000"/>
          <w:sz w:val="22"/>
        </w:rPr>
      </w:pPr>
      <w:r w:rsidRPr="00C03483">
        <w:rPr>
          <w:sz w:val="22"/>
        </w:rPr>
        <w:t>Čekija</w:t>
      </w:r>
    </w:p>
    <w:p w14:paraId="2BCCA74D" w14:textId="77777777" w:rsidR="00941804" w:rsidRPr="00C03483" w:rsidRDefault="00941804" w:rsidP="004D2419">
      <w:pPr>
        <w:rPr>
          <w:sz w:val="22"/>
        </w:rPr>
      </w:pPr>
    </w:p>
    <w:p w14:paraId="057B5541" w14:textId="3907B195" w:rsidR="00E82CE3" w:rsidRPr="00C03483" w:rsidRDefault="00E82CE3" w:rsidP="004D2419">
      <w:pPr>
        <w:rPr>
          <w:sz w:val="22"/>
        </w:rPr>
      </w:pPr>
      <w:r w:rsidRPr="00C03483" w:rsidDel="00E82CE3">
        <w:rPr>
          <w:sz w:val="22"/>
        </w:rPr>
        <w:t xml:space="preserve"> </w:t>
      </w:r>
    </w:p>
    <w:p w14:paraId="6782431A" w14:textId="77777777" w:rsidR="00941804" w:rsidRPr="00C03483" w:rsidRDefault="00941804" w:rsidP="004D2419">
      <w:pPr>
        <w:rPr>
          <w:sz w:val="22"/>
          <w:highlight w:val="yellow"/>
          <w:lang w:val="es-ES"/>
        </w:rPr>
      </w:pPr>
    </w:p>
    <w:p w14:paraId="0B5527E5" w14:textId="77777777" w:rsidR="00941804" w:rsidRPr="00C03483" w:rsidRDefault="00941804" w:rsidP="004D2419">
      <w:pPr>
        <w:rPr>
          <w:sz w:val="22"/>
        </w:rPr>
      </w:pPr>
      <w:r w:rsidRPr="00C03483">
        <w:rPr>
          <w:sz w:val="22"/>
        </w:rPr>
        <w:t>Su pakuote pateikiamame lapelyje nurodomas gamintojo, atsakingo už konkrečios serijos išleidimą, pavadinimas ir adresas.</w:t>
      </w:r>
    </w:p>
    <w:p w14:paraId="5CE841CC" w14:textId="77777777" w:rsidR="00941804" w:rsidRPr="00C03483" w:rsidRDefault="00941804" w:rsidP="004D2419">
      <w:pPr>
        <w:rPr>
          <w:sz w:val="22"/>
          <w:highlight w:val="yellow"/>
        </w:rPr>
      </w:pPr>
    </w:p>
    <w:p w14:paraId="5531257F" w14:textId="77777777" w:rsidR="00941804" w:rsidRPr="004D2419" w:rsidRDefault="00941804" w:rsidP="00C03483">
      <w:pPr>
        <w:pStyle w:val="BTEMEASMCA"/>
        <w:rPr>
          <w:highlight w:val="yellow"/>
        </w:rPr>
      </w:pPr>
    </w:p>
    <w:p w14:paraId="597852AD" w14:textId="77777777" w:rsidR="00941804" w:rsidRPr="00C03483" w:rsidRDefault="00941804" w:rsidP="004D2419">
      <w:pPr>
        <w:suppressLineNumbers/>
        <w:ind w:left="567" w:hanging="567"/>
        <w:rPr>
          <w:sz w:val="22"/>
        </w:rPr>
      </w:pPr>
      <w:bookmarkStart w:id="62" w:name="_Toc129243129"/>
      <w:bookmarkStart w:id="63" w:name="_Toc129243254"/>
      <w:r w:rsidRPr="00C03483">
        <w:rPr>
          <w:b/>
          <w:sz w:val="22"/>
        </w:rPr>
        <w:t>B.</w:t>
      </w:r>
      <w:r w:rsidRPr="00C03483">
        <w:rPr>
          <w:b/>
          <w:sz w:val="22"/>
        </w:rPr>
        <w:tab/>
        <w:t xml:space="preserve">TIEKIMO IR VARTOJIMO SĄLYGOS AR APRIBOJIMAI </w:t>
      </w:r>
    </w:p>
    <w:bookmarkEnd w:id="62"/>
    <w:bookmarkEnd w:id="63"/>
    <w:p w14:paraId="78089302" w14:textId="77777777" w:rsidR="00941804" w:rsidRPr="00C03483" w:rsidRDefault="00941804" w:rsidP="004D2419">
      <w:pPr>
        <w:rPr>
          <w:sz w:val="22"/>
        </w:rPr>
      </w:pPr>
    </w:p>
    <w:p w14:paraId="7BFC9D99" w14:textId="77777777" w:rsidR="00941804" w:rsidRPr="00C03483" w:rsidRDefault="00941804" w:rsidP="004D2419">
      <w:pPr>
        <w:rPr>
          <w:sz w:val="22"/>
        </w:rPr>
      </w:pPr>
      <w:r w:rsidRPr="00C03483">
        <w:rPr>
          <w:sz w:val="22"/>
        </w:rPr>
        <w:t>Receptinis vaistinis preparatas.</w:t>
      </w:r>
    </w:p>
    <w:p w14:paraId="2536E9C0" w14:textId="77777777" w:rsidR="00941804" w:rsidRPr="00C03483" w:rsidRDefault="00941804" w:rsidP="004D2419">
      <w:pPr>
        <w:rPr>
          <w:sz w:val="22"/>
          <w:highlight w:val="yellow"/>
        </w:rPr>
      </w:pPr>
    </w:p>
    <w:p w14:paraId="46B22545" w14:textId="77777777" w:rsidR="00941804" w:rsidRPr="00C03483" w:rsidRDefault="00941804" w:rsidP="00941804">
      <w:pPr>
        <w:spacing w:after="200" w:line="276" w:lineRule="auto"/>
        <w:rPr>
          <w:sz w:val="22"/>
        </w:rPr>
      </w:pPr>
      <w:r w:rsidRPr="00C03483">
        <w:rPr>
          <w:sz w:val="22"/>
        </w:rPr>
        <w:br w:type="page"/>
      </w:r>
      <w:bookmarkStart w:id="64" w:name="_Toc129243134"/>
      <w:bookmarkStart w:id="65" w:name="_Toc129243259"/>
    </w:p>
    <w:p w14:paraId="3B4C9C96" w14:textId="77777777" w:rsidR="00941804" w:rsidRPr="00C03483" w:rsidRDefault="00941804" w:rsidP="00C03483">
      <w:pPr>
        <w:pStyle w:val="TTEMEASMCA"/>
        <w:rPr>
          <w:b w:val="0"/>
          <w:caps w:val="0"/>
          <w:sz w:val="22"/>
        </w:rPr>
      </w:pPr>
    </w:p>
    <w:p w14:paraId="051FFC24" w14:textId="77777777" w:rsidR="00941804" w:rsidRPr="00C03483" w:rsidRDefault="00941804" w:rsidP="00C03483">
      <w:pPr>
        <w:pStyle w:val="TTEMEASMCA"/>
        <w:rPr>
          <w:b w:val="0"/>
          <w:caps w:val="0"/>
          <w:sz w:val="22"/>
        </w:rPr>
      </w:pPr>
    </w:p>
    <w:p w14:paraId="371895CB" w14:textId="77777777" w:rsidR="00941804" w:rsidRPr="00C03483" w:rsidRDefault="00941804" w:rsidP="00C03483">
      <w:pPr>
        <w:pStyle w:val="TTEMEASMCA"/>
        <w:rPr>
          <w:b w:val="0"/>
          <w:caps w:val="0"/>
          <w:sz w:val="22"/>
        </w:rPr>
      </w:pPr>
    </w:p>
    <w:p w14:paraId="453766BC" w14:textId="77777777" w:rsidR="00941804" w:rsidRPr="00C03483" w:rsidRDefault="00941804" w:rsidP="00C03483">
      <w:pPr>
        <w:pStyle w:val="TTEMEASMCA"/>
        <w:rPr>
          <w:b w:val="0"/>
          <w:caps w:val="0"/>
          <w:sz w:val="22"/>
        </w:rPr>
      </w:pPr>
    </w:p>
    <w:p w14:paraId="796D19E7" w14:textId="77777777" w:rsidR="00941804" w:rsidRPr="00C03483" w:rsidRDefault="00941804" w:rsidP="00C03483">
      <w:pPr>
        <w:pStyle w:val="TTEMEASMCA"/>
        <w:rPr>
          <w:b w:val="0"/>
          <w:caps w:val="0"/>
          <w:sz w:val="22"/>
        </w:rPr>
      </w:pPr>
    </w:p>
    <w:p w14:paraId="6987AA6D" w14:textId="77777777" w:rsidR="00941804" w:rsidRPr="00C03483" w:rsidRDefault="00941804" w:rsidP="00C03483">
      <w:pPr>
        <w:pStyle w:val="TTEMEASMCA"/>
        <w:rPr>
          <w:b w:val="0"/>
          <w:caps w:val="0"/>
          <w:sz w:val="22"/>
        </w:rPr>
      </w:pPr>
    </w:p>
    <w:p w14:paraId="14A20D03" w14:textId="77777777" w:rsidR="00941804" w:rsidRPr="00C03483" w:rsidRDefault="00941804" w:rsidP="00C03483">
      <w:pPr>
        <w:pStyle w:val="TTEMEASMCA"/>
        <w:rPr>
          <w:b w:val="0"/>
          <w:caps w:val="0"/>
          <w:sz w:val="22"/>
        </w:rPr>
      </w:pPr>
    </w:p>
    <w:p w14:paraId="27D9F7C5" w14:textId="77777777" w:rsidR="00941804" w:rsidRPr="00C03483" w:rsidRDefault="00941804" w:rsidP="00C03483">
      <w:pPr>
        <w:pStyle w:val="TTEMEASMCA"/>
        <w:rPr>
          <w:b w:val="0"/>
          <w:caps w:val="0"/>
          <w:sz w:val="22"/>
        </w:rPr>
      </w:pPr>
    </w:p>
    <w:p w14:paraId="70030593" w14:textId="77777777" w:rsidR="00941804" w:rsidRPr="00C03483" w:rsidRDefault="00941804" w:rsidP="00C03483">
      <w:pPr>
        <w:pStyle w:val="TTEMEASMCA"/>
        <w:rPr>
          <w:b w:val="0"/>
          <w:caps w:val="0"/>
          <w:sz w:val="22"/>
        </w:rPr>
      </w:pPr>
    </w:p>
    <w:p w14:paraId="3EF9BD68" w14:textId="77777777" w:rsidR="00941804" w:rsidRPr="00C03483" w:rsidRDefault="00941804" w:rsidP="00C03483">
      <w:pPr>
        <w:pStyle w:val="TTEMEASMCA"/>
        <w:rPr>
          <w:b w:val="0"/>
          <w:caps w:val="0"/>
          <w:sz w:val="22"/>
        </w:rPr>
      </w:pPr>
    </w:p>
    <w:p w14:paraId="0DE412EE" w14:textId="77777777" w:rsidR="00941804" w:rsidRPr="00C03483" w:rsidRDefault="00941804" w:rsidP="00C03483">
      <w:pPr>
        <w:pStyle w:val="TTEMEASMCA"/>
        <w:rPr>
          <w:b w:val="0"/>
          <w:caps w:val="0"/>
          <w:sz w:val="22"/>
        </w:rPr>
      </w:pPr>
    </w:p>
    <w:p w14:paraId="01B6E744" w14:textId="77777777" w:rsidR="00941804" w:rsidRPr="00C03483" w:rsidRDefault="00941804" w:rsidP="00C03483">
      <w:pPr>
        <w:pStyle w:val="TTEMEASMCA"/>
        <w:rPr>
          <w:b w:val="0"/>
          <w:caps w:val="0"/>
          <w:sz w:val="22"/>
        </w:rPr>
      </w:pPr>
    </w:p>
    <w:p w14:paraId="60D2D506" w14:textId="77777777" w:rsidR="00941804" w:rsidRPr="00C03483" w:rsidRDefault="00941804" w:rsidP="00C03483">
      <w:pPr>
        <w:pStyle w:val="TTEMEASMCA"/>
        <w:rPr>
          <w:b w:val="0"/>
          <w:caps w:val="0"/>
          <w:sz w:val="22"/>
        </w:rPr>
      </w:pPr>
    </w:p>
    <w:p w14:paraId="13431F4D" w14:textId="77777777" w:rsidR="00941804" w:rsidRPr="00C03483" w:rsidRDefault="00941804" w:rsidP="00C03483">
      <w:pPr>
        <w:pStyle w:val="TTEMEASMCA"/>
        <w:rPr>
          <w:b w:val="0"/>
          <w:caps w:val="0"/>
          <w:sz w:val="22"/>
        </w:rPr>
      </w:pPr>
    </w:p>
    <w:p w14:paraId="11148878" w14:textId="77777777" w:rsidR="00941804" w:rsidRPr="00C03483" w:rsidRDefault="00941804" w:rsidP="00C03483">
      <w:pPr>
        <w:pStyle w:val="TTEMEASMCA"/>
        <w:rPr>
          <w:b w:val="0"/>
          <w:caps w:val="0"/>
          <w:sz w:val="22"/>
        </w:rPr>
      </w:pPr>
    </w:p>
    <w:p w14:paraId="5BC41F9C" w14:textId="77777777" w:rsidR="00941804" w:rsidRPr="00C03483" w:rsidRDefault="00941804" w:rsidP="00C03483">
      <w:pPr>
        <w:pStyle w:val="TTEMEASMCA"/>
        <w:rPr>
          <w:b w:val="0"/>
          <w:caps w:val="0"/>
          <w:sz w:val="22"/>
        </w:rPr>
      </w:pPr>
    </w:p>
    <w:p w14:paraId="0DFD9079" w14:textId="77777777" w:rsidR="00941804" w:rsidRPr="00C03483" w:rsidRDefault="00941804" w:rsidP="00C03483">
      <w:pPr>
        <w:pStyle w:val="TTEMEASMCA"/>
        <w:rPr>
          <w:b w:val="0"/>
          <w:caps w:val="0"/>
          <w:sz w:val="22"/>
        </w:rPr>
      </w:pPr>
    </w:p>
    <w:p w14:paraId="539C1B8B" w14:textId="77777777" w:rsidR="00941804" w:rsidRPr="00C03483" w:rsidRDefault="00941804" w:rsidP="00C03483">
      <w:pPr>
        <w:pStyle w:val="TTEMEASMCA"/>
        <w:rPr>
          <w:b w:val="0"/>
          <w:caps w:val="0"/>
          <w:sz w:val="22"/>
        </w:rPr>
      </w:pPr>
    </w:p>
    <w:p w14:paraId="26D97612" w14:textId="77777777" w:rsidR="00941804" w:rsidRPr="00C03483" w:rsidRDefault="00941804" w:rsidP="00C03483">
      <w:pPr>
        <w:pStyle w:val="TTEMEASMCA"/>
        <w:rPr>
          <w:b w:val="0"/>
          <w:caps w:val="0"/>
          <w:sz w:val="22"/>
        </w:rPr>
      </w:pPr>
    </w:p>
    <w:p w14:paraId="7F934A75" w14:textId="77777777" w:rsidR="00941804" w:rsidRPr="00C03483" w:rsidRDefault="00941804" w:rsidP="00C03483">
      <w:pPr>
        <w:pStyle w:val="TTEMEASMCA"/>
        <w:rPr>
          <w:b w:val="0"/>
          <w:caps w:val="0"/>
          <w:sz w:val="22"/>
        </w:rPr>
      </w:pPr>
    </w:p>
    <w:p w14:paraId="509C5401" w14:textId="77777777" w:rsidR="00941804" w:rsidRPr="00C03483" w:rsidRDefault="00941804" w:rsidP="00C03483">
      <w:pPr>
        <w:pStyle w:val="TTEMEASMCA"/>
        <w:rPr>
          <w:b w:val="0"/>
          <w:caps w:val="0"/>
          <w:sz w:val="22"/>
        </w:rPr>
      </w:pPr>
    </w:p>
    <w:p w14:paraId="184F7A9D" w14:textId="77777777" w:rsidR="00941804" w:rsidRPr="00C03483" w:rsidRDefault="00941804" w:rsidP="00C03483">
      <w:pPr>
        <w:pStyle w:val="TTEMEASMCA"/>
        <w:rPr>
          <w:b w:val="0"/>
          <w:caps w:val="0"/>
          <w:sz w:val="22"/>
        </w:rPr>
      </w:pPr>
    </w:p>
    <w:p w14:paraId="3C1FA11E" w14:textId="77777777" w:rsidR="00941804" w:rsidRPr="00C03483" w:rsidRDefault="00941804" w:rsidP="00C03483">
      <w:pPr>
        <w:pStyle w:val="TTEMEASMCA"/>
        <w:rPr>
          <w:b w:val="0"/>
          <w:caps w:val="0"/>
          <w:sz w:val="22"/>
        </w:rPr>
      </w:pPr>
      <w:r w:rsidRPr="00C03483">
        <w:rPr>
          <w:sz w:val="22"/>
        </w:rPr>
        <w:t>III PRIEDAS</w:t>
      </w:r>
      <w:bookmarkEnd w:id="64"/>
      <w:bookmarkEnd w:id="65"/>
    </w:p>
    <w:p w14:paraId="2474CBB3" w14:textId="77777777" w:rsidR="00941804" w:rsidRPr="004D2419" w:rsidRDefault="00941804" w:rsidP="00C03483">
      <w:pPr>
        <w:pStyle w:val="BTEMEASMCA"/>
      </w:pPr>
    </w:p>
    <w:p w14:paraId="2FB756AA" w14:textId="77777777" w:rsidR="00941804" w:rsidRPr="00C03483" w:rsidRDefault="00941804" w:rsidP="00C03483">
      <w:pPr>
        <w:pStyle w:val="TTEMEASMCA"/>
        <w:rPr>
          <w:b w:val="0"/>
          <w:caps w:val="0"/>
          <w:sz w:val="22"/>
        </w:rPr>
      </w:pPr>
      <w:bookmarkStart w:id="66" w:name="_Toc129243135"/>
      <w:bookmarkStart w:id="67" w:name="_Toc129243260"/>
      <w:r w:rsidRPr="00C03483">
        <w:rPr>
          <w:sz w:val="22"/>
        </w:rPr>
        <w:t>ŽENKLINIMAS IR PAKUOTĖS LAPELIS</w:t>
      </w:r>
      <w:bookmarkEnd w:id="66"/>
      <w:bookmarkEnd w:id="67"/>
    </w:p>
    <w:p w14:paraId="278479EC" w14:textId="77777777" w:rsidR="00941804" w:rsidRPr="00C03483" w:rsidRDefault="00941804" w:rsidP="004D2419">
      <w:pPr>
        <w:jc w:val="center"/>
        <w:rPr>
          <w:b/>
          <w:sz w:val="22"/>
        </w:rPr>
      </w:pPr>
    </w:p>
    <w:p w14:paraId="20461520" w14:textId="77777777" w:rsidR="00941804" w:rsidRPr="00C03483" w:rsidRDefault="00941804" w:rsidP="004D2419">
      <w:pPr>
        <w:jc w:val="center"/>
        <w:rPr>
          <w:b/>
          <w:sz w:val="22"/>
        </w:rPr>
      </w:pPr>
      <w:r w:rsidRPr="00C03483">
        <w:rPr>
          <w:b/>
          <w:sz w:val="22"/>
        </w:rPr>
        <w:br w:type="page"/>
      </w:r>
    </w:p>
    <w:p w14:paraId="3BA51D8E" w14:textId="77777777" w:rsidR="00941804" w:rsidRPr="00C03483" w:rsidRDefault="00941804" w:rsidP="004D2419">
      <w:pPr>
        <w:jc w:val="center"/>
        <w:rPr>
          <w:b/>
          <w:sz w:val="22"/>
        </w:rPr>
      </w:pPr>
    </w:p>
    <w:p w14:paraId="486B9B84" w14:textId="77777777" w:rsidR="00941804" w:rsidRPr="00C03483" w:rsidRDefault="00941804" w:rsidP="004D2419">
      <w:pPr>
        <w:jc w:val="center"/>
        <w:rPr>
          <w:b/>
          <w:sz w:val="22"/>
        </w:rPr>
      </w:pPr>
    </w:p>
    <w:p w14:paraId="6339E301" w14:textId="77777777" w:rsidR="00941804" w:rsidRPr="00C03483" w:rsidRDefault="00941804" w:rsidP="004D2419">
      <w:pPr>
        <w:jc w:val="center"/>
        <w:rPr>
          <w:b/>
          <w:sz w:val="22"/>
        </w:rPr>
      </w:pPr>
    </w:p>
    <w:p w14:paraId="3EC68537" w14:textId="77777777" w:rsidR="00941804" w:rsidRPr="00C03483" w:rsidRDefault="00941804" w:rsidP="004D2419">
      <w:pPr>
        <w:jc w:val="center"/>
        <w:rPr>
          <w:b/>
          <w:sz w:val="22"/>
        </w:rPr>
      </w:pPr>
    </w:p>
    <w:p w14:paraId="60F15F60" w14:textId="77777777" w:rsidR="00941804" w:rsidRPr="00C03483" w:rsidRDefault="00941804" w:rsidP="004D2419">
      <w:pPr>
        <w:jc w:val="center"/>
        <w:rPr>
          <w:b/>
          <w:sz w:val="22"/>
        </w:rPr>
      </w:pPr>
    </w:p>
    <w:p w14:paraId="26E4E242" w14:textId="77777777" w:rsidR="00941804" w:rsidRPr="00C03483" w:rsidRDefault="00941804" w:rsidP="004D2419">
      <w:pPr>
        <w:jc w:val="center"/>
        <w:rPr>
          <w:b/>
          <w:sz w:val="22"/>
        </w:rPr>
      </w:pPr>
    </w:p>
    <w:p w14:paraId="35C8C589" w14:textId="77777777" w:rsidR="00941804" w:rsidRPr="00C03483" w:rsidRDefault="00941804" w:rsidP="004D2419">
      <w:pPr>
        <w:jc w:val="center"/>
        <w:rPr>
          <w:b/>
          <w:sz w:val="22"/>
        </w:rPr>
      </w:pPr>
    </w:p>
    <w:p w14:paraId="724EDE26" w14:textId="77777777" w:rsidR="00941804" w:rsidRPr="00C03483" w:rsidRDefault="00941804" w:rsidP="004D2419">
      <w:pPr>
        <w:jc w:val="center"/>
        <w:rPr>
          <w:b/>
          <w:sz w:val="22"/>
        </w:rPr>
      </w:pPr>
    </w:p>
    <w:p w14:paraId="56AD5FA6" w14:textId="77777777" w:rsidR="00941804" w:rsidRPr="00C03483" w:rsidRDefault="00941804" w:rsidP="004D2419">
      <w:pPr>
        <w:jc w:val="center"/>
        <w:rPr>
          <w:b/>
          <w:sz w:val="22"/>
        </w:rPr>
      </w:pPr>
    </w:p>
    <w:p w14:paraId="543B4948" w14:textId="77777777" w:rsidR="00941804" w:rsidRPr="00C03483" w:rsidRDefault="00941804" w:rsidP="004D2419">
      <w:pPr>
        <w:jc w:val="center"/>
        <w:rPr>
          <w:b/>
          <w:sz w:val="22"/>
        </w:rPr>
      </w:pPr>
    </w:p>
    <w:p w14:paraId="0177312B" w14:textId="77777777" w:rsidR="00941804" w:rsidRPr="00C03483" w:rsidRDefault="00941804" w:rsidP="004D2419">
      <w:pPr>
        <w:jc w:val="center"/>
        <w:rPr>
          <w:b/>
          <w:sz w:val="22"/>
        </w:rPr>
      </w:pPr>
    </w:p>
    <w:p w14:paraId="54A5E236" w14:textId="77777777" w:rsidR="00941804" w:rsidRPr="00C03483" w:rsidRDefault="00941804" w:rsidP="004D2419">
      <w:pPr>
        <w:jc w:val="center"/>
        <w:rPr>
          <w:b/>
          <w:sz w:val="22"/>
        </w:rPr>
      </w:pPr>
    </w:p>
    <w:p w14:paraId="7AE4162B" w14:textId="77777777" w:rsidR="00941804" w:rsidRPr="00C03483" w:rsidRDefault="00941804" w:rsidP="004D2419">
      <w:pPr>
        <w:jc w:val="center"/>
        <w:rPr>
          <w:b/>
          <w:sz w:val="22"/>
        </w:rPr>
      </w:pPr>
    </w:p>
    <w:p w14:paraId="1B337226" w14:textId="77777777" w:rsidR="00941804" w:rsidRPr="00C03483" w:rsidRDefault="00941804" w:rsidP="004D2419">
      <w:pPr>
        <w:jc w:val="center"/>
        <w:rPr>
          <w:b/>
          <w:sz w:val="22"/>
        </w:rPr>
      </w:pPr>
    </w:p>
    <w:p w14:paraId="1FAEDF78" w14:textId="77777777" w:rsidR="00941804" w:rsidRPr="00C03483" w:rsidRDefault="00941804" w:rsidP="004D2419">
      <w:pPr>
        <w:jc w:val="center"/>
        <w:rPr>
          <w:b/>
          <w:sz w:val="22"/>
        </w:rPr>
      </w:pPr>
    </w:p>
    <w:p w14:paraId="12BFB2E6" w14:textId="77777777" w:rsidR="00941804" w:rsidRPr="00C03483" w:rsidRDefault="00941804" w:rsidP="004D2419">
      <w:pPr>
        <w:jc w:val="center"/>
        <w:rPr>
          <w:b/>
          <w:sz w:val="22"/>
        </w:rPr>
      </w:pPr>
    </w:p>
    <w:p w14:paraId="5F3ECCC9" w14:textId="77777777" w:rsidR="00941804" w:rsidRPr="00C03483" w:rsidRDefault="00941804" w:rsidP="004D2419">
      <w:pPr>
        <w:jc w:val="center"/>
        <w:rPr>
          <w:b/>
          <w:sz w:val="22"/>
        </w:rPr>
      </w:pPr>
    </w:p>
    <w:p w14:paraId="074333CF" w14:textId="77777777" w:rsidR="00941804" w:rsidRPr="00C03483" w:rsidRDefault="00941804" w:rsidP="004D2419">
      <w:pPr>
        <w:rPr>
          <w:sz w:val="22"/>
        </w:rPr>
      </w:pPr>
    </w:p>
    <w:p w14:paraId="3827382F" w14:textId="77777777" w:rsidR="00941804" w:rsidRPr="00C03483" w:rsidRDefault="00941804" w:rsidP="004D2419">
      <w:pPr>
        <w:rPr>
          <w:sz w:val="22"/>
        </w:rPr>
      </w:pPr>
    </w:p>
    <w:p w14:paraId="53A32E74" w14:textId="77777777" w:rsidR="00941804" w:rsidRPr="00C03483" w:rsidRDefault="00941804" w:rsidP="004D2419">
      <w:pPr>
        <w:rPr>
          <w:sz w:val="22"/>
        </w:rPr>
      </w:pPr>
    </w:p>
    <w:p w14:paraId="3639E7A4" w14:textId="77777777" w:rsidR="00941804" w:rsidRPr="00C03483" w:rsidRDefault="00941804" w:rsidP="004D2419">
      <w:pPr>
        <w:rPr>
          <w:sz w:val="22"/>
        </w:rPr>
      </w:pPr>
    </w:p>
    <w:p w14:paraId="66784DB3" w14:textId="77777777" w:rsidR="00941804" w:rsidRPr="00C03483" w:rsidRDefault="00941804" w:rsidP="004D2419">
      <w:pPr>
        <w:rPr>
          <w:sz w:val="22"/>
        </w:rPr>
      </w:pPr>
    </w:p>
    <w:p w14:paraId="3049C50A" w14:textId="77777777" w:rsidR="00941804" w:rsidRPr="00C03483" w:rsidRDefault="00941804" w:rsidP="004D2419">
      <w:pPr>
        <w:jc w:val="center"/>
        <w:rPr>
          <w:b/>
          <w:sz w:val="22"/>
        </w:rPr>
      </w:pPr>
      <w:r w:rsidRPr="00C03483">
        <w:rPr>
          <w:b/>
          <w:sz w:val="22"/>
        </w:rPr>
        <w:t>A. ŽENKLINIMAS</w:t>
      </w:r>
      <w:r w:rsidRPr="00C03483">
        <w:rPr>
          <w:b/>
          <w:sz w:val="22"/>
        </w:rPr>
        <w:br w:type="page"/>
      </w:r>
    </w:p>
    <w:p w14:paraId="1918D186" w14:textId="77777777" w:rsidR="00941804" w:rsidRPr="00C03483" w:rsidRDefault="00941804" w:rsidP="00C03483">
      <w:pPr>
        <w:pStyle w:val="PI-1labEMEASMCA"/>
        <w:rPr>
          <w:b w:val="0"/>
          <w:sz w:val="22"/>
        </w:rPr>
      </w:pPr>
      <w:r w:rsidRPr="00C03483">
        <w:rPr>
          <w:sz w:val="22"/>
        </w:rPr>
        <w:lastRenderedPageBreak/>
        <w:t>INFORMACIJA ANT IŠORINĖS PAKUOTĖS</w:t>
      </w:r>
    </w:p>
    <w:p w14:paraId="682AC0B1" w14:textId="77777777" w:rsidR="00941804" w:rsidRPr="00C03483" w:rsidRDefault="00941804" w:rsidP="00C03483">
      <w:pPr>
        <w:pStyle w:val="PI-1labEMEASMCA"/>
        <w:rPr>
          <w:b w:val="0"/>
          <w:sz w:val="22"/>
        </w:rPr>
      </w:pPr>
    </w:p>
    <w:p w14:paraId="4B2F3D49" w14:textId="77777777" w:rsidR="00941804" w:rsidRPr="00C03483" w:rsidRDefault="00941804" w:rsidP="00C03483">
      <w:pPr>
        <w:pStyle w:val="PI-1labEMEASMCA"/>
        <w:rPr>
          <w:b w:val="0"/>
          <w:sz w:val="22"/>
        </w:rPr>
      </w:pPr>
      <w:r w:rsidRPr="00C03483">
        <w:rPr>
          <w:sz w:val="22"/>
        </w:rPr>
        <w:t xml:space="preserve">KARTONO DĖŽUTĖ </w:t>
      </w:r>
    </w:p>
    <w:p w14:paraId="6E4F0471" w14:textId="77777777" w:rsidR="00941804" w:rsidRPr="00C03483" w:rsidRDefault="00941804" w:rsidP="004D2419">
      <w:pPr>
        <w:rPr>
          <w:sz w:val="22"/>
        </w:rPr>
      </w:pPr>
    </w:p>
    <w:p w14:paraId="686A449B" w14:textId="77777777" w:rsidR="00941804" w:rsidRPr="00C03483" w:rsidRDefault="00941804" w:rsidP="004D2419">
      <w:pPr>
        <w:rPr>
          <w:sz w:val="22"/>
        </w:rPr>
      </w:pPr>
    </w:p>
    <w:p w14:paraId="4FD6DB54" w14:textId="77777777" w:rsidR="00941804" w:rsidRPr="00C03483" w:rsidRDefault="00941804" w:rsidP="004D2419">
      <w:pPr>
        <w:pBdr>
          <w:top w:val="single" w:sz="4" w:space="1" w:color="auto"/>
          <w:left w:val="single" w:sz="4" w:space="4" w:color="auto"/>
          <w:bottom w:val="single" w:sz="4" w:space="1" w:color="auto"/>
          <w:right w:val="single" w:sz="4" w:space="4" w:color="auto"/>
        </w:pBdr>
        <w:ind w:left="540" w:hanging="540"/>
        <w:rPr>
          <w:b/>
          <w:sz w:val="22"/>
        </w:rPr>
      </w:pPr>
      <w:r w:rsidRPr="00C03483">
        <w:rPr>
          <w:b/>
          <w:sz w:val="22"/>
        </w:rPr>
        <w:t>1.</w:t>
      </w:r>
      <w:r w:rsidRPr="00C03483">
        <w:rPr>
          <w:b/>
          <w:sz w:val="22"/>
        </w:rPr>
        <w:tab/>
        <w:t>VAISTINIO PREPARATO PAVADINIMAS</w:t>
      </w:r>
    </w:p>
    <w:p w14:paraId="00A90A60" w14:textId="77777777" w:rsidR="00941804" w:rsidRPr="00C03483" w:rsidRDefault="00941804" w:rsidP="004D2419">
      <w:pPr>
        <w:rPr>
          <w:sz w:val="22"/>
        </w:rPr>
      </w:pPr>
    </w:p>
    <w:p w14:paraId="6FFFA4B8" w14:textId="77777777" w:rsidR="00941804" w:rsidRPr="00C03483" w:rsidRDefault="00941804" w:rsidP="004D2419">
      <w:pPr>
        <w:rPr>
          <w:sz w:val="22"/>
        </w:rPr>
      </w:pPr>
      <w:r w:rsidRPr="00C03483">
        <w:rPr>
          <w:sz w:val="22"/>
        </w:rPr>
        <w:t>RISONATE 35 mg plėvele dengtos tabletės</w:t>
      </w:r>
    </w:p>
    <w:p w14:paraId="3D5F0841" w14:textId="77777777" w:rsidR="00941804" w:rsidRPr="00C03483" w:rsidRDefault="00941804" w:rsidP="004D2419">
      <w:pPr>
        <w:rPr>
          <w:sz w:val="22"/>
        </w:rPr>
      </w:pPr>
      <w:r w:rsidRPr="00C03483">
        <w:rPr>
          <w:sz w:val="22"/>
        </w:rPr>
        <w:t xml:space="preserve">Natrii risedronas </w:t>
      </w:r>
    </w:p>
    <w:p w14:paraId="01CC69BA" w14:textId="77777777" w:rsidR="00941804" w:rsidRPr="00C03483" w:rsidRDefault="00941804" w:rsidP="004D2419">
      <w:pPr>
        <w:rPr>
          <w:sz w:val="22"/>
        </w:rPr>
      </w:pPr>
    </w:p>
    <w:p w14:paraId="1A00BC52" w14:textId="77777777" w:rsidR="00941804" w:rsidRPr="00C03483" w:rsidRDefault="00941804" w:rsidP="004D2419">
      <w:pPr>
        <w:rPr>
          <w:sz w:val="22"/>
        </w:rPr>
      </w:pPr>
    </w:p>
    <w:p w14:paraId="29454EAA" w14:textId="77777777" w:rsidR="00941804" w:rsidRPr="00C03483" w:rsidRDefault="00941804" w:rsidP="004D2419">
      <w:pPr>
        <w:pBdr>
          <w:top w:val="single" w:sz="4" w:space="1" w:color="auto"/>
          <w:left w:val="single" w:sz="4" w:space="4" w:color="auto"/>
          <w:bottom w:val="single" w:sz="4" w:space="1" w:color="auto"/>
          <w:right w:val="single" w:sz="4" w:space="4" w:color="auto"/>
        </w:pBdr>
        <w:ind w:left="540" w:hanging="540"/>
        <w:rPr>
          <w:b/>
          <w:sz w:val="22"/>
        </w:rPr>
      </w:pPr>
      <w:r w:rsidRPr="00C03483">
        <w:rPr>
          <w:b/>
          <w:sz w:val="22"/>
        </w:rPr>
        <w:t>2.</w:t>
      </w:r>
      <w:r w:rsidRPr="00C03483">
        <w:rPr>
          <w:b/>
          <w:sz w:val="22"/>
        </w:rPr>
        <w:tab/>
        <w:t>VEIKLIOJI (-IOS) MEDŽIAGA (-OS) IR JOS (-Ų) KIEKIS (-IAI)</w:t>
      </w:r>
    </w:p>
    <w:p w14:paraId="62E79511" w14:textId="77777777" w:rsidR="00941804" w:rsidRPr="00C03483" w:rsidRDefault="00941804" w:rsidP="004D2419">
      <w:pPr>
        <w:rPr>
          <w:sz w:val="22"/>
        </w:rPr>
      </w:pPr>
    </w:p>
    <w:p w14:paraId="694E87B0" w14:textId="77777777" w:rsidR="00941804" w:rsidRPr="00C03483" w:rsidRDefault="00941804" w:rsidP="004D2419">
      <w:pPr>
        <w:rPr>
          <w:sz w:val="22"/>
        </w:rPr>
      </w:pPr>
      <w:r w:rsidRPr="00C03483">
        <w:rPr>
          <w:sz w:val="22"/>
        </w:rPr>
        <w:t>Kiekvienoje tabletėje yra 35 mg natrio rizedronato (atitinka 32,5 mg rizedrono rūgšties).</w:t>
      </w:r>
    </w:p>
    <w:p w14:paraId="04B854F7" w14:textId="77777777" w:rsidR="00941804" w:rsidRPr="00C03483" w:rsidRDefault="00941804" w:rsidP="004D2419">
      <w:pPr>
        <w:rPr>
          <w:sz w:val="22"/>
        </w:rPr>
      </w:pPr>
    </w:p>
    <w:p w14:paraId="2EA03C08" w14:textId="77777777" w:rsidR="00941804" w:rsidRPr="00C03483" w:rsidRDefault="00941804" w:rsidP="004D2419">
      <w:pPr>
        <w:rPr>
          <w:sz w:val="22"/>
        </w:rPr>
      </w:pPr>
    </w:p>
    <w:p w14:paraId="542BD081" w14:textId="77777777" w:rsidR="00941804" w:rsidRPr="00C03483" w:rsidRDefault="00941804" w:rsidP="004D2419">
      <w:pPr>
        <w:pBdr>
          <w:top w:val="single" w:sz="4" w:space="1" w:color="auto"/>
          <w:left w:val="single" w:sz="4" w:space="4" w:color="auto"/>
          <w:bottom w:val="single" w:sz="4" w:space="1" w:color="auto"/>
          <w:right w:val="single" w:sz="4" w:space="4" w:color="auto"/>
        </w:pBdr>
        <w:ind w:left="540" w:hanging="540"/>
        <w:rPr>
          <w:b/>
          <w:sz w:val="22"/>
        </w:rPr>
      </w:pPr>
      <w:r w:rsidRPr="00C03483">
        <w:rPr>
          <w:b/>
          <w:sz w:val="22"/>
        </w:rPr>
        <w:t>3.</w:t>
      </w:r>
      <w:r w:rsidRPr="00C03483">
        <w:rPr>
          <w:b/>
          <w:sz w:val="22"/>
        </w:rPr>
        <w:tab/>
        <w:t>PAGALBINIŲ MEDŽIAGŲ SĄRAŠAS</w:t>
      </w:r>
    </w:p>
    <w:p w14:paraId="2FEAB749" w14:textId="77777777" w:rsidR="00941804" w:rsidRPr="00C03483" w:rsidRDefault="00941804" w:rsidP="004D2419">
      <w:pPr>
        <w:rPr>
          <w:sz w:val="22"/>
        </w:rPr>
      </w:pPr>
    </w:p>
    <w:p w14:paraId="5A863DDD" w14:textId="77777777" w:rsidR="00941804" w:rsidRPr="00C03483" w:rsidRDefault="00941804" w:rsidP="004D2419">
      <w:pPr>
        <w:rPr>
          <w:sz w:val="22"/>
        </w:rPr>
      </w:pPr>
      <w:r w:rsidRPr="00C03483">
        <w:rPr>
          <w:sz w:val="22"/>
        </w:rPr>
        <w:t>Sudėtyje yra laktozės monohidrato</w:t>
      </w:r>
      <w:r w:rsidR="005C517F">
        <w:rPr>
          <w:sz w:val="22"/>
          <w:szCs w:val="22"/>
        </w:rPr>
        <w:t>.</w:t>
      </w:r>
    </w:p>
    <w:p w14:paraId="6B003906" w14:textId="77777777" w:rsidR="00941804" w:rsidRPr="00C03483" w:rsidRDefault="00941804" w:rsidP="004D2419">
      <w:pPr>
        <w:rPr>
          <w:sz w:val="22"/>
        </w:rPr>
      </w:pPr>
      <w:r w:rsidRPr="00C03483">
        <w:rPr>
          <w:sz w:val="22"/>
        </w:rPr>
        <w:t>Daugiau informacijos pateikta pakuotės lapelyje.</w:t>
      </w:r>
    </w:p>
    <w:p w14:paraId="0298910C" w14:textId="77777777" w:rsidR="00941804" w:rsidRPr="00C03483" w:rsidRDefault="00941804" w:rsidP="004D2419">
      <w:pPr>
        <w:rPr>
          <w:sz w:val="22"/>
        </w:rPr>
      </w:pPr>
    </w:p>
    <w:p w14:paraId="32012232" w14:textId="77777777" w:rsidR="00941804" w:rsidRPr="00C03483" w:rsidRDefault="00941804" w:rsidP="004D2419">
      <w:pPr>
        <w:rPr>
          <w:sz w:val="22"/>
        </w:rPr>
      </w:pPr>
    </w:p>
    <w:p w14:paraId="7089B1C7" w14:textId="77777777" w:rsidR="00941804" w:rsidRPr="00C03483" w:rsidRDefault="00941804" w:rsidP="004D2419">
      <w:pPr>
        <w:pBdr>
          <w:top w:val="single" w:sz="4" w:space="1" w:color="auto"/>
          <w:left w:val="single" w:sz="4" w:space="4" w:color="auto"/>
          <w:bottom w:val="single" w:sz="4" w:space="1" w:color="auto"/>
          <w:right w:val="single" w:sz="4" w:space="4" w:color="auto"/>
        </w:pBdr>
        <w:ind w:left="540" w:hanging="540"/>
        <w:rPr>
          <w:b/>
          <w:sz w:val="22"/>
        </w:rPr>
      </w:pPr>
      <w:r w:rsidRPr="00C03483">
        <w:rPr>
          <w:b/>
          <w:sz w:val="22"/>
        </w:rPr>
        <w:t>4.</w:t>
      </w:r>
      <w:r w:rsidRPr="00C03483">
        <w:rPr>
          <w:b/>
          <w:sz w:val="22"/>
        </w:rPr>
        <w:tab/>
        <w:t>FARMACINĖ FORMA IR KIEKIS PAKUOTĖJE</w:t>
      </w:r>
    </w:p>
    <w:p w14:paraId="6D76196C" w14:textId="77777777" w:rsidR="00941804" w:rsidRPr="00C03483" w:rsidRDefault="00941804" w:rsidP="004D2419">
      <w:pPr>
        <w:rPr>
          <w:sz w:val="22"/>
        </w:rPr>
      </w:pPr>
    </w:p>
    <w:p w14:paraId="66BA476F" w14:textId="77777777" w:rsidR="00941804" w:rsidRPr="00C03483" w:rsidRDefault="00941804" w:rsidP="004D2419">
      <w:pPr>
        <w:rPr>
          <w:sz w:val="22"/>
          <w:shd w:val="clear" w:color="auto" w:fill="CCCCCC"/>
        </w:rPr>
      </w:pPr>
      <w:r w:rsidRPr="00C03483">
        <w:rPr>
          <w:sz w:val="22"/>
          <w:shd w:val="clear" w:color="auto" w:fill="CCCCCC"/>
        </w:rPr>
        <w:t>Plėvele dengta tabletė</w:t>
      </w:r>
    </w:p>
    <w:p w14:paraId="13534944" w14:textId="77777777" w:rsidR="00941804" w:rsidRPr="00C03483" w:rsidRDefault="00941804" w:rsidP="004D2419">
      <w:pPr>
        <w:rPr>
          <w:sz w:val="22"/>
        </w:rPr>
      </w:pPr>
    </w:p>
    <w:p w14:paraId="7D2E644E" w14:textId="77777777" w:rsidR="00941804" w:rsidRPr="00C03483" w:rsidRDefault="00941804" w:rsidP="004D2419">
      <w:pPr>
        <w:rPr>
          <w:sz w:val="22"/>
        </w:rPr>
      </w:pPr>
      <w:r w:rsidRPr="00C03483">
        <w:rPr>
          <w:sz w:val="22"/>
        </w:rPr>
        <w:t>1 plėvele dengta tabletė</w:t>
      </w:r>
    </w:p>
    <w:p w14:paraId="77CB03C9" w14:textId="77777777" w:rsidR="00941804" w:rsidRPr="00792086" w:rsidRDefault="00941804" w:rsidP="004D2419">
      <w:pPr>
        <w:rPr>
          <w:sz w:val="22"/>
          <w:highlight w:val="lightGray"/>
        </w:rPr>
      </w:pPr>
      <w:r w:rsidRPr="00792086">
        <w:rPr>
          <w:sz w:val="22"/>
          <w:highlight w:val="lightGray"/>
        </w:rPr>
        <w:t>2 plėvele dengtos tabletės</w:t>
      </w:r>
    </w:p>
    <w:p w14:paraId="425D352C" w14:textId="77777777" w:rsidR="00941804" w:rsidRPr="00792086" w:rsidRDefault="00941804" w:rsidP="004D2419">
      <w:pPr>
        <w:rPr>
          <w:sz w:val="22"/>
          <w:highlight w:val="lightGray"/>
        </w:rPr>
      </w:pPr>
      <w:r w:rsidRPr="00792086">
        <w:rPr>
          <w:sz w:val="22"/>
          <w:highlight w:val="lightGray"/>
        </w:rPr>
        <w:t>4 plėvele dengtos tabletės</w:t>
      </w:r>
    </w:p>
    <w:p w14:paraId="0CCDBC45" w14:textId="77777777" w:rsidR="00941804" w:rsidRPr="00792086" w:rsidRDefault="00941804" w:rsidP="004D2419">
      <w:pPr>
        <w:rPr>
          <w:sz w:val="22"/>
          <w:highlight w:val="lightGray"/>
        </w:rPr>
      </w:pPr>
      <w:r w:rsidRPr="00792086">
        <w:rPr>
          <w:sz w:val="22"/>
          <w:highlight w:val="lightGray"/>
        </w:rPr>
        <w:t>8 plėvele dengtos tabletės</w:t>
      </w:r>
    </w:p>
    <w:p w14:paraId="4BBC4A07" w14:textId="77777777" w:rsidR="00941804" w:rsidRPr="00C03483" w:rsidRDefault="00941804" w:rsidP="004D2419">
      <w:pPr>
        <w:rPr>
          <w:sz w:val="22"/>
        </w:rPr>
      </w:pPr>
      <w:r w:rsidRPr="00792086">
        <w:rPr>
          <w:sz w:val="22"/>
          <w:highlight w:val="lightGray"/>
        </w:rPr>
        <w:t>10 plėvele dengtų tablečių</w:t>
      </w:r>
    </w:p>
    <w:p w14:paraId="1170D9C5" w14:textId="77777777" w:rsidR="00941804" w:rsidRPr="00C03483" w:rsidRDefault="00941804" w:rsidP="004D2419">
      <w:pPr>
        <w:rPr>
          <w:sz w:val="22"/>
        </w:rPr>
      </w:pPr>
      <w:r w:rsidRPr="00792086">
        <w:rPr>
          <w:sz w:val="22"/>
          <w:highlight w:val="lightGray"/>
        </w:rPr>
        <w:t>12 plėvele dengtų tablečių</w:t>
      </w:r>
    </w:p>
    <w:p w14:paraId="315F0B45" w14:textId="77777777" w:rsidR="00941804" w:rsidRPr="00C03483" w:rsidRDefault="00941804" w:rsidP="004D2419">
      <w:pPr>
        <w:rPr>
          <w:sz w:val="22"/>
        </w:rPr>
      </w:pPr>
      <w:r w:rsidRPr="00792086">
        <w:rPr>
          <w:sz w:val="22"/>
          <w:highlight w:val="lightGray"/>
        </w:rPr>
        <w:t>12 (3x4) plėvele dengtų tablečių</w:t>
      </w:r>
    </w:p>
    <w:p w14:paraId="26403274" w14:textId="77777777" w:rsidR="00941804" w:rsidRPr="00C03483" w:rsidRDefault="00941804" w:rsidP="004D2419">
      <w:pPr>
        <w:rPr>
          <w:sz w:val="22"/>
        </w:rPr>
      </w:pPr>
      <w:r w:rsidRPr="00792086">
        <w:rPr>
          <w:sz w:val="22"/>
          <w:highlight w:val="lightGray"/>
        </w:rPr>
        <w:t>14 plėvele dengtų tablečių</w:t>
      </w:r>
    </w:p>
    <w:p w14:paraId="07DC648F" w14:textId="77777777" w:rsidR="00941804" w:rsidRPr="00C03483" w:rsidRDefault="00941804" w:rsidP="004D2419">
      <w:pPr>
        <w:rPr>
          <w:sz w:val="22"/>
        </w:rPr>
      </w:pPr>
      <w:r w:rsidRPr="00792086">
        <w:rPr>
          <w:sz w:val="22"/>
          <w:highlight w:val="lightGray"/>
        </w:rPr>
        <w:t>16 plėvele dengtų tablečių</w:t>
      </w:r>
    </w:p>
    <w:p w14:paraId="2D0A8250" w14:textId="77777777" w:rsidR="00941804" w:rsidRPr="00C03483" w:rsidRDefault="00941804" w:rsidP="004D2419">
      <w:pPr>
        <w:rPr>
          <w:sz w:val="22"/>
        </w:rPr>
      </w:pPr>
      <w:r w:rsidRPr="00792086">
        <w:rPr>
          <w:sz w:val="22"/>
          <w:highlight w:val="lightGray"/>
        </w:rPr>
        <w:t>16 (4x4) plėvele dengtų tablečių</w:t>
      </w:r>
    </w:p>
    <w:p w14:paraId="07361207" w14:textId="77777777" w:rsidR="00941804" w:rsidRPr="00C03483" w:rsidRDefault="00941804" w:rsidP="004D2419">
      <w:pPr>
        <w:rPr>
          <w:sz w:val="22"/>
        </w:rPr>
      </w:pPr>
      <w:r w:rsidRPr="00792086">
        <w:rPr>
          <w:sz w:val="22"/>
          <w:highlight w:val="lightGray"/>
        </w:rPr>
        <w:t>30 plėvele dengtų tablečių</w:t>
      </w:r>
    </w:p>
    <w:p w14:paraId="405E5DA6" w14:textId="77777777" w:rsidR="00941804" w:rsidRPr="00C03483" w:rsidRDefault="00941804" w:rsidP="004D2419">
      <w:pPr>
        <w:rPr>
          <w:sz w:val="22"/>
        </w:rPr>
      </w:pPr>
    </w:p>
    <w:p w14:paraId="7F3B919A" w14:textId="77777777" w:rsidR="00941804" w:rsidRPr="00C03483" w:rsidRDefault="00941804" w:rsidP="004D2419">
      <w:pPr>
        <w:rPr>
          <w:sz w:val="22"/>
        </w:rPr>
      </w:pPr>
      <w:r w:rsidRPr="00792086">
        <w:rPr>
          <w:sz w:val="22"/>
          <w:highlight w:val="lightGray"/>
        </w:rPr>
        <w:t>Pakuotės gydymo įstaigai</w:t>
      </w:r>
    </w:p>
    <w:p w14:paraId="2B4DBB28" w14:textId="77777777" w:rsidR="00941804" w:rsidRPr="00792086" w:rsidRDefault="00941804" w:rsidP="004D2419">
      <w:pPr>
        <w:rPr>
          <w:sz w:val="22"/>
          <w:highlight w:val="lightGray"/>
        </w:rPr>
      </w:pPr>
      <w:r w:rsidRPr="00792086">
        <w:rPr>
          <w:sz w:val="22"/>
          <w:highlight w:val="lightGray"/>
        </w:rPr>
        <w:t>4 (4x1) plėvele dengtos tabletės</w:t>
      </w:r>
    </w:p>
    <w:p w14:paraId="6011AAE5" w14:textId="77777777" w:rsidR="00941804" w:rsidRPr="00C03483" w:rsidRDefault="00941804" w:rsidP="004D2419">
      <w:pPr>
        <w:rPr>
          <w:sz w:val="22"/>
        </w:rPr>
      </w:pPr>
      <w:r w:rsidRPr="00792086">
        <w:rPr>
          <w:sz w:val="22"/>
          <w:highlight w:val="lightGray"/>
        </w:rPr>
        <w:t>10 (10x1) plėvele dengtų tablečių</w:t>
      </w:r>
    </w:p>
    <w:p w14:paraId="20D60A54" w14:textId="77777777" w:rsidR="00941804" w:rsidRPr="00C03483" w:rsidRDefault="00941804" w:rsidP="004D2419">
      <w:pPr>
        <w:rPr>
          <w:sz w:val="22"/>
        </w:rPr>
      </w:pPr>
      <w:r w:rsidRPr="00792086">
        <w:rPr>
          <w:sz w:val="22"/>
          <w:highlight w:val="lightGray"/>
        </w:rPr>
        <w:t>50 (50x1) plėvele dengtų tablečių</w:t>
      </w:r>
    </w:p>
    <w:p w14:paraId="4E570B03" w14:textId="77777777" w:rsidR="00941804" w:rsidRPr="00C03483" w:rsidRDefault="00941804" w:rsidP="004D2419">
      <w:pPr>
        <w:rPr>
          <w:sz w:val="22"/>
        </w:rPr>
      </w:pPr>
    </w:p>
    <w:p w14:paraId="7C4E4B67" w14:textId="77777777" w:rsidR="00941804" w:rsidRPr="00C03483" w:rsidRDefault="00941804" w:rsidP="004D2419">
      <w:pPr>
        <w:rPr>
          <w:sz w:val="22"/>
        </w:rPr>
      </w:pPr>
    </w:p>
    <w:p w14:paraId="62AF9C09" w14:textId="77777777" w:rsidR="00941804" w:rsidRPr="00C03483" w:rsidRDefault="00941804" w:rsidP="004D2419">
      <w:pPr>
        <w:pBdr>
          <w:top w:val="single" w:sz="4" w:space="1" w:color="auto"/>
          <w:left w:val="single" w:sz="4" w:space="4" w:color="auto"/>
          <w:bottom w:val="single" w:sz="4" w:space="1" w:color="auto"/>
          <w:right w:val="single" w:sz="4" w:space="4" w:color="auto"/>
        </w:pBdr>
        <w:ind w:left="540" w:hanging="540"/>
        <w:rPr>
          <w:b/>
          <w:sz w:val="22"/>
        </w:rPr>
      </w:pPr>
      <w:r w:rsidRPr="00C03483">
        <w:rPr>
          <w:b/>
          <w:sz w:val="22"/>
        </w:rPr>
        <w:t>5.</w:t>
      </w:r>
      <w:r w:rsidRPr="00C03483">
        <w:rPr>
          <w:b/>
          <w:sz w:val="22"/>
        </w:rPr>
        <w:tab/>
        <w:t>VARTOJIMO METODAS IR BŪDAS (-AI)</w:t>
      </w:r>
    </w:p>
    <w:p w14:paraId="0601FB96" w14:textId="77777777" w:rsidR="00941804" w:rsidRPr="00C03483" w:rsidRDefault="00941804" w:rsidP="004D2419">
      <w:pPr>
        <w:rPr>
          <w:sz w:val="22"/>
        </w:rPr>
      </w:pPr>
    </w:p>
    <w:p w14:paraId="151D55B4" w14:textId="77777777" w:rsidR="00941804" w:rsidRPr="00C03483" w:rsidRDefault="00941804" w:rsidP="004D2419">
      <w:pPr>
        <w:rPr>
          <w:sz w:val="22"/>
        </w:rPr>
      </w:pPr>
      <w:r w:rsidRPr="00C03483">
        <w:rPr>
          <w:sz w:val="22"/>
        </w:rPr>
        <w:t xml:space="preserve">Vartoti per burną. </w:t>
      </w:r>
    </w:p>
    <w:p w14:paraId="216D9450" w14:textId="77777777" w:rsidR="00941804" w:rsidRPr="00C03483" w:rsidRDefault="00941804" w:rsidP="004D2419">
      <w:pPr>
        <w:rPr>
          <w:sz w:val="22"/>
        </w:rPr>
      </w:pPr>
      <w:r w:rsidRPr="00C03483">
        <w:rPr>
          <w:sz w:val="22"/>
        </w:rPr>
        <w:t>Prieš vartojimą perskaitykite pakuotės lapelį.</w:t>
      </w:r>
    </w:p>
    <w:p w14:paraId="03DF8434" w14:textId="77777777" w:rsidR="00941804" w:rsidRPr="00C03483" w:rsidRDefault="00941804" w:rsidP="004D2419">
      <w:pPr>
        <w:rPr>
          <w:sz w:val="22"/>
        </w:rPr>
      </w:pPr>
    </w:p>
    <w:p w14:paraId="30DF68C7" w14:textId="77777777" w:rsidR="00941804" w:rsidRPr="00C03483" w:rsidRDefault="00941804" w:rsidP="004D2419">
      <w:pPr>
        <w:rPr>
          <w:sz w:val="22"/>
        </w:rPr>
      </w:pPr>
    </w:p>
    <w:p w14:paraId="05C36261" w14:textId="77777777" w:rsidR="00941804" w:rsidRPr="00C03483" w:rsidRDefault="00941804" w:rsidP="004D2419">
      <w:pPr>
        <w:pBdr>
          <w:top w:val="single" w:sz="4" w:space="1" w:color="auto"/>
          <w:left w:val="single" w:sz="4" w:space="4" w:color="auto"/>
          <w:bottom w:val="single" w:sz="4" w:space="1" w:color="auto"/>
          <w:right w:val="single" w:sz="4" w:space="4" w:color="auto"/>
        </w:pBdr>
        <w:ind w:left="540" w:hanging="540"/>
        <w:rPr>
          <w:b/>
          <w:sz w:val="22"/>
        </w:rPr>
      </w:pPr>
      <w:r w:rsidRPr="00C03483">
        <w:rPr>
          <w:b/>
          <w:sz w:val="22"/>
        </w:rPr>
        <w:t>6.</w:t>
      </w:r>
      <w:r w:rsidRPr="00C03483">
        <w:rPr>
          <w:b/>
          <w:sz w:val="22"/>
        </w:rPr>
        <w:tab/>
        <w:t>SPECIALUS ĮSPĖJIMAS, KAD VAISTINĮ PREPARATĄ BŪTINA LAIKYTI VAIKAMS NEPASTEBIMOJE IR NEPASIEKIAMOJE</w:t>
      </w:r>
      <w:r w:rsidRPr="00C03483" w:rsidDel="00174BD0">
        <w:rPr>
          <w:b/>
          <w:sz w:val="22"/>
        </w:rPr>
        <w:t xml:space="preserve"> </w:t>
      </w:r>
      <w:r w:rsidRPr="00C03483">
        <w:rPr>
          <w:b/>
          <w:sz w:val="22"/>
        </w:rPr>
        <w:t>VIETOJE</w:t>
      </w:r>
    </w:p>
    <w:p w14:paraId="33A1CCAD" w14:textId="77777777" w:rsidR="00941804" w:rsidRPr="00C03483" w:rsidRDefault="00941804" w:rsidP="004D2419">
      <w:pPr>
        <w:rPr>
          <w:sz w:val="22"/>
        </w:rPr>
      </w:pPr>
    </w:p>
    <w:p w14:paraId="6135CD7B" w14:textId="77777777" w:rsidR="00941804" w:rsidRPr="00C03483" w:rsidRDefault="00941804" w:rsidP="004D2419">
      <w:pPr>
        <w:rPr>
          <w:sz w:val="22"/>
        </w:rPr>
      </w:pPr>
      <w:r w:rsidRPr="00C03483">
        <w:rPr>
          <w:sz w:val="22"/>
        </w:rPr>
        <w:t>Laikyti vaikams nepastebimoje ir nepasiekiamoje</w:t>
      </w:r>
      <w:r w:rsidRPr="00C03483" w:rsidDel="00174BD0">
        <w:rPr>
          <w:sz w:val="22"/>
        </w:rPr>
        <w:t xml:space="preserve"> </w:t>
      </w:r>
      <w:r w:rsidRPr="00C03483">
        <w:rPr>
          <w:sz w:val="22"/>
        </w:rPr>
        <w:t>vietoje.</w:t>
      </w:r>
    </w:p>
    <w:p w14:paraId="6818D035" w14:textId="77777777" w:rsidR="00941804" w:rsidRPr="00C03483" w:rsidRDefault="00941804" w:rsidP="004D2419">
      <w:pPr>
        <w:rPr>
          <w:sz w:val="22"/>
        </w:rPr>
      </w:pPr>
    </w:p>
    <w:p w14:paraId="1AF86A02" w14:textId="77777777" w:rsidR="00941804" w:rsidRPr="00C03483" w:rsidRDefault="00941804" w:rsidP="004D2419">
      <w:pPr>
        <w:rPr>
          <w:sz w:val="22"/>
        </w:rPr>
      </w:pPr>
    </w:p>
    <w:p w14:paraId="47077FA8" w14:textId="77777777" w:rsidR="00941804" w:rsidRPr="00C03483" w:rsidRDefault="00941804" w:rsidP="004D2419">
      <w:pPr>
        <w:pBdr>
          <w:top w:val="single" w:sz="4" w:space="1" w:color="auto"/>
          <w:left w:val="single" w:sz="4" w:space="4" w:color="auto"/>
          <w:bottom w:val="single" w:sz="4" w:space="1" w:color="auto"/>
          <w:right w:val="single" w:sz="4" w:space="4" w:color="auto"/>
        </w:pBdr>
        <w:ind w:left="540" w:hanging="540"/>
        <w:rPr>
          <w:b/>
          <w:sz w:val="22"/>
        </w:rPr>
      </w:pPr>
      <w:r w:rsidRPr="00C03483">
        <w:rPr>
          <w:b/>
          <w:sz w:val="22"/>
        </w:rPr>
        <w:t>7.</w:t>
      </w:r>
      <w:r w:rsidRPr="00C03483">
        <w:rPr>
          <w:b/>
          <w:sz w:val="22"/>
        </w:rPr>
        <w:tab/>
        <w:t>KITAS (-I) SPECIALUS (-ŪS) ĮSPĖJIMAS (-AI) (JEI REIKIA)</w:t>
      </w:r>
    </w:p>
    <w:p w14:paraId="05B91AF7" w14:textId="77777777" w:rsidR="00941804" w:rsidRPr="00C03483" w:rsidRDefault="00941804" w:rsidP="004D2419">
      <w:pPr>
        <w:rPr>
          <w:sz w:val="22"/>
        </w:rPr>
      </w:pPr>
    </w:p>
    <w:p w14:paraId="294C1B6C" w14:textId="77777777" w:rsidR="00941804" w:rsidRPr="00C03483" w:rsidRDefault="00941804" w:rsidP="004D2419">
      <w:pPr>
        <w:rPr>
          <w:sz w:val="22"/>
        </w:rPr>
      </w:pPr>
      <w:r w:rsidRPr="00C03483">
        <w:rPr>
          <w:sz w:val="22"/>
        </w:rPr>
        <w:t>Vartoti tik vieną kartą per savaitę, tą pačią savaitės dieną.</w:t>
      </w:r>
    </w:p>
    <w:p w14:paraId="67C4BFB8" w14:textId="77777777" w:rsidR="00941804" w:rsidRPr="00C03483" w:rsidRDefault="00941804" w:rsidP="004D2419">
      <w:pPr>
        <w:rPr>
          <w:sz w:val="22"/>
        </w:rPr>
      </w:pPr>
    </w:p>
    <w:p w14:paraId="01FBEC9C" w14:textId="77777777" w:rsidR="00941804" w:rsidRPr="00C03483" w:rsidRDefault="00941804" w:rsidP="004D2419">
      <w:pPr>
        <w:rPr>
          <w:sz w:val="22"/>
        </w:rPr>
      </w:pPr>
    </w:p>
    <w:p w14:paraId="38B0CC54" w14:textId="77777777" w:rsidR="00941804" w:rsidRPr="00C03483" w:rsidRDefault="00941804" w:rsidP="004D2419">
      <w:pPr>
        <w:pBdr>
          <w:top w:val="single" w:sz="4" w:space="1" w:color="auto"/>
          <w:left w:val="single" w:sz="4" w:space="4" w:color="auto"/>
          <w:bottom w:val="single" w:sz="4" w:space="1" w:color="auto"/>
          <w:right w:val="single" w:sz="4" w:space="4" w:color="auto"/>
        </w:pBdr>
        <w:ind w:left="540" w:hanging="540"/>
        <w:rPr>
          <w:b/>
          <w:sz w:val="22"/>
        </w:rPr>
      </w:pPr>
      <w:r w:rsidRPr="00C03483">
        <w:rPr>
          <w:b/>
          <w:sz w:val="22"/>
        </w:rPr>
        <w:t>8.</w:t>
      </w:r>
      <w:r w:rsidRPr="00C03483">
        <w:rPr>
          <w:b/>
          <w:sz w:val="22"/>
        </w:rPr>
        <w:tab/>
        <w:t>TINKAMUMO LAIKAS</w:t>
      </w:r>
    </w:p>
    <w:p w14:paraId="719B7A12" w14:textId="77777777" w:rsidR="00941804" w:rsidRPr="00C03483" w:rsidRDefault="00941804" w:rsidP="004D2419">
      <w:pPr>
        <w:rPr>
          <w:sz w:val="22"/>
        </w:rPr>
      </w:pPr>
    </w:p>
    <w:p w14:paraId="74A70749" w14:textId="77777777" w:rsidR="00B25382" w:rsidRDefault="00B25382" w:rsidP="004D2419">
      <w:pPr>
        <w:rPr>
          <w:sz w:val="22"/>
        </w:rPr>
      </w:pPr>
      <w:r>
        <w:rPr>
          <w:sz w:val="22"/>
        </w:rPr>
        <w:t xml:space="preserve">EXP </w:t>
      </w:r>
      <w:r w:rsidRPr="00C03483">
        <w:rPr>
          <w:sz w:val="22"/>
        </w:rPr>
        <w:t>{mm MMMM}</w:t>
      </w:r>
    </w:p>
    <w:p w14:paraId="46CF7A5F" w14:textId="77777777" w:rsidR="00941804" w:rsidRPr="00C03483" w:rsidRDefault="00941804" w:rsidP="004D2419">
      <w:pPr>
        <w:rPr>
          <w:sz w:val="22"/>
        </w:rPr>
      </w:pPr>
      <w:r w:rsidRPr="00792086">
        <w:rPr>
          <w:sz w:val="22"/>
          <w:highlight w:val="lightGray"/>
        </w:rPr>
        <w:t>Tinka iki {mm MMMM}</w:t>
      </w:r>
    </w:p>
    <w:p w14:paraId="20967C49" w14:textId="77777777" w:rsidR="00941804" w:rsidRPr="00C03483" w:rsidRDefault="00941804" w:rsidP="004D2419">
      <w:pPr>
        <w:rPr>
          <w:sz w:val="22"/>
        </w:rPr>
      </w:pPr>
    </w:p>
    <w:p w14:paraId="482AB3F7" w14:textId="77777777" w:rsidR="00941804" w:rsidRPr="00C03483" w:rsidRDefault="00941804" w:rsidP="004D2419">
      <w:pPr>
        <w:rPr>
          <w:sz w:val="22"/>
        </w:rPr>
      </w:pPr>
    </w:p>
    <w:p w14:paraId="2946F475" w14:textId="77777777" w:rsidR="00941804" w:rsidRPr="00C03483" w:rsidRDefault="00941804" w:rsidP="004D2419">
      <w:pPr>
        <w:pBdr>
          <w:top w:val="single" w:sz="4" w:space="1" w:color="auto"/>
          <w:left w:val="single" w:sz="4" w:space="4" w:color="auto"/>
          <w:bottom w:val="single" w:sz="4" w:space="1" w:color="auto"/>
          <w:right w:val="single" w:sz="4" w:space="4" w:color="auto"/>
        </w:pBdr>
        <w:ind w:left="540" w:hanging="540"/>
        <w:rPr>
          <w:b/>
          <w:sz w:val="22"/>
        </w:rPr>
      </w:pPr>
      <w:r w:rsidRPr="00C03483">
        <w:rPr>
          <w:b/>
          <w:sz w:val="22"/>
        </w:rPr>
        <w:t>9.</w:t>
      </w:r>
      <w:r w:rsidRPr="00C03483">
        <w:rPr>
          <w:b/>
          <w:sz w:val="22"/>
        </w:rPr>
        <w:tab/>
        <w:t>SPECIALIOS LAIKYMO SĄLYGOS</w:t>
      </w:r>
    </w:p>
    <w:p w14:paraId="221CEB4C" w14:textId="77777777" w:rsidR="00941804" w:rsidRPr="00C03483" w:rsidRDefault="00941804" w:rsidP="004D2419">
      <w:pPr>
        <w:rPr>
          <w:sz w:val="22"/>
        </w:rPr>
      </w:pPr>
    </w:p>
    <w:p w14:paraId="4A7B7E54" w14:textId="77777777" w:rsidR="00941804" w:rsidRPr="00C03483" w:rsidRDefault="00941804" w:rsidP="004D2419">
      <w:pPr>
        <w:rPr>
          <w:sz w:val="22"/>
        </w:rPr>
      </w:pPr>
    </w:p>
    <w:p w14:paraId="7EAA2D6F" w14:textId="77777777" w:rsidR="00941804" w:rsidRPr="00C03483" w:rsidRDefault="00941804" w:rsidP="004D2419">
      <w:pPr>
        <w:pBdr>
          <w:top w:val="single" w:sz="4" w:space="1" w:color="auto"/>
          <w:left w:val="single" w:sz="4" w:space="4" w:color="auto"/>
          <w:bottom w:val="single" w:sz="4" w:space="1" w:color="auto"/>
          <w:right w:val="single" w:sz="4" w:space="4" w:color="auto"/>
        </w:pBdr>
        <w:ind w:left="540" w:hanging="540"/>
        <w:rPr>
          <w:sz w:val="22"/>
        </w:rPr>
      </w:pPr>
      <w:r w:rsidRPr="00C03483">
        <w:rPr>
          <w:b/>
          <w:sz w:val="22"/>
        </w:rPr>
        <w:t>10.</w:t>
      </w:r>
      <w:r w:rsidRPr="00C03483">
        <w:rPr>
          <w:b/>
          <w:sz w:val="22"/>
        </w:rPr>
        <w:tab/>
        <w:t>SPECIALIOS ATSARGUMO PRIEMONĖS DĖL NESUVARTOTO VAISTINIO PREPARATO AR JO ATLIEKŲ TVARKYMO (JEI REIKIA)</w:t>
      </w:r>
    </w:p>
    <w:p w14:paraId="619E021E" w14:textId="77777777" w:rsidR="00941804" w:rsidRPr="00C03483" w:rsidRDefault="00941804" w:rsidP="004D2419">
      <w:pPr>
        <w:rPr>
          <w:sz w:val="22"/>
        </w:rPr>
      </w:pPr>
    </w:p>
    <w:p w14:paraId="05C4306A" w14:textId="77777777" w:rsidR="00941804" w:rsidRPr="00C03483" w:rsidRDefault="00941804" w:rsidP="004D2419">
      <w:pPr>
        <w:rPr>
          <w:sz w:val="22"/>
        </w:rPr>
      </w:pPr>
    </w:p>
    <w:p w14:paraId="5281FB1E" w14:textId="77777777" w:rsidR="00941804" w:rsidRPr="00C03483" w:rsidRDefault="00941804" w:rsidP="004D2419">
      <w:pPr>
        <w:pBdr>
          <w:top w:val="single" w:sz="4" w:space="1" w:color="auto"/>
          <w:left w:val="single" w:sz="4" w:space="4" w:color="auto"/>
          <w:bottom w:val="single" w:sz="4" w:space="1" w:color="auto"/>
          <w:right w:val="single" w:sz="4" w:space="4" w:color="auto"/>
        </w:pBdr>
        <w:ind w:left="540" w:hanging="540"/>
        <w:rPr>
          <w:b/>
          <w:sz w:val="22"/>
        </w:rPr>
      </w:pPr>
      <w:r w:rsidRPr="00C03483">
        <w:rPr>
          <w:b/>
          <w:sz w:val="22"/>
        </w:rPr>
        <w:t>11.</w:t>
      </w:r>
      <w:r w:rsidRPr="00C03483">
        <w:rPr>
          <w:b/>
          <w:sz w:val="22"/>
        </w:rPr>
        <w:tab/>
        <w:t>REGISTRUOTOJO PAVADINIMAS IR ADRESAS</w:t>
      </w:r>
    </w:p>
    <w:p w14:paraId="5F8B98F8" w14:textId="77777777" w:rsidR="00941804" w:rsidRPr="00C03483" w:rsidRDefault="00941804" w:rsidP="004D2419">
      <w:pPr>
        <w:rPr>
          <w:sz w:val="22"/>
        </w:rPr>
      </w:pPr>
    </w:p>
    <w:p w14:paraId="09785197" w14:textId="77777777" w:rsidR="00941804" w:rsidRPr="00C03483" w:rsidRDefault="00941804" w:rsidP="004D2419">
      <w:pPr>
        <w:tabs>
          <w:tab w:val="left" w:pos="540"/>
        </w:tabs>
        <w:rPr>
          <w:sz w:val="22"/>
          <w:lang w:val="pt-PT"/>
        </w:rPr>
      </w:pPr>
      <w:r w:rsidRPr="00C03483">
        <w:rPr>
          <w:sz w:val="22"/>
          <w:lang w:val="pt-PT"/>
        </w:rPr>
        <w:t>Teva Pharma B.V.</w:t>
      </w:r>
    </w:p>
    <w:p w14:paraId="67DECC1E" w14:textId="77777777" w:rsidR="00941804" w:rsidRPr="00C03483" w:rsidRDefault="00941804" w:rsidP="004D2419">
      <w:pPr>
        <w:tabs>
          <w:tab w:val="left" w:pos="540"/>
        </w:tabs>
        <w:rPr>
          <w:sz w:val="22"/>
          <w:lang w:val="pt-PT"/>
        </w:rPr>
      </w:pPr>
      <w:r w:rsidRPr="00C03483">
        <w:rPr>
          <w:sz w:val="22"/>
          <w:lang w:val="pt-PT"/>
        </w:rPr>
        <w:t>Swensweg 5</w:t>
      </w:r>
    </w:p>
    <w:p w14:paraId="694998ED" w14:textId="77777777" w:rsidR="00941804" w:rsidRPr="00C03483" w:rsidRDefault="00941804" w:rsidP="004D2419">
      <w:pPr>
        <w:tabs>
          <w:tab w:val="left" w:pos="540"/>
        </w:tabs>
        <w:rPr>
          <w:sz w:val="22"/>
          <w:lang w:val="pt-PT"/>
        </w:rPr>
      </w:pPr>
      <w:r w:rsidRPr="00C03483">
        <w:rPr>
          <w:sz w:val="22"/>
          <w:lang w:val="pt-PT"/>
        </w:rPr>
        <w:t>2031 GA Haarlem</w:t>
      </w:r>
    </w:p>
    <w:p w14:paraId="477CA9DE" w14:textId="77777777" w:rsidR="00941804" w:rsidRPr="00C03483" w:rsidRDefault="00941804" w:rsidP="004D2419">
      <w:pPr>
        <w:tabs>
          <w:tab w:val="left" w:pos="540"/>
        </w:tabs>
        <w:rPr>
          <w:sz w:val="22"/>
        </w:rPr>
      </w:pPr>
      <w:r w:rsidRPr="00C03483">
        <w:rPr>
          <w:sz w:val="22"/>
        </w:rPr>
        <w:t>Nyderlandai</w:t>
      </w:r>
    </w:p>
    <w:p w14:paraId="148D8776" w14:textId="77777777" w:rsidR="00941804" w:rsidRPr="00C03483" w:rsidRDefault="00941804" w:rsidP="004D2419">
      <w:pPr>
        <w:rPr>
          <w:sz w:val="22"/>
        </w:rPr>
      </w:pPr>
    </w:p>
    <w:p w14:paraId="14927D3B" w14:textId="77777777" w:rsidR="00941804" w:rsidRPr="00C03483" w:rsidRDefault="00941804" w:rsidP="004D2419">
      <w:pPr>
        <w:rPr>
          <w:sz w:val="22"/>
        </w:rPr>
      </w:pPr>
    </w:p>
    <w:p w14:paraId="52DAFF39" w14:textId="77777777" w:rsidR="00941804" w:rsidRPr="00C03483" w:rsidRDefault="00941804" w:rsidP="004D2419">
      <w:pPr>
        <w:pBdr>
          <w:top w:val="single" w:sz="4" w:space="1" w:color="auto"/>
          <w:left w:val="single" w:sz="4" w:space="4" w:color="auto"/>
          <w:bottom w:val="single" w:sz="4" w:space="1" w:color="auto"/>
          <w:right w:val="single" w:sz="4" w:space="4" w:color="auto"/>
        </w:pBdr>
        <w:ind w:left="540" w:hanging="540"/>
        <w:rPr>
          <w:b/>
          <w:sz w:val="22"/>
        </w:rPr>
      </w:pPr>
      <w:r w:rsidRPr="00C03483">
        <w:rPr>
          <w:b/>
          <w:sz w:val="22"/>
        </w:rPr>
        <w:t>12.</w:t>
      </w:r>
      <w:r w:rsidRPr="00C03483">
        <w:rPr>
          <w:b/>
          <w:sz w:val="22"/>
        </w:rPr>
        <w:tab/>
        <w:t>REGISTRACIJOS PAŽYMĖJIMO NUMERIS (-IAI)</w:t>
      </w:r>
    </w:p>
    <w:p w14:paraId="367E0FCA" w14:textId="77777777" w:rsidR="00941804" w:rsidRPr="00C03483" w:rsidRDefault="00941804" w:rsidP="004D2419">
      <w:pPr>
        <w:rPr>
          <w:sz w:val="22"/>
        </w:rPr>
      </w:pPr>
    </w:p>
    <w:p w14:paraId="1D30894F" w14:textId="77777777" w:rsidR="00941804" w:rsidRPr="00C03483" w:rsidRDefault="00941804" w:rsidP="004D2419">
      <w:pPr>
        <w:rPr>
          <w:sz w:val="22"/>
        </w:rPr>
      </w:pPr>
      <w:r w:rsidRPr="00C03483">
        <w:rPr>
          <w:sz w:val="22"/>
        </w:rPr>
        <w:t xml:space="preserve">N1 - LT/1/08/1362/001 </w:t>
      </w:r>
    </w:p>
    <w:p w14:paraId="6A1055C4" w14:textId="77777777" w:rsidR="00941804" w:rsidRPr="00792086" w:rsidRDefault="00941804" w:rsidP="004D2419">
      <w:pPr>
        <w:rPr>
          <w:sz w:val="22"/>
          <w:highlight w:val="lightGray"/>
        </w:rPr>
      </w:pPr>
      <w:r w:rsidRPr="00792086">
        <w:rPr>
          <w:sz w:val="22"/>
          <w:highlight w:val="lightGray"/>
        </w:rPr>
        <w:t xml:space="preserve">N2 - LT/1/08/1362/002 </w:t>
      </w:r>
    </w:p>
    <w:p w14:paraId="0FB737A4" w14:textId="77777777" w:rsidR="00941804" w:rsidRPr="00792086" w:rsidRDefault="00941804" w:rsidP="004D2419">
      <w:pPr>
        <w:rPr>
          <w:sz w:val="22"/>
          <w:highlight w:val="lightGray"/>
        </w:rPr>
      </w:pPr>
      <w:r w:rsidRPr="00792086">
        <w:rPr>
          <w:sz w:val="22"/>
          <w:highlight w:val="lightGray"/>
        </w:rPr>
        <w:t xml:space="preserve">N4 - LT/1/08/1362/003 </w:t>
      </w:r>
    </w:p>
    <w:p w14:paraId="02DE5697" w14:textId="77777777" w:rsidR="00941804" w:rsidRPr="00792086" w:rsidRDefault="00941804" w:rsidP="004D2419">
      <w:pPr>
        <w:rPr>
          <w:sz w:val="22"/>
          <w:highlight w:val="lightGray"/>
        </w:rPr>
      </w:pPr>
      <w:r w:rsidRPr="00792086">
        <w:rPr>
          <w:sz w:val="22"/>
          <w:highlight w:val="lightGray"/>
        </w:rPr>
        <w:t xml:space="preserve">N8 - LT/1/08/1362/004 </w:t>
      </w:r>
    </w:p>
    <w:p w14:paraId="26AC8153" w14:textId="77777777" w:rsidR="00941804" w:rsidRPr="00792086" w:rsidRDefault="00941804" w:rsidP="004D2419">
      <w:pPr>
        <w:rPr>
          <w:sz w:val="22"/>
          <w:highlight w:val="lightGray"/>
        </w:rPr>
      </w:pPr>
      <w:r w:rsidRPr="00792086">
        <w:rPr>
          <w:sz w:val="22"/>
          <w:highlight w:val="lightGray"/>
        </w:rPr>
        <w:t xml:space="preserve">N10 - LT/1/08/1362/005 </w:t>
      </w:r>
    </w:p>
    <w:p w14:paraId="42EA15E9" w14:textId="77777777" w:rsidR="00941804" w:rsidRPr="00792086" w:rsidRDefault="00941804" w:rsidP="004D2419">
      <w:pPr>
        <w:rPr>
          <w:sz w:val="22"/>
          <w:highlight w:val="lightGray"/>
        </w:rPr>
      </w:pPr>
      <w:r w:rsidRPr="00792086">
        <w:rPr>
          <w:sz w:val="22"/>
          <w:highlight w:val="lightGray"/>
        </w:rPr>
        <w:t xml:space="preserve">N12 - LT/1/08/1362/006 </w:t>
      </w:r>
    </w:p>
    <w:p w14:paraId="29576470" w14:textId="77777777" w:rsidR="00941804" w:rsidRPr="00792086" w:rsidRDefault="00941804" w:rsidP="004D2419">
      <w:pPr>
        <w:rPr>
          <w:sz w:val="22"/>
          <w:highlight w:val="lightGray"/>
        </w:rPr>
      </w:pPr>
      <w:r w:rsidRPr="00792086">
        <w:rPr>
          <w:sz w:val="22"/>
          <w:highlight w:val="lightGray"/>
        </w:rPr>
        <w:t xml:space="preserve">N12 (3x4) - LT/1/08/1362/007 </w:t>
      </w:r>
    </w:p>
    <w:p w14:paraId="18B4D988" w14:textId="77777777" w:rsidR="00941804" w:rsidRPr="00792086" w:rsidRDefault="00941804" w:rsidP="004D2419">
      <w:pPr>
        <w:rPr>
          <w:sz w:val="22"/>
          <w:highlight w:val="lightGray"/>
        </w:rPr>
      </w:pPr>
      <w:r w:rsidRPr="00792086">
        <w:rPr>
          <w:sz w:val="22"/>
          <w:highlight w:val="lightGray"/>
        </w:rPr>
        <w:t xml:space="preserve">N14 - LT/1/08/1362/008 </w:t>
      </w:r>
    </w:p>
    <w:p w14:paraId="6D09FCC3" w14:textId="77777777" w:rsidR="00941804" w:rsidRPr="00792086" w:rsidRDefault="00941804" w:rsidP="004D2419">
      <w:pPr>
        <w:rPr>
          <w:sz w:val="22"/>
          <w:highlight w:val="lightGray"/>
        </w:rPr>
      </w:pPr>
      <w:r w:rsidRPr="00792086">
        <w:rPr>
          <w:sz w:val="22"/>
          <w:highlight w:val="lightGray"/>
        </w:rPr>
        <w:t xml:space="preserve">N16 - LT/1/08/1362/009 </w:t>
      </w:r>
    </w:p>
    <w:p w14:paraId="3332B42F" w14:textId="77777777" w:rsidR="00941804" w:rsidRPr="00792086" w:rsidRDefault="00941804" w:rsidP="004D2419">
      <w:pPr>
        <w:rPr>
          <w:sz w:val="22"/>
          <w:highlight w:val="lightGray"/>
        </w:rPr>
      </w:pPr>
      <w:r w:rsidRPr="00792086">
        <w:rPr>
          <w:sz w:val="22"/>
          <w:highlight w:val="lightGray"/>
        </w:rPr>
        <w:t xml:space="preserve">N16 (4x4) - LT/1/08/1362/010 </w:t>
      </w:r>
    </w:p>
    <w:p w14:paraId="3B3745EB" w14:textId="77777777" w:rsidR="00941804" w:rsidRPr="00792086" w:rsidRDefault="00941804" w:rsidP="004D2419">
      <w:pPr>
        <w:rPr>
          <w:sz w:val="22"/>
          <w:highlight w:val="lightGray"/>
        </w:rPr>
      </w:pPr>
      <w:r w:rsidRPr="00792086">
        <w:rPr>
          <w:sz w:val="22"/>
          <w:highlight w:val="lightGray"/>
        </w:rPr>
        <w:t xml:space="preserve">N30 - LT/1/08/1362/011 </w:t>
      </w:r>
    </w:p>
    <w:p w14:paraId="52820FDA" w14:textId="77777777" w:rsidR="00941804" w:rsidRPr="00792086" w:rsidRDefault="00941804" w:rsidP="004D2419">
      <w:pPr>
        <w:rPr>
          <w:sz w:val="22"/>
          <w:highlight w:val="lightGray"/>
        </w:rPr>
      </w:pPr>
      <w:r w:rsidRPr="00792086">
        <w:rPr>
          <w:sz w:val="22"/>
          <w:highlight w:val="lightGray"/>
        </w:rPr>
        <w:t>N4 (4x1) - LT/1/08/1362/012 (gydymo įstaigai)</w:t>
      </w:r>
    </w:p>
    <w:p w14:paraId="62A702F9" w14:textId="77777777" w:rsidR="00941804" w:rsidRPr="00792086" w:rsidRDefault="00941804" w:rsidP="004D2419">
      <w:pPr>
        <w:rPr>
          <w:sz w:val="22"/>
          <w:highlight w:val="lightGray"/>
        </w:rPr>
      </w:pPr>
      <w:r w:rsidRPr="00792086">
        <w:rPr>
          <w:sz w:val="22"/>
          <w:highlight w:val="lightGray"/>
        </w:rPr>
        <w:t>N10 (10x1) - LT/1/08/1362/013 (gydymo įstaigai)</w:t>
      </w:r>
    </w:p>
    <w:p w14:paraId="3C29F00F" w14:textId="77777777" w:rsidR="00941804" w:rsidRPr="00C03483" w:rsidRDefault="00941804" w:rsidP="004D2419">
      <w:pPr>
        <w:rPr>
          <w:sz w:val="22"/>
        </w:rPr>
      </w:pPr>
      <w:r w:rsidRPr="00792086">
        <w:rPr>
          <w:sz w:val="22"/>
          <w:highlight w:val="lightGray"/>
        </w:rPr>
        <w:t>N50 (50x1) - LT/1/08/1362/014 (gydymo įstaigai)</w:t>
      </w:r>
    </w:p>
    <w:p w14:paraId="2FEB54FA" w14:textId="77777777" w:rsidR="00941804" w:rsidRPr="00C03483" w:rsidRDefault="00941804" w:rsidP="004D2419">
      <w:pPr>
        <w:rPr>
          <w:sz w:val="22"/>
        </w:rPr>
      </w:pPr>
    </w:p>
    <w:p w14:paraId="7227D961" w14:textId="77777777" w:rsidR="00941804" w:rsidRPr="00C03483" w:rsidRDefault="00941804" w:rsidP="004D2419">
      <w:pPr>
        <w:rPr>
          <w:sz w:val="22"/>
        </w:rPr>
      </w:pPr>
    </w:p>
    <w:p w14:paraId="7DCB40EA" w14:textId="77777777" w:rsidR="00941804" w:rsidRPr="00C03483" w:rsidRDefault="00941804" w:rsidP="004D2419">
      <w:pPr>
        <w:pBdr>
          <w:top w:val="single" w:sz="4" w:space="1" w:color="auto"/>
          <w:left w:val="single" w:sz="4" w:space="4" w:color="auto"/>
          <w:bottom w:val="single" w:sz="4" w:space="1" w:color="auto"/>
          <w:right w:val="single" w:sz="4" w:space="4" w:color="auto"/>
        </w:pBdr>
        <w:ind w:left="540" w:hanging="540"/>
        <w:rPr>
          <w:b/>
          <w:sz w:val="22"/>
        </w:rPr>
      </w:pPr>
      <w:r w:rsidRPr="00C03483">
        <w:rPr>
          <w:b/>
          <w:sz w:val="22"/>
        </w:rPr>
        <w:t>13.</w:t>
      </w:r>
      <w:r w:rsidRPr="00C03483">
        <w:rPr>
          <w:b/>
          <w:sz w:val="22"/>
        </w:rPr>
        <w:tab/>
        <w:t>SERIJOS NUMERIS</w:t>
      </w:r>
    </w:p>
    <w:p w14:paraId="798659C0" w14:textId="77777777" w:rsidR="00941804" w:rsidRPr="00C03483" w:rsidRDefault="00941804" w:rsidP="004D2419">
      <w:pPr>
        <w:rPr>
          <w:sz w:val="22"/>
        </w:rPr>
      </w:pPr>
    </w:p>
    <w:p w14:paraId="322E079F" w14:textId="77777777" w:rsidR="00B25382" w:rsidRDefault="00B25382" w:rsidP="004D2419">
      <w:pPr>
        <w:rPr>
          <w:sz w:val="22"/>
        </w:rPr>
      </w:pPr>
      <w:r>
        <w:rPr>
          <w:sz w:val="22"/>
        </w:rPr>
        <w:t>Lot</w:t>
      </w:r>
    </w:p>
    <w:p w14:paraId="2AE735C1" w14:textId="77777777" w:rsidR="00941804" w:rsidRPr="00C03483" w:rsidRDefault="00941804" w:rsidP="004D2419">
      <w:pPr>
        <w:rPr>
          <w:sz w:val="22"/>
        </w:rPr>
      </w:pPr>
      <w:r w:rsidRPr="00792086">
        <w:rPr>
          <w:sz w:val="22"/>
          <w:highlight w:val="lightGray"/>
        </w:rPr>
        <w:t>Serija</w:t>
      </w:r>
    </w:p>
    <w:p w14:paraId="03060289" w14:textId="77777777" w:rsidR="00941804" w:rsidRPr="00C03483" w:rsidRDefault="00941804" w:rsidP="004D2419">
      <w:pPr>
        <w:rPr>
          <w:sz w:val="22"/>
        </w:rPr>
      </w:pPr>
    </w:p>
    <w:p w14:paraId="189BF7F2" w14:textId="77777777" w:rsidR="00941804" w:rsidRPr="00C03483" w:rsidRDefault="00941804" w:rsidP="004D2419">
      <w:pPr>
        <w:rPr>
          <w:sz w:val="22"/>
        </w:rPr>
      </w:pPr>
    </w:p>
    <w:p w14:paraId="3283BEE8" w14:textId="77777777" w:rsidR="00941804" w:rsidRPr="00C03483" w:rsidRDefault="00941804" w:rsidP="004D2419">
      <w:pPr>
        <w:pBdr>
          <w:top w:val="single" w:sz="4" w:space="1" w:color="auto"/>
          <w:left w:val="single" w:sz="4" w:space="4" w:color="auto"/>
          <w:bottom w:val="single" w:sz="4" w:space="1" w:color="auto"/>
          <w:right w:val="single" w:sz="4" w:space="4" w:color="auto"/>
        </w:pBdr>
        <w:ind w:left="540" w:hanging="540"/>
        <w:rPr>
          <w:b/>
          <w:sz w:val="22"/>
        </w:rPr>
      </w:pPr>
      <w:r w:rsidRPr="00C03483">
        <w:rPr>
          <w:b/>
          <w:sz w:val="22"/>
        </w:rPr>
        <w:t>14.</w:t>
      </w:r>
      <w:r w:rsidRPr="00C03483">
        <w:rPr>
          <w:b/>
          <w:sz w:val="22"/>
        </w:rPr>
        <w:tab/>
        <w:t>PARDAVIMO (IŠDAVIMO) TVARKA</w:t>
      </w:r>
    </w:p>
    <w:p w14:paraId="033F9969" w14:textId="77777777" w:rsidR="00941804" w:rsidRPr="00C03483" w:rsidRDefault="00941804" w:rsidP="004D2419">
      <w:pPr>
        <w:rPr>
          <w:sz w:val="22"/>
        </w:rPr>
      </w:pPr>
    </w:p>
    <w:p w14:paraId="39ECFD6E" w14:textId="77777777" w:rsidR="00941804" w:rsidRPr="00C03483" w:rsidRDefault="00941804" w:rsidP="004D2419">
      <w:pPr>
        <w:rPr>
          <w:sz w:val="22"/>
        </w:rPr>
      </w:pPr>
      <w:r w:rsidRPr="00C03483">
        <w:rPr>
          <w:sz w:val="22"/>
        </w:rPr>
        <w:t xml:space="preserve">Receptinis </w:t>
      </w:r>
      <w:r w:rsidR="00C7040B">
        <w:rPr>
          <w:sz w:val="22"/>
          <w:szCs w:val="22"/>
        </w:rPr>
        <w:t>vaistas</w:t>
      </w:r>
    </w:p>
    <w:p w14:paraId="53C325DA" w14:textId="77777777" w:rsidR="00941804" w:rsidRPr="00C03483" w:rsidRDefault="00941804" w:rsidP="004D2419">
      <w:pPr>
        <w:rPr>
          <w:sz w:val="22"/>
        </w:rPr>
      </w:pPr>
    </w:p>
    <w:p w14:paraId="008FF238" w14:textId="77777777" w:rsidR="00941804" w:rsidRPr="00C03483" w:rsidRDefault="00941804" w:rsidP="004D2419">
      <w:pPr>
        <w:rPr>
          <w:sz w:val="22"/>
        </w:rPr>
      </w:pPr>
    </w:p>
    <w:p w14:paraId="2D4BEF8A" w14:textId="77777777" w:rsidR="00941804" w:rsidRPr="00C03483" w:rsidRDefault="00941804" w:rsidP="004D2419">
      <w:pPr>
        <w:pBdr>
          <w:top w:val="single" w:sz="4" w:space="1" w:color="auto"/>
          <w:left w:val="single" w:sz="4" w:space="4" w:color="auto"/>
          <w:bottom w:val="single" w:sz="4" w:space="1" w:color="auto"/>
          <w:right w:val="single" w:sz="4" w:space="4" w:color="auto"/>
        </w:pBdr>
        <w:ind w:left="540" w:hanging="540"/>
        <w:rPr>
          <w:b/>
          <w:sz w:val="22"/>
        </w:rPr>
      </w:pPr>
      <w:r w:rsidRPr="00C03483">
        <w:rPr>
          <w:b/>
          <w:sz w:val="22"/>
        </w:rPr>
        <w:t>15.</w:t>
      </w:r>
      <w:r w:rsidRPr="00C03483">
        <w:rPr>
          <w:b/>
          <w:sz w:val="22"/>
        </w:rPr>
        <w:tab/>
        <w:t>VARTOJIMO INSTRUKCIJA</w:t>
      </w:r>
    </w:p>
    <w:p w14:paraId="55314684" w14:textId="77777777" w:rsidR="00941804" w:rsidRPr="00C03483" w:rsidRDefault="00941804" w:rsidP="004D2419">
      <w:pPr>
        <w:rPr>
          <w:sz w:val="22"/>
        </w:rPr>
      </w:pPr>
    </w:p>
    <w:p w14:paraId="5E6B22EF" w14:textId="77777777" w:rsidR="00941804" w:rsidRPr="00C03483" w:rsidRDefault="00941804" w:rsidP="004D2419">
      <w:pPr>
        <w:rPr>
          <w:sz w:val="22"/>
        </w:rPr>
      </w:pPr>
    </w:p>
    <w:p w14:paraId="4F281F69" w14:textId="77777777" w:rsidR="00941804" w:rsidRPr="00C03483" w:rsidRDefault="00941804" w:rsidP="004D2419">
      <w:pPr>
        <w:pBdr>
          <w:top w:val="single" w:sz="4" w:space="1" w:color="auto"/>
          <w:left w:val="single" w:sz="4" w:space="4" w:color="auto"/>
          <w:bottom w:val="single" w:sz="4" w:space="1" w:color="auto"/>
          <w:right w:val="single" w:sz="4" w:space="4" w:color="auto"/>
        </w:pBdr>
        <w:ind w:left="540" w:hanging="540"/>
        <w:rPr>
          <w:b/>
          <w:sz w:val="22"/>
        </w:rPr>
      </w:pPr>
      <w:r w:rsidRPr="00C03483">
        <w:rPr>
          <w:b/>
          <w:sz w:val="22"/>
        </w:rPr>
        <w:t>16.</w:t>
      </w:r>
      <w:r w:rsidRPr="00C03483">
        <w:rPr>
          <w:b/>
          <w:sz w:val="22"/>
        </w:rPr>
        <w:tab/>
        <w:t>INFORMACIJA BRAILIO RAŠTU</w:t>
      </w:r>
    </w:p>
    <w:p w14:paraId="5149F142" w14:textId="77777777" w:rsidR="00941804" w:rsidRPr="00C03483" w:rsidRDefault="00941804" w:rsidP="004D2419">
      <w:pPr>
        <w:rPr>
          <w:b/>
          <w:sz w:val="22"/>
        </w:rPr>
      </w:pPr>
    </w:p>
    <w:p w14:paraId="1CB96352" w14:textId="77777777" w:rsidR="00941804" w:rsidRDefault="00941804" w:rsidP="004D2419">
      <w:pPr>
        <w:rPr>
          <w:sz w:val="22"/>
        </w:rPr>
      </w:pPr>
      <w:r w:rsidRPr="00C03483">
        <w:rPr>
          <w:sz w:val="22"/>
        </w:rPr>
        <w:t xml:space="preserve">risonate 35 mg </w:t>
      </w:r>
    </w:p>
    <w:p w14:paraId="0F23FB50" w14:textId="77777777" w:rsidR="00B25382" w:rsidRDefault="00B25382" w:rsidP="004D2419">
      <w:pPr>
        <w:rPr>
          <w:sz w:val="22"/>
        </w:rPr>
      </w:pPr>
    </w:p>
    <w:p w14:paraId="726CDA37" w14:textId="77777777" w:rsidR="00B25382" w:rsidRDefault="00B25382" w:rsidP="004D2419">
      <w:pPr>
        <w:rPr>
          <w:sz w:val="22"/>
        </w:rPr>
      </w:pPr>
    </w:p>
    <w:p w14:paraId="54FC6BFC" w14:textId="77777777" w:rsidR="00B25382" w:rsidRPr="002E7B7C" w:rsidRDefault="00B25382" w:rsidP="00B25382">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17.</w:t>
      </w:r>
      <w:r>
        <w:rPr>
          <w:b/>
        </w:rPr>
        <w:t xml:space="preserve"> </w:t>
      </w:r>
      <w:r w:rsidRPr="002E7B7C">
        <w:rPr>
          <w:b/>
        </w:rPr>
        <w:t>UNIKALUS IDENTIFIKATORIUS – 2D BRŪKŠNINIS KODAS</w:t>
      </w:r>
    </w:p>
    <w:p w14:paraId="72C7940F" w14:textId="77777777" w:rsidR="00B25382" w:rsidRPr="002E7B7C" w:rsidRDefault="00B25382" w:rsidP="00B25382">
      <w:pPr>
        <w:tabs>
          <w:tab w:val="left" w:pos="9072"/>
        </w:tabs>
      </w:pPr>
    </w:p>
    <w:p w14:paraId="6D880AC4" w14:textId="77777777" w:rsidR="00B25382" w:rsidRPr="00792086" w:rsidRDefault="00B25382" w:rsidP="00B25382">
      <w:pPr>
        <w:rPr>
          <w:highlight w:val="lightGray"/>
        </w:rPr>
      </w:pPr>
      <w:r w:rsidRPr="00792086">
        <w:rPr>
          <w:highlight w:val="lightGray"/>
        </w:rPr>
        <w:t>2D brūkšninis kodas su nurodytu unikaliu identifikatoriumi.</w:t>
      </w:r>
    </w:p>
    <w:p w14:paraId="17120335" w14:textId="77777777" w:rsidR="00B25382" w:rsidRPr="002E7B7C" w:rsidRDefault="00B25382" w:rsidP="00B25382">
      <w:pPr>
        <w:tabs>
          <w:tab w:val="left" w:pos="9072"/>
        </w:tabs>
      </w:pPr>
    </w:p>
    <w:p w14:paraId="2911C16D" w14:textId="77777777" w:rsidR="00B25382" w:rsidRPr="002E7B7C" w:rsidRDefault="00B25382" w:rsidP="00B25382">
      <w:pPr>
        <w:tabs>
          <w:tab w:val="left" w:pos="9072"/>
        </w:tabs>
      </w:pPr>
    </w:p>
    <w:p w14:paraId="29363CC7" w14:textId="77777777" w:rsidR="00B25382" w:rsidRPr="002E7B7C" w:rsidRDefault="00B25382" w:rsidP="00B25382">
      <w:pPr>
        <w:pBdr>
          <w:top w:val="single" w:sz="4" w:space="1" w:color="auto"/>
          <w:left w:val="single" w:sz="4" w:space="4" w:color="auto"/>
          <w:bottom w:val="single" w:sz="4" w:space="0" w:color="auto"/>
          <w:right w:val="single" w:sz="4" w:space="4" w:color="auto"/>
        </w:pBdr>
        <w:tabs>
          <w:tab w:val="left" w:pos="9072"/>
        </w:tabs>
        <w:rPr>
          <w:color w:val="008000"/>
        </w:rPr>
      </w:pPr>
      <w:r w:rsidRPr="002E7B7C">
        <w:rPr>
          <w:b/>
        </w:rPr>
        <w:t>18.</w:t>
      </w:r>
      <w:r>
        <w:rPr>
          <w:b/>
        </w:rPr>
        <w:t xml:space="preserve"> </w:t>
      </w:r>
      <w:r w:rsidRPr="002E7B7C">
        <w:rPr>
          <w:b/>
        </w:rPr>
        <w:t>UNIKALUS IDENTIFIKATORIUS – ŽMONĖMS SUPRANTAMI DUOMENYS</w:t>
      </w:r>
    </w:p>
    <w:p w14:paraId="20C67164" w14:textId="77777777" w:rsidR="00B25382" w:rsidRPr="002E7B7C" w:rsidRDefault="00B25382" w:rsidP="00B25382">
      <w:pPr>
        <w:tabs>
          <w:tab w:val="left" w:pos="9072"/>
        </w:tabs>
      </w:pPr>
    </w:p>
    <w:p w14:paraId="77F8CDA9" w14:textId="77777777" w:rsidR="00B25382" w:rsidRPr="002E7B7C" w:rsidRDefault="00B25382" w:rsidP="00B25382">
      <w:pPr>
        <w:rPr>
          <w:color w:val="008000"/>
        </w:rPr>
      </w:pPr>
      <w:r w:rsidRPr="002E7B7C">
        <w:t>PC: {numeris}</w:t>
      </w:r>
    </w:p>
    <w:p w14:paraId="1EF6BF69" w14:textId="77777777" w:rsidR="00B25382" w:rsidRPr="002E7B7C" w:rsidRDefault="00B25382" w:rsidP="00B25382">
      <w:r w:rsidRPr="002E7B7C">
        <w:t>SN: {numeris}</w:t>
      </w:r>
    </w:p>
    <w:p w14:paraId="7B19F216" w14:textId="77777777" w:rsidR="00B25382" w:rsidRPr="00792086" w:rsidRDefault="00B25382" w:rsidP="00B25382">
      <w:pPr>
        <w:rPr>
          <w:highlight w:val="lightGray"/>
        </w:rPr>
      </w:pPr>
      <w:r w:rsidRPr="002E7B7C">
        <w:t>NN: {numeris}</w:t>
      </w:r>
    </w:p>
    <w:p w14:paraId="2D69391E" w14:textId="77777777" w:rsidR="00B25382" w:rsidRPr="002E7B7C" w:rsidRDefault="00B25382" w:rsidP="00B25382">
      <w:pPr>
        <w:tabs>
          <w:tab w:val="left" w:pos="9072"/>
        </w:tabs>
      </w:pPr>
      <w:r w:rsidRPr="002E7B7C">
        <w:t xml:space="preserve"> </w:t>
      </w:r>
    </w:p>
    <w:p w14:paraId="38C108F1" w14:textId="77777777" w:rsidR="00B25382" w:rsidRPr="00960477" w:rsidRDefault="00B25382" w:rsidP="00B25382">
      <w:pPr>
        <w:rPr>
          <w:color w:val="000000"/>
        </w:rPr>
      </w:pPr>
    </w:p>
    <w:p w14:paraId="6080E59B" w14:textId="77777777" w:rsidR="00B25382" w:rsidRPr="00C03483" w:rsidRDefault="00B25382" w:rsidP="00B25382">
      <w:pPr>
        <w:rPr>
          <w:sz w:val="22"/>
        </w:rPr>
      </w:pPr>
    </w:p>
    <w:p w14:paraId="4BF56644" w14:textId="77777777" w:rsidR="00941804" w:rsidRPr="00C03483" w:rsidRDefault="00941804" w:rsidP="004D2419">
      <w:pPr>
        <w:pBdr>
          <w:top w:val="single" w:sz="4" w:space="1" w:color="auto"/>
          <w:left w:val="single" w:sz="4" w:space="4" w:color="auto"/>
          <w:bottom w:val="single" w:sz="4" w:space="1" w:color="auto"/>
          <w:right w:val="single" w:sz="4" w:space="4" w:color="auto"/>
        </w:pBdr>
        <w:rPr>
          <w:b/>
          <w:sz w:val="22"/>
        </w:rPr>
      </w:pPr>
      <w:r w:rsidRPr="00C03483">
        <w:rPr>
          <w:sz w:val="22"/>
        </w:rPr>
        <w:br w:type="page"/>
      </w:r>
      <w:r w:rsidRPr="00C03483">
        <w:rPr>
          <w:b/>
          <w:sz w:val="22"/>
        </w:rPr>
        <w:lastRenderedPageBreak/>
        <w:t>MINIMALI INFORMACIJA ANT LIZDINIŲ PLOKŠTELIŲ ARBA DVISLUOKSNIŲ JUOSTELIŲ</w:t>
      </w:r>
    </w:p>
    <w:p w14:paraId="20611B51" w14:textId="77777777" w:rsidR="00941804" w:rsidRPr="00C03483" w:rsidRDefault="00941804" w:rsidP="004D2419">
      <w:pPr>
        <w:pBdr>
          <w:top w:val="single" w:sz="4" w:space="1" w:color="auto"/>
          <w:left w:val="single" w:sz="4" w:space="4" w:color="auto"/>
          <w:bottom w:val="single" w:sz="4" w:space="1" w:color="auto"/>
          <w:right w:val="single" w:sz="4" w:space="4" w:color="auto"/>
        </w:pBdr>
        <w:rPr>
          <w:b/>
          <w:sz w:val="22"/>
        </w:rPr>
      </w:pPr>
    </w:p>
    <w:p w14:paraId="4861B962" w14:textId="77777777" w:rsidR="00941804" w:rsidRPr="00C03483" w:rsidRDefault="00941804" w:rsidP="004D2419">
      <w:pPr>
        <w:pBdr>
          <w:top w:val="single" w:sz="4" w:space="1" w:color="auto"/>
          <w:left w:val="single" w:sz="4" w:space="4" w:color="auto"/>
          <w:bottom w:val="single" w:sz="4" w:space="1" w:color="auto"/>
          <w:right w:val="single" w:sz="4" w:space="4" w:color="auto"/>
        </w:pBdr>
        <w:rPr>
          <w:b/>
          <w:sz w:val="22"/>
        </w:rPr>
      </w:pPr>
      <w:r w:rsidRPr="00C03483">
        <w:rPr>
          <w:b/>
          <w:sz w:val="22"/>
        </w:rPr>
        <w:t>LIZDINĖ PLOKŠTELĖ</w:t>
      </w:r>
    </w:p>
    <w:p w14:paraId="6811BEF7" w14:textId="77777777" w:rsidR="00941804" w:rsidRPr="00C03483" w:rsidRDefault="00941804" w:rsidP="004D2419">
      <w:pPr>
        <w:rPr>
          <w:sz w:val="22"/>
        </w:rPr>
      </w:pPr>
    </w:p>
    <w:p w14:paraId="0BD7E5D2" w14:textId="77777777" w:rsidR="00941804" w:rsidRPr="00C03483" w:rsidRDefault="00941804" w:rsidP="004D2419">
      <w:pPr>
        <w:rPr>
          <w:sz w:val="22"/>
        </w:rPr>
      </w:pPr>
    </w:p>
    <w:p w14:paraId="749865D4" w14:textId="77777777" w:rsidR="00941804" w:rsidRPr="00C03483" w:rsidRDefault="00941804" w:rsidP="004D2419">
      <w:pPr>
        <w:pBdr>
          <w:top w:val="single" w:sz="4" w:space="1" w:color="auto"/>
          <w:left w:val="single" w:sz="4" w:space="4" w:color="auto"/>
          <w:bottom w:val="single" w:sz="4" w:space="1" w:color="auto"/>
          <w:right w:val="single" w:sz="4" w:space="4" w:color="auto"/>
        </w:pBdr>
        <w:ind w:left="540" w:hanging="540"/>
        <w:rPr>
          <w:b/>
          <w:sz w:val="22"/>
        </w:rPr>
      </w:pPr>
      <w:r w:rsidRPr="00C03483">
        <w:rPr>
          <w:b/>
          <w:sz w:val="22"/>
        </w:rPr>
        <w:t>1.</w:t>
      </w:r>
      <w:r w:rsidRPr="00C03483">
        <w:rPr>
          <w:b/>
          <w:sz w:val="22"/>
        </w:rPr>
        <w:tab/>
        <w:t>VAISTINIO PREPARATO PAVADINIMAS</w:t>
      </w:r>
    </w:p>
    <w:p w14:paraId="15876D3B" w14:textId="77777777" w:rsidR="00941804" w:rsidRPr="00C03483" w:rsidRDefault="00941804" w:rsidP="004D2419">
      <w:pPr>
        <w:rPr>
          <w:sz w:val="22"/>
        </w:rPr>
      </w:pPr>
    </w:p>
    <w:p w14:paraId="0776239D" w14:textId="77777777" w:rsidR="00941804" w:rsidRPr="00C03483" w:rsidRDefault="00941804" w:rsidP="004D2419">
      <w:pPr>
        <w:tabs>
          <w:tab w:val="left" w:pos="567"/>
        </w:tabs>
        <w:rPr>
          <w:sz w:val="22"/>
        </w:rPr>
      </w:pPr>
      <w:r w:rsidRPr="00C03483">
        <w:rPr>
          <w:sz w:val="22"/>
        </w:rPr>
        <w:t>RISONATE 35 mg plėvele dengtos tabletės</w:t>
      </w:r>
    </w:p>
    <w:p w14:paraId="5A40F3D5" w14:textId="77777777" w:rsidR="00941804" w:rsidRPr="00C03483" w:rsidRDefault="00941804" w:rsidP="004D2419">
      <w:pPr>
        <w:tabs>
          <w:tab w:val="left" w:pos="567"/>
        </w:tabs>
        <w:rPr>
          <w:sz w:val="22"/>
        </w:rPr>
      </w:pPr>
      <w:r w:rsidRPr="00C03483">
        <w:rPr>
          <w:sz w:val="22"/>
        </w:rPr>
        <w:t>Natrii risedronas</w:t>
      </w:r>
    </w:p>
    <w:p w14:paraId="08D71C42" w14:textId="77777777" w:rsidR="00941804" w:rsidRPr="004D2419" w:rsidRDefault="00941804" w:rsidP="00C03483">
      <w:pPr>
        <w:pStyle w:val="Pagrindinistekstas"/>
        <w:spacing w:after="0"/>
      </w:pPr>
    </w:p>
    <w:p w14:paraId="3F63B657" w14:textId="77777777" w:rsidR="00941804" w:rsidRPr="004D2419" w:rsidRDefault="00941804" w:rsidP="00C03483">
      <w:pPr>
        <w:pStyle w:val="Pagrindinistekstas"/>
        <w:spacing w:after="0"/>
      </w:pPr>
    </w:p>
    <w:p w14:paraId="6F570171" w14:textId="77777777" w:rsidR="00941804" w:rsidRPr="004D2419" w:rsidRDefault="00941804" w:rsidP="00C03483">
      <w:pPr>
        <w:pStyle w:val="Pagrindinistekstas"/>
        <w:pBdr>
          <w:top w:val="single" w:sz="4" w:space="1" w:color="auto"/>
          <w:left w:val="single" w:sz="4" w:space="4" w:color="auto"/>
          <w:bottom w:val="single" w:sz="4" w:space="1" w:color="auto"/>
          <w:right w:val="single" w:sz="4" w:space="4" w:color="auto"/>
        </w:pBdr>
        <w:spacing w:after="0"/>
        <w:ind w:left="540" w:hanging="540"/>
        <w:rPr>
          <w:b/>
        </w:rPr>
      </w:pPr>
      <w:r w:rsidRPr="004D2419">
        <w:rPr>
          <w:b/>
        </w:rPr>
        <w:t>2.</w:t>
      </w:r>
      <w:r w:rsidRPr="004D2419">
        <w:rPr>
          <w:b/>
        </w:rPr>
        <w:tab/>
        <w:t xml:space="preserve">REGISTRUOTOJO PAVADINIMAS </w:t>
      </w:r>
    </w:p>
    <w:p w14:paraId="77DF4415" w14:textId="77777777" w:rsidR="00941804" w:rsidRPr="004D2419" w:rsidRDefault="00941804" w:rsidP="00C03483">
      <w:pPr>
        <w:pStyle w:val="Pagrindinistekstas"/>
        <w:spacing w:after="0"/>
      </w:pPr>
    </w:p>
    <w:p w14:paraId="4B43D988" w14:textId="77777777" w:rsidR="00941804" w:rsidRPr="00C03483" w:rsidRDefault="00941804" w:rsidP="004D2419">
      <w:pPr>
        <w:tabs>
          <w:tab w:val="left" w:pos="540"/>
        </w:tabs>
        <w:rPr>
          <w:sz w:val="22"/>
          <w:lang w:val="pt-PT"/>
        </w:rPr>
      </w:pPr>
      <w:r w:rsidRPr="00C03483">
        <w:rPr>
          <w:sz w:val="22"/>
          <w:lang w:val="pt-PT"/>
        </w:rPr>
        <w:t>Teva Pharma B.V.</w:t>
      </w:r>
    </w:p>
    <w:p w14:paraId="04FD12A6" w14:textId="77777777" w:rsidR="00941804" w:rsidRPr="004D2419" w:rsidRDefault="00941804" w:rsidP="00C03483">
      <w:pPr>
        <w:pStyle w:val="Pagrindinistekstas"/>
        <w:spacing w:after="0"/>
      </w:pPr>
    </w:p>
    <w:p w14:paraId="7BC10E6B" w14:textId="77777777" w:rsidR="00941804" w:rsidRPr="004D2419" w:rsidRDefault="00941804" w:rsidP="00C03483">
      <w:pPr>
        <w:pStyle w:val="Pagrindinistekstas"/>
        <w:spacing w:after="0"/>
      </w:pPr>
    </w:p>
    <w:p w14:paraId="38530DD7" w14:textId="77777777" w:rsidR="00941804" w:rsidRPr="00C03483" w:rsidRDefault="00941804" w:rsidP="00C03483">
      <w:pPr>
        <w:pStyle w:val="Antrat3"/>
        <w:pBdr>
          <w:top w:val="single" w:sz="4" w:space="1" w:color="auto"/>
          <w:left w:val="single" w:sz="4" w:space="4" w:color="auto"/>
          <w:bottom w:val="single" w:sz="4" w:space="1" w:color="auto"/>
          <w:right w:val="single" w:sz="4" w:space="4" w:color="auto"/>
        </w:pBdr>
        <w:spacing w:before="0" w:after="0"/>
        <w:ind w:left="540" w:hanging="540"/>
        <w:rPr>
          <w:b w:val="0"/>
          <w:sz w:val="22"/>
        </w:rPr>
      </w:pPr>
      <w:r w:rsidRPr="00C03483">
        <w:rPr>
          <w:rFonts w:ascii="Times New Roman" w:hAnsi="Times New Roman"/>
          <w:sz w:val="22"/>
        </w:rPr>
        <w:t>3.</w:t>
      </w:r>
      <w:r w:rsidRPr="00C03483">
        <w:rPr>
          <w:rFonts w:ascii="Times New Roman" w:hAnsi="Times New Roman"/>
          <w:sz w:val="22"/>
        </w:rPr>
        <w:tab/>
        <w:t>TINKAMUMO LAIKAS</w:t>
      </w:r>
    </w:p>
    <w:p w14:paraId="6546CB64" w14:textId="77777777" w:rsidR="00941804" w:rsidRPr="004D2419" w:rsidRDefault="00941804" w:rsidP="00C03483">
      <w:pPr>
        <w:pStyle w:val="Pagrindinistekstas"/>
        <w:spacing w:after="0"/>
      </w:pPr>
    </w:p>
    <w:p w14:paraId="67F5B6CF" w14:textId="77777777" w:rsidR="00941804" w:rsidRPr="00792086" w:rsidRDefault="00941804" w:rsidP="00C03483">
      <w:pPr>
        <w:pStyle w:val="Pagrindinistekstas"/>
        <w:spacing w:after="0"/>
        <w:rPr>
          <w:highlight w:val="lightGray"/>
        </w:rPr>
      </w:pPr>
      <w:r w:rsidRPr="00792086">
        <w:rPr>
          <w:highlight w:val="lightGray"/>
        </w:rPr>
        <w:t xml:space="preserve">EXP </w:t>
      </w:r>
      <w:r w:rsidRPr="004D2419">
        <w:t>{mm MMMM}</w:t>
      </w:r>
    </w:p>
    <w:p w14:paraId="58730A39" w14:textId="77777777" w:rsidR="00941804" w:rsidRPr="004D2419" w:rsidRDefault="00941804" w:rsidP="00C03483">
      <w:pPr>
        <w:pStyle w:val="Pagrindinistekstas"/>
        <w:spacing w:after="0"/>
      </w:pPr>
    </w:p>
    <w:p w14:paraId="505C238B" w14:textId="77777777" w:rsidR="00941804" w:rsidRPr="004D2419" w:rsidRDefault="00941804" w:rsidP="00C03483">
      <w:pPr>
        <w:pStyle w:val="Pagrindinistekstas"/>
        <w:spacing w:after="0"/>
      </w:pPr>
    </w:p>
    <w:p w14:paraId="79CC687B" w14:textId="77777777" w:rsidR="00941804" w:rsidRPr="00C03483" w:rsidRDefault="00941804" w:rsidP="00C03483">
      <w:pPr>
        <w:pStyle w:val="Antrat3"/>
        <w:pBdr>
          <w:top w:val="single" w:sz="4" w:space="1" w:color="auto"/>
          <w:left w:val="single" w:sz="4" w:space="4" w:color="auto"/>
          <w:bottom w:val="single" w:sz="4" w:space="1" w:color="auto"/>
          <w:right w:val="single" w:sz="4" w:space="4" w:color="auto"/>
        </w:pBdr>
        <w:spacing w:before="0" w:after="0"/>
        <w:ind w:left="540" w:hanging="540"/>
        <w:rPr>
          <w:b w:val="0"/>
          <w:sz w:val="22"/>
        </w:rPr>
      </w:pPr>
      <w:r w:rsidRPr="00C03483">
        <w:rPr>
          <w:rFonts w:ascii="Times New Roman" w:hAnsi="Times New Roman"/>
          <w:sz w:val="22"/>
        </w:rPr>
        <w:t>4.</w:t>
      </w:r>
      <w:r w:rsidRPr="00C03483">
        <w:rPr>
          <w:rFonts w:ascii="Times New Roman" w:hAnsi="Times New Roman"/>
          <w:sz w:val="22"/>
        </w:rPr>
        <w:tab/>
        <w:t>SERIJOS NUMERIS</w:t>
      </w:r>
    </w:p>
    <w:p w14:paraId="31D1207C" w14:textId="77777777" w:rsidR="00941804" w:rsidRPr="004D2419" w:rsidRDefault="00941804" w:rsidP="00C03483">
      <w:pPr>
        <w:pStyle w:val="Pagrindinistekstas"/>
        <w:spacing w:after="0"/>
      </w:pPr>
    </w:p>
    <w:p w14:paraId="3ED7FACE" w14:textId="77777777" w:rsidR="00941804" w:rsidRPr="00792086" w:rsidRDefault="00941804" w:rsidP="004D2419">
      <w:pPr>
        <w:rPr>
          <w:sz w:val="22"/>
          <w:highlight w:val="lightGray"/>
        </w:rPr>
      </w:pPr>
      <w:r w:rsidRPr="00792086">
        <w:rPr>
          <w:sz w:val="22"/>
          <w:highlight w:val="lightGray"/>
        </w:rPr>
        <w:t>Lot</w:t>
      </w:r>
    </w:p>
    <w:p w14:paraId="7EBD8ECB" w14:textId="77777777" w:rsidR="00941804" w:rsidRPr="00C03483" w:rsidRDefault="00941804" w:rsidP="004D2419">
      <w:pPr>
        <w:rPr>
          <w:sz w:val="22"/>
        </w:rPr>
      </w:pPr>
    </w:p>
    <w:p w14:paraId="491BF968" w14:textId="77777777" w:rsidR="00941804" w:rsidRPr="00C03483" w:rsidRDefault="00941804" w:rsidP="004D2419">
      <w:pPr>
        <w:rPr>
          <w:sz w:val="22"/>
        </w:rPr>
      </w:pPr>
    </w:p>
    <w:p w14:paraId="513BE7C4" w14:textId="77777777" w:rsidR="00941804" w:rsidRPr="00C03483" w:rsidRDefault="00941804" w:rsidP="00C03483">
      <w:pPr>
        <w:pStyle w:val="PI-1labEMEASMCA"/>
        <w:rPr>
          <w:b w:val="0"/>
          <w:sz w:val="22"/>
        </w:rPr>
      </w:pPr>
      <w:r w:rsidRPr="00C03483">
        <w:rPr>
          <w:sz w:val="22"/>
        </w:rPr>
        <w:t>5.</w:t>
      </w:r>
      <w:r w:rsidRPr="00C03483">
        <w:rPr>
          <w:sz w:val="22"/>
        </w:rPr>
        <w:tab/>
        <w:t>KITA</w:t>
      </w:r>
    </w:p>
    <w:p w14:paraId="02373402" w14:textId="77777777" w:rsidR="00941804" w:rsidRPr="00C03483" w:rsidRDefault="00941804" w:rsidP="004D2419">
      <w:pPr>
        <w:rPr>
          <w:sz w:val="22"/>
        </w:rPr>
      </w:pPr>
    </w:p>
    <w:p w14:paraId="1AD2D020" w14:textId="77777777" w:rsidR="00941804" w:rsidRPr="00C03483" w:rsidRDefault="00941804" w:rsidP="00941804">
      <w:pPr>
        <w:spacing w:after="200" w:line="276" w:lineRule="auto"/>
        <w:rPr>
          <w:sz w:val="22"/>
        </w:rPr>
      </w:pPr>
    </w:p>
    <w:p w14:paraId="2487133A" w14:textId="77777777" w:rsidR="00941804" w:rsidRPr="00C03483" w:rsidRDefault="00941804" w:rsidP="00941804">
      <w:pPr>
        <w:spacing w:after="200" w:line="276" w:lineRule="auto"/>
        <w:rPr>
          <w:sz w:val="22"/>
        </w:rPr>
      </w:pPr>
    </w:p>
    <w:p w14:paraId="6CF95A01" w14:textId="77777777" w:rsidR="00941804" w:rsidRPr="00C03483" w:rsidRDefault="00941804" w:rsidP="00941804">
      <w:pPr>
        <w:spacing w:after="200" w:line="276" w:lineRule="auto"/>
        <w:rPr>
          <w:sz w:val="22"/>
        </w:rPr>
      </w:pPr>
    </w:p>
    <w:p w14:paraId="34FED293" w14:textId="77777777" w:rsidR="00941804" w:rsidRPr="00C03483" w:rsidRDefault="00941804" w:rsidP="00941804">
      <w:pPr>
        <w:spacing w:after="200" w:line="276" w:lineRule="auto"/>
        <w:rPr>
          <w:sz w:val="22"/>
        </w:rPr>
      </w:pPr>
    </w:p>
    <w:p w14:paraId="2EE10EC5" w14:textId="77777777" w:rsidR="00941804" w:rsidRPr="00C03483" w:rsidRDefault="00941804" w:rsidP="00941804">
      <w:pPr>
        <w:spacing w:after="200" w:line="276" w:lineRule="auto"/>
        <w:rPr>
          <w:sz w:val="22"/>
        </w:rPr>
      </w:pPr>
    </w:p>
    <w:p w14:paraId="0B006C58" w14:textId="77777777" w:rsidR="00941804" w:rsidRPr="00C03483" w:rsidRDefault="00941804" w:rsidP="00941804">
      <w:pPr>
        <w:spacing w:after="200" w:line="276" w:lineRule="auto"/>
        <w:rPr>
          <w:sz w:val="22"/>
        </w:rPr>
      </w:pPr>
    </w:p>
    <w:p w14:paraId="2A49181A" w14:textId="77777777" w:rsidR="00941804" w:rsidRPr="00C03483" w:rsidRDefault="00941804" w:rsidP="00941804">
      <w:pPr>
        <w:spacing w:after="200" w:line="276" w:lineRule="auto"/>
        <w:rPr>
          <w:sz w:val="22"/>
        </w:rPr>
      </w:pPr>
    </w:p>
    <w:p w14:paraId="512E76C2" w14:textId="77777777" w:rsidR="00941804" w:rsidRPr="00C03483" w:rsidRDefault="00941804" w:rsidP="00941804">
      <w:pPr>
        <w:spacing w:after="200" w:line="276" w:lineRule="auto"/>
        <w:rPr>
          <w:sz w:val="22"/>
        </w:rPr>
      </w:pPr>
    </w:p>
    <w:p w14:paraId="7E8EDE18" w14:textId="77777777" w:rsidR="00941804" w:rsidRPr="00C03483" w:rsidRDefault="00941804" w:rsidP="00941804">
      <w:pPr>
        <w:spacing w:after="200" w:line="276" w:lineRule="auto"/>
        <w:rPr>
          <w:sz w:val="22"/>
        </w:rPr>
      </w:pPr>
    </w:p>
    <w:p w14:paraId="49EB34F5" w14:textId="77777777" w:rsidR="00941804" w:rsidRPr="00C03483" w:rsidRDefault="00941804" w:rsidP="00941804">
      <w:pPr>
        <w:spacing w:after="200" w:line="276" w:lineRule="auto"/>
        <w:rPr>
          <w:sz w:val="22"/>
        </w:rPr>
      </w:pPr>
    </w:p>
    <w:p w14:paraId="5F5B66C1" w14:textId="77777777" w:rsidR="00941804" w:rsidRPr="00C03483" w:rsidRDefault="00941804" w:rsidP="00941804">
      <w:pPr>
        <w:spacing w:after="200" w:line="276" w:lineRule="auto"/>
        <w:rPr>
          <w:sz w:val="22"/>
        </w:rPr>
      </w:pPr>
    </w:p>
    <w:p w14:paraId="5081EC74" w14:textId="77777777" w:rsidR="00941804" w:rsidRPr="00C03483" w:rsidRDefault="00941804" w:rsidP="00941804">
      <w:pPr>
        <w:spacing w:after="200" w:line="276" w:lineRule="auto"/>
        <w:rPr>
          <w:sz w:val="22"/>
        </w:rPr>
      </w:pPr>
    </w:p>
    <w:p w14:paraId="2358FF06" w14:textId="77777777" w:rsidR="00941804" w:rsidRPr="00C03483" w:rsidRDefault="00941804" w:rsidP="00941804">
      <w:pPr>
        <w:spacing w:after="200" w:line="276" w:lineRule="auto"/>
        <w:rPr>
          <w:sz w:val="22"/>
        </w:rPr>
      </w:pPr>
    </w:p>
    <w:p w14:paraId="283C5DB3" w14:textId="77777777" w:rsidR="00941804" w:rsidRPr="00C03483" w:rsidRDefault="00941804" w:rsidP="00941804">
      <w:pPr>
        <w:spacing w:after="200" w:line="276" w:lineRule="auto"/>
        <w:rPr>
          <w:sz w:val="22"/>
        </w:rPr>
      </w:pPr>
    </w:p>
    <w:p w14:paraId="2EE371AC" w14:textId="77777777" w:rsidR="00941804" w:rsidRPr="00C03483" w:rsidRDefault="00941804" w:rsidP="00941804">
      <w:pPr>
        <w:spacing w:after="200" w:line="276" w:lineRule="auto"/>
        <w:rPr>
          <w:sz w:val="22"/>
        </w:rPr>
      </w:pPr>
    </w:p>
    <w:p w14:paraId="668C9E8F" w14:textId="77777777" w:rsidR="00941804" w:rsidRPr="00C03483" w:rsidRDefault="00941804" w:rsidP="004D2419">
      <w:pPr>
        <w:jc w:val="center"/>
        <w:rPr>
          <w:b/>
          <w:sz w:val="22"/>
        </w:rPr>
      </w:pPr>
      <w:bookmarkStart w:id="68" w:name="_Toc129243137"/>
      <w:bookmarkStart w:id="69" w:name="_Toc129243262"/>
    </w:p>
    <w:p w14:paraId="3BABD44D" w14:textId="77777777" w:rsidR="00941804" w:rsidRPr="00C03483" w:rsidRDefault="00941804" w:rsidP="004D2419">
      <w:pPr>
        <w:jc w:val="center"/>
        <w:rPr>
          <w:b/>
          <w:sz w:val="22"/>
        </w:rPr>
      </w:pPr>
    </w:p>
    <w:p w14:paraId="49FC6D95" w14:textId="77777777" w:rsidR="00941804" w:rsidRPr="00C03483" w:rsidRDefault="00941804" w:rsidP="004D2419">
      <w:pPr>
        <w:jc w:val="center"/>
        <w:rPr>
          <w:b/>
          <w:sz w:val="22"/>
        </w:rPr>
      </w:pPr>
    </w:p>
    <w:p w14:paraId="7404BE46" w14:textId="77777777" w:rsidR="00941804" w:rsidRPr="00C03483" w:rsidRDefault="00941804" w:rsidP="004D2419">
      <w:pPr>
        <w:jc w:val="center"/>
        <w:rPr>
          <w:b/>
          <w:sz w:val="22"/>
        </w:rPr>
      </w:pPr>
    </w:p>
    <w:p w14:paraId="750478C4" w14:textId="77777777" w:rsidR="00941804" w:rsidRPr="00C03483" w:rsidRDefault="00941804" w:rsidP="004D2419">
      <w:pPr>
        <w:jc w:val="center"/>
        <w:rPr>
          <w:b/>
          <w:sz w:val="22"/>
        </w:rPr>
      </w:pPr>
    </w:p>
    <w:p w14:paraId="4799E26D" w14:textId="77777777" w:rsidR="00941804" w:rsidRPr="00C03483" w:rsidRDefault="00941804" w:rsidP="004D2419">
      <w:pPr>
        <w:jc w:val="center"/>
        <w:rPr>
          <w:b/>
          <w:sz w:val="22"/>
        </w:rPr>
      </w:pPr>
    </w:p>
    <w:p w14:paraId="759046BC" w14:textId="77777777" w:rsidR="00941804" w:rsidRPr="00C03483" w:rsidRDefault="00941804" w:rsidP="004D2419">
      <w:pPr>
        <w:jc w:val="center"/>
        <w:rPr>
          <w:b/>
          <w:sz w:val="22"/>
        </w:rPr>
      </w:pPr>
    </w:p>
    <w:p w14:paraId="3AF6A404" w14:textId="77777777" w:rsidR="00941804" w:rsidRPr="00C03483" w:rsidRDefault="00941804" w:rsidP="004D2419">
      <w:pPr>
        <w:jc w:val="center"/>
        <w:rPr>
          <w:b/>
          <w:sz w:val="22"/>
        </w:rPr>
      </w:pPr>
    </w:p>
    <w:p w14:paraId="22FF01E6" w14:textId="77777777" w:rsidR="00941804" w:rsidRPr="00C03483" w:rsidRDefault="00941804" w:rsidP="004D2419">
      <w:pPr>
        <w:jc w:val="center"/>
        <w:rPr>
          <w:b/>
          <w:sz w:val="22"/>
        </w:rPr>
      </w:pPr>
    </w:p>
    <w:p w14:paraId="2BF8A33B" w14:textId="77777777" w:rsidR="00941804" w:rsidRPr="00C03483" w:rsidRDefault="00941804" w:rsidP="004D2419">
      <w:pPr>
        <w:jc w:val="center"/>
        <w:rPr>
          <w:b/>
          <w:sz w:val="22"/>
        </w:rPr>
      </w:pPr>
    </w:p>
    <w:p w14:paraId="7C9ADDA1" w14:textId="77777777" w:rsidR="00941804" w:rsidRPr="00C03483" w:rsidRDefault="00941804" w:rsidP="004D2419">
      <w:pPr>
        <w:jc w:val="center"/>
        <w:rPr>
          <w:b/>
          <w:sz w:val="22"/>
        </w:rPr>
      </w:pPr>
    </w:p>
    <w:p w14:paraId="5C356977" w14:textId="77777777" w:rsidR="00941804" w:rsidRPr="00C03483" w:rsidRDefault="00941804" w:rsidP="004D2419">
      <w:pPr>
        <w:jc w:val="center"/>
        <w:rPr>
          <w:b/>
          <w:sz w:val="22"/>
        </w:rPr>
      </w:pPr>
    </w:p>
    <w:p w14:paraId="081BDD5D" w14:textId="77777777" w:rsidR="00941804" w:rsidRPr="00C03483" w:rsidRDefault="00941804" w:rsidP="004D2419">
      <w:pPr>
        <w:jc w:val="center"/>
        <w:rPr>
          <w:b/>
          <w:sz w:val="22"/>
        </w:rPr>
      </w:pPr>
    </w:p>
    <w:p w14:paraId="3007F82D" w14:textId="77777777" w:rsidR="00941804" w:rsidRPr="00C03483" w:rsidRDefault="00941804" w:rsidP="004D2419">
      <w:pPr>
        <w:jc w:val="center"/>
        <w:rPr>
          <w:b/>
          <w:sz w:val="22"/>
        </w:rPr>
      </w:pPr>
    </w:p>
    <w:p w14:paraId="3CC8A373" w14:textId="77777777" w:rsidR="00941804" w:rsidRPr="00C03483" w:rsidRDefault="00941804" w:rsidP="004D2419">
      <w:pPr>
        <w:jc w:val="center"/>
        <w:rPr>
          <w:b/>
          <w:sz w:val="22"/>
        </w:rPr>
      </w:pPr>
    </w:p>
    <w:p w14:paraId="78334917" w14:textId="77777777" w:rsidR="00941804" w:rsidRPr="00C03483" w:rsidRDefault="00941804" w:rsidP="004D2419">
      <w:pPr>
        <w:jc w:val="center"/>
        <w:rPr>
          <w:b/>
          <w:sz w:val="22"/>
        </w:rPr>
      </w:pPr>
    </w:p>
    <w:p w14:paraId="62880126" w14:textId="77777777" w:rsidR="00941804" w:rsidRPr="00C03483" w:rsidRDefault="00941804" w:rsidP="004D2419">
      <w:pPr>
        <w:jc w:val="center"/>
        <w:rPr>
          <w:b/>
          <w:sz w:val="22"/>
        </w:rPr>
      </w:pPr>
    </w:p>
    <w:p w14:paraId="16A0EA25" w14:textId="77777777" w:rsidR="00941804" w:rsidRPr="00C03483" w:rsidRDefault="00941804" w:rsidP="004D2419">
      <w:pPr>
        <w:jc w:val="center"/>
        <w:rPr>
          <w:b/>
          <w:sz w:val="22"/>
        </w:rPr>
      </w:pPr>
    </w:p>
    <w:p w14:paraId="36435107" w14:textId="77777777" w:rsidR="00941804" w:rsidRPr="00C03483" w:rsidRDefault="00941804" w:rsidP="004D2419">
      <w:pPr>
        <w:jc w:val="center"/>
        <w:rPr>
          <w:b/>
          <w:sz w:val="22"/>
        </w:rPr>
      </w:pPr>
    </w:p>
    <w:p w14:paraId="4F884D3D" w14:textId="77777777" w:rsidR="00941804" w:rsidRPr="00C03483" w:rsidRDefault="00941804" w:rsidP="004D2419">
      <w:pPr>
        <w:jc w:val="center"/>
        <w:rPr>
          <w:b/>
          <w:sz w:val="22"/>
        </w:rPr>
      </w:pPr>
    </w:p>
    <w:p w14:paraId="3B07F2E1" w14:textId="77777777" w:rsidR="00941804" w:rsidRPr="00C03483" w:rsidRDefault="00941804" w:rsidP="004D2419">
      <w:pPr>
        <w:jc w:val="center"/>
        <w:rPr>
          <w:b/>
          <w:sz w:val="22"/>
        </w:rPr>
      </w:pPr>
    </w:p>
    <w:p w14:paraId="3AFD73C9" w14:textId="77777777" w:rsidR="00941804" w:rsidRPr="00C03483" w:rsidRDefault="00941804" w:rsidP="004D2419">
      <w:pPr>
        <w:jc w:val="center"/>
        <w:rPr>
          <w:b/>
          <w:sz w:val="22"/>
        </w:rPr>
      </w:pPr>
    </w:p>
    <w:p w14:paraId="284FBBE4" w14:textId="77777777" w:rsidR="00941804" w:rsidRPr="00C03483" w:rsidRDefault="00941804" w:rsidP="004D2419">
      <w:pPr>
        <w:jc w:val="center"/>
        <w:rPr>
          <w:b/>
          <w:sz w:val="22"/>
        </w:rPr>
      </w:pPr>
      <w:r w:rsidRPr="00C03483">
        <w:rPr>
          <w:b/>
          <w:sz w:val="22"/>
        </w:rPr>
        <w:t>B. PAKUOTĖS LAPELIS</w:t>
      </w:r>
      <w:bookmarkEnd w:id="68"/>
      <w:bookmarkEnd w:id="69"/>
    </w:p>
    <w:p w14:paraId="15E7D373" w14:textId="77777777" w:rsidR="00941804" w:rsidRPr="00C03483" w:rsidRDefault="00941804" w:rsidP="00941804">
      <w:pPr>
        <w:spacing w:after="200" w:line="276" w:lineRule="auto"/>
        <w:rPr>
          <w:sz w:val="22"/>
        </w:rPr>
      </w:pPr>
    </w:p>
    <w:p w14:paraId="79A7B066" w14:textId="77777777" w:rsidR="00941804" w:rsidRPr="00C03483" w:rsidRDefault="00941804" w:rsidP="00941804">
      <w:pPr>
        <w:spacing w:after="200" w:line="276" w:lineRule="auto"/>
        <w:rPr>
          <w:sz w:val="22"/>
        </w:rPr>
      </w:pPr>
    </w:p>
    <w:p w14:paraId="31274027" w14:textId="77777777" w:rsidR="00941804" w:rsidRPr="00C03483" w:rsidRDefault="00941804" w:rsidP="00941804">
      <w:pPr>
        <w:spacing w:after="200" w:line="276" w:lineRule="auto"/>
        <w:rPr>
          <w:sz w:val="22"/>
        </w:rPr>
      </w:pPr>
    </w:p>
    <w:p w14:paraId="49D4DED3" w14:textId="77777777" w:rsidR="00941804" w:rsidRPr="00C03483" w:rsidRDefault="00941804" w:rsidP="00941804">
      <w:pPr>
        <w:spacing w:after="200" w:line="276" w:lineRule="auto"/>
        <w:rPr>
          <w:sz w:val="22"/>
        </w:rPr>
      </w:pPr>
    </w:p>
    <w:p w14:paraId="06752982" w14:textId="77777777" w:rsidR="00941804" w:rsidRPr="00C03483" w:rsidRDefault="00941804" w:rsidP="00941804">
      <w:pPr>
        <w:spacing w:after="200" w:line="276" w:lineRule="auto"/>
        <w:rPr>
          <w:sz w:val="22"/>
        </w:rPr>
      </w:pPr>
    </w:p>
    <w:p w14:paraId="57C6266F" w14:textId="77777777" w:rsidR="00941804" w:rsidRPr="00C03483" w:rsidRDefault="00941804" w:rsidP="00941804">
      <w:pPr>
        <w:spacing w:after="200" w:line="276" w:lineRule="auto"/>
        <w:rPr>
          <w:sz w:val="22"/>
        </w:rPr>
      </w:pPr>
    </w:p>
    <w:p w14:paraId="67BD51BB" w14:textId="77777777" w:rsidR="00941804" w:rsidRPr="00C03483" w:rsidRDefault="00941804" w:rsidP="004D2419">
      <w:pPr>
        <w:jc w:val="center"/>
        <w:rPr>
          <w:b/>
          <w:sz w:val="22"/>
        </w:rPr>
      </w:pPr>
    </w:p>
    <w:p w14:paraId="64F551DE" w14:textId="77777777" w:rsidR="00941804" w:rsidRPr="00C03483" w:rsidRDefault="00941804" w:rsidP="004D2419">
      <w:pPr>
        <w:jc w:val="center"/>
        <w:rPr>
          <w:b/>
          <w:sz w:val="22"/>
        </w:rPr>
      </w:pPr>
    </w:p>
    <w:p w14:paraId="325290CF" w14:textId="77777777" w:rsidR="00941804" w:rsidRPr="00C03483" w:rsidRDefault="00941804" w:rsidP="004D2419">
      <w:pPr>
        <w:jc w:val="center"/>
        <w:rPr>
          <w:b/>
          <w:sz w:val="22"/>
        </w:rPr>
      </w:pPr>
    </w:p>
    <w:p w14:paraId="248A22E7" w14:textId="77777777" w:rsidR="00941804" w:rsidRPr="00C03483" w:rsidRDefault="00941804" w:rsidP="004D2419">
      <w:pPr>
        <w:jc w:val="center"/>
        <w:rPr>
          <w:b/>
          <w:sz w:val="22"/>
        </w:rPr>
      </w:pPr>
    </w:p>
    <w:p w14:paraId="6269B941" w14:textId="77777777" w:rsidR="00941804" w:rsidRPr="00C03483" w:rsidRDefault="00941804" w:rsidP="004D2419">
      <w:pPr>
        <w:jc w:val="center"/>
        <w:rPr>
          <w:b/>
          <w:sz w:val="22"/>
        </w:rPr>
      </w:pPr>
    </w:p>
    <w:p w14:paraId="0CF4DB71" w14:textId="77777777" w:rsidR="00941804" w:rsidRPr="00C03483" w:rsidRDefault="00941804" w:rsidP="004D2419">
      <w:pPr>
        <w:jc w:val="center"/>
        <w:rPr>
          <w:b/>
          <w:sz w:val="22"/>
        </w:rPr>
      </w:pPr>
    </w:p>
    <w:p w14:paraId="289335F3" w14:textId="77777777" w:rsidR="00941804" w:rsidRPr="00C03483" w:rsidRDefault="00941804" w:rsidP="004D2419">
      <w:pPr>
        <w:jc w:val="center"/>
        <w:rPr>
          <w:b/>
          <w:sz w:val="22"/>
        </w:rPr>
      </w:pPr>
    </w:p>
    <w:p w14:paraId="32897216" w14:textId="77777777" w:rsidR="00941804" w:rsidRPr="00C03483" w:rsidRDefault="00941804" w:rsidP="004D2419">
      <w:pPr>
        <w:jc w:val="center"/>
        <w:rPr>
          <w:b/>
          <w:sz w:val="22"/>
        </w:rPr>
      </w:pPr>
    </w:p>
    <w:p w14:paraId="5DEA826B" w14:textId="77777777" w:rsidR="00941804" w:rsidRPr="00C03483" w:rsidRDefault="00941804" w:rsidP="004D2419">
      <w:pPr>
        <w:jc w:val="center"/>
        <w:rPr>
          <w:b/>
          <w:sz w:val="22"/>
        </w:rPr>
      </w:pPr>
    </w:p>
    <w:p w14:paraId="089A2734" w14:textId="77777777" w:rsidR="00941804" w:rsidRPr="00C03483" w:rsidRDefault="00941804" w:rsidP="004D2419">
      <w:pPr>
        <w:jc w:val="center"/>
        <w:rPr>
          <w:b/>
          <w:sz w:val="22"/>
        </w:rPr>
      </w:pPr>
    </w:p>
    <w:p w14:paraId="1CDEB1B0" w14:textId="77777777" w:rsidR="00941804" w:rsidRPr="00C03483" w:rsidRDefault="00941804" w:rsidP="004D2419">
      <w:pPr>
        <w:jc w:val="center"/>
        <w:rPr>
          <w:b/>
          <w:sz w:val="22"/>
        </w:rPr>
      </w:pPr>
    </w:p>
    <w:p w14:paraId="26535E78" w14:textId="77777777" w:rsidR="00941804" w:rsidRPr="00C03483" w:rsidRDefault="00941804" w:rsidP="004D2419">
      <w:pPr>
        <w:jc w:val="center"/>
        <w:rPr>
          <w:b/>
          <w:sz w:val="22"/>
        </w:rPr>
      </w:pPr>
    </w:p>
    <w:p w14:paraId="675BD78A" w14:textId="77777777" w:rsidR="00941804" w:rsidRPr="00C03483" w:rsidRDefault="00941804" w:rsidP="004D2419">
      <w:pPr>
        <w:jc w:val="center"/>
        <w:rPr>
          <w:b/>
          <w:sz w:val="22"/>
        </w:rPr>
      </w:pPr>
    </w:p>
    <w:p w14:paraId="4968C0F1" w14:textId="77777777" w:rsidR="00941804" w:rsidRPr="00C03483" w:rsidRDefault="00941804" w:rsidP="004D2419">
      <w:pPr>
        <w:jc w:val="center"/>
        <w:rPr>
          <w:b/>
          <w:sz w:val="22"/>
        </w:rPr>
      </w:pPr>
    </w:p>
    <w:p w14:paraId="52BEC866" w14:textId="77777777" w:rsidR="00941804" w:rsidRPr="00C03483" w:rsidRDefault="00941804" w:rsidP="004D2419">
      <w:pPr>
        <w:jc w:val="center"/>
        <w:rPr>
          <w:b/>
          <w:sz w:val="22"/>
        </w:rPr>
      </w:pPr>
    </w:p>
    <w:p w14:paraId="7C1ACBA4" w14:textId="77777777" w:rsidR="00941804" w:rsidRPr="00C03483" w:rsidRDefault="00941804" w:rsidP="004D2419">
      <w:pPr>
        <w:jc w:val="center"/>
        <w:rPr>
          <w:b/>
          <w:sz w:val="22"/>
        </w:rPr>
      </w:pPr>
    </w:p>
    <w:p w14:paraId="2B034392" w14:textId="77777777" w:rsidR="00941804" w:rsidRPr="00C03483" w:rsidRDefault="00941804" w:rsidP="004D2419">
      <w:pPr>
        <w:jc w:val="center"/>
        <w:rPr>
          <w:b/>
          <w:sz w:val="22"/>
        </w:rPr>
      </w:pPr>
    </w:p>
    <w:p w14:paraId="37440E95" w14:textId="77777777" w:rsidR="00941804" w:rsidRPr="00C03483" w:rsidRDefault="00941804" w:rsidP="004D2419">
      <w:pPr>
        <w:jc w:val="center"/>
        <w:rPr>
          <w:b/>
          <w:sz w:val="22"/>
        </w:rPr>
      </w:pPr>
    </w:p>
    <w:p w14:paraId="48F03C1A" w14:textId="77777777" w:rsidR="00941804" w:rsidRPr="00C03483" w:rsidRDefault="00941804" w:rsidP="004D2419">
      <w:pPr>
        <w:jc w:val="center"/>
        <w:rPr>
          <w:b/>
          <w:sz w:val="22"/>
        </w:rPr>
      </w:pPr>
    </w:p>
    <w:p w14:paraId="433E8058" w14:textId="77777777" w:rsidR="00941804" w:rsidRPr="00C03483" w:rsidRDefault="00941804" w:rsidP="004D2419">
      <w:pPr>
        <w:jc w:val="center"/>
        <w:rPr>
          <w:b/>
          <w:sz w:val="22"/>
        </w:rPr>
      </w:pPr>
    </w:p>
    <w:p w14:paraId="4FCE9413" w14:textId="77777777" w:rsidR="00941804" w:rsidRPr="00C03483" w:rsidRDefault="00941804" w:rsidP="004D2419">
      <w:pPr>
        <w:jc w:val="center"/>
        <w:rPr>
          <w:b/>
          <w:sz w:val="22"/>
        </w:rPr>
      </w:pPr>
    </w:p>
    <w:p w14:paraId="43136A27" w14:textId="77777777" w:rsidR="00941804" w:rsidRPr="00C03483" w:rsidRDefault="00941804" w:rsidP="004D2419">
      <w:pPr>
        <w:jc w:val="center"/>
        <w:rPr>
          <w:b/>
          <w:sz w:val="22"/>
        </w:rPr>
      </w:pPr>
      <w:r w:rsidRPr="00C03483">
        <w:rPr>
          <w:b/>
          <w:sz w:val="22"/>
        </w:rPr>
        <w:lastRenderedPageBreak/>
        <w:t>Pakuotės lapelis: informacija vartotojui</w:t>
      </w:r>
    </w:p>
    <w:p w14:paraId="5ADC3E6C" w14:textId="77777777" w:rsidR="00941804" w:rsidRPr="00C03483" w:rsidRDefault="00941804" w:rsidP="004D2419">
      <w:pPr>
        <w:jc w:val="center"/>
        <w:rPr>
          <w:b/>
          <w:sz w:val="22"/>
        </w:rPr>
      </w:pPr>
    </w:p>
    <w:p w14:paraId="4E53906C" w14:textId="77777777" w:rsidR="00941804" w:rsidRPr="00C03483" w:rsidRDefault="00941804" w:rsidP="004D2419">
      <w:pPr>
        <w:jc w:val="center"/>
        <w:rPr>
          <w:b/>
          <w:sz w:val="22"/>
        </w:rPr>
      </w:pPr>
      <w:r w:rsidRPr="00C03483">
        <w:rPr>
          <w:b/>
          <w:sz w:val="22"/>
        </w:rPr>
        <w:t>RISONATE 35 mg plėvele dengtos tabletės</w:t>
      </w:r>
    </w:p>
    <w:p w14:paraId="76D85B3E" w14:textId="77777777" w:rsidR="00941804" w:rsidRPr="00C03483" w:rsidRDefault="00941804" w:rsidP="004D2419">
      <w:pPr>
        <w:jc w:val="center"/>
        <w:rPr>
          <w:sz w:val="22"/>
        </w:rPr>
      </w:pPr>
      <w:r w:rsidRPr="00C03483">
        <w:rPr>
          <w:sz w:val="22"/>
        </w:rPr>
        <w:t xml:space="preserve">Natrio rizedronatas </w:t>
      </w:r>
    </w:p>
    <w:p w14:paraId="65315BD2" w14:textId="77777777" w:rsidR="00941804" w:rsidRPr="00C03483" w:rsidRDefault="00941804" w:rsidP="004D2419">
      <w:pPr>
        <w:rPr>
          <w:sz w:val="22"/>
        </w:rPr>
      </w:pPr>
    </w:p>
    <w:p w14:paraId="319C82B2" w14:textId="77777777" w:rsidR="00941804" w:rsidRPr="00C03483" w:rsidRDefault="00941804" w:rsidP="004D2419">
      <w:pPr>
        <w:rPr>
          <w:b/>
          <w:sz w:val="22"/>
        </w:rPr>
      </w:pPr>
      <w:r w:rsidRPr="00C03483">
        <w:rPr>
          <w:b/>
          <w:sz w:val="22"/>
        </w:rPr>
        <w:t>Atidžiai perskaitykite visą šį lapelį, prieš pradėdami vartoti vaistą, nes jame pateikiama Jums svarbi informacija.</w:t>
      </w:r>
    </w:p>
    <w:p w14:paraId="5C4EC6B9" w14:textId="77777777" w:rsidR="00941804" w:rsidRPr="00C03483" w:rsidRDefault="00941804" w:rsidP="004D2419">
      <w:pPr>
        <w:ind w:left="540" w:hanging="540"/>
        <w:rPr>
          <w:sz w:val="22"/>
        </w:rPr>
      </w:pPr>
      <w:r w:rsidRPr="00C03483">
        <w:rPr>
          <w:sz w:val="22"/>
        </w:rPr>
        <w:t>-</w:t>
      </w:r>
      <w:r w:rsidRPr="00C03483">
        <w:rPr>
          <w:sz w:val="22"/>
        </w:rPr>
        <w:tab/>
        <w:t>Neišmeskite šio lapelio, nes vėl gali prireikti jį perskaityti.</w:t>
      </w:r>
    </w:p>
    <w:p w14:paraId="552A7BCD" w14:textId="77777777" w:rsidR="00941804" w:rsidRPr="00C03483" w:rsidRDefault="00941804" w:rsidP="004D2419">
      <w:pPr>
        <w:ind w:left="540" w:hanging="540"/>
        <w:rPr>
          <w:sz w:val="22"/>
        </w:rPr>
      </w:pPr>
      <w:r w:rsidRPr="00C03483">
        <w:rPr>
          <w:sz w:val="22"/>
        </w:rPr>
        <w:t>-</w:t>
      </w:r>
      <w:r w:rsidRPr="00C03483">
        <w:rPr>
          <w:sz w:val="22"/>
        </w:rPr>
        <w:tab/>
        <w:t>Jeigu kiltų daugiau klausimų, kreipkitės į gydytoją arba vaistininką.</w:t>
      </w:r>
    </w:p>
    <w:p w14:paraId="59DC4415" w14:textId="77777777" w:rsidR="00941804" w:rsidRPr="00C03483" w:rsidRDefault="00941804" w:rsidP="004D2419">
      <w:pPr>
        <w:ind w:left="540" w:hanging="540"/>
        <w:rPr>
          <w:sz w:val="22"/>
        </w:rPr>
      </w:pPr>
      <w:r w:rsidRPr="00C03483">
        <w:rPr>
          <w:sz w:val="22"/>
        </w:rPr>
        <w:t>-</w:t>
      </w:r>
      <w:r w:rsidRPr="00C03483">
        <w:rPr>
          <w:sz w:val="22"/>
        </w:rPr>
        <w:tab/>
        <w:t>Šis vaistas skirtas tik Jums, todėl kitiems žmonėms jo duoti negalima. Vaistas gali jiems pakenkti (net tiems, kurių ligos požymiai yra tokie patys kaip Jūsų).</w:t>
      </w:r>
    </w:p>
    <w:p w14:paraId="722CC6F2" w14:textId="77777777" w:rsidR="00941804" w:rsidRPr="00C03483" w:rsidRDefault="00941804" w:rsidP="004D2419">
      <w:pPr>
        <w:ind w:left="540" w:hanging="540"/>
        <w:rPr>
          <w:sz w:val="22"/>
        </w:rPr>
      </w:pPr>
      <w:r w:rsidRPr="00C03483">
        <w:rPr>
          <w:sz w:val="22"/>
        </w:rPr>
        <w:t>-</w:t>
      </w:r>
      <w:r w:rsidRPr="00C03483">
        <w:rPr>
          <w:sz w:val="22"/>
        </w:rPr>
        <w:tab/>
        <w:t>Jeigu pasireiškė šalutinis poveikis (net jeigu jis šiame lapelyje nenurodytas), kreipkitės į gydytoją arba vaistininką. Žr. 4 skyrių.</w:t>
      </w:r>
    </w:p>
    <w:p w14:paraId="3AD932A4" w14:textId="77777777" w:rsidR="00941804" w:rsidRPr="00C03483" w:rsidRDefault="00941804" w:rsidP="004D2419">
      <w:pPr>
        <w:rPr>
          <w:sz w:val="22"/>
        </w:rPr>
      </w:pPr>
    </w:p>
    <w:p w14:paraId="397899D1" w14:textId="77777777" w:rsidR="00941804" w:rsidRPr="00C03483" w:rsidRDefault="00941804" w:rsidP="004D2419">
      <w:pPr>
        <w:rPr>
          <w:sz w:val="22"/>
        </w:rPr>
      </w:pPr>
    </w:p>
    <w:p w14:paraId="62B1B167" w14:textId="77777777" w:rsidR="00941804" w:rsidRPr="00C03483" w:rsidRDefault="00941804" w:rsidP="004D2419">
      <w:pPr>
        <w:rPr>
          <w:b/>
          <w:sz w:val="22"/>
        </w:rPr>
      </w:pPr>
      <w:r w:rsidRPr="00C03483">
        <w:rPr>
          <w:b/>
          <w:sz w:val="22"/>
        </w:rPr>
        <w:t>Apie ką rašoma šiame lapelyje?</w:t>
      </w:r>
    </w:p>
    <w:p w14:paraId="55EFAB63" w14:textId="77777777" w:rsidR="00941804" w:rsidRPr="00C03483" w:rsidRDefault="00941804" w:rsidP="004D2419">
      <w:pPr>
        <w:rPr>
          <w:b/>
          <w:sz w:val="22"/>
        </w:rPr>
      </w:pPr>
    </w:p>
    <w:p w14:paraId="668ECF2D" w14:textId="77777777" w:rsidR="00941804" w:rsidRPr="00C03483" w:rsidRDefault="00941804" w:rsidP="004D2419">
      <w:pPr>
        <w:ind w:left="540" w:hanging="540"/>
        <w:rPr>
          <w:sz w:val="22"/>
        </w:rPr>
      </w:pPr>
      <w:r w:rsidRPr="00C03483">
        <w:rPr>
          <w:sz w:val="22"/>
        </w:rPr>
        <w:t>1.</w:t>
      </w:r>
      <w:r w:rsidRPr="00C03483">
        <w:rPr>
          <w:sz w:val="22"/>
        </w:rPr>
        <w:tab/>
        <w:t>Kas yra RISONATE ir kam jis vartojamas</w:t>
      </w:r>
    </w:p>
    <w:p w14:paraId="0FAEE5DD" w14:textId="77777777" w:rsidR="00941804" w:rsidRPr="00C03483" w:rsidRDefault="00941804" w:rsidP="004D2419">
      <w:pPr>
        <w:ind w:left="540" w:hanging="540"/>
        <w:rPr>
          <w:sz w:val="22"/>
        </w:rPr>
      </w:pPr>
      <w:r w:rsidRPr="00C03483">
        <w:rPr>
          <w:sz w:val="22"/>
        </w:rPr>
        <w:t>2.</w:t>
      </w:r>
      <w:r w:rsidRPr="00C03483">
        <w:rPr>
          <w:sz w:val="22"/>
        </w:rPr>
        <w:tab/>
        <w:t>Kas žinotina prieš vartojant RISONATE</w:t>
      </w:r>
    </w:p>
    <w:p w14:paraId="43B51412" w14:textId="77777777" w:rsidR="00941804" w:rsidRPr="00C03483" w:rsidRDefault="00941804" w:rsidP="004D2419">
      <w:pPr>
        <w:ind w:left="540" w:hanging="540"/>
        <w:rPr>
          <w:sz w:val="22"/>
        </w:rPr>
      </w:pPr>
      <w:r w:rsidRPr="00C03483">
        <w:rPr>
          <w:sz w:val="22"/>
        </w:rPr>
        <w:t>3.</w:t>
      </w:r>
      <w:r w:rsidRPr="00C03483">
        <w:rPr>
          <w:sz w:val="22"/>
        </w:rPr>
        <w:tab/>
        <w:t>Kaip vartoti RISONATE</w:t>
      </w:r>
    </w:p>
    <w:p w14:paraId="14CFC6A4" w14:textId="77777777" w:rsidR="00941804" w:rsidRPr="00C03483" w:rsidRDefault="00941804" w:rsidP="004D2419">
      <w:pPr>
        <w:ind w:left="540" w:hanging="540"/>
        <w:rPr>
          <w:sz w:val="22"/>
        </w:rPr>
      </w:pPr>
      <w:r w:rsidRPr="00C03483">
        <w:rPr>
          <w:sz w:val="22"/>
        </w:rPr>
        <w:t>4.</w:t>
      </w:r>
      <w:r w:rsidRPr="00C03483">
        <w:rPr>
          <w:sz w:val="22"/>
        </w:rPr>
        <w:tab/>
        <w:t>Galimas šalutinis poveikis</w:t>
      </w:r>
    </w:p>
    <w:p w14:paraId="02043BBA" w14:textId="77777777" w:rsidR="00941804" w:rsidRPr="00C03483" w:rsidRDefault="00941804" w:rsidP="004D2419">
      <w:pPr>
        <w:ind w:left="540" w:hanging="540"/>
        <w:rPr>
          <w:sz w:val="22"/>
        </w:rPr>
      </w:pPr>
      <w:r w:rsidRPr="00C03483">
        <w:rPr>
          <w:sz w:val="22"/>
        </w:rPr>
        <w:t>5.</w:t>
      </w:r>
      <w:r w:rsidRPr="00C03483">
        <w:rPr>
          <w:sz w:val="22"/>
        </w:rPr>
        <w:tab/>
        <w:t>Kaip laikyti RISONATE</w:t>
      </w:r>
    </w:p>
    <w:p w14:paraId="7774003F" w14:textId="77777777" w:rsidR="00941804" w:rsidRPr="00C03483" w:rsidRDefault="00941804" w:rsidP="004D2419">
      <w:pPr>
        <w:ind w:left="540" w:hanging="540"/>
        <w:rPr>
          <w:sz w:val="22"/>
        </w:rPr>
      </w:pPr>
      <w:r w:rsidRPr="00C03483">
        <w:rPr>
          <w:sz w:val="22"/>
        </w:rPr>
        <w:t>6.</w:t>
      </w:r>
      <w:r w:rsidRPr="00C03483">
        <w:rPr>
          <w:sz w:val="22"/>
        </w:rPr>
        <w:tab/>
        <w:t>Pakuotės turinys ir kita informacija</w:t>
      </w:r>
    </w:p>
    <w:p w14:paraId="383A5B23" w14:textId="77777777" w:rsidR="00941804" w:rsidRPr="00C03483" w:rsidRDefault="00941804" w:rsidP="004D2419">
      <w:pPr>
        <w:rPr>
          <w:sz w:val="22"/>
        </w:rPr>
      </w:pPr>
    </w:p>
    <w:p w14:paraId="31C72E00" w14:textId="77777777" w:rsidR="00941804" w:rsidRPr="00C03483" w:rsidRDefault="00941804" w:rsidP="004D2419">
      <w:pPr>
        <w:rPr>
          <w:sz w:val="22"/>
        </w:rPr>
      </w:pPr>
    </w:p>
    <w:p w14:paraId="413C7923" w14:textId="77777777" w:rsidR="00941804" w:rsidRPr="00C03483" w:rsidRDefault="00941804" w:rsidP="004D2419">
      <w:pPr>
        <w:ind w:left="540" w:hanging="540"/>
        <w:rPr>
          <w:b/>
          <w:sz w:val="22"/>
        </w:rPr>
      </w:pPr>
      <w:bookmarkStart w:id="70" w:name="_Toc129243139"/>
      <w:bookmarkStart w:id="71" w:name="_Toc129243264"/>
      <w:r w:rsidRPr="00C03483">
        <w:rPr>
          <w:b/>
          <w:sz w:val="22"/>
        </w:rPr>
        <w:t>1.</w:t>
      </w:r>
      <w:r w:rsidRPr="00C03483">
        <w:rPr>
          <w:b/>
          <w:sz w:val="22"/>
        </w:rPr>
        <w:tab/>
        <w:t>Kas yra RISONATE ir kam jis vartojamas</w:t>
      </w:r>
      <w:r w:rsidRPr="00C03483" w:rsidDel="00174BD0">
        <w:rPr>
          <w:b/>
          <w:sz w:val="22"/>
        </w:rPr>
        <w:t xml:space="preserve"> </w:t>
      </w:r>
      <w:bookmarkEnd w:id="70"/>
      <w:bookmarkEnd w:id="71"/>
    </w:p>
    <w:p w14:paraId="480003F6" w14:textId="77777777" w:rsidR="00941804" w:rsidRPr="00C03483" w:rsidRDefault="00941804" w:rsidP="004D2419">
      <w:pPr>
        <w:rPr>
          <w:sz w:val="22"/>
        </w:rPr>
      </w:pPr>
    </w:p>
    <w:p w14:paraId="43A4E2D0" w14:textId="77777777" w:rsidR="00941804" w:rsidRPr="00C03483" w:rsidRDefault="00941804" w:rsidP="004D2419">
      <w:pPr>
        <w:rPr>
          <w:b/>
          <w:sz w:val="22"/>
        </w:rPr>
      </w:pPr>
      <w:r w:rsidRPr="00C03483">
        <w:rPr>
          <w:b/>
          <w:sz w:val="22"/>
        </w:rPr>
        <w:t>Kas yra RISONATE</w:t>
      </w:r>
    </w:p>
    <w:p w14:paraId="279E155D" w14:textId="77777777" w:rsidR="00941804" w:rsidRPr="00C03483" w:rsidRDefault="00941804" w:rsidP="004D2419">
      <w:pPr>
        <w:rPr>
          <w:b/>
          <w:sz w:val="22"/>
        </w:rPr>
      </w:pPr>
    </w:p>
    <w:p w14:paraId="76A6556B" w14:textId="77777777" w:rsidR="00941804" w:rsidRPr="00C03483" w:rsidRDefault="00941804" w:rsidP="004D2419">
      <w:pPr>
        <w:rPr>
          <w:sz w:val="22"/>
        </w:rPr>
      </w:pPr>
      <w:r w:rsidRPr="00C03483">
        <w:rPr>
          <w:sz w:val="22"/>
        </w:rPr>
        <w:t>RISONATE</w:t>
      </w:r>
      <w:r w:rsidRPr="00C03483">
        <w:rPr>
          <w:b/>
          <w:sz w:val="22"/>
        </w:rPr>
        <w:t xml:space="preserve"> </w:t>
      </w:r>
      <w:r w:rsidRPr="00C03483">
        <w:rPr>
          <w:sz w:val="22"/>
        </w:rPr>
        <w:t>priklauso nehormoninių vaistų grupei, kuri vadinama bisfosfonatais, jais gydomos kaulų ligos. Jis tiesiogiai veikia Jūsų kaulus, todėl jie tampa stipresni ir mažiau linkę lūžti.</w:t>
      </w:r>
    </w:p>
    <w:p w14:paraId="6627D265" w14:textId="77777777" w:rsidR="00941804" w:rsidRPr="00C03483" w:rsidRDefault="00941804" w:rsidP="004D2419">
      <w:pPr>
        <w:rPr>
          <w:sz w:val="22"/>
        </w:rPr>
      </w:pPr>
    </w:p>
    <w:p w14:paraId="20BF5585" w14:textId="77777777" w:rsidR="00941804" w:rsidRPr="00C03483" w:rsidRDefault="00941804" w:rsidP="004D2419">
      <w:pPr>
        <w:rPr>
          <w:sz w:val="22"/>
        </w:rPr>
      </w:pPr>
      <w:r w:rsidRPr="00C03483">
        <w:rPr>
          <w:sz w:val="22"/>
        </w:rPr>
        <w:t>Kaulas yra gyvas audinys. Senas kaulinis audinys yra nuolat šalinamas iš Jūsų skeleto ir keičiamas nauju kauliniu audiniu.</w:t>
      </w:r>
    </w:p>
    <w:p w14:paraId="67408736" w14:textId="77777777" w:rsidR="00941804" w:rsidRPr="00C03483" w:rsidRDefault="00941804" w:rsidP="004D2419">
      <w:pPr>
        <w:rPr>
          <w:sz w:val="22"/>
        </w:rPr>
      </w:pPr>
    </w:p>
    <w:p w14:paraId="31900FCA" w14:textId="77777777" w:rsidR="00941804" w:rsidRPr="00C03483" w:rsidRDefault="00941804" w:rsidP="004D2419">
      <w:pPr>
        <w:rPr>
          <w:sz w:val="22"/>
        </w:rPr>
      </w:pPr>
      <w:r w:rsidRPr="00C03483">
        <w:rPr>
          <w:sz w:val="22"/>
        </w:rPr>
        <w:t>Osteoporozė po menopauzės yra būklė, pasireiškianti moterims po menopauzės. Jos metu kaulai tampa silpnesni, trapesni ir labiau linkę lūžti nugriuvus ar suspaudus.</w:t>
      </w:r>
    </w:p>
    <w:p w14:paraId="7EBA84CE" w14:textId="77777777" w:rsidR="00941804" w:rsidRPr="00C03483" w:rsidRDefault="00941804" w:rsidP="004D2419">
      <w:pPr>
        <w:rPr>
          <w:sz w:val="22"/>
        </w:rPr>
      </w:pPr>
    </w:p>
    <w:p w14:paraId="5485DD87" w14:textId="77777777" w:rsidR="00941804" w:rsidRPr="00C03483" w:rsidRDefault="00941804" w:rsidP="004D2419">
      <w:pPr>
        <w:rPr>
          <w:sz w:val="22"/>
        </w:rPr>
      </w:pPr>
      <w:r w:rsidRPr="00C03483">
        <w:rPr>
          <w:sz w:val="22"/>
        </w:rPr>
        <w:t>Osteoporozė taip pat gali pasireikšti vyrams dėl kai kurių priežasčių, įskaitant senėjimą ir mažą vyriško hormono testosterono kiekį.</w:t>
      </w:r>
    </w:p>
    <w:p w14:paraId="2E906646" w14:textId="77777777" w:rsidR="00941804" w:rsidRPr="00C03483" w:rsidRDefault="00941804" w:rsidP="004D2419">
      <w:pPr>
        <w:rPr>
          <w:sz w:val="22"/>
        </w:rPr>
      </w:pPr>
    </w:p>
    <w:p w14:paraId="74B06A49" w14:textId="77777777" w:rsidR="00941804" w:rsidRPr="00C03483" w:rsidRDefault="00941804" w:rsidP="004D2419">
      <w:pPr>
        <w:rPr>
          <w:sz w:val="22"/>
        </w:rPr>
      </w:pPr>
      <w:r w:rsidRPr="00C03483">
        <w:rPr>
          <w:sz w:val="22"/>
        </w:rPr>
        <w:t>Stuburo slanksteliai, šlaunikaulio kaklelis ir riešo kaulai yra labiausiai linkę lūžti, nors gali lūžti bet kuris Jūsų kūno kaulas. Be to, su osteoporoze susiję lūžiai gali sukelti nugaros skausmą, ūgio netekimą ar nugaros iškrypimą. Dauguma osteoporoze sergančių pacienčių nejaučia simptomų, todėl Jūs galite nežinoti, kad sergate šia liga.</w:t>
      </w:r>
    </w:p>
    <w:p w14:paraId="2EEA7113" w14:textId="77777777" w:rsidR="00941804" w:rsidRPr="00C03483" w:rsidRDefault="00941804" w:rsidP="004D2419">
      <w:pPr>
        <w:rPr>
          <w:sz w:val="22"/>
        </w:rPr>
      </w:pPr>
    </w:p>
    <w:p w14:paraId="7300B7CC" w14:textId="77777777" w:rsidR="00941804" w:rsidRPr="00C03483" w:rsidRDefault="00941804" w:rsidP="004D2419">
      <w:pPr>
        <w:rPr>
          <w:sz w:val="22"/>
        </w:rPr>
      </w:pPr>
      <w:r w:rsidRPr="00C03483">
        <w:rPr>
          <w:b/>
          <w:sz w:val="22"/>
        </w:rPr>
        <w:t>Kam RISONATE vartojamas</w:t>
      </w:r>
    </w:p>
    <w:p w14:paraId="7D97FB66" w14:textId="77777777" w:rsidR="00941804" w:rsidRPr="00C03483" w:rsidRDefault="00941804" w:rsidP="004D2419">
      <w:pPr>
        <w:numPr>
          <w:ilvl w:val="0"/>
          <w:numId w:val="13"/>
        </w:numPr>
        <w:rPr>
          <w:sz w:val="22"/>
        </w:rPr>
      </w:pPr>
      <w:r w:rsidRPr="00C03483">
        <w:rPr>
          <w:sz w:val="22"/>
        </w:rPr>
        <w:t>moterų osteoporozės po menopauzės gydymui, net jeigu ji yra sunki. Toks gydymas sumažina slankstelių ir šlaunikaulio kaklelio lūžių riziką;</w:t>
      </w:r>
    </w:p>
    <w:p w14:paraId="4A9486A5" w14:textId="77777777" w:rsidR="00941804" w:rsidRPr="00C03483" w:rsidRDefault="00941804" w:rsidP="004D2419">
      <w:pPr>
        <w:numPr>
          <w:ilvl w:val="0"/>
          <w:numId w:val="13"/>
        </w:numPr>
        <w:rPr>
          <w:sz w:val="22"/>
        </w:rPr>
      </w:pPr>
      <w:r w:rsidRPr="00C03483">
        <w:rPr>
          <w:sz w:val="22"/>
        </w:rPr>
        <w:t>vyrų osteoporozės gydymui.</w:t>
      </w:r>
    </w:p>
    <w:p w14:paraId="3EFE34E5" w14:textId="77777777" w:rsidR="00941804" w:rsidRPr="00C03483" w:rsidRDefault="00941804" w:rsidP="004D2419">
      <w:pPr>
        <w:rPr>
          <w:sz w:val="22"/>
        </w:rPr>
      </w:pPr>
    </w:p>
    <w:p w14:paraId="393FFD93" w14:textId="77777777" w:rsidR="00941804" w:rsidRPr="00C03483" w:rsidRDefault="00941804" w:rsidP="004D2419">
      <w:pPr>
        <w:rPr>
          <w:sz w:val="22"/>
        </w:rPr>
      </w:pPr>
    </w:p>
    <w:p w14:paraId="66EFB5B5" w14:textId="77777777" w:rsidR="00941804" w:rsidRPr="00C03483" w:rsidRDefault="00941804" w:rsidP="004D2419">
      <w:pPr>
        <w:ind w:left="540" w:hanging="540"/>
        <w:rPr>
          <w:b/>
          <w:caps/>
          <w:sz w:val="22"/>
        </w:rPr>
      </w:pPr>
      <w:bookmarkStart w:id="72" w:name="_Toc129243140"/>
      <w:bookmarkStart w:id="73" w:name="_Toc129243265"/>
      <w:r w:rsidRPr="00C03483">
        <w:rPr>
          <w:b/>
          <w:sz w:val="22"/>
        </w:rPr>
        <w:t>2.</w:t>
      </w:r>
      <w:r w:rsidRPr="00C03483">
        <w:rPr>
          <w:b/>
          <w:sz w:val="22"/>
        </w:rPr>
        <w:tab/>
        <w:t xml:space="preserve">Kas žinotina prieš vartojant </w:t>
      </w:r>
      <w:bookmarkEnd w:id="72"/>
      <w:bookmarkEnd w:id="73"/>
      <w:r w:rsidRPr="00C03483">
        <w:rPr>
          <w:b/>
          <w:caps/>
          <w:sz w:val="22"/>
        </w:rPr>
        <w:t>RISONATE</w:t>
      </w:r>
    </w:p>
    <w:p w14:paraId="151AE1A2" w14:textId="77777777" w:rsidR="00941804" w:rsidRPr="00C03483" w:rsidRDefault="00941804" w:rsidP="004D2419">
      <w:pPr>
        <w:rPr>
          <w:sz w:val="22"/>
        </w:rPr>
      </w:pPr>
    </w:p>
    <w:p w14:paraId="434EC783" w14:textId="77777777" w:rsidR="00941804" w:rsidRPr="00C03483" w:rsidRDefault="00941804" w:rsidP="004D2419">
      <w:pPr>
        <w:rPr>
          <w:b/>
          <w:sz w:val="22"/>
        </w:rPr>
      </w:pPr>
      <w:r w:rsidRPr="00C03483">
        <w:rPr>
          <w:b/>
          <w:sz w:val="22"/>
        </w:rPr>
        <w:t>RISONATE vartoti negalima:</w:t>
      </w:r>
    </w:p>
    <w:p w14:paraId="4048C741" w14:textId="77777777" w:rsidR="00941804" w:rsidRPr="00C03483" w:rsidRDefault="00941804" w:rsidP="004D2419">
      <w:pPr>
        <w:ind w:left="540" w:hanging="540"/>
        <w:rPr>
          <w:sz w:val="22"/>
        </w:rPr>
      </w:pPr>
      <w:r w:rsidRPr="00C03483">
        <w:rPr>
          <w:sz w:val="22"/>
        </w:rPr>
        <w:t>-</w:t>
      </w:r>
      <w:r w:rsidRPr="00C03483">
        <w:rPr>
          <w:sz w:val="22"/>
        </w:rPr>
        <w:tab/>
        <w:t xml:space="preserve">jeigu yra alergija veikliajai medžiagai arba bet kuriai pagalbinei šio vaisto medžiagai (jos išvardytos 6 skyriuje). </w:t>
      </w:r>
    </w:p>
    <w:p w14:paraId="4310DA36" w14:textId="77777777" w:rsidR="00941804" w:rsidRPr="004D2419" w:rsidRDefault="00941804" w:rsidP="00C03483">
      <w:pPr>
        <w:pStyle w:val="PI-3EMEASMCA"/>
        <w:ind w:left="540" w:hanging="540"/>
      </w:pPr>
      <w:r w:rsidRPr="00C03483">
        <w:rPr>
          <w:b w:val="0"/>
        </w:rPr>
        <w:lastRenderedPageBreak/>
        <w:t>jeigu Jūsų gydytojas yra sakęs, kad Jums yra būklė, vadinama hipokalcemija (per mažas kalcio kiekis kraujyje);</w:t>
      </w:r>
    </w:p>
    <w:p w14:paraId="78901C09" w14:textId="77777777" w:rsidR="00941804" w:rsidRPr="004D2419" w:rsidRDefault="00941804" w:rsidP="00C03483">
      <w:pPr>
        <w:pStyle w:val="PI-3EMEASMCA"/>
        <w:ind w:left="540" w:hanging="540"/>
      </w:pPr>
      <w:r w:rsidRPr="00C03483">
        <w:rPr>
          <w:b w:val="0"/>
        </w:rPr>
        <w:t>jeigu įtariate, jog pastojote, esate nėščia ar planuojate pastoti;</w:t>
      </w:r>
    </w:p>
    <w:p w14:paraId="4B907DFB" w14:textId="77777777" w:rsidR="00941804" w:rsidRPr="004D2419" w:rsidRDefault="00941804" w:rsidP="00C03483">
      <w:pPr>
        <w:pStyle w:val="PI-3EMEASMCA"/>
        <w:ind w:left="540" w:hanging="540"/>
      </w:pPr>
      <w:r w:rsidRPr="00C03483">
        <w:rPr>
          <w:b w:val="0"/>
        </w:rPr>
        <w:t>jeigu esate žindyvė;</w:t>
      </w:r>
    </w:p>
    <w:p w14:paraId="013DD1A4" w14:textId="77777777" w:rsidR="00941804" w:rsidRPr="004D2419" w:rsidRDefault="00941804" w:rsidP="00C03483">
      <w:pPr>
        <w:pStyle w:val="PI-3EMEASMCA"/>
        <w:ind w:left="540" w:hanging="540"/>
      </w:pPr>
      <w:r w:rsidRPr="00C03483">
        <w:rPr>
          <w:b w:val="0"/>
        </w:rPr>
        <w:t>jeigu sergate sunkia inkstų liga.</w:t>
      </w:r>
    </w:p>
    <w:p w14:paraId="3BA030AF" w14:textId="77777777" w:rsidR="00941804" w:rsidRPr="00C03483" w:rsidRDefault="00941804" w:rsidP="004D2419">
      <w:pPr>
        <w:rPr>
          <w:sz w:val="22"/>
        </w:rPr>
      </w:pPr>
    </w:p>
    <w:p w14:paraId="0B787495" w14:textId="77777777" w:rsidR="00941804" w:rsidRPr="004D2419" w:rsidRDefault="00941804" w:rsidP="00C03483">
      <w:pPr>
        <w:pStyle w:val="PI-3EMEASMCA"/>
        <w:numPr>
          <w:ilvl w:val="0"/>
          <w:numId w:val="0"/>
        </w:numPr>
      </w:pPr>
      <w:r w:rsidRPr="004D2419">
        <w:t>Įspėjimai ir atsargumo priemonės</w:t>
      </w:r>
    </w:p>
    <w:p w14:paraId="271D3041" w14:textId="77777777" w:rsidR="00941804" w:rsidRPr="00C03483" w:rsidRDefault="00941804" w:rsidP="00C03483">
      <w:pPr>
        <w:pStyle w:val="PI-3EMEASMCA"/>
        <w:numPr>
          <w:ilvl w:val="0"/>
          <w:numId w:val="0"/>
        </w:numPr>
      </w:pPr>
      <w:r w:rsidRPr="00C03483">
        <w:rPr>
          <w:b w:val="0"/>
        </w:rPr>
        <w:t>Pasitarkite su gydytoju arba vaistininku prieš pradėdami vartoti RISONATE</w:t>
      </w:r>
    </w:p>
    <w:p w14:paraId="25D0E2F7" w14:textId="77777777" w:rsidR="00941804" w:rsidRPr="00C03483" w:rsidRDefault="00941804" w:rsidP="004D2419">
      <w:pPr>
        <w:numPr>
          <w:ilvl w:val="1"/>
          <w:numId w:val="3"/>
        </w:numPr>
        <w:rPr>
          <w:sz w:val="22"/>
        </w:rPr>
      </w:pPr>
      <w:r w:rsidRPr="00C03483">
        <w:rPr>
          <w:sz w:val="22"/>
        </w:rPr>
        <w:t>jeigu negalite išbūti vertikalioje padėtyje (sėdėti ar stovėti) bent 30 minučių;</w:t>
      </w:r>
    </w:p>
    <w:p w14:paraId="599FDDCB" w14:textId="77777777" w:rsidR="00941804" w:rsidRPr="00C03483" w:rsidRDefault="00941804" w:rsidP="004D2419">
      <w:pPr>
        <w:numPr>
          <w:ilvl w:val="1"/>
          <w:numId w:val="3"/>
        </w:numPr>
        <w:rPr>
          <w:sz w:val="22"/>
        </w:rPr>
      </w:pPr>
      <w:r w:rsidRPr="00C03483">
        <w:rPr>
          <w:sz w:val="22"/>
        </w:rPr>
        <w:t>jeigu Jūsų kaulinio audinio ir mineralų apykaita sutrikusi, pavyzdžiui, trūksta vitamino D ar yra nenormalus parathormono kiekis (abu šie sutrikimai lemia mažą kalcio kiekį kraujyje);</w:t>
      </w:r>
    </w:p>
    <w:p w14:paraId="650C9A32" w14:textId="77777777" w:rsidR="00941804" w:rsidRPr="00C03483" w:rsidRDefault="00941804" w:rsidP="00C03483">
      <w:pPr>
        <w:numPr>
          <w:ilvl w:val="0"/>
          <w:numId w:val="15"/>
        </w:numPr>
        <w:tabs>
          <w:tab w:val="clear" w:pos="720"/>
          <w:tab w:val="left" w:pos="567"/>
        </w:tabs>
        <w:spacing w:line="260" w:lineRule="exact"/>
        <w:ind w:left="567" w:hanging="567"/>
        <w:rPr>
          <w:sz w:val="22"/>
        </w:rPr>
      </w:pPr>
      <w:r w:rsidRPr="00C03483">
        <w:rPr>
          <w:sz w:val="22"/>
        </w:rPr>
        <w:t>jeigu yra buvę stemplės (vamzdelio, jungiančio burną su skrandžiu) sutrikimų, pvz., Jums galėjo būti skausminga ar sunku nuryti maistą arba jeigu Jūsų gydytojas yra sakęs, kad Jums yra Bareto stemplė (būklė, susijusi su apatinę stemplės dalį jungiančių ląstelių pakitimais);</w:t>
      </w:r>
    </w:p>
    <w:p w14:paraId="2F846E1F" w14:textId="77777777" w:rsidR="00941804" w:rsidRPr="00C03483" w:rsidRDefault="00941804" w:rsidP="004D2419">
      <w:pPr>
        <w:numPr>
          <w:ilvl w:val="1"/>
          <w:numId w:val="3"/>
        </w:numPr>
        <w:rPr>
          <w:sz w:val="22"/>
        </w:rPr>
      </w:pPr>
      <w:r w:rsidRPr="00C03483">
        <w:rPr>
          <w:sz w:val="22"/>
        </w:rPr>
        <w:t>jeigu gydytojas Jums yra sakęs, kad netoleruojate kokių nors angliavandenių (tokių kaip laktozė</w:t>
      </w:r>
      <w:r w:rsidRPr="0039042E">
        <w:rPr>
          <w:sz w:val="22"/>
          <w:szCs w:val="22"/>
        </w:rPr>
        <w:t>);</w:t>
      </w:r>
      <w:r w:rsidRPr="00C03483">
        <w:rPr>
          <w:sz w:val="22"/>
        </w:rPr>
        <w:t xml:space="preserve"> </w:t>
      </w:r>
    </w:p>
    <w:p w14:paraId="06815BB4" w14:textId="77777777" w:rsidR="00941804" w:rsidRPr="00C03483" w:rsidRDefault="00941804" w:rsidP="004D2419">
      <w:pPr>
        <w:numPr>
          <w:ilvl w:val="1"/>
          <w:numId w:val="3"/>
        </w:numPr>
        <w:rPr>
          <w:sz w:val="22"/>
        </w:rPr>
      </w:pPr>
      <w:r w:rsidRPr="00C03483">
        <w:rPr>
          <w:sz w:val="22"/>
        </w:rPr>
        <w:t>jeigu yra ar yra buvęs žandikaulio skausmas, patinimas, tirpimas, „sunkaus žandikaulio“ pojūtis ar jei iškrito dantis;</w:t>
      </w:r>
    </w:p>
    <w:p w14:paraId="2BA7C3F6" w14:textId="77777777" w:rsidR="00941804" w:rsidRPr="00C03483" w:rsidRDefault="00941804" w:rsidP="004D2419">
      <w:pPr>
        <w:numPr>
          <w:ilvl w:val="1"/>
          <w:numId w:val="3"/>
        </w:numPr>
        <w:rPr>
          <w:sz w:val="22"/>
        </w:rPr>
      </w:pPr>
      <w:r w:rsidRPr="00C03483">
        <w:rPr>
          <w:sz w:val="22"/>
        </w:rPr>
        <w:t>jeigu gydomi Jūsų dantys ar bus atliekama jų operacija, pasakykite odontologui, kad vartojate RISONATE.</w:t>
      </w:r>
    </w:p>
    <w:p w14:paraId="5E15775A" w14:textId="77777777" w:rsidR="00941804" w:rsidRPr="00C03483" w:rsidRDefault="00941804" w:rsidP="004D2419">
      <w:pPr>
        <w:rPr>
          <w:sz w:val="22"/>
        </w:rPr>
      </w:pPr>
    </w:p>
    <w:p w14:paraId="7890A05E" w14:textId="77777777" w:rsidR="00941804" w:rsidRPr="00C03483" w:rsidRDefault="00941804" w:rsidP="004D2419">
      <w:pPr>
        <w:rPr>
          <w:sz w:val="22"/>
        </w:rPr>
      </w:pPr>
      <w:r w:rsidRPr="00C03483">
        <w:rPr>
          <w:sz w:val="22"/>
        </w:rPr>
        <w:t>Jeigu Jums yra bet kuri iš minėtų būklių, Jūsų gydytojas patars Jums, kaip toliau vartoti RISONATE.</w:t>
      </w:r>
    </w:p>
    <w:p w14:paraId="5F652CD5" w14:textId="77777777" w:rsidR="00941804" w:rsidRPr="00C03483" w:rsidRDefault="00941804" w:rsidP="004D2419">
      <w:pPr>
        <w:rPr>
          <w:sz w:val="22"/>
        </w:rPr>
      </w:pPr>
    </w:p>
    <w:p w14:paraId="4775DCCB" w14:textId="77777777" w:rsidR="00941804" w:rsidRPr="00C03483" w:rsidRDefault="00941804" w:rsidP="004D2419">
      <w:pPr>
        <w:rPr>
          <w:b/>
          <w:sz w:val="22"/>
        </w:rPr>
      </w:pPr>
      <w:r w:rsidRPr="00C03483">
        <w:rPr>
          <w:b/>
          <w:sz w:val="22"/>
        </w:rPr>
        <w:t>Vaikams ir paaugliams</w:t>
      </w:r>
    </w:p>
    <w:p w14:paraId="0FA4236D" w14:textId="77777777" w:rsidR="00941804" w:rsidRPr="00C03483" w:rsidRDefault="00941804" w:rsidP="004D2419">
      <w:pPr>
        <w:rPr>
          <w:sz w:val="22"/>
        </w:rPr>
      </w:pPr>
      <w:r w:rsidRPr="00C03483">
        <w:rPr>
          <w:sz w:val="22"/>
        </w:rPr>
        <w:t>RISONATE 35 mg plėvele dengtų tablečių nerekomenduojama vartoti vaikams iki 18 metų, kadangi saugumo ir efektyvumo duomenų nepakanka.</w:t>
      </w:r>
    </w:p>
    <w:p w14:paraId="26EFD19C" w14:textId="77777777" w:rsidR="00941804" w:rsidRPr="00C03483" w:rsidRDefault="00941804" w:rsidP="004D2419">
      <w:pPr>
        <w:rPr>
          <w:sz w:val="22"/>
        </w:rPr>
      </w:pPr>
    </w:p>
    <w:p w14:paraId="59490C50" w14:textId="77777777" w:rsidR="00941804" w:rsidRPr="00C03483" w:rsidRDefault="00941804" w:rsidP="004D2419">
      <w:pPr>
        <w:rPr>
          <w:b/>
          <w:sz w:val="22"/>
        </w:rPr>
      </w:pPr>
      <w:r w:rsidRPr="00C03483">
        <w:rPr>
          <w:b/>
          <w:sz w:val="22"/>
        </w:rPr>
        <w:t>Kiti vaistai ir RISONATE</w:t>
      </w:r>
    </w:p>
    <w:p w14:paraId="626A2D35" w14:textId="77777777" w:rsidR="00941804" w:rsidRPr="00C03483" w:rsidRDefault="00941804" w:rsidP="004D2419">
      <w:pPr>
        <w:rPr>
          <w:sz w:val="22"/>
        </w:rPr>
      </w:pPr>
      <w:r w:rsidRPr="00C03483">
        <w:rPr>
          <w:sz w:val="22"/>
        </w:rPr>
        <w:t>RISONATE poveikį silpnina kartu vartojami vaistai, kuriuose yra šių medžiagų:</w:t>
      </w:r>
    </w:p>
    <w:p w14:paraId="1E55236C" w14:textId="77777777" w:rsidR="00941804" w:rsidRPr="00C03483" w:rsidRDefault="00941804" w:rsidP="004D2419">
      <w:pPr>
        <w:ind w:left="540" w:hanging="540"/>
        <w:rPr>
          <w:sz w:val="22"/>
        </w:rPr>
      </w:pPr>
      <w:r w:rsidRPr="00C03483">
        <w:rPr>
          <w:sz w:val="22"/>
        </w:rPr>
        <w:t>-</w:t>
      </w:r>
      <w:r w:rsidRPr="00C03483">
        <w:rPr>
          <w:sz w:val="22"/>
        </w:rPr>
        <w:tab/>
        <w:t>kalcio;</w:t>
      </w:r>
    </w:p>
    <w:p w14:paraId="433C9F8E" w14:textId="77777777" w:rsidR="00941804" w:rsidRPr="00C03483" w:rsidRDefault="00941804" w:rsidP="004D2419">
      <w:pPr>
        <w:ind w:left="540" w:hanging="540"/>
        <w:rPr>
          <w:sz w:val="22"/>
        </w:rPr>
      </w:pPr>
      <w:r w:rsidRPr="00C03483">
        <w:rPr>
          <w:sz w:val="22"/>
        </w:rPr>
        <w:t>-</w:t>
      </w:r>
      <w:r w:rsidRPr="00C03483">
        <w:rPr>
          <w:sz w:val="22"/>
        </w:rPr>
        <w:tab/>
        <w:t>magnio;</w:t>
      </w:r>
    </w:p>
    <w:p w14:paraId="07C1E2B5" w14:textId="77777777" w:rsidR="00941804" w:rsidRPr="00C03483" w:rsidRDefault="00941804" w:rsidP="004D2419">
      <w:pPr>
        <w:ind w:left="540" w:hanging="540"/>
        <w:rPr>
          <w:sz w:val="22"/>
        </w:rPr>
      </w:pPr>
      <w:r w:rsidRPr="00C03483">
        <w:rPr>
          <w:sz w:val="22"/>
        </w:rPr>
        <w:t>-</w:t>
      </w:r>
      <w:r w:rsidRPr="00C03483">
        <w:rPr>
          <w:sz w:val="22"/>
        </w:rPr>
        <w:tab/>
        <w:t>aliuminio (pavyzdžiui, kai kuriuose mišiniuose nuo skrandžio veiklos sutrikimo);</w:t>
      </w:r>
    </w:p>
    <w:p w14:paraId="3422DE3F" w14:textId="77777777" w:rsidR="00941804" w:rsidRPr="00C03483" w:rsidRDefault="00941804" w:rsidP="004D2419">
      <w:pPr>
        <w:ind w:left="540" w:hanging="540"/>
        <w:rPr>
          <w:sz w:val="22"/>
        </w:rPr>
      </w:pPr>
      <w:r w:rsidRPr="00C03483">
        <w:rPr>
          <w:sz w:val="22"/>
        </w:rPr>
        <w:t>-</w:t>
      </w:r>
      <w:r w:rsidRPr="00C03483">
        <w:rPr>
          <w:sz w:val="22"/>
        </w:rPr>
        <w:tab/>
        <w:t>geležies.</w:t>
      </w:r>
    </w:p>
    <w:p w14:paraId="38B4DBF9" w14:textId="77777777" w:rsidR="00941804" w:rsidRPr="00C03483" w:rsidRDefault="00941804" w:rsidP="004D2419">
      <w:pPr>
        <w:rPr>
          <w:sz w:val="22"/>
        </w:rPr>
      </w:pPr>
      <w:r w:rsidRPr="00C03483">
        <w:rPr>
          <w:sz w:val="22"/>
        </w:rPr>
        <w:t>Išgėrus natrio rizedronato tabletę, šių vaistų vartokite ne anksčiau kaip po 30 minučių.</w:t>
      </w:r>
    </w:p>
    <w:p w14:paraId="0D67A512" w14:textId="77777777" w:rsidR="00941804" w:rsidRPr="00C03483" w:rsidRDefault="00941804" w:rsidP="004D2419">
      <w:pPr>
        <w:rPr>
          <w:sz w:val="22"/>
        </w:rPr>
      </w:pPr>
    </w:p>
    <w:p w14:paraId="5C344D33" w14:textId="77777777" w:rsidR="00941804" w:rsidRPr="00C03483" w:rsidRDefault="00941804" w:rsidP="004D2419">
      <w:pPr>
        <w:rPr>
          <w:sz w:val="22"/>
        </w:rPr>
      </w:pPr>
      <w:r w:rsidRPr="00C03483">
        <w:rPr>
          <w:sz w:val="22"/>
        </w:rPr>
        <w:t>Jeigu vartojate arba neseniai vartojote kitų vaistų arba dėl to nesate tikri, apie tai pasakykite gydytojui arba vaistininkui.</w:t>
      </w:r>
    </w:p>
    <w:p w14:paraId="5D827711" w14:textId="77777777" w:rsidR="00941804" w:rsidRPr="00C03483" w:rsidRDefault="00941804" w:rsidP="004D2419">
      <w:pPr>
        <w:rPr>
          <w:sz w:val="22"/>
        </w:rPr>
      </w:pPr>
    </w:p>
    <w:p w14:paraId="711EA356" w14:textId="77777777" w:rsidR="00941804" w:rsidRPr="00C03483" w:rsidRDefault="00941804" w:rsidP="004D2419">
      <w:pPr>
        <w:rPr>
          <w:b/>
          <w:sz w:val="22"/>
        </w:rPr>
      </w:pPr>
      <w:r w:rsidRPr="00C03483">
        <w:rPr>
          <w:b/>
          <w:sz w:val="22"/>
        </w:rPr>
        <w:t>RISONATE vartojimas su maistu ir gėrimais</w:t>
      </w:r>
    </w:p>
    <w:p w14:paraId="3F6D041E" w14:textId="77777777" w:rsidR="00941804" w:rsidRPr="00C03483" w:rsidRDefault="00941804" w:rsidP="004D2419">
      <w:pPr>
        <w:rPr>
          <w:sz w:val="22"/>
        </w:rPr>
      </w:pPr>
      <w:r w:rsidRPr="00C03483">
        <w:rPr>
          <w:sz w:val="22"/>
        </w:rPr>
        <w:t>Labai svarbu, kad Jūs nevartotumėte savo RISONATE kartu su maistu ar gėrimais (išskyrus paprastą vandenį), nes tik taip jis galės veikti tinkamai. Ypač svarbu šio vaisto nevartoti kartu su pieno produktais (pvz., pienu), nes juose yra kalcio (žr. 2 skyriaus poskyrį „Kiti vaistai ir RISONATE“).</w:t>
      </w:r>
    </w:p>
    <w:p w14:paraId="5443BFB3" w14:textId="77777777" w:rsidR="00941804" w:rsidRPr="00C03483" w:rsidRDefault="00941804" w:rsidP="004D2419">
      <w:pPr>
        <w:rPr>
          <w:sz w:val="22"/>
        </w:rPr>
      </w:pPr>
    </w:p>
    <w:p w14:paraId="461E16D6" w14:textId="77777777" w:rsidR="00941804" w:rsidRPr="00C03483" w:rsidRDefault="00941804" w:rsidP="004D2419">
      <w:pPr>
        <w:rPr>
          <w:sz w:val="22"/>
        </w:rPr>
      </w:pPr>
      <w:r w:rsidRPr="00C03483">
        <w:rPr>
          <w:sz w:val="22"/>
        </w:rPr>
        <w:t>Išgėrus RISONATE, bent 30 minučių nevalgykite ir negerkite (išskyrus paprastą vandenį).</w:t>
      </w:r>
    </w:p>
    <w:p w14:paraId="0B5EDD4C" w14:textId="77777777" w:rsidR="00941804" w:rsidRPr="00C03483" w:rsidRDefault="00941804" w:rsidP="004D2419">
      <w:pPr>
        <w:rPr>
          <w:sz w:val="22"/>
        </w:rPr>
      </w:pPr>
    </w:p>
    <w:p w14:paraId="515C6002" w14:textId="77777777" w:rsidR="00941804" w:rsidRPr="00C03483" w:rsidRDefault="00941804" w:rsidP="004D2419">
      <w:pPr>
        <w:rPr>
          <w:b/>
          <w:sz w:val="22"/>
        </w:rPr>
      </w:pPr>
      <w:r w:rsidRPr="00C03483">
        <w:rPr>
          <w:b/>
          <w:sz w:val="22"/>
        </w:rPr>
        <w:t xml:space="preserve">Nėštumas ir žindymo laikotarpis </w:t>
      </w:r>
    </w:p>
    <w:p w14:paraId="5FDC1DCB" w14:textId="77777777" w:rsidR="00941804" w:rsidRPr="00C03483" w:rsidRDefault="00941804" w:rsidP="004D2419">
      <w:pPr>
        <w:rPr>
          <w:sz w:val="22"/>
        </w:rPr>
      </w:pPr>
      <w:r w:rsidRPr="00C03483">
        <w:rPr>
          <w:sz w:val="22"/>
        </w:rPr>
        <w:t>Jei įtariate, jog pastojote, esate nėščia ar planuojate pastoti, Jums natrio rizedronato vartoti negalima (žr. 2 skyriaus poskyrį „RISONATE vartoti negalima“). Galima rizika, susijusi su natrio rizedronato vartojimu nėštumo metu, yra nežinoma. Prieš vartodama šį vaistą pasitarkite su gydytoju ar vaistininku.</w:t>
      </w:r>
    </w:p>
    <w:p w14:paraId="1A6FD242" w14:textId="77777777" w:rsidR="00941804" w:rsidRPr="00C03483" w:rsidRDefault="00941804" w:rsidP="004D2419">
      <w:pPr>
        <w:rPr>
          <w:sz w:val="22"/>
        </w:rPr>
      </w:pPr>
    </w:p>
    <w:p w14:paraId="4EE1FBD4" w14:textId="77777777" w:rsidR="00941804" w:rsidRPr="00C03483" w:rsidRDefault="00941804" w:rsidP="004D2419">
      <w:pPr>
        <w:rPr>
          <w:sz w:val="22"/>
        </w:rPr>
      </w:pPr>
      <w:r w:rsidRPr="00C03483">
        <w:rPr>
          <w:sz w:val="22"/>
        </w:rPr>
        <w:t>Jei esate žindyvė, Jums RISONATE vartoti negalima (žr. 2 skyriaus poskyrį „RISONATE vartoti negalima“).</w:t>
      </w:r>
    </w:p>
    <w:p w14:paraId="4E86C34A" w14:textId="77777777" w:rsidR="00941804" w:rsidRPr="00C03483" w:rsidRDefault="00941804" w:rsidP="004D2419">
      <w:pPr>
        <w:rPr>
          <w:sz w:val="22"/>
        </w:rPr>
      </w:pPr>
    </w:p>
    <w:p w14:paraId="22FECE78" w14:textId="77777777" w:rsidR="00941804" w:rsidRPr="00C03483" w:rsidRDefault="00941804" w:rsidP="004D2419">
      <w:pPr>
        <w:rPr>
          <w:sz w:val="22"/>
        </w:rPr>
      </w:pPr>
      <w:r w:rsidRPr="00C03483">
        <w:rPr>
          <w:sz w:val="22"/>
        </w:rPr>
        <w:t>RISONATE turėtų būti vartojamas tik moterų po menopauzės ir vyrų gydymui.</w:t>
      </w:r>
    </w:p>
    <w:p w14:paraId="24438A3E" w14:textId="77777777" w:rsidR="00941804" w:rsidRPr="004D2419" w:rsidRDefault="00941804" w:rsidP="00C03483">
      <w:pPr>
        <w:pStyle w:val="BTEMEASMCA"/>
      </w:pPr>
    </w:p>
    <w:p w14:paraId="4E1B2C49" w14:textId="77777777" w:rsidR="00941804" w:rsidRPr="004D2419" w:rsidRDefault="00941804" w:rsidP="00C03483">
      <w:pPr>
        <w:pStyle w:val="PI-3EMEASMCA"/>
        <w:numPr>
          <w:ilvl w:val="0"/>
          <w:numId w:val="0"/>
        </w:numPr>
      </w:pPr>
      <w:r w:rsidRPr="004D2419">
        <w:t>Vairavimas ir mechanizmų valdymas</w:t>
      </w:r>
    </w:p>
    <w:p w14:paraId="037EDC77" w14:textId="77777777" w:rsidR="00941804" w:rsidRPr="00C03483" w:rsidRDefault="00941804" w:rsidP="004D2419">
      <w:pPr>
        <w:rPr>
          <w:sz w:val="22"/>
        </w:rPr>
      </w:pPr>
      <w:r w:rsidRPr="00C03483">
        <w:rPr>
          <w:sz w:val="22"/>
        </w:rPr>
        <w:t>Nežinoma, ar RISONATE veikia Jūsų gebėjimą vairuoti ir valdyti mechanizmus.</w:t>
      </w:r>
    </w:p>
    <w:p w14:paraId="34DC82F2" w14:textId="77777777" w:rsidR="00941804" w:rsidRPr="00C03483" w:rsidRDefault="00941804" w:rsidP="004D2419">
      <w:pPr>
        <w:rPr>
          <w:b/>
          <w:sz w:val="22"/>
        </w:rPr>
      </w:pPr>
    </w:p>
    <w:p w14:paraId="0A983CDB" w14:textId="77777777" w:rsidR="00941804" w:rsidRPr="00C03483" w:rsidRDefault="00941804" w:rsidP="004D2419">
      <w:pPr>
        <w:rPr>
          <w:b/>
          <w:sz w:val="22"/>
        </w:rPr>
      </w:pPr>
      <w:r w:rsidRPr="00C03483">
        <w:rPr>
          <w:b/>
          <w:sz w:val="22"/>
        </w:rPr>
        <w:t>RISONATE sudėtyje yra laktozės</w:t>
      </w:r>
    </w:p>
    <w:p w14:paraId="0D636737" w14:textId="77777777" w:rsidR="00941804" w:rsidRPr="004D2419" w:rsidRDefault="00941804" w:rsidP="00C03483">
      <w:pPr>
        <w:pStyle w:val="Pagrindinistekstas"/>
        <w:spacing w:after="0"/>
      </w:pPr>
      <w:r w:rsidRPr="004D2419">
        <w:t>Jeigu gydytojas Jums yra sakęs, kad netoleruojate kokių nors angliavandenių, kreipkitės į jį prieš pradėdami vartoti šį vaistą.</w:t>
      </w:r>
    </w:p>
    <w:p w14:paraId="397B71A9" w14:textId="77777777" w:rsidR="00941804" w:rsidRDefault="00941804" w:rsidP="004D2419">
      <w:pPr>
        <w:rPr>
          <w:sz w:val="22"/>
        </w:rPr>
      </w:pPr>
    </w:p>
    <w:p w14:paraId="4FC44193" w14:textId="77777777" w:rsidR="008D44A0" w:rsidRPr="00C03483" w:rsidRDefault="008D44A0" w:rsidP="004D2419">
      <w:pPr>
        <w:rPr>
          <w:sz w:val="22"/>
        </w:rPr>
      </w:pPr>
      <w:r w:rsidRPr="00C03483">
        <w:rPr>
          <w:b/>
          <w:sz w:val="22"/>
        </w:rPr>
        <w:t>RISONATE sudėtyje yra</w:t>
      </w:r>
      <w:r>
        <w:rPr>
          <w:b/>
          <w:sz w:val="22"/>
        </w:rPr>
        <w:t xml:space="preserve"> natrio</w:t>
      </w:r>
    </w:p>
    <w:p w14:paraId="371494CC" w14:textId="77777777" w:rsidR="00941804" w:rsidRDefault="008D44A0" w:rsidP="004D2419">
      <w:pPr>
        <w:rPr>
          <w:sz w:val="22"/>
        </w:rPr>
      </w:pPr>
      <w:r w:rsidRPr="00FB7523">
        <w:rPr>
          <w:sz w:val="22"/>
          <w:szCs w:val="22"/>
        </w:rPr>
        <w:t xml:space="preserve">Šio </w:t>
      </w:r>
      <w:r>
        <w:rPr>
          <w:sz w:val="22"/>
          <w:szCs w:val="22"/>
        </w:rPr>
        <w:t>vaisto</w:t>
      </w:r>
      <w:r w:rsidRPr="00066982">
        <w:rPr>
          <w:sz w:val="22"/>
          <w:szCs w:val="22"/>
        </w:rPr>
        <w:t xml:space="preserve"> </w:t>
      </w:r>
      <w:r>
        <w:rPr>
          <w:sz w:val="22"/>
          <w:szCs w:val="22"/>
        </w:rPr>
        <w:t xml:space="preserve">plėvele dengtoje tabletėje </w:t>
      </w:r>
      <w:r w:rsidRPr="00066982">
        <w:rPr>
          <w:sz w:val="22"/>
          <w:szCs w:val="22"/>
        </w:rPr>
        <w:t>yra mažiau kaip 1</w:t>
      </w:r>
      <w:r w:rsidR="000C3D2B">
        <w:rPr>
          <w:sz w:val="22"/>
          <w:szCs w:val="22"/>
        </w:rPr>
        <w:t> </w:t>
      </w:r>
      <w:r w:rsidRPr="00066982">
        <w:rPr>
          <w:sz w:val="22"/>
          <w:szCs w:val="22"/>
        </w:rPr>
        <w:t>mmol (23</w:t>
      </w:r>
      <w:r w:rsidR="000C3D2B">
        <w:rPr>
          <w:sz w:val="22"/>
          <w:szCs w:val="22"/>
        </w:rPr>
        <w:t> </w:t>
      </w:r>
      <w:r w:rsidRPr="00066982">
        <w:rPr>
          <w:sz w:val="22"/>
          <w:szCs w:val="22"/>
        </w:rPr>
        <w:t>mg) natrio, t.y. jis beveik neturi reikšmės</w:t>
      </w:r>
      <w:r>
        <w:rPr>
          <w:sz w:val="22"/>
          <w:szCs w:val="22"/>
        </w:rPr>
        <w:t>.</w:t>
      </w:r>
    </w:p>
    <w:p w14:paraId="2B9D1B45" w14:textId="77777777" w:rsidR="008D44A0" w:rsidRPr="00C03483" w:rsidRDefault="008D44A0" w:rsidP="004D2419">
      <w:pPr>
        <w:rPr>
          <w:sz w:val="22"/>
        </w:rPr>
      </w:pPr>
    </w:p>
    <w:p w14:paraId="452BF2A5" w14:textId="77777777" w:rsidR="00941804" w:rsidRPr="00C03483" w:rsidRDefault="00941804" w:rsidP="004D2419">
      <w:pPr>
        <w:ind w:left="540" w:hanging="540"/>
        <w:rPr>
          <w:b/>
          <w:caps/>
          <w:sz w:val="22"/>
        </w:rPr>
      </w:pPr>
      <w:bookmarkStart w:id="74" w:name="_Toc129243141"/>
      <w:bookmarkStart w:id="75" w:name="_Toc129243266"/>
      <w:r w:rsidRPr="00C03483">
        <w:rPr>
          <w:b/>
          <w:sz w:val="22"/>
        </w:rPr>
        <w:t>3.</w:t>
      </w:r>
      <w:r w:rsidRPr="00C03483">
        <w:rPr>
          <w:b/>
          <w:sz w:val="22"/>
        </w:rPr>
        <w:tab/>
        <w:t xml:space="preserve">Kaip vartoti </w:t>
      </w:r>
      <w:bookmarkEnd w:id="74"/>
      <w:bookmarkEnd w:id="75"/>
      <w:r w:rsidRPr="00C03483">
        <w:rPr>
          <w:b/>
          <w:sz w:val="22"/>
        </w:rPr>
        <w:t>RISONATE</w:t>
      </w:r>
    </w:p>
    <w:p w14:paraId="42086FD8" w14:textId="77777777" w:rsidR="00941804" w:rsidRPr="00C03483" w:rsidRDefault="00941804" w:rsidP="004D2419">
      <w:pPr>
        <w:rPr>
          <w:sz w:val="22"/>
        </w:rPr>
      </w:pPr>
    </w:p>
    <w:p w14:paraId="58B78B62" w14:textId="77777777" w:rsidR="00941804" w:rsidRPr="00C03483" w:rsidRDefault="00941804" w:rsidP="004D2419">
      <w:pPr>
        <w:rPr>
          <w:sz w:val="22"/>
        </w:rPr>
      </w:pPr>
      <w:r w:rsidRPr="00C03483">
        <w:rPr>
          <w:sz w:val="22"/>
        </w:rPr>
        <w:t>Visada vartokite šį vaistą tiksliai, kaip nurodė gydytojas arba vaistininkas. Jeigu abejojate, kreipkitės į gydytoją arba vaistininką.</w:t>
      </w:r>
    </w:p>
    <w:p w14:paraId="146B073F" w14:textId="77777777" w:rsidR="00941804" w:rsidRPr="00C03483" w:rsidRDefault="00941804" w:rsidP="004D2419">
      <w:pPr>
        <w:rPr>
          <w:sz w:val="22"/>
          <w:u w:val="single"/>
        </w:rPr>
      </w:pPr>
    </w:p>
    <w:p w14:paraId="6901AACA" w14:textId="77777777" w:rsidR="00941804" w:rsidRPr="00C03483" w:rsidRDefault="00941804" w:rsidP="004D2419">
      <w:pPr>
        <w:rPr>
          <w:sz w:val="22"/>
          <w:u w:val="single"/>
        </w:rPr>
      </w:pPr>
      <w:r w:rsidRPr="00C03483">
        <w:rPr>
          <w:sz w:val="22"/>
          <w:u w:val="single"/>
        </w:rPr>
        <w:t>Rekomenduojama dozė</w:t>
      </w:r>
    </w:p>
    <w:p w14:paraId="0001FC5A" w14:textId="77777777" w:rsidR="00941804" w:rsidRPr="004D2419" w:rsidRDefault="00941804" w:rsidP="00C03483">
      <w:pPr>
        <w:pStyle w:val="Pagrindinistekstas"/>
        <w:tabs>
          <w:tab w:val="num" w:pos="567"/>
        </w:tabs>
        <w:spacing w:after="0"/>
      </w:pPr>
      <w:r w:rsidRPr="004D2419">
        <w:t>Gerkite vieną tabletę (35 mg natrio rizedronato) kartą per savaitę. Pasirinkite Jums tinkamiausią savaitės dieną, kurią vartosite vaistą. Kiekvieną savaitę Jūsų pasirinktą dieną išgerkite vieną RISONATE tabletę.</w:t>
      </w:r>
    </w:p>
    <w:p w14:paraId="673AAA90" w14:textId="77777777" w:rsidR="00941804" w:rsidRPr="004D2419" w:rsidRDefault="00941804" w:rsidP="00C03483">
      <w:pPr>
        <w:pStyle w:val="Pagrindinistekstas"/>
        <w:tabs>
          <w:tab w:val="num" w:pos="567"/>
        </w:tabs>
        <w:spacing w:after="0"/>
      </w:pPr>
    </w:p>
    <w:p w14:paraId="50AE340C" w14:textId="77777777" w:rsidR="00941804" w:rsidRPr="004D2419" w:rsidRDefault="00941804" w:rsidP="00C03483">
      <w:pPr>
        <w:pStyle w:val="Pagrindinistekstas"/>
        <w:tabs>
          <w:tab w:val="num" w:pos="567"/>
        </w:tabs>
        <w:spacing w:after="0"/>
        <w:rPr>
          <w:b/>
        </w:rPr>
      </w:pPr>
      <w:r w:rsidRPr="004D2419">
        <w:rPr>
          <w:b/>
        </w:rPr>
        <w:t>Kada gerti RISONATE</w:t>
      </w:r>
    </w:p>
    <w:p w14:paraId="460FA0FA" w14:textId="77777777" w:rsidR="00941804" w:rsidRPr="00C03483" w:rsidRDefault="00941804" w:rsidP="004D2419">
      <w:pPr>
        <w:rPr>
          <w:sz w:val="22"/>
        </w:rPr>
      </w:pPr>
      <w:r w:rsidRPr="00C03483">
        <w:rPr>
          <w:sz w:val="22"/>
        </w:rPr>
        <w:t>Išgerkite savo tabletę mažiausiai 30 minučių prieš pirmą tos dienos valgymą, kitų vaistų vartojimą ar skysčių (kitokių nei paprastas vanduo) gėrimą.</w:t>
      </w:r>
    </w:p>
    <w:p w14:paraId="609F70E2" w14:textId="77777777" w:rsidR="00941804" w:rsidRPr="004D2419" w:rsidRDefault="00941804" w:rsidP="00C03483">
      <w:pPr>
        <w:pStyle w:val="Pagrindinistekstas"/>
        <w:tabs>
          <w:tab w:val="num" w:pos="567"/>
        </w:tabs>
        <w:spacing w:after="0"/>
        <w:rPr>
          <w:b/>
        </w:rPr>
      </w:pPr>
    </w:p>
    <w:p w14:paraId="5FBA74AD" w14:textId="77777777" w:rsidR="00941804" w:rsidRPr="004D2419" w:rsidRDefault="00941804" w:rsidP="00C03483">
      <w:pPr>
        <w:pStyle w:val="Pagrindinistekstas"/>
        <w:tabs>
          <w:tab w:val="num" w:pos="567"/>
        </w:tabs>
        <w:spacing w:after="0"/>
        <w:rPr>
          <w:b/>
        </w:rPr>
      </w:pPr>
      <w:r w:rsidRPr="004D2419">
        <w:rPr>
          <w:b/>
        </w:rPr>
        <w:t>Kaip gerti RISONATE</w:t>
      </w:r>
    </w:p>
    <w:p w14:paraId="0F1B043E" w14:textId="77777777" w:rsidR="00941804" w:rsidRPr="00C03483" w:rsidRDefault="00941804" w:rsidP="004D2419">
      <w:pPr>
        <w:numPr>
          <w:ilvl w:val="0"/>
          <w:numId w:val="4"/>
        </w:numPr>
        <w:rPr>
          <w:sz w:val="22"/>
        </w:rPr>
      </w:pPr>
      <w:r w:rsidRPr="00C03483">
        <w:rPr>
          <w:sz w:val="22"/>
        </w:rPr>
        <w:t>Tabletę gerkite būdami vertikalioje padėtyje (Jūs galite sėdėti ar stovėti), kad išvengtumėte rėmens.</w:t>
      </w:r>
    </w:p>
    <w:p w14:paraId="1A7E6783" w14:textId="77777777" w:rsidR="00941804" w:rsidRPr="00C03483" w:rsidRDefault="00941804" w:rsidP="004D2419">
      <w:pPr>
        <w:numPr>
          <w:ilvl w:val="0"/>
          <w:numId w:val="4"/>
        </w:numPr>
        <w:rPr>
          <w:sz w:val="22"/>
        </w:rPr>
      </w:pPr>
      <w:r w:rsidRPr="00C03483">
        <w:rPr>
          <w:sz w:val="22"/>
        </w:rPr>
        <w:t>Ją nurykite, užsigerdami bent viena stikline (120 ml) paprasto vandens.</w:t>
      </w:r>
    </w:p>
    <w:p w14:paraId="7E55CDC6" w14:textId="77777777" w:rsidR="00941804" w:rsidRPr="00C03483" w:rsidRDefault="00941804" w:rsidP="004D2419">
      <w:pPr>
        <w:numPr>
          <w:ilvl w:val="0"/>
          <w:numId w:val="4"/>
        </w:numPr>
        <w:rPr>
          <w:sz w:val="22"/>
        </w:rPr>
      </w:pPr>
      <w:r w:rsidRPr="00C03483">
        <w:rPr>
          <w:sz w:val="22"/>
        </w:rPr>
        <w:t>Tabletę nurykite visą. Jos kramtyti ar čiulpti negalima.</w:t>
      </w:r>
    </w:p>
    <w:p w14:paraId="3CC4262E" w14:textId="77777777" w:rsidR="00941804" w:rsidRPr="00C03483" w:rsidRDefault="00941804" w:rsidP="004D2419">
      <w:pPr>
        <w:numPr>
          <w:ilvl w:val="0"/>
          <w:numId w:val="4"/>
        </w:numPr>
        <w:rPr>
          <w:sz w:val="22"/>
        </w:rPr>
      </w:pPr>
      <w:r w:rsidRPr="00C03483">
        <w:rPr>
          <w:sz w:val="22"/>
        </w:rPr>
        <w:t>Išgėrus tabletę, bent 30 min. negalima gultis.</w:t>
      </w:r>
    </w:p>
    <w:p w14:paraId="4BF9994A" w14:textId="77777777" w:rsidR="00941804" w:rsidRPr="00C03483" w:rsidRDefault="00941804" w:rsidP="004D2419">
      <w:pPr>
        <w:rPr>
          <w:sz w:val="22"/>
        </w:rPr>
      </w:pPr>
      <w:r w:rsidRPr="00C03483">
        <w:rPr>
          <w:sz w:val="22"/>
        </w:rPr>
        <w:t>Jūsų gydytojas nurodys, kad Jums reikalingi kalcio ir vitaminų papildai, jeigu su maistu šių medžiagų gaunate nepakankamai.</w:t>
      </w:r>
    </w:p>
    <w:p w14:paraId="417A78E9" w14:textId="77777777" w:rsidR="00941804" w:rsidRPr="00C03483" w:rsidRDefault="00941804" w:rsidP="004D2419">
      <w:pPr>
        <w:rPr>
          <w:b/>
          <w:sz w:val="22"/>
        </w:rPr>
      </w:pPr>
    </w:p>
    <w:p w14:paraId="127D51FF" w14:textId="77777777" w:rsidR="00941804" w:rsidRPr="00C03483" w:rsidRDefault="00941804" w:rsidP="004D2419">
      <w:pPr>
        <w:rPr>
          <w:b/>
          <w:sz w:val="22"/>
        </w:rPr>
      </w:pPr>
      <w:r w:rsidRPr="00C03483">
        <w:rPr>
          <w:b/>
          <w:sz w:val="22"/>
        </w:rPr>
        <w:t>Ką daryti pavartojus per didelę RISONATE dozę?</w:t>
      </w:r>
    </w:p>
    <w:p w14:paraId="6CBF64D2" w14:textId="77777777" w:rsidR="00941804" w:rsidRPr="00C03483" w:rsidRDefault="00941804" w:rsidP="004D2419">
      <w:pPr>
        <w:rPr>
          <w:sz w:val="22"/>
        </w:rPr>
      </w:pPr>
      <w:r w:rsidRPr="00C03483">
        <w:rPr>
          <w:sz w:val="22"/>
        </w:rPr>
        <w:t xml:space="preserve">Jei Jūs ar kas nors kitas atsitiktinai išgėrė daugiau tablečių, nei paskirta, išgerkite pilną stiklinę pieno ir kreipkitės medicininės pagalbos. </w:t>
      </w:r>
    </w:p>
    <w:p w14:paraId="058BCD8B" w14:textId="77777777" w:rsidR="00941804" w:rsidRPr="00C03483" w:rsidRDefault="00941804" w:rsidP="004D2419">
      <w:pPr>
        <w:rPr>
          <w:sz w:val="22"/>
        </w:rPr>
      </w:pPr>
    </w:p>
    <w:p w14:paraId="5F590DB5" w14:textId="77777777" w:rsidR="00941804" w:rsidRPr="00C03483" w:rsidRDefault="00941804" w:rsidP="004D2419">
      <w:pPr>
        <w:rPr>
          <w:b/>
          <w:sz w:val="22"/>
        </w:rPr>
      </w:pPr>
      <w:r w:rsidRPr="00C03483">
        <w:rPr>
          <w:b/>
          <w:sz w:val="22"/>
        </w:rPr>
        <w:t xml:space="preserve">Pamiršus pavartoti RISONATE </w:t>
      </w:r>
    </w:p>
    <w:p w14:paraId="766FCC24" w14:textId="77777777" w:rsidR="00941804" w:rsidRPr="00C03483" w:rsidRDefault="00941804" w:rsidP="004D2419">
      <w:pPr>
        <w:rPr>
          <w:sz w:val="22"/>
        </w:rPr>
      </w:pPr>
      <w:r w:rsidRPr="00C03483">
        <w:rPr>
          <w:sz w:val="22"/>
        </w:rPr>
        <w:t>Jeigu pamiršote išgerti savo tabletę pasirinktą savaitės dieną, ją išgerkite tą dieną, kai prisiminsite. Toliau vartokite po vieną tabletę kartą per savaitę Jums įprastą savaitės dieną. Negalima vartoti dvigubos dozės norint kompensuoti praleistą tabletę.</w:t>
      </w:r>
    </w:p>
    <w:p w14:paraId="39F776CB" w14:textId="77777777" w:rsidR="00941804" w:rsidRPr="00C03483" w:rsidRDefault="00941804" w:rsidP="004D2419">
      <w:pPr>
        <w:rPr>
          <w:sz w:val="22"/>
        </w:rPr>
      </w:pPr>
    </w:p>
    <w:p w14:paraId="65950B02" w14:textId="77777777" w:rsidR="00941804" w:rsidRPr="00C03483" w:rsidRDefault="00941804" w:rsidP="004D2419">
      <w:pPr>
        <w:rPr>
          <w:b/>
          <w:sz w:val="22"/>
        </w:rPr>
      </w:pPr>
      <w:r w:rsidRPr="00C03483">
        <w:rPr>
          <w:b/>
          <w:sz w:val="22"/>
        </w:rPr>
        <w:t xml:space="preserve">Nustojus vartoti RISONATE </w:t>
      </w:r>
    </w:p>
    <w:p w14:paraId="21D42D96" w14:textId="77777777" w:rsidR="00941804" w:rsidRPr="00C03483" w:rsidRDefault="00941804" w:rsidP="004D2419">
      <w:pPr>
        <w:rPr>
          <w:sz w:val="22"/>
        </w:rPr>
      </w:pPr>
      <w:r w:rsidRPr="00C03483">
        <w:rPr>
          <w:sz w:val="22"/>
        </w:rPr>
        <w:t>Nutraukus gydymą, gali pradėti mažėti kaulinio audinio masė. Prieš nusprendžiant nutraukti gydymą pasitarkite su savo gydytoju.</w:t>
      </w:r>
    </w:p>
    <w:p w14:paraId="63E58F82" w14:textId="77777777" w:rsidR="00941804" w:rsidRPr="00C03483" w:rsidRDefault="00941804" w:rsidP="004D2419">
      <w:pPr>
        <w:rPr>
          <w:sz w:val="22"/>
        </w:rPr>
      </w:pPr>
    </w:p>
    <w:p w14:paraId="78BF5B05" w14:textId="77777777" w:rsidR="00941804" w:rsidRPr="00C03483" w:rsidRDefault="00941804" w:rsidP="004D2419">
      <w:pPr>
        <w:rPr>
          <w:sz w:val="22"/>
        </w:rPr>
      </w:pPr>
      <w:r w:rsidRPr="00C03483">
        <w:rPr>
          <w:sz w:val="22"/>
        </w:rPr>
        <w:t>Jeigu kiltų daugiau klausimų dėl šio vaisto vartojimo, kreipkitės į gydytoją arba vaistininką.</w:t>
      </w:r>
    </w:p>
    <w:p w14:paraId="6013C520" w14:textId="77777777" w:rsidR="00941804" w:rsidRPr="00C03483" w:rsidRDefault="00941804" w:rsidP="004D2419">
      <w:pPr>
        <w:rPr>
          <w:sz w:val="22"/>
        </w:rPr>
      </w:pPr>
    </w:p>
    <w:p w14:paraId="717E55A2" w14:textId="77777777" w:rsidR="00941804" w:rsidRPr="00C03483" w:rsidRDefault="00941804" w:rsidP="004D2419">
      <w:pPr>
        <w:ind w:left="540" w:hanging="540"/>
        <w:rPr>
          <w:b/>
          <w:sz w:val="22"/>
        </w:rPr>
      </w:pPr>
      <w:bookmarkStart w:id="76" w:name="_Toc129243142"/>
      <w:bookmarkStart w:id="77" w:name="_Toc129243267"/>
      <w:r w:rsidRPr="00C03483">
        <w:rPr>
          <w:b/>
          <w:sz w:val="22"/>
        </w:rPr>
        <w:t>4.</w:t>
      </w:r>
      <w:r w:rsidRPr="00C03483">
        <w:rPr>
          <w:b/>
          <w:sz w:val="22"/>
        </w:rPr>
        <w:tab/>
        <w:t>Galimas šalutinis poveikis</w:t>
      </w:r>
      <w:bookmarkEnd w:id="76"/>
      <w:bookmarkEnd w:id="77"/>
    </w:p>
    <w:p w14:paraId="16A80F1B" w14:textId="77777777" w:rsidR="00941804" w:rsidRPr="00C03483" w:rsidRDefault="00941804" w:rsidP="004D2419">
      <w:pPr>
        <w:rPr>
          <w:sz w:val="22"/>
        </w:rPr>
      </w:pPr>
    </w:p>
    <w:p w14:paraId="48583DF9" w14:textId="77777777" w:rsidR="00941804" w:rsidRPr="00C03483" w:rsidRDefault="00941804" w:rsidP="004D2419">
      <w:pPr>
        <w:rPr>
          <w:sz w:val="22"/>
        </w:rPr>
      </w:pPr>
      <w:r w:rsidRPr="00C03483">
        <w:rPr>
          <w:sz w:val="22"/>
        </w:rPr>
        <w:t>Šis vaistas, kaip ir visi kiti, gali sukelti šalutinį poveikį, nors jis pasireiškia ne visiems žmonėms.</w:t>
      </w:r>
    </w:p>
    <w:p w14:paraId="7C4E5803" w14:textId="77777777" w:rsidR="00941804" w:rsidRPr="00C03483" w:rsidRDefault="00941804" w:rsidP="004D2419">
      <w:pPr>
        <w:rPr>
          <w:sz w:val="22"/>
        </w:rPr>
      </w:pPr>
    </w:p>
    <w:p w14:paraId="64937422" w14:textId="77777777" w:rsidR="00941804" w:rsidRPr="00C03483" w:rsidRDefault="00941804" w:rsidP="004D2419">
      <w:pPr>
        <w:rPr>
          <w:b/>
          <w:sz w:val="22"/>
        </w:rPr>
      </w:pPr>
      <w:r w:rsidRPr="00C03483">
        <w:rPr>
          <w:b/>
          <w:sz w:val="22"/>
        </w:rPr>
        <w:t>Nedelsiant nutraukite RISONATE vartojimą ir kreipkitės į gydytoją, jeigu pasireiškia bet kuris iš šių reiškinių:</w:t>
      </w:r>
    </w:p>
    <w:p w14:paraId="07DB1EBC" w14:textId="77777777" w:rsidR="00941804" w:rsidRPr="00C03483" w:rsidRDefault="00941804" w:rsidP="004D2419">
      <w:pPr>
        <w:numPr>
          <w:ilvl w:val="0"/>
          <w:numId w:val="5"/>
        </w:numPr>
        <w:rPr>
          <w:sz w:val="22"/>
        </w:rPr>
      </w:pPr>
      <w:r w:rsidRPr="00C03483">
        <w:rPr>
          <w:sz w:val="22"/>
        </w:rPr>
        <w:t>Simptomai, būdingi alerginėms reakcijoms:</w:t>
      </w:r>
    </w:p>
    <w:p w14:paraId="7C36D8BA" w14:textId="77777777" w:rsidR="00941804" w:rsidRPr="00C03483" w:rsidRDefault="00941804" w:rsidP="00C03483">
      <w:pPr>
        <w:numPr>
          <w:ilvl w:val="0"/>
          <w:numId w:val="6"/>
        </w:numPr>
        <w:tabs>
          <w:tab w:val="clear" w:pos="567"/>
          <w:tab w:val="num" w:pos="1080"/>
        </w:tabs>
        <w:ind w:left="1080" w:hanging="540"/>
        <w:rPr>
          <w:sz w:val="22"/>
        </w:rPr>
      </w:pPr>
      <w:r w:rsidRPr="00C03483">
        <w:rPr>
          <w:sz w:val="22"/>
        </w:rPr>
        <w:t>veido, liežuvio arba gerklės patinimas;</w:t>
      </w:r>
    </w:p>
    <w:p w14:paraId="5F254DE1" w14:textId="77777777" w:rsidR="00941804" w:rsidRPr="00C03483" w:rsidRDefault="00941804" w:rsidP="00C03483">
      <w:pPr>
        <w:numPr>
          <w:ilvl w:val="0"/>
          <w:numId w:val="6"/>
        </w:numPr>
        <w:tabs>
          <w:tab w:val="clear" w:pos="567"/>
          <w:tab w:val="num" w:pos="1080"/>
        </w:tabs>
        <w:ind w:left="1080" w:hanging="540"/>
        <w:rPr>
          <w:sz w:val="22"/>
        </w:rPr>
      </w:pPr>
      <w:r w:rsidRPr="00C03483">
        <w:rPr>
          <w:sz w:val="22"/>
        </w:rPr>
        <w:t>pasunkėjęs rijimas;</w:t>
      </w:r>
    </w:p>
    <w:p w14:paraId="3529A9C0" w14:textId="77777777" w:rsidR="00941804" w:rsidRPr="00C03483" w:rsidRDefault="00941804" w:rsidP="00C03483">
      <w:pPr>
        <w:numPr>
          <w:ilvl w:val="0"/>
          <w:numId w:val="6"/>
        </w:numPr>
        <w:tabs>
          <w:tab w:val="clear" w:pos="567"/>
          <w:tab w:val="num" w:pos="1080"/>
        </w:tabs>
        <w:ind w:left="1080" w:hanging="540"/>
        <w:rPr>
          <w:sz w:val="22"/>
        </w:rPr>
      </w:pPr>
      <w:r w:rsidRPr="00C03483">
        <w:rPr>
          <w:sz w:val="22"/>
        </w:rPr>
        <w:t>dilgėlinė arba pasunkėjęs kvėpavimas.</w:t>
      </w:r>
    </w:p>
    <w:p w14:paraId="1A61EBA4" w14:textId="77777777" w:rsidR="00941804" w:rsidRPr="00C03483" w:rsidRDefault="00941804" w:rsidP="004D2419">
      <w:pPr>
        <w:numPr>
          <w:ilvl w:val="0"/>
          <w:numId w:val="7"/>
        </w:numPr>
        <w:rPr>
          <w:sz w:val="22"/>
        </w:rPr>
      </w:pPr>
      <w:r w:rsidRPr="00C03483">
        <w:rPr>
          <w:sz w:val="22"/>
        </w:rPr>
        <w:lastRenderedPageBreak/>
        <w:t>Sunkios odos reakcijos, įskaitant pūslių atsiradimą.</w:t>
      </w:r>
    </w:p>
    <w:p w14:paraId="3999B198" w14:textId="77777777" w:rsidR="00941804" w:rsidRPr="00C03483" w:rsidRDefault="00941804" w:rsidP="004D2419">
      <w:pPr>
        <w:rPr>
          <w:sz w:val="22"/>
        </w:rPr>
      </w:pPr>
    </w:p>
    <w:p w14:paraId="583EE4D7" w14:textId="77777777" w:rsidR="00941804" w:rsidRPr="00C03483" w:rsidRDefault="00941804" w:rsidP="004D2419">
      <w:pPr>
        <w:rPr>
          <w:b/>
          <w:sz w:val="22"/>
        </w:rPr>
      </w:pPr>
      <w:r w:rsidRPr="00C03483">
        <w:rPr>
          <w:b/>
          <w:sz w:val="22"/>
        </w:rPr>
        <w:t>Nedelsdami pasakykite gydytojui, jei Jums pasireiškia toliau išvardytas šalutinis poveikis:</w:t>
      </w:r>
    </w:p>
    <w:p w14:paraId="7FDDF706" w14:textId="77777777" w:rsidR="00941804" w:rsidRPr="00C03483" w:rsidRDefault="00941804" w:rsidP="004D2419">
      <w:pPr>
        <w:numPr>
          <w:ilvl w:val="0"/>
          <w:numId w:val="7"/>
        </w:numPr>
        <w:rPr>
          <w:sz w:val="22"/>
        </w:rPr>
      </w:pPr>
      <w:r w:rsidRPr="00C03483">
        <w:rPr>
          <w:color w:val="000000"/>
          <w:sz w:val="22"/>
        </w:rPr>
        <w:t>Akių uždegimas, paprastai skausmingas, sukeliantis paraudimą ir jautrumo šviesai padidėjimą.</w:t>
      </w:r>
    </w:p>
    <w:p w14:paraId="015AA91B" w14:textId="77777777" w:rsidR="00941804" w:rsidRPr="00C03483" w:rsidRDefault="00941804" w:rsidP="004D2419">
      <w:pPr>
        <w:numPr>
          <w:ilvl w:val="0"/>
          <w:numId w:val="7"/>
        </w:numPr>
        <w:rPr>
          <w:sz w:val="22"/>
        </w:rPr>
      </w:pPr>
      <w:r w:rsidRPr="00C03483">
        <w:rPr>
          <w:color w:val="000000"/>
          <w:sz w:val="22"/>
        </w:rPr>
        <w:t xml:space="preserve">Žandikaulio nekrozė (osteonekrozė), susijusi su lėtesniu gijimu ir infekcija, dažnai po danties ištraukimo </w:t>
      </w:r>
      <w:r w:rsidRPr="00C03483">
        <w:rPr>
          <w:sz w:val="22"/>
        </w:rPr>
        <w:t>(žr. 2 skyriaus poskyrį „Įspėjimai ir atsargumo priemonės“).</w:t>
      </w:r>
    </w:p>
    <w:p w14:paraId="0E16111B" w14:textId="77777777" w:rsidR="00941804" w:rsidRPr="00C03483" w:rsidRDefault="00941804" w:rsidP="004D2419">
      <w:pPr>
        <w:numPr>
          <w:ilvl w:val="0"/>
          <w:numId w:val="7"/>
        </w:numPr>
        <w:rPr>
          <w:sz w:val="22"/>
        </w:rPr>
      </w:pPr>
      <w:r w:rsidRPr="00C03483">
        <w:rPr>
          <w:sz w:val="22"/>
        </w:rPr>
        <w:t>Stemplės sutrikimo simptomai, tokie kaip skausmas ryjant, rijimo pasunkėjimas, krūtinės skausmas, atsiradęs ar pasunkėjęs rėmuo.</w:t>
      </w:r>
    </w:p>
    <w:p w14:paraId="7F9AF74C" w14:textId="77777777" w:rsidR="00941804" w:rsidRPr="00C03483" w:rsidRDefault="00941804" w:rsidP="004D2419">
      <w:pPr>
        <w:rPr>
          <w:sz w:val="22"/>
        </w:rPr>
      </w:pPr>
    </w:p>
    <w:p w14:paraId="770E16AE" w14:textId="77777777" w:rsidR="00941804" w:rsidRPr="00C03483" w:rsidRDefault="00941804" w:rsidP="004D2419">
      <w:pPr>
        <w:rPr>
          <w:sz w:val="22"/>
        </w:rPr>
      </w:pPr>
      <w:r w:rsidRPr="00C03483">
        <w:rPr>
          <w:sz w:val="22"/>
        </w:rPr>
        <w:t>Vis dėlto, klinikinių tyrimų metu pastebėtas kitoks šalutinis poveikis, kuris paprastai buvo lengvas, pacientams savo tablečių vartojimo dėl to nutraukti nereikėjo.</w:t>
      </w:r>
    </w:p>
    <w:p w14:paraId="72890160" w14:textId="77777777" w:rsidR="00941804" w:rsidRPr="00C03483" w:rsidRDefault="00941804" w:rsidP="004D2419">
      <w:pPr>
        <w:rPr>
          <w:sz w:val="22"/>
        </w:rPr>
      </w:pPr>
    </w:p>
    <w:p w14:paraId="0D06BCEF" w14:textId="77777777" w:rsidR="00941804" w:rsidRPr="00C03483" w:rsidRDefault="00941804" w:rsidP="004D2419">
      <w:pPr>
        <w:rPr>
          <w:sz w:val="22"/>
        </w:rPr>
      </w:pPr>
      <w:r w:rsidRPr="00C03483">
        <w:rPr>
          <w:sz w:val="22"/>
        </w:rPr>
        <w:t>Dažnas:</w:t>
      </w:r>
      <w:r w:rsidRPr="00C03483">
        <w:rPr>
          <w:i/>
          <w:sz w:val="22"/>
        </w:rPr>
        <w:t xml:space="preserve"> </w:t>
      </w:r>
      <w:r w:rsidRPr="00C03483">
        <w:rPr>
          <w:sz w:val="22"/>
        </w:rPr>
        <w:t>(gali pasireikšti ne daugiau kaip 1 iš 10 žmonių)</w:t>
      </w:r>
    </w:p>
    <w:p w14:paraId="568AD671" w14:textId="77777777" w:rsidR="00941804" w:rsidRPr="00C03483" w:rsidRDefault="00941804" w:rsidP="004D2419">
      <w:pPr>
        <w:numPr>
          <w:ilvl w:val="0"/>
          <w:numId w:val="8"/>
        </w:numPr>
        <w:rPr>
          <w:sz w:val="22"/>
        </w:rPr>
      </w:pPr>
      <w:r w:rsidRPr="00C03483">
        <w:rPr>
          <w:sz w:val="22"/>
        </w:rPr>
        <w:t>Skrandžio veiklos sutrikimas, pykinimas, ilgai trunkantis skrandžio skausmas, diegliai ar nemalonūs pojūčiai, vidurių užkietėjimas, pilnumo pojūtis ar pūtimas, viduriavimas.</w:t>
      </w:r>
    </w:p>
    <w:p w14:paraId="2751A10B" w14:textId="77777777" w:rsidR="00941804" w:rsidRPr="00C03483" w:rsidRDefault="00941804" w:rsidP="004D2419">
      <w:pPr>
        <w:numPr>
          <w:ilvl w:val="0"/>
          <w:numId w:val="8"/>
        </w:numPr>
        <w:rPr>
          <w:sz w:val="22"/>
        </w:rPr>
      </w:pPr>
      <w:r w:rsidRPr="00C03483">
        <w:rPr>
          <w:sz w:val="22"/>
        </w:rPr>
        <w:t>Kaulų, raumenų ar sąnarių skausmas.</w:t>
      </w:r>
    </w:p>
    <w:p w14:paraId="019BDD5F" w14:textId="77777777" w:rsidR="00941804" w:rsidRPr="00C03483" w:rsidRDefault="00941804" w:rsidP="004D2419">
      <w:pPr>
        <w:numPr>
          <w:ilvl w:val="0"/>
          <w:numId w:val="8"/>
        </w:numPr>
        <w:rPr>
          <w:sz w:val="22"/>
        </w:rPr>
      </w:pPr>
      <w:r w:rsidRPr="00C03483">
        <w:rPr>
          <w:sz w:val="22"/>
        </w:rPr>
        <w:t>Galvos skausmas.</w:t>
      </w:r>
    </w:p>
    <w:p w14:paraId="538825BB" w14:textId="77777777" w:rsidR="00941804" w:rsidRPr="00C03483" w:rsidRDefault="00941804" w:rsidP="004D2419">
      <w:pPr>
        <w:rPr>
          <w:sz w:val="22"/>
        </w:rPr>
      </w:pPr>
    </w:p>
    <w:p w14:paraId="291C54D2" w14:textId="77777777" w:rsidR="00941804" w:rsidRPr="00C03483" w:rsidRDefault="00941804" w:rsidP="004D2419">
      <w:pPr>
        <w:rPr>
          <w:sz w:val="22"/>
        </w:rPr>
      </w:pPr>
      <w:r w:rsidRPr="00C03483">
        <w:rPr>
          <w:sz w:val="22"/>
        </w:rPr>
        <w:t>Nedažnas: (gali pasireikšti ne daugiau  kaip 1 iš 100 žmonių)</w:t>
      </w:r>
    </w:p>
    <w:p w14:paraId="3EEED215" w14:textId="77777777" w:rsidR="00941804" w:rsidRPr="00C03483" w:rsidRDefault="00941804" w:rsidP="004D2419">
      <w:pPr>
        <w:numPr>
          <w:ilvl w:val="0"/>
          <w:numId w:val="9"/>
        </w:numPr>
        <w:rPr>
          <w:sz w:val="22"/>
        </w:rPr>
      </w:pPr>
      <w:r w:rsidRPr="00C03483">
        <w:rPr>
          <w:sz w:val="22"/>
        </w:rPr>
        <w:t>Stemplės (vamzdelio, jungiančio Jūsų burną su skrandžiu) uždegimas ar išopėjimas, sukeliantis rijimo pasunkėjimą ir skausmą ryjant (žr. 2 skyriaus poskyrį „Įspėjimai ir atsargumo priemonės“), skrandžio ir dvylikapirštės žarnos (į ją pirmiausia patenka skrandžio turinys) uždegimas.</w:t>
      </w:r>
    </w:p>
    <w:p w14:paraId="6AFE48A4" w14:textId="77777777" w:rsidR="00941804" w:rsidRPr="00C03483" w:rsidRDefault="00941804" w:rsidP="004D2419">
      <w:pPr>
        <w:numPr>
          <w:ilvl w:val="0"/>
          <w:numId w:val="9"/>
        </w:numPr>
        <w:rPr>
          <w:sz w:val="22"/>
        </w:rPr>
      </w:pPr>
      <w:r w:rsidRPr="00C03483">
        <w:rPr>
          <w:sz w:val="22"/>
        </w:rPr>
        <w:t>Spalvotosios akies dalies (rainelės) uždegimas (akys tampa raudonos, skausmingos, gali pakisti regėjimas).</w:t>
      </w:r>
    </w:p>
    <w:p w14:paraId="3835B3B0" w14:textId="77777777" w:rsidR="00941804" w:rsidRPr="00C03483" w:rsidRDefault="00941804" w:rsidP="004D2419">
      <w:pPr>
        <w:rPr>
          <w:sz w:val="22"/>
        </w:rPr>
      </w:pPr>
    </w:p>
    <w:p w14:paraId="7F3B475E" w14:textId="77777777" w:rsidR="00941804" w:rsidRPr="00C03483" w:rsidRDefault="00941804" w:rsidP="004D2419">
      <w:pPr>
        <w:rPr>
          <w:sz w:val="22"/>
        </w:rPr>
      </w:pPr>
      <w:r w:rsidRPr="00C03483">
        <w:rPr>
          <w:sz w:val="22"/>
        </w:rPr>
        <w:t>Retas: (gali pasireikšti ne daugiau kaip 1 iš 1000 žmonių)</w:t>
      </w:r>
    </w:p>
    <w:p w14:paraId="202DD896" w14:textId="77777777" w:rsidR="00941804" w:rsidRPr="00C03483" w:rsidRDefault="00941804" w:rsidP="004D2419">
      <w:pPr>
        <w:numPr>
          <w:ilvl w:val="0"/>
          <w:numId w:val="10"/>
        </w:numPr>
        <w:rPr>
          <w:sz w:val="22"/>
        </w:rPr>
      </w:pPr>
      <w:r w:rsidRPr="00C03483">
        <w:rPr>
          <w:sz w:val="22"/>
        </w:rPr>
        <w:t>Liežuvio uždegimas (jis parausta, patinsta, gali būti skausmingas), stemplės (vamzdelio, jungiančio Jūsų burną su skrandžiu) susiaurėjimas.</w:t>
      </w:r>
    </w:p>
    <w:p w14:paraId="19DABAA7" w14:textId="77777777" w:rsidR="00941804" w:rsidRPr="00C03483" w:rsidRDefault="00941804" w:rsidP="004D2419">
      <w:pPr>
        <w:numPr>
          <w:ilvl w:val="0"/>
          <w:numId w:val="10"/>
        </w:numPr>
        <w:rPr>
          <w:sz w:val="22"/>
        </w:rPr>
      </w:pPr>
      <w:r w:rsidRPr="00C03483">
        <w:rPr>
          <w:sz w:val="22"/>
        </w:rPr>
        <w:t>Buvo nenormalių kepenų tyrimų rodmenų atvejų. Tai galima nustatyti tik kraujo tyrimais.</w:t>
      </w:r>
    </w:p>
    <w:p w14:paraId="77374912" w14:textId="77777777" w:rsidR="00941804" w:rsidRPr="00C03483" w:rsidRDefault="00941804" w:rsidP="004D2419">
      <w:pPr>
        <w:rPr>
          <w:sz w:val="22"/>
        </w:rPr>
      </w:pPr>
    </w:p>
    <w:p w14:paraId="1EFB1E6B" w14:textId="77777777" w:rsidR="00941804" w:rsidRPr="00C03483" w:rsidRDefault="00941804" w:rsidP="004D2419">
      <w:pPr>
        <w:rPr>
          <w:sz w:val="22"/>
        </w:rPr>
      </w:pPr>
      <w:r w:rsidRPr="00C03483">
        <w:rPr>
          <w:sz w:val="22"/>
        </w:rPr>
        <w:t>Vaistui jau esant rinkoje buvo pranešta apie tokį šalutinį poveikį:</w:t>
      </w:r>
    </w:p>
    <w:p w14:paraId="22CAB17C" w14:textId="77777777" w:rsidR="00941804" w:rsidRPr="00C03483" w:rsidRDefault="00941804" w:rsidP="004D2419">
      <w:pPr>
        <w:rPr>
          <w:sz w:val="22"/>
        </w:rPr>
      </w:pPr>
    </w:p>
    <w:p w14:paraId="5507A7E1" w14:textId="77777777" w:rsidR="00941804" w:rsidRPr="00C03483" w:rsidRDefault="00941804" w:rsidP="004D2419">
      <w:pPr>
        <w:rPr>
          <w:sz w:val="22"/>
        </w:rPr>
      </w:pPr>
      <w:r w:rsidRPr="00C03483">
        <w:rPr>
          <w:sz w:val="22"/>
        </w:rPr>
        <w:t>Labai retas: (gali pasireikšti ne daugiau kaip 1 iš 10000 žmonių)</w:t>
      </w:r>
    </w:p>
    <w:p w14:paraId="21C047AB" w14:textId="77777777" w:rsidR="00941804" w:rsidRPr="00C03483" w:rsidRDefault="00941804" w:rsidP="004D2419">
      <w:pPr>
        <w:numPr>
          <w:ilvl w:val="0"/>
          <w:numId w:val="10"/>
        </w:numPr>
        <w:rPr>
          <w:sz w:val="22"/>
        </w:rPr>
      </w:pPr>
      <w:r w:rsidRPr="00C03483">
        <w:rPr>
          <w:sz w:val="22"/>
        </w:rPr>
        <w:t>Pasitarkite su gydytoju jei jums skauda ausį, teka išskyros iš ausies ir/arba yra ausų infekcija. Tai gali būti kaulų pažeidimo ausyje požymis.</w:t>
      </w:r>
    </w:p>
    <w:p w14:paraId="688A384C" w14:textId="77777777" w:rsidR="00941804" w:rsidRPr="00C03483" w:rsidRDefault="00941804" w:rsidP="004D2419">
      <w:pPr>
        <w:rPr>
          <w:sz w:val="22"/>
        </w:rPr>
      </w:pPr>
    </w:p>
    <w:p w14:paraId="199E98E6" w14:textId="77777777" w:rsidR="00941804" w:rsidRPr="00C03483" w:rsidRDefault="00941804" w:rsidP="004D2419">
      <w:pPr>
        <w:rPr>
          <w:sz w:val="22"/>
        </w:rPr>
      </w:pPr>
      <w:r w:rsidRPr="00C03483">
        <w:rPr>
          <w:sz w:val="22"/>
        </w:rPr>
        <w:t>Dažnis nežinomas: (negali būti apskaičiuotas pagal turimus duomenis)</w:t>
      </w:r>
    </w:p>
    <w:p w14:paraId="745C687F" w14:textId="77777777" w:rsidR="00941804" w:rsidRPr="00C03483" w:rsidRDefault="00941804" w:rsidP="00C03483">
      <w:pPr>
        <w:numPr>
          <w:ilvl w:val="1"/>
          <w:numId w:val="10"/>
        </w:numPr>
        <w:tabs>
          <w:tab w:val="clear" w:pos="1440"/>
          <w:tab w:val="num" w:pos="540"/>
        </w:tabs>
        <w:ind w:hanging="1440"/>
        <w:rPr>
          <w:sz w:val="22"/>
        </w:rPr>
      </w:pPr>
      <w:r w:rsidRPr="00C03483">
        <w:rPr>
          <w:sz w:val="22"/>
        </w:rPr>
        <w:t>Plaukų slinkimas, odos bėrimas.</w:t>
      </w:r>
    </w:p>
    <w:p w14:paraId="1821D224" w14:textId="77777777" w:rsidR="00941804" w:rsidRPr="00C03483" w:rsidRDefault="00941804" w:rsidP="00C03483">
      <w:pPr>
        <w:numPr>
          <w:ilvl w:val="1"/>
          <w:numId w:val="10"/>
        </w:numPr>
        <w:tabs>
          <w:tab w:val="clear" w:pos="1440"/>
          <w:tab w:val="num" w:pos="540"/>
        </w:tabs>
        <w:ind w:hanging="1440"/>
        <w:rPr>
          <w:sz w:val="22"/>
        </w:rPr>
      </w:pPr>
      <w:r w:rsidRPr="00C03483">
        <w:rPr>
          <w:sz w:val="22"/>
        </w:rPr>
        <w:t>Kepenų veiklos sutrikimai, kai kurie atvejai buvo sunkūs.</w:t>
      </w:r>
    </w:p>
    <w:p w14:paraId="6487683F" w14:textId="77777777" w:rsidR="00941804" w:rsidRPr="00C03483" w:rsidRDefault="00941804" w:rsidP="004D2419">
      <w:pPr>
        <w:rPr>
          <w:sz w:val="22"/>
        </w:rPr>
      </w:pPr>
    </w:p>
    <w:p w14:paraId="39B7296E" w14:textId="77777777" w:rsidR="00941804" w:rsidRPr="00C03483" w:rsidRDefault="00941804" w:rsidP="004D2419">
      <w:pPr>
        <w:tabs>
          <w:tab w:val="left" w:pos="0"/>
        </w:tabs>
        <w:ind w:right="-29"/>
        <w:rPr>
          <w:sz w:val="22"/>
        </w:rPr>
      </w:pPr>
      <w:r w:rsidRPr="00C03483">
        <w:rPr>
          <w:sz w:val="22"/>
        </w:rPr>
        <w:t>Ilgai nuo osteoporozės gydomiems pacientams gali neįprastoje vietoje lūžti šlaunies kaulas. Jeigu jaučiate šlaunies, klubo ar kirkšnies skausmą, silpnumą ar diskomfortą, kreipkitės į gydytoją, nes tai gali būti ankstyvi galimo šlaunikaulio lūžio požymiai.</w:t>
      </w:r>
    </w:p>
    <w:p w14:paraId="42BD340E" w14:textId="77777777" w:rsidR="00941804" w:rsidRPr="00C03483" w:rsidRDefault="00941804" w:rsidP="004D2419">
      <w:pPr>
        <w:rPr>
          <w:sz w:val="22"/>
        </w:rPr>
      </w:pPr>
    </w:p>
    <w:p w14:paraId="6F82E7C8" w14:textId="77777777" w:rsidR="00941804" w:rsidRPr="00C03483" w:rsidRDefault="00941804" w:rsidP="004D2419">
      <w:pPr>
        <w:rPr>
          <w:sz w:val="22"/>
        </w:rPr>
      </w:pPr>
      <w:r w:rsidRPr="00C03483">
        <w:rPr>
          <w:sz w:val="22"/>
        </w:rPr>
        <w:t>Retai gydymo pradžioje gali sumažėti kalcio ir fosfatų kiekis kraujyje. Šie pokyčiai paprastai būna nedideli ir simptomų nesukelia.</w:t>
      </w:r>
    </w:p>
    <w:p w14:paraId="0C02D6AD" w14:textId="77777777" w:rsidR="00941804" w:rsidRPr="00C03483" w:rsidRDefault="00941804" w:rsidP="004D2419">
      <w:pPr>
        <w:rPr>
          <w:sz w:val="22"/>
        </w:rPr>
      </w:pPr>
    </w:p>
    <w:p w14:paraId="63F2576E" w14:textId="77777777" w:rsidR="00941804" w:rsidRPr="00C03483" w:rsidRDefault="00941804" w:rsidP="004D2419">
      <w:pPr>
        <w:rPr>
          <w:sz w:val="22"/>
        </w:rPr>
      </w:pPr>
      <w:r w:rsidRPr="00C03483">
        <w:rPr>
          <w:b/>
          <w:sz w:val="22"/>
        </w:rPr>
        <w:t>Pranešimas apie šalutinį poveikį</w:t>
      </w:r>
    </w:p>
    <w:p w14:paraId="6310F3B8" w14:textId="77777777" w:rsidR="00941804" w:rsidRPr="00C03483" w:rsidRDefault="00941804" w:rsidP="004D2419">
      <w:pPr>
        <w:rPr>
          <w:sz w:val="22"/>
        </w:rPr>
      </w:pPr>
      <w:r w:rsidRPr="00C03483">
        <w:rPr>
          <w:sz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w:t>
      </w:r>
      <w:r w:rsidRPr="00C03483">
        <w:rPr>
          <w:sz w:val="22"/>
        </w:rPr>
        <w:lastRenderedPageBreak/>
        <w:t>Pranešdami apie šalutinį poveikį galite mums padėti gauti daugiau informacijos apie šio vaisto saugumą.</w:t>
      </w:r>
    </w:p>
    <w:p w14:paraId="1C62D51A" w14:textId="77777777" w:rsidR="00941804" w:rsidRPr="00C03483" w:rsidRDefault="00941804" w:rsidP="004D2419">
      <w:pPr>
        <w:rPr>
          <w:sz w:val="22"/>
        </w:rPr>
      </w:pPr>
    </w:p>
    <w:p w14:paraId="16961892" w14:textId="77777777" w:rsidR="00941804" w:rsidRPr="00C03483" w:rsidRDefault="00941804" w:rsidP="004D2419">
      <w:pPr>
        <w:ind w:left="540" w:hanging="540"/>
        <w:rPr>
          <w:b/>
          <w:caps/>
          <w:sz w:val="22"/>
        </w:rPr>
      </w:pPr>
      <w:bookmarkStart w:id="78" w:name="_Toc129243143"/>
      <w:bookmarkStart w:id="79" w:name="_Toc129243268"/>
      <w:r w:rsidRPr="00C03483">
        <w:rPr>
          <w:b/>
          <w:sz w:val="22"/>
        </w:rPr>
        <w:t>5.</w:t>
      </w:r>
      <w:r w:rsidRPr="00C03483">
        <w:rPr>
          <w:b/>
          <w:sz w:val="22"/>
        </w:rPr>
        <w:tab/>
        <w:t xml:space="preserve">Kaip laikyti </w:t>
      </w:r>
      <w:bookmarkEnd w:id="78"/>
      <w:bookmarkEnd w:id="79"/>
      <w:r w:rsidRPr="00C03483">
        <w:rPr>
          <w:b/>
          <w:sz w:val="22"/>
        </w:rPr>
        <w:t>RISONATE</w:t>
      </w:r>
      <w:r w:rsidRPr="00C03483">
        <w:rPr>
          <w:b/>
          <w:caps/>
          <w:sz w:val="22"/>
        </w:rPr>
        <w:t xml:space="preserve"> </w:t>
      </w:r>
    </w:p>
    <w:p w14:paraId="17394F84" w14:textId="77777777" w:rsidR="00941804" w:rsidRPr="00C03483" w:rsidRDefault="00941804" w:rsidP="004D2419">
      <w:pPr>
        <w:rPr>
          <w:sz w:val="22"/>
        </w:rPr>
      </w:pPr>
    </w:p>
    <w:p w14:paraId="0CAC3075" w14:textId="77777777" w:rsidR="00941804" w:rsidRPr="00C03483" w:rsidRDefault="00941804" w:rsidP="004D2419">
      <w:pPr>
        <w:numPr>
          <w:ilvl w:val="0"/>
          <w:numId w:val="11"/>
        </w:numPr>
        <w:rPr>
          <w:sz w:val="22"/>
        </w:rPr>
      </w:pPr>
      <w:r w:rsidRPr="00C03483">
        <w:rPr>
          <w:sz w:val="22"/>
        </w:rPr>
        <w:t>Šį vaistą laikykite vaikams nepastebimoje ir nepasiekiamoje vietoje.</w:t>
      </w:r>
    </w:p>
    <w:p w14:paraId="44CBA024" w14:textId="77777777" w:rsidR="00941804" w:rsidRPr="00C03483" w:rsidRDefault="00941804" w:rsidP="004D2419">
      <w:pPr>
        <w:numPr>
          <w:ilvl w:val="0"/>
          <w:numId w:val="11"/>
        </w:numPr>
        <w:rPr>
          <w:sz w:val="22"/>
        </w:rPr>
      </w:pPr>
      <w:r w:rsidRPr="00C03483">
        <w:rPr>
          <w:sz w:val="22"/>
        </w:rPr>
        <w:t>Ant dėžutės ir lizdinės plokštelės po ,,Tinka iki/EXP“ nurodytam tinkamumo laikui pasibaigus, šio vaisto vartoti negalima. Vaistas tinkamas vartoti iki paskutinės nurodyto mėnesio dienos.</w:t>
      </w:r>
    </w:p>
    <w:p w14:paraId="52CB624A" w14:textId="77777777" w:rsidR="00941804" w:rsidRPr="00C03483" w:rsidRDefault="00941804" w:rsidP="004D2419">
      <w:pPr>
        <w:numPr>
          <w:ilvl w:val="0"/>
          <w:numId w:val="11"/>
        </w:numPr>
        <w:rPr>
          <w:sz w:val="22"/>
        </w:rPr>
      </w:pPr>
      <w:r w:rsidRPr="00C03483">
        <w:rPr>
          <w:sz w:val="22"/>
        </w:rPr>
        <w:t>Šiam vaistiniam preparatui specialių laikymo sąlygų nereikia.</w:t>
      </w:r>
    </w:p>
    <w:p w14:paraId="5F868939" w14:textId="77777777" w:rsidR="00941804" w:rsidRPr="00C03483" w:rsidRDefault="00941804" w:rsidP="004D2419">
      <w:pPr>
        <w:rPr>
          <w:sz w:val="22"/>
        </w:rPr>
      </w:pPr>
    </w:p>
    <w:p w14:paraId="474B2F77" w14:textId="77777777" w:rsidR="00941804" w:rsidRPr="00C03483" w:rsidRDefault="00941804" w:rsidP="004D2419">
      <w:pPr>
        <w:rPr>
          <w:sz w:val="22"/>
        </w:rPr>
      </w:pPr>
      <w:r w:rsidRPr="00C03483">
        <w:rPr>
          <w:sz w:val="22"/>
        </w:rPr>
        <w:t>Vaistų negalima išmesti į kanalizaciją arba su buitinėmis atliekomis. Kaip išmesti nereikalingus vaistus, klauskite vaistininko. Šios priemonės padės apsaugoti aplinką.</w:t>
      </w:r>
    </w:p>
    <w:p w14:paraId="2A68C751" w14:textId="77777777" w:rsidR="00941804" w:rsidRPr="00C03483" w:rsidRDefault="00941804" w:rsidP="004D2419">
      <w:pPr>
        <w:rPr>
          <w:sz w:val="22"/>
        </w:rPr>
      </w:pPr>
    </w:p>
    <w:p w14:paraId="10B33529" w14:textId="77777777" w:rsidR="00941804" w:rsidRPr="00C03483" w:rsidRDefault="00941804" w:rsidP="004D2419">
      <w:pPr>
        <w:rPr>
          <w:sz w:val="22"/>
        </w:rPr>
      </w:pPr>
    </w:p>
    <w:p w14:paraId="460B2B5A" w14:textId="77777777" w:rsidR="00941804" w:rsidRPr="00C03483" w:rsidRDefault="00941804" w:rsidP="004D2419">
      <w:pPr>
        <w:ind w:left="540" w:hanging="540"/>
        <w:rPr>
          <w:b/>
          <w:sz w:val="22"/>
        </w:rPr>
      </w:pPr>
      <w:bookmarkStart w:id="80" w:name="_Toc129243144"/>
      <w:bookmarkStart w:id="81" w:name="_Toc129243269"/>
      <w:r w:rsidRPr="00C03483">
        <w:rPr>
          <w:b/>
          <w:sz w:val="22"/>
        </w:rPr>
        <w:t>6.</w:t>
      </w:r>
      <w:r w:rsidRPr="00C03483">
        <w:rPr>
          <w:b/>
          <w:sz w:val="22"/>
        </w:rPr>
        <w:tab/>
        <w:t>Pakuotės turinys ir kita informacija</w:t>
      </w:r>
      <w:bookmarkEnd w:id="80"/>
      <w:bookmarkEnd w:id="81"/>
    </w:p>
    <w:p w14:paraId="358B0425" w14:textId="77777777" w:rsidR="00941804" w:rsidRPr="00C03483" w:rsidRDefault="00941804" w:rsidP="004D2419">
      <w:pPr>
        <w:rPr>
          <w:sz w:val="22"/>
        </w:rPr>
      </w:pPr>
    </w:p>
    <w:p w14:paraId="312AE139" w14:textId="77777777" w:rsidR="00941804" w:rsidRPr="00C03483" w:rsidRDefault="00941804" w:rsidP="004D2419">
      <w:pPr>
        <w:rPr>
          <w:b/>
          <w:sz w:val="22"/>
        </w:rPr>
      </w:pPr>
      <w:r w:rsidRPr="00C03483">
        <w:rPr>
          <w:b/>
          <w:sz w:val="22"/>
        </w:rPr>
        <w:t>RISONATE sudėtis</w:t>
      </w:r>
    </w:p>
    <w:p w14:paraId="550F231E" w14:textId="77777777" w:rsidR="00941804" w:rsidRPr="00C03483" w:rsidRDefault="00941804" w:rsidP="004D2419">
      <w:pPr>
        <w:rPr>
          <w:sz w:val="22"/>
          <w:u w:val="single"/>
        </w:rPr>
      </w:pPr>
    </w:p>
    <w:p w14:paraId="40C326D1" w14:textId="77777777" w:rsidR="00941804" w:rsidRPr="00C03483" w:rsidRDefault="00941804" w:rsidP="004D2419">
      <w:pPr>
        <w:ind w:left="540" w:hanging="540"/>
        <w:rPr>
          <w:sz w:val="22"/>
        </w:rPr>
      </w:pPr>
      <w:r w:rsidRPr="00C03483">
        <w:rPr>
          <w:sz w:val="22"/>
        </w:rPr>
        <w:t>-</w:t>
      </w:r>
      <w:r w:rsidRPr="00C03483">
        <w:rPr>
          <w:sz w:val="22"/>
        </w:rPr>
        <w:tab/>
        <w:t>Veiklioji medžiaga yra natrio rizedronatas. Kiekvienoje plėvele dengtoje tabletėje yra 35 mg natrio rizedronato (tai atitinka 32,5 mg rizedrono rūgšties).</w:t>
      </w:r>
    </w:p>
    <w:p w14:paraId="19B4EF81" w14:textId="77777777" w:rsidR="00941804" w:rsidRPr="00C03483" w:rsidRDefault="00941804" w:rsidP="004D2419">
      <w:pPr>
        <w:ind w:left="540" w:hanging="540"/>
        <w:rPr>
          <w:sz w:val="22"/>
        </w:rPr>
      </w:pPr>
      <w:r w:rsidRPr="00C03483">
        <w:rPr>
          <w:sz w:val="22"/>
        </w:rPr>
        <w:t>-</w:t>
      </w:r>
      <w:r w:rsidRPr="00C03483">
        <w:rPr>
          <w:sz w:val="22"/>
        </w:rPr>
        <w:tab/>
        <w:t xml:space="preserve">Pagalbinės medžiagos yra: laktozė monohidratas, kukurūzų krakmolas, pregelifikuotas kukurūzų krakmolas, bevandenis koloidinis silicio dioksidas, natrio stearilfumaratas, magnio stearatas, </w:t>
      </w:r>
      <w:r w:rsidR="00AF55FA">
        <w:rPr>
          <w:sz w:val="22"/>
          <w:szCs w:val="22"/>
        </w:rPr>
        <w:t>polivinilo alkoholis</w:t>
      </w:r>
      <w:r w:rsidRPr="0039042E">
        <w:rPr>
          <w:sz w:val="22"/>
          <w:szCs w:val="22"/>
        </w:rPr>
        <w:t>,</w:t>
      </w:r>
      <w:r w:rsidRPr="00C03483">
        <w:rPr>
          <w:sz w:val="22"/>
        </w:rPr>
        <w:t xml:space="preserve"> titano dioksidas (E171), makrogolis</w:t>
      </w:r>
      <w:r w:rsidRPr="0039042E">
        <w:rPr>
          <w:sz w:val="22"/>
          <w:szCs w:val="22"/>
        </w:rPr>
        <w:t xml:space="preserve">, </w:t>
      </w:r>
      <w:r w:rsidR="00AF55FA">
        <w:rPr>
          <w:sz w:val="22"/>
          <w:szCs w:val="22"/>
        </w:rPr>
        <w:t>talkas</w:t>
      </w:r>
      <w:r w:rsidR="00AF55FA" w:rsidRPr="00C03483">
        <w:rPr>
          <w:sz w:val="22"/>
        </w:rPr>
        <w:t xml:space="preserve">, </w:t>
      </w:r>
      <w:r w:rsidRPr="00C03483">
        <w:rPr>
          <w:sz w:val="22"/>
        </w:rPr>
        <w:t>geltonasis geležies oksidas (E172), raudonasis geležies oksidas (E172).</w:t>
      </w:r>
    </w:p>
    <w:p w14:paraId="4D54D798" w14:textId="77777777" w:rsidR="00941804" w:rsidRPr="00C03483" w:rsidRDefault="00941804" w:rsidP="004D2419">
      <w:pPr>
        <w:rPr>
          <w:sz w:val="22"/>
        </w:rPr>
      </w:pPr>
    </w:p>
    <w:p w14:paraId="4ADFB0BE" w14:textId="77777777" w:rsidR="00941804" w:rsidRPr="00C03483" w:rsidRDefault="00941804" w:rsidP="004D2419">
      <w:pPr>
        <w:rPr>
          <w:b/>
          <w:sz w:val="22"/>
        </w:rPr>
      </w:pPr>
      <w:r w:rsidRPr="00C03483">
        <w:rPr>
          <w:b/>
          <w:sz w:val="22"/>
        </w:rPr>
        <w:t>RISONATE išvaizda ir kiekis pakuotėje</w:t>
      </w:r>
    </w:p>
    <w:p w14:paraId="028C50A7" w14:textId="77777777" w:rsidR="00941804" w:rsidRPr="00C03483" w:rsidRDefault="00941804" w:rsidP="004D2419">
      <w:pPr>
        <w:numPr>
          <w:ilvl w:val="0"/>
          <w:numId w:val="12"/>
        </w:numPr>
        <w:rPr>
          <w:sz w:val="22"/>
        </w:rPr>
      </w:pPr>
      <w:r w:rsidRPr="00C03483">
        <w:rPr>
          <w:sz w:val="22"/>
        </w:rPr>
        <w:t>RISONATE tabletės yra oranžinės, apvalios plėvele dengtos tabletės, kurių vienoje pusėje įspaustas ženklas “R35“, kita pusė lygi.</w:t>
      </w:r>
    </w:p>
    <w:p w14:paraId="5BFED229" w14:textId="77777777" w:rsidR="00941804" w:rsidRPr="00C03483" w:rsidRDefault="00941804" w:rsidP="004D2419">
      <w:pPr>
        <w:numPr>
          <w:ilvl w:val="0"/>
          <w:numId w:val="12"/>
        </w:numPr>
        <w:rPr>
          <w:sz w:val="22"/>
        </w:rPr>
      </w:pPr>
      <w:r w:rsidRPr="00C03483">
        <w:rPr>
          <w:sz w:val="22"/>
        </w:rPr>
        <w:t>Tabletės tiekiamos pakuotėmis, kuriose lizdinėse plokštelėse yra 1, 2, 4, 8, 10, 12, 12 (3x4), 14, 16, 16 (4x4) arba 30 tablečių.</w:t>
      </w:r>
    </w:p>
    <w:p w14:paraId="59D15147" w14:textId="77777777" w:rsidR="00941804" w:rsidRPr="00C03483" w:rsidRDefault="00941804" w:rsidP="004D2419">
      <w:pPr>
        <w:numPr>
          <w:ilvl w:val="0"/>
          <w:numId w:val="12"/>
        </w:numPr>
        <w:rPr>
          <w:sz w:val="22"/>
        </w:rPr>
      </w:pPr>
      <w:r w:rsidRPr="00C03483">
        <w:rPr>
          <w:sz w:val="22"/>
        </w:rPr>
        <w:t>Pakuotės gydymo įstaigoms, kurių kiekvienoje yra 4x1, 10x1 ar 50x1 tablečių.</w:t>
      </w:r>
    </w:p>
    <w:p w14:paraId="4E27EE3A" w14:textId="77777777" w:rsidR="00941804" w:rsidRPr="00C03483" w:rsidRDefault="00941804" w:rsidP="004D2419">
      <w:pPr>
        <w:numPr>
          <w:ilvl w:val="0"/>
          <w:numId w:val="12"/>
        </w:numPr>
        <w:rPr>
          <w:sz w:val="22"/>
        </w:rPr>
      </w:pPr>
      <w:r w:rsidRPr="00C03483">
        <w:rPr>
          <w:sz w:val="22"/>
        </w:rPr>
        <w:t>Gali būti tiekiamos ne visų dydžių pakuotės.</w:t>
      </w:r>
    </w:p>
    <w:p w14:paraId="6CEB1450" w14:textId="77777777" w:rsidR="00941804" w:rsidRPr="00C03483" w:rsidRDefault="00941804" w:rsidP="004D2419">
      <w:pPr>
        <w:rPr>
          <w:sz w:val="22"/>
        </w:rPr>
      </w:pPr>
    </w:p>
    <w:p w14:paraId="11773AD3" w14:textId="77777777" w:rsidR="00941804" w:rsidRPr="00C03483" w:rsidRDefault="00941804" w:rsidP="004D2419">
      <w:pPr>
        <w:rPr>
          <w:b/>
          <w:sz w:val="22"/>
        </w:rPr>
      </w:pPr>
      <w:r w:rsidRPr="00C03483">
        <w:rPr>
          <w:b/>
          <w:sz w:val="22"/>
        </w:rPr>
        <w:t>Registruotojas ir gamintojas</w:t>
      </w:r>
    </w:p>
    <w:p w14:paraId="26186A93" w14:textId="77777777" w:rsidR="00941804" w:rsidRPr="00C03483" w:rsidRDefault="00941804" w:rsidP="004D2419">
      <w:pPr>
        <w:tabs>
          <w:tab w:val="left" w:pos="540"/>
        </w:tabs>
        <w:rPr>
          <w:sz w:val="22"/>
        </w:rPr>
      </w:pPr>
    </w:p>
    <w:p w14:paraId="11BD4C8B" w14:textId="77777777" w:rsidR="00941804" w:rsidRPr="00C03483" w:rsidRDefault="00941804" w:rsidP="004D2419">
      <w:pPr>
        <w:tabs>
          <w:tab w:val="left" w:pos="540"/>
        </w:tabs>
        <w:rPr>
          <w:i/>
          <w:sz w:val="22"/>
        </w:rPr>
      </w:pPr>
      <w:r w:rsidRPr="00C03483">
        <w:rPr>
          <w:i/>
          <w:sz w:val="22"/>
        </w:rPr>
        <w:t>Registruotojas</w:t>
      </w:r>
    </w:p>
    <w:p w14:paraId="262E1A62" w14:textId="77777777" w:rsidR="00941804" w:rsidRPr="00C03483" w:rsidRDefault="00941804" w:rsidP="004D2419">
      <w:pPr>
        <w:tabs>
          <w:tab w:val="left" w:pos="540"/>
        </w:tabs>
        <w:rPr>
          <w:sz w:val="22"/>
        </w:rPr>
      </w:pPr>
      <w:r w:rsidRPr="00C03483">
        <w:rPr>
          <w:sz w:val="22"/>
        </w:rPr>
        <w:t>Teva Pharma B.V.</w:t>
      </w:r>
    </w:p>
    <w:p w14:paraId="51B6E9AF" w14:textId="77777777" w:rsidR="00941804" w:rsidRPr="00C03483" w:rsidRDefault="00941804" w:rsidP="004D2419">
      <w:pPr>
        <w:tabs>
          <w:tab w:val="left" w:pos="540"/>
        </w:tabs>
        <w:rPr>
          <w:sz w:val="22"/>
        </w:rPr>
      </w:pPr>
      <w:r w:rsidRPr="00C03483">
        <w:rPr>
          <w:sz w:val="22"/>
        </w:rPr>
        <w:t>Swensweg 5</w:t>
      </w:r>
    </w:p>
    <w:p w14:paraId="712FAE5F" w14:textId="77777777" w:rsidR="00941804" w:rsidRPr="00C03483" w:rsidRDefault="00941804" w:rsidP="004D2419">
      <w:pPr>
        <w:tabs>
          <w:tab w:val="left" w:pos="540"/>
        </w:tabs>
        <w:rPr>
          <w:sz w:val="22"/>
        </w:rPr>
      </w:pPr>
      <w:r w:rsidRPr="00C03483">
        <w:rPr>
          <w:sz w:val="22"/>
        </w:rPr>
        <w:t>2031 GA Haarlem</w:t>
      </w:r>
    </w:p>
    <w:p w14:paraId="4D415D82" w14:textId="77777777" w:rsidR="00941804" w:rsidRPr="00C03483" w:rsidRDefault="00941804" w:rsidP="004D2419">
      <w:pPr>
        <w:tabs>
          <w:tab w:val="left" w:pos="540"/>
        </w:tabs>
        <w:rPr>
          <w:sz w:val="22"/>
        </w:rPr>
      </w:pPr>
      <w:r w:rsidRPr="00C03483">
        <w:rPr>
          <w:sz w:val="22"/>
        </w:rPr>
        <w:t>Nyderlandai</w:t>
      </w:r>
    </w:p>
    <w:p w14:paraId="5FAD2CC0" w14:textId="77777777" w:rsidR="00941804" w:rsidRPr="00C03483" w:rsidRDefault="00941804" w:rsidP="004D2419">
      <w:pPr>
        <w:rPr>
          <w:sz w:val="22"/>
          <w:highlight w:val="green"/>
        </w:rPr>
      </w:pPr>
    </w:p>
    <w:p w14:paraId="119AAA81" w14:textId="77777777" w:rsidR="00941804" w:rsidRPr="00C03483" w:rsidRDefault="00941804" w:rsidP="004D2419">
      <w:pPr>
        <w:rPr>
          <w:i/>
          <w:sz w:val="22"/>
        </w:rPr>
      </w:pPr>
      <w:r w:rsidRPr="00C03483">
        <w:rPr>
          <w:i/>
          <w:sz w:val="22"/>
        </w:rPr>
        <w:t>Gamintojas</w:t>
      </w:r>
    </w:p>
    <w:p w14:paraId="4443A828" w14:textId="77777777" w:rsidR="00941804" w:rsidRPr="00C03483" w:rsidRDefault="00941804" w:rsidP="004D2419">
      <w:pPr>
        <w:rPr>
          <w:sz w:val="22"/>
        </w:rPr>
      </w:pPr>
      <w:r w:rsidRPr="00C03483">
        <w:rPr>
          <w:sz w:val="22"/>
        </w:rPr>
        <w:t xml:space="preserve">Pharmachemie B.V. </w:t>
      </w:r>
    </w:p>
    <w:p w14:paraId="7296E803" w14:textId="77777777" w:rsidR="00941804" w:rsidRPr="00C03483" w:rsidRDefault="00941804" w:rsidP="004D2419">
      <w:pPr>
        <w:rPr>
          <w:sz w:val="22"/>
        </w:rPr>
      </w:pPr>
      <w:r w:rsidRPr="00C03483">
        <w:rPr>
          <w:sz w:val="22"/>
        </w:rPr>
        <w:t>Swensweg 5</w:t>
      </w:r>
    </w:p>
    <w:p w14:paraId="224FA0FF" w14:textId="77777777" w:rsidR="00941804" w:rsidRPr="00C03483" w:rsidRDefault="00941804" w:rsidP="004D2419">
      <w:pPr>
        <w:rPr>
          <w:sz w:val="22"/>
        </w:rPr>
      </w:pPr>
      <w:r w:rsidRPr="00C03483">
        <w:rPr>
          <w:sz w:val="22"/>
        </w:rPr>
        <w:t>2031 GA Haarlem</w:t>
      </w:r>
    </w:p>
    <w:p w14:paraId="63E00B4F" w14:textId="77777777" w:rsidR="00941804" w:rsidRPr="00C03483" w:rsidRDefault="00941804" w:rsidP="004D2419">
      <w:pPr>
        <w:rPr>
          <w:sz w:val="22"/>
        </w:rPr>
      </w:pPr>
      <w:r w:rsidRPr="00C03483">
        <w:rPr>
          <w:sz w:val="22"/>
        </w:rPr>
        <w:t>Nyderlandai</w:t>
      </w:r>
    </w:p>
    <w:p w14:paraId="251ECA24" w14:textId="77777777" w:rsidR="00941804" w:rsidRPr="00C03483" w:rsidRDefault="00941804" w:rsidP="004D2419">
      <w:pPr>
        <w:rPr>
          <w:sz w:val="22"/>
        </w:rPr>
      </w:pPr>
    </w:p>
    <w:p w14:paraId="293D84E5" w14:textId="77777777" w:rsidR="00941804" w:rsidRPr="00C03483" w:rsidRDefault="00941804" w:rsidP="004D2419">
      <w:pPr>
        <w:rPr>
          <w:sz w:val="22"/>
        </w:rPr>
      </w:pPr>
      <w:r w:rsidRPr="00C03483">
        <w:rPr>
          <w:sz w:val="22"/>
        </w:rPr>
        <w:t>arba</w:t>
      </w:r>
    </w:p>
    <w:p w14:paraId="38201969" w14:textId="77777777" w:rsidR="00941804" w:rsidRPr="00C03483" w:rsidRDefault="00941804" w:rsidP="004D2419">
      <w:pPr>
        <w:rPr>
          <w:sz w:val="22"/>
          <w:lang w:val="en-GB"/>
        </w:rPr>
      </w:pPr>
    </w:p>
    <w:p w14:paraId="427BB147" w14:textId="77777777" w:rsidR="00941804" w:rsidRPr="00C03483" w:rsidRDefault="00941804" w:rsidP="004D2419">
      <w:pPr>
        <w:rPr>
          <w:sz w:val="22"/>
        </w:rPr>
      </w:pPr>
      <w:r w:rsidRPr="00C03483">
        <w:rPr>
          <w:sz w:val="22"/>
        </w:rPr>
        <w:t>Teva Pharmaceutical Works Private Limited Company</w:t>
      </w:r>
    </w:p>
    <w:p w14:paraId="1E4CCC5C" w14:textId="77777777" w:rsidR="00941804" w:rsidRPr="00C03483" w:rsidRDefault="00941804" w:rsidP="004D2419">
      <w:pPr>
        <w:rPr>
          <w:sz w:val="22"/>
        </w:rPr>
      </w:pPr>
      <w:r w:rsidRPr="00C03483">
        <w:rPr>
          <w:sz w:val="22"/>
        </w:rPr>
        <w:t>Pallagi ùt 13</w:t>
      </w:r>
    </w:p>
    <w:p w14:paraId="0348978E" w14:textId="77777777" w:rsidR="00941804" w:rsidRPr="00C03483" w:rsidRDefault="00941804" w:rsidP="004D2419">
      <w:pPr>
        <w:rPr>
          <w:sz w:val="22"/>
        </w:rPr>
      </w:pPr>
      <w:r w:rsidRPr="00C03483">
        <w:rPr>
          <w:sz w:val="22"/>
        </w:rPr>
        <w:t>4042 Debrecen</w:t>
      </w:r>
    </w:p>
    <w:p w14:paraId="12EAC38F" w14:textId="77777777" w:rsidR="00941804" w:rsidRPr="00C03483" w:rsidRDefault="00941804" w:rsidP="004D2419">
      <w:pPr>
        <w:rPr>
          <w:sz w:val="22"/>
        </w:rPr>
      </w:pPr>
      <w:r w:rsidRPr="00C03483">
        <w:rPr>
          <w:sz w:val="22"/>
        </w:rPr>
        <w:t>Vengrija</w:t>
      </w:r>
    </w:p>
    <w:p w14:paraId="535CF56E" w14:textId="77777777" w:rsidR="00941804" w:rsidRPr="00C03483" w:rsidRDefault="00941804" w:rsidP="004D2419">
      <w:pPr>
        <w:rPr>
          <w:sz w:val="22"/>
        </w:rPr>
      </w:pPr>
    </w:p>
    <w:p w14:paraId="30405B72" w14:textId="77777777" w:rsidR="00941804" w:rsidRPr="00C03483" w:rsidRDefault="00941804" w:rsidP="004D2419">
      <w:pPr>
        <w:rPr>
          <w:sz w:val="22"/>
        </w:rPr>
      </w:pPr>
      <w:r w:rsidRPr="00C03483">
        <w:rPr>
          <w:sz w:val="22"/>
        </w:rPr>
        <w:t>arba</w:t>
      </w:r>
    </w:p>
    <w:p w14:paraId="30010021" w14:textId="77777777" w:rsidR="00941804" w:rsidRPr="00C03483" w:rsidRDefault="00941804" w:rsidP="004D2419">
      <w:pPr>
        <w:rPr>
          <w:color w:val="000000"/>
          <w:sz w:val="22"/>
        </w:rPr>
      </w:pPr>
    </w:p>
    <w:p w14:paraId="316EB20E" w14:textId="77777777" w:rsidR="00941804" w:rsidRPr="00C03483" w:rsidRDefault="00941804" w:rsidP="004D2419">
      <w:pPr>
        <w:rPr>
          <w:sz w:val="22"/>
        </w:rPr>
      </w:pPr>
      <w:r w:rsidRPr="00C03483">
        <w:rPr>
          <w:sz w:val="22"/>
        </w:rPr>
        <w:t>Teva Czech Industries s.r.o.</w:t>
      </w:r>
    </w:p>
    <w:p w14:paraId="7EB1822C" w14:textId="77777777" w:rsidR="00941804" w:rsidRPr="00C03483" w:rsidRDefault="00941804" w:rsidP="004D2419">
      <w:pPr>
        <w:rPr>
          <w:sz w:val="22"/>
        </w:rPr>
      </w:pPr>
      <w:r w:rsidRPr="00C03483">
        <w:rPr>
          <w:sz w:val="22"/>
        </w:rPr>
        <w:lastRenderedPageBreak/>
        <w:t>Ostravská 29</w:t>
      </w:r>
    </w:p>
    <w:p w14:paraId="7ADBCFF0" w14:textId="77777777" w:rsidR="00941804" w:rsidRPr="00C03483" w:rsidRDefault="00941804" w:rsidP="004D2419">
      <w:pPr>
        <w:rPr>
          <w:sz w:val="22"/>
        </w:rPr>
      </w:pPr>
      <w:r w:rsidRPr="00C03483">
        <w:rPr>
          <w:sz w:val="22"/>
        </w:rPr>
        <w:t>č.p. 305, 747 70 Opava –Komárov</w:t>
      </w:r>
    </w:p>
    <w:p w14:paraId="5DC51110" w14:textId="77777777" w:rsidR="00941804" w:rsidRPr="00C03483" w:rsidRDefault="00941804" w:rsidP="004D2419">
      <w:pPr>
        <w:numPr>
          <w:ilvl w:val="12"/>
          <w:numId w:val="0"/>
        </w:numPr>
        <w:ind w:right="-2"/>
        <w:rPr>
          <w:color w:val="000000"/>
          <w:sz w:val="22"/>
        </w:rPr>
      </w:pPr>
      <w:r w:rsidRPr="00C03483">
        <w:rPr>
          <w:sz w:val="22"/>
        </w:rPr>
        <w:t>Čekija</w:t>
      </w:r>
    </w:p>
    <w:p w14:paraId="34970199" w14:textId="77777777" w:rsidR="00941804" w:rsidRPr="00853EF3" w:rsidRDefault="00941804" w:rsidP="00853EF3">
      <w:pPr>
        <w:numPr>
          <w:ilvl w:val="12"/>
          <w:numId w:val="0"/>
        </w:numPr>
        <w:ind w:right="-2"/>
        <w:rPr>
          <w:color w:val="000000"/>
          <w:sz w:val="22"/>
        </w:rPr>
      </w:pPr>
    </w:p>
    <w:p w14:paraId="20250C12" w14:textId="77777777" w:rsidR="00941804" w:rsidRPr="00C03483" w:rsidRDefault="00941804" w:rsidP="004D2419">
      <w:pPr>
        <w:rPr>
          <w:color w:val="000000"/>
          <w:sz w:val="22"/>
        </w:rPr>
      </w:pPr>
      <w:r w:rsidRPr="00C03483">
        <w:rPr>
          <w:color w:val="000000"/>
          <w:sz w:val="22"/>
        </w:rPr>
        <w:t xml:space="preserve">Jeigu apie šį vaistą norite sužinoti daugiau, kreipkitės į vietinį registruotojo atstovą. </w:t>
      </w:r>
    </w:p>
    <w:p w14:paraId="484CDEF0" w14:textId="77777777" w:rsidR="00941804" w:rsidRPr="00C03483" w:rsidRDefault="00941804" w:rsidP="004D2419">
      <w:pPr>
        <w:rPr>
          <w:color w:val="000000"/>
          <w:sz w:val="22"/>
          <w:highlight w:val="green"/>
        </w:rPr>
      </w:pPr>
    </w:p>
    <w:tbl>
      <w:tblPr>
        <w:tblW w:w="4678" w:type="dxa"/>
        <w:tblLayout w:type="fixed"/>
        <w:tblLook w:val="0000" w:firstRow="0" w:lastRow="0" w:firstColumn="0" w:lastColumn="0" w:noHBand="0" w:noVBand="0"/>
      </w:tblPr>
      <w:tblGrid>
        <w:gridCol w:w="4678"/>
      </w:tblGrid>
      <w:tr w:rsidR="00941804" w:rsidRPr="0039042E" w14:paraId="37CF6498" w14:textId="77777777" w:rsidTr="00853EF3">
        <w:tc>
          <w:tcPr>
            <w:tcW w:w="4678" w:type="dxa"/>
          </w:tcPr>
          <w:p w14:paraId="48117334" w14:textId="77777777" w:rsidR="00E82CE3" w:rsidRPr="00C03483" w:rsidRDefault="00E82CE3" w:rsidP="00231D94">
            <w:pPr>
              <w:rPr>
                <w:sz w:val="22"/>
              </w:rPr>
            </w:pPr>
            <w:r w:rsidRPr="00C03483">
              <w:rPr>
                <w:sz w:val="22"/>
              </w:rPr>
              <w:t xml:space="preserve">UAB </w:t>
            </w:r>
            <w:r w:rsidR="00231D94">
              <w:rPr>
                <w:sz w:val="22"/>
              </w:rPr>
              <w:t>Teva Baltics</w:t>
            </w:r>
          </w:p>
          <w:p w14:paraId="607D7FCF" w14:textId="77777777" w:rsidR="00941804" w:rsidRPr="00C03483" w:rsidRDefault="00941804" w:rsidP="004D2419">
            <w:pPr>
              <w:rPr>
                <w:sz w:val="22"/>
              </w:rPr>
            </w:pPr>
            <w:r w:rsidRPr="00C03483">
              <w:rPr>
                <w:sz w:val="22"/>
              </w:rPr>
              <w:t>Molėtų pl. 5</w:t>
            </w:r>
          </w:p>
          <w:p w14:paraId="499D13F2" w14:textId="77777777" w:rsidR="00941804" w:rsidRPr="00C03483" w:rsidRDefault="00941804" w:rsidP="004D2419">
            <w:pPr>
              <w:rPr>
                <w:sz w:val="22"/>
              </w:rPr>
            </w:pPr>
            <w:r w:rsidRPr="00C03483">
              <w:rPr>
                <w:sz w:val="22"/>
              </w:rPr>
              <w:t>LT-08409</w:t>
            </w:r>
            <w:r w:rsidR="00231D94" w:rsidRPr="00C03483">
              <w:rPr>
                <w:sz w:val="22"/>
              </w:rPr>
              <w:t xml:space="preserve"> Vilnius</w:t>
            </w:r>
          </w:p>
          <w:p w14:paraId="2A130C66" w14:textId="77777777" w:rsidR="00941804" w:rsidRPr="00C03483" w:rsidRDefault="00941804" w:rsidP="004D2419">
            <w:pPr>
              <w:tabs>
                <w:tab w:val="left" w:pos="-720"/>
              </w:tabs>
              <w:suppressAutoHyphens/>
              <w:rPr>
                <w:sz w:val="22"/>
              </w:rPr>
            </w:pPr>
            <w:r w:rsidRPr="00C03483">
              <w:rPr>
                <w:sz w:val="22"/>
              </w:rPr>
              <w:t>Tel.: +370 5 266 02 03</w:t>
            </w:r>
          </w:p>
        </w:tc>
      </w:tr>
    </w:tbl>
    <w:p w14:paraId="2A52F642" w14:textId="77777777" w:rsidR="00941804" w:rsidRPr="004D2419" w:rsidRDefault="00941804" w:rsidP="00C03483">
      <w:pPr>
        <w:pStyle w:val="BTbEMEASMCA"/>
      </w:pPr>
    </w:p>
    <w:p w14:paraId="4BBE100D" w14:textId="77777777" w:rsidR="00941804" w:rsidRPr="004D2419" w:rsidRDefault="00941804" w:rsidP="00C03483">
      <w:pPr>
        <w:pStyle w:val="BTbEMEASMCA"/>
        <w:rPr>
          <w:b/>
        </w:rPr>
      </w:pPr>
      <w:r w:rsidRPr="004D2419">
        <w:rPr>
          <w:b/>
        </w:rPr>
        <w:t>Šis vaistas EEE valstybėse narėse registruotas tokiais pavadinimais:</w:t>
      </w:r>
    </w:p>
    <w:tbl>
      <w:tblPr>
        <w:tblW w:w="0" w:type="auto"/>
        <w:tblLook w:val="00A0" w:firstRow="1" w:lastRow="0" w:firstColumn="1" w:lastColumn="0" w:noHBand="0" w:noVBand="0"/>
      </w:tblPr>
      <w:tblGrid>
        <w:gridCol w:w="2210"/>
        <w:gridCol w:w="6860"/>
      </w:tblGrid>
      <w:tr w:rsidR="00941804" w:rsidRPr="0039042E" w14:paraId="0A14DEDA" w14:textId="77777777" w:rsidTr="00853EF3">
        <w:tc>
          <w:tcPr>
            <w:tcW w:w="2235" w:type="dxa"/>
          </w:tcPr>
          <w:p w14:paraId="557AA6E7" w14:textId="77777777" w:rsidR="00941804" w:rsidRPr="004D2419" w:rsidRDefault="00941804" w:rsidP="00C03483">
            <w:pPr>
              <w:pStyle w:val="BTbEMEASMCA"/>
            </w:pPr>
          </w:p>
        </w:tc>
        <w:tc>
          <w:tcPr>
            <w:tcW w:w="7051" w:type="dxa"/>
          </w:tcPr>
          <w:p w14:paraId="5D61C023" w14:textId="77777777" w:rsidR="00941804" w:rsidRPr="00C03483" w:rsidRDefault="00941804" w:rsidP="004D2419">
            <w:pPr>
              <w:rPr>
                <w:sz w:val="22"/>
              </w:rPr>
            </w:pPr>
          </w:p>
        </w:tc>
      </w:tr>
      <w:tr w:rsidR="00941804" w:rsidRPr="0039042E" w14:paraId="0BD8B769" w14:textId="77777777" w:rsidTr="00853EF3">
        <w:tc>
          <w:tcPr>
            <w:tcW w:w="2235" w:type="dxa"/>
          </w:tcPr>
          <w:p w14:paraId="5DB60665" w14:textId="77777777" w:rsidR="00941804" w:rsidRPr="004D2419" w:rsidRDefault="00941804" w:rsidP="00C03483">
            <w:pPr>
              <w:pStyle w:val="BTbEMEASMCA"/>
            </w:pPr>
            <w:r w:rsidRPr="004D2419">
              <w:t>Belgija</w:t>
            </w:r>
          </w:p>
        </w:tc>
        <w:tc>
          <w:tcPr>
            <w:tcW w:w="7051" w:type="dxa"/>
          </w:tcPr>
          <w:p w14:paraId="2B20292F" w14:textId="77777777" w:rsidR="00941804" w:rsidRPr="004D2419" w:rsidRDefault="00941804" w:rsidP="00C03483">
            <w:pPr>
              <w:pStyle w:val="BTbEMEASMCA"/>
            </w:pPr>
            <w:r w:rsidRPr="004D2419">
              <w:t>Risedronate Teva 35 mg filmomhulde tabletten</w:t>
            </w:r>
          </w:p>
        </w:tc>
      </w:tr>
      <w:tr w:rsidR="00941804" w:rsidRPr="0039042E" w14:paraId="24649B17" w14:textId="77777777" w:rsidTr="00853EF3">
        <w:tc>
          <w:tcPr>
            <w:tcW w:w="2235" w:type="dxa"/>
          </w:tcPr>
          <w:p w14:paraId="1400E7A0" w14:textId="77777777" w:rsidR="00941804" w:rsidRPr="004D2419" w:rsidRDefault="00941804" w:rsidP="00C03483">
            <w:pPr>
              <w:pStyle w:val="BTbEMEASMCA"/>
            </w:pPr>
            <w:r w:rsidRPr="004D2419">
              <w:t>Bulgarija</w:t>
            </w:r>
          </w:p>
        </w:tc>
        <w:tc>
          <w:tcPr>
            <w:tcW w:w="7051" w:type="dxa"/>
          </w:tcPr>
          <w:p w14:paraId="01C2AC9C" w14:textId="77777777" w:rsidR="00941804" w:rsidRPr="004D2419" w:rsidRDefault="00941804" w:rsidP="00C03483">
            <w:pPr>
              <w:pStyle w:val="BTbEMEASMCA"/>
            </w:pPr>
            <w:r w:rsidRPr="004D2419">
              <w:rPr>
                <w:lang w:val="bg-BG"/>
              </w:rPr>
              <w:t>РИЗИДА</w:t>
            </w:r>
            <w:r w:rsidRPr="004D2419">
              <w:t xml:space="preserve"> 35 mg </w:t>
            </w:r>
            <w:r w:rsidRPr="004D2419">
              <w:rPr>
                <w:lang w:val="bg-BG"/>
              </w:rPr>
              <w:t>ф</w:t>
            </w:r>
            <w:r w:rsidRPr="004D2419">
              <w:t>илмирани таблетки</w:t>
            </w:r>
          </w:p>
        </w:tc>
      </w:tr>
      <w:tr w:rsidR="00941804" w:rsidRPr="0039042E" w14:paraId="190BF23F" w14:textId="77777777" w:rsidTr="00853EF3">
        <w:tc>
          <w:tcPr>
            <w:tcW w:w="2235" w:type="dxa"/>
          </w:tcPr>
          <w:p w14:paraId="429E8099" w14:textId="77777777" w:rsidR="00941804" w:rsidRPr="004D2419" w:rsidRDefault="00941804" w:rsidP="00C03483">
            <w:pPr>
              <w:pStyle w:val="BTbEMEASMCA"/>
            </w:pPr>
            <w:r w:rsidRPr="004D2419">
              <w:t>Čekija</w:t>
            </w:r>
          </w:p>
        </w:tc>
        <w:tc>
          <w:tcPr>
            <w:tcW w:w="7051" w:type="dxa"/>
          </w:tcPr>
          <w:p w14:paraId="55B843C0" w14:textId="77777777" w:rsidR="00941804" w:rsidRPr="004D2419" w:rsidRDefault="00941804" w:rsidP="00C03483">
            <w:pPr>
              <w:pStyle w:val="BTbEMEASMCA"/>
            </w:pPr>
            <w:r w:rsidRPr="004D2419">
              <w:t>RISEDRONAT TEVA 35 mg</w:t>
            </w:r>
          </w:p>
        </w:tc>
      </w:tr>
      <w:tr w:rsidR="00941804" w:rsidRPr="0039042E" w14:paraId="3F39D8DD" w14:textId="77777777" w:rsidTr="00853EF3">
        <w:tc>
          <w:tcPr>
            <w:tcW w:w="2235" w:type="dxa"/>
          </w:tcPr>
          <w:p w14:paraId="7A591806" w14:textId="77777777" w:rsidR="00941804" w:rsidRPr="004D2419" w:rsidRDefault="00941804" w:rsidP="00C03483">
            <w:pPr>
              <w:pStyle w:val="BTbEMEASMCA"/>
            </w:pPr>
            <w:r w:rsidRPr="004D2419">
              <w:t>Vokietija</w:t>
            </w:r>
          </w:p>
        </w:tc>
        <w:tc>
          <w:tcPr>
            <w:tcW w:w="7051" w:type="dxa"/>
          </w:tcPr>
          <w:p w14:paraId="46FBA6C6" w14:textId="77777777" w:rsidR="00941804" w:rsidRPr="004D2419" w:rsidRDefault="00941804" w:rsidP="00C03483">
            <w:pPr>
              <w:pStyle w:val="BTbEMEASMCA"/>
            </w:pPr>
            <w:r w:rsidRPr="004D2419">
              <w:rPr>
                <w:lang w:val="de-DE"/>
              </w:rPr>
              <w:t>Risedronat Teva 35 mg Filmtabletten 1 x wöchentlich</w:t>
            </w:r>
          </w:p>
        </w:tc>
      </w:tr>
      <w:tr w:rsidR="00941804" w:rsidRPr="0039042E" w14:paraId="6764943C" w14:textId="77777777" w:rsidTr="00853EF3">
        <w:tc>
          <w:tcPr>
            <w:tcW w:w="2235" w:type="dxa"/>
          </w:tcPr>
          <w:p w14:paraId="29417572" w14:textId="77777777" w:rsidR="00941804" w:rsidRPr="004D2419" w:rsidRDefault="00941804" w:rsidP="00C03483">
            <w:pPr>
              <w:pStyle w:val="BTbEMEASMCA"/>
            </w:pPr>
            <w:r w:rsidRPr="004D2419">
              <w:t>Estija</w:t>
            </w:r>
          </w:p>
        </w:tc>
        <w:tc>
          <w:tcPr>
            <w:tcW w:w="7051" w:type="dxa"/>
          </w:tcPr>
          <w:p w14:paraId="4F43641D" w14:textId="77777777" w:rsidR="00941804" w:rsidRPr="004D2419" w:rsidRDefault="00941804" w:rsidP="00C03483">
            <w:pPr>
              <w:pStyle w:val="BTbEMEASMCA"/>
            </w:pPr>
            <w:r w:rsidRPr="004D2419">
              <w:rPr>
                <w:lang w:val="de-DE"/>
              </w:rPr>
              <w:t>RISONATE</w:t>
            </w:r>
          </w:p>
        </w:tc>
      </w:tr>
      <w:tr w:rsidR="00941804" w:rsidRPr="0039042E" w14:paraId="0764D0FE" w14:textId="77777777" w:rsidTr="00853EF3">
        <w:tc>
          <w:tcPr>
            <w:tcW w:w="2235" w:type="dxa"/>
          </w:tcPr>
          <w:p w14:paraId="1897AAA0" w14:textId="77777777" w:rsidR="00941804" w:rsidRPr="004D2419" w:rsidRDefault="00941804" w:rsidP="00C03483">
            <w:pPr>
              <w:pStyle w:val="BTbEMEASMCA"/>
            </w:pPr>
            <w:r w:rsidRPr="004D2419">
              <w:t>Graikija</w:t>
            </w:r>
          </w:p>
        </w:tc>
        <w:tc>
          <w:tcPr>
            <w:tcW w:w="7051" w:type="dxa"/>
          </w:tcPr>
          <w:p w14:paraId="0D797406" w14:textId="77777777" w:rsidR="00941804" w:rsidRPr="004D2419" w:rsidRDefault="00941804" w:rsidP="00C03483">
            <w:pPr>
              <w:pStyle w:val="BTbEMEASMCA"/>
            </w:pPr>
            <w:r w:rsidRPr="004D2419">
              <w:t xml:space="preserve">Risedronate/Teva 35 mg </w:t>
            </w:r>
            <w:r w:rsidRPr="004D2419">
              <w:rPr>
                <w:lang w:val="el-GR"/>
              </w:rPr>
              <w:t>Επικαλυμμένα</w:t>
            </w:r>
            <w:r w:rsidRPr="004D2419">
              <w:t xml:space="preserve"> </w:t>
            </w:r>
            <w:r w:rsidRPr="004D2419">
              <w:rPr>
                <w:lang w:val="el-GR"/>
              </w:rPr>
              <w:t>με</w:t>
            </w:r>
            <w:r w:rsidRPr="004D2419">
              <w:t xml:space="preserve"> </w:t>
            </w:r>
            <w:r w:rsidRPr="004D2419">
              <w:rPr>
                <w:lang w:val="el-GR"/>
              </w:rPr>
              <w:t>λεπτό</w:t>
            </w:r>
            <w:r w:rsidRPr="004D2419">
              <w:t xml:space="preserve"> </w:t>
            </w:r>
            <w:r w:rsidRPr="004D2419">
              <w:rPr>
                <w:lang w:val="el-GR"/>
              </w:rPr>
              <w:t>υμένιο</w:t>
            </w:r>
            <w:r w:rsidRPr="004D2419">
              <w:t xml:space="preserve"> </w:t>
            </w:r>
            <w:r w:rsidRPr="004D2419">
              <w:rPr>
                <w:lang w:val="el-GR"/>
              </w:rPr>
              <w:t>δισκί</w:t>
            </w:r>
            <w:r w:rsidRPr="004D2419">
              <w:t>o</w:t>
            </w:r>
          </w:p>
        </w:tc>
      </w:tr>
      <w:tr w:rsidR="00941804" w:rsidRPr="0039042E" w14:paraId="33B10432" w14:textId="77777777" w:rsidTr="00853EF3">
        <w:tc>
          <w:tcPr>
            <w:tcW w:w="2235" w:type="dxa"/>
          </w:tcPr>
          <w:p w14:paraId="41B24656" w14:textId="77777777" w:rsidR="00941804" w:rsidRPr="004D2419" w:rsidRDefault="00941804" w:rsidP="00C03483">
            <w:pPr>
              <w:pStyle w:val="BTbEMEASMCA"/>
            </w:pPr>
            <w:r w:rsidRPr="004D2419">
              <w:t>Ispanija</w:t>
            </w:r>
          </w:p>
        </w:tc>
        <w:tc>
          <w:tcPr>
            <w:tcW w:w="7051" w:type="dxa"/>
          </w:tcPr>
          <w:p w14:paraId="6F413592" w14:textId="77777777" w:rsidR="00941804" w:rsidRPr="004D2419" w:rsidRDefault="00941804" w:rsidP="00C03483">
            <w:pPr>
              <w:pStyle w:val="BTbEMEASMCA"/>
            </w:pPr>
            <w:r w:rsidRPr="004D2419">
              <w:rPr>
                <w:lang w:val="es-ES"/>
              </w:rPr>
              <w:t>Miosen semanal 35 mg comprimidos recubiertos con película EFG</w:t>
            </w:r>
          </w:p>
        </w:tc>
      </w:tr>
      <w:tr w:rsidR="00941804" w:rsidRPr="0039042E" w14:paraId="0E808949" w14:textId="77777777" w:rsidTr="00853EF3">
        <w:tc>
          <w:tcPr>
            <w:tcW w:w="2235" w:type="dxa"/>
          </w:tcPr>
          <w:p w14:paraId="28FACA35" w14:textId="77777777" w:rsidR="00941804" w:rsidRPr="004D2419" w:rsidRDefault="00941804" w:rsidP="00C03483">
            <w:pPr>
              <w:pStyle w:val="BTbEMEASMCA"/>
            </w:pPr>
            <w:r w:rsidRPr="004D2419">
              <w:t>Suomija</w:t>
            </w:r>
          </w:p>
        </w:tc>
        <w:tc>
          <w:tcPr>
            <w:tcW w:w="7051" w:type="dxa"/>
          </w:tcPr>
          <w:p w14:paraId="382C1724" w14:textId="77777777" w:rsidR="00941804" w:rsidRPr="004D2419" w:rsidRDefault="00941804" w:rsidP="00C03483">
            <w:pPr>
              <w:pStyle w:val="BTbEMEASMCA"/>
              <w:rPr>
                <w:lang w:val="es-ES"/>
              </w:rPr>
            </w:pPr>
            <w:r w:rsidRPr="004D2419">
              <w:t>Risedronat Teva 35 mg tabletti, kalvopäällysteinen</w:t>
            </w:r>
          </w:p>
        </w:tc>
      </w:tr>
      <w:tr w:rsidR="00941804" w:rsidRPr="0039042E" w14:paraId="1B734841" w14:textId="77777777" w:rsidTr="00853EF3">
        <w:tc>
          <w:tcPr>
            <w:tcW w:w="2235" w:type="dxa"/>
          </w:tcPr>
          <w:p w14:paraId="741F7AC0" w14:textId="77777777" w:rsidR="00941804" w:rsidRPr="004D2419" w:rsidRDefault="00941804" w:rsidP="00C03483">
            <w:pPr>
              <w:pStyle w:val="BTbEMEASMCA"/>
            </w:pPr>
            <w:r w:rsidRPr="004D2419">
              <w:t>Prancūzija</w:t>
            </w:r>
          </w:p>
        </w:tc>
        <w:tc>
          <w:tcPr>
            <w:tcW w:w="7051" w:type="dxa"/>
          </w:tcPr>
          <w:p w14:paraId="76B511A8" w14:textId="77777777" w:rsidR="00941804" w:rsidRPr="004D2419" w:rsidRDefault="00941804" w:rsidP="00C03483">
            <w:pPr>
              <w:pStyle w:val="BTbEMEASMCA"/>
              <w:rPr>
                <w:lang w:val="es-ES"/>
              </w:rPr>
            </w:pPr>
            <w:r w:rsidRPr="004D2419">
              <w:t>RISEDRONATE TEVA 35 mg, comprimé pelliculé</w:t>
            </w:r>
          </w:p>
        </w:tc>
      </w:tr>
      <w:tr w:rsidR="00941804" w:rsidRPr="0039042E" w14:paraId="041C1801" w14:textId="77777777" w:rsidTr="00853EF3">
        <w:tc>
          <w:tcPr>
            <w:tcW w:w="2235" w:type="dxa"/>
          </w:tcPr>
          <w:p w14:paraId="30A7A095" w14:textId="77777777" w:rsidR="00941804" w:rsidRPr="004D2419" w:rsidRDefault="00941804" w:rsidP="00C03483">
            <w:pPr>
              <w:pStyle w:val="BTbEMEASMCA"/>
            </w:pPr>
            <w:r w:rsidRPr="004D2419">
              <w:t>Airija</w:t>
            </w:r>
          </w:p>
        </w:tc>
        <w:tc>
          <w:tcPr>
            <w:tcW w:w="7051" w:type="dxa"/>
          </w:tcPr>
          <w:p w14:paraId="29C84C19" w14:textId="77777777" w:rsidR="00941804" w:rsidRPr="004D2419" w:rsidRDefault="00941804" w:rsidP="00C03483">
            <w:pPr>
              <w:pStyle w:val="BTbEMEASMCA"/>
              <w:rPr>
                <w:lang w:val="es-ES"/>
              </w:rPr>
            </w:pPr>
            <w:r w:rsidRPr="004D2419">
              <w:t>Risonate Once Weekly 35mg Film-coated Tablets</w:t>
            </w:r>
          </w:p>
        </w:tc>
      </w:tr>
      <w:tr w:rsidR="00941804" w:rsidRPr="0039042E" w14:paraId="2985B5F2" w14:textId="77777777" w:rsidTr="00853EF3">
        <w:tc>
          <w:tcPr>
            <w:tcW w:w="2235" w:type="dxa"/>
          </w:tcPr>
          <w:p w14:paraId="44D18553" w14:textId="77777777" w:rsidR="00941804" w:rsidRPr="004D2419" w:rsidRDefault="00941804" w:rsidP="00C03483">
            <w:pPr>
              <w:pStyle w:val="BTbEMEASMCA"/>
            </w:pPr>
            <w:r w:rsidRPr="004D2419">
              <w:t>Italija</w:t>
            </w:r>
          </w:p>
        </w:tc>
        <w:tc>
          <w:tcPr>
            <w:tcW w:w="7051" w:type="dxa"/>
          </w:tcPr>
          <w:p w14:paraId="34F4AC60" w14:textId="77777777" w:rsidR="00941804" w:rsidRPr="004D2419" w:rsidRDefault="00941804" w:rsidP="00C03483">
            <w:pPr>
              <w:pStyle w:val="BTbEMEASMCA"/>
              <w:rPr>
                <w:lang w:val="es-ES"/>
              </w:rPr>
            </w:pPr>
            <w:r w:rsidRPr="004D2419">
              <w:t>Risedronato Teva Italia</w:t>
            </w:r>
          </w:p>
        </w:tc>
      </w:tr>
      <w:tr w:rsidR="00941804" w:rsidRPr="0039042E" w14:paraId="76E637AB" w14:textId="77777777" w:rsidTr="00853EF3">
        <w:tc>
          <w:tcPr>
            <w:tcW w:w="2235" w:type="dxa"/>
          </w:tcPr>
          <w:p w14:paraId="09A1BAF1" w14:textId="77777777" w:rsidR="00941804" w:rsidRPr="004D2419" w:rsidRDefault="00941804" w:rsidP="00C03483">
            <w:pPr>
              <w:pStyle w:val="BTbEMEASMCA"/>
            </w:pPr>
            <w:r w:rsidRPr="004D2419">
              <w:t>Liuksemburgas</w:t>
            </w:r>
          </w:p>
        </w:tc>
        <w:tc>
          <w:tcPr>
            <w:tcW w:w="7051" w:type="dxa"/>
          </w:tcPr>
          <w:p w14:paraId="1C8D619B" w14:textId="77777777" w:rsidR="00941804" w:rsidRPr="004D2419" w:rsidRDefault="00941804" w:rsidP="00C03483">
            <w:pPr>
              <w:pStyle w:val="BTbEMEASMCA"/>
              <w:rPr>
                <w:lang w:val="es-ES"/>
              </w:rPr>
            </w:pPr>
            <w:r w:rsidRPr="004D2419">
              <w:t>Risedronate Teva 35 mg comprimés pelliculés</w:t>
            </w:r>
          </w:p>
        </w:tc>
      </w:tr>
      <w:tr w:rsidR="00941804" w:rsidRPr="0039042E" w14:paraId="610FBC37" w14:textId="77777777" w:rsidTr="00853EF3">
        <w:tc>
          <w:tcPr>
            <w:tcW w:w="2235" w:type="dxa"/>
          </w:tcPr>
          <w:p w14:paraId="78F29C72" w14:textId="77777777" w:rsidR="00941804" w:rsidRPr="004D2419" w:rsidRDefault="00941804" w:rsidP="00C03483">
            <w:pPr>
              <w:pStyle w:val="BTbEMEASMCA"/>
            </w:pPr>
            <w:r w:rsidRPr="004D2419">
              <w:t>Latvija</w:t>
            </w:r>
          </w:p>
        </w:tc>
        <w:tc>
          <w:tcPr>
            <w:tcW w:w="7051" w:type="dxa"/>
          </w:tcPr>
          <w:p w14:paraId="0E68AF0A" w14:textId="77777777" w:rsidR="00941804" w:rsidRPr="004D2419" w:rsidRDefault="00941804" w:rsidP="00C03483">
            <w:pPr>
              <w:pStyle w:val="BTbEMEASMCA"/>
              <w:rPr>
                <w:lang w:val="es-ES"/>
              </w:rPr>
            </w:pPr>
            <w:r w:rsidRPr="004D2419">
              <w:t>Risonate 35 mg apvalkotâs tabletes</w:t>
            </w:r>
          </w:p>
        </w:tc>
      </w:tr>
      <w:tr w:rsidR="00941804" w:rsidRPr="0039042E" w14:paraId="73FC9F61" w14:textId="77777777" w:rsidTr="00853EF3">
        <w:tc>
          <w:tcPr>
            <w:tcW w:w="2235" w:type="dxa"/>
          </w:tcPr>
          <w:p w14:paraId="33B482EA" w14:textId="77777777" w:rsidR="00941804" w:rsidRPr="004D2419" w:rsidRDefault="00941804" w:rsidP="00C03483">
            <w:pPr>
              <w:pStyle w:val="BTbEMEASMCA"/>
            </w:pPr>
            <w:r w:rsidRPr="004D2419">
              <w:t>Nyderlandai</w:t>
            </w:r>
          </w:p>
        </w:tc>
        <w:tc>
          <w:tcPr>
            <w:tcW w:w="7051" w:type="dxa"/>
          </w:tcPr>
          <w:p w14:paraId="2F0F2B4B" w14:textId="77777777" w:rsidR="00941804" w:rsidRPr="004D2419" w:rsidRDefault="00941804" w:rsidP="00C03483">
            <w:pPr>
              <w:pStyle w:val="BTbEMEASMCA"/>
              <w:rPr>
                <w:lang w:val="es-ES"/>
              </w:rPr>
            </w:pPr>
            <w:r w:rsidRPr="004D2419">
              <w:t>Risedronaatnatrium Wekelijks 35 mg PCH, filmomhulde tabletten</w:t>
            </w:r>
          </w:p>
        </w:tc>
      </w:tr>
      <w:tr w:rsidR="00941804" w:rsidRPr="0039042E" w14:paraId="3D2FEC76" w14:textId="77777777" w:rsidTr="00853EF3">
        <w:tc>
          <w:tcPr>
            <w:tcW w:w="2235" w:type="dxa"/>
          </w:tcPr>
          <w:p w14:paraId="3D7B42DA" w14:textId="77777777" w:rsidR="00941804" w:rsidRPr="004D2419" w:rsidRDefault="00941804" w:rsidP="00C03483">
            <w:pPr>
              <w:pStyle w:val="BTbEMEASMCA"/>
            </w:pPr>
            <w:r w:rsidRPr="004D2419">
              <w:t>Portugalija</w:t>
            </w:r>
          </w:p>
        </w:tc>
        <w:tc>
          <w:tcPr>
            <w:tcW w:w="7051" w:type="dxa"/>
          </w:tcPr>
          <w:p w14:paraId="3CC06D5A" w14:textId="77777777" w:rsidR="00941804" w:rsidRPr="004D2419" w:rsidRDefault="00941804" w:rsidP="00C03483">
            <w:pPr>
              <w:pStyle w:val="BTbEMEASMCA"/>
              <w:rPr>
                <w:lang w:val="es-ES"/>
              </w:rPr>
            </w:pPr>
            <w:r w:rsidRPr="004D2419">
              <w:rPr>
                <w:lang w:val="it-IT"/>
              </w:rPr>
              <w:t>Risedronato de s</w:t>
            </w:r>
            <w:r w:rsidRPr="004D2419">
              <w:t>ό</w:t>
            </w:r>
            <w:r w:rsidRPr="004D2419">
              <w:rPr>
                <w:lang w:val="it-IT"/>
              </w:rPr>
              <w:t>dio Teva</w:t>
            </w:r>
          </w:p>
        </w:tc>
      </w:tr>
      <w:tr w:rsidR="00941804" w:rsidRPr="0039042E" w14:paraId="4DF218F6" w14:textId="77777777" w:rsidTr="00853EF3">
        <w:tc>
          <w:tcPr>
            <w:tcW w:w="2235" w:type="dxa"/>
          </w:tcPr>
          <w:p w14:paraId="728F51BE" w14:textId="77777777" w:rsidR="00941804" w:rsidRPr="004D2419" w:rsidRDefault="00941804" w:rsidP="00C03483">
            <w:pPr>
              <w:pStyle w:val="BTbEMEASMCA"/>
            </w:pPr>
            <w:r w:rsidRPr="004D2419">
              <w:t>Rumunija</w:t>
            </w:r>
          </w:p>
        </w:tc>
        <w:tc>
          <w:tcPr>
            <w:tcW w:w="7051" w:type="dxa"/>
          </w:tcPr>
          <w:p w14:paraId="7F3FCEEB" w14:textId="77777777" w:rsidR="00941804" w:rsidRPr="004D2419" w:rsidRDefault="00941804" w:rsidP="00C03483">
            <w:pPr>
              <w:pStyle w:val="BTbEMEASMCA"/>
              <w:rPr>
                <w:lang w:val="es-ES"/>
              </w:rPr>
            </w:pPr>
            <w:r w:rsidRPr="004D2419">
              <w:rPr>
                <w:lang w:val="it-IT"/>
              </w:rPr>
              <w:t>Risedronat Teva 35 mg comprimate filmate</w:t>
            </w:r>
          </w:p>
        </w:tc>
      </w:tr>
      <w:tr w:rsidR="00941804" w:rsidRPr="0039042E" w14:paraId="6E41602E" w14:textId="77777777" w:rsidTr="00853EF3">
        <w:tc>
          <w:tcPr>
            <w:tcW w:w="2235" w:type="dxa"/>
          </w:tcPr>
          <w:p w14:paraId="5BB47E7D" w14:textId="77777777" w:rsidR="00941804" w:rsidRPr="004D2419" w:rsidRDefault="00941804" w:rsidP="00C03483">
            <w:pPr>
              <w:pStyle w:val="BTbEMEASMCA"/>
            </w:pPr>
            <w:r w:rsidRPr="004D2419">
              <w:t>Švedija</w:t>
            </w:r>
          </w:p>
        </w:tc>
        <w:tc>
          <w:tcPr>
            <w:tcW w:w="7051" w:type="dxa"/>
          </w:tcPr>
          <w:p w14:paraId="36657B8B" w14:textId="77777777" w:rsidR="00941804" w:rsidRPr="004D2419" w:rsidRDefault="00941804" w:rsidP="00C03483">
            <w:pPr>
              <w:pStyle w:val="BTbEMEASMCA"/>
              <w:rPr>
                <w:lang w:val="it-IT"/>
              </w:rPr>
            </w:pPr>
            <w:r w:rsidRPr="004D2419">
              <w:t>Risedronat Teva 35 mg filmdragerade tabletter</w:t>
            </w:r>
          </w:p>
        </w:tc>
      </w:tr>
      <w:tr w:rsidR="00941804" w:rsidRPr="0039042E" w14:paraId="019525FD" w14:textId="77777777" w:rsidTr="00853EF3">
        <w:tc>
          <w:tcPr>
            <w:tcW w:w="2235" w:type="dxa"/>
          </w:tcPr>
          <w:p w14:paraId="5D13B900" w14:textId="77777777" w:rsidR="00941804" w:rsidRPr="004D2419" w:rsidRDefault="00941804" w:rsidP="00C03483">
            <w:pPr>
              <w:pStyle w:val="BTbEMEASMCA"/>
            </w:pPr>
            <w:r w:rsidRPr="004D2419">
              <w:t>Slovakija</w:t>
            </w:r>
          </w:p>
        </w:tc>
        <w:tc>
          <w:tcPr>
            <w:tcW w:w="7051" w:type="dxa"/>
          </w:tcPr>
          <w:p w14:paraId="58AD0B3E" w14:textId="77777777" w:rsidR="00941804" w:rsidRPr="004D2419" w:rsidRDefault="00941804" w:rsidP="00C03483">
            <w:pPr>
              <w:pStyle w:val="BTbEMEASMCA"/>
              <w:rPr>
                <w:lang w:val="en-GB"/>
              </w:rPr>
            </w:pPr>
            <w:r w:rsidRPr="004D2419">
              <w:t>Risedronat Teva 35 mg filmom obalené tablety</w:t>
            </w:r>
          </w:p>
        </w:tc>
      </w:tr>
      <w:tr w:rsidR="00941804" w:rsidRPr="0039042E" w14:paraId="56CD96FA" w14:textId="77777777" w:rsidTr="00853EF3">
        <w:tc>
          <w:tcPr>
            <w:tcW w:w="2235" w:type="dxa"/>
          </w:tcPr>
          <w:p w14:paraId="51DF13EE" w14:textId="77777777" w:rsidR="00941804" w:rsidRPr="004D2419" w:rsidRDefault="00941804" w:rsidP="00C03483">
            <w:pPr>
              <w:pStyle w:val="BTbEMEASMCA"/>
            </w:pPr>
            <w:r w:rsidRPr="004D2419">
              <w:t>Jungtinė Karalystė</w:t>
            </w:r>
          </w:p>
        </w:tc>
        <w:tc>
          <w:tcPr>
            <w:tcW w:w="7051" w:type="dxa"/>
          </w:tcPr>
          <w:p w14:paraId="760C7411" w14:textId="77777777" w:rsidR="00941804" w:rsidRPr="004D2419" w:rsidRDefault="00941804" w:rsidP="00C03483">
            <w:pPr>
              <w:pStyle w:val="BTbEMEASMCA"/>
              <w:rPr>
                <w:lang w:val="en-GB"/>
              </w:rPr>
            </w:pPr>
            <w:r w:rsidRPr="004D2419">
              <w:t>Risedronate Sodium 35 mg film coated tablets</w:t>
            </w:r>
          </w:p>
        </w:tc>
      </w:tr>
    </w:tbl>
    <w:p w14:paraId="2825D6C1" w14:textId="77777777" w:rsidR="00941804" w:rsidRPr="004D2419" w:rsidRDefault="00941804" w:rsidP="00C03483">
      <w:pPr>
        <w:pStyle w:val="BTbEMEASMCA"/>
      </w:pPr>
    </w:p>
    <w:p w14:paraId="4EAC6D19" w14:textId="77777777" w:rsidR="00941804" w:rsidRPr="004D2419" w:rsidRDefault="00941804" w:rsidP="00C03483">
      <w:pPr>
        <w:pStyle w:val="BTbEMEASMCA"/>
      </w:pPr>
    </w:p>
    <w:p w14:paraId="47E240C2" w14:textId="48251815" w:rsidR="00941804" w:rsidRPr="004D2419" w:rsidRDefault="00941804" w:rsidP="00F429C0">
      <w:pPr>
        <w:pStyle w:val="BTbEMEASMCA"/>
        <w:rPr>
          <w:b/>
        </w:rPr>
      </w:pPr>
      <w:r w:rsidRPr="004D2419">
        <w:rPr>
          <w:b/>
        </w:rPr>
        <w:t>Šis pakuotės lapelis paskutinį kartą peržiūrėtas</w:t>
      </w:r>
      <w:r w:rsidR="009F0C75">
        <w:rPr>
          <w:b/>
        </w:rPr>
        <w:t xml:space="preserve"> 2021-06-10</w:t>
      </w:r>
      <w:r w:rsidR="008621E0">
        <w:rPr>
          <w:b/>
        </w:rPr>
        <w:t xml:space="preserve"> </w:t>
      </w:r>
      <w:r w:rsidR="00C03483">
        <w:rPr>
          <w:b/>
        </w:rPr>
        <w:t>.</w:t>
      </w:r>
    </w:p>
    <w:p w14:paraId="4DDB22CD" w14:textId="77777777" w:rsidR="00E82CE3" w:rsidRPr="004D2419" w:rsidRDefault="00E82CE3" w:rsidP="00C03483">
      <w:pPr>
        <w:pStyle w:val="BTbEMEASMCA"/>
        <w:rPr>
          <w:b/>
        </w:rPr>
      </w:pPr>
    </w:p>
    <w:p w14:paraId="6AD2E185" w14:textId="77777777" w:rsidR="00941804" w:rsidRPr="00C03483" w:rsidRDefault="00941804" w:rsidP="004D2419">
      <w:pPr>
        <w:widowControl w:val="0"/>
        <w:autoSpaceDE w:val="0"/>
        <w:autoSpaceDN w:val="0"/>
        <w:adjustRightInd w:val="0"/>
        <w:rPr>
          <w:sz w:val="22"/>
          <w:highlight w:val="yellow"/>
        </w:rPr>
      </w:pPr>
    </w:p>
    <w:p w14:paraId="37229D5C" w14:textId="77777777" w:rsidR="00941804" w:rsidRDefault="00941804" w:rsidP="00C03483">
      <w:pPr>
        <w:numPr>
          <w:ilvl w:val="12"/>
          <w:numId w:val="0"/>
        </w:numPr>
        <w:tabs>
          <w:tab w:val="left" w:pos="567"/>
        </w:tabs>
        <w:ind w:right="-2"/>
        <w:rPr>
          <w:sz w:val="22"/>
        </w:rPr>
      </w:pPr>
      <w:r w:rsidRPr="00C03483">
        <w:rPr>
          <w:sz w:val="22"/>
        </w:rPr>
        <w:t xml:space="preserve">Išsami informacija apie šį </w:t>
      </w:r>
      <w:r w:rsidRPr="008A1036">
        <w:t>vaistą pateikiama Valstybinės vaistų kontrolės tarnybos prie Lietuvos Respublikos sveikatos apsaugos ministerijos tinklalapyje</w:t>
      </w:r>
      <w:r w:rsidRPr="008A1036">
        <w:rPr>
          <w:i/>
        </w:rPr>
        <w:t xml:space="preserve"> </w:t>
      </w:r>
      <w:hyperlink r:id="rId7" w:history="1">
        <w:r w:rsidRPr="00C03483">
          <w:rPr>
            <w:color w:val="0000FF"/>
            <w:sz w:val="22"/>
            <w:u w:val="single"/>
          </w:rPr>
          <w:t>http://www.vvkt.lt/</w:t>
        </w:r>
      </w:hyperlink>
      <w:r w:rsidRPr="00C03483">
        <w:rPr>
          <w:sz w:val="22"/>
        </w:rPr>
        <w:t>.</w:t>
      </w:r>
    </w:p>
    <w:p w14:paraId="45FB9795" w14:textId="77777777" w:rsidR="00B20142" w:rsidRDefault="00B20142" w:rsidP="00C03483">
      <w:pPr>
        <w:numPr>
          <w:ilvl w:val="12"/>
          <w:numId w:val="0"/>
        </w:numPr>
        <w:tabs>
          <w:tab w:val="left" w:pos="567"/>
        </w:tabs>
        <w:ind w:right="-2"/>
        <w:rPr>
          <w:sz w:val="22"/>
        </w:rPr>
      </w:pPr>
      <w:bookmarkStart w:id="82" w:name="_GoBack"/>
      <w:bookmarkEnd w:id="82"/>
    </w:p>
    <w:p w14:paraId="5FF2FBB4" w14:textId="77777777" w:rsidR="001E06F7" w:rsidRDefault="001E06F7" w:rsidP="00C03483">
      <w:pPr>
        <w:numPr>
          <w:ilvl w:val="12"/>
          <w:numId w:val="0"/>
        </w:numPr>
        <w:tabs>
          <w:tab w:val="left" w:pos="567"/>
        </w:tabs>
        <w:ind w:right="-2"/>
        <w:rPr>
          <w:sz w:val="22"/>
        </w:rPr>
      </w:pPr>
    </w:p>
    <w:sectPr w:rsidR="001E06F7" w:rsidSect="00691557">
      <w:headerReference w:type="default" r:id="rId8"/>
      <w:footerReference w:type="even" r:id="rId9"/>
      <w:footerReference w:type="default" r:id="rId1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4F914" w14:textId="77777777" w:rsidR="00792086" w:rsidRDefault="00792086" w:rsidP="004D2419">
      <w:r>
        <w:separator/>
      </w:r>
    </w:p>
  </w:endnote>
  <w:endnote w:type="continuationSeparator" w:id="0">
    <w:p w14:paraId="65B8CBCB" w14:textId="77777777" w:rsidR="00792086" w:rsidRDefault="00792086" w:rsidP="004D2419">
      <w:r>
        <w:continuationSeparator/>
      </w:r>
    </w:p>
  </w:endnote>
  <w:endnote w:type="continuationNotice" w:id="1">
    <w:p w14:paraId="281DF402" w14:textId="77777777" w:rsidR="00792086" w:rsidRDefault="00792086" w:rsidP="004D2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2B48E" w14:textId="77777777" w:rsidR="00691557" w:rsidRDefault="0069155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042580DC" w14:textId="77777777" w:rsidR="00691557" w:rsidRDefault="0069155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78D20" w14:textId="4E999A5D" w:rsidR="00691557" w:rsidRDefault="0069155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00415">
      <w:rPr>
        <w:rStyle w:val="Puslapionumeris"/>
        <w:noProof/>
      </w:rPr>
      <w:t>26</w:t>
    </w:r>
    <w:r>
      <w:rPr>
        <w:rStyle w:val="Puslapionumeris"/>
      </w:rPr>
      <w:fldChar w:fldCharType="end"/>
    </w:r>
  </w:p>
  <w:p w14:paraId="06CDE25D" w14:textId="77777777" w:rsidR="00691557" w:rsidRDefault="0069155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E15AF" w14:textId="77777777" w:rsidR="00792086" w:rsidRDefault="00792086" w:rsidP="004D2419">
      <w:r>
        <w:separator/>
      </w:r>
    </w:p>
  </w:footnote>
  <w:footnote w:type="continuationSeparator" w:id="0">
    <w:p w14:paraId="52EAC897" w14:textId="77777777" w:rsidR="00792086" w:rsidRDefault="00792086" w:rsidP="004D2419">
      <w:r>
        <w:continuationSeparator/>
      </w:r>
    </w:p>
  </w:footnote>
  <w:footnote w:type="continuationNotice" w:id="1">
    <w:p w14:paraId="6325D856" w14:textId="77777777" w:rsidR="00792086" w:rsidRDefault="00792086" w:rsidP="004D24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F1AA9" w14:textId="77777777" w:rsidR="008A6908" w:rsidRPr="00853EF3" w:rsidRDefault="008A6908" w:rsidP="00853EF3">
    <w:pPr>
      <w:pStyle w:val="Antrats"/>
      <w:jc w:val="right"/>
      <w:rPr>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46298"/>
    <w:multiLevelType w:val="hybridMultilevel"/>
    <w:tmpl w:val="4EFEEE48"/>
    <w:lvl w:ilvl="0" w:tplc="9CA27F4C">
      <w:start w:val="1"/>
      <w:numFmt w:val="bullet"/>
      <w:pStyle w:val="BT-EMEASMCA"/>
      <w:lvlText w:val=""/>
      <w:lvlJc w:val="left"/>
      <w:pPr>
        <w:tabs>
          <w:tab w:val="num" w:pos="567"/>
        </w:tabs>
        <w:ind w:left="567" w:hanging="567"/>
      </w:pPr>
      <w:rPr>
        <w:rFonts w:ascii="Symbol" w:eastAsia="Times New Roman"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6A0985"/>
    <w:multiLevelType w:val="hybridMultilevel"/>
    <w:tmpl w:val="E342E280"/>
    <w:lvl w:ilvl="0" w:tplc="9FEEE9EC">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BA2EE0"/>
    <w:multiLevelType w:val="hybridMultilevel"/>
    <w:tmpl w:val="042EDC76"/>
    <w:lvl w:ilvl="0" w:tplc="9FEEE9EC">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135C40"/>
    <w:multiLevelType w:val="hybridMultilevel"/>
    <w:tmpl w:val="7C1EFBF0"/>
    <w:lvl w:ilvl="0" w:tplc="9FEEE9EC">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5B7458"/>
    <w:multiLevelType w:val="hybridMultilevel"/>
    <w:tmpl w:val="3384C548"/>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0556F820"/>
    <w:lvl w:ilvl="0" w:tplc="88849CE4">
      <w:start w:val="1"/>
      <w:numFmt w:val="bullet"/>
      <w:lvlRestart w:val="0"/>
      <w:pStyle w:val="PI-3EMEASMCA"/>
      <w:lvlText w:val="-"/>
      <w:lvlJc w:val="left"/>
      <w:pPr>
        <w:tabs>
          <w:tab w:val="num" w:pos="720"/>
        </w:tabs>
        <w:ind w:left="720" w:hanging="363"/>
      </w:pPr>
      <w:rPr>
        <w:rFonts w:ascii="Times New Roman" w:hAnsi="Times New Roman" w:hint="default"/>
      </w:rPr>
    </w:lvl>
    <w:lvl w:ilvl="1" w:tplc="614E6F5A">
      <w:start w:val="1"/>
      <w:numFmt w:val="bullet"/>
      <w:lvlText w:val="-"/>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CC2EBD"/>
    <w:multiLevelType w:val="hybridMultilevel"/>
    <w:tmpl w:val="8BCE039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E3F2A"/>
    <w:multiLevelType w:val="hybridMultilevel"/>
    <w:tmpl w:val="FA3435D0"/>
    <w:lvl w:ilvl="0" w:tplc="9FEEE9EC">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E20C61"/>
    <w:multiLevelType w:val="hybridMultilevel"/>
    <w:tmpl w:val="35705F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533C5"/>
    <w:multiLevelType w:val="singleLevel"/>
    <w:tmpl w:val="74A41D9A"/>
    <w:lvl w:ilvl="0">
      <w:start w:val="2"/>
      <w:numFmt w:val="bullet"/>
      <w:lvlText w:val="-"/>
      <w:lvlJc w:val="left"/>
      <w:pPr>
        <w:tabs>
          <w:tab w:val="num" w:pos="720"/>
        </w:tabs>
        <w:ind w:left="720" w:hanging="720"/>
      </w:pPr>
      <w:rPr>
        <w:rFonts w:hint="default"/>
      </w:rPr>
    </w:lvl>
  </w:abstractNum>
  <w:abstractNum w:abstractNumId="10" w15:restartNumberingAfterBreak="0">
    <w:nsid w:val="40611900"/>
    <w:multiLevelType w:val="singleLevel"/>
    <w:tmpl w:val="9A18245E"/>
    <w:lvl w:ilvl="0">
      <w:start w:val="1"/>
      <w:numFmt w:val="bullet"/>
      <w:lvlText w:val="–"/>
      <w:lvlJc w:val="left"/>
      <w:pPr>
        <w:tabs>
          <w:tab w:val="num" w:pos="357"/>
        </w:tabs>
        <w:ind w:left="357" w:hanging="357"/>
      </w:pPr>
      <w:rPr>
        <w:rFonts w:ascii="Times New Roman" w:hAnsi="Times New Roman" w:hint="default"/>
      </w:rPr>
    </w:lvl>
  </w:abstractNum>
  <w:abstractNum w:abstractNumId="11" w15:restartNumberingAfterBreak="0">
    <w:nsid w:val="44C32E1B"/>
    <w:multiLevelType w:val="hybridMultilevel"/>
    <w:tmpl w:val="EAFE9292"/>
    <w:lvl w:ilvl="0" w:tplc="9FEEE9EC">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D418E"/>
    <w:multiLevelType w:val="hybridMultilevel"/>
    <w:tmpl w:val="6880693A"/>
    <w:lvl w:ilvl="0" w:tplc="416E6F9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01603A"/>
    <w:multiLevelType w:val="hybridMultilevel"/>
    <w:tmpl w:val="CE4A6EC8"/>
    <w:lvl w:ilvl="0" w:tplc="A99E937C">
      <w:start w:val="4"/>
      <w:numFmt w:val="bullet"/>
      <w:lvlText w:val="-"/>
      <w:lvlJc w:val="left"/>
      <w:pPr>
        <w:ind w:left="720" w:hanging="360"/>
      </w:pPr>
      <w:rPr>
        <w:rFonts w:ascii="Times New Roman" w:eastAsia="Times New Roman" w:hAnsi="Times New Roman" w:cs="Times New Roman" w:hint="default"/>
        <w:i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84D2182"/>
    <w:multiLevelType w:val="hybridMultilevel"/>
    <w:tmpl w:val="F820AD64"/>
    <w:lvl w:ilvl="0" w:tplc="9FEEE9EC">
      <w:start w:val="1"/>
      <w:numFmt w:val="bullet"/>
      <w:lvlText w:val=""/>
      <w:lvlJc w:val="left"/>
      <w:pPr>
        <w:tabs>
          <w:tab w:val="num" w:pos="567"/>
        </w:tabs>
        <w:ind w:left="567" w:hanging="567"/>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F33625"/>
    <w:multiLevelType w:val="hybridMultilevel"/>
    <w:tmpl w:val="EED4D524"/>
    <w:lvl w:ilvl="0" w:tplc="9FEEE9EC">
      <w:start w:val="1"/>
      <w:numFmt w:val="bullet"/>
      <w:lvlText w:val=""/>
      <w:lvlJc w:val="left"/>
      <w:pPr>
        <w:tabs>
          <w:tab w:val="num" w:pos="567"/>
        </w:tabs>
        <w:ind w:left="567" w:hanging="567"/>
      </w:pPr>
      <w:rPr>
        <w:rFonts w:ascii="Symbol" w:hAnsi="Symbol" w:hint="default"/>
        <w:sz w:val="16"/>
      </w:rPr>
    </w:lvl>
    <w:lvl w:ilvl="1" w:tplc="04270001">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4E52F0"/>
    <w:multiLevelType w:val="hybridMultilevel"/>
    <w:tmpl w:val="9D9C1360"/>
    <w:lvl w:ilvl="0" w:tplc="5BDA37D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41C260D"/>
    <w:multiLevelType w:val="hybridMultilevel"/>
    <w:tmpl w:val="FDE8504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36BAC"/>
    <w:multiLevelType w:val="singleLevel"/>
    <w:tmpl w:val="1E4EEC12"/>
    <w:lvl w:ilvl="0">
      <w:start w:val="1"/>
      <w:numFmt w:val="bullet"/>
      <w:lvlText w:val=""/>
      <w:lvlJc w:val="left"/>
      <w:pPr>
        <w:tabs>
          <w:tab w:val="num" w:pos="357"/>
        </w:tabs>
        <w:ind w:left="357" w:hanging="357"/>
      </w:pPr>
      <w:rPr>
        <w:rFonts w:ascii="Symbol" w:hAnsi="Symbol" w:hint="default"/>
      </w:rPr>
    </w:lvl>
  </w:abstractNum>
  <w:num w:numId="1">
    <w:abstractNumId w:val="18"/>
  </w:num>
  <w:num w:numId="2">
    <w:abstractNumId w:val="10"/>
  </w:num>
  <w:num w:numId="3">
    <w:abstractNumId w:val="5"/>
  </w:num>
  <w:num w:numId="4">
    <w:abstractNumId w:val="4"/>
  </w:num>
  <w:num w:numId="5">
    <w:abstractNumId w:val="12"/>
  </w:num>
  <w:num w:numId="6">
    <w:abstractNumId w:val="0"/>
  </w:num>
  <w:num w:numId="7">
    <w:abstractNumId w:val="14"/>
  </w:num>
  <w:num w:numId="8">
    <w:abstractNumId w:val="11"/>
  </w:num>
  <w:num w:numId="9">
    <w:abstractNumId w:val="7"/>
  </w:num>
  <w:num w:numId="10">
    <w:abstractNumId w:val="15"/>
  </w:num>
  <w:num w:numId="11">
    <w:abstractNumId w:val="2"/>
  </w:num>
  <w:num w:numId="12">
    <w:abstractNumId w:val="3"/>
  </w:num>
  <w:num w:numId="13">
    <w:abstractNumId w:val="1"/>
  </w:num>
  <w:num w:numId="14">
    <w:abstractNumId w:val="8"/>
  </w:num>
  <w:num w:numId="15">
    <w:abstractNumId w:val="9"/>
  </w:num>
  <w:num w:numId="16">
    <w:abstractNumId w:val="6"/>
  </w:num>
  <w:num w:numId="17">
    <w:abstractNumId w:val="17"/>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DA"/>
    <w:rsid w:val="00000415"/>
    <w:rsid w:val="00066982"/>
    <w:rsid w:val="00071B8E"/>
    <w:rsid w:val="00096C34"/>
    <w:rsid w:val="000C3D2B"/>
    <w:rsid w:val="000D06FD"/>
    <w:rsid w:val="00100D21"/>
    <w:rsid w:val="001350FF"/>
    <w:rsid w:val="00187875"/>
    <w:rsid w:val="001B7BCB"/>
    <w:rsid w:val="001E06F7"/>
    <w:rsid w:val="002116A0"/>
    <w:rsid w:val="00220FDA"/>
    <w:rsid w:val="00231D94"/>
    <w:rsid w:val="00375EA7"/>
    <w:rsid w:val="003B220C"/>
    <w:rsid w:val="003F10A7"/>
    <w:rsid w:val="003F1167"/>
    <w:rsid w:val="00435460"/>
    <w:rsid w:val="00440C78"/>
    <w:rsid w:val="004A1517"/>
    <w:rsid w:val="004C7A9F"/>
    <w:rsid w:val="004D2419"/>
    <w:rsid w:val="004E268B"/>
    <w:rsid w:val="004E6899"/>
    <w:rsid w:val="00523057"/>
    <w:rsid w:val="005546FA"/>
    <w:rsid w:val="005C517F"/>
    <w:rsid w:val="005F3AEF"/>
    <w:rsid w:val="005F436B"/>
    <w:rsid w:val="00601A8C"/>
    <w:rsid w:val="00691557"/>
    <w:rsid w:val="00723757"/>
    <w:rsid w:val="00725AB4"/>
    <w:rsid w:val="00792086"/>
    <w:rsid w:val="00796084"/>
    <w:rsid w:val="007B0580"/>
    <w:rsid w:val="007B7213"/>
    <w:rsid w:val="007D23F6"/>
    <w:rsid w:val="00834287"/>
    <w:rsid w:val="00853EF3"/>
    <w:rsid w:val="008621E0"/>
    <w:rsid w:val="008A0760"/>
    <w:rsid w:val="008A6908"/>
    <w:rsid w:val="008C5811"/>
    <w:rsid w:val="008D44A0"/>
    <w:rsid w:val="00941804"/>
    <w:rsid w:val="009B5EE5"/>
    <w:rsid w:val="009D3B64"/>
    <w:rsid w:val="009F0C75"/>
    <w:rsid w:val="00A8425E"/>
    <w:rsid w:val="00AD281C"/>
    <w:rsid w:val="00AD4762"/>
    <w:rsid w:val="00AF17E3"/>
    <w:rsid w:val="00AF55FA"/>
    <w:rsid w:val="00B20142"/>
    <w:rsid w:val="00B25382"/>
    <w:rsid w:val="00B53248"/>
    <w:rsid w:val="00B87A28"/>
    <w:rsid w:val="00BD6779"/>
    <w:rsid w:val="00C03483"/>
    <w:rsid w:val="00C1541C"/>
    <w:rsid w:val="00C41B4E"/>
    <w:rsid w:val="00C572D3"/>
    <w:rsid w:val="00C7040B"/>
    <w:rsid w:val="00C97FEC"/>
    <w:rsid w:val="00CC3004"/>
    <w:rsid w:val="00CF4901"/>
    <w:rsid w:val="00DB3883"/>
    <w:rsid w:val="00DD6CFB"/>
    <w:rsid w:val="00E82CE3"/>
    <w:rsid w:val="00EA0EE4"/>
    <w:rsid w:val="00EC666E"/>
    <w:rsid w:val="00ED1EC4"/>
    <w:rsid w:val="00F034DA"/>
    <w:rsid w:val="00F429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B62E6-A516-43CE-92F6-B1C9C0DF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2419"/>
    <w:rPr>
      <w:rFonts w:ascii="Times New Roman" w:hAnsi="Times New Roman"/>
      <w:sz w:val="24"/>
      <w:szCs w:val="24"/>
      <w:lang w:eastAsia="en-US"/>
    </w:rPr>
  </w:style>
  <w:style w:type="paragraph" w:styleId="Antrat1">
    <w:name w:val="heading 1"/>
    <w:basedOn w:val="prastasis"/>
    <w:next w:val="prastasis"/>
    <w:link w:val="Antrat1Diagrama"/>
    <w:uiPriority w:val="99"/>
    <w:qFormat/>
    <w:rsid w:val="004D2419"/>
    <w:pPr>
      <w:keepNext/>
      <w:keepLines/>
      <w:spacing w:before="48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uiPriority w:val="99"/>
    <w:qFormat/>
    <w:rsid w:val="004D241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D2419"/>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41804"/>
    <w:rPr>
      <w:rFonts w:ascii="Cambria" w:eastAsia="Times New Roman" w:hAnsi="Cambria" w:cs="Times New Roman"/>
      <w:b/>
      <w:bCs/>
      <w:color w:val="365F91"/>
      <w:sz w:val="28"/>
      <w:szCs w:val="28"/>
    </w:rPr>
  </w:style>
  <w:style w:type="character" w:customStyle="1" w:styleId="Antrat2Diagrama">
    <w:name w:val="Antraštė 2 Diagrama"/>
    <w:link w:val="Antrat2"/>
    <w:uiPriority w:val="99"/>
    <w:rsid w:val="00941804"/>
    <w:rPr>
      <w:rFonts w:ascii="Arial" w:eastAsia="Calibri" w:hAnsi="Arial" w:cs="Arial"/>
      <w:b/>
      <w:bCs/>
      <w:i/>
      <w:iCs/>
      <w:sz w:val="28"/>
      <w:szCs w:val="28"/>
    </w:rPr>
  </w:style>
  <w:style w:type="character" w:customStyle="1" w:styleId="Antrat3Diagrama">
    <w:name w:val="Antraštė 3 Diagrama"/>
    <w:link w:val="Antrat3"/>
    <w:uiPriority w:val="99"/>
    <w:rsid w:val="00941804"/>
    <w:rPr>
      <w:rFonts w:ascii="Arial" w:eastAsia="Calibri" w:hAnsi="Arial" w:cs="Arial"/>
      <w:b/>
      <w:bCs/>
      <w:sz w:val="26"/>
      <w:szCs w:val="26"/>
    </w:rPr>
  </w:style>
  <w:style w:type="character" w:styleId="Hipersaitas">
    <w:name w:val="Hyperlink"/>
    <w:uiPriority w:val="99"/>
    <w:rsid w:val="00941804"/>
    <w:rPr>
      <w:rFonts w:cs="Times New Roman"/>
      <w:color w:val="0000FF"/>
      <w:u w:val="single"/>
    </w:rPr>
  </w:style>
  <w:style w:type="paragraph" w:customStyle="1" w:styleId="PI-1EMEASMCA">
    <w:name w:val="PI-1 EMEA_SMCA"/>
    <w:basedOn w:val="Antrat2"/>
    <w:autoRedefine/>
    <w:uiPriority w:val="99"/>
    <w:rsid w:val="00941804"/>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uiPriority w:val="99"/>
    <w:rsid w:val="004D2419"/>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szCs w:val="20"/>
      <w:lang w:eastAsia="lt-LT"/>
    </w:rPr>
  </w:style>
  <w:style w:type="character" w:customStyle="1" w:styleId="PI-1labEMEASMCAChar">
    <w:name w:val="PI-1_lab EMEA_SMCA Char"/>
    <w:link w:val="PI-1labEMEASMCA"/>
    <w:uiPriority w:val="99"/>
    <w:locked/>
    <w:rsid w:val="00941804"/>
    <w:rPr>
      <w:rFonts w:ascii="Times New Roman" w:eastAsia="Times New Roman" w:hAnsi="Times New Roman" w:cs="Times New Roman"/>
      <w:b/>
      <w:noProof/>
      <w:sz w:val="20"/>
      <w:szCs w:val="20"/>
      <w:lang w:eastAsia="lt-LT"/>
    </w:rPr>
  </w:style>
  <w:style w:type="paragraph" w:customStyle="1" w:styleId="PI-2EMEASMCA">
    <w:name w:val="PI-2 EMEA_SMCA"/>
    <w:basedOn w:val="Antrat3"/>
    <w:autoRedefine/>
    <w:uiPriority w:val="99"/>
    <w:rsid w:val="00941804"/>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uiPriority w:val="99"/>
    <w:rsid w:val="004D2419"/>
    <w:rPr>
      <w:rFonts w:eastAsia="Times New Roman"/>
      <w:noProof/>
      <w:sz w:val="22"/>
      <w:szCs w:val="22"/>
      <w:lang w:eastAsia="lt-LT"/>
    </w:rPr>
  </w:style>
  <w:style w:type="character" w:customStyle="1" w:styleId="BTEMEASMCAChar">
    <w:name w:val="BT EMEA_SMCA Char"/>
    <w:link w:val="BTEMEASMCA"/>
    <w:uiPriority w:val="99"/>
    <w:locked/>
    <w:rsid w:val="00941804"/>
    <w:rPr>
      <w:rFonts w:ascii="Times New Roman" w:eastAsia="Times New Roman" w:hAnsi="Times New Roman" w:cs="Times New Roman"/>
      <w:noProof/>
      <w:lang w:eastAsia="lt-LT"/>
    </w:rPr>
  </w:style>
  <w:style w:type="paragraph" w:customStyle="1" w:styleId="TTEMEASMCA">
    <w:name w:val="TT EMEA_SMCA"/>
    <w:basedOn w:val="Antrat1"/>
    <w:link w:val="TTEMEASMCAChar"/>
    <w:autoRedefine/>
    <w:uiPriority w:val="99"/>
    <w:rsid w:val="00941804"/>
    <w:pPr>
      <w:keepNext w:val="0"/>
      <w:keepLines w:val="0"/>
      <w:tabs>
        <w:tab w:val="left" w:pos="567"/>
      </w:tabs>
      <w:spacing w:before="0"/>
      <w:ind w:left="567" w:hanging="567"/>
      <w:jc w:val="center"/>
    </w:pPr>
    <w:rPr>
      <w:rFonts w:ascii="Times New Roman" w:hAnsi="Times New Roman"/>
      <w:bCs w:val="0"/>
      <w:caps/>
      <w:noProof/>
      <w:color w:val="auto"/>
      <w:sz w:val="20"/>
      <w:szCs w:val="20"/>
      <w:lang w:eastAsia="lt-LT"/>
    </w:rPr>
  </w:style>
  <w:style w:type="character" w:customStyle="1" w:styleId="TTEMEASMCAChar">
    <w:name w:val="TT EMEA_SMCA Char"/>
    <w:link w:val="TTEMEASMCA"/>
    <w:uiPriority w:val="99"/>
    <w:locked/>
    <w:rsid w:val="00941804"/>
    <w:rPr>
      <w:rFonts w:ascii="Times New Roman" w:eastAsia="Times New Roman" w:hAnsi="Times New Roman" w:cs="Times New Roman"/>
      <w:b/>
      <w:caps/>
      <w:noProof/>
      <w:sz w:val="20"/>
      <w:szCs w:val="20"/>
      <w:lang w:eastAsia="lt-LT"/>
    </w:rPr>
  </w:style>
  <w:style w:type="paragraph" w:customStyle="1" w:styleId="BTAnIIEMEASMCA">
    <w:name w:val="BT(AnII) EMEA_SMCA"/>
    <w:basedOn w:val="Debesliotekstas"/>
    <w:autoRedefine/>
    <w:uiPriority w:val="99"/>
    <w:rsid w:val="00941804"/>
    <w:pPr>
      <w:ind w:left="709"/>
    </w:pPr>
  </w:style>
  <w:style w:type="paragraph" w:styleId="Pagrindinistekstas">
    <w:name w:val="Body Text"/>
    <w:basedOn w:val="prastasis"/>
    <w:link w:val="PagrindinistekstasDiagrama"/>
    <w:uiPriority w:val="99"/>
    <w:rsid w:val="004D2419"/>
    <w:pPr>
      <w:spacing w:after="120"/>
    </w:pPr>
    <w:rPr>
      <w:sz w:val="22"/>
      <w:szCs w:val="20"/>
    </w:rPr>
  </w:style>
  <w:style w:type="character" w:customStyle="1" w:styleId="PagrindinistekstasDiagrama">
    <w:name w:val="Pagrindinis tekstas Diagrama"/>
    <w:link w:val="Pagrindinistekstas"/>
    <w:uiPriority w:val="99"/>
    <w:rsid w:val="00941804"/>
    <w:rPr>
      <w:rFonts w:ascii="Times New Roman" w:eastAsia="Calibri" w:hAnsi="Times New Roman" w:cs="Times New Roman"/>
      <w:szCs w:val="20"/>
    </w:rPr>
  </w:style>
  <w:style w:type="paragraph" w:customStyle="1" w:styleId="BTbEMEASMCA">
    <w:name w:val="BT(b) EMEA_SMCA"/>
    <w:basedOn w:val="BTEMEASMCA"/>
    <w:autoRedefine/>
    <w:uiPriority w:val="99"/>
    <w:rsid w:val="00941804"/>
    <w:rPr>
      <w:rFonts w:eastAsia="Calibri"/>
      <w:lang w:eastAsia="en-US"/>
    </w:rPr>
  </w:style>
  <w:style w:type="paragraph" w:customStyle="1" w:styleId="BT-EMEASMCA">
    <w:name w:val="BT- EMEA_SMCA"/>
    <w:basedOn w:val="BTEMEASMCA"/>
    <w:autoRedefine/>
    <w:uiPriority w:val="99"/>
    <w:rsid w:val="00941804"/>
    <w:pPr>
      <w:numPr>
        <w:numId w:val="6"/>
      </w:numPr>
      <w:tabs>
        <w:tab w:val="num" w:pos="540"/>
      </w:tabs>
      <w:ind w:left="540" w:hanging="540"/>
    </w:pPr>
    <w:rPr>
      <w:rFonts w:eastAsia="Calibri"/>
      <w:noProof w:val="0"/>
      <w:lang w:eastAsia="en-US"/>
    </w:rPr>
  </w:style>
  <w:style w:type="paragraph" w:customStyle="1" w:styleId="PI-3EMEASMCA">
    <w:name w:val="PI-3 EMEA_SMCA"/>
    <w:basedOn w:val="prastasis"/>
    <w:autoRedefine/>
    <w:uiPriority w:val="99"/>
    <w:rsid w:val="004D2419"/>
    <w:pPr>
      <w:numPr>
        <w:numId w:val="3"/>
      </w:numPr>
      <w:spacing w:line="220" w:lineRule="exact"/>
      <w:ind w:left="0" w:firstLine="0"/>
    </w:pPr>
    <w:rPr>
      <w:b/>
      <w:bCs/>
      <w:sz w:val="22"/>
      <w:szCs w:val="22"/>
    </w:rPr>
  </w:style>
  <w:style w:type="paragraph" w:styleId="Porat">
    <w:name w:val="footer"/>
    <w:basedOn w:val="prastasis"/>
    <w:link w:val="PoratDiagrama"/>
    <w:uiPriority w:val="99"/>
    <w:rsid w:val="004D2419"/>
    <w:pPr>
      <w:tabs>
        <w:tab w:val="center" w:pos="4819"/>
        <w:tab w:val="right" w:pos="9638"/>
      </w:tabs>
    </w:pPr>
  </w:style>
  <w:style w:type="character" w:customStyle="1" w:styleId="PoratDiagrama">
    <w:name w:val="Poraštė Diagrama"/>
    <w:link w:val="Porat"/>
    <w:uiPriority w:val="99"/>
    <w:rsid w:val="00941804"/>
    <w:rPr>
      <w:rFonts w:ascii="Times New Roman" w:eastAsia="Calibri" w:hAnsi="Times New Roman" w:cs="Times New Roman"/>
      <w:sz w:val="24"/>
      <w:szCs w:val="24"/>
    </w:rPr>
  </w:style>
  <w:style w:type="character" w:styleId="Puslapionumeris">
    <w:name w:val="page number"/>
    <w:uiPriority w:val="99"/>
    <w:rsid w:val="00941804"/>
    <w:rPr>
      <w:rFonts w:cs="Times New Roman"/>
    </w:rPr>
  </w:style>
  <w:style w:type="paragraph" w:styleId="Antrats">
    <w:name w:val="header"/>
    <w:basedOn w:val="prastasis"/>
    <w:link w:val="AntratsDiagrama"/>
    <w:uiPriority w:val="99"/>
    <w:rsid w:val="004D2419"/>
    <w:pPr>
      <w:tabs>
        <w:tab w:val="center" w:pos="4819"/>
        <w:tab w:val="right" w:pos="9638"/>
      </w:tabs>
    </w:pPr>
  </w:style>
  <w:style w:type="character" w:customStyle="1" w:styleId="AntratsDiagrama">
    <w:name w:val="Antraštės Diagrama"/>
    <w:link w:val="Antrats"/>
    <w:uiPriority w:val="99"/>
    <w:rsid w:val="00941804"/>
    <w:rPr>
      <w:rFonts w:ascii="Times New Roman" w:eastAsia="Calibri" w:hAnsi="Times New Roman" w:cs="Times New Roman"/>
      <w:sz w:val="24"/>
      <w:szCs w:val="24"/>
    </w:rPr>
  </w:style>
  <w:style w:type="paragraph" w:customStyle="1" w:styleId="Default">
    <w:name w:val="Default"/>
    <w:uiPriority w:val="99"/>
    <w:rsid w:val="00941804"/>
    <w:pPr>
      <w:autoSpaceDE w:val="0"/>
      <w:autoSpaceDN w:val="0"/>
      <w:adjustRightInd w:val="0"/>
    </w:pPr>
    <w:rPr>
      <w:rFonts w:ascii="Times New Roman" w:hAnsi="Times New Roman"/>
      <w:color w:val="000000"/>
      <w:sz w:val="24"/>
      <w:szCs w:val="24"/>
    </w:rPr>
  </w:style>
  <w:style w:type="paragraph" w:styleId="Debesliotekstas">
    <w:name w:val="Balloon Text"/>
    <w:basedOn w:val="prastasis"/>
    <w:link w:val="DebesliotekstasDiagrama"/>
    <w:uiPriority w:val="99"/>
    <w:semiHidden/>
    <w:rsid w:val="004D2419"/>
    <w:rPr>
      <w:rFonts w:ascii="Tahoma" w:hAnsi="Tahoma" w:cs="Tahoma"/>
      <w:sz w:val="16"/>
      <w:szCs w:val="16"/>
    </w:rPr>
  </w:style>
  <w:style w:type="character" w:customStyle="1" w:styleId="DebesliotekstasDiagrama">
    <w:name w:val="Debesėlio tekstas Diagrama"/>
    <w:link w:val="Debesliotekstas"/>
    <w:uiPriority w:val="99"/>
    <w:semiHidden/>
    <w:rsid w:val="00941804"/>
    <w:rPr>
      <w:rFonts w:ascii="Tahoma" w:eastAsia="Calibri" w:hAnsi="Tahoma" w:cs="Tahoma"/>
      <w:sz w:val="16"/>
      <w:szCs w:val="16"/>
    </w:rPr>
  </w:style>
  <w:style w:type="paragraph" w:styleId="Paprastasistekstas">
    <w:name w:val="Plain Text"/>
    <w:basedOn w:val="prastasis"/>
    <w:link w:val="PaprastasistekstasDiagrama"/>
    <w:uiPriority w:val="99"/>
    <w:rsid w:val="004D2419"/>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941804"/>
    <w:rPr>
      <w:rFonts w:ascii="Courier New" w:eastAsia="SimSun" w:hAnsi="Courier New" w:cs="Times New Roman"/>
      <w:sz w:val="20"/>
      <w:szCs w:val="20"/>
      <w:lang w:val="en-US"/>
    </w:rPr>
  </w:style>
  <w:style w:type="paragraph" w:styleId="Sraopastraipa">
    <w:name w:val="List Paragraph"/>
    <w:basedOn w:val="prastasis"/>
    <w:uiPriority w:val="99"/>
    <w:qFormat/>
    <w:rsid w:val="004D2419"/>
    <w:pPr>
      <w:ind w:left="720"/>
      <w:contextualSpacing/>
    </w:pPr>
  </w:style>
  <w:style w:type="table" w:styleId="Lentelstinklelis">
    <w:name w:val="Table Grid"/>
    <w:basedOn w:val="prastojilentel"/>
    <w:uiPriority w:val="99"/>
    <w:rsid w:val="00941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941804"/>
    <w:rPr>
      <w:rFonts w:cs="Times New Roman"/>
      <w:sz w:val="16"/>
      <w:szCs w:val="16"/>
    </w:rPr>
  </w:style>
  <w:style w:type="paragraph" w:styleId="Komentarotekstas">
    <w:name w:val="annotation text"/>
    <w:basedOn w:val="prastasis"/>
    <w:link w:val="KomentarotekstasDiagrama"/>
    <w:uiPriority w:val="99"/>
    <w:semiHidden/>
    <w:rsid w:val="004D2419"/>
    <w:rPr>
      <w:sz w:val="20"/>
      <w:szCs w:val="20"/>
    </w:rPr>
  </w:style>
  <w:style w:type="character" w:customStyle="1" w:styleId="KomentarotekstasDiagrama">
    <w:name w:val="Komentaro tekstas Diagrama"/>
    <w:link w:val="Komentarotekstas"/>
    <w:uiPriority w:val="99"/>
    <w:semiHidden/>
    <w:rsid w:val="00941804"/>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941804"/>
    <w:rPr>
      <w:b/>
      <w:bCs/>
    </w:rPr>
  </w:style>
  <w:style w:type="character" w:customStyle="1" w:styleId="KomentarotemaDiagrama">
    <w:name w:val="Komentaro tema Diagrama"/>
    <w:link w:val="Komentarotema"/>
    <w:uiPriority w:val="99"/>
    <w:semiHidden/>
    <w:rsid w:val="00941804"/>
    <w:rPr>
      <w:rFonts w:ascii="Times New Roman" w:eastAsia="Calibri" w:hAnsi="Times New Roman" w:cs="Times New Roman"/>
      <w:b/>
      <w:bCs/>
      <w:sz w:val="20"/>
      <w:szCs w:val="20"/>
    </w:rPr>
  </w:style>
  <w:style w:type="paragraph" w:customStyle="1" w:styleId="Sraopastraipa1">
    <w:name w:val="Sąrašo pastraipa1"/>
    <w:basedOn w:val="prastasis"/>
    <w:uiPriority w:val="99"/>
    <w:qFormat/>
    <w:rsid w:val="004D2419"/>
    <w:pPr>
      <w:ind w:left="720"/>
      <w:contextualSpacing/>
    </w:pPr>
  </w:style>
  <w:style w:type="numbering" w:customStyle="1" w:styleId="Sraonra1">
    <w:name w:val="Sąrašo nėra1"/>
    <w:next w:val="Sraonra"/>
    <w:uiPriority w:val="99"/>
    <w:semiHidden/>
    <w:unhideWhenUsed/>
    <w:rsid w:val="004D2419"/>
  </w:style>
  <w:style w:type="paragraph" w:styleId="Pataisymai">
    <w:name w:val="Revision"/>
    <w:hidden/>
    <w:uiPriority w:val="99"/>
    <w:semiHidden/>
    <w:rsid w:val="004D2419"/>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31059</Words>
  <Characters>17704</Characters>
  <Application>Microsoft Office Word</Application>
  <DocSecurity>4</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48666</CharactersWithSpaces>
  <SharedDoc>false</SharedDoc>
  <HLinks>
    <vt:vector size="6" baseType="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2</cp:revision>
  <dcterms:created xsi:type="dcterms:W3CDTF">2021-08-23T08:37:00Z</dcterms:created>
  <dcterms:modified xsi:type="dcterms:W3CDTF">2021-08-23T08:37:00Z</dcterms:modified>
</cp:coreProperties>
</file>