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1A" w:rsidRPr="002E4D40" w:rsidRDefault="00C81C1A" w:rsidP="00C81C1A">
      <w:pPr>
        <w:tabs>
          <w:tab w:val="left" w:pos="567"/>
        </w:tabs>
        <w:spacing w:after="0" w:line="240" w:lineRule="auto"/>
        <w:jc w:val="center"/>
        <w:rPr>
          <w:rFonts w:ascii="Times New Roman" w:eastAsia="Times New Roman" w:hAnsi="Times New Roman" w:cs="Times New Roman"/>
          <w:b/>
        </w:rPr>
      </w:pPr>
      <w:bookmarkStart w:id="0" w:name="_Toc129243263"/>
      <w:bookmarkStart w:id="1" w:name="_Toc129243138"/>
      <w:r w:rsidRPr="002E4D40">
        <w:rPr>
          <w:rFonts w:ascii="Times New Roman" w:eastAsia="Times New Roman" w:hAnsi="Times New Roman" w:cs="Times New Roman"/>
          <w:b/>
        </w:rPr>
        <w:t xml:space="preserve">Pakuotės lapelis: informacija </w:t>
      </w:r>
      <w:r>
        <w:rPr>
          <w:rFonts w:ascii="Times New Roman" w:eastAsia="Times New Roman" w:hAnsi="Times New Roman" w:cs="Times New Roman"/>
          <w:b/>
        </w:rPr>
        <w:t>vartotojui</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Ebetrexat 20 mg/ml injekcinis tirpalas užpildytame švirkšte</w:t>
      </w:r>
    </w:p>
    <w:p w:rsidR="00C81C1A" w:rsidRPr="002E4D40" w:rsidRDefault="00C81C1A" w:rsidP="00C81C1A">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Pr="002E4D40">
        <w:rPr>
          <w:rFonts w:ascii="Times New Roman" w:eastAsia="Times New Roman" w:hAnsi="Times New Roman" w:cs="Times New Roman"/>
        </w:rPr>
        <w:t>etotreksatas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Atidžiai perskaitykite visą šį lapelį, prieš pradėdami vartoti vaistą, nes jame pateikiama Jums svarbi informacija.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Neišmeskite šio lapelio, nes vėl gali prireikti jį perskaityti.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kiltų daugiau klausimų, kreipkitės į gydytoją arba vaistininką.</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pasireiškė šalutinis poveikis (net jeigu jis šiame lapelyje nenurodytas), kreipkitės į gydytoją arba vaistininką. Žr. 4 skyrių.</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Apie ką rašoma šiame lapelyje?</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1.</w:t>
      </w:r>
      <w:r w:rsidRPr="002E4D40">
        <w:rPr>
          <w:rFonts w:ascii="Times New Roman" w:eastAsia="Times New Roman" w:hAnsi="Times New Roman" w:cs="Times New Roman"/>
        </w:rPr>
        <w:tab/>
        <w:t>Kas yra Ebetrexat ir kam jis vartojamas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2.</w:t>
      </w:r>
      <w:r w:rsidRPr="002E4D40">
        <w:rPr>
          <w:rFonts w:ascii="Times New Roman" w:eastAsia="Times New Roman" w:hAnsi="Times New Roman" w:cs="Times New Roman"/>
        </w:rPr>
        <w:tab/>
        <w:t>Kas žinotina prieš vartojant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3.</w:t>
      </w:r>
      <w:r w:rsidRPr="002E4D40">
        <w:rPr>
          <w:rFonts w:ascii="Times New Roman" w:eastAsia="Times New Roman" w:hAnsi="Times New Roman" w:cs="Times New Roman"/>
        </w:rPr>
        <w:tab/>
        <w:t>Kaip vartoti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4.</w:t>
      </w:r>
      <w:r w:rsidRPr="002E4D40">
        <w:rPr>
          <w:rFonts w:ascii="Times New Roman" w:eastAsia="Times New Roman" w:hAnsi="Times New Roman" w:cs="Times New Roman"/>
        </w:rPr>
        <w:tab/>
        <w:t>Galimas šalutinis poveikis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5.</w:t>
      </w:r>
      <w:r w:rsidRPr="002E4D40">
        <w:rPr>
          <w:rFonts w:ascii="Times New Roman" w:eastAsia="Times New Roman" w:hAnsi="Times New Roman" w:cs="Times New Roman"/>
        </w:rPr>
        <w:tab/>
        <w:t>Kaip laikyti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6.</w:t>
      </w:r>
      <w:r w:rsidRPr="002E4D40">
        <w:rPr>
          <w:rFonts w:ascii="Times New Roman" w:eastAsia="Times New Roman" w:hAnsi="Times New Roman" w:cs="Times New Roman"/>
        </w:rPr>
        <w:tab/>
        <w:t>Pakuotės turinys ir kita informacija</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w:t>
      </w:r>
      <w:r w:rsidRPr="002E4D40">
        <w:rPr>
          <w:rFonts w:ascii="Times New Roman" w:eastAsia="Times New Roman" w:hAnsi="Times New Roman" w:cs="Times New Roman"/>
          <w:b/>
        </w:rPr>
        <w:tab/>
        <w:t>Kas yra Ebetrexat ir kam jis vartojamas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yra vaistas, kuriam būdingas toks poveikis:</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tam tikrų greitai besigaminančių organizmo ląstelių augimo trikdymas (priešvėžinis aktyvumas);</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nepageidaujamų nuosavos organizmo apsigynimo sistemos reakcijų slopinimas (imunosupresinis aktyvumas);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uždegimo slopinimas. </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gydomos šios ligos:</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suaugusių žmonių aktyvus reumatoidinis artritas</w:t>
      </w:r>
      <w:r>
        <w:rPr>
          <w:rFonts w:ascii="Times New Roman" w:eastAsia="Times New Roman" w:hAnsi="Times New Roman" w:cs="Times New Roman"/>
        </w:rPr>
        <w:t>;</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sunkaus, aktyvaus jaunatvinio (juvenilinio) idiopatinio artrito (JIA) poliartritinė forma (pažeisti penki arba daugiau sąnarių) tuo atveju, jeigu atsakas į nesteroidinius vaist</w:t>
      </w:r>
      <w:r>
        <w:rPr>
          <w:rFonts w:ascii="Times New Roman" w:eastAsia="Times New Roman" w:hAnsi="Times New Roman" w:cs="Times New Roman"/>
        </w:rPr>
        <w:t>us</w:t>
      </w:r>
      <w:r w:rsidRPr="002E4D40">
        <w:rPr>
          <w:rFonts w:ascii="Times New Roman" w:eastAsia="Times New Roman" w:hAnsi="Times New Roman" w:cs="Times New Roman"/>
        </w:rPr>
        <w:t xml:space="preserve"> nuo uždegimo (NVNU) buvo nepakankamas;</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suaugusių žmonių sunki, gydymui nepasiduodanti, luošinanti psoriazė, kuri pakankamai nereaguoja į kitus gydymo būdus, pvz., fototerapiją, PUVA ir retinoidus, bei sunki psoriazė, pažeidžianti sąnarius (psoriazinis artritas). </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2.</w:t>
      </w:r>
      <w:r w:rsidRPr="002E4D40">
        <w:rPr>
          <w:rFonts w:ascii="Times New Roman" w:eastAsia="Times New Roman" w:hAnsi="Times New Roman" w:cs="Times New Roman"/>
          <w:b/>
        </w:rPr>
        <w:tab/>
        <w:t>Kas žinotina prieš vartojant Ebetrexat</w:t>
      </w:r>
    </w:p>
    <w:p w:rsidR="00C81C1A" w:rsidRDefault="00C81C1A" w:rsidP="00C81C1A">
      <w:pPr>
        <w:numPr>
          <w:ilvl w:val="12"/>
          <w:numId w:val="0"/>
        </w:numPr>
        <w:tabs>
          <w:tab w:val="left" w:pos="720"/>
        </w:tabs>
        <w:spacing w:after="0" w:line="240" w:lineRule="auto"/>
        <w:rPr>
          <w:rFonts w:ascii="Times New Roman" w:eastAsia="Times New Roman" w:hAnsi="Times New Roman" w:cs="Times New Roman"/>
        </w:rPr>
      </w:pPr>
    </w:p>
    <w:p w:rsidR="00C81C1A" w:rsidRDefault="00C81C1A" w:rsidP="00C81C1A">
      <w:pPr>
        <w:numPr>
          <w:ilvl w:val="12"/>
          <w:numId w:val="0"/>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2E4D40">
        <w:rPr>
          <w:rFonts w:ascii="Times New Roman" w:eastAsia="Times New Roman" w:hAnsi="Times New Roman" w:cs="Times New Roman"/>
        </w:rPr>
        <w:t>eigu kyla kokių nors klausimų, kreipkitės į gydytoją arba vaistininką, prieš pradėdami vartoti Ebetrexat</w:t>
      </w:r>
      <w:r>
        <w:rPr>
          <w:rFonts w:ascii="Times New Roman" w:eastAsia="Times New Roman" w:hAnsi="Times New Roman" w:cs="Times New Roman"/>
        </w:rPr>
        <w:t>.</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Ebetrexat vartoti </w:t>
      </w:r>
      <w:r>
        <w:rPr>
          <w:rFonts w:ascii="Times New Roman" w:eastAsia="Times New Roman" w:hAnsi="Times New Roman" w:cs="Times New Roman"/>
          <w:b/>
        </w:rPr>
        <w:t>draudžiama</w:t>
      </w:r>
      <w:r w:rsidRPr="002E4D40">
        <w:rPr>
          <w:rFonts w:ascii="Times New Roman" w:eastAsia="Times New Roman" w:hAnsi="Times New Roman" w:cs="Times New Roman"/>
          <w:b/>
        </w:rPr>
        <w:t>:</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yra alergija metotreksatui arba bet kuriai pagalbinei šio vaisto medžiagai (jos išvardytos 6 skyriuje);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reikšminga inkstų liga (Jūsų ligos sunkumą nustatys gydytojas);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reikšminga kepenų liga (Jūsų ligos sunkumą nustatys gydytojas);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kraujo gamyba;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w:t>
      </w:r>
      <w:r w:rsidRPr="002E4D40">
        <w:rPr>
          <w:rFonts w:ascii="Times New Roman" w:eastAsia="Times New Roman" w:hAnsi="Times New Roman" w:cs="Times New Roman"/>
        </w:rPr>
        <w:tab/>
        <w:t>jeigu geriate daug alkoholio;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imuninės sistemos veikla;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sunkia ūmine arba lėtine infekcine liga, pvz., tuberkulioze, ŽIV liga;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yra skrandžio ar žarnų opų;</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esate nėščia arba krūtimi maitinate kūdikį (žr. poskyrį „Nėštumas, žindymo laikotarpis ir vaisingumas“);</w:t>
      </w:r>
    </w:p>
    <w:p w:rsidR="00C81C1A" w:rsidRPr="002E4D40" w:rsidDel="008B27EB" w:rsidRDefault="00C81C1A" w:rsidP="00C81C1A">
      <w:pPr>
        <w:tabs>
          <w:tab w:val="left" w:pos="567"/>
        </w:tabs>
        <w:spacing w:after="0" w:line="240" w:lineRule="auto"/>
        <w:rPr>
          <w:rFonts w:ascii="Times New Roman" w:eastAsia="Times New Roman" w:hAnsi="Times New Roman" w:cs="Times New Roman"/>
        </w:rPr>
      </w:pPr>
      <w:r w:rsidRPr="002E4D40" w:rsidDel="008B27EB">
        <w:rPr>
          <w:rFonts w:ascii="Times New Roman" w:eastAsia="Times New Roman" w:hAnsi="Times New Roman" w:cs="Times New Roman"/>
        </w:rPr>
        <w:t>-</w:t>
      </w:r>
      <w:r w:rsidRPr="002E4D40" w:rsidDel="008B27EB">
        <w:rPr>
          <w:rFonts w:ascii="Times New Roman" w:eastAsia="Times New Roman" w:hAnsi="Times New Roman" w:cs="Times New Roman"/>
        </w:rPr>
        <w:tab/>
        <w:t>jeigu tuo pačiu metu esate skiepijamas gyvosiomis vakcinomis.</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Įspėjimai ir atsargumo priemonės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Pasitarkite su gydytoju, prieš pradėdami vartoti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cukriniu diabetu, kuris gydomas insulinu;</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jeigu sergate ilgalaike neaktyvia infekcine liga (pvz., tuberkulioze, hepatitu B, hepatitu C, juosiančiąja </w:t>
      </w:r>
      <w:r w:rsidRPr="002E4D40">
        <w:rPr>
          <w:rFonts w:ascii="Times New Roman" w:eastAsia="Times New Roman" w:hAnsi="Times New Roman" w:cs="Times New Roman"/>
          <w:i/>
        </w:rPr>
        <w:t>(herpes zoster)</w:t>
      </w:r>
      <w:r w:rsidRPr="002E4D40">
        <w:rPr>
          <w:rFonts w:ascii="Times New Roman" w:eastAsia="Times New Roman" w:hAnsi="Times New Roman" w:cs="Times New Roman"/>
        </w:rPr>
        <w:t xml:space="preserve"> pūsleline);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arba sirgote bet kokia kepenų ar inkstų liga;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plaučių veikla;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pilvaplėvės ar krūtinplėvės ertmėje yra skysčio (ascitas, krūtinplėvės eksudacija);</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esate dehidr</w:t>
      </w:r>
      <w:r>
        <w:rPr>
          <w:rFonts w:ascii="Times New Roman" w:eastAsia="Times New Roman" w:hAnsi="Times New Roman" w:cs="Times New Roman"/>
        </w:rPr>
        <w:t>at</w:t>
      </w:r>
      <w:r w:rsidRPr="002E4D40">
        <w:rPr>
          <w:rFonts w:ascii="Times New Roman" w:eastAsia="Times New Roman" w:hAnsi="Times New Roman" w:cs="Times New Roman"/>
        </w:rPr>
        <w:t>uotas arba yra dehidra</w:t>
      </w:r>
      <w:r>
        <w:rPr>
          <w:rFonts w:ascii="Times New Roman" w:eastAsia="Times New Roman" w:hAnsi="Times New Roman" w:cs="Times New Roman"/>
        </w:rPr>
        <w:t>ta</w:t>
      </w:r>
      <w:r w:rsidRPr="002E4D40">
        <w:rPr>
          <w:rFonts w:ascii="Times New Roman" w:eastAsia="Times New Roman" w:hAnsi="Times New Roman" w:cs="Times New Roman"/>
        </w:rPr>
        <w:t>ciją skatinanti būklė (vėmimas, viduriavimas, stomatitas).</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sidRPr="0080294F">
        <w:rPr>
          <w:rFonts w:ascii="Times New Roman" w:eastAsia="Times New Roman" w:hAnsi="Times New Roman" w:cs="Times New Roman"/>
        </w:rPr>
        <w:t>Metotreksato vartojant pacientams, kuriems yra pagrindinė reumatologinė liga, gauta pranešimų apie ūminį kraujavimą iš plaučių. Jeigu Jūs pradėjote spjaudyti arba atsikosėti krauju, nedelsdami kreipkitės į savo gydytoją.</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sidRPr="00B464AB">
        <w:rPr>
          <w:rFonts w:ascii="Times New Roman" w:eastAsia="Times New Roman" w:hAnsi="Times New Roman" w:cs="Times New Roman"/>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rPr>
        <w:t xml:space="preserve">Ebetrexat reikia leisti </w:t>
      </w:r>
      <w:r w:rsidRPr="002E4D40">
        <w:rPr>
          <w:rFonts w:ascii="Times New Roman" w:eastAsia="Times New Roman" w:hAnsi="Times New Roman" w:cs="Times New Roman"/>
          <w:b/>
        </w:rPr>
        <w:t>kartą per savaitę.</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Netinkamas metotreksato vartojimas gali lemti sunkų, įskaitant mirtiną, šalutinį poveikį. </w:t>
      </w:r>
    </w:p>
    <w:p w:rsidR="00C81C1A"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Atidžiai perskaitykite šio lapelio 3 skyrių.</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Pr="00652972" w:rsidRDefault="00C81C1A" w:rsidP="00C81C1A">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Dėl metotreksato Jūsų oda gali tapti jautresnė saulės šviesai. Venkite intensyvios saulės</w:t>
      </w:r>
      <w:r>
        <w:rPr>
          <w:rFonts w:ascii="Times New Roman" w:eastAsia="Times New Roman" w:hAnsi="Times New Roman" w:cs="Times New Roman"/>
        </w:rPr>
        <w:t xml:space="preserve"> </w:t>
      </w:r>
      <w:r w:rsidRPr="003B2E20">
        <w:rPr>
          <w:rFonts w:ascii="Times New Roman" w:eastAsia="Times New Roman" w:hAnsi="Times New Roman" w:cs="Times New Roman"/>
        </w:rPr>
        <w:t>šviesos ir</w:t>
      </w:r>
      <w:r>
        <w:rPr>
          <w:rFonts w:ascii="Times New Roman" w:eastAsia="Times New Roman" w:hAnsi="Times New Roman" w:cs="Times New Roman"/>
        </w:rPr>
        <w:t xml:space="preserve"> </w:t>
      </w:r>
      <w:r w:rsidRPr="003B2E20">
        <w:rPr>
          <w:rFonts w:ascii="Times New Roman" w:eastAsia="Times New Roman" w:hAnsi="Times New Roman" w:cs="Times New Roman"/>
        </w:rPr>
        <w:t>nesinaudokite soliariumais ar ultravioletinių spindulių lempomis nepasitarę su</w:t>
      </w:r>
      <w:r>
        <w:rPr>
          <w:rFonts w:ascii="Times New Roman" w:eastAsia="Times New Roman" w:hAnsi="Times New Roman" w:cs="Times New Roman"/>
        </w:rPr>
        <w:t xml:space="preserve"> </w:t>
      </w:r>
      <w:r w:rsidRPr="003B2E20">
        <w:rPr>
          <w:rFonts w:ascii="Times New Roman" w:eastAsia="Times New Roman" w:hAnsi="Times New Roman" w:cs="Times New Roman"/>
        </w:rPr>
        <w:t>gydytoju. Norėdami apsaugoti odą nuo intensyvios saulės šviesos, dėvėkite tinkamus</w:t>
      </w:r>
      <w:r>
        <w:rPr>
          <w:rFonts w:ascii="Times New Roman" w:eastAsia="Times New Roman" w:hAnsi="Times New Roman" w:cs="Times New Roman"/>
        </w:rPr>
        <w:t xml:space="preserve"> </w:t>
      </w:r>
      <w:r w:rsidRPr="003B2E20">
        <w:rPr>
          <w:rFonts w:ascii="Times New Roman" w:eastAsia="Times New Roman" w:hAnsi="Times New Roman" w:cs="Times New Roman"/>
        </w:rPr>
        <w:t>drabužius arba naudokite apsauginį kremą nuo saulės su aukštu apsaugos faktoriumi.</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po gydymo radioaktyviaisiais spinduliais buvo odos sutrikimų (radiacijos sukeltas odos uždegimas) arba buvote nudegę nuo saulės, gydymo metotreksatu metu minėti sutrikimai gali atsinaujinti (atšaukiamoji reakcija).</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Vaikams ir paaugliams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Dozavimas priklauso nuo paciento kūno svorio. Ebetrexat nerekomenduojama vartoti jaunesniems kaip 3</w:t>
      </w:r>
      <w:r>
        <w:rPr>
          <w:rFonts w:ascii="Times New Roman" w:eastAsia="Times New Roman" w:hAnsi="Times New Roman" w:cs="Times New Roman"/>
        </w:rPr>
        <w:t> </w:t>
      </w:r>
      <w:r w:rsidRPr="002E4D40">
        <w:rPr>
          <w:rFonts w:ascii="Times New Roman" w:eastAsia="Times New Roman" w:hAnsi="Times New Roman" w:cs="Times New Roman"/>
        </w:rPr>
        <w:t xml:space="preserve">metų vaikams, nes šios amžiaus grupės pacientų gydymo patirtis yra nepakankama.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Vaikams gydymo Ebetrexat metu būtina itin atidi gydytojo</w:t>
      </w:r>
      <w:r>
        <w:rPr>
          <w:rFonts w:ascii="Times New Roman" w:eastAsia="Times New Roman" w:hAnsi="Times New Roman" w:cs="Times New Roman"/>
        </w:rPr>
        <w:t>, šios srities specialisto,</w:t>
      </w:r>
      <w:r w:rsidRPr="002E4D40">
        <w:rPr>
          <w:rFonts w:ascii="Times New Roman" w:eastAsia="Times New Roman" w:hAnsi="Times New Roman" w:cs="Times New Roman"/>
        </w:rPr>
        <w:t xml:space="preserve"> priežiūra, kad kuo greičiau būtų galima nustatyti galimą šalutinį poveikį.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Senyviems pacientams</w:t>
      </w:r>
    </w:p>
    <w:p w:rsidR="00C81C1A"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Senyv</w:t>
      </w:r>
      <w:r>
        <w:rPr>
          <w:rFonts w:ascii="Times New Roman" w:eastAsia="Times New Roman" w:hAnsi="Times New Roman" w:cs="Times New Roman"/>
        </w:rPr>
        <w:t>us</w:t>
      </w:r>
      <w:r w:rsidRPr="002E4D40">
        <w:rPr>
          <w:rFonts w:ascii="Times New Roman" w:eastAsia="Times New Roman" w:hAnsi="Times New Roman" w:cs="Times New Roman"/>
        </w:rPr>
        <w:t xml:space="preserve"> </w:t>
      </w:r>
      <w:r>
        <w:rPr>
          <w:rFonts w:ascii="Times New Roman" w:eastAsia="Times New Roman" w:hAnsi="Times New Roman" w:cs="Times New Roman"/>
        </w:rPr>
        <w:t>pacientus</w:t>
      </w:r>
      <w:r w:rsidRPr="002E4D40">
        <w:rPr>
          <w:rFonts w:ascii="Times New Roman" w:eastAsia="Times New Roman" w:hAnsi="Times New Roman" w:cs="Times New Roman"/>
        </w:rPr>
        <w:t xml:space="preserve"> gydymo </w:t>
      </w:r>
      <w:r>
        <w:rPr>
          <w:rFonts w:ascii="Times New Roman" w:eastAsia="Times New Roman" w:hAnsi="Times New Roman" w:cs="Times New Roman"/>
        </w:rPr>
        <w:t>metotreksatu metu</w:t>
      </w:r>
      <w:r w:rsidRPr="002E4D40">
        <w:rPr>
          <w:rFonts w:ascii="Times New Roman" w:eastAsia="Times New Roman" w:hAnsi="Times New Roman" w:cs="Times New Roman"/>
        </w:rPr>
        <w:t xml:space="preserve"> </w:t>
      </w:r>
      <w:r>
        <w:rPr>
          <w:rFonts w:ascii="Times New Roman" w:eastAsia="Times New Roman" w:hAnsi="Times New Roman" w:cs="Times New Roman"/>
        </w:rPr>
        <w:t>turi atidžiai stebėti gydytojas</w:t>
      </w:r>
      <w:r w:rsidRPr="002E4D40">
        <w:rPr>
          <w:rFonts w:ascii="Times New Roman" w:eastAsia="Times New Roman" w:hAnsi="Times New Roman" w:cs="Times New Roman"/>
        </w:rPr>
        <w:t xml:space="preserve">, kad </w:t>
      </w:r>
      <w:r>
        <w:rPr>
          <w:rFonts w:ascii="Times New Roman" w:eastAsia="Times New Roman" w:hAnsi="Times New Roman" w:cs="Times New Roman"/>
        </w:rPr>
        <w:t>kaip galima anksčiau</w:t>
      </w:r>
      <w:r w:rsidRPr="002E4D40">
        <w:rPr>
          <w:rFonts w:ascii="Times New Roman" w:eastAsia="Times New Roman" w:hAnsi="Times New Roman" w:cs="Times New Roman"/>
        </w:rPr>
        <w:t xml:space="preserve"> būtų galima nustatyti galimą šalutinį poveikį. </w:t>
      </w:r>
      <w:r>
        <w:rPr>
          <w:rFonts w:ascii="Times New Roman" w:eastAsia="Times New Roman" w:hAnsi="Times New Roman" w:cs="Times New Roman"/>
        </w:rPr>
        <w:t>Dėl s</w:t>
      </w:r>
      <w:r w:rsidRPr="00D152BC">
        <w:rPr>
          <w:rFonts w:ascii="Times New Roman" w:eastAsia="Times New Roman" w:hAnsi="Times New Roman" w:cs="Times New Roman"/>
        </w:rPr>
        <w:t>u amžiumi susij</w:t>
      </w:r>
      <w:r>
        <w:rPr>
          <w:rFonts w:ascii="Times New Roman" w:eastAsia="Times New Roman" w:hAnsi="Times New Roman" w:cs="Times New Roman"/>
        </w:rPr>
        <w:t>usio</w:t>
      </w:r>
      <w:r w:rsidRPr="00D152BC">
        <w:rPr>
          <w:rFonts w:ascii="Times New Roman" w:eastAsia="Times New Roman" w:hAnsi="Times New Roman" w:cs="Times New Roman"/>
        </w:rPr>
        <w:t xml:space="preserve"> kepenų ir inkstų funkcijos su</w:t>
      </w:r>
      <w:r>
        <w:rPr>
          <w:rFonts w:ascii="Times New Roman" w:eastAsia="Times New Roman" w:hAnsi="Times New Roman" w:cs="Times New Roman"/>
        </w:rPr>
        <w:t>silpnėjimo</w:t>
      </w:r>
      <w:r w:rsidRPr="00D152BC">
        <w:rPr>
          <w:rFonts w:ascii="Times New Roman" w:eastAsia="Times New Roman" w:hAnsi="Times New Roman" w:cs="Times New Roman"/>
        </w:rPr>
        <w:t xml:space="preserve"> bei maž</w:t>
      </w:r>
      <w:r>
        <w:rPr>
          <w:rFonts w:ascii="Times New Roman" w:eastAsia="Times New Roman" w:hAnsi="Times New Roman" w:cs="Times New Roman"/>
        </w:rPr>
        <w:t>ų</w:t>
      </w:r>
      <w:r w:rsidRPr="00D152BC">
        <w:rPr>
          <w:rFonts w:ascii="Times New Roman" w:eastAsia="Times New Roman" w:hAnsi="Times New Roman" w:cs="Times New Roman"/>
        </w:rPr>
        <w:t xml:space="preserve"> organizmo vitamino folio rūgšties atsarg</w:t>
      </w:r>
      <w:r>
        <w:rPr>
          <w:rFonts w:ascii="Times New Roman" w:eastAsia="Times New Roman" w:hAnsi="Times New Roman" w:cs="Times New Roman"/>
        </w:rPr>
        <w:t>ų</w:t>
      </w:r>
      <w:r w:rsidRPr="00D152BC">
        <w:rPr>
          <w:rFonts w:ascii="Times New Roman" w:eastAsia="Times New Roman" w:hAnsi="Times New Roman" w:cs="Times New Roman"/>
        </w:rPr>
        <w:t xml:space="preserve"> senatvėje reikal</w:t>
      </w:r>
      <w:r>
        <w:rPr>
          <w:rFonts w:ascii="Times New Roman" w:eastAsia="Times New Roman" w:hAnsi="Times New Roman" w:cs="Times New Roman"/>
        </w:rPr>
        <w:t>inga</w:t>
      </w:r>
      <w:r w:rsidRPr="00D152BC">
        <w:rPr>
          <w:rFonts w:ascii="Times New Roman" w:eastAsia="Times New Roman" w:hAnsi="Times New Roman" w:cs="Times New Roman"/>
        </w:rPr>
        <w:t xml:space="preserve"> santykinai maž</w:t>
      </w:r>
      <w:r>
        <w:rPr>
          <w:rFonts w:ascii="Times New Roman" w:eastAsia="Times New Roman" w:hAnsi="Times New Roman" w:cs="Times New Roman"/>
        </w:rPr>
        <w:t>a</w:t>
      </w:r>
      <w:r w:rsidRPr="00D152BC">
        <w:rPr>
          <w:rFonts w:ascii="Times New Roman" w:eastAsia="Times New Roman" w:hAnsi="Times New Roman" w:cs="Times New Roman"/>
        </w:rPr>
        <w:t xml:space="preserve"> metotreksato dozė.</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4457C6" w:rsidRDefault="00C81C1A" w:rsidP="00C81C1A">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Taikant gydymą metotreksatu, dėl ultravioletinių spindulių poveikio gali pasunkėti psoriazinė odos pažaida.</w:t>
      </w:r>
    </w:p>
    <w:p w:rsidR="00C81C1A" w:rsidRPr="004457C6" w:rsidRDefault="00C81C1A" w:rsidP="00C81C1A">
      <w:pPr>
        <w:tabs>
          <w:tab w:val="left" w:pos="567"/>
        </w:tabs>
        <w:spacing w:after="0" w:line="240" w:lineRule="auto"/>
        <w:rPr>
          <w:rFonts w:ascii="Times New Roman" w:eastAsia="Times New Roman" w:hAnsi="Times New Roman" w:cs="Times New Roman"/>
        </w:rPr>
      </w:pPr>
    </w:p>
    <w:p w:rsidR="00C81C1A" w:rsidRPr="004457C6"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 xml:space="preserve">Rekomenduojami tyrimai ir atsargumo priemonės </w:t>
      </w:r>
    </w:p>
    <w:p w:rsidR="00C81C1A" w:rsidRPr="004457C6" w:rsidRDefault="00C81C1A" w:rsidP="00C81C1A">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 xml:space="preserve">Net jeigu Ebetrexat vartojamas mažomis dozėmis, gali pasireikšti sunkus šalutinis poveikis. Kad laiku jis būtų aptiktas, Jūsų gydytojas turės atlikti kontrolines apžiūras ir atlikinėti laboratorinius tyrimus. </w:t>
      </w:r>
    </w:p>
    <w:p w:rsidR="00C81C1A" w:rsidRPr="004457C6" w:rsidRDefault="00C81C1A" w:rsidP="00C81C1A">
      <w:pPr>
        <w:tabs>
          <w:tab w:val="left" w:pos="567"/>
        </w:tabs>
        <w:spacing w:after="0" w:line="240" w:lineRule="auto"/>
        <w:rPr>
          <w:rFonts w:ascii="Times New Roman" w:eastAsia="Times New Roman" w:hAnsi="Times New Roman" w:cs="Times New Roman"/>
          <w:u w:val="single"/>
        </w:rPr>
      </w:pPr>
    </w:p>
    <w:p w:rsidR="00C81C1A" w:rsidRPr="004457C6"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Prieš pradedant gydymą</w:t>
      </w:r>
    </w:p>
    <w:p w:rsidR="00C81C1A" w:rsidRPr="004457C6" w:rsidRDefault="00C81C1A" w:rsidP="00C81C1A">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Prieš pradedant gydymą Jums bus atliktas kraujo tyrimas kraujo ląstelių kiekiui nustatyti.</w:t>
      </w:r>
      <w:r w:rsidRPr="004457C6">
        <w:rPr>
          <w:rFonts w:ascii="Times New Roman" w:hAnsi="Times New Roman" w:cs="Times New Roman"/>
        </w:rPr>
        <w:t xml:space="preserve"> Taip pat bus atlikti kraujo tyrimai </w:t>
      </w:r>
      <w:r w:rsidRPr="004457C6">
        <w:rPr>
          <w:rFonts w:ascii="Times New Roman" w:eastAsia="Times New Roman" w:hAnsi="Times New Roman" w:cs="Times New Roman"/>
        </w:rPr>
        <w:t>siekiant ištirti kepenų funkciją ir nustatyti, ar nesergate hepatitu.</w:t>
      </w:r>
      <w:r w:rsidRPr="004457C6">
        <w:t xml:space="preserve"> </w:t>
      </w:r>
      <w:r w:rsidRPr="004457C6">
        <w:rPr>
          <w:rFonts w:ascii="Times New Roman" w:eastAsia="Times New Roman" w:hAnsi="Times New Roman" w:cs="Times New Roman"/>
        </w:rPr>
        <w:t>Be to, bus patikrintas albumino (kraujo baltymo) kiekis kraujo serume, hepatito (kepenų infekcijos) statusas ir inkstų funkcija.</w:t>
      </w:r>
      <w:r w:rsidRPr="004457C6">
        <w:t xml:space="preserve"> </w:t>
      </w:r>
      <w:r w:rsidRPr="004457C6">
        <w:rPr>
          <w:rFonts w:ascii="Times New Roman" w:eastAsia="Times New Roman" w:hAnsi="Times New Roman" w:cs="Times New Roman"/>
        </w:rPr>
        <w:t>Gydytojas taip pat gali nuspręsti atlikti kitus kepenų tyrimus, kai kurie iš jų gali būti Jūsų kepenų vaizdiniai tyrimai, o kitiems gali prireikti nedidelio audinio mėginio, paimto iš kepenų, kad būtų galima jį atidžiau ištirti.</w:t>
      </w:r>
      <w:r w:rsidRPr="004457C6">
        <w:t xml:space="preserve"> </w:t>
      </w:r>
      <w:r w:rsidRPr="004457C6">
        <w:rPr>
          <w:rFonts w:ascii="Times New Roman" w:eastAsia="Times New Roman" w:hAnsi="Times New Roman" w:cs="Times New Roman"/>
        </w:rPr>
        <w:t>Jūsų gydytojas taip pat gali atlikti tyrimus, kad išsiaiškintų, ar nesergate tuberkulioze, ir gali atlikti krūtinės ląstos rentgenogramą arba atlikti plaučių funkcijos tyrimą.</w:t>
      </w:r>
    </w:p>
    <w:p w:rsidR="00C81C1A" w:rsidRPr="004457C6" w:rsidRDefault="00C81C1A" w:rsidP="00C81C1A">
      <w:pPr>
        <w:tabs>
          <w:tab w:val="left" w:pos="567"/>
        </w:tabs>
        <w:spacing w:after="0" w:line="240" w:lineRule="auto"/>
        <w:rPr>
          <w:rFonts w:ascii="Times New Roman" w:eastAsia="Times New Roman" w:hAnsi="Times New Roman" w:cs="Times New Roman"/>
          <w:b/>
        </w:rPr>
      </w:pPr>
    </w:p>
    <w:p w:rsidR="00C81C1A" w:rsidRPr="004457C6"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Gydymo metu</w:t>
      </w:r>
    </w:p>
    <w:p w:rsidR="00C81C1A" w:rsidRPr="004457C6" w:rsidRDefault="00C81C1A" w:rsidP="00C81C1A">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 xml:space="preserve">Jūsų gydytojas gali atlikti šiuos tyrimus: </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burnos ertmės ir ryklės apžiūrą dėl gleivinės pokyčių, tokių kaip uždegimas ar išopėjimas;</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kraujo tyrimus / bendrą kraujo tyrimą su kraujo ląstelių skaičiumi ir metotreksato koncentracijos kraujo serume matavimą;</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kraujo tyrimą kepenų funkcijos įvertinimui;</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vaizdinius tyrimus kepenų būklės įvertinimui;</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nedidelio kepenų audinio mėginio tyrimą, kad būtų galima jį atidžiau ištirti;</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kraujo tyrimus inkstų funkcijos įvertinimui;</w:t>
      </w:r>
    </w:p>
    <w:p w:rsidR="00C81C1A" w:rsidRPr="004457C6" w:rsidRDefault="00C81C1A" w:rsidP="00C81C1A">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kvėpavimo takų stebėjimą ir, prireikus, plaučių funkcijos tyrimą.</w:t>
      </w:r>
    </w:p>
    <w:p w:rsidR="00C81C1A" w:rsidRPr="004457C6" w:rsidRDefault="00C81C1A" w:rsidP="00C81C1A">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Yra labai svarbu, kad Jūs atvyktumėte į šiuos suplanuotus tyrimus.</w:t>
      </w:r>
    </w:p>
    <w:p w:rsidR="00C81C1A" w:rsidRPr="004457C6" w:rsidRDefault="00C81C1A" w:rsidP="00C81C1A">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Jei kurio nors iš šių tyrimų rezultatai yra neįprasti, gydytojas atitinkamai pakoreguos Jūsų gydymą.</w:t>
      </w:r>
    </w:p>
    <w:p w:rsidR="00C81C1A" w:rsidRPr="004457C6" w:rsidRDefault="00C81C1A" w:rsidP="00C81C1A">
      <w:pPr>
        <w:spacing w:after="0" w:line="240" w:lineRule="auto"/>
        <w:contextualSpacing/>
        <w:rPr>
          <w:rFonts w:ascii="Times New Roman" w:eastAsia="Times New Roman" w:hAnsi="Times New Roman" w:cs="Times New Roman"/>
        </w:rPr>
      </w:pPr>
    </w:p>
    <w:p w:rsidR="00C81C1A" w:rsidRDefault="00C81C1A" w:rsidP="00C81C1A">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Specialios atsargumo priemonės gydant Ebetrexat</w:t>
      </w:r>
    </w:p>
    <w:p w:rsidR="00C81C1A" w:rsidRPr="000E3AD0" w:rsidRDefault="00C81C1A" w:rsidP="00C81C1A">
      <w:pPr>
        <w:spacing w:after="0" w:line="240" w:lineRule="auto"/>
        <w:contextualSpacing/>
        <w:rPr>
          <w:rFonts w:ascii="Times New Roman" w:eastAsia="Times New Roman" w:hAnsi="Times New Roman" w:cs="Times New Roman"/>
        </w:rPr>
      </w:pPr>
      <w:r w:rsidRPr="000E3AD0">
        <w:rPr>
          <w:rFonts w:ascii="Times New Roman" w:eastAsia="Times New Roman" w:hAnsi="Times New Roman" w:cs="Times New Roman"/>
        </w:rPr>
        <w:t xml:space="preserve">Ebetrexat laikinai paveikia sėklos ir kiaušinėlių gamybą, kuri daugumoje atvejų atsistato. Metotreksatas gali sukelti persileidimą ir sunkius apsigimimus. </w:t>
      </w:r>
      <w:r>
        <w:rPr>
          <w:rFonts w:ascii="Times New Roman" w:eastAsia="Times New Roman" w:hAnsi="Times New Roman" w:cs="Times New Roman"/>
        </w:rPr>
        <w:t xml:space="preserve">Jei esate moteris </w:t>
      </w:r>
      <w:r w:rsidRPr="000E3AD0">
        <w:rPr>
          <w:rFonts w:ascii="Times New Roman" w:eastAsia="Times New Roman" w:hAnsi="Times New Roman" w:cs="Times New Roman"/>
        </w:rPr>
        <w:t xml:space="preserve">Jūs turite vengti pastoti, jeigu vartojate metotreksato ir bent 6 mėnesius po jo vartojimo nutraukimo. </w:t>
      </w:r>
      <w:r>
        <w:rPr>
          <w:rFonts w:ascii="Times New Roman" w:eastAsia="Times New Roman" w:hAnsi="Times New Roman" w:cs="Times New Roman"/>
        </w:rPr>
        <w:t>J</w:t>
      </w:r>
      <w:r w:rsidRPr="003502A3">
        <w:rPr>
          <w:rFonts w:ascii="Times New Roman" w:eastAsia="Times New Roman" w:hAnsi="Times New Roman" w:cs="Times New Roman"/>
        </w:rPr>
        <w:t>ei esate vyras, turėtumėte vengti susilaukti vaiko, jei tuo metu</w:t>
      </w:r>
      <w:r>
        <w:rPr>
          <w:rFonts w:ascii="Times New Roman" w:eastAsia="Times New Roman" w:hAnsi="Times New Roman" w:cs="Times New Roman"/>
        </w:rPr>
        <w:t xml:space="preserve"> J</w:t>
      </w:r>
      <w:r w:rsidRPr="003502A3">
        <w:rPr>
          <w:rFonts w:ascii="Times New Roman" w:eastAsia="Times New Roman" w:hAnsi="Times New Roman" w:cs="Times New Roman"/>
        </w:rPr>
        <w:t>ums skiriamas metotreksatas ir bent 3 mėnesius po gydymo pabaigos</w:t>
      </w:r>
      <w:r>
        <w:rPr>
          <w:rFonts w:ascii="Times New Roman" w:eastAsia="Times New Roman" w:hAnsi="Times New Roman" w:cs="Times New Roman"/>
        </w:rPr>
        <w:t>.</w:t>
      </w:r>
      <w:r w:rsidRPr="000E3AD0">
        <w:rPr>
          <w:rFonts w:ascii="Times New Roman" w:eastAsia="Times New Roman" w:hAnsi="Times New Roman" w:cs="Times New Roman"/>
        </w:rPr>
        <w:t xml:space="preserve"> Taip pat žr. poskyrį „Nėštumas, žindymo laikotarpis ir vaisingumas“.</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Kiti vaistai ir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vartojate ar neseniai vartojote kitų vaistų arba dėl to nesate tikri, apie tai pasakykite gydytojui arba vaistininkui.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gydymo Ebetrexat metu gydytojas Jums skirs vartoti kitų vaistų, pasakykite jam apie šio vaisto vartojimą. Gydytojui labai svarbu pasakyti, jeigu vartojate:</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kitokių vaistų nuo reumatoidinio artrito ar psoriazės, pvz., leflunomido, sulfasalazino (juo gydomas ir opinis kolitas), aspirino, fenilbutazono ar amidopirino;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alkoholio (gydymo metu jo gerti reikia vengti);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gyvųjų vakcinų;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azatioprino (vaistas, vartojamas saugoti nuo persodinto organo atmetimo);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retinoidų (vaistai nuo odos sutrikimų);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prieštraukulinių preparatų (vaistai, saugantys nuo traukulių priepuolių);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vaistų nuo vėžio;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barbitūratų (migdomieji preparatai);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trankviliantų;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geriamųjų kontraceptikų;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probenecido (vaistas nuo podagros);</w:t>
      </w:r>
    </w:p>
    <w:p w:rsidR="00C81C1A"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antibiotikų</w:t>
      </w:r>
      <w:r>
        <w:rPr>
          <w:rFonts w:ascii="Times New Roman" w:eastAsia="Times New Roman" w:hAnsi="Times New Roman" w:cs="Times New Roman"/>
        </w:rPr>
        <w:t xml:space="preserve"> </w:t>
      </w:r>
      <w:r w:rsidRPr="00CB6C70">
        <w:rPr>
          <w:rFonts w:ascii="Times New Roman" w:eastAsia="Times New Roman" w:hAnsi="Times New Roman" w:cs="Times New Roman"/>
        </w:rPr>
        <w:t>(penicilinai gali mažinti metotreksato šalinim</w:t>
      </w:r>
      <w:r>
        <w:rPr>
          <w:rFonts w:ascii="Times New Roman" w:eastAsia="Times New Roman" w:hAnsi="Times New Roman" w:cs="Times New Roman"/>
        </w:rPr>
        <w:t>ą sukeldami šalutinio poveikio padidėjimo galimybę)</w:t>
      </w:r>
      <w:r w:rsidRPr="002E4D40">
        <w:rPr>
          <w:rFonts w:ascii="Times New Roman" w:eastAsia="Times New Roman" w:hAnsi="Times New Roman" w:cs="Times New Roman"/>
        </w:rPr>
        <w:t>;</w:t>
      </w:r>
    </w:p>
    <w:p w:rsidR="00C81C1A" w:rsidRPr="002E4D40" w:rsidRDefault="00C81C1A" w:rsidP="00C81C1A">
      <w:pPr>
        <w:tabs>
          <w:tab w:val="left" w:pos="567"/>
        </w:tabs>
        <w:spacing w:after="0" w:line="240" w:lineRule="auto"/>
        <w:ind w:left="567"/>
        <w:rPr>
          <w:rFonts w:ascii="Times New Roman" w:eastAsia="Times New Roman" w:hAnsi="Times New Roman" w:cs="Times New Roman"/>
        </w:rPr>
      </w:pPr>
      <w:r w:rsidRPr="003B2E20">
        <w:rPr>
          <w:rFonts w:ascii="Times New Roman" w:eastAsia="Times New Roman" w:hAnsi="Times New Roman" w:cs="Times New Roman"/>
        </w:rPr>
        <w:t>metamizolo (sinonimai: novaminsulfonas ir dipironas) (vaisto nuo stipraus skausmo ir</w:t>
      </w:r>
      <w:r>
        <w:rPr>
          <w:rFonts w:ascii="Times New Roman" w:eastAsia="Times New Roman" w:hAnsi="Times New Roman" w:cs="Times New Roman"/>
        </w:rPr>
        <w:t xml:space="preserve"> </w:t>
      </w:r>
      <w:r w:rsidRPr="003B2E20">
        <w:rPr>
          <w:rFonts w:ascii="Times New Roman" w:eastAsia="Times New Roman" w:hAnsi="Times New Roman" w:cs="Times New Roman"/>
        </w:rPr>
        <w:t>(arba)</w:t>
      </w:r>
      <w:r>
        <w:rPr>
          <w:rFonts w:ascii="Times New Roman" w:eastAsia="Times New Roman" w:hAnsi="Times New Roman" w:cs="Times New Roman"/>
        </w:rPr>
        <w:t xml:space="preserve"> </w:t>
      </w:r>
      <w:r w:rsidRPr="003B2E20">
        <w:rPr>
          <w:rFonts w:ascii="Times New Roman" w:eastAsia="Times New Roman" w:hAnsi="Times New Roman" w:cs="Times New Roman"/>
        </w:rPr>
        <w:t>karščiavimo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pirimetamino (vaistas, vartojamas maliarijos gydymui ir profilaktikai);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vitaminų preparatų, kuriuose yra folio rūgšties;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protonų siurblio inhibitorių (vaistai nuo sunkaus rėmens ar opų);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teofilino (vaistas nuo astmos).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vartojimas su maistu, gėrimais ir alkoholiu</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Gydymo Ebetrexat metu alkoholio turite negerti. Be to, turite vengti gerti daug kavos, juodosios arbatos bei gėrimų, kuriuose yra kofeino. Gydymo metu gerkite daug skysčių, kadangi dehidra</w:t>
      </w:r>
      <w:r>
        <w:rPr>
          <w:rFonts w:ascii="Times New Roman" w:eastAsia="Times New Roman" w:hAnsi="Times New Roman" w:cs="Times New Roman"/>
        </w:rPr>
        <w:t>ta</w:t>
      </w:r>
      <w:r w:rsidRPr="002E4D40">
        <w:rPr>
          <w:rFonts w:ascii="Times New Roman" w:eastAsia="Times New Roman" w:hAnsi="Times New Roman" w:cs="Times New Roman"/>
        </w:rPr>
        <w:t xml:space="preserve">cija (vandens netekimas) gali stiprinti toksinį Ebetrexat poveikį.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Nėštumas, žindymo laikotarpis</w:t>
      </w:r>
      <w:r w:rsidRPr="00D27287">
        <w:rPr>
          <w:rFonts w:ascii="Times New Roman" w:eastAsia="Times New Roman" w:hAnsi="Times New Roman" w:cs="Times New Roman"/>
          <w:b/>
        </w:rPr>
        <w:t xml:space="preserve"> </w:t>
      </w:r>
      <w:r>
        <w:rPr>
          <w:rFonts w:ascii="Times New Roman" w:eastAsia="Times New Roman" w:hAnsi="Times New Roman" w:cs="Times New Roman"/>
          <w:b/>
        </w:rPr>
        <w:t xml:space="preserve">ir </w:t>
      </w:r>
      <w:r w:rsidRPr="002E4D40">
        <w:rPr>
          <w:rFonts w:ascii="Times New Roman" w:eastAsia="Times New Roman" w:hAnsi="Times New Roman" w:cs="Times New Roman"/>
          <w:b/>
        </w:rPr>
        <w:t>vaisingumas</w:t>
      </w:r>
    </w:p>
    <w:p w:rsidR="00C81C1A" w:rsidRPr="002E4D40" w:rsidRDefault="00C81C1A" w:rsidP="00C81C1A">
      <w:pPr>
        <w:numPr>
          <w:ilvl w:val="12"/>
          <w:numId w:val="0"/>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0E3AD0">
        <w:rPr>
          <w:rFonts w:ascii="Times New Roman" w:eastAsia="Times New Roman" w:hAnsi="Times New Roman" w:cs="Times New Roman"/>
        </w:rPr>
        <w:t xml:space="preserve"> arba vaistininku</w:t>
      </w:r>
      <w:r w:rsidRPr="002E4D40">
        <w:rPr>
          <w:rFonts w:ascii="Times New Roman" w:eastAsia="Times New Roman" w:hAnsi="Times New Roman" w:cs="Times New Roman"/>
        </w:rPr>
        <w:t xml:space="preserve">. </w:t>
      </w:r>
    </w:p>
    <w:p w:rsidR="00C81C1A" w:rsidRPr="002E4D40" w:rsidRDefault="00C81C1A" w:rsidP="00C81C1A">
      <w:pPr>
        <w:numPr>
          <w:ilvl w:val="12"/>
          <w:numId w:val="0"/>
        </w:numPr>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Nėštumas</w:t>
      </w:r>
    </w:p>
    <w:p w:rsidR="00C81C1A" w:rsidRPr="00966137" w:rsidRDefault="00C81C1A" w:rsidP="00C81C1A">
      <w:pPr>
        <w:autoSpaceDE w:val="0"/>
        <w:autoSpaceDN w:val="0"/>
        <w:adjustRightInd w:val="0"/>
        <w:spacing w:after="0" w:line="240" w:lineRule="auto"/>
        <w:ind w:right="-23"/>
        <w:rPr>
          <w:rFonts w:ascii="Times New Roman" w:hAnsi="Times New Roman"/>
          <w:color w:val="000000"/>
        </w:rPr>
      </w:pPr>
      <w:r w:rsidRPr="000771AB">
        <w:rPr>
          <w:rFonts w:ascii="Times New Roman" w:eastAsia="Times New Roman" w:hAnsi="Times New Roman" w:cs="Times New Roman"/>
        </w:rPr>
        <w:t xml:space="preserve">Nevartokite </w:t>
      </w:r>
      <w:r>
        <w:rPr>
          <w:rFonts w:ascii="Times New Roman" w:eastAsia="Times New Roman" w:hAnsi="Times New Roman" w:cs="Times New Roman"/>
        </w:rPr>
        <w:t>Ebetrexat</w:t>
      </w:r>
      <w:r w:rsidRPr="000771AB">
        <w:rPr>
          <w:rFonts w:ascii="Times New Roman" w:eastAsia="Times New Roman" w:hAnsi="Times New Roman" w:cs="Times New Roman"/>
        </w:rPr>
        <w:t xml:space="preserve"> 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vaisingo amžiaus moteris, naudojant atitinkamas priemones, pvz., nėštumo testą, turi būti atmesta bet kokia nėštumo galimybė. Gydymo metotreksatu laikotarpiu ir bent 6 mėnesius po gydymo šiuo vaistu turite stengtis nepastoti ir tuo laikotarpiu naudoti patikimas kontracepcijos priemones (taip pat žr. skyrių „Įspėjimai ir atsargumo priemonės“).</w:t>
      </w:r>
      <w:r w:rsidRPr="000771AB" w:rsidDel="000771AB">
        <w:rPr>
          <w:rFonts w:ascii="Times New Roman" w:eastAsia="Times New Roman" w:hAnsi="Times New Roman" w:cs="Times New Roman"/>
        </w:rPr>
        <w:t xml:space="preserve"> </w:t>
      </w:r>
    </w:p>
    <w:p w:rsidR="00C81C1A" w:rsidRPr="00312885" w:rsidRDefault="00C81C1A" w:rsidP="00C81C1A">
      <w:pPr>
        <w:autoSpaceDE w:val="0"/>
        <w:autoSpaceDN w:val="0"/>
        <w:adjustRightInd w:val="0"/>
        <w:spacing w:after="0" w:line="240" w:lineRule="auto"/>
        <w:ind w:right="-23"/>
        <w:rPr>
          <w:rFonts w:ascii="Times New Roman" w:eastAsia="PMingLiU" w:hAnsi="Times New Roman" w:cs="Times New Roman"/>
          <w:color w:val="000000"/>
          <w:lang w:eastAsia="zh-TW"/>
        </w:rPr>
      </w:pPr>
      <w:r w:rsidRPr="00966137">
        <w:rPr>
          <w:rFonts w:ascii="Times New Roman" w:hAnsi="Times New Roman"/>
          <w:color w:val="000000"/>
        </w:rPr>
        <w:t xml:space="preserve">Jeigu gydymo laikotarpiu </w:t>
      </w:r>
      <w:r w:rsidRPr="00312885">
        <w:rPr>
          <w:rFonts w:ascii="Times New Roman" w:eastAsia="PMingLiU" w:hAnsi="Times New Roman" w:cs="Times New Roman"/>
          <w:color w:val="000000"/>
          <w:lang w:eastAsia="zh-TW"/>
        </w:rPr>
        <w:t>pastotumėte arba įtartumėte, kad pastojote, kuo skubiau pasitarkite su savo gydytoju. Jūs turėtumėte būti informuota apie visą gydymo laikotarpį vaikui kylančią žalingo</w:t>
      </w:r>
      <w:r w:rsidRPr="00966137">
        <w:rPr>
          <w:rFonts w:ascii="Times New Roman" w:hAnsi="Times New Roman"/>
          <w:color w:val="000000"/>
        </w:rPr>
        <w:t xml:space="preserve"> poveikio </w:t>
      </w:r>
      <w:r w:rsidRPr="00312885">
        <w:rPr>
          <w:rFonts w:ascii="Times New Roman" w:eastAsia="PMingLiU" w:hAnsi="Times New Roman" w:cs="Times New Roman"/>
          <w:color w:val="000000"/>
          <w:lang w:eastAsia="zh-TW"/>
        </w:rPr>
        <w:t>riziką.</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312885">
        <w:rPr>
          <w:rFonts w:ascii="Times New Roman" w:eastAsia="PMingLiU" w:hAnsi="Times New Roman" w:cs="Times New Roman"/>
          <w:color w:val="000000"/>
          <w:lang w:eastAsia="zh-TW"/>
        </w:rPr>
        <w:t xml:space="preserve">Jeigu </w:t>
      </w:r>
      <w:r>
        <w:rPr>
          <w:rFonts w:ascii="Times New Roman" w:eastAsia="PMingLiU" w:hAnsi="Times New Roman" w:cs="Times New Roman"/>
          <w:color w:val="000000"/>
          <w:lang w:eastAsia="zh-TW"/>
        </w:rPr>
        <w:t>J</w:t>
      </w:r>
      <w:r w:rsidRPr="00312885">
        <w:rPr>
          <w:rFonts w:ascii="Times New Roman" w:eastAsia="PMingLiU" w:hAnsi="Times New Roman" w:cs="Times New Roman"/>
          <w:color w:val="000000"/>
          <w:lang w:eastAsia="zh-TW"/>
        </w:rPr>
        <w:t>ūs norite pastoti, turėtumėte pasikonsultuoti su savo gydytoju, kuris gali prieš numatytą</w:t>
      </w:r>
      <w:r w:rsidRPr="00966137">
        <w:rPr>
          <w:rFonts w:ascii="Times New Roman" w:hAnsi="Times New Roman"/>
          <w:color w:val="000000"/>
        </w:rPr>
        <w:t xml:space="preserve"> gydymo </w:t>
      </w:r>
      <w:r w:rsidRPr="00312885">
        <w:rPr>
          <w:rFonts w:ascii="Times New Roman" w:eastAsia="PMingLiU" w:hAnsi="Times New Roman" w:cs="Times New Roman"/>
          <w:color w:val="000000"/>
          <w:lang w:eastAsia="zh-TW"/>
        </w:rPr>
        <w:t xml:space="preserve">pradžią nusiųsti </w:t>
      </w:r>
      <w:r>
        <w:rPr>
          <w:rFonts w:ascii="Times New Roman" w:eastAsia="PMingLiU" w:hAnsi="Times New Roman" w:cs="Times New Roman"/>
          <w:color w:val="000000"/>
          <w:lang w:eastAsia="zh-TW"/>
        </w:rPr>
        <w:t>J</w:t>
      </w:r>
      <w:r w:rsidRPr="00312885">
        <w:rPr>
          <w:rFonts w:ascii="Times New Roman" w:eastAsia="PMingLiU" w:hAnsi="Times New Roman" w:cs="Times New Roman"/>
          <w:color w:val="000000"/>
          <w:lang w:eastAsia="zh-TW"/>
        </w:rPr>
        <w:t>us konsultacijos</w:t>
      </w:r>
      <w:r w:rsidRPr="00966137">
        <w:rPr>
          <w:rFonts w:ascii="Times New Roman" w:hAnsi="Times New Roman"/>
          <w:color w:val="000000"/>
        </w:rPr>
        <w:t xml:space="preserve"> pas specialistą</w:t>
      </w:r>
      <w:r w:rsidRPr="00312885">
        <w:rPr>
          <w:rFonts w:ascii="Times New Roman" w:eastAsia="PMingLiU" w:hAnsi="Times New Roman" w:cs="Times New Roman"/>
          <w:color w:val="000000"/>
          <w:lang w:eastAsia="zh-TW"/>
        </w:rPr>
        <w:t>.</w:t>
      </w:r>
    </w:p>
    <w:p w:rsidR="00C81C1A" w:rsidRPr="00966137" w:rsidRDefault="00C81C1A" w:rsidP="00C81C1A">
      <w:pPr>
        <w:tabs>
          <w:tab w:val="left" w:pos="567"/>
        </w:tabs>
        <w:spacing w:after="0" w:line="240" w:lineRule="auto"/>
        <w:rPr>
          <w:rFonts w:ascii="Times New Roman" w:hAnsi="Times New Roman"/>
          <w:u w:val="single"/>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Žindymas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metu kūdikio krūtimi nemaitinkite, kadangi metotreksatas išsiskiria į motinos pieną. Jeigu Jūsų gydytojas nuspręs, kad žindymo laikotarpiu metotreksatu gydyti neabejotinai būtina, kūdikio maitinimą krūtimi turite nutraukti.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Vyrų vaisingumas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312885">
        <w:rPr>
          <w:rFonts w:ascii="Times New Roman" w:eastAsia="Times New Roman" w:hAnsi="Times New Roman" w:cs="Times New Roman"/>
        </w:rPr>
        <w:t xml:space="preserve">Turimi duomenys nerodo padidėjusios vaisiaus apsigimimų ar persileidimo rizikos, kai tėvas vartoja metotreksatą mažesnėmis nei 30 mg per savaitę dozėmis. Vis dėlto negalima visiškai atmesti rizikos galimybės. Metotreksatas gali būti genotoksiškas. Tai reiškia, kad vaistas gali sukelti genetinę mutaciją. Metotreksatas gali sukelti neigiamą poveikį spermatozoidų gamybai, taip pat sukelti apsigimimus. Todėl gydymo metotreksatu laikotarpiu ir bent </w:t>
      </w:r>
      <w:r>
        <w:rPr>
          <w:rFonts w:ascii="Times New Roman" w:eastAsia="Times New Roman" w:hAnsi="Times New Roman" w:cs="Times New Roman"/>
        </w:rPr>
        <w:t>3</w:t>
      </w:r>
      <w:r w:rsidRPr="00312885">
        <w:rPr>
          <w:rFonts w:ascii="Times New Roman" w:eastAsia="Times New Roman" w:hAnsi="Times New Roman" w:cs="Times New Roman"/>
        </w:rPr>
        <w:t xml:space="preserve"> mėnesius nutraukus gydymą </w:t>
      </w:r>
      <w:r>
        <w:rPr>
          <w:rFonts w:ascii="Times New Roman" w:eastAsia="Times New Roman" w:hAnsi="Times New Roman" w:cs="Times New Roman"/>
        </w:rPr>
        <w:t>J</w:t>
      </w:r>
      <w:r w:rsidRPr="00312885">
        <w:rPr>
          <w:rFonts w:ascii="Times New Roman" w:eastAsia="Times New Roman" w:hAnsi="Times New Roman" w:cs="Times New Roman"/>
        </w:rPr>
        <w:t>ūs neturėtumėte susilaukti vaikų arba būti spermos donoru.</w:t>
      </w:r>
      <w:r w:rsidRPr="00312885" w:rsidDel="004F5E7C">
        <w:rPr>
          <w:rFonts w:ascii="Times New Roman" w:eastAsia="Times New Roman" w:hAnsi="Times New Roman" w:cs="Times New Roman"/>
        </w:rPr>
        <w:t xml:space="preserve"> </w:t>
      </w:r>
    </w:p>
    <w:p w:rsidR="00C81C1A" w:rsidRPr="00966137" w:rsidRDefault="00C81C1A" w:rsidP="00C81C1A">
      <w:pPr>
        <w:tabs>
          <w:tab w:val="left" w:pos="567"/>
        </w:tabs>
        <w:spacing w:after="0" w:line="240" w:lineRule="auto"/>
        <w:rPr>
          <w:rFonts w:ascii="Times New Roman" w:hAnsi="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Vairavimas ir mechanizmų valdymas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Ebetrexat metu gali atsirasti šalutinis poveikis nervų sistemai, pvz., nuovargis ir svaigulys, todėl kai kuriais atvejais gali sutrikti gebėjimas vairuoti transporto priemones ir valdyti mechanizmus. Jeigu jaučiate nuovargį ar svaigulį, turite nevairuoti ir nevaldyti mechanizmų.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Ebetrexat sudėtyje yra </w:t>
      </w:r>
      <w:r>
        <w:rPr>
          <w:rFonts w:ascii="Times New Roman" w:eastAsia="Times New Roman" w:hAnsi="Times New Roman" w:cs="Times New Roman"/>
          <w:b/>
        </w:rPr>
        <w:t xml:space="preserve">natrio chlorido ir </w:t>
      </w:r>
      <w:r w:rsidRPr="002E4D40">
        <w:rPr>
          <w:rFonts w:ascii="Times New Roman" w:eastAsia="Times New Roman" w:hAnsi="Times New Roman" w:cs="Times New Roman"/>
          <w:b/>
        </w:rPr>
        <w:t>natrio hidroksido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Šio vaisto savaitinėje dozėje yra mažiau </w:t>
      </w:r>
      <w:r>
        <w:rPr>
          <w:rFonts w:ascii="Times New Roman" w:eastAsia="Times New Roman" w:hAnsi="Times New Roman" w:cs="Times New Roman"/>
        </w:rPr>
        <w:t>kaip</w:t>
      </w:r>
      <w:r w:rsidRPr="002E4D40">
        <w:rPr>
          <w:rFonts w:ascii="Times New Roman" w:eastAsia="Times New Roman" w:hAnsi="Times New Roman" w:cs="Times New Roman"/>
        </w:rPr>
        <w:t xml:space="preserve"> 1 mmol (23 mg) natrio, t. y. jis beveik neturi reikšmės.</w:t>
      </w:r>
    </w:p>
    <w:p w:rsidR="00C81C1A" w:rsidRPr="002E4D40" w:rsidRDefault="00C81C1A" w:rsidP="00C81C1A">
      <w:pPr>
        <w:tabs>
          <w:tab w:val="left" w:pos="567"/>
        </w:tabs>
        <w:spacing w:after="0" w:line="240" w:lineRule="auto"/>
        <w:rPr>
          <w:rFonts w:ascii="Times New Roman" w:eastAsia="Times New Roman" w:hAnsi="Times New Roman" w:cs="Times New Roman"/>
          <w:b/>
        </w:rPr>
      </w:pPr>
    </w:p>
    <w:bookmarkEnd w:id="0"/>
    <w:bookmarkEnd w:id="1"/>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3.</w:t>
      </w:r>
      <w:r w:rsidRPr="002E4D40">
        <w:rPr>
          <w:rFonts w:ascii="Times New Roman" w:eastAsia="Times New Roman" w:hAnsi="Times New Roman" w:cs="Times New Roman"/>
          <w:b/>
        </w:rPr>
        <w:tab/>
        <w:t>Kaip vartoti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66137">
        <w:rPr>
          <w:rFonts w:ascii="Times New Roman" w:hAnsi="Times New Roman"/>
          <w:b/>
        </w:rPr>
        <w:t xml:space="preserve">Svarbus įspėjimas dėl </w:t>
      </w:r>
      <w:r>
        <w:rPr>
          <w:rFonts w:ascii="Times New Roman" w:hAnsi="Times New Roman"/>
          <w:b/>
        </w:rPr>
        <w:t>Ebetrexat (</w:t>
      </w:r>
      <w:r w:rsidRPr="00966137">
        <w:rPr>
          <w:rFonts w:ascii="Times New Roman" w:hAnsi="Times New Roman"/>
          <w:b/>
        </w:rPr>
        <w:t>metotreksato</w:t>
      </w:r>
      <w:r>
        <w:rPr>
          <w:rFonts w:ascii="Times New Roman" w:hAnsi="Times New Roman"/>
          <w:b/>
        </w:rPr>
        <w:t>)</w:t>
      </w:r>
      <w:r w:rsidRPr="00966137">
        <w:rPr>
          <w:rFonts w:ascii="Times New Roman" w:hAnsi="Times New Roman"/>
          <w:b/>
        </w:rPr>
        <w:t xml:space="preserve"> doz</w:t>
      </w:r>
      <w:r>
        <w:rPr>
          <w:rFonts w:ascii="Times New Roman" w:hAnsi="Times New Roman"/>
          <w:b/>
        </w:rPr>
        <w:t>ės</w:t>
      </w:r>
    </w:p>
    <w:p w:rsidR="00C81C1A" w:rsidRPr="00966137" w:rsidRDefault="00C81C1A" w:rsidP="00C81C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81C1A" w:rsidRPr="002E4D40" w:rsidRDefault="00C81C1A" w:rsidP="00C81C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975D30">
        <w:rPr>
          <w:rFonts w:ascii="Times New Roman" w:eastAsia="Times New Roman" w:hAnsi="Times New Roman" w:cs="Times New Roman"/>
        </w:rPr>
        <w:t>Gydant</w:t>
      </w:r>
      <w:r>
        <w:rPr>
          <w:rFonts w:ascii="Times New Roman" w:eastAsia="Times New Roman" w:hAnsi="Times New Roman" w:cs="Times New Roman"/>
        </w:rPr>
        <w:t xml:space="preserve"> nuo</w:t>
      </w:r>
      <w:r w:rsidRPr="00975D30">
        <w:rPr>
          <w:rFonts w:ascii="Times New Roman" w:eastAsia="Times New Roman" w:hAnsi="Times New Roman" w:cs="Times New Roman"/>
        </w:rPr>
        <w:t xml:space="preserve"> reumatoidin</w:t>
      </w:r>
      <w:r>
        <w:rPr>
          <w:rFonts w:ascii="Times New Roman" w:eastAsia="Times New Roman" w:hAnsi="Times New Roman" w:cs="Times New Roman"/>
        </w:rPr>
        <w:t>io</w:t>
      </w:r>
      <w:r w:rsidRPr="00975D30">
        <w:rPr>
          <w:rFonts w:ascii="Times New Roman" w:eastAsia="Times New Roman" w:hAnsi="Times New Roman" w:cs="Times New Roman"/>
        </w:rPr>
        <w:t xml:space="preserve"> artrit</w:t>
      </w:r>
      <w:r>
        <w:rPr>
          <w:rFonts w:ascii="Times New Roman" w:eastAsia="Times New Roman" w:hAnsi="Times New Roman" w:cs="Times New Roman"/>
        </w:rPr>
        <w:t>o</w:t>
      </w:r>
      <w:r w:rsidRPr="00975D30">
        <w:rPr>
          <w:rFonts w:ascii="Times New Roman" w:eastAsia="Times New Roman" w:hAnsi="Times New Roman" w:cs="Times New Roman"/>
        </w:rPr>
        <w:t>, jaunatvin</w:t>
      </w:r>
      <w:r>
        <w:rPr>
          <w:rFonts w:ascii="Times New Roman" w:eastAsia="Times New Roman" w:hAnsi="Times New Roman" w:cs="Times New Roman"/>
        </w:rPr>
        <w:t>io</w:t>
      </w:r>
      <w:r w:rsidRPr="00975D30">
        <w:rPr>
          <w:rFonts w:ascii="Times New Roman" w:eastAsia="Times New Roman" w:hAnsi="Times New Roman" w:cs="Times New Roman"/>
        </w:rPr>
        <w:t xml:space="preserve"> (juvenilin</w:t>
      </w:r>
      <w:r>
        <w:rPr>
          <w:rFonts w:ascii="Times New Roman" w:eastAsia="Times New Roman" w:hAnsi="Times New Roman" w:cs="Times New Roman"/>
        </w:rPr>
        <w:t>io</w:t>
      </w:r>
      <w:r w:rsidRPr="00975D30">
        <w:rPr>
          <w:rFonts w:ascii="Times New Roman" w:eastAsia="Times New Roman" w:hAnsi="Times New Roman" w:cs="Times New Roman"/>
        </w:rPr>
        <w:t>) idiopatin</w:t>
      </w:r>
      <w:r>
        <w:rPr>
          <w:rFonts w:ascii="Times New Roman" w:eastAsia="Times New Roman" w:hAnsi="Times New Roman" w:cs="Times New Roman"/>
        </w:rPr>
        <w:t>io</w:t>
      </w:r>
      <w:r w:rsidRPr="00975D30">
        <w:rPr>
          <w:rFonts w:ascii="Times New Roman" w:eastAsia="Times New Roman" w:hAnsi="Times New Roman" w:cs="Times New Roman"/>
        </w:rPr>
        <w:t xml:space="preserve"> artrit</w:t>
      </w:r>
      <w:r>
        <w:rPr>
          <w:rFonts w:ascii="Times New Roman" w:eastAsia="Times New Roman" w:hAnsi="Times New Roman" w:cs="Times New Roman"/>
        </w:rPr>
        <w:t>o</w:t>
      </w:r>
      <w:r w:rsidRPr="00975D30">
        <w:rPr>
          <w:rFonts w:ascii="Times New Roman" w:eastAsia="Times New Roman" w:hAnsi="Times New Roman" w:cs="Times New Roman"/>
        </w:rPr>
        <w:t xml:space="preserve"> ir psoriaz</w:t>
      </w:r>
      <w:r>
        <w:rPr>
          <w:rFonts w:ascii="Times New Roman" w:eastAsia="Times New Roman" w:hAnsi="Times New Roman" w:cs="Times New Roman"/>
        </w:rPr>
        <w:t>ės</w:t>
      </w:r>
      <w:r w:rsidRPr="00975D30">
        <w:rPr>
          <w:rFonts w:ascii="Times New Roman" w:eastAsia="Times New Roman" w:hAnsi="Times New Roman" w:cs="Times New Roman"/>
        </w:rPr>
        <w:t xml:space="preserve"> Ebetrexat varto</w:t>
      </w:r>
      <w:r>
        <w:rPr>
          <w:rFonts w:ascii="Times New Roman" w:eastAsia="Times New Roman" w:hAnsi="Times New Roman" w:cs="Times New Roman"/>
        </w:rPr>
        <w:t>kite</w:t>
      </w:r>
      <w:r w:rsidRPr="00975D30">
        <w:rPr>
          <w:rFonts w:ascii="Times New Roman" w:hAnsi="Times New Roman" w:cs="Times New Roman"/>
          <w:b/>
        </w:rPr>
        <w:t xml:space="preserve"> tik kartą per savaitę</w:t>
      </w:r>
      <w:r w:rsidRPr="001A6259">
        <w:rPr>
          <w:rFonts w:ascii="Times New Roman" w:eastAsia="Times New Roman" w:hAnsi="Times New Roman" w:cs="Times New Roman"/>
        </w:rPr>
        <w:t>.</w:t>
      </w:r>
      <w:r w:rsidRPr="00E64F2D">
        <w:rPr>
          <w:rFonts w:ascii="Times New Roman" w:eastAsia="Times New Roman" w:hAnsi="Times New Roman" w:cs="Times New Roman"/>
        </w:rPr>
        <w:t xml:space="preserve"> </w:t>
      </w:r>
      <w:r w:rsidRPr="00975D30">
        <w:rPr>
          <w:rFonts w:ascii="Times New Roman" w:hAnsi="Times New Roman" w:cs="Times New Roman"/>
        </w:rPr>
        <w:t>Pavartota per didelė Ebetrexat (metotreksato) dozė gali būti mirtina. Labai atidžiai perskaitykite šio lapelio 3</w:t>
      </w:r>
      <w:r>
        <w:rPr>
          <w:rFonts w:ascii="Times New Roman" w:hAnsi="Times New Roman" w:cs="Times New Roman"/>
        </w:rPr>
        <w:t xml:space="preserve"> </w:t>
      </w:r>
      <w:r w:rsidRPr="00975D30">
        <w:rPr>
          <w:rFonts w:ascii="Times New Roman" w:hAnsi="Times New Roman" w:cs="Times New Roman"/>
        </w:rPr>
        <w:t>skyrių. Jeigu turite bet kokių klausimų, prieš varto</w:t>
      </w:r>
      <w:r>
        <w:rPr>
          <w:rFonts w:ascii="Times New Roman" w:hAnsi="Times New Roman" w:cs="Times New Roman"/>
        </w:rPr>
        <w:t>jant</w:t>
      </w:r>
      <w:r w:rsidRPr="00975D30">
        <w:rPr>
          <w:rFonts w:ascii="Times New Roman" w:hAnsi="Times New Roman" w:cs="Times New Roman"/>
        </w:rPr>
        <w:t xml:space="preserve"> š</w:t>
      </w:r>
      <w:r>
        <w:rPr>
          <w:rFonts w:ascii="Times New Roman" w:hAnsi="Times New Roman" w:cs="Times New Roman"/>
        </w:rPr>
        <w:t>io</w:t>
      </w:r>
      <w:r w:rsidRPr="00975D30">
        <w:rPr>
          <w:rFonts w:ascii="Times New Roman" w:hAnsi="Times New Roman" w:cs="Times New Roman"/>
        </w:rPr>
        <w:t xml:space="preserve"> vaist</w:t>
      </w:r>
      <w:r>
        <w:rPr>
          <w:rFonts w:ascii="Times New Roman" w:hAnsi="Times New Roman" w:cs="Times New Roman"/>
        </w:rPr>
        <w:t>o</w:t>
      </w:r>
      <w:r w:rsidRPr="00975D30">
        <w:rPr>
          <w:rFonts w:ascii="Times New Roman" w:hAnsi="Times New Roman" w:cs="Times New Roman"/>
        </w:rPr>
        <w:t xml:space="preserve"> pasitarkite su gydytoju arba vaistininku.</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Gydymą Ebetrexat skirs tik gydytojas, žinantis įvairias šio vaisto charakteristikas ir jo veikimo būdą.</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Pr="002246BD" w:rsidRDefault="00C81C1A" w:rsidP="00C81C1A">
      <w:pPr>
        <w:autoSpaceDE w:val="0"/>
        <w:autoSpaceDN w:val="0"/>
        <w:adjustRightInd w:val="0"/>
        <w:spacing w:after="0" w:line="240" w:lineRule="auto"/>
        <w:rPr>
          <w:rFonts w:ascii="Times New Roman" w:hAnsi="Times New Roman" w:cs="Times New Roman"/>
          <w:bCs/>
        </w:rPr>
      </w:pPr>
      <w:r w:rsidRPr="002246BD">
        <w:rPr>
          <w:rFonts w:ascii="Times New Roman" w:hAnsi="Times New Roman" w:cs="Times New Roman"/>
          <w:bCs/>
        </w:rPr>
        <w:t>Pradėjus gydymą Ebetrexat gali suleisti medicinos specialistai.</w:t>
      </w:r>
    </w:p>
    <w:p w:rsidR="00C81C1A" w:rsidRPr="002246BD" w:rsidRDefault="00C81C1A" w:rsidP="00C81C1A">
      <w:pPr>
        <w:autoSpaceDE w:val="0"/>
        <w:autoSpaceDN w:val="0"/>
        <w:adjustRightInd w:val="0"/>
        <w:spacing w:after="0" w:line="240" w:lineRule="auto"/>
        <w:rPr>
          <w:rFonts w:ascii="Times New Roman" w:eastAsia="Times New Roman" w:hAnsi="Times New Roman" w:cs="Times New Roman"/>
        </w:rPr>
      </w:pPr>
      <w:r w:rsidRPr="002246BD">
        <w:rPr>
          <w:rFonts w:ascii="Times New Roman" w:hAnsi="Times New Roman" w:cs="Times New Roman"/>
          <w:bCs/>
        </w:rPr>
        <w:t>Tačiau gydytojas gali nuspręsti, kad galite išmokti, kaip susileisti Ebetrexat savarankiškai. Jūs būsite tinkamai išmokytas tai padaryti. Jokiu būdu nebandykite susileisti vaistą savarankiškai, jei nebuvote to išmokytas.</w:t>
      </w:r>
      <w:r w:rsidRPr="002246BD">
        <w:rPr>
          <w:rFonts w:ascii="Times New Roman" w:eastAsia="Times New Roman" w:hAnsi="Times New Roman" w:cs="Times New Roman"/>
        </w:rPr>
        <w:t xml:space="preserve">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Visada vartokite šį vaistą tiksliai kaip nurodė gydytojas. Jeigu abejojate, kreipkitės į gydytoją arba vaistininką.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Ebetrexat galima leisti </w:t>
      </w:r>
      <w:r w:rsidRPr="002E4D40">
        <w:rPr>
          <w:rFonts w:ascii="Times New Roman" w:eastAsia="Times New Roman" w:hAnsi="Times New Roman" w:cs="Times New Roman"/>
          <w:b/>
        </w:rPr>
        <w:t xml:space="preserve">tik kartą per savaitę. </w:t>
      </w:r>
      <w:r w:rsidRPr="002E4D40">
        <w:rPr>
          <w:rFonts w:ascii="Times New Roman" w:eastAsia="Times New Roman" w:hAnsi="Times New Roman" w:cs="Times New Roman"/>
        </w:rPr>
        <w:t xml:space="preserve">Kartu su savo gydytoju Jūs turite nuspręsti, kurią kiekvienos savaitės dieną vaisto leisitės.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Netinkamas metotreksato vartojimas gali lemti sunkų, įskaitant galimai mirtiną, šalutinį poveikį.</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Rekomenduojamas dozavimas nurodytas toliau.</w:t>
      </w:r>
    </w:p>
    <w:p w:rsidR="00C81C1A" w:rsidRPr="002E4D40" w:rsidRDefault="00C81C1A" w:rsidP="00C81C1A">
      <w:pPr>
        <w:tabs>
          <w:tab w:val="left" w:pos="567"/>
        </w:tabs>
        <w:spacing w:after="0" w:line="240" w:lineRule="auto"/>
        <w:rPr>
          <w:rFonts w:ascii="Times New Roman" w:eastAsia="Times New Roman" w:hAnsi="Times New Roman" w:cs="Times New Roman"/>
          <w:i/>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 xml:space="preserve">Reumatoidiniu artritu sergantiems pacientams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Rekomenduojama pradinė metotreksato dozė yra 7,5 mg </w:t>
      </w:r>
      <w:r w:rsidRPr="002E4D40">
        <w:rPr>
          <w:rFonts w:ascii="Times New Roman" w:eastAsia="Times New Roman" w:hAnsi="Times New Roman" w:cs="Times New Roman"/>
          <w:u w:val="single"/>
        </w:rPr>
        <w:t>kartą per savaitę</w:t>
      </w:r>
      <w:r w:rsidRPr="002E4D40">
        <w:rPr>
          <w:rFonts w:ascii="Times New Roman" w:eastAsia="Times New Roman" w:hAnsi="Times New Roman" w:cs="Times New Roman"/>
        </w:rPr>
        <w:t xml:space="preserve">. Visą Ebetrexat dozę reikia per vieną kartą suleisti po oda, į raumenis arba veną (žr. poskyrį „Vartojimo metodas ir trukmė“).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poveikis nepakankamas ir vaistas toleruojamas gerai, pradinę dozę galima padidinti. Vidutinė savaitinė metotreksato dozė yra 15</w:t>
      </w:r>
      <w:r>
        <w:rPr>
          <w:rFonts w:ascii="Times New Roman" w:eastAsia="Times New Roman" w:hAnsi="Times New Roman" w:cs="Times New Roman"/>
        </w:rPr>
        <w:noBreakHyphen/>
      </w:r>
      <w:r w:rsidRPr="002E4D40">
        <w:rPr>
          <w:rFonts w:ascii="Times New Roman" w:eastAsia="Times New Roman" w:hAnsi="Times New Roman" w:cs="Times New Roman"/>
        </w:rPr>
        <w:t>20 mg. Paprastai 2</w:t>
      </w:r>
      <w:r>
        <w:rPr>
          <w:rFonts w:ascii="Times New Roman" w:eastAsia="Times New Roman" w:hAnsi="Times New Roman" w:cs="Times New Roman"/>
        </w:rPr>
        <w:t>5</w:t>
      </w:r>
      <w:r w:rsidRPr="002E4D40">
        <w:rPr>
          <w:rFonts w:ascii="Times New Roman" w:eastAsia="Times New Roman" w:hAnsi="Times New Roman" w:cs="Times New Roman"/>
        </w:rPr>
        <w:t> mg savaitinės metotreksato dozės viršyti nereikėtų. Norimam gydomajam poveikiui pasireiškus, dozę, jeigu įmanoma, reikia palaipsniui mažinti iki mažiausios veiksmingos palaikomosios dozės.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Jaunatvinio idiopatinio artrito poliartritine forma sergantiems vaikams ir jaunesniems negu 16</w:t>
      </w:r>
      <w:r>
        <w:rPr>
          <w:rFonts w:ascii="Times New Roman" w:eastAsia="Times New Roman" w:hAnsi="Times New Roman" w:cs="Times New Roman"/>
          <w:u w:val="single"/>
        </w:rPr>
        <w:t> </w:t>
      </w:r>
      <w:r w:rsidRPr="002E4D40">
        <w:rPr>
          <w:rFonts w:ascii="Times New Roman" w:eastAsia="Times New Roman" w:hAnsi="Times New Roman" w:cs="Times New Roman"/>
          <w:u w:val="single"/>
        </w:rPr>
        <w:t xml:space="preserve">metų paaugliams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 savaitinė dozė yra 10</w:t>
      </w:r>
      <w:r>
        <w:rPr>
          <w:rFonts w:ascii="Times New Roman" w:eastAsia="Times New Roman" w:hAnsi="Times New Roman" w:cs="Times New Roman"/>
        </w:rPr>
        <w:noBreakHyphen/>
      </w:r>
      <w:r w:rsidRPr="002E4D40">
        <w:rPr>
          <w:rFonts w:ascii="Times New Roman" w:eastAsia="Times New Roman" w:hAnsi="Times New Roman" w:cs="Times New Roman"/>
        </w:rPr>
        <w:t>15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ploto. Jeigu poveikis nepakankamas, savaitinę dozę galima padidinti iki 20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ploto, tačiau tokiu atveju būtinas dažnesnis reguliarus gydytojo stebėjimas.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Kadangi duomenų apie intraveninį (į veną) leidimą vaikams ir paaugliams yra labai mažai, jiems šio vaisto galima leisti tik po oda arba į raumenis.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nerekomenduojama vartoti jaunesniems kaip 3</w:t>
      </w:r>
      <w:r>
        <w:rPr>
          <w:rFonts w:ascii="Times New Roman" w:eastAsia="Times New Roman" w:hAnsi="Times New Roman" w:cs="Times New Roman"/>
        </w:rPr>
        <w:t> </w:t>
      </w:r>
      <w:r w:rsidRPr="002E4D40">
        <w:rPr>
          <w:rFonts w:ascii="Times New Roman" w:eastAsia="Times New Roman" w:hAnsi="Times New Roman" w:cs="Times New Roman"/>
        </w:rPr>
        <w:t>metų vaikams, nes šio amžiaus grupės pacientų gydymo patirtis yra nepakankama.</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Dozavimas suaugusiems žmonėms, sergantiems sunkia paprast</w:t>
      </w:r>
      <w:r>
        <w:rPr>
          <w:rFonts w:ascii="Times New Roman" w:eastAsia="Times New Roman" w:hAnsi="Times New Roman" w:cs="Times New Roman"/>
          <w:u w:val="single"/>
        </w:rPr>
        <w:t>ą</w:t>
      </w:r>
      <w:r w:rsidRPr="002E4D40">
        <w:rPr>
          <w:rFonts w:ascii="Times New Roman" w:eastAsia="Times New Roman" w:hAnsi="Times New Roman" w:cs="Times New Roman"/>
          <w:u w:val="single"/>
        </w:rPr>
        <w:t xml:space="preserve">ja psoriaze arba psoriaziniu artritu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Pradžioje patariama suleisti bandomąją 5</w:t>
      </w:r>
      <w:r>
        <w:rPr>
          <w:rFonts w:ascii="Times New Roman" w:eastAsia="Times New Roman" w:hAnsi="Times New Roman" w:cs="Times New Roman"/>
        </w:rPr>
        <w:noBreakHyphen/>
      </w:r>
      <w:r w:rsidRPr="002E4D40">
        <w:rPr>
          <w:rFonts w:ascii="Times New Roman" w:eastAsia="Times New Roman" w:hAnsi="Times New Roman" w:cs="Times New Roman"/>
        </w:rPr>
        <w:t xml:space="preserve">10 mg dozę, kad būtų galima išsiaiškinti galimą žalingą poveikį.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Šią dozę galima leisti po oda, į raumenis arba veną. Jeigu po savaitės kraujo ląstelių kiekis nepakinta, gydymą reikia tęsti maždaug 7,5 mg doze. Šią dozę, sekant kraujo ląstelių kiekį, galima kas savait</w:t>
      </w:r>
      <w:r>
        <w:rPr>
          <w:rFonts w:ascii="Times New Roman" w:eastAsia="Times New Roman" w:hAnsi="Times New Roman" w:cs="Times New Roman"/>
        </w:rPr>
        <w:t>ę</w:t>
      </w:r>
      <w:r w:rsidRPr="002E4D40">
        <w:rPr>
          <w:rFonts w:ascii="Times New Roman" w:eastAsia="Times New Roman" w:hAnsi="Times New Roman" w:cs="Times New Roman"/>
        </w:rPr>
        <w:t xml:space="preserve"> palaipsniui 5</w:t>
      </w:r>
      <w:r>
        <w:rPr>
          <w:rFonts w:ascii="Times New Roman" w:eastAsia="Times New Roman" w:hAnsi="Times New Roman" w:cs="Times New Roman"/>
        </w:rPr>
        <w:noBreakHyphen/>
      </w:r>
      <w:r w:rsidRPr="002E4D40">
        <w:rPr>
          <w:rFonts w:ascii="Times New Roman" w:eastAsia="Times New Roman" w:hAnsi="Times New Roman" w:cs="Times New Roman"/>
        </w:rPr>
        <w:t xml:space="preserve">7,5 mg didinti tol, kol pasireiškia geras gydomasis poveikis. Paprastai 20 mg savaitinės dozės vartojimas gali būti susijęs su reikšmingu toksinio poveikio sustiprėjimu. 30 mg savaitinės metotreksato dozės viršyti negalima.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Pasireiškus norimam gydomajam poveikiui, dozę kiekvienam pacientui reikia palaipsniui mažinti iki mažiausios veiksmingos.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Pacientams, kurių inkstų veikla sutrikusi</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Pacientams, kurių inkstų veikla sutrikusi, gali reikėti mažinti dozę.</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Vartojimo metodas ir trukmė</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trukmę nustato gydantis gydytojas. Ebetrexat reikia </w:t>
      </w:r>
      <w:r>
        <w:rPr>
          <w:rFonts w:ascii="Times New Roman" w:eastAsia="Times New Roman" w:hAnsi="Times New Roman" w:cs="Times New Roman"/>
        </w:rPr>
        <w:t>suleisti</w:t>
      </w:r>
      <w:r w:rsidRPr="002E4D40">
        <w:rPr>
          <w:rFonts w:ascii="Times New Roman" w:eastAsia="Times New Roman" w:hAnsi="Times New Roman" w:cs="Times New Roman"/>
        </w:rPr>
        <w:t xml:space="preserve"> </w:t>
      </w:r>
      <w:r w:rsidRPr="002E4D40">
        <w:rPr>
          <w:rFonts w:ascii="Times New Roman" w:eastAsia="Times New Roman" w:hAnsi="Times New Roman" w:cs="Times New Roman"/>
          <w:b/>
          <w:u w:val="single"/>
        </w:rPr>
        <w:t>kartą per savaitę</w:t>
      </w:r>
      <w:r w:rsidRPr="002E4D40">
        <w:rPr>
          <w:rFonts w:ascii="Times New Roman" w:eastAsia="Times New Roman" w:hAnsi="Times New Roman" w:cs="Times New Roman"/>
        </w:rPr>
        <w:t xml:space="preserve">. Patariama vieną savaitės dieną paskirti injekcijos diena.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leidžiamas po oda, į raumenis arba veną, tačiau vaikams ir paaugliams į veną jo leisti negalima.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Reumatoidinis artritas, jaunatvinis idiopatinis artritas, paprastoji psoriazė bei psoriazinis artritas Ebetrexat gydomi ilgai.</w:t>
      </w:r>
    </w:p>
    <w:p w:rsidR="00C81C1A" w:rsidRPr="002E4D40" w:rsidRDefault="00C81C1A" w:rsidP="00C81C1A">
      <w:pPr>
        <w:tabs>
          <w:tab w:val="left" w:pos="567"/>
        </w:tabs>
        <w:spacing w:after="0" w:line="240" w:lineRule="auto"/>
        <w:rPr>
          <w:rFonts w:ascii="Times New Roman" w:eastAsia="Times New Roman" w:hAnsi="Times New Roman" w:cs="Times New Roman"/>
          <w:i/>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Reumatoidinis artritas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Paprastai reumatoidiniu artritu sergantiems pacientams simptomų palengvėjimo galima tikėtis po 4 – 8 gydymo savaičių. Gydymą Ebetrexat nutraukus, simptomai gali atsinaujinti. </w:t>
      </w:r>
    </w:p>
    <w:p w:rsidR="00C81C1A" w:rsidRPr="002E4D40" w:rsidRDefault="00C81C1A" w:rsidP="00C81C1A">
      <w:pPr>
        <w:tabs>
          <w:tab w:val="left" w:pos="567"/>
        </w:tabs>
        <w:spacing w:after="0" w:line="240" w:lineRule="auto"/>
        <w:rPr>
          <w:rFonts w:ascii="Times New Roman" w:eastAsia="Times New Roman" w:hAnsi="Times New Roman" w:cs="Times New Roman"/>
          <w:i/>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Sunki paprastoji psoriazė ar sunkus psoriazinis artritas (psoriazinė artropatija)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Atsako į gydymą paprastai galima tikėtis po 2 – 6 gydymo savaičių. Po to priklausomai nuo klinikinių simptomų ir laboratorinių tyrimų duomenų pokyčių gydymą galima tęsti arba nutraukti.</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pradžioje Ebetrexat Jums gali suleisti medicinos personalas. Vis dėlto gydytojas gali nuspręsti, kad galite išmokti vaisto pats sau leistis po oda. Tokiu atveju Jus tinkamai apmokys. Pats sau vaisto leistis jokiomis aplinkybėmis nebandykite, išskyrus atvejus, kai tai daryti esate apmokytas. </w:t>
      </w:r>
    </w:p>
    <w:p w:rsidR="00C81C1A" w:rsidRPr="002E4D40" w:rsidRDefault="00C81C1A" w:rsidP="00C81C1A">
      <w:pPr>
        <w:spacing w:after="0" w:line="240" w:lineRule="auto"/>
        <w:jc w:val="both"/>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Ką daryti pavartojus per didelę Ebetrexat dozę</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įtariate, kad Jūs (ar kitas asmuo) pavartojote per daug Ebetrexat, nedelsdami susisiekite su savo gydytoju arba artimiausios ligoninės skubiosios medicinos pagalbos skyriumi. Jie nuspręs, ar Jums būtinos kokios nors gydymo priemonės priklausomai nuo intoksikacijos sunkumo.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Metotreksato perdozavus, gali pasireikšti sunkios toksinio poveikio reakcijos. Perdozavimo simptomai gali būti lengvai atsirandančios mėlynės ar kraujavimas, neįprastas silpnumas, burnos pažaida, pykinimas, vėmimas, juodos arba kraujingos išmatos, kraujo atkosėjimas arba vėmimas kavos nuosėdų spalvos vėmalais, šlapimo išskyrimo sumažėjimas (žr. ir 4 skyrių).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vykstate pas gydytoją arba į ligoninę, pasiimkite vaisto pakuotę.</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Metotreksato priešnuodis yra kalcio folinatas.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Pamiršus pavartoti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Negalima vartoti dvigubos dozės norint kompensuoti praleistą dozę. Gydymą tęskite įprastine doze ir kreipkitės į gydytoją patarimo.</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Nustojus vartoti Ebetrexat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Be gydytojo nurodymo Ebetrexat vartojimo negalima nei pertraukti, nei nutraukti. Jeigu įtariate, kad pasireiškė sunkus šalutinis poveikis, nedelsdami kreipkitės į savo gydytoją patarimo.</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kiltų daugiau klausimų dėl šio vaisto vartojimo, kreipkitės į gydytoją arba vaistininką.</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bookmarkStart w:id="2" w:name="_Toc129243267"/>
      <w:bookmarkStart w:id="3" w:name="_Toc129243142"/>
      <w:r w:rsidRPr="002E4D40">
        <w:rPr>
          <w:rFonts w:ascii="Times New Roman" w:eastAsia="Times New Roman" w:hAnsi="Times New Roman" w:cs="Times New Roman"/>
          <w:b/>
        </w:rPr>
        <w:t>4.</w:t>
      </w:r>
      <w:r w:rsidRPr="002E4D40">
        <w:rPr>
          <w:rFonts w:ascii="Times New Roman" w:eastAsia="Times New Roman" w:hAnsi="Times New Roman" w:cs="Times New Roman"/>
          <w:b/>
        </w:rPr>
        <w:tab/>
        <w:t>Galimas šalutinis poveikis</w:t>
      </w:r>
      <w:bookmarkEnd w:id="2"/>
      <w:bookmarkEnd w:id="3"/>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Šis vaistas, kaip ir visi kiti, gali sukelti šalutinį poveikį, nors jis pasireiškia ne visiems žmonėms. Nedelsdami pasakykite savo gydytojui, jeigu staiga atsiranda švokštimas, kvėpavimo pasunkėjimas, vokų, veido ar lūpų patinimas, išbėrimas ar niežulys (ypač viso kūno). </w:t>
      </w:r>
    </w:p>
    <w:p w:rsidR="00C81C1A" w:rsidRPr="002E4D40" w:rsidRDefault="00C81C1A" w:rsidP="00C81C1A">
      <w:pPr>
        <w:tabs>
          <w:tab w:val="left" w:pos="567"/>
        </w:tabs>
        <w:spacing w:after="0" w:line="240" w:lineRule="auto"/>
        <w:rPr>
          <w:rFonts w:ascii="Times New Roman" w:eastAsia="Times New Roman" w:hAnsi="Times New Roman" w:cs="Times New Roman"/>
          <w:i/>
        </w:rPr>
      </w:pPr>
    </w:p>
    <w:p w:rsidR="00C81C1A" w:rsidRPr="002E4D40" w:rsidRDefault="00C81C1A" w:rsidP="00C81C1A">
      <w:pPr>
        <w:tabs>
          <w:tab w:val="left" w:pos="567"/>
        </w:tabs>
        <w:spacing w:after="0" w:line="240" w:lineRule="auto"/>
        <w:rPr>
          <w:rFonts w:ascii="Times New Roman" w:eastAsia="Times New Roman" w:hAnsi="Times New Roman" w:cs="Times New Roman"/>
          <w:i/>
        </w:rPr>
      </w:pPr>
      <w:r w:rsidRPr="002E4D40">
        <w:rPr>
          <w:rFonts w:ascii="Times New Roman" w:eastAsia="Times New Roman" w:hAnsi="Times New Roman" w:cs="Times New Roman"/>
          <w:i/>
        </w:rPr>
        <w:t>Sunkus šalutinis poveikis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Nedelsdami kreipkitės į gydytoją, jeigu atsiranda kuris nors iš šių simptomų:</w:t>
      </w:r>
    </w:p>
    <w:p w:rsidR="00C81C1A" w:rsidRPr="002E4D40" w:rsidRDefault="00C81C1A" w:rsidP="00C81C1A">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plaučių sutrikimas (jo simptomai gali būti bendrasis negalavimas, sausas dirginantis kosulys, dusulys, dusulys ilsintis, krūtinės skausmas arba karščiavimas);</w:t>
      </w:r>
    </w:p>
    <w:p w:rsidR="00C81C1A"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r>
      <w:r w:rsidRPr="0080294F">
        <w:rPr>
          <w:rFonts w:ascii="Times New Roman" w:eastAsia="Times New Roman" w:hAnsi="Times New Roman" w:cs="Times New Roman"/>
        </w:rPr>
        <w:t>s</w:t>
      </w:r>
      <w:r>
        <w:rPr>
          <w:rFonts w:ascii="Times New Roman" w:eastAsia="Times New Roman" w:hAnsi="Times New Roman" w:cs="Times New Roman"/>
        </w:rPr>
        <w:t>pjaudymas arba kosėjimas krauju;</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sunkus odos lupimasis arba pūslėjimas;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neįprastas kraujavimas (įskaitant vėmimą krauju) arba mėlynės;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stiprus viduriavimas;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burnos gleivinės išopėjimas;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juodos arba deguto spalvos išmatos;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kraujas išmatose arba šlapime;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smulkios raudonos odos dėmelės;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karščiavimas;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odos pageltimas (gelta);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skausmas šlapinantis arba šlapinimosi pasunkėjimas;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troškulys ir (arba) dažnas šlapinimasis;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traukuliai (konvulsijos);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sąmonės praradimas;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miglotas matymas arba regos aštrumo sumažėjimas.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Pastebėtas šalutinis poveikis išvardytas toliau.</w:t>
      </w:r>
    </w:p>
    <w:p w:rsidR="00C81C1A" w:rsidRPr="002E4D40" w:rsidRDefault="00C81C1A" w:rsidP="00C81C1A">
      <w:pPr>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Labai dažni šalutinio poveikio reiškiniai (gali pasireikšti ne rečiau kaip 1 iš 10 asmenų):</w:t>
      </w:r>
    </w:p>
    <w:p w:rsidR="00C81C1A" w:rsidRPr="00D459B0" w:rsidRDefault="00C81C1A" w:rsidP="00C81C1A">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apetito praradimas, pykinimas (šleikštulys), vėmimas, pilvo skausmas</w:t>
      </w:r>
      <w:r>
        <w:rPr>
          <w:rFonts w:ascii="Times New Roman" w:eastAsia="Times New Roman" w:hAnsi="Times New Roman" w:cs="Times New Roman"/>
        </w:rPr>
        <w:t>;</w:t>
      </w:r>
    </w:p>
    <w:p w:rsidR="00C81C1A" w:rsidRPr="00D459B0" w:rsidRDefault="00C81C1A" w:rsidP="00C81C1A">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burnos ir ryklės uždegimas ir išopėjimas</w:t>
      </w:r>
      <w:r>
        <w:rPr>
          <w:rFonts w:ascii="Times New Roman" w:eastAsia="Times New Roman" w:hAnsi="Times New Roman" w:cs="Times New Roman"/>
        </w:rPr>
        <w:t>;</w:t>
      </w:r>
    </w:p>
    <w:p w:rsidR="00C81C1A" w:rsidRPr="00D459B0" w:rsidRDefault="00C81C1A" w:rsidP="00C81C1A">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fermentų kiekio padidėjimas kraujyje.</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Dažni šalutinio poveikio reiškiniai (gali pasireikšti rečiau kaip 1 iš 10 asmenų):</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D459B0">
        <w:rPr>
          <w:rFonts w:ascii="Times New Roman" w:eastAsia="Times New Roman" w:hAnsi="Times New Roman" w:cs="Times New Roman"/>
        </w:rPr>
        <w:t>raujo ląstelių gamybos sumažėjimas, susijęs su baltųjų ir (arba) raudonųjų kraujo ląstelių arba (ir) kraujo plokštelių kiekio sumažėjimu (leukopenija, anemija, trombocitopenija)</w:t>
      </w:r>
      <w:r>
        <w:rPr>
          <w:rFonts w:ascii="Times New Roman" w:eastAsia="Times New Roman" w:hAnsi="Times New Roman" w:cs="Times New Roman"/>
        </w:rPr>
        <w:t>;</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galvos skausmas</w:t>
      </w:r>
      <w:r>
        <w:rPr>
          <w:rFonts w:ascii="Times New Roman" w:eastAsia="Times New Roman" w:hAnsi="Times New Roman" w:cs="Times New Roman"/>
        </w:rPr>
        <w:t>;</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nuovargis, mieguistumas</w:t>
      </w:r>
      <w:r>
        <w:rPr>
          <w:rFonts w:ascii="Times New Roman" w:eastAsia="Times New Roman" w:hAnsi="Times New Roman" w:cs="Times New Roman"/>
        </w:rPr>
        <w:t>;</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dilgčiojimo, kutenimo, badymo ar deginimo pojūtis odoje, išbėrimas, odos  paraudimas, niežulys</w:t>
      </w:r>
      <w:r>
        <w:rPr>
          <w:rFonts w:ascii="Times New Roman" w:eastAsia="Times New Roman" w:hAnsi="Times New Roman" w:cs="Times New Roman"/>
        </w:rPr>
        <w:t>;</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plaučių uždegimas (pneumonitas)</w:t>
      </w:r>
      <w:r>
        <w:rPr>
          <w:rFonts w:ascii="Times New Roman" w:eastAsia="Times New Roman" w:hAnsi="Times New Roman" w:cs="Times New Roman"/>
        </w:rPr>
        <w:t>;</w:t>
      </w:r>
    </w:p>
    <w:p w:rsidR="00C81C1A" w:rsidRPr="00D459B0" w:rsidRDefault="00C81C1A" w:rsidP="00C81C1A">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viduriavimas</w:t>
      </w:r>
      <w:r>
        <w:rPr>
          <w:rFonts w:ascii="Times New Roman" w:eastAsia="Times New Roman" w:hAnsi="Times New Roman" w:cs="Times New Roman"/>
        </w:rPr>
        <w:t>.</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Nedažni šalutinio poveikio reiškiniai (gali pasireikšti rečiau kaip 1 iš 100 asmenų):</w:t>
      </w:r>
      <w:r w:rsidRPr="002E4D40">
        <w:rPr>
          <w:rFonts w:ascii="Times New Roman" w:eastAsia="Times New Roman" w:hAnsi="Times New Roman" w:cs="Times New Roman"/>
          <w:u w:val="single"/>
        </w:rPr>
        <w:t xml:space="preserve"> </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juosiančioji pūslelinė (</w:t>
      </w:r>
      <w:r w:rsidRPr="00D459B0">
        <w:rPr>
          <w:rFonts w:ascii="Times New Roman" w:eastAsia="Times New Roman" w:hAnsi="Times New Roman" w:cs="Times New Roman"/>
          <w:i/>
        </w:rPr>
        <w:t>Herpes zoster</w:t>
      </w:r>
      <w:r w:rsidRPr="00D459B0">
        <w:rPr>
          <w:rFonts w:ascii="Times New Roman" w:eastAsia="Times New Roman" w:hAnsi="Times New Roman" w:cs="Times New Roman"/>
        </w:rPr>
        <w:t>)</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limfoma (kuri daugumoje atvejų išn</w:t>
      </w:r>
      <w:r>
        <w:rPr>
          <w:rFonts w:ascii="Times New Roman" w:eastAsia="Times New Roman" w:hAnsi="Times New Roman" w:cs="Times New Roman"/>
        </w:rPr>
        <w:t>y</w:t>
      </w:r>
      <w:r w:rsidRPr="00D459B0">
        <w:rPr>
          <w:rFonts w:ascii="Times New Roman" w:eastAsia="Times New Roman" w:hAnsi="Times New Roman" w:cs="Times New Roman"/>
        </w:rPr>
        <w:t>ksta, nutraukus Ebetrexat vartojimą)</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kraujo ląstelių ir kraujo plokštelių kiekio sumažėjimas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sunkios alerginės reakcijos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diabetas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depresija</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visos kairės arba dešinės kūno pusės silpnumas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svaigulys, sumišimas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traukuliai</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smegenų pažeidimas (leukoencefalopatija</w:t>
      </w:r>
      <w:r>
        <w:rPr>
          <w:rFonts w:ascii="Times New Roman" w:eastAsia="Times New Roman" w:hAnsi="Times New Roman" w:cs="Times New Roman"/>
        </w:rPr>
        <w:t xml:space="preserve"> </w:t>
      </w:r>
      <w:r w:rsidRPr="00D459B0">
        <w:rPr>
          <w:rFonts w:ascii="Times New Roman" w:eastAsia="Times New Roman" w:hAnsi="Times New Roman" w:cs="Times New Roman"/>
        </w:rPr>
        <w:t>/</w:t>
      </w:r>
      <w:r>
        <w:rPr>
          <w:rFonts w:ascii="Times New Roman" w:eastAsia="Times New Roman" w:hAnsi="Times New Roman" w:cs="Times New Roman"/>
        </w:rPr>
        <w:t xml:space="preserve"> </w:t>
      </w:r>
      <w:r w:rsidRPr="00D459B0">
        <w:rPr>
          <w:rFonts w:ascii="Times New Roman" w:eastAsia="Times New Roman" w:hAnsi="Times New Roman" w:cs="Times New Roman"/>
        </w:rPr>
        <w:t>encefalopatija)</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kraujagyslių uždegimas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plaučių pažaida, skysčių susikaupimas aplink plaučius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virškinimo trakto išopėjimas ir kraujavimas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kasos uždegimas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sutrikimas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baltymo kiekio kraujyje sumažėjimas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dilgėlinė (atskira), jautrumo šviesai padidėjimas, odos parudavimas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sunki toksinė odos reakcija, įskaitant pūslių formavim</w:t>
      </w:r>
      <w:r>
        <w:rPr>
          <w:rFonts w:ascii="Times New Roman" w:eastAsia="Times New Roman" w:hAnsi="Times New Roman" w:cs="Times New Roman"/>
        </w:rPr>
        <w:t>ą</w:t>
      </w:r>
      <w:r w:rsidRPr="00D459B0">
        <w:rPr>
          <w:rFonts w:ascii="Times New Roman" w:eastAsia="Times New Roman" w:hAnsi="Times New Roman" w:cs="Times New Roman"/>
        </w:rPr>
        <w:t>si ir viršutinio odos sluoksnio atsilupimą (Stivenso-Džonsono (</w:t>
      </w:r>
      <w:r w:rsidRPr="00D459B0">
        <w:rPr>
          <w:rFonts w:ascii="Times New Roman" w:eastAsia="Times New Roman" w:hAnsi="Times New Roman" w:cs="Times New Roman"/>
          <w:i/>
        </w:rPr>
        <w:t>Stevens-Johnson</w:t>
      </w:r>
      <w:r w:rsidRPr="00D459B0">
        <w:rPr>
          <w:rFonts w:ascii="Times New Roman" w:eastAsia="Times New Roman" w:hAnsi="Times New Roman" w:cs="Times New Roman"/>
        </w:rPr>
        <w:t>) sindromas, Lajelio (</w:t>
      </w:r>
      <w:r w:rsidRPr="00D459B0">
        <w:rPr>
          <w:rFonts w:ascii="Times New Roman" w:eastAsia="Times New Roman" w:hAnsi="Times New Roman" w:cs="Times New Roman"/>
          <w:i/>
        </w:rPr>
        <w:t>Lyell</w:t>
      </w:r>
      <w:r w:rsidRPr="00D459B0">
        <w:rPr>
          <w:rFonts w:ascii="Times New Roman" w:eastAsia="Times New Roman" w:hAnsi="Times New Roman" w:cs="Times New Roman"/>
        </w:rPr>
        <w:t>) sindromas)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plikimas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reumatinių mazgelių kiekio padidėjimas</w:t>
      </w:r>
      <w:r>
        <w:rPr>
          <w:rFonts w:ascii="Times New Roman" w:eastAsia="Times New Roman" w:hAnsi="Times New Roman" w:cs="Times New Roman"/>
        </w:rPr>
        <w:t>;</w:t>
      </w:r>
    </w:p>
    <w:p w:rsidR="00C81C1A"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skausminga psoriazė</w:t>
      </w:r>
      <w:r>
        <w:rPr>
          <w:rFonts w:ascii="Times New Roman" w:eastAsia="Times New Roman" w:hAnsi="Times New Roman" w:cs="Times New Roman"/>
        </w:rPr>
        <w:t>;</w:t>
      </w:r>
    </w:p>
    <w:p w:rsidR="00C81C1A" w:rsidRPr="003B2E2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3B2E20">
        <w:rPr>
          <w:rFonts w:ascii="Times New Roman" w:eastAsia="Times New Roman" w:hAnsi="Times New Roman" w:cs="Times New Roman"/>
        </w:rPr>
        <w:t>nudegimą nuo saulės primenančios odos reakcijos dėl</w:t>
      </w:r>
      <w:r>
        <w:rPr>
          <w:rFonts w:ascii="Times New Roman" w:eastAsia="Times New Roman" w:hAnsi="Times New Roman" w:cs="Times New Roman"/>
        </w:rPr>
        <w:t xml:space="preserve"> </w:t>
      </w:r>
      <w:r w:rsidRPr="003B2E20">
        <w:rPr>
          <w:rFonts w:ascii="Times New Roman" w:eastAsia="Times New Roman" w:hAnsi="Times New Roman" w:cs="Times New Roman"/>
        </w:rPr>
        <w:t>padidėjusio odos jautrumo saulės šviesai</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sąnarių arba raumenų skausmas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osteoporozė (kaulų masės sumažėjimas)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šlapimo pūslės uždegimas ir išopėjimas (gali būti susijęs su kraujo atsiradimu šlapime), skausmingas šlapinimasis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vaisiaus vystymosi sutrikimai</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makšties uždegimas ir išopėjimas</w:t>
      </w:r>
      <w:r>
        <w:rPr>
          <w:rFonts w:ascii="Times New Roman" w:eastAsia="Times New Roman" w:hAnsi="Times New Roman" w:cs="Times New Roman"/>
        </w:rPr>
        <w:t>;</w:t>
      </w:r>
    </w:p>
    <w:p w:rsidR="00C81C1A" w:rsidRPr="00D459B0" w:rsidRDefault="00C81C1A" w:rsidP="00C81C1A">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deginimo pojūtis ar audinių pažeidimas Ebetrexat suleidus į raumenis.</w:t>
      </w: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Reti šalutinio poveikio reiškiniai (gali pasireikšti rečiau kaip 1 iš 1</w:t>
      </w:r>
      <w:r>
        <w:rPr>
          <w:rFonts w:ascii="Times New Roman" w:eastAsia="Times New Roman" w:hAnsi="Times New Roman" w:cs="Times New Roman"/>
          <w:b/>
          <w:bCs/>
        </w:rPr>
        <w:t> </w:t>
      </w:r>
      <w:r w:rsidRPr="004457C6">
        <w:rPr>
          <w:rFonts w:ascii="Times New Roman" w:eastAsia="Times New Roman" w:hAnsi="Times New Roman" w:cs="Times New Roman"/>
          <w:b/>
          <w:bCs/>
        </w:rPr>
        <w:t>000 asmenų):</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sepsis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raudonųjų kraujo kūnelių padidėjimas (megaloblastinė anemija)</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nuotaikos svyravimai</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laikinas suvokimo sutrikimas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viso kūno valingų judesių silpnumas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kalbos sutrikimas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sunkūs akių sutrikimai</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mažas kraujospūdis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kraujo krešuliai</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ryklės uždegimas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kvėpavimo pertrūkiai</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virškinimo trakto uždegimas, kraujingos išmatos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dantenų uždegimas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ūminis hepatitas (kepenų uždegimas)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nagų spalvos pokytis, nagų nukritimas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spuogai, raudonos arba purpurinės odos dėmės dėl kraujosruvų</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kaulų lūžiai fizinio krūvio metu</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elektrolitų pusiausvyros sutrikimai</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abortas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defektyvus spermos formavimasis</w:t>
      </w:r>
      <w:r>
        <w:rPr>
          <w:rFonts w:ascii="Times New Roman" w:eastAsia="Times New Roman" w:hAnsi="Times New Roman" w:cs="Times New Roman"/>
        </w:rPr>
        <w:t>;</w:t>
      </w:r>
    </w:p>
    <w:p w:rsidR="00C81C1A" w:rsidRPr="00D459B0" w:rsidRDefault="00C81C1A" w:rsidP="00C81C1A">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mėnesinių sutrikimas.</w:t>
      </w: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Labai reti šalutinio poveikio reiškiniai (gali pasireikšti rečiau kaip 1 iš 10</w:t>
      </w:r>
      <w:r>
        <w:rPr>
          <w:rFonts w:ascii="Times New Roman" w:eastAsia="Times New Roman" w:hAnsi="Times New Roman" w:cs="Times New Roman"/>
          <w:b/>
          <w:bCs/>
        </w:rPr>
        <w:t> </w:t>
      </w:r>
      <w:r w:rsidRPr="004457C6">
        <w:rPr>
          <w:rFonts w:ascii="Times New Roman" w:eastAsia="Times New Roman" w:hAnsi="Times New Roman" w:cs="Times New Roman"/>
          <w:b/>
          <w:bCs/>
        </w:rPr>
        <w:t>000 asmenų):</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D459B0">
        <w:rPr>
          <w:rFonts w:ascii="Times New Roman" w:eastAsia="Times New Roman" w:hAnsi="Times New Roman" w:cs="Times New Roman"/>
        </w:rPr>
        <w:t>aprastoji pūslelinė (</w:t>
      </w:r>
      <w:r w:rsidRPr="00D459B0">
        <w:rPr>
          <w:rFonts w:ascii="Times New Roman" w:eastAsia="Times New Roman" w:hAnsi="Times New Roman" w:cs="Times New Roman"/>
          <w:i/>
        </w:rPr>
        <w:t>Herpes simplex</w:t>
      </w:r>
      <w:r w:rsidRPr="00F84BE2">
        <w:rPr>
          <w:rFonts w:ascii="Times New Roman" w:eastAsia="Times New Roman" w:hAnsi="Times New Roman" w:cs="Times New Roman"/>
        </w:rPr>
        <w:t>)</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hepatitas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sunkus kaulų čiulpų funkcijos nepakankamumas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imuninės sistemos nepakank</w:t>
      </w:r>
      <w:r>
        <w:rPr>
          <w:rFonts w:ascii="Times New Roman" w:eastAsia="Times New Roman" w:hAnsi="Times New Roman" w:cs="Times New Roman"/>
        </w:rPr>
        <w:t>a</w:t>
      </w:r>
      <w:r w:rsidRPr="00F84BE2">
        <w:rPr>
          <w:rFonts w:ascii="Times New Roman" w:eastAsia="Times New Roman" w:hAnsi="Times New Roman" w:cs="Times New Roman"/>
        </w:rPr>
        <w:t>mumas (hipogamaglobulinemija)</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skausmas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raumenų silpnumas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w:t>
      </w:r>
      <w:r w:rsidRPr="00F84BE2">
        <w:rPr>
          <w:rFonts w:ascii="Times New Roman" w:eastAsia="Times New Roman" w:hAnsi="Times New Roman" w:cs="Times New Roman"/>
        </w:rPr>
        <w:t>konio pokyčiai (metalo skonis)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smegenų dangalo uždegimas, s</w:t>
      </w:r>
      <w:r w:rsidRPr="00F84BE2">
        <w:rPr>
          <w:rFonts w:ascii="Times New Roman" w:eastAsia="Times New Roman" w:hAnsi="Times New Roman" w:cs="Times New Roman"/>
        </w:rPr>
        <w:t>ukeliantis paralyžių ar vėmimą</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akių paraudimas</w:t>
      </w:r>
      <w:r>
        <w:rPr>
          <w:rFonts w:ascii="Times New Roman" w:eastAsia="Times New Roman" w:hAnsi="Times New Roman" w:cs="Times New Roman"/>
        </w:rPr>
        <w:t>;</w:t>
      </w:r>
      <w:r w:rsidRPr="00D459B0">
        <w:rPr>
          <w:rFonts w:ascii="Times New Roman" w:eastAsia="Times New Roman" w:hAnsi="Times New Roman" w:cs="Times New Roman"/>
        </w:rPr>
        <w:t xml:space="preserve"> </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maišelio aplink širdį uždegimas, skysčio susik</w:t>
      </w:r>
      <w:r w:rsidRPr="005C4A3B">
        <w:rPr>
          <w:rFonts w:ascii="Times New Roman" w:eastAsia="Times New Roman" w:hAnsi="Times New Roman" w:cs="Times New Roman"/>
        </w:rPr>
        <w:t>aupimas maišelyje aplink širdį</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pneumonija, </w:t>
      </w:r>
      <w:r w:rsidRPr="00F84BE2">
        <w:rPr>
          <w:rFonts w:ascii="Times New Roman" w:eastAsia="Times New Roman" w:hAnsi="Times New Roman" w:cs="Times New Roman"/>
        </w:rPr>
        <w:t>kvėpavimo sutrikimai, astma</w:t>
      </w:r>
      <w:r>
        <w:rPr>
          <w:rFonts w:ascii="Times New Roman" w:eastAsia="Times New Roman" w:hAnsi="Times New Roman" w:cs="Times New Roman"/>
        </w:rPr>
        <w:t>;</w:t>
      </w:r>
    </w:p>
    <w:p w:rsidR="00C81C1A"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vėmimas krauju;</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nepakankamumas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infekcija aplink pirštų nagus, votys, smulkios odos kraujagyslės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baltymų atsiradimas šlapime</w:t>
      </w:r>
      <w:r>
        <w:rPr>
          <w:rFonts w:ascii="Times New Roman" w:eastAsia="Times New Roman" w:hAnsi="Times New Roman" w:cs="Times New Roman"/>
        </w:rPr>
        <w:t>;</w:t>
      </w:r>
      <w:r w:rsidRPr="00D459B0">
        <w:rPr>
          <w:rFonts w:ascii="Times New Roman" w:eastAsia="Times New Roman" w:hAnsi="Times New Roman" w:cs="Times New Roman"/>
        </w:rPr>
        <w:t xml:space="preserve"> </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vaisiaus </w:t>
      </w:r>
      <w:r w:rsidRPr="00F84BE2">
        <w:rPr>
          <w:rFonts w:ascii="Times New Roman" w:eastAsia="Times New Roman" w:hAnsi="Times New Roman" w:cs="Times New Roman"/>
        </w:rPr>
        <w:t>mirtis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kiaušialąsčių (moterims) ir sėklos (vyrams) formavimosi sutrikimai</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lytinio potraukio praradimas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erekcijos sutrikima</w:t>
      </w:r>
      <w:r>
        <w:rPr>
          <w:rFonts w:ascii="Times New Roman" w:eastAsia="Times New Roman" w:hAnsi="Times New Roman" w:cs="Times New Roman"/>
        </w:rPr>
        <w:t>i;</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išskyros iš makšties</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nevaisingumas</w:t>
      </w:r>
      <w:r>
        <w:rPr>
          <w:rFonts w:ascii="Times New Roman" w:eastAsia="Times New Roman" w:hAnsi="Times New Roman" w:cs="Times New Roman"/>
        </w:rPr>
        <w:t>;</w:t>
      </w:r>
    </w:p>
    <w:p w:rsidR="00C81C1A" w:rsidRPr="004F5E7C" w:rsidRDefault="00C81C1A" w:rsidP="00C81C1A">
      <w:pPr>
        <w:pStyle w:val="Sraopastraipa"/>
        <w:numPr>
          <w:ilvl w:val="0"/>
          <w:numId w:val="22"/>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D459B0">
        <w:rPr>
          <w:rFonts w:ascii="Times New Roman" w:eastAsia="Times New Roman" w:hAnsi="Times New Roman" w:cs="Times New Roman"/>
        </w:rPr>
        <w:t>lengvos odos reakcijos, jeigu Ebetrexat buvo suleista po oda</w:t>
      </w:r>
      <w:r w:rsidRPr="004F5E7C">
        <w:rPr>
          <w:rFonts w:ascii="Times New Roman" w:eastAsia="Times New Roman" w:hAnsi="Times New Roman" w:cs="Times New Roman"/>
        </w:rPr>
        <w:t>;</w:t>
      </w:r>
    </w:p>
    <w:p w:rsidR="00C81C1A" w:rsidRDefault="00C81C1A" w:rsidP="00C81C1A">
      <w:pPr>
        <w:pStyle w:val="Sraopastraipa"/>
        <w:numPr>
          <w:ilvl w:val="0"/>
          <w:numId w:val="22"/>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F5E7C">
        <w:rPr>
          <w:rFonts w:ascii="Times New Roman" w:eastAsia="Times New Roman" w:hAnsi="Times New Roman" w:cs="Times New Roman"/>
        </w:rPr>
        <w:t xml:space="preserve">limfoproliferaciniai sutrikimai (pernelyg </w:t>
      </w:r>
      <w:r w:rsidRPr="00312885">
        <w:rPr>
          <w:rFonts w:ascii="Times New Roman" w:eastAsia="Times New Roman" w:hAnsi="Times New Roman" w:cs="Times New Roman"/>
        </w:rPr>
        <w:t>aktyvus baltųjų kraujo ląstelių augimas</w:t>
      </w:r>
      <w:r w:rsidRPr="004F5E7C">
        <w:rPr>
          <w:rFonts w:ascii="Times New Roman" w:eastAsia="Times New Roman" w:hAnsi="Times New Roman" w:cs="Times New Roman"/>
        </w:rPr>
        <w:t>)</w:t>
      </w:r>
      <w:r>
        <w:rPr>
          <w:rFonts w:ascii="Times New Roman" w:eastAsia="Times New Roman" w:hAnsi="Times New Roman" w:cs="Times New Roman"/>
        </w:rPr>
        <w:t>.</w:t>
      </w:r>
    </w:p>
    <w:p w:rsidR="00C81C1A" w:rsidRPr="00D459B0" w:rsidRDefault="00C81C1A" w:rsidP="00C81C1A">
      <w:pPr>
        <w:pStyle w:val="Sraopastraipa"/>
        <w:numPr>
          <w:ilvl w:val="0"/>
          <w:numId w:val="22"/>
        </w:numPr>
        <w:tabs>
          <w:tab w:val="left" w:pos="567"/>
        </w:tabs>
        <w:spacing w:after="0" w:line="240" w:lineRule="auto"/>
        <w:rPr>
          <w:rFonts w:ascii="Times New Roman" w:eastAsia="Times New Roman" w:hAnsi="Times New Roman" w:cs="Times New Roman"/>
        </w:rPr>
      </w:pPr>
      <w:r w:rsidRPr="008B04BB">
        <w:rPr>
          <w:rFonts w:ascii="Times New Roman" w:eastAsia="Times New Roman" w:hAnsi="Times New Roman" w:cs="Times New Roman"/>
        </w:rPr>
        <w:t>tirpimo arba dilgčiojimo pojūtis / mažesnis nei įprastas jautrumas dirginimui</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Šalutinio poveikio reiškiniai, kurių dažnis nežinomas (negali būti apskaičiuotas pagal turimus duomenis):</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infekcijos, kurios kai kuriais atvejais gali būti mirtinos</w:t>
      </w:r>
      <w:r>
        <w:rPr>
          <w:rFonts w:ascii="Times New Roman" w:eastAsia="Times New Roman" w:hAnsi="Times New Roman" w:cs="Times New Roman"/>
        </w:rPr>
        <w:t>;</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limfmazgių padidėjimas</w:t>
      </w:r>
      <w:r>
        <w:rPr>
          <w:rFonts w:ascii="Times New Roman" w:eastAsia="Times New Roman" w:hAnsi="Times New Roman" w:cs="Times New Roman"/>
        </w:rPr>
        <w:t>;</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sutrikusi imuninės sistemos veikla</w:t>
      </w:r>
      <w:r>
        <w:rPr>
          <w:rFonts w:ascii="Times New Roman" w:eastAsia="Times New Roman" w:hAnsi="Times New Roman" w:cs="Times New Roman"/>
        </w:rPr>
        <w:t>;</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karščiavimas</w:t>
      </w:r>
      <w:r>
        <w:rPr>
          <w:rFonts w:ascii="Times New Roman" w:eastAsia="Times New Roman" w:hAnsi="Times New Roman" w:cs="Times New Roman"/>
        </w:rPr>
        <w:t>;</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smulkiųjų kraujagyslių uždegimas, kurį sukėlė alerginė reakcija</w:t>
      </w:r>
      <w:r>
        <w:rPr>
          <w:rFonts w:ascii="Times New Roman" w:eastAsia="Times New Roman" w:hAnsi="Times New Roman" w:cs="Times New Roman"/>
        </w:rPr>
        <w:t>;</w:t>
      </w:r>
    </w:p>
    <w:p w:rsidR="00C81C1A" w:rsidRPr="00D459B0"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pilvaplėvės uždegimas</w:t>
      </w:r>
      <w:r>
        <w:rPr>
          <w:rFonts w:ascii="Times New Roman" w:eastAsia="Times New Roman" w:hAnsi="Times New Roman" w:cs="Times New Roman"/>
        </w:rPr>
        <w:t>;</w:t>
      </w:r>
    </w:p>
    <w:p w:rsidR="00C81C1A"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sulėtėjęs žaizdų gijimas</w:t>
      </w:r>
      <w:r>
        <w:rPr>
          <w:rFonts w:ascii="Times New Roman" w:eastAsia="Times New Roman" w:hAnsi="Times New Roman" w:cs="Times New Roman"/>
        </w:rPr>
        <w:t>;</w:t>
      </w:r>
    </w:p>
    <w:p w:rsidR="00C81C1A"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FA2B2E">
        <w:rPr>
          <w:rFonts w:ascii="Times New Roman" w:eastAsia="Times New Roman" w:hAnsi="Times New Roman" w:cs="Times New Roman"/>
        </w:rPr>
        <w:t>kraujavimas iš plaučių</w:t>
      </w:r>
      <w:r>
        <w:rPr>
          <w:rFonts w:ascii="Times New Roman" w:eastAsia="Times New Roman" w:hAnsi="Times New Roman" w:cs="Times New Roman"/>
        </w:rPr>
        <w:t>;</w:t>
      </w:r>
    </w:p>
    <w:p w:rsidR="00C81C1A"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8E282A">
        <w:rPr>
          <w:rFonts w:ascii="Times New Roman" w:eastAsia="Times New Roman" w:hAnsi="Times New Roman" w:cs="Times New Roman"/>
        </w:rPr>
        <w:t>kaulo pažeidimas žandikaulyje (pernelyg didelio baltųjų krauj</w:t>
      </w:r>
      <w:r>
        <w:rPr>
          <w:rFonts w:ascii="Times New Roman" w:eastAsia="Times New Roman" w:hAnsi="Times New Roman" w:cs="Times New Roman"/>
        </w:rPr>
        <w:t>o ląstelių dauginimosi pasekmė);</w:t>
      </w:r>
    </w:p>
    <w:p w:rsidR="00C81C1A"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audinių irimas injekcijos vietoje.</w:t>
      </w:r>
    </w:p>
    <w:p w:rsidR="00C81C1A" w:rsidRPr="00323313"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5D2B2C">
        <w:rPr>
          <w:rFonts w:ascii="Times New Roman" w:hAnsi="Times New Roman" w:cs="Times New Roman"/>
          <w:bCs/>
        </w:rPr>
        <w:t>odos paraudimas ir lupimasis</w:t>
      </w:r>
    </w:p>
    <w:p w:rsidR="00C81C1A" w:rsidRPr="008E282A" w:rsidRDefault="00C81C1A" w:rsidP="00C81C1A">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8B04BB">
        <w:rPr>
          <w:rFonts w:ascii="Times New Roman" w:eastAsia="Times New Roman" w:hAnsi="Times New Roman" w:cs="Times New Roman"/>
        </w:rPr>
        <w:t>patinimas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Metotreksato suleidus į raumenis, injekcijos vietoje dažnai gali atsirasti lokalus nepageidaujamas poveikis (deginimo pojūtis) arba pažaida (sterilaus absceso formavimasis, riebalinio audinio ardymas). Po oda suleisto metotreksato lokalus toleravimas yra geras. Buvo pastebėtos tik lengvos lokalios odos reakcijos, kurių kiekis gydymo metu mažėjo.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Metotreksatas gali sumažinti baltųjų kraujo ląstelių kiekį, todėl gali sumažėti Jūsų atsparumas infekcijai. Jeigu patiriate infekciją, pasireiškiančią tokiais simptomais, kaip karščiavimas, susijęs su stipriu bendrosios būklės pablogėjimu, arba karščiavimas, susijęs su lokaliais infekcijos simptomais, pvz., ryklės ar burnos gleivinės uždegimu arba šlapimo organų veiklos sutrikimu, nedelsdami turite kreiptis į savo gydytoją. Jums bus atlikti kraujo tyrimai, kad būtų galima nustatyti, ar nesumažėjęs baltųjų kraujo ląstelių kiekis (agranulocitozė). Gydytoją svarbu informuoti apie Jūsų vartojamą vaistą.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Metotreksatas gali sukelti sunkų (kartais gyvybei pavojingą) šalutinį poveikį. Taigi Jūsų gydytojas atliks tyrimus, kad galėtų nustatyti atsiradusius kraujo pokyčius (pvz., mažą baltųjų kraujo ląstelių kiekį, mažą kraujo plokštelių kiekį, limfomą) ir inkstų bei kepenų veiklos pokyčius.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noProof/>
        </w:rPr>
        <w:t>Pranešimas apie šalutinį poveikį</w:t>
      </w:r>
    </w:p>
    <w:p w:rsidR="00C81C1A" w:rsidRDefault="00C81C1A" w:rsidP="00C81C1A">
      <w:pPr>
        <w:spacing w:after="0" w:line="240" w:lineRule="auto"/>
        <w:rPr>
          <w:rFonts w:ascii="Times New Roman" w:hAnsi="Times New Roman"/>
        </w:rPr>
      </w:pPr>
      <w:r w:rsidRPr="00CE4A05">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CE4A05">
        <w:rPr>
          <w:rFonts w:ascii="Times New Roman" w:hAnsi="Times New Roman"/>
        </w:rPr>
        <w:t xml:space="preserve"> 800 73 568. Pranešdami apie šalutinį poveikį galite mums padėti gauti daugiau informacijos apie šio vaisto saugumą.</w:t>
      </w:r>
    </w:p>
    <w:p w:rsidR="00C81C1A" w:rsidRPr="00CE4A05" w:rsidRDefault="00C81C1A" w:rsidP="00C81C1A">
      <w:pPr>
        <w:spacing w:after="0" w:line="240" w:lineRule="auto"/>
        <w:rPr>
          <w:rFonts w:ascii="Times New Roman" w:hAnsi="Times New Roman"/>
        </w:rPr>
      </w:pPr>
    </w:p>
    <w:p w:rsidR="00C81C1A" w:rsidRPr="002E4D40" w:rsidRDefault="00C81C1A" w:rsidP="00C81C1A">
      <w:pPr>
        <w:spacing w:after="0" w:line="240" w:lineRule="auto"/>
        <w:ind w:right="48"/>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bookmarkStart w:id="4" w:name="_Toc129243268"/>
      <w:bookmarkStart w:id="5" w:name="_Toc129243143"/>
      <w:r w:rsidRPr="002E4D40">
        <w:rPr>
          <w:rFonts w:ascii="Times New Roman" w:eastAsia="Times New Roman" w:hAnsi="Times New Roman" w:cs="Times New Roman"/>
          <w:b/>
        </w:rPr>
        <w:t>5.</w:t>
      </w:r>
      <w:r w:rsidRPr="002E4D40">
        <w:rPr>
          <w:rFonts w:ascii="Times New Roman" w:eastAsia="Times New Roman" w:hAnsi="Times New Roman" w:cs="Times New Roman"/>
          <w:b/>
        </w:rPr>
        <w:tab/>
        <w:t>Kaip laikyti Ebetrexat</w:t>
      </w:r>
      <w:bookmarkEnd w:id="4"/>
      <w:bookmarkEnd w:id="5"/>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Šį vaistą laikykite vaikams nepastebimoje ir nepasiekiamoje vietoje.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Ant kartono dėžutės ir užpildyto švirkšto etiketėje po „EXP“ nurodytam tinkamumo laikui pasibaigus, šio vaisto vartoti negalima. Vaistas tinkamas vartoti iki paskutinės nurodyto mėnesio dienos.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Pr>
          <w:rFonts w:ascii="Times New Roman" w:eastAsia="Times New Roman" w:hAnsi="Times New Roman" w:cs="Times New Roman"/>
        </w:rPr>
        <w:t>vaistas</w:t>
      </w:r>
      <w:r w:rsidRPr="002E4D40">
        <w:rPr>
          <w:rFonts w:ascii="Times New Roman" w:eastAsia="Times New Roman" w:hAnsi="Times New Roman" w:cs="Times New Roman"/>
        </w:rPr>
        <w:t xml:space="preserve"> būtų apsaugotas nuo šviesos.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Po atidarymo </w:t>
      </w:r>
      <w:r>
        <w:rPr>
          <w:rFonts w:ascii="Times New Roman" w:eastAsia="Times New Roman" w:hAnsi="Times New Roman" w:cs="Times New Roman"/>
        </w:rPr>
        <w:t>vaistą</w:t>
      </w:r>
      <w:r w:rsidRPr="002E4D40">
        <w:rPr>
          <w:rFonts w:ascii="Times New Roman" w:eastAsia="Times New Roman" w:hAnsi="Times New Roman" w:cs="Times New Roman"/>
        </w:rPr>
        <w:t xml:space="preserve"> reikia leisti nedelsiant.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Jeigu tirpalas neskaidrus ir jame yra dalelių, Ebetrexat vartoti negalima.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Tik vienkartiniam vartojimui. Nesuvartotą tirpalą reikia sunaikinti.</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bookmarkStart w:id="6" w:name="_Toc129243269"/>
      <w:bookmarkStart w:id="7" w:name="_Toc129243144"/>
      <w:r w:rsidRPr="002E4D40">
        <w:rPr>
          <w:rFonts w:ascii="Times New Roman" w:eastAsia="Times New Roman" w:hAnsi="Times New Roman" w:cs="Times New Roman"/>
          <w:b/>
        </w:rPr>
        <w:t>6.</w:t>
      </w:r>
      <w:r w:rsidRPr="002E4D40">
        <w:rPr>
          <w:rFonts w:ascii="Times New Roman" w:eastAsia="Times New Roman" w:hAnsi="Times New Roman" w:cs="Times New Roman"/>
          <w:b/>
        </w:rPr>
        <w:tab/>
        <w:t>Pakuotės turinys ir kita informacija</w:t>
      </w:r>
      <w:bookmarkEnd w:id="6"/>
      <w:bookmarkEnd w:id="7"/>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sudėtis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Veiklioji medžiaga yra metotreksatas. </w:t>
      </w:r>
    </w:p>
    <w:p w:rsidR="00C81C1A" w:rsidRPr="002E4D40" w:rsidRDefault="00C81C1A" w:rsidP="00C81C1A">
      <w:pPr>
        <w:tabs>
          <w:tab w:val="left" w:pos="567"/>
        </w:tabs>
        <w:spacing w:after="0" w:line="240" w:lineRule="auto"/>
        <w:ind w:left="567"/>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ml injekcinio tirpalo yra 20 mg metotreksato (21,94 mg metotreksato dinatrio druskos pavidalu).</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0,375 ml injekcinio tirpalo užpildytame švirkšte yra 7,5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0,5 ml injekcinio tirpalo užpildytame švirkšte yra 10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0,625 ml injekcinio tirpalo užpildytame švirkšte yra 12,5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 xml:space="preserve">Kiekviename </w:t>
      </w:r>
      <w:r w:rsidRPr="002E4D40">
        <w:rPr>
          <w:rFonts w:ascii="Times New Roman" w:eastAsia="Times New Roman" w:hAnsi="Times New Roman" w:cs="Times New Roman"/>
        </w:rPr>
        <w:t>0,75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15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0,875 ml injekcinio tirpalo užpildytame švirkšte yra 17,5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1</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20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1,125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22,5</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1,25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25</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1,375 ml injekcinio tirpalo užpildytame švirkšte yra 27,5 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Pr="002E4D40">
        <w:rPr>
          <w:rFonts w:ascii="Times New Roman" w:eastAsia="Times New Roman" w:hAnsi="Times New Roman" w:cs="Times New Roman"/>
        </w:rPr>
        <w:t xml:space="preserve"> 1,5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30</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Pagalbinės medžiagos yra natrio chloridas, natrio hidroksidas (pH koreguoti) ir injekcinis vanduo.</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išvaizda ir kiekis pakuotėje</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Užpildytame švirkšte esantis Ebe</w:t>
      </w:r>
      <w:r>
        <w:rPr>
          <w:rFonts w:ascii="Times New Roman" w:eastAsia="Times New Roman" w:hAnsi="Times New Roman" w:cs="Times New Roman"/>
        </w:rPr>
        <w:t>t</w:t>
      </w:r>
      <w:r w:rsidRPr="002E4D40">
        <w:rPr>
          <w:rFonts w:ascii="Times New Roman" w:eastAsia="Times New Roman" w:hAnsi="Times New Roman" w:cs="Times New Roman"/>
        </w:rPr>
        <w:t xml:space="preserve">rexat yra skaidrus, gelsvas injekcinis tirpalas.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Kiekvienoje </w:t>
      </w:r>
      <w:r>
        <w:rPr>
          <w:rFonts w:ascii="Times New Roman" w:eastAsia="Times New Roman" w:hAnsi="Times New Roman" w:cs="Times New Roman"/>
        </w:rPr>
        <w:t xml:space="preserve">kartono </w:t>
      </w:r>
      <w:r w:rsidRPr="002E4D40">
        <w:rPr>
          <w:rFonts w:ascii="Times New Roman" w:eastAsia="Times New Roman" w:hAnsi="Times New Roman" w:cs="Times New Roman"/>
        </w:rPr>
        <w:t>dėžutėje yra 1</w:t>
      </w:r>
      <w:r>
        <w:rPr>
          <w:rFonts w:ascii="Times New Roman" w:eastAsia="Times New Roman" w:hAnsi="Times New Roman" w:cs="Times New Roman"/>
        </w:rPr>
        <w:t xml:space="preserve"> užpildytas švirkštas</w:t>
      </w:r>
      <w:r w:rsidRPr="002E4D40">
        <w:rPr>
          <w:rFonts w:ascii="Times New Roman" w:eastAsia="Times New Roman" w:hAnsi="Times New Roman" w:cs="Times New Roman"/>
        </w:rPr>
        <w:t>, kuri</w:t>
      </w:r>
      <w:r>
        <w:rPr>
          <w:rFonts w:ascii="Times New Roman" w:eastAsia="Times New Roman" w:hAnsi="Times New Roman" w:cs="Times New Roman"/>
        </w:rPr>
        <w:t>o</w:t>
      </w:r>
      <w:r w:rsidRPr="002E4D40">
        <w:rPr>
          <w:rFonts w:ascii="Times New Roman" w:eastAsia="Times New Roman" w:hAnsi="Times New Roman" w:cs="Times New Roman"/>
        </w:rPr>
        <w:t xml:space="preserve"> kiekviename yra 0,375</w:t>
      </w:r>
      <w:r>
        <w:rPr>
          <w:rFonts w:ascii="Times New Roman" w:eastAsia="Times New Roman" w:hAnsi="Times New Roman" w:cs="Times New Roman"/>
        </w:rPr>
        <w:t> </w:t>
      </w:r>
      <w:r w:rsidRPr="002E4D40">
        <w:rPr>
          <w:rFonts w:ascii="Times New Roman" w:eastAsia="Times New Roman" w:hAnsi="Times New Roman" w:cs="Times New Roman"/>
        </w:rPr>
        <w:t>ml, 0,5</w:t>
      </w:r>
      <w:r>
        <w:rPr>
          <w:rFonts w:ascii="Times New Roman" w:eastAsia="Times New Roman" w:hAnsi="Times New Roman" w:cs="Times New Roman"/>
        </w:rPr>
        <w:t> </w:t>
      </w:r>
      <w:r w:rsidRPr="002E4D40">
        <w:rPr>
          <w:rFonts w:ascii="Times New Roman" w:eastAsia="Times New Roman" w:hAnsi="Times New Roman" w:cs="Times New Roman"/>
        </w:rPr>
        <w:t>ml, 0,625 ml, 0,75</w:t>
      </w:r>
      <w:r>
        <w:rPr>
          <w:rFonts w:ascii="Times New Roman" w:eastAsia="Times New Roman" w:hAnsi="Times New Roman" w:cs="Times New Roman"/>
        </w:rPr>
        <w:t> </w:t>
      </w:r>
      <w:r w:rsidRPr="002E4D40">
        <w:rPr>
          <w:rFonts w:ascii="Times New Roman" w:eastAsia="Times New Roman" w:hAnsi="Times New Roman" w:cs="Times New Roman"/>
        </w:rPr>
        <w:t>ml, 0,875 ml, 1</w:t>
      </w:r>
      <w:r>
        <w:rPr>
          <w:rFonts w:ascii="Times New Roman" w:eastAsia="Times New Roman" w:hAnsi="Times New Roman" w:cs="Times New Roman"/>
        </w:rPr>
        <w:t> </w:t>
      </w:r>
      <w:r w:rsidRPr="002E4D40">
        <w:rPr>
          <w:rFonts w:ascii="Times New Roman" w:eastAsia="Times New Roman" w:hAnsi="Times New Roman" w:cs="Times New Roman"/>
        </w:rPr>
        <w:t>ml, 1,125</w:t>
      </w:r>
      <w:r>
        <w:rPr>
          <w:rFonts w:ascii="Times New Roman" w:eastAsia="Times New Roman" w:hAnsi="Times New Roman" w:cs="Times New Roman"/>
        </w:rPr>
        <w:t> </w:t>
      </w:r>
      <w:r w:rsidRPr="002E4D40">
        <w:rPr>
          <w:rFonts w:ascii="Times New Roman" w:eastAsia="Times New Roman" w:hAnsi="Times New Roman" w:cs="Times New Roman"/>
        </w:rPr>
        <w:t>ml, 1,25</w:t>
      </w:r>
      <w:r>
        <w:rPr>
          <w:rFonts w:ascii="Times New Roman" w:eastAsia="Times New Roman" w:hAnsi="Times New Roman" w:cs="Times New Roman"/>
        </w:rPr>
        <w:t> </w:t>
      </w:r>
      <w:r w:rsidRPr="002E4D40">
        <w:rPr>
          <w:rFonts w:ascii="Times New Roman" w:eastAsia="Times New Roman" w:hAnsi="Times New Roman" w:cs="Times New Roman"/>
        </w:rPr>
        <w:t>ml, 1,375 ml arba 1,5</w:t>
      </w:r>
      <w:r>
        <w:rPr>
          <w:rFonts w:ascii="Times New Roman" w:eastAsia="Times New Roman" w:hAnsi="Times New Roman" w:cs="Times New Roman"/>
        </w:rPr>
        <w:t> </w:t>
      </w:r>
      <w:r w:rsidRPr="002E4D40">
        <w:rPr>
          <w:rFonts w:ascii="Times New Roman" w:eastAsia="Times New Roman" w:hAnsi="Times New Roman" w:cs="Times New Roman"/>
        </w:rPr>
        <w:t>ml injekcinio tirpalo, vienkartinių injekcinių adatų be arba su apsaugine kaniule ir alkoholiu suvilgytų tamponų.</w:t>
      </w:r>
    </w:p>
    <w:p w:rsidR="00C81C1A"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Sudėtinėse pakuotėse yra 4, 5, 6, 12 arba 30 užpildytų švirkštų (kartono dėžutėje yra 1 užpildytas švirkštas).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Gali būti tiekiamos ne visų dydžių pakuotės.</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b/>
        </w:rPr>
      </w:pPr>
      <w:r w:rsidRPr="0043521D">
        <w:rPr>
          <w:rFonts w:ascii="Times New Roman" w:eastAsia="Times New Roman" w:hAnsi="Times New Roman" w:cs="Times New Roman"/>
          <w:b/>
        </w:rPr>
        <w:t>Registruotojas</w:t>
      </w:r>
      <w:r w:rsidRPr="0043521D" w:rsidDel="0043521D">
        <w:rPr>
          <w:rFonts w:ascii="Times New Roman" w:eastAsia="Times New Roman" w:hAnsi="Times New Roman" w:cs="Times New Roman"/>
          <w:b/>
        </w:rPr>
        <w:t xml:space="preserve"> </w:t>
      </w:r>
    </w:p>
    <w:p w:rsidR="00C81C1A" w:rsidRPr="008E6F95" w:rsidRDefault="00C81C1A" w:rsidP="00C81C1A">
      <w:pPr>
        <w:spacing w:after="0" w:line="240" w:lineRule="auto"/>
        <w:rPr>
          <w:rFonts w:ascii="Times New Roman" w:hAnsi="Times New Roman" w:cs="Times New Roman"/>
        </w:rPr>
      </w:pPr>
      <w:r w:rsidRPr="008E6F95">
        <w:rPr>
          <w:rFonts w:ascii="Times New Roman" w:hAnsi="Times New Roman" w:cs="Times New Roman"/>
        </w:rPr>
        <w:t>Sandoz d.d.</w:t>
      </w:r>
    </w:p>
    <w:p w:rsidR="00C81C1A" w:rsidRPr="008E6F95" w:rsidRDefault="00C81C1A" w:rsidP="00C81C1A">
      <w:pPr>
        <w:spacing w:after="0" w:line="240" w:lineRule="auto"/>
        <w:rPr>
          <w:rFonts w:ascii="Times New Roman" w:hAnsi="Times New Roman" w:cs="Times New Roman"/>
        </w:rPr>
      </w:pPr>
      <w:r w:rsidRPr="008E6F95">
        <w:rPr>
          <w:rFonts w:ascii="Times New Roman" w:hAnsi="Times New Roman" w:cs="Times New Roman"/>
        </w:rPr>
        <w:t>Verovškova 57</w:t>
      </w:r>
    </w:p>
    <w:p w:rsidR="00C81C1A" w:rsidRPr="008E6F95" w:rsidRDefault="00C81C1A" w:rsidP="00C81C1A">
      <w:pPr>
        <w:spacing w:after="0" w:line="240" w:lineRule="auto"/>
        <w:rPr>
          <w:rFonts w:ascii="Times New Roman" w:hAnsi="Times New Roman" w:cs="Times New Roman"/>
        </w:rPr>
      </w:pPr>
      <w:r w:rsidRPr="008E6F95">
        <w:rPr>
          <w:rFonts w:ascii="Times New Roman" w:hAnsi="Times New Roman" w:cs="Times New Roman"/>
        </w:rPr>
        <w:t>SI-1000 Ljubljana</w:t>
      </w:r>
    </w:p>
    <w:p w:rsidR="00C81C1A" w:rsidRPr="008E6F95" w:rsidRDefault="00C81C1A" w:rsidP="00C81C1A">
      <w:pPr>
        <w:spacing w:after="0" w:line="240" w:lineRule="auto"/>
        <w:rPr>
          <w:rFonts w:ascii="Times New Roman" w:hAnsi="Times New Roman" w:cs="Times New Roman"/>
        </w:rPr>
      </w:pPr>
      <w:r w:rsidRPr="008E6F95">
        <w:rPr>
          <w:rFonts w:ascii="Times New Roman" w:hAnsi="Times New Roman" w:cs="Times New Roman"/>
        </w:rPr>
        <w:t>Slovėnija</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Gamintojas</w:t>
      </w:r>
    </w:p>
    <w:tbl>
      <w:tblPr>
        <w:tblW w:w="0" w:type="auto"/>
        <w:tblLook w:val="01E0" w:firstRow="1" w:lastRow="1" w:firstColumn="1" w:lastColumn="1" w:noHBand="0" w:noVBand="0"/>
      </w:tblPr>
      <w:tblGrid>
        <w:gridCol w:w="4968"/>
        <w:gridCol w:w="4318"/>
      </w:tblGrid>
      <w:tr w:rsidR="00C81C1A" w:rsidRPr="002E4D40" w:rsidTr="008E2488">
        <w:tc>
          <w:tcPr>
            <w:tcW w:w="4968" w:type="dxa"/>
            <w:shd w:val="clear" w:color="auto" w:fill="auto"/>
          </w:tcPr>
          <w:p w:rsidR="00C81C1A" w:rsidRPr="002E4D40" w:rsidRDefault="00C81C1A" w:rsidP="008E2488">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EBEWE Pharma Ges.m.b.H. Nfg. KG</w:t>
            </w:r>
          </w:p>
          <w:p w:rsidR="00C81C1A" w:rsidRPr="002E4D40" w:rsidRDefault="00C81C1A" w:rsidP="008E2488">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Mondseestra</w:t>
            </w:r>
            <w:r>
              <w:rPr>
                <w:rFonts w:ascii="Times New Roman" w:eastAsia="Times New Roman" w:hAnsi="Times New Roman" w:cs="Times New Roman"/>
              </w:rPr>
              <w:t>ß</w:t>
            </w:r>
            <w:r w:rsidRPr="002E4D40">
              <w:rPr>
                <w:rFonts w:ascii="Times New Roman" w:eastAsia="Times New Roman" w:hAnsi="Times New Roman" w:cs="Times New Roman"/>
              </w:rPr>
              <w:t>e 11</w:t>
            </w:r>
          </w:p>
          <w:p w:rsidR="00C81C1A" w:rsidRPr="002E4D40" w:rsidRDefault="00C81C1A" w:rsidP="008E2488">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A-4866 Unterach</w:t>
            </w:r>
          </w:p>
          <w:p w:rsidR="00C81C1A" w:rsidRPr="002E4D40" w:rsidRDefault="00C81C1A" w:rsidP="008E2488">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Austrija</w:t>
            </w:r>
          </w:p>
        </w:tc>
        <w:tc>
          <w:tcPr>
            <w:tcW w:w="4318" w:type="dxa"/>
            <w:shd w:val="clear" w:color="auto" w:fill="auto"/>
          </w:tcPr>
          <w:p w:rsidR="00C81C1A" w:rsidRPr="002E4D40" w:rsidRDefault="00C81C1A" w:rsidP="008E2488">
            <w:pPr>
              <w:tabs>
                <w:tab w:val="left" w:pos="567"/>
              </w:tabs>
              <w:spacing w:after="0" w:line="240" w:lineRule="auto"/>
              <w:rPr>
                <w:rFonts w:ascii="Times New Roman" w:eastAsia="Times New Roman" w:hAnsi="Times New Roman" w:cs="Times New Roman"/>
              </w:rPr>
            </w:pPr>
          </w:p>
        </w:tc>
      </w:tr>
    </w:tbl>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Salutas Pharma GmbH </w:t>
      </w:r>
    </w:p>
    <w:p w:rsidR="00C81C1A" w:rsidRPr="002E4D40" w:rsidRDefault="00C81C1A" w:rsidP="00C81C1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Otto-von-Guericke-Alle</w:t>
      </w:r>
      <w:r>
        <w:rPr>
          <w:rFonts w:ascii="Times New Roman" w:eastAsia="Arial Unicode MS" w:hAnsi="Times New Roman" w:cs="Times New Roman"/>
        </w:rPr>
        <w:t>e</w:t>
      </w:r>
      <w:r w:rsidRPr="002E4D40">
        <w:rPr>
          <w:rFonts w:ascii="Times New Roman" w:eastAsia="Arial Unicode MS" w:hAnsi="Times New Roman" w:cs="Times New Roman"/>
        </w:rPr>
        <w:t xml:space="preserve"> 1 </w:t>
      </w:r>
    </w:p>
    <w:p w:rsidR="00C81C1A" w:rsidRPr="002E4D40" w:rsidRDefault="00C81C1A" w:rsidP="00C81C1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D-39179 Barleben </w:t>
      </w:r>
    </w:p>
    <w:p w:rsidR="00C81C1A" w:rsidRPr="002E4D40" w:rsidRDefault="00C81C1A" w:rsidP="00C81C1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Vokietija</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Pr="00EC3CE3" w:rsidRDefault="00C81C1A" w:rsidP="00C81C1A">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Fareva Unterach GmbH</w:t>
      </w:r>
    </w:p>
    <w:p w:rsidR="00C81C1A" w:rsidRPr="00EC3CE3" w:rsidRDefault="00C81C1A" w:rsidP="00C81C1A">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Mondseestrasse 11</w:t>
      </w:r>
    </w:p>
    <w:p w:rsidR="00C81C1A" w:rsidRPr="00EC3CE3" w:rsidRDefault="00C81C1A" w:rsidP="00C81C1A">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A-4866 Unterach</w:t>
      </w:r>
    </w:p>
    <w:p w:rsidR="00C81C1A" w:rsidRDefault="00C81C1A" w:rsidP="00C81C1A">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Austrija</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C81C1A"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Sandoz Pharmaceuticals d.d. filialas</w:t>
      </w:r>
    </w:p>
    <w:p w:rsidR="00C81C1A" w:rsidRPr="002E4D40"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Tel.: +370 5 2636 037</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Default="00C81C1A" w:rsidP="00C81C1A">
      <w:pPr>
        <w:tabs>
          <w:tab w:val="left" w:pos="567"/>
        </w:tabs>
        <w:spacing w:after="0" w:line="240" w:lineRule="auto"/>
        <w:rPr>
          <w:rFonts w:ascii="Times New Roman" w:eastAsia="Times New Roman" w:hAnsi="Times New Roman" w:cs="Times New Roman"/>
          <w:b/>
        </w:rPr>
      </w:pPr>
      <w:r w:rsidRPr="0043521D">
        <w:rPr>
          <w:rFonts w:ascii="Times New Roman" w:eastAsia="Times New Roman" w:hAnsi="Times New Roman" w:cs="Times New Roman"/>
          <w:b/>
        </w:rPr>
        <w:t xml:space="preserve">Šis vaistas </w:t>
      </w:r>
      <w:r w:rsidRPr="00FB098B">
        <w:rPr>
          <w:rFonts w:ascii="Times New Roman" w:eastAsia="Times New Roman" w:hAnsi="Times New Roman" w:cs="Times New Roman"/>
          <w:b/>
        </w:rPr>
        <w:t xml:space="preserve">Europos ekonominės erdvės </w:t>
      </w:r>
      <w:r w:rsidRPr="0043521D">
        <w:rPr>
          <w:rFonts w:ascii="Times New Roman" w:eastAsia="Times New Roman" w:hAnsi="Times New Roman" w:cs="Times New Roman"/>
          <w:b/>
        </w:rPr>
        <w:t xml:space="preserve">valstybėse narėse </w:t>
      </w:r>
      <w:r w:rsidRPr="002E4444">
        <w:rPr>
          <w:rFonts w:ascii="Times New Roman" w:eastAsia="Times New Roman" w:hAnsi="Times New Roman" w:cs="Times New Roman"/>
          <w:b/>
        </w:rPr>
        <w:t xml:space="preserve">ir Jungtinėje Karalystėje (Šiaurės Airijoje) </w:t>
      </w:r>
      <w:r w:rsidRPr="0043521D">
        <w:rPr>
          <w:rFonts w:ascii="Times New Roman" w:eastAsia="Times New Roman" w:hAnsi="Times New Roman" w:cs="Times New Roman"/>
          <w:b/>
        </w:rPr>
        <w:t>registruotas tokiais pavadinimais</w:t>
      </w:r>
      <w:r w:rsidRPr="002E4D40">
        <w:rPr>
          <w:rFonts w:ascii="Times New Roman" w:eastAsia="Times New Roman" w:hAnsi="Times New Roman" w:cs="Times New Roman"/>
          <w:b/>
        </w:rPr>
        <w:t>:</w:t>
      </w:r>
    </w:p>
    <w:p w:rsidR="00C81C1A" w:rsidRDefault="00C81C1A" w:rsidP="00C81C1A">
      <w:pPr>
        <w:tabs>
          <w:tab w:val="left" w:pos="567"/>
        </w:tabs>
        <w:spacing w:after="0" w:line="240" w:lineRule="auto"/>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4697"/>
        <w:gridCol w:w="4697"/>
      </w:tblGrid>
      <w:tr w:rsidR="00C81C1A" w:rsidTr="008E2488">
        <w:tc>
          <w:tcPr>
            <w:tcW w:w="4697" w:type="dxa"/>
          </w:tcPr>
          <w:p w:rsidR="00C81C1A" w:rsidRPr="005855DF" w:rsidRDefault="00C81C1A" w:rsidP="008E2488">
            <w:pPr>
              <w:tabs>
                <w:tab w:val="left" w:pos="567"/>
              </w:tabs>
              <w:spacing w:after="0" w:line="240" w:lineRule="auto"/>
            </w:pPr>
            <w:r w:rsidRPr="005855DF">
              <w:t xml:space="preserve">Austrija, Belgija, Bulgarija, Vengrija, Lietuva, Lenkija </w:t>
            </w:r>
          </w:p>
        </w:tc>
        <w:tc>
          <w:tcPr>
            <w:tcW w:w="4697" w:type="dxa"/>
          </w:tcPr>
          <w:p w:rsidR="00C81C1A" w:rsidRPr="005855DF" w:rsidRDefault="00C81C1A" w:rsidP="008E2488">
            <w:pPr>
              <w:tabs>
                <w:tab w:val="left" w:pos="567"/>
              </w:tabs>
              <w:spacing w:after="0" w:line="240" w:lineRule="auto"/>
            </w:pPr>
            <w:r w:rsidRPr="005855DF">
              <w:t>Ebetrexat</w:t>
            </w:r>
          </w:p>
        </w:tc>
      </w:tr>
      <w:tr w:rsidR="00C81C1A" w:rsidTr="008E2488">
        <w:tc>
          <w:tcPr>
            <w:tcW w:w="4697" w:type="dxa"/>
          </w:tcPr>
          <w:p w:rsidR="00C81C1A" w:rsidRPr="005855DF" w:rsidRDefault="00C81C1A" w:rsidP="008E2488">
            <w:pPr>
              <w:tabs>
                <w:tab w:val="left" w:pos="567"/>
              </w:tabs>
              <w:spacing w:after="0" w:line="240" w:lineRule="auto"/>
            </w:pPr>
            <w:r w:rsidRPr="005855DF">
              <w:t>Čekija</w:t>
            </w:r>
          </w:p>
        </w:tc>
        <w:tc>
          <w:tcPr>
            <w:tcW w:w="4697" w:type="dxa"/>
          </w:tcPr>
          <w:p w:rsidR="00C81C1A" w:rsidRPr="005855DF" w:rsidRDefault="00C81C1A" w:rsidP="008E2488">
            <w:pPr>
              <w:tabs>
                <w:tab w:val="left" w:pos="567"/>
              </w:tabs>
              <w:spacing w:after="0" w:line="240" w:lineRule="auto"/>
            </w:pPr>
            <w:r w:rsidRPr="005855DF">
              <w:t>Methotrexat Ebewe</w:t>
            </w:r>
          </w:p>
        </w:tc>
      </w:tr>
      <w:tr w:rsidR="00C81C1A" w:rsidTr="008E2488">
        <w:tc>
          <w:tcPr>
            <w:tcW w:w="4697" w:type="dxa"/>
          </w:tcPr>
          <w:p w:rsidR="00C81C1A" w:rsidRPr="005855DF" w:rsidRDefault="00C81C1A" w:rsidP="008E2488">
            <w:pPr>
              <w:tabs>
                <w:tab w:val="left" w:pos="567"/>
              </w:tabs>
              <w:spacing w:after="0" w:line="240" w:lineRule="auto"/>
            </w:pPr>
            <w:r w:rsidRPr="005855DF">
              <w:t>Vokietija</w:t>
            </w:r>
          </w:p>
        </w:tc>
        <w:tc>
          <w:tcPr>
            <w:tcW w:w="4697" w:type="dxa"/>
          </w:tcPr>
          <w:p w:rsidR="00C81C1A" w:rsidRPr="005855DF" w:rsidRDefault="00C81C1A" w:rsidP="008E2488">
            <w:pPr>
              <w:tabs>
                <w:tab w:val="left" w:pos="567"/>
              </w:tabs>
              <w:spacing w:after="0" w:line="240" w:lineRule="auto"/>
            </w:pPr>
            <w:r w:rsidRPr="005855DF">
              <w:t>MTX Sandoz</w:t>
            </w:r>
          </w:p>
        </w:tc>
      </w:tr>
      <w:tr w:rsidR="00C81C1A" w:rsidTr="008E2488">
        <w:tc>
          <w:tcPr>
            <w:tcW w:w="4697" w:type="dxa"/>
          </w:tcPr>
          <w:p w:rsidR="00C81C1A" w:rsidRPr="005855DF" w:rsidRDefault="00C81C1A" w:rsidP="008E2488">
            <w:pPr>
              <w:tabs>
                <w:tab w:val="left" w:pos="567"/>
              </w:tabs>
              <w:spacing w:after="0" w:line="240" w:lineRule="auto"/>
            </w:pPr>
            <w:r w:rsidRPr="005855DF">
              <w:t xml:space="preserve">Danija, Estija, Suomija, Latvija, Nyderlandai, Švedija, </w:t>
            </w:r>
            <w:r w:rsidRPr="00C64672">
              <w:t xml:space="preserve">Jungtinė Karalystė </w:t>
            </w:r>
            <w:r>
              <w:t>(</w:t>
            </w:r>
            <w:r w:rsidRPr="00B1294C">
              <w:t>Šiaurės Airija</w:t>
            </w:r>
            <w:r>
              <w:t>)</w:t>
            </w:r>
          </w:p>
        </w:tc>
        <w:tc>
          <w:tcPr>
            <w:tcW w:w="4697" w:type="dxa"/>
          </w:tcPr>
          <w:p w:rsidR="00C81C1A" w:rsidRPr="005855DF" w:rsidRDefault="00C81C1A" w:rsidP="008E2488">
            <w:pPr>
              <w:tabs>
                <w:tab w:val="left" w:pos="567"/>
              </w:tabs>
              <w:spacing w:after="0" w:line="240" w:lineRule="auto"/>
            </w:pPr>
            <w:r w:rsidRPr="005855DF">
              <w:t>Ebetrex</w:t>
            </w:r>
          </w:p>
        </w:tc>
      </w:tr>
      <w:tr w:rsidR="00C81C1A" w:rsidTr="008E2488">
        <w:tc>
          <w:tcPr>
            <w:tcW w:w="4697" w:type="dxa"/>
          </w:tcPr>
          <w:p w:rsidR="00C81C1A" w:rsidRPr="005855DF" w:rsidRDefault="00C81C1A" w:rsidP="008E2488">
            <w:pPr>
              <w:tabs>
                <w:tab w:val="left" w:pos="567"/>
              </w:tabs>
              <w:spacing w:after="0" w:line="240" w:lineRule="auto"/>
            </w:pPr>
            <w:r w:rsidRPr="005855DF">
              <w:t>Ispanija</w:t>
            </w:r>
          </w:p>
        </w:tc>
        <w:tc>
          <w:tcPr>
            <w:tcW w:w="4697" w:type="dxa"/>
          </w:tcPr>
          <w:p w:rsidR="00C81C1A" w:rsidRPr="005855DF" w:rsidRDefault="00C81C1A" w:rsidP="008E2488">
            <w:pPr>
              <w:tabs>
                <w:tab w:val="left" w:pos="567"/>
              </w:tabs>
              <w:spacing w:after="0" w:line="240" w:lineRule="auto"/>
            </w:pPr>
            <w:r w:rsidRPr="005855DF">
              <w:t>Bertanel</w:t>
            </w:r>
          </w:p>
        </w:tc>
      </w:tr>
      <w:tr w:rsidR="00C81C1A" w:rsidTr="008E2488">
        <w:tc>
          <w:tcPr>
            <w:tcW w:w="4697" w:type="dxa"/>
          </w:tcPr>
          <w:p w:rsidR="00C81C1A" w:rsidRPr="005855DF" w:rsidRDefault="00C81C1A" w:rsidP="008E2488">
            <w:pPr>
              <w:tabs>
                <w:tab w:val="left" w:pos="567"/>
              </w:tabs>
              <w:spacing w:after="0" w:line="240" w:lineRule="auto"/>
            </w:pPr>
            <w:r w:rsidRPr="005855DF">
              <w:t>Italija</w:t>
            </w:r>
          </w:p>
        </w:tc>
        <w:tc>
          <w:tcPr>
            <w:tcW w:w="4697" w:type="dxa"/>
          </w:tcPr>
          <w:p w:rsidR="00C81C1A" w:rsidRPr="005855DF" w:rsidRDefault="00C81C1A" w:rsidP="008E2488">
            <w:pPr>
              <w:tabs>
                <w:tab w:val="left" w:pos="567"/>
              </w:tabs>
              <w:spacing w:after="0" w:line="240" w:lineRule="auto"/>
            </w:pPr>
            <w:r w:rsidRPr="005855DF">
              <w:t>Trexodem</w:t>
            </w:r>
          </w:p>
        </w:tc>
      </w:tr>
      <w:tr w:rsidR="00C81C1A" w:rsidTr="008E2488">
        <w:tc>
          <w:tcPr>
            <w:tcW w:w="4697" w:type="dxa"/>
          </w:tcPr>
          <w:p w:rsidR="00C81C1A" w:rsidRPr="005855DF" w:rsidRDefault="00C81C1A" w:rsidP="008E2488">
            <w:pPr>
              <w:tabs>
                <w:tab w:val="left" w:pos="567"/>
              </w:tabs>
              <w:spacing w:after="0" w:line="240" w:lineRule="auto"/>
            </w:pPr>
            <w:r w:rsidRPr="005855DF">
              <w:t>Liuksemburgas</w:t>
            </w:r>
          </w:p>
        </w:tc>
        <w:tc>
          <w:tcPr>
            <w:tcW w:w="4697" w:type="dxa"/>
          </w:tcPr>
          <w:p w:rsidR="00C81C1A" w:rsidRPr="005855DF" w:rsidRDefault="00C81C1A" w:rsidP="008E2488">
            <w:pPr>
              <w:tabs>
                <w:tab w:val="left" w:pos="567"/>
              </w:tabs>
              <w:spacing w:after="0" w:line="240" w:lineRule="auto"/>
            </w:pPr>
            <w:r w:rsidRPr="005855DF">
              <w:t>Metotrexat Sandoz</w:t>
            </w:r>
          </w:p>
        </w:tc>
      </w:tr>
      <w:tr w:rsidR="00C81C1A" w:rsidTr="008E2488">
        <w:tc>
          <w:tcPr>
            <w:tcW w:w="4697" w:type="dxa"/>
          </w:tcPr>
          <w:p w:rsidR="00C81C1A" w:rsidRPr="005855DF" w:rsidRDefault="00C81C1A" w:rsidP="008E2488">
            <w:pPr>
              <w:tabs>
                <w:tab w:val="left" w:pos="567"/>
              </w:tabs>
              <w:spacing w:after="0" w:line="240" w:lineRule="auto"/>
            </w:pPr>
            <w:r w:rsidRPr="005855DF">
              <w:t>Portugalija</w:t>
            </w:r>
          </w:p>
        </w:tc>
        <w:tc>
          <w:tcPr>
            <w:tcW w:w="4697" w:type="dxa"/>
          </w:tcPr>
          <w:p w:rsidR="00C81C1A" w:rsidRPr="005855DF" w:rsidRDefault="00C81C1A" w:rsidP="008E2488">
            <w:pPr>
              <w:tabs>
                <w:tab w:val="left" w:pos="567"/>
              </w:tabs>
              <w:spacing w:after="0" w:line="240" w:lineRule="auto"/>
            </w:pPr>
            <w:r w:rsidRPr="005855DF">
              <w:t>Methotrexato Sandoz</w:t>
            </w:r>
          </w:p>
        </w:tc>
      </w:tr>
      <w:tr w:rsidR="00C81C1A" w:rsidTr="008E2488">
        <w:trPr>
          <w:trHeight w:val="305"/>
        </w:trPr>
        <w:tc>
          <w:tcPr>
            <w:tcW w:w="4697" w:type="dxa"/>
          </w:tcPr>
          <w:p w:rsidR="00C81C1A" w:rsidRPr="005855DF" w:rsidRDefault="00C81C1A" w:rsidP="008E2488">
            <w:pPr>
              <w:tabs>
                <w:tab w:val="left" w:pos="567"/>
              </w:tabs>
              <w:spacing w:after="0" w:line="240" w:lineRule="auto"/>
            </w:pPr>
            <w:r w:rsidRPr="005855DF">
              <w:t>Rumunija</w:t>
            </w:r>
          </w:p>
        </w:tc>
        <w:tc>
          <w:tcPr>
            <w:tcW w:w="4697" w:type="dxa"/>
          </w:tcPr>
          <w:p w:rsidR="00C81C1A" w:rsidRPr="005855DF" w:rsidRDefault="00C81C1A" w:rsidP="008E2488">
            <w:pPr>
              <w:tabs>
                <w:tab w:val="left" w:pos="567"/>
              </w:tabs>
              <w:spacing w:after="0" w:line="240" w:lineRule="auto"/>
            </w:pPr>
            <w:r w:rsidRPr="005855DF">
              <w:t>Methrotrexate Ebewe</w:t>
            </w:r>
          </w:p>
        </w:tc>
      </w:tr>
      <w:tr w:rsidR="00C81C1A" w:rsidTr="008E2488">
        <w:tc>
          <w:tcPr>
            <w:tcW w:w="4697" w:type="dxa"/>
          </w:tcPr>
          <w:p w:rsidR="00C81C1A" w:rsidRPr="005855DF" w:rsidRDefault="00C81C1A" w:rsidP="008E2488">
            <w:pPr>
              <w:tabs>
                <w:tab w:val="left" w:pos="567"/>
              </w:tabs>
              <w:spacing w:after="0" w:line="240" w:lineRule="auto"/>
            </w:pPr>
            <w:r w:rsidRPr="005855DF">
              <w:t>Slovėnija</w:t>
            </w:r>
          </w:p>
        </w:tc>
        <w:tc>
          <w:tcPr>
            <w:tcW w:w="4697" w:type="dxa"/>
          </w:tcPr>
          <w:p w:rsidR="00C81C1A" w:rsidRPr="005855DF" w:rsidRDefault="00C81C1A" w:rsidP="008E2488">
            <w:pPr>
              <w:tabs>
                <w:tab w:val="left" w:pos="567"/>
              </w:tabs>
              <w:spacing w:after="0" w:line="240" w:lineRule="auto"/>
            </w:pPr>
            <w:r w:rsidRPr="005855DF">
              <w:t>Metotreksat “Ebewe”</w:t>
            </w:r>
          </w:p>
        </w:tc>
      </w:tr>
      <w:tr w:rsidR="00C81C1A" w:rsidTr="008E2488">
        <w:tc>
          <w:tcPr>
            <w:tcW w:w="4697" w:type="dxa"/>
          </w:tcPr>
          <w:p w:rsidR="00C81C1A" w:rsidRDefault="00C81C1A" w:rsidP="008E2488">
            <w:pPr>
              <w:tabs>
                <w:tab w:val="left" w:pos="567"/>
              </w:tabs>
              <w:spacing w:after="0" w:line="240" w:lineRule="auto"/>
            </w:pPr>
            <w:r>
              <w:t>Slovakija</w:t>
            </w:r>
          </w:p>
        </w:tc>
        <w:tc>
          <w:tcPr>
            <w:tcW w:w="4697" w:type="dxa"/>
          </w:tcPr>
          <w:p w:rsidR="00C81C1A" w:rsidRPr="002E4D40" w:rsidRDefault="00C81C1A" w:rsidP="008E2488">
            <w:pPr>
              <w:tabs>
                <w:tab w:val="left" w:pos="567"/>
              </w:tabs>
              <w:spacing w:after="0" w:line="240" w:lineRule="auto"/>
            </w:pPr>
            <w:r>
              <w:t>Methotrexat Sandoz</w:t>
            </w:r>
          </w:p>
        </w:tc>
      </w:tr>
    </w:tbl>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b/>
          <w:bCs/>
        </w:rPr>
        <w:t>Šis pakuotės lapelis</w:t>
      </w:r>
      <w:r w:rsidRPr="002E4D40">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2025-01-24. </w:t>
      </w:r>
    </w:p>
    <w:p w:rsidR="00C81C1A" w:rsidRPr="002E4D40" w:rsidRDefault="00C81C1A" w:rsidP="00C81C1A">
      <w:pPr>
        <w:spacing w:after="0" w:line="240" w:lineRule="auto"/>
        <w:rPr>
          <w:rFonts w:ascii="Times New Roman" w:eastAsia="Times New Roman" w:hAnsi="Times New Roman" w:cs="Times New Roman"/>
        </w:rPr>
      </w:pPr>
    </w:p>
    <w:p w:rsidR="00C81C1A" w:rsidRPr="002E4D40" w:rsidRDefault="00C81C1A" w:rsidP="00C81C1A">
      <w:pPr>
        <w:numPr>
          <w:ilvl w:val="12"/>
          <w:numId w:val="0"/>
        </w:numPr>
        <w:spacing w:after="0" w:line="240" w:lineRule="auto"/>
        <w:ind w:right="-2"/>
        <w:rPr>
          <w:rFonts w:ascii="Times New Roman" w:eastAsia="Times New Roman" w:hAnsi="Times New Roman" w:cs="Times New Roman"/>
        </w:rPr>
      </w:pPr>
      <w:r w:rsidRPr="002E4D4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F6C15">
        <w:rPr>
          <w:rFonts w:ascii="Times New Roman" w:hAnsi="Times New Roman"/>
        </w:rPr>
        <w:t xml:space="preserve"> </w:t>
      </w:r>
      <w:r w:rsidRPr="003B2E20">
        <w:rPr>
          <w:rFonts w:ascii="Times New Roman" w:hAnsi="Times New Roman" w:cs="Times New Roman"/>
          <w:color w:val="0000EE"/>
          <w:u w:val="single"/>
          <w:lang w:eastAsia="lt-LT"/>
        </w:rPr>
        <w:t>https://vvkt.lrv.lt/lt/</w:t>
      </w:r>
      <w:r w:rsidRPr="003B2E20">
        <w:rPr>
          <w:rFonts w:ascii="Times New Roman" w:hAnsi="Times New Roman" w:cs="Times New Roman"/>
          <w:lang w:eastAsia="lt-LT"/>
        </w:rPr>
        <w:t>.</w:t>
      </w:r>
      <w:r w:rsidRPr="009E0604">
        <w:rPr>
          <w:rFonts w:ascii="Times New Roman" w:eastAsia="Times New Roman" w:hAnsi="Times New Roman" w:cs="Times New Roman"/>
          <w:i/>
        </w:rPr>
        <w:t xml:space="preserve">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highlight w:val="yellow"/>
        </w:rPr>
      </w:pPr>
      <w:r w:rsidRPr="002E4D40">
        <w:rPr>
          <w:rFonts w:ascii="Times New Roman" w:eastAsia="Times New Roman" w:hAnsi="Times New Roman" w:cs="Times New Roman"/>
        </w:rPr>
        <w:t>---------------------------------------------------------------------------------------------------------</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6F1AAD" w:rsidRDefault="00C81C1A" w:rsidP="00C81C1A">
      <w:pPr>
        <w:spacing w:after="0" w:line="240" w:lineRule="auto"/>
        <w:ind w:left="567" w:hanging="567"/>
        <w:rPr>
          <w:rFonts w:ascii="Times New Roman" w:hAnsi="Times New Roman"/>
          <w:b/>
        </w:rPr>
      </w:pPr>
      <w:r w:rsidRPr="006F1AAD">
        <w:rPr>
          <w:rFonts w:ascii="Times New Roman" w:hAnsi="Times New Roman"/>
          <w:b/>
        </w:rPr>
        <w:t>Toliau pateikta informacija skirta tik sveikatos priežiūros specialistams</w:t>
      </w:r>
      <w:r>
        <w:rPr>
          <w:rFonts w:ascii="Times New Roman" w:eastAsia="Times New Roman" w:hAnsi="Times New Roman" w:cs="Times New Roman"/>
          <w:b/>
          <w:bCs/>
        </w:rPr>
        <w:t>:</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20 mg/ml injekcinis tirpalas užpildytame švirkšte</w:t>
      </w:r>
      <w:r>
        <w:rPr>
          <w:rFonts w:ascii="Times New Roman" w:eastAsia="Times New Roman" w:hAnsi="Times New Roman" w:cs="Times New Roman"/>
          <w:b/>
        </w:rPr>
        <w:t xml:space="preserve"> </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Vartojimo, elgsenos ir atliekų tvarkymo instrukcija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Tirpalas turi būti skaidrus be matomų dalelių.</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Dirbant su vaistiniu preparatu ir tvarkant jo atliekas, reikia laikytis vietinių darbo su citotoksiniais preparatais reikalavimų. Nėščioms moterims Ebetrexat liesti ar </w:t>
      </w:r>
      <w:r>
        <w:rPr>
          <w:rFonts w:ascii="Times New Roman" w:eastAsia="Times New Roman" w:hAnsi="Times New Roman" w:cs="Times New Roman"/>
        </w:rPr>
        <w:t>leisti</w:t>
      </w:r>
      <w:r w:rsidRPr="002E4D40">
        <w:rPr>
          <w:rFonts w:ascii="Times New Roman" w:eastAsia="Times New Roman" w:hAnsi="Times New Roman" w:cs="Times New Roman"/>
        </w:rPr>
        <w:t xml:space="preserve"> negalima.</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Tik vienkartiniam vartojimui. Nesuvartotą tirpalą reikia sunaikinti. </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Nesuvartotą vaistinį preparatą ar atliekas reikia tvarkyti laikantis vietinių reikalavimų.</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Nesuderinamumas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Suderinamumo tyrimų neatlikta, todėl šio vaistinio preparato maišyti su kitais negalima. </w:t>
      </w:r>
    </w:p>
    <w:p w:rsidR="00C81C1A" w:rsidRPr="002E4D40" w:rsidRDefault="00C81C1A" w:rsidP="00C81C1A">
      <w:pPr>
        <w:tabs>
          <w:tab w:val="left" w:pos="567"/>
        </w:tabs>
        <w:spacing w:after="0" w:line="240" w:lineRule="auto"/>
        <w:rPr>
          <w:rFonts w:ascii="Times New Roman" w:eastAsia="Times New Roman" w:hAnsi="Times New Roman" w:cs="Times New Roman"/>
          <w:b/>
        </w:rPr>
      </w:pPr>
    </w:p>
    <w:p w:rsidR="00C81C1A" w:rsidRPr="002E4D40" w:rsidRDefault="00C81C1A" w:rsidP="00C81C1A">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Specialios laikymo sąlygos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Pr>
          <w:rFonts w:ascii="Times New Roman" w:eastAsia="Times New Roman" w:hAnsi="Times New Roman" w:cs="Times New Roman"/>
        </w:rPr>
        <w:t xml:space="preserve">vaistinis </w:t>
      </w:r>
      <w:r w:rsidRPr="002E4D40">
        <w:rPr>
          <w:rFonts w:ascii="Times New Roman" w:eastAsia="Times New Roman" w:hAnsi="Times New Roman" w:cs="Times New Roman"/>
        </w:rPr>
        <w:t>preparatas būtų apsaugotas nuo šviesos.</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Default="00C81C1A" w:rsidP="00C81C1A">
      <w:pPr>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Etapinė instrukcija leisti po oda</w:t>
      </w:r>
      <w:r>
        <w:rPr>
          <w:rFonts w:ascii="Times New Roman" w:eastAsia="Times New Roman" w:hAnsi="Times New Roman" w:cs="Times New Roman"/>
          <w:u w:val="single"/>
        </w:rPr>
        <w:t>:</w:t>
      </w:r>
      <w:r w:rsidRPr="002E4D40">
        <w:rPr>
          <w:rFonts w:ascii="Times New Roman" w:eastAsia="Times New Roman" w:hAnsi="Times New Roman" w:cs="Times New Roman"/>
          <w:u w:val="single"/>
        </w:rPr>
        <w:t xml:space="preserve"> </w:t>
      </w:r>
    </w:p>
    <w:p w:rsidR="00C81C1A" w:rsidRDefault="00C81C1A" w:rsidP="00C81C1A">
      <w:pPr>
        <w:spacing w:after="0" w:line="240" w:lineRule="auto"/>
        <w:rPr>
          <w:rFonts w:ascii="Times New Roman" w:eastAsia="Times New Roman" w:hAnsi="Times New Roman" w:cs="Times New Roman"/>
          <w:u w:val="single"/>
        </w:rPr>
      </w:pPr>
    </w:p>
    <w:p w:rsidR="00C81C1A" w:rsidRPr="0053453D" w:rsidRDefault="00C81C1A" w:rsidP="00C81C1A">
      <w:pPr>
        <w:spacing w:after="0" w:line="240" w:lineRule="auto"/>
        <w:rPr>
          <w:rFonts w:ascii="Times New Roman" w:eastAsia="Times New Roman" w:hAnsi="Times New Roman" w:cs="Times New Roman"/>
          <w:u w:val="single"/>
        </w:rPr>
      </w:pPr>
    </w:p>
    <w:p w:rsidR="00C81C1A" w:rsidRPr="0053453D" w:rsidRDefault="00C81C1A" w:rsidP="00C81C1A">
      <w:pPr>
        <w:spacing w:after="0" w:line="240" w:lineRule="auto"/>
        <w:rPr>
          <w:rFonts w:ascii="Times New Roman" w:eastAsia="Times New Roman" w:hAnsi="Times New Roman" w:cs="Times New Roman"/>
          <w:u w:val="single"/>
        </w:rPr>
      </w:pPr>
      <w:r w:rsidRPr="0053453D">
        <w:rPr>
          <w:rFonts w:ascii="Times New Roman" w:eastAsia="Times New Roman" w:hAnsi="Times New Roman" w:cs="Times New Roman"/>
          <w:u w:val="single"/>
        </w:rPr>
        <w:t>1 žingsnis:</w:t>
      </w:r>
    </w:p>
    <w:p w:rsidR="00C81C1A" w:rsidRPr="0053453D" w:rsidRDefault="00C81C1A" w:rsidP="00C81C1A">
      <w:pPr>
        <w:spacing w:after="0" w:line="240" w:lineRule="auto"/>
        <w:rPr>
          <w:rFonts w:ascii="Times New Roman" w:eastAsia="Times New Roman" w:hAnsi="Times New Roman" w:cs="Times New Roman"/>
          <w:u w:val="single"/>
        </w:rPr>
      </w:pPr>
    </w:p>
    <w:p w:rsidR="00C81C1A" w:rsidRPr="008013C1" w:rsidRDefault="00C81C1A" w:rsidP="00C81C1A">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Iš dėžutės išimkite vidinę pakuotę, kurioje yra užpildytas švirkštas</w:t>
      </w:r>
      <w:r>
        <w:rPr>
          <w:rFonts w:ascii="Times New Roman" w:eastAsia="Times New Roman" w:hAnsi="Times New Roman" w:cs="Times New Roman"/>
        </w:rPr>
        <w:t xml:space="preserve">, kaniulė </w:t>
      </w:r>
      <w:r w:rsidRPr="008013C1">
        <w:rPr>
          <w:rFonts w:ascii="Times New Roman" w:eastAsia="Times New Roman" w:hAnsi="Times New Roman" w:cs="Times New Roman"/>
        </w:rPr>
        <w:t>ir adata.</w:t>
      </w:r>
    </w:p>
    <w:p w:rsidR="00C81C1A" w:rsidRPr="008013C1" w:rsidRDefault="00C81C1A" w:rsidP="00C81C1A">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 xml:space="preserve">Atidarykite vidinę pakuotę, traukdami už kampo atlanko. Užpildytą švirkštą išimkite. </w:t>
      </w:r>
    </w:p>
    <w:p w:rsidR="00C81C1A" w:rsidRPr="008013C1" w:rsidRDefault="00C81C1A" w:rsidP="00C81C1A">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Nusukite nuo švirkšto pilką guminį dangtelį su plastikiniu gaubtu, neliesdami užpildyto švirkšto atviro galo (žr. 1 paveikslėlį).</w:t>
      </w:r>
    </w:p>
    <w:p w:rsidR="00C81C1A" w:rsidRPr="006F1AAD" w:rsidRDefault="00C81C1A" w:rsidP="00C81C1A">
      <w:pPr>
        <w:spacing w:after="0" w:line="240" w:lineRule="auto"/>
        <w:rPr>
          <w:rFonts w:ascii="Times New Roman" w:hAnsi="Times New Roman"/>
          <w:u w:val="single"/>
        </w:rPr>
      </w:pPr>
    </w:p>
    <w:p w:rsidR="00C81C1A" w:rsidRDefault="00C81C1A" w:rsidP="00C81C1A">
      <w:pPr>
        <w:spacing w:after="0" w:line="240" w:lineRule="auto"/>
        <w:rPr>
          <w:rFonts w:ascii="Times New Roman" w:eastAsia="Times New Roman" w:hAnsi="Times New Roman" w:cs="Times New Roman"/>
          <w:u w:val="single"/>
        </w:rPr>
      </w:pPr>
      <w:r w:rsidRPr="0053453D">
        <w:rPr>
          <w:noProof/>
          <w:lang w:eastAsia="lt-LT"/>
        </w:rPr>
        <w:drawing>
          <wp:inline distT="0" distB="0" distL="0" distR="0" wp14:anchorId="7752AC06" wp14:editId="399E69A7">
            <wp:extent cx="5762625" cy="29502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2950210"/>
                    </a:xfrm>
                    <a:prstGeom prst="rect">
                      <a:avLst/>
                    </a:prstGeom>
                    <a:noFill/>
                    <a:ln>
                      <a:noFill/>
                    </a:ln>
                  </pic:spPr>
                </pic:pic>
              </a:graphicData>
            </a:graphic>
          </wp:inline>
        </w:drawing>
      </w:r>
    </w:p>
    <w:p w:rsidR="00C81C1A" w:rsidRDefault="00C81C1A" w:rsidP="00C81C1A">
      <w:pPr>
        <w:spacing w:after="0" w:line="240" w:lineRule="auto"/>
        <w:rPr>
          <w:rFonts w:ascii="Times New Roman" w:eastAsia="Times New Roman" w:hAnsi="Times New Roman" w:cs="Times New Roman"/>
          <w:u w:val="single"/>
        </w:rPr>
      </w:pPr>
    </w:p>
    <w:p w:rsidR="00C81C1A" w:rsidRDefault="00C81C1A" w:rsidP="00C81C1A">
      <w:pPr>
        <w:spacing w:after="0" w:line="240" w:lineRule="auto"/>
        <w:rPr>
          <w:rFonts w:ascii="Times New Roman" w:eastAsia="Times New Roman" w:hAnsi="Times New Roman" w:cs="Times New Roman"/>
          <w:u w:val="single"/>
        </w:rPr>
      </w:pPr>
    </w:p>
    <w:p w:rsidR="00C81C1A" w:rsidRDefault="00C81C1A" w:rsidP="00C81C1A">
      <w:pPr>
        <w:spacing w:after="0" w:line="240" w:lineRule="auto"/>
        <w:rPr>
          <w:rFonts w:ascii="Times New Roman" w:eastAsia="Times New Roman" w:hAnsi="Times New Roman" w:cs="Times New Roman"/>
          <w:u w:val="single"/>
        </w:rPr>
      </w:pPr>
    </w:p>
    <w:p w:rsidR="00C81C1A" w:rsidRDefault="00C81C1A" w:rsidP="00C81C1A">
      <w:pPr>
        <w:spacing w:after="0" w:line="240" w:lineRule="auto"/>
        <w:rPr>
          <w:rFonts w:ascii="Times New Roman" w:eastAsia="Times New Roman" w:hAnsi="Times New Roman" w:cs="Times New Roman"/>
          <w:u w:val="single"/>
        </w:rPr>
      </w:pPr>
    </w:p>
    <w:p w:rsidR="00C81C1A" w:rsidRDefault="00C81C1A" w:rsidP="00C81C1A">
      <w:pPr>
        <w:spacing w:after="0" w:line="240" w:lineRule="auto"/>
        <w:rPr>
          <w:rFonts w:ascii="Times New Roman" w:eastAsia="Times New Roman" w:hAnsi="Times New Roman" w:cs="Times New Roman"/>
          <w:u w:val="single"/>
        </w:rPr>
      </w:pPr>
    </w:p>
    <w:p w:rsidR="00C81C1A" w:rsidRDefault="00C81C1A" w:rsidP="00C81C1A">
      <w:pPr>
        <w:spacing w:after="0" w:line="240" w:lineRule="auto"/>
        <w:rPr>
          <w:rFonts w:ascii="Times New Roman" w:eastAsia="Times New Roman" w:hAnsi="Times New Roman" w:cs="Times New Roman"/>
          <w:u w:val="single"/>
        </w:rPr>
      </w:pPr>
    </w:p>
    <w:p w:rsidR="00C81C1A" w:rsidRPr="0053453D" w:rsidRDefault="00C81C1A" w:rsidP="00C81C1A">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2 žingsnis:</w:t>
      </w:r>
    </w:p>
    <w:p w:rsidR="00C81C1A" w:rsidRPr="006F1AAD" w:rsidRDefault="00C81C1A" w:rsidP="00C81C1A">
      <w:pPr>
        <w:spacing w:after="0" w:line="240" w:lineRule="auto"/>
        <w:rPr>
          <w:rFonts w:ascii="Times New Roman" w:hAnsi="Times New Roman"/>
          <w:u w:val="single"/>
        </w:rPr>
      </w:pPr>
    </w:p>
    <w:p w:rsidR="00C81C1A" w:rsidRPr="008013C1" w:rsidRDefault="00C81C1A" w:rsidP="00C81C1A">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Švirkštą įdėkite atgal į vidinę pakuotę. Geltonas tirpalas negalės iš jo ištekėti.</w:t>
      </w:r>
    </w:p>
    <w:p w:rsidR="00C81C1A" w:rsidRPr="008013C1" w:rsidRDefault="00C81C1A" w:rsidP="00C81C1A">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Patikrinkite plastikinio dėklo, kuriame yra adata, etiketę. Etiketė turi būti nepažeista (žr. 2 paveikslėlį).</w:t>
      </w:r>
    </w:p>
    <w:p w:rsidR="00C81C1A" w:rsidRPr="0053453D" w:rsidRDefault="00C81C1A" w:rsidP="00C81C1A">
      <w:pPr>
        <w:spacing w:after="0" w:line="240" w:lineRule="auto"/>
        <w:rPr>
          <w:rFonts w:ascii="Times New Roman" w:eastAsia="Times New Roman" w:hAnsi="Times New Roman" w:cs="Times New Roman"/>
          <w:u w:val="single"/>
        </w:rPr>
      </w:pPr>
    </w:p>
    <w:p w:rsidR="00C81C1A" w:rsidRPr="0053453D" w:rsidRDefault="00C81C1A" w:rsidP="00C81C1A">
      <w:pPr>
        <w:spacing w:after="0" w:line="240" w:lineRule="auto"/>
        <w:rPr>
          <w:rFonts w:ascii="Times New Roman" w:eastAsia="Times New Roman" w:hAnsi="Times New Roman" w:cs="Times New Roman"/>
          <w:u w:val="single"/>
        </w:rPr>
      </w:pPr>
    </w:p>
    <w:p w:rsidR="00C81C1A" w:rsidRPr="0053453D" w:rsidRDefault="00C81C1A" w:rsidP="00C81C1A">
      <w:pPr>
        <w:spacing w:after="0" w:line="240" w:lineRule="auto"/>
        <w:rPr>
          <w:rFonts w:ascii="Times New Roman" w:eastAsia="Times New Roman" w:hAnsi="Times New Roman" w:cs="Times New Roman"/>
          <w:u w:val="single"/>
          <w:lang w:val="en-GB"/>
        </w:rPr>
      </w:pPr>
      <w:r>
        <w:rPr>
          <w:rFonts w:ascii="Times New Roman" w:eastAsia="Times New Roman" w:hAnsi="Times New Roman" w:cs="Times New Roman"/>
          <w:noProof/>
          <w:u w:val="single"/>
          <w:lang w:eastAsia="lt-LT"/>
        </w:rPr>
        <w:drawing>
          <wp:inline distT="0" distB="0" distL="0" distR="0" wp14:anchorId="0D47EEBB" wp14:editId="1B9E4537">
            <wp:extent cx="2048510" cy="1713230"/>
            <wp:effectExtent l="0" t="0" r="889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1713230"/>
                    </a:xfrm>
                    <a:prstGeom prst="rect">
                      <a:avLst/>
                    </a:prstGeom>
                    <a:noFill/>
                  </pic:spPr>
                </pic:pic>
              </a:graphicData>
            </a:graphic>
          </wp:inline>
        </w:drawing>
      </w:r>
    </w:p>
    <w:p w:rsidR="00C81C1A" w:rsidRPr="008013C1" w:rsidRDefault="00C81C1A" w:rsidP="00C81C1A">
      <w:pPr>
        <w:spacing w:after="0" w:line="240" w:lineRule="auto"/>
        <w:rPr>
          <w:rFonts w:ascii="Times New Roman" w:eastAsia="Times New Roman" w:hAnsi="Times New Roman" w:cs="Times New Roman"/>
          <w:lang w:val="en-GB"/>
        </w:rPr>
      </w:pPr>
      <w:r w:rsidRPr="008013C1">
        <w:rPr>
          <w:rFonts w:ascii="Times New Roman" w:eastAsia="Times New Roman" w:hAnsi="Times New Roman" w:cs="Times New Roman"/>
          <w:lang w:val="en-GB"/>
        </w:rPr>
        <w:t>2 paveikslėlis</w:t>
      </w:r>
    </w:p>
    <w:p w:rsidR="00C81C1A" w:rsidRPr="0053453D" w:rsidRDefault="00C81C1A" w:rsidP="00C81C1A">
      <w:pPr>
        <w:spacing w:after="0" w:line="240" w:lineRule="auto"/>
        <w:rPr>
          <w:rFonts w:ascii="Times New Roman" w:eastAsia="Times New Roman" w:hAnsi="Times New Roman" w:cs="Times New Roman"/>
          <w:u w:val="single"/>
          <w:lang w:val="en-GB"/>
        </w:rPr>
      </w:pPr>
    </w:p>
    <w:p w:rsidR="00C81C1A" w:rsidRPr="0053453D" w:rsidRDefault="00C81C1A" w:rsidP="00C81C1A">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3 žingsnis:</w:t>
      </w:r>
    </w:p>
    <w:p w:rsidR="00C81C1A" w:rsidRPr="0053453D" w:rsidRDefault="00C81C1A" w:rsidP="00C81C1A">
      <w:pPr>
        <w:spacing w:after="0" w:line="240" w:lineRule="auto"/>
        <w:rPr>
          <w:rFonts w:ascii="Times New Roman" w:eastAsia="Times New Roman" w:hAnsi="Times New Roman" w:cs="Times New Roman"/>
          <w:b/>
          <w:u w:val="single"/>
          <w:lang w:val="en-GB"/>
        </w:rPr>
      </w:pPr>
    </w:p>
    <w:p w:rsidR="00C81C1A" w:rsidRPr="008013C1" w:rsidRDefault="00C81C1A" w:rsidP="00C81C1A">
      <w:pPr>
        <w:numPr>
          <w:ilvl w:val="0"/>
          <w:numId w:val="4"/>
        </w:numPr>
        <w:spacing w:after="0" w:line="240" w:lineRule="auto"/>
        <w:rPr>
          <w:rFonts w:ascii="Times New Roman" w:eastAsia="Times New Roman" w:hAnsi="Times New Roman" w:cs="Times New Roman"/>
          <w:lang w:val="en-US"/>
        </w:rPr>
      </w:pPr>
      <w:r w:rsidRPr="003B2E20">
        <w:rPr>
          <w:rFonts w:ascii="Times New Roman" w:eastAsia="Times New Roman" w:hAnsi="Times New Roman" w:cs="Times New Roman"/>
          <w:lang w:val="pt-PT"/>
        </w:rPr>
        <w:t xml:space="preserve">Nuimkite plastikinio adatos dėklo dangtelį jį pasukant ir po to patraukiant. </w:t>
      </w:r>
      <w:r w:rsidRPr="008013C1">
        <w:rPr>
          <w:rFonts w:ascii="Times New Roman" w:eastAsia="Times New Roman" w:hAnsi="Times New Roman" w:cs="Times New Roman"/>
          <w:lang w:val="en-US"/>
        </w:rPr>
        <w:t>Žr. 3.1 paveikslėlį.</w:t>
      </w:r>
    </w:p>
    <w:p w:rsidR="00C81C1A" w:rsidRPr="008013C1" w:rsidRDefault="00C81C1A" w:rsidP="00C81C1A">
      <w:pPr>
        <w:numPr>
          <w:ilvl w:val="0"/>
          <w:numId w:val="4"/>
        </w:numPr>
        <w:spacing w:after="0" w:line="240" w:lineRule="auto"/>
        <w:rPr>
          <w:rFonts w:ascii="Times New Roman" w:eastAsia="Times New Roman" w:hAnsi="Times New Roman" w:cs="Times New Roman"/>
          <w:lang w:val="en-US"/>
        </w:rPr>
      </w:pPr>
      <w:r w:rsidRPr="008013C1">
        <w:rPr>
          <w:rFonts w:ascii="Times New Roman" w:eastAsia="Times New Roman" w:hAnsi="Times New Roman" w:cs="Times New Roman"/>
          <w:lang w:val="en-US"/>
        </w:rPr>
        <w:t>Atsargiai užsukite adatą kartu su plastikiniu dėklu ant švirkšto iki galo. Žr. 3.2 paveikslėlį.</w:t>
      </w:r>
    </w:p>
    <w:p w:rsidR="00C81C1A" w:rsidRPr="0053453D" w:rsidRDefault="00C81C1A" w:rsidP="00C81C1A">
      <w:pPr>
        <w:spacing w:after="0" w:line="240" w:lineRule="auto"/>
        <w:rPr>
          <w:rFonts w:ascii="Times New Roman" w:eastAsia="Times New Roman" w:hAnsi="Times New Roman" w:cs="Times New Roman"/>
          <w:u w:val="single"/>
          <w:lang w:val="en-US"/>
        </w:rPr>
      </w:pPr>
      <w:r w:rsidRPr="0053453D">
        <w:rPr>
          <w:rFonts w:ascii="Times New Roman" w:eastAsia="Times New Roman" w:hAnsi="Times New Roman" w:cs="Times New Roman"/>
          <w:u w:val="single"/>
          <w:lang w:bidi="x-none"/>
        </w:rPr>
        <w:t xml:space="preserve"> </w:t>
      </w:r>
      <w:r>
        <w:rPr>
          <w:rFonts w:ascii="Times New Roman" w:eastAsia="Times New Roman" w:hAnsi="Times New Roman" w:cs="Times New Roman"/>
          <w:noProof/>
          <w:u w:val="single"/>
          <w:lang w:eastAsia="lt-LT"/>
        </w:rPr>
        <w:drawing>
          <wp:inline distT="0" distB="0" distL="0" distR="0" wp14:anchorId="21D21B2F" wp14:editId="1469A980">
            <wp:extent cx="5248910" cy="299974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910" cy="2999740"/>
                    </a:xfrm>
                    <a:prstGeom prst="rect">
                      <a:avLst/>
                    </a:prstGeom>
                    <a:noFill/>
                  </pic:spPr>
                </pic:pic>
              </a:graphicData>
            </a:graphic>
          </wp:inline>
        </w:drawing>
      </w:r>
    </w:p>
    <w:p w:rsidR="00C81C1A" w:rsidRPr="0053453D" w:rsidRDefault="00C81C1A" w:rsidP="00C81C1A">
      <w:pPr>
        <w:spacing w:after="0" w:line="240" w:lineRule="auto"/>
        <w:rPr>
          <w:rFonts w:ascii="Times New Roman" w:eastAsia="Times New Roman" w:hAnsi="Times New Roman" w:cs="Times New Roman"/>
          <w:u w:val="single"/>
          <w:lang w:val="en-US"/>
        </w:rPr>
      </w:pPr>
    </w:p>
    <w:p w:rsidR="00C81C1A" w:rsidRPr="0053453D" w:rsidRDefault="00C81C1A" w:rsidP="00C81C1A">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4 žingsnis:</w:t>
      </w:r>
    </w:p>
    <w:p w:rsidR="00C81C1A" w:rsidRPr="008013C1" w:rsidRDefault="00C81C1A" w:rsidP="00C81C1A">
      <w:pPr>
        <w:spacing w:after="0" w:line="240" w:lineRule="auto"/>
        <w:rPr>
          <w:rFonts w:ascii="Times New Roman" w:eastAsia="Times New Roman" w:hAnsi="Times New Roman" w:cs="Times New Roman"/>
          <w:lang w:val="en-GB"/>
        </w:rPr>
      </w:pPr>
    </w:p>
    <w:p w:rsidR="00C81C1A" w:rsidRPr="006F1AAD" w:rsidRDefault="00C81C1A" w:rsidP="00C81C1A">
      <w:pPr>
        <w:numPr>
          <w:ilvl w:val="0"/>
          <w:numId w:val="4"/>
        </w:numPr>
        <w:spacing w:after="0" w:line="240" w:lineRule="auto"/>
        <w:rPr>
          <w:rFonts w:ascii="Times New Roman" w:hAnsi="Times New Roman"/>
          <w:u w:val="single"/>
          <w:lang w:val="en-GB"/>
        </w:rPr>
      </w:pPr>
      <w:r w:rsidRPr="006F1AAD">
        <w:rPr>
          <w:rFonts w:ascii="Times New Roman" w:hAnsi="Times New Roman"/>
          <w:lang w:val="en-GB"/>
        </w:rPr>
        <w:t>Pasirinkite injekcijos vietą</w:t>
      </w:r>
      <w:r w:rsidRPr="008013C1">
        <w:rPr>
          <w:rFonts w:ascii="Times New Roman" w:eastAsia="Times New Roman" w:hAnsi="Times New Roman" w:cs="Times New Roman"/>
          <w:lang w:val="en-GB"/>
        </w:rPr>
        <w:t xml:space="preserve"> pilvo ar šlaunies srityje ir nuvalykite ją </w:t>
      </w:r>
      <w:r w:rsidRPr="006F1AAD">
        <w:rPr>
          <w:rFonts w:ascii="Times New Roman" w:hAnsi="Times New Roman"/>
          <w:lang w:val="en-GB"/>
        </w:rPr>
        <w:t>alkoholiu suvilgytu tamponu</w:t>
      </w:r>
      <w:r w:rsidRPr="008013C1">
        <w:rPr>
          <w:rFonts w:ascii="Times New Roman" w:eastAsia="Times New Roman" w:hAnsi="Times New Roman" w:cs="Times New Roman"/>
          <w:lang w:val="en-GB"/>
        </w:rPr>
        <w:t>.</w:t>
      </w:r>
      <w:r w:rsidRPr="006F1AAD">
        <w:rPr>
          <w:rFonts w:ascii="Times New Roman" w:hAnsi="Times New Roman"/>
          <w:lang w:val="en-GB"/>
        </w:rPr>
        <w:t xml:space="preserve"> Prieš </w:t>
      </w:r>
      <w:r w:rsidRPr="008013C1">
        <w:rPr>
          <w:rFonts w:ascii="Times New Roman" w:eastAsia="Times New Roman" w:hAnsi="Times New Roman" w:cs="Times New Roman"/>
          <w:lang w:val="en-GB"/>
        </w:rPr>
        <w:t>injekavimą</w:t>
      </w:r>
      <w:r w:rsidRPr="006F1AAD">
        <w:rPr>
          <w:rFonts w:ascii="Times New Roman" w:hAnsi="Times New Roman"/>
          <w:lang w:val="en-GB"/>
        </w:rPr>
        <w:t xml:space="preserve"> šios vietos nelieskite</w:t>
      </w:r>
      <w:r w:rsidRPr="008013C1">
        <w:rPr>
          <w:rFonts w:ascii="Times New Roman" w:eastAsia="Times New Roman" w:hAnsi="Times New Roman" w:cs="Times New Roman"/>
          <w:lang w:val="en-GB"/>
        </w:rPr>
        <w:t xml:space="preserve"> (žr. 4.1 ir 4.2 paveikslėlius). </w:t>
      </w:r>
      <w:r w:rsidRPr="0053453D">
        <w:rPr>
          <w:rFonts w:ascii="Times New Roman" w:eastAsia="Times New Roman" w:hAnsi="Times New Roman" w:cs="Times New Roman"/>
          <w:u w:val="single"/>
          <w:lang w:val="en-GB"/>
        </w:rPr>
        <w:br/>
      </w:r>
    </w:p>
    <w:p w:rsidR="00C81C1A" w:rsidRPr="0053453D" w:rsidRDefault="00C81C1A" w:rsidP="00C81C1A">
      <w:pPr>
        <w:spacing w:after="0" w:line="240" w:lineRule="auto"/>
        <w:rPr>
          <w:rFonts w:ascii="Times New Roman" w:eastAsia="Times New Roman" w:hAnsi="Times New Roman" w:cs="Times New Roman"/>
          <w:u w:val="single"/>
          <w:lang w:val="en-GB"/>
        </w:rPr>
      </w:pPr>
      <w:r w:rsidRPr="0053453D">
        <w:rPr>
          <w:rFonts w:ascii="Times New Roman" w:eastAsia="Times New Roman" w:hAnsi="Times New Roman" w:cs="Times New Roman"/>
          <w:noProof/>
          <w:u w:val="single"/>
          <w:lang w:eastAsia="lt-LT"/>
        </w:rPr>
        <w:drawing>
          <wp:inline distT="0" distB="0" distL="0" distR="0" wp14:anchorId="34985BA8" wp14:editId="540112CC">
            <wp:extent cx="2648585" cy="2648585"/>
            <wp:effectExtent l="0" t="0" r="0" b="0"/>
            <wp:docPr id="22" name="Picture 22" descr="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ld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585" cy="2648585"/>
                    </a:xfrm>
                    <a:prstGeom prst="rect">
                      <a:avLst/>
                    </a:prstGeom>
                    <a:noFill/>
                    <a:ln>
                      <a:noFill/>
                    </a:ln>
                  </pic:spPr>
                </pic:pic>
              </a:graphicData>
            </a:graphic>
          </wp:inline>
        </w:drawing>
      </w:r>
      <w:r w:rsidRPr="0053453D">
        <w:rPr>
          <w:rFonts w:ascii="Times New Roman" w:eastAsia="Times New Roman" w:hAnsi="Times New Roman" w:cs="Times New Roman"/>
          <w:u w:val="single"/>
          <w:lang w:bidi="x-none"/>
        </w:rPr>
        <w:t xml:space="preserve"> </w:t>
      </w:r>
      <w:r w:rsidRPr="0053453D">
        <w:rPr>
          <w:rFonts w:ascii="Times New Roman" w:eastAsia="Times New Roman" w:hAnsi="Times New Roman" w:cs="Times New Roman"/>
          <w:noProof/>
          <w:u w:val="single"/>
          <w:lang w:eastAsia="lt-LT"/>
        </w:rPr>
        <w:drawing>
          <wp:inline distT="0" distB="0" distL="0" distR="0" wp14:anchorId="483B02FC" wp14:editId="1AEE6673">
            <wp:extent cx="2648585" cy="2648585"/>
            <wp:effectExtent l="0" t="0" r="0" b="0"/>
            <wp:docPr id="16" name="Picture 16" descr="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8585" cy="2648585"/>
                    </a:xfrm>
                    <a:prstGeom prst="rect">
                      <a:avLst/>
                    </a:prstGeom>
                    <a:noFill/>
                    <a:ln>
                      <a:noFill/>
                    </a:ln>
                  </pic:spPr>
                </pic:pic>
              </a:graphicData>
            </a:graphic>
          </wp:inline>
        </w:drawing>
      </w:r>
    </w:p>
    <w:p w:rsidR="00C81C1A" w:rsidRPr="008013C1" w:rsidRDefault="00C81C1A" w:rsidP="00C81C1A">
      <w:pPr>
        <w:spacing w:after="0" w:line="240" w:lineRule="auto"/>
        <w:rPr>
          <w:rFonts w:ascii="Times New Roman" w:eastAsia="Times New Roman" w:hAnsi="Times New Roman" w:cs="Times New Roman"/>
          <w:lang w:val="en-GB"/>
        </w:rPr>
      </w:pPr>
      <w:r w:rsidRPr="008013C1">
        <w:rPr>
          <w:rFonts w:ascii="Times New Roman" w:eastAsia="Times New Roman" w:hAnsi="Times New Roman" w:cs="Times New Roman"/>
          <w:lang w:val="en-GB"/>
        </w:rPr>
        <w:t xml:space="preserve">     4.1 paveikslėlis</w:t>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t>4.2 paveikslėlis</w:t>
      </w:r>
    </w:p>
    <w:p w:rsidR="00C81C1A" w:rsidRPr="0053453D" w:rsidRDefault="00C81C1A" w:rsidP="00C81C1A">
      <w:pPr>
        <w:spacing w:after="0" w:line="240" w:lineRule="auto"/>
        <w:rPr>
          <w:rFonts w:ascii="Times New Roman" w:eastAsia="Times New Roman" w:hAnsi="Times New Roman" w:cs="Times New Roman"/>
          <w:u w:val="single"/>
          <w:lang w:val="en-GB"/>
        </w:rPr>
      </w:pPr>
    </w:p>
    <w:p w:rsidR="00C81C1A" w:rsidRPr="0053453D" w:rsidRDefault="00C81C1A" w:rsidP="00C81C1A">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5 žingsnis: </w:t>
      </w:r>
    </w:p>
    <w:p w:rsidR="00C81C1A" w:rsidRPr="006F1AAD" w:rsidRDefault="00C81C1A" w:rsidP="00C81C1A">
      <w:pPr>
        <w:spacing w:after="0" w:line="240" w:lineRule="auto"/>
        <w:rPr>
          <w:rFonts w:ascii="Times New Roman" w:hAnsi="Times New Roman"/>
          <w:b/>
          <w:u w:val="single"/>
          <w:lang w:val="en-GB"/>
        </w:rPr>
      </w:pPr>
    </w:p>
    <w:p w:rsidR="00C81C1A" w:rsidRPr="006F1AAD" w:rsidRDefault="00C81C1A" w:rsidP="00C81C1A">
      <w:pPr>
        <w:numPr>
          <w:ilvl w:val="0"/>
          <w:numId w:val="4"/>
        </w:numPr>
        <w:spacing w:after="0" w:line="240" w:lineRule="auto"/>
        <w:rPr>
          <w:rFonts w:ascii="Times New Roman" w:hAnsi="Times New Roman"/>
          <w:lang w:val="en-US"/>
        </w:rPr>
      </w:pPr>
      <w:bookmarkStart w:id="8" w:name="_Hlk129101305"/>
      <w:r w:rsidRPr="006F1AAD">
        <w:rPr>
          <w:rFonts w:ascii="Times New Roman" w:hAnsi="Times New Roman"/>
          <w:lang w:val="en-US"/>
        </w:rPr>
        <w:t>Nutraukite pakuotę</w:t>
      </w:r>
      <w:r w:rsidRPr="008013C1">
        <w:rPr>
          <w:rFonts w:ascii="Times New Roman" w:eastAsia="Times New Roman" w:hAnsi="Times New Roman" w:cs="Times New Roman"/>
          <w:lang w:val="en-US"/>
        </w:rPr>
        <w:t xml:space="preserve"> nuo kaniulės (adata yra kaniulės dalis). Padėkite į šalį kaniulės</w:t>
      </w:r>
      <w:r w:rsidRPr="006F1AAD">
        <w:rPr>
          <w:rFonts w:ascii="Times New Roman" w:hAnsi="Times New Roman"/>
          <w:lang w:val="en-US"/>
        </w:rPr>
        <w:t xml:space="preserve"> pakuotę. </w:t>
      </w:r>
    </w:p>
    <w:p w:rsidR="00C81C1A" w:rsidRPr="006F1AAD" w:rsidRDefault="00C81C1A" w:rsidP="00C81C1A">
      <w:pPr>
        <w:spacing w:after="0" w:line="240" w:lineRule="auto"/>
        <w:rPr>
          <w:rFonts w:ascii="Times New Roman" w:hAnsi="Times New Roman"/>
          <w:u w:val="single"/>
          <w:lang w:val="en-GB"/>
        </w:rPr>
      </w:pPr>
    </w:p>
    <w:bookmarkEnd w:id="8"/>
    <w:p w:rsidR="00C81C1A" w:rsidRPr="006F1AAD" w:rsidRDefault="00C81C1A" w:rsidP="00C81C1A">
      <w:pPr>
        <w:spacing w:after="0" w:line="240" w:lineRule="auto"/>
        <w:rPr>
          <w:rFonts w:ascii="Times New Roman" w:hAnsi="Times New Roman"/>
          <w:u w:val="single"/>
          <w:lang w:val="de-AT"/>
        </w:rPr>
      </w:pPr>
      <w:r w:rsidRPr="006F1AAD">
        <w:rPr>
          <w:rFonts w:ascii="Times New Roman" w:hAnsi="Times New Roman"/>
          <w:u w:val="single"/>
          <w:lang w:val="en-GB"/>
        </w:rPr>
        <w:br/>
      </w:r>
      <w:r w:rsidRPr="0053453D">
        <w:rPr>
          <w:rFonts w:ascii="Times New Roman" w:eastAsia="Times New Roman" w:hAnsi="Times New Roman" w:cs="Times New Roman"/>
          <w:noProof/>
          <w:u w:val="single"/>
          <w:lang w:eastAsia="lt-LT"/>
        </w:rPr>
        <w:drawing>
          <wp:inline distT="0" distB="0" distL="0" distR="0" wp14:anchorId="46DD08A4" wp14:editId="28A164A1">
            <wp:extent cx="1837690" cy="1699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690" cy="1699260"/>
                    </a:xfrm>
                    <a:prstGeom prst="rect">
                      <a:avLst/>
                    </a:prstGeom>
                    <a:noFill/>
                    <a:ln>
                      <a:noFill/>
                    </a:ln>
                  </pic:spPr>
                </pic:pic>
              </a:graphicData>
            </a:graphic>
          </wp:inline>
        </w:drawing>
      </w:r>
    </w:p>
    <w:p w:rsidR="00C81C1A" w:rsidRPr="006F1AAD" w:rsidRDefault="00C81C1A" w:rsidP="00C81C1A">
      <w:pPr>
        <w:spacing w:after="0" w:line="240" w:lineRule="auto"/>
        <w:rPr>
          <w:rFonts w:ascii="Times New Roman" w:hAnsi="Times New Roman"/>
          <w:lang w:val="de-AT"/>
        </w:rPr>
      </w:pPr>
    </w:p>
    <w:p w:rsidR="00C81C1A" w:rsidRPr="006F1AAD" w:rsidRDefault="00C81C1A" w:rsidP="00C81C1A">
      <w:pPr>
        <w:spacing w:after="0" w:line="240" w:lineRule="auto"/>
        <w:rPr>
          <w:rFonts w:ascii="Times New Roman" w:hAnsi="Times New Roman"/>
          <w:lang w:val="en-GB"/>
        </w:rPr>
      </w:pPr>
    </w:p>
    <w:p w:rsidR="00C81C1A" w:rsidRDefault="00C81C1A" w:rsidP="00C81C1A">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 xml:space="preserve">Nelieskite sterilios kaniulės. Jei taip atsitiktų, kreipkitės į gydytoją arba vaistininką dėl kitos kaniulės panaudojimo. Dviem pirštais suformuokite odos raukšlę ir pradurkite ją beveik vertikaliai. </w:t>
      </w:r>
    </w:p>
    <w:p w:rsidR="00C81C1A" w:rsidRPr="008013C1" w:rsidRDefault="00C81C1A" w:rsidP="00C81C1A">
      <w:pPr>
        <w:spacing w:after="0" w:line="240" w:lineRule="auto"/>
        <w:ind w:left="720"/>
        <w:rPr>
          <w:rFonts w:ascii="Times New Roman" w:eastAsia="Times New Roman" w:hAnsi="Times New Roman" w:cs="Times New Roman"/>
        </w:rPr>
      </w:pPr>
    </w:p>
    <w:p w:rsidR="00C81C1A" w:rsidRPr="0053453D" w:rsidRDefault="00C81C1A" w:rsidP="00C81C1A">
      <w:pPr>
        <w:spacing w:after="0" w:line="240" w:lineRule="auto"/>
        <w:rPr>
          <w:rFonts w:ascii="Times New Roman" w:eastAsia="Times New Roman" w:hAnsi="Times New Roman" w:cs="Times New Roman"/>
          <w:u w:val="single"/>
          <w:lang w:val="de-AT"/>
        </w:rPr>
      </w:pPr>
      <w:r w:rsidRPr="0053453D">
        <w:rPr>
          <w:rFonts w:ascii="Times New Roman" w:eastAsia="Times New Roman" w:hAnsi="Times New Roman" w:cs="Times New Roman"/>
          <w:noProof/>
          <w:u w:val="single"/>
          <w:lang w:eastAsia="lt-LT"/>
        </w:rPr>
        <w:drawing>
          <wp:inline distT="0" distB="0" distL="0" distR="0" wp14:anchorId="529E414A" wp14:editId="1C3B94B1">
            <wp:extent cx="1776730" cy="1621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1621790"/>
                    </a:xfrm>
                    <a:prstGeom prst="rect">
                      <a:avLst/>
                    </a:prstGeom>
                    <a:noFill/>
                    <a:ln>
                      <a:noFill/>
                    </a:ln>
                  </pic:spPr>
                </pic:pic>
              </a:graphicData>
            </a:graphic>
          </wp:inline>
        </w:drawing>
      </w:r>
    </w:p>
    <w:p w:rsidR="00C81C1A" w:rsidRPr="0053453D" w:rsidRDefault="00C81C1A" w:rsidP="00C81C1A">
      <w:pPr>
        <w:spacing w:after="0" w:line="240" w:lineRule="auto"/>
        <w:rPr>
          <w:rFonts w:ascii="Times New Roman" w:eastAsia="Times New Roman" w:hAnsi="Times New Roman" w:cs="Times New Roman"/>
          <w:u w:val="single"/>
          <w:lang w:val="de-AT"/>
        </w:rPr>
      </w:pPr>
    </w:p>
    <w:p w:rsidR="00C81C1A" w:rsidRPr="0053453D" w:rsidRDefault="00C81C1A" w:rsidP="00C81C1A">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6 žingsnis: </w:t>
      </w:r>
    </w:p>
    <w:p w:rsidR="00C81C1A" w:rsidRPr="008013C1" w:rsidRDefault="00C81C1A" w:rsidP="00C81C1A">
      <w:pPr>
        <w:spacing w:after="0" w:line="240" w:lineRule="auto"/>
        <w:rPr>
          <w:rFonts w:ascii="Times New Roman" w:eastAsia="Times New Roman" w:hAnsi="Times New Roman" w:cs="Times New Roman"/>
          <w:b/>
          <w:bCs/>
          <w:lang w:val="en-GB"/>
        </w:rPr>
      </w:pPr>
    </w:p>
    <w:p w:rsidR="00C81C1A" w:rsidRPr="006F1AAD" w:rsidRDefault="00C81C1A" w:rsidP="00C81C1A">
      <w:pPr>
        <w:numPr>
          <w:ilvl w:val="0"/>
          <w:numId w:val="4"/>
        </w:numPr>
        <w:spacing w:after="0" w:line="240" w:lineRule="auto"/>
        <w:rPr>
          <w:rFonts w:ascii="Times New Roman" w:hAnsi="Times New Roman"/>
          <w:b/>
        </w:rPr>
      </w:pPr>
      <w:r w:rsidRPr="008013C1">
        <w:rPr>
          <w:rFonts w:ascii="Times New Roman" w:eastAsia="Times New Roman" w:hAnsi="Times New Roman" w:cs="Times New Roman"/>
        </w:rPr>
        <w:t>Kaniulę visiškai įsmeikite į odos raukšlę. Po to, stūmoklį lėtai stumdami žemyn, visą skystį suleiskite po oda.</w:t>
      </w:r>
    </w:p>
    <w:p w:rsidR="00C81C1A" w:rsidRPr="008013C1" w:rsidRDefault="00C81C1A" w:rsidP="00C81C1A">
      <w:pPr>
        <w:spacing w:after="0" w:line="240" w:lineRule="auto"/>
        <w:ind w:left="720"/>
        <w:rPr>
          <w:rFonts w:ascii="Times New Roman" w:eastAsia="Times New Roman" w:hAnsi="Times New Roman" w:cs="Times New Roman"/>
          <w:b/>
          <w:bCs/>
        </w:rPr>
      </w:pPr>
    </w:p>
    <w:p w:rsidR="00C81C1A" w:rsidRPr="008013C1" w:rsidRDefault="00C81C1A" w:rsidP="00C81C1A">
      <w:pPr>
        <w:spacing w:after="0" w:line="240" w:lineRule="auto"/>
        <w:rPr>
          <w:rFonts w:ascii="Times New Roman" w:eastAsia="Times New Roman" w:hAnsi="Times New Roman" w:cs="Times New Roman"/>
          <w:b/>
          <w:bCs/>
        </w:rPr>
      </w:pPr>
      <w:r>
        <w:rPr>
          <w:rFonts w:ascii="Times New Roman" w:eastAsia="Times New Roman" w:hAnsi="Times New Roman" w:cs="Times New Roman"/>
          <w:b/>
          <w:bCs/>
          <w:noProof/>
          <w:lang w:eastAsia="lt-LT"/>
        </w:rPr>
        <w:drawing>
          <wp:inline distT="0" distB="0" distL="0" distR="0" wp14:anchorId="34C417DA" wp14:editId="61D3DFF5">
            <wp:extent cx="2371725" cy="22098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2209800"/>
                    </a:xfrm>
                    <a:prstGeom prst="rect">
                      <a:avLst/>
                    </a:prstGeom>
                    <a:noFill/>
                  </pic:spPr>
                </pic:pic>
              </a:graphicData>
            </a:graphic>
          </wp:inline>
        </w:drawing>
      </w:r>
    </w:p>
    <w:p w:rsidR="00C81C1A" w:rsidRPr="0053453D" w:rsidRDefault="00C81C1A" w:rsidP="00C81C1A">
      <w:pPr>
        <w:spacing w:after="0" w:line="240" w:lineRule="auto"/>
        <w:rPr>
          <w:rFonts w:ascii="Times New Roman" w:eastAsia="Times New Roman" w:hAnsi="Times New Roman" w:cs="Times New Roman"/>
          <w:b/>
          <w:bCs/>
          <w:u w:val="single"/>
        </w:rPr>
      </w:pPr>
    </w:p>
    <w:p w:rsidR="00C81C1A" w:rsidRPr="0053453D" w:rsidRDefault="00C81C1A" w:rsidP="00C81C1A">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7 žingsnis: </w:t>
      </w:r>
    </w:p>
    <w:p w:rsidR="00C81C1A" w:rsidRPr="0053453D" w:rsidRDefault="00C81C1A" w:rsidP="00C81C1A">
      <w:pPr>
        <w:spacing w:after="0" w:line="240" w:lineRule="auto"/>
        <w:rPr>
          <w:rFonts w:ascii="Times New Roman" w:eastAsia="Times New Roman" w:hAnsi="Times New Roman" w:cs="Times New Roman"/>
          <w:b/>
          <w:bCs/>
          <w:u w:val="single"/>
        </w:rPr>
      </w:pPr>
    </w:p>
    <w:p w:rsidR="00C81C1A" w:rsidRPr="006F1AAD" w:rsidRDefault="00C81C1A" w:rsidP="00C81C1A">
      <w:pPr>
        <w:numPr>
          <w:ilvl w:val="0"/>
          <w:numId w:val="4"/>
        </w:numPr>
        <w:spacing w:after="0" w:line="240" w:lineRule="auto"/>
        <w:rPr>
          <w:rFonts w:ascii="Times New Roman" w:hAnsi="Times New Roman"/>
          <w:lang w:val="en-US"/>
        </w:rPr>
      </w:pPr>
      <w:bookmarkStart w:id="9" w:name="_Hlk129595352"/>
      <w:r w:rsidRPr="008013C1">
        <w:rPr>
          <w:rFonts w:ascii="Times New Roman" w:eastAsia="Times New Roman" w:hAnsi="Times New Roman" w:cs="Times New Roman"/>
        </w:rPr>
        <w:t xml:space="preserve">Atsargiai ištraukite kaniulę ir injekcijos vietą prispauskite tamponu. </w:t>
      </w:r>
      <w:r w:rsidRPr="006F1AAD">
        <w:rPr>
          <w:rFonts w:ascii="Times New Roman" w:hAnsi="Times New Roman"/>
          <w:lang w:val="en-US"/>
        </w:rPr>
        <w:t>Netrinkite, kadangi tai gali sukelti dirginimą</w:t>
      </w:r>
      <w:r w:rsidRPr="008013C1">
        <w:rPr>
          <w:rFonts w:ascii="Times New Roman" w:eastAsia="Times New Roman" w:hAnsi="Times New Roman" w:cs="Times New Roman"/>
          <w:lang w:val="en-US"/>
        </w:rPr>
        <w:t xml:space="preserve"> injekcijos vietoje.</w:t>
      </w:r>
    </w:p>
    <w:bookmarkEnd w:id="9"/>
    <w:p w:rsidR="00C81C1A" w:rsidRPr="0053453D" w:rsidRDefault="00C81C1A" w:rsidP="00C81C1A">
      <w:pPr>
        <w:spacing w:after="0" w:line="240" w:lineRule="auto"/>
        <w:rPr>
          <w:rFonts w:ascii="Times New Roman" w:eastAsia="Times New Roman" w:hAnsi="Times New Roman" w:cs="Times New Roman"/>
          <w:u w:val="single"/>
          <w:lang w:val="en-GB"/>
        </w:rPr>
      </w:pPr>
      <w:r w:rsidRPr="0053453D">
        <w:rPr>
          <w:rFonts w:ascii="Times New Roman" w:eastAsia="Times New Roman" w:hAnsi="Times New Roman" w:cs="Times New Roman"/>
          <w:u w:val="single"/>
          <w:lang w:val="en-GB"/>
        </w:rPr>
        <w:br/>
      </w:r>
      <w:r w:rsidRPr="0053453D">
        <w:rPr>
          <w:rFonts w:ascii="Times New Roman" w:eastAsia="Times New Roman" w:hAnsi="Times New Roman" w:cs="Times New Roman"/>
          <w:noProof/>
          <w:u w:val="single"/>
          <w:lang w:eastAsia="lt-LT"/>
        </w:rPr>
        <w:drawing>
          <wp:inline distT="0" distB="0" distL="0" distR="0" wp14:anchorId="1843AB13" wp14:editId="7706AF0C">
            <wp:extent cx="1811655" cy="16732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1655" cy="1673225"/>
                    </a:xfrm>
                    <a:prstGeom prst="rect">
                      <a:avLst/>
                    </a:prstGeom>
                    <a:noFill/>
                    <a:ln>
                      <a:noFill/>
                    </a:ln>
                  </pic:spPr>
                </pic:pic>
              </a:graphicData>
            </a:graphic>
          </wp:inline>
        </w:drawing>
      </w:r>
    </w:p>
    <w:p w:rsidR="00C81C1A" w:rsidRPr="006F1AAD" w:rsidRDefault="00C81C1A" w:rsidP="00C81C1A">
      <w:pPr>
        <w:spacing w:after="0" w:line="240" w:lineRule="auto"/>
        <w:rPr>
          <w:rFonts w:ascii="Times New Roman" w:hAnsi="Times New Roman"/>
          <w:u w:val="single"/>
          <w:lang w:val="en-GB"/>
        </w:rPr>
      </w:pPr>
    </w:p>
    <w:p w:rsidR="00C81C1A" w:rsidRPr="006F1AAD" w:rsidRDefault="00C81C1A" w:rsidP="00C81C1A">
      <w:pPr>
        <w:spacing w:after="0" w:line="240" w:lineRule="auto"/>
        <w:rPr>
          <w:rFonts w:ascii="Times New Roman" w:hAnsi="Times New Roman"/>
          <w:u w:val="single"/>
        </w:rPr>
      </w:pPr>
    </w:p>
    <w:p w:rsidR="00C81C1A" w:rsidRPr="002E4D40" w:rsidRDefault="00C81C1A" w:rsidP="00C81C1A">
      <w:p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Kad nesusižeistumėte, naudotą švirkštą įmeskite į kietą dėžę.</w:t>
      </w:r>
    </w:p>
    <w:p w:rsidR="00C81C1A" w:rsidRPr="002E4D40" w:rsidRDefault="00C81C1A" w:rsidP="00C81C1A">
      <w:pPr>
        <w:spacing w:after="0" w:line="240" w:lineRule="auto"/>
        <w:rPr>
          <w:rFonts w:ascii="Times New Roman" w:eastAsia="Times New Roman" w:hAnsi="Times New Roman" w:cs="Times New Roman"/>
        </w:rPr>
      </w:pPr>
    </w:p>
    <w:p w:rsidR="00C81C1A" w:rsidRPr="00FD1DB1" w:rsidRDefault="00C81C1A" w:rsidP="00C81C1A">
      <w:pPr>
        <w:tabs>
          <w:tab w:val="left" w:pos="567"/>
        </w:tabs>
        <w:spacing w:after="0" w:line="240" w:lineRule="auto"/>
        <w:rPr>
          <w:rFonts w:ascii="Times New Roman" w:hAnsi="Times New Roman"/>
          <w:b/>
        </w:rPr>
      </w:pPr>
      <w:r w:rsidRPr="002E4D40">
        <w:rPr>
          <w:rFonts w:ascii="Times New Roman" w:eastAsia="Times New Roman" w:hAnsi="Times New Roman" w:cs="Times New Roman"/>
          <w:b/>
        </w:rPr>
        <w:t>Ebetrexat užpildytame švirkšte</w:t>
      </w:r>
      <w:r>
        <w:rPr>
          <w:rFonts w:ascii="Times New Roman" w:eastAsia="Times New Roman" w:hAnsi="Times New Roman" w:cs="Times New Roman"/>
          <w:b/>
        </w:rPr>
        <w:t xml:space="preserve"> vartojimo</w:t>
      </w:r>
      <w:r w:rsidRPr="00FD1DB1">
        <w:rPr>
          <w:rFonts w:ascii="Times New Roman" w:hAnsi="Times New Roman"/>
          <w:b/>
        </w:rPr>
        <w:t xml:space="preserve"> instrukcija</w:t>
      </w:r>
    </w:p>
    <w:p w:rsidR="00C81C1A" w:rsidRPr="00FD1DB1" w:rsidRDefault="00C81C1A" w:rsidP="00C81C1A">
      <w:pPr>
        <w:tabs>
          <w:tab w:val="left" w:pos="567"/>
        </w:tabs>
        <w:spacing w:after="0" w:line="240" w:lineRule="auto"/>
        <w:rPr>
          <w:rFonts w:ascii="Times New Roman" w:hAnsi="Times New Roman"/>
        </w:rPr>
      </w:pPr>
    </w:p>
    <w:p w:rsidR="00C81C1A" w:rsidRPr="002E4D40" w:rsidRDefault="00C81C1A" w:rsidP="00C81C1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Geltonas t</w:t>
      </w:r>
      <w:r w:rsidRPr="002E4D40">
        <w:rPr>
          <w:rFonts w:ascii="Times New Roman" w:eastAsia="Times New Roman" w:hAnsi="Times New Roman" w:cs="Times New Roman"/>
        </w:rPr>
        <w:t>irpalas turi būti skaidrus be matomų dalelių</w:t>
      </w:r>
      <w:r>
        <w:rPr>
          <w:rFonts w:ascii="Times New Roman" w:eastAsia="Times New Roman" w:hAnsi="Times New Roman" w:cs="Times New Roman"/>
        </w:rPr>
        <w:t>, ir jo negalima maišyti su kitais vaistiniais preparatais</w:t>
      </w:r>
      <w:r w:rsidRPr="002E4D40">
        <w:rPr>
          <w:rFonts w:ascii="Times New Roman" w:eastAsia="Times New Roman" w:hAnsi="Times New Roman" w:cs="Times New Roman"/>
        </w:rPr>
        <w:t>.</w:t>
      </w:r>
    </w:p>
    <w:p w:rsidR="00C81C1A" w:rsidRPr="002E4D40" w:rsidRDefault="00C81C1A" w:rsidP="00C81C1A">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Dirbant su vaistiniu preparatu ir tvarkant jo atliekas, reikia laikytis vietinių darbo su preparatais</w:t>
      </w:r>
      <w:r>
        <w:rPr>
          <w:rFonts w:ascii="Times New Roman" w:eastAsia="Times New Roman" w:hAnsi="Times New Roman" w:cs="Times New Roman"/>
        </w:rPr>
        <w:t>, galinčiais pažeisti ląsteles,</w:t>
      </w:r>
      <w:r w:rsidRPr="002E4D40">
        <w:rPr>
          <w:rFonts w:ascii="Times New Roman" w:eastAsia="Times New Roman" w:hAnsi="Times New Roman" w:cs="Times New Roman"/>
        </w:rPr>
        <w:t xml:space="preserve"> reikalavimų. Nėščioms moterims</w:t>
      </w:r>
      <w:r>
        <w:rPr>
          <w:rFonts w:ascii="Times New Roman" w:eastAsia="Times New Roman" w:hAnsi="Times New Roman" w:cs="Times New Roman"/>
        </w:rPr>
        <w:t>, taip pat ir nėščioms sveikatos apsaugos darbuotojoms,</w:t>
      </w:r>
      <w:r w:rsidRPr="002E4D40">
        <w:rPr>
          <w:rFonts w:ascii="Times New Roman" w:eastAsia="Times New Roman" w:hAnsi="Times New Roman" w:cs="Times New Roman"/>
        </w:rPr>
        <w:t xml:space="preserve"> Ebetrexat liesti ar </w:t>
      </w:r>
      <w:r>
        <w:rPr>
          <w:rFonts w:ascii="Times New Roman" w:eastAsia="Times New Roman" w:hAnsi="Times New Roman" w:cs="Times New Roman"/>
        </w:rPr>
        <w:t>leisti</w:t>
      </w:r>
      <w:r w:rsidRPr="002E4D40">
        <w:rPr>
          <w:rFonts w:ascii="Times New Roman" w:eastAsia="Times New Roman" w:hAnsi="Times New Roman" w:cs="Times New Roman"/>
        </w:rPr>
        <w:t xml:space="preserve"> negalima.</w:t>
      </w:r>
    </w:p>
    <w:p w:rsidR="00C81C1A" w:rsidRPr="002E4D40" w:rsidRDefault="00C81C1A" w:rsidP="00C81C1A">
      <w:pPr>
        <w:tabs>
          <w:tab w:val="left" w:pos="567"/>
        </w:tabs>
        <w:spacing w:after="0" w:line="240" w:lineRule="auto"/>
        <w:rPr>
          <w:rFonts w:ascii="Times New Roman" w:eastAsia="Times New Roman" w:hAnsi="Times New Roman" w:cs="Times New Roman"/>
        </w:rPr>
      </w:pPr>
    </w:p>
    <w:p w:rsidR="00C81C1A" w:rsidRPr="002E4D40" w:rsidRDefault="00C81C1A" w:rsidP="00C81C1A">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Siekiant, kad užpildyto švirkšto naudojimo metu nekiltų jokių problemų, ypač atsargiai laikykitės kiekvieno poodinės injekcijos instrukcijos žingsnio:</w:t>
      </w:r>
    </w:p>
    <w:p w:rsidR="00C81C1A" w:rsidRDefault="00C81C1A" w:rsidP="00C81C1A">
      <w:pPr>
        <w:spacing w:after="0" w:line="240" w:lineRule="auto"/>
        <w:rPr>
          <w:rFonts w:ascii="Times New Roman" w:eastAsia="Times New Roman" w:hAnsi="Times New Roman" w:cs="Times New Roman"/>
          <w:u w:val="single"/>
        </w:rPr>
      </w:pPr>
    </w:p>
    <w:p w:rsidR="00C81C1A" w:rsidRPr="0054568F" w:rsidRDefault="00C81C1A" w:rsidP="00C81C1A">
      <w:pPr>
        <w:spacing w:after="0" w:line="240" w:lineRule="auto"/>
        <w:rPr>
          <w:rFonts w:ascii="Times New Roman" w:eastAsia="Times New Roman" w:hAnsi="Times New Roman" w:cs="Times New Roman"/>
          <w:b/>
          <w:u w:val="single"/>
        </w:rPr>
      </w:pPr>
      <w:r w:rsidRPr="0054568F">
        <w:rPr>
          <w:rFonts w:ascii="Times New Roman" w:eastAsia="Times New Roman" w:hAnsi="Times New Roman" w:cs="Times New Roman"/>
          <w:b/>
          <w:u w:val="single"/>
        </w:rPr>
        <w:t>1 žingsnis</w:t>
      </w:r>
    </w:p>
    <w:p w:rsidR="00C81C1A" w:rsidRPr="002E4D40" w:rsidRDefault="00C81C1A" w:rsidP="00C81C1A">
      <w:pPr>
        <w:spacing w:after="0" w:line="240" w:lineRule="auto"/>
        <w:rPr>
          <w:rFonts w:ascii="Times New Roman" w:eastAsia="Times New Roman" w:hAnsi="Times New Roman" w:cs="Times New Roman"/>
          <w:u w:val="single"/>
        </w:rPr>
      </w:pPr>
    </w:p>
    <w:p w:rsidR="00C81C1A" w:rsidRPr="002E4D40" w:rsidRDefault="00C81C1A" w:rsidP="00C81C1A">
      <w:pPr>
        <w:numPr>
          <w:ilvl w:val="0"/>
          <w:numId w:val="5"/>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w:t>
      </w:r>
      <w:r>
        <w:rPr>
          <w:rFonts w:ascii="Times New Roman" w:eastAsia="Times New Roman" w:hAnsi="Times New Roman" w:cs="Times New Roman"/>
        </w:rPr>
        <w:t>š dėžutės i</w:t>
      </w:r>
      <w:r w:rsidRPr="002E4D40">
        <w:rPr>
          <w:rFonts w:ascii="Times New Roman" w:eastAsia="Times New Roman" w:hAnsi="Times New Roman" w:cs="Times New Roman"/>
        </w:rPr>
        <w:t>šimkite vidinę pakuotę, kurioje yra užpildytas švirkštas ir adata.</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Atidarykite vidinę pakuotę, traukdami už kampo atlanko. Užpildytą švirkštą išimkite. </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Nusukite nuo švirkšto pilką guminį dangtelį</w:t>
      </w:r>
      <w:r>
        <w:rPr>
          <w:rFonts w:ascii="Times New Roman" w:eastAsia="Times New Roman" w:hAnsi="Times New Roman" w:cs="Times New Roman"/>
        </w:rPr>
        <w:t xml:space="preserve"> su plastikiniu gaubtu</w:t>
      </w:r>
      <w:r w:rsidRPr="002E4D40">
        <w:rPr>
          <w:rFonts w:ascii="Times New Roman" w:eastAsia="Times New Roman" w:hAnsi="Times New Roman" w:cs="Times New Roman"/>
        </w:rPr>
        <w:t>, neliesdami užpildyto švirkšto atviro galo</w:t>
      </w:r>
      <w:r>
        <w:rPr>
          <w:rFonts w:ascii="Times New Roman" w:eastAsia="Times New Roman" w:hAnsi="Times New Roman" w:cs="Times New Roman"/>
        </w:rPr>
        <w:t xml:space="preserve"> (žr. 1 paveikslėlį).</w:t>
      </w:r>
      <w:r w:rsidRPr="002E4D40">
        <w:rPr>
          <w:rFonts w:ascii="Times New Roman" w:eastAsia="Times New Roman" w:hAnsi="Times New Roman" w:cs="Times New Roman"/>
        </w:rPr>
        <w:br/>
      </w:r>
      <w:r>
        <w:rPr>
          <w:noProof/>
          <w:lang w:eastAsia="lt-LT"/>
        </w:rPr>
        <w:drawing>
          <wp:inline distT="0" distB="0" distL="0" distR="0" wp14:anchorId="56765392" wp14:editId="1470FDC1">
            <wp:extent cx="2790825" cy="2790825"/>
            <wp:effectExtent l="0" t="0" r="9525" b="9525"/>
            <wp:docPr id="2" name="Picture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ld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1 paveikslėlis</w:t>
      </w:r>
    </w:p>
    <w:p w:rsidR="00C81C1A" w:rsidRDefault="00C81C1A" w:rsidP="00C81C1A">
      <w:pPr>
        <w:spacing w:after="0" w:line="240" w:lineRule="auto"/>
        <w:ind w:left="360"/>
        <w:rPr>
          <w:rFonts w:ascii="Times New Roman" w:eastAsia="Times New Roman" w:hAnsi="Times New Roman" w:cs="Times New Roman"/>
        </w:rPr>
      </w:pPr>
    </w:p>
    <w:p w:rsidR="00C81C1A" w:rsidRPr="0054568F" w:rsidRDefault="00C81C1A" w:rsidP="00C81C1A">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2 žingsnis</w:t>
      </w:r>
    </w:p>
    <w:p w:rsidR="00C81C1A" w:rsidRDefault="00C81C1A" w:rsidP="00C81C1A">
      <w:pPr>
        <w:spacing w:after="0" w:line="240" w:lineRule="auto"/>
        <w:ind w:left="360"/>
        <w:rPr>
          <w:rFonts w:ascii="Times New Roman" w:eastAsia="Times New Roman" w:hAnsi="Times New Roman" w:cs="Times New Roman"/>
        </w:rPr>
      </w:pPr>
    </w:p>
    <w:p w:rsidR="00C81C1A" w:rsidRPr="002E4D40"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Švirkštą įdėkite atgal į vidinę pakuotę. Geltonas tirpalas negalės iš jo ištekėti.</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Patikrinkite</w:t>
      </w:r>
      <w:r>
        <w:rPr>
          <w:rFonts w:ascii="Times New Roman" w:eastAsia="Times New Roman" w:hAnsi="Times New Roman" w:cs="Times New Roman"/>
        </w:rPr>
        <w:t xml:space="preserve"> plastikinį dėklą, kuriame yra adata. Etiketė turi būti </w:t>
      </w:r>
      <w:r w:rsidRPr="002E4D40">
        <w:rPr>
          <w:rFonts w:ascii="Times New Roman" w:eastAsia="Times New Roman" w:hAnsi="Times New Roman" w:cs="Times New Roman"/>
        </w:rPr>
        <w:t>nepažeista</w:t>
      </w:r>
      <w:r>
        <w:rPr>
          <w:rFonts w:ascii="Times New Roman" w:eastAsia="Times New Roman" w:hAnsi="Times New Roman" w:cs="Times New Roman"/>
        </w:rPr>
        <w:t xml:space="preserve"> (žr.</w:t>
      </w:r>
      <w:r w:rsidRPr="00616AE5">
        <w:rPr>
          <w:rFonts w:ascii="Times New Roman" w:eastAsia="Times New Roman" w:hAnsi="Times New Roman" w:cs="Times New Roman"/>
        </w:rPr>
        <w:t xml:space="preserve"> </w:t>
      </w:r>
      <w:r>
        <w:rPr>
          <w:rFonts w:ascii="Times New Roman" w:eastAsia="Times New Roman" w:hAnsi="Times New Roman" w:cs="Times New Roman"/>
        </w:rPr>
        <w:t>2 paveikslėlį).</w:t>
      </w: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4DC3964D" wp14:editId="6369E2DC">
            <wp:extent cx="3133725" cy="3133725"/>
            <wp:effectExtent l="0" t="0" r="9525" b="9525"/>
            <wp:docPr id="21" name="Picture 21"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2 paveikslėlis</w:t>
      </w:r>
    </w:p>
    <w:p w:rsidR="00C81C1A" w:rsidRDefault="00C81C1A" w:rsidP="00C81C1A">
      <w:pPr>
        <w:spacing w:after="0" w:line="240" w:lineRule="auto"/>
        <w:ind w:left="360"/>
        <w:rPr>
          <w:rFonts w:ascii="Times New Roman" w:eastAsia="Times New Roman" w:hAnsi="Times New Roman" w:cs="Times New Roman"/>
        </w:rPr>
      </w:pPr>
    </w:p>
    <w:p w:rsidR="00C81C1A" w:rsidRPr="0054568F" w:rsidRDefault="00C81C1A" w:rsidP="00C81C1A">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3 žingsnis</w:t>
      </w:r>
    </w:p>
    <w:p w:rsidR="00C81C1A" w:rsidRPr="002E4D40" w:rsidRDefault="00C81C1A" w:rsidP="00C81C1A">
      <w:pPr>
        <w:spacing w:after="0" w:line="240" w:lineRule="auto"/>
        <w:ind w:left="360"/>
        <w:rPr>
          <w:rFonts w:ascii="Times New Roman" w:eastAsia="Times New Roman" w:hAnsi="Times New Roman" w:cs="Times New Roman"/>
        </w:rPr>
      </w:pPr>
    </w:p>
    <w:p w:rsidR="00C81C1A"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Nuimkite </w:t>
      </w:r>
      <w:r>
        <w:rPr>
          <w:rFonts w:ascii="Times New Roman" w:eastAsia="Times New Roman" w:hAnsi="Times New Roman" w:cs="Times New Roman"/>
        </w:rPr>
        <w:t xml:space="preserve">plastikinio adatos dėklo </w:t>
      </w:r>
      <w:r w:rsidRPr="002E4D40">
        <w:rPr>
          <w:rFonts w:ascii="Times New Roman" w:eastAsia="Times New Roman" w:hAnsi="Times New Roman" w:cs="Times New Roman"/>
        </w:rPr>
        <w:t xml:space="preserve">dangtelį </w:t>
      </w:r>
      <w:r>
        <w:rPr>
          <w:rFonts w:ascii="Times New Roman" w:eastAsia="Times New Roman" w:hAnsi="Times New Roman" w:cs="Times New Roman"/>
        </w:rPr>
        <w:t>jį pasukant ir tada patraukiant</w:t>
      </w:r>
      <w:r w:rsidRPr="002E4D40">
        <w:rPr>
          <w:rFonts w:ascii="Times New Roman" w:eastAsia="Times New Roman" w:hAnsi="Times New Roman" w:cs="Times New Roman"/>
        </w:rPr>
        <w:t>.</w:t>
      </w:r>
      <w:r>
        <w:rPr>
          <w:rFonts w:ascii="Times New Roman" w:eastAsia="Times New Roman" w:hAnsi="Times New Roman" w:cs="Times New Roman"/>
        </w:rPr>
        <w:t xml:space="preserve"> Žr. 3.1 paveikslėlį.</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Atsargiai užsukite adatą kartu su plastikiniu dėklu ant švirkšto. Žr. 3.2 paveikslėlį.</w:t>
      </w: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7030F86C" wp14:editId="21B733A8">
            <wp:extent cx="2552700" cy="2552700"/>
            <wp:effectExtent l="0" t="0" r="0" b="0"/>
            <wp:docPr id="5" name="Picture 5"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ild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3.1 paveikslėlis</w:t>
      </w: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0C458794" wp14:editId="626F008C">
            <wp:extent cx="2571750" cy="2571750"/>
            <wp:effectExtent l="0" t="0" r="0" b="0"/>
            <wp:docPr id="6" name="Picture 6" descr="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ild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3.2 paveikslėlis</w:t>
      </w:r>
    </w:p>
    <w:p w:rsidR="00C81C1A" w:rsidRDefault="00C81C1A" w:rsidP="00C81C1A">
      <w:pPr>
        <w:spacing w:after="0" w:line="240" w:lineRule="auto"/>
        <w:ind w:left="360"/>
        <w:rPr>
          <w:rFonts w:ascii="Times New Roman" w:eastAsia="Times New Roman" w:hAnsi="Times New Roman" w:cs="Times New Roman"/>
        </w:rPr>
      </w:pPr>
    </w:p>
    <w:p w:rsidR="00C81C1A" w:rsidRPr="002E4D40"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p>
    <w:p w:rsidR="00C81C1A" w:rsidRPr="0054568F" w:rsidRDefault="00C81C1A" w:rsidP="00C81C1A">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4 žingsnis</w:t>
      </w:r>
    </w:p>
    <w:p w:rsidR="00C81C1A" w:rsidRPr="002E4D40" w:rsidRDefault="00C81C1A" w:rsidP="00C81C1A">
      <w:pPr>
        <w:spacing w:after="0" w:line="240" w:lineRule="auto"/>
        <w:ind w:left="360"/>
        <w:rPr>
          <w:rFonts w:ascii="Times New Roman" w:eastAsia="Times New Roman" w:hAnsi="Times New Roman" w:cs="Times New Roman"/>
        </w:rPr>
      </w:pPr>
    </w:p>
    <w:p w:rsidR="00C81C1A"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Pasirinkite injekcijos vietą</w:t>
      </w:r>
      <w:r>
        <w:rPr>
          <w:rFonts w:ascii="Times New Roman" w:eastAsia="Times New Roman" w:hAnsi="Times New Roman" w:cs="Times New Roman"/>
        </w:rPr>
        <w:t xml:space="preserve"> pilvo ar šlaunies srityje ir s</w:t>
      </w:r>
      <w:r w:rsidRPr="002E4D40">
        <w:rPr>
          <w:rFonts w:ascii="Times New Roman" w:eastAsia="Times New Roman" w:hAnsi="Times New Roman" w:cs="Times New Roman"/>
        </w:rPr>
        <w:t xml:space="preserve">udrėkinkite </w:t>
      </w:r>
      <w:r>
        <w:rPr>
          <w:rFonts w:ascii="Times New Roman" w:eastAsia="Times New Roman" w:hAnsi="Times New Roman" w:cs="Times New Roman"/>
        </w:rPr>
        <w:t>ją</w:t>
      </w:r>
      <w:r w:rsidRPr="002E4D40">
        <w:rPr>
          <w:rFonts w:ascii="Times New Roman" w:eastAsia="Times New Roman" w:hAnsi="Times New Roman" w:cs="Times New Roman"/>
        </w:rPr>
        <w:t xml:space="preserve"> alkoholiu suvilgytu tamponu. Prieš injekciją šios vietos nelieskite</w:t>
      </w:r>
      <w:r>
        <w:rPr>
          <w:rFonts w:ascii="Times New Roman" w:eastAsia="Times New Roman" w:hAnsi="Times New Roman" w:cs="Times New Roman"/>
        </w:rPr>
        <w:t xml:space="preserve"> (žr. paveikslėlius 4.1 ir 4.2 )</w:t>
      </w:r>
      <w:r w:rsidRPr="002E4D40">
        <w:rPr>
          <w:rFonts w:ascii="Times New Roman" w:eastAsia="Times New Roman" w:hAnsi="Times New Roman" w:cs="Times New Roman"/>
        </w:rPr>
        <w:t>.</w:t>
      </w:r>
      <w:r w:rsidRPr="002E4D40">
        <w:rPr>
          <w:rFonts w:ascii="Times New Roman" w:eastAsia="Times New Roman" w:hAnsi="Times New Roman" w:cs="Times New Roman"/>
        </w:rPr>
        <w:br/>
      </w:r>
      <w:r>
        <w:rPr>
          <w:strike/>
          <w:noProof/>
          <w:lang w:eastAsia="lt-LT"/>
        </w:rPr>
        <w:drawing>
          <wp:inline distT="0" distB="0" distL="0" distR="0" wp14:anchorId="5774D526" wp14:editId="3821E7ED">
            <wp:extent cx="2657475" cy="2657475"/>
            <wp:effectExtent l="0" t="0" r="9525" b="9525"/>
            <wp:docPr id="7" name="Picture 7" descr="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ild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4.1 paveikslėlis</w:t>
      </w: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r>
        <w:rPr>
          <w:strike/>
          <w:noProof/>
          <w:lang w:eastAsia="lt-LT"/>
        </w:rPr>
        <w:drawing>
          <wp:inline distT="0" distB="0" distL="0" distR="0" wp14:anchorId="07CB2FC4" wp14:editId="18F41C51">
            <wp:extent cx="2647950" cy="2647950"/>
            <wp:effectExtent l="0" t="0" r="0" b="0"/>
            <wp:docPr id="8" name="Picture 8" descr="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ld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C81C1A" w:rsidRPr="002E4D40"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4.2 paveikslėlis</w:t>
      </w:r>
    </w:p>
    <w:p w:rsidR="00C81C1A" w:rsidRDefault="00C81C1A" w:rsidP="00C81C1A">
      <w:pPr>
        <w:spacing w:after="0" w:line="240" w:lineRule="auto"/>
        <w:ind w:left="720"/>
        <w:rPr>
          <w:rFonts w:ascii="Times New Roman" w:eastAsia="Times New Roman" w:hAnsi="Times New Roman" w:cs="Times New Roman"/>
        </w:rPr>
      </w:pPr>
    </w:p>
    <w:p w:rsidR="00C81C1A" w:rsidRPr="0054568F" w:rsidRDefault="00C81C1A" w:rsidP="00C81C1A">
      <w:pPr>
        <w:spacing w:after="0" w:line="240" w:lineRule="auto"/>
        <w:ind w:left="709"/>
        <w:rPr>
          <w:rFonts w:ascii="Times New Roman" w:eastAsia="Times New Roman" w:hAnsi="Times New Roman" w:cs="Times New Roman"/>
          <w:b/>
          <w:u w:val="single"/>
        </w:rPr>
      </w:pPr>
      <w:r w:rsidRPr="0054568F">
        <w:rPr>
          <w:rFonts w:ascii="Times New Roman" w:eastAsia="Times New Roman" w:hAnsi="Times New Roman" w:cs="Times New Roman"/>
          <w:b/>
          <w:u w:val="single"/>
        </w:rPr>
        <w:t>5 žingsnis</w:t>
      </w:r>
    </w:p>
    <w:p w:rsidR="00C81C1A" w:rsidRPr="002E4D40" w:rsidRDefault="00C81C1A" w:rsidP="00C81C1A">
      <w:pPr>
        <w:spacing w:after="0" w:line="240" w:lineRule="auto"/>
        <w:ind w:left="709"/>
        <w:rPr>
          <w:rFonts w:ascii="Times New Roman" w:eastAsia="Times New Roman" w:hAnsi="Times New Roman" w:cs="Times New Roman"/>
        </w:rPr>
      </w:pPr>
    </w:p>
    <w:p w:rsidR="00C81C1A" w:rsidRPr="00FD1DB1" w:rsidRDefault="00C81C1A" w:rsidP="00C81C1A">
      <w:pPr>
        <w:numPr>
          <w:ilvl w:val="0"/>
          <w:numId w:val="4"/>
        </w:numPr>
        <w:spacing w:after="0" w:line="240" w:lineRule="auto"/>
        <w:rPr>
          <w:rFonts w:ascii="Times New Roman" w:hAnsi="Times New Roman"/>
        </w:rPr>
      </w:pPr>
      <w:r w:rsidRPr="00FD1DB1">
        <w:rPr>
          <w:rFonts w:ascii="Times New Roman" w:hAnsi="Times New Roman"/>
        </w:rPr>
        <w:t xml:space="preserve">Nutraukite adatos dėklą. Patikrinkite </w:t>
      </w:r>
      <w:r w:rsidRPr="0054568F">
        <w:rPr>
          <w:rFonts w:ascii="Times New Roman" w:hAnsi="Times New Roman" w:cs="Times New Roman"/>
        </w:rPr>
        <w:t>ar vizualinis indikatorius yra mėlynas. Žr. rodyklę 5.1 paveikslėlyje</w:t>
      </w:r>
      <w:r w:rsidRPr="00FD1DB1">
        <w:rPr>
          <w:rFonts w:ascii="Times New Roman" w:hAnsi="Times New Roman"/>
        </w:rPr>
        <w:t>.</w:t>
      </w:r>
    </w:p>
    <w:p w:rsidR="00C81C1A" w:rsidRPr="002E4D40" w:rsidRDefault="00C81C1A" w:rsidP="00C81C1A">
      <w:pPr>
        <w:spacing w:after="0" w:line="240" w:lineRule="auto"/>
        <w:rPr>
          <w:rFonts w:ascii="Times New Roman" w:eastAsia="Times New Roman" w:hAnsi="Times New Roman" w:cs="Times New Roman"/>
          <w:lang w:eastAsia="de-DE"/>
        </w:rPr>
      </w:pPr>
    </w:p>
    <w:p w:rsidR="00C81C1A" w:rsidRDefault="00C81C1A" w:rsidP="00C81C1A">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Švirkštas dabar yra paruoštas naudojimui.</w:t>
      </w:r>
    </w:p>
    <w:p w:rsidR="00C81C1A" w:rsidRDefault="00C81C1A" w:rsidP="00C81C1A">
      <w:pPr>
        <w:spacing w:after="0" w:line="240" w:lineRule="auto"/>
        <w:ind w:left="360"/>
        <w:rPr>
          <w:rFonts w:ascii="Times New Roman" w:eastAsia="Times New Roman" w:hAnsi="Times New Roman" w:cs="Times New Roman"/>
        </w:rPr>
      </w:pPr>
      <w:r w:rsidRPr="0054568F">
        <w:rPr>
          <w:rFonts w:ascii="Times New Roman" w:eastAsia="Times New Roman" w:hAnsi="Times New Roman" w:cs="Times New Roman"/>
          <w:b/>
        </w:rPr>
        <w:t>Atsargiai</w:t>
      </w:r>
      <w:r>
        <w:rPr>
          <w:rFonts w:ascii="Times New Roman" w:eastAsia="Times New Roman" w:hAnsi="Times New Roman" w:cs="Times New Roman"/>
        </w:rPr>
        <w:t>: negalima atgal uždėti adatos dangtelio, kad atsitiktinai nebūtų aktyvuotas apsauginis mechanizmas. Apsauginio adatos gaubto prieš injekciją liesti negalima (žr. 5.2 paveikslėlį). Bet koks apsauginio gaubto paspaudimas gali aktyvuoti apsauginį mechanizmą ir adata taps netinkama naudoti. Tokiu atveju langelyje mėlyno indikatoriaus nebus.</w:t>
      </w: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67EF060C" wp14:editId="57C7E428">
            <wp:extent cx="2571750" cy="2571750"/>
            <wp:effectExtent l="0" t="0" r="0" b="0"/>
            <wp:docPr id="9" name="Picture 9" descr="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ild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5.1 paveikslėlis</w:t>
      </w: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2A88BEA8" wp14:editId="5B06EAA0">
            <wp:extent cx="2590800" cy="2590800"/>
            <wp:effectExtent l="0" t="0" r="0" b="0"/>
            <wp:docPr id="10" name="Picture 10" descr="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ild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5.2 paveikslėlis</w:t>
      </w:r>
    </w:p>
    <w:p w:rsidR="00C81C1A" w:rsidRDefault="00C81C1A" w:rsidP="00C81C1A">
      <w:pPr>
        <w:spacing w:after="0" w:line="240" w:lineRule="auto"/>
        <w:ind w:left="360"/>
        <w:rPr>
          <w:rFonts w:ascii="Times New Roman" w:eastAsia="Times New Roman" w:hAnsi="Times New Roman" w:cs="Times New Roman"/>
        </w:rPr>
      </w:pPr>
    </w:p>
    <w:p w:rsidR="00C81C1A" w:rsidRPr="0054568F" w:rsidRDefault="00C81C1A" w:rsidP="00C81C1A">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6 žingsnis</w:t>
      </w:r>
    </w:p>
    <w:p w:rsidR="00C81C1A" w:rsidRDefault="00C81C1A" w:rsidP="00C81C1A">
      <w:pPr>
        <w:spacing w:after="0" w:line="240" w:lineRule="auto"/>
        <w:ind w:left="360"/>
        <w:rPr>
          <w:rFonts w:ascii="Times New Roman" w:eastAsia="Times New Roman" w:hAnsi="Times New Roman" w:cs="Times New Roman"/>
        </w:rPr>
      </w:pPr>
    </w:p>
    <w:p w:rsidR="00C81C1A"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Dviem pirštais su</w:t>
      </w:r>
      <w:r>
        <w:rPr>
          <w:rFonts w:ascii="Times New Roman" w:eastAsia="Times New Roman" w:hAnsi="Times New Roman" w:cs="Times New Roman"/>
        </w:rPr>
        <w:t>imkite</w:t>
      </w:r>
      <w:r w:rsidRPr="002E4D40">
        <w:rPr>
          <w:rFonts w:ascii="Times New Roman" w:eastAsia="Times New Roman" w:hAnsi="Times New Roman" w:cs="Times New Roman"/>
        </w:rPr>
        <w:t xml:space="preserve"> odos raukšlę</w:t>
      </w:r>
      <w:r>
        <w:rPr>
          <w:rFonts w:ascii="Times New Roman" w:eastAsia="Times New Roman" w:hAnsi="Times New Roman" w:cs="Times New Roman"/>
        </w:rPr>
        <w:t xml:space="preserve"> srityje, kurią dezinfekavote 4 žingsnyje. Į kitą ranką paimkite švirkštą taip, kaip parodyta 6.1 paveikslėlyje.</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2E4D40">
        <w:rPr>
          <w:rFonts w:ascii="Times New Roman" w:eastAsia="Times New Roman" w:hAnsi="Times New Roman" w:cs="Times New Roman"/>
        </w:rPr>
        <w:t xml:space="preserve">ienu užtikrintu judesiu durkite į </w:t>
      </w:r>
      <w:r>
        <w:rPr>
          <w:rFonts w:ascii="Times New Roman" w:eastAsia="Times New Roman" w:hAnsi="Times New Roman" w:cs="Times New Roman"/>
        </w:rPr>
        <w:t>odos raukšlę</w:t>
      </w:r>
      <w:r w:rsidRPr="002E4D40">
        <w:rPr>
          <w:rFonts w:ascii="Times New Roman" w:eastAsia="Times New Roman" w:hAnsi="Times New Roman" w:cs="Times New Roman"/>
        </w:rPr>
        <w:t xml:space="preserve"> adatą beveik </w:t>
      </w:r>
      <w:r>
        <w:rPr>
          <w:rFonts w:ascii="Times New Roman" w:eastAsia="Times New Roman" w:hAnsi="Times New Roman" w:cs="Times New Roman"/>
        </w:rPr>
        <w:t>statmenai</w:t>
      </w:r>
      <w:r w:rsidRPr="002E4D40">
        <w:rPr>
          <w:rFonts w:ascii="Times New Roman" w:eastAsia="Times New Roman" w:hAnsi="Times New Roman" w:cs="Times New Roman"/>
        </w:rPr>
        <w:t xml:space="preserve">. Į odos raukšlę įstumkite adatą, kol </w:t>
      </w:r>
      <w:r w:rsidRPr="00FD1DB1">
        <w:rPr>
          <w:rFonts w:ascii="Times New Roman" w:hAnsi="Times New Roman"/>
          <w:b/>
        </w:rPr>
        <w:t>apsauginis gaubtas pilnai atsitrauks</w:t>
      </w:r>
      <w:r w:rsidRPr="0054568F">
        <w:rPr>
          <w:rFonts w:ascii="Times New Roman" w:eastAsia="Times New Roman" w:hAnsi="Times New Roman" w:cs="Times New Roman"/>
        </w:rPr>
        <w:t>!</w:t>
      </w:r>
      <w:r>
        <w:rPr>
          <w:rFonts w:ascii="Times New Roman" w:eastAsia="Times New Roman" w:hAnsi="Times New Roman" w:cs="Times New Roman"/>
        </w:rPr>
        <w:t xml:space="preserve"> Žr. 6.2 paveikslėlį.</w:t>
      </w:r>
      <w:r w:rsidRPr="002E4D40">
        <w:rPr>
          <w:rFonts w:ascii="Times New Roman" w:eastAsia="Times New Roman" w:hAnsi="Times New Roman" w:cs="Times New Roman"/>
        </w:rPr>
        <w:t xml:space="preserve"> </w:t>
      </w:r>
    </w:p>
    <w:p w:rsidR="00C81C1A" w:rsidRDefault="00C81C1A" w:rsidP="00C81C1A">
      <w:pPr>
        <w:spacing w:after="0" w:line="240" w:lineRule="auto"/>
        <w:ind w:left="360"/>
        <w:rPr>
          <w:rFonts w:ascii="Times New Roman" w:eastAsia="Times New Roman" w:hAnsi="Times New Roman" w:cs="Times New Roman"/>
          <w:strike/>
          <w:lang w:eastAsia="de-AT"/>
        </w:rPr>
      </w:pPr>
      <w:r>
        <w:rPr>
          <w:noProof/>
          <w:lang w:eastAsia="lt-LT"/>
        </w:rPr>
        <w:drawing>
          <wp:inline distT="0" distB="0" distL="0" distR="0" wp14:anchorId="3363F3C9" wp14:editId="1C8C42EF">
            <wp:extent cx="2619375" cy="2619375"/>
            <wp:effectExtent l="0" t="0" r="9525" b="9525"/>
            <wp:docPr id="17" name="Picture 17" descr="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ld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C81C1A" w:rsidRPr="00C1713B" w:rsidRDefault="00C81C1A" w:rsidP="00C81C1A">
      <w:pPr>
        <w:spacing w:after="0" w:line="240" w:lineRule="auto"/>
        <w:ind w:left="360"/>
        <w:rPr>
          <w:rFonts w:ascii="Times New Roman" w:eastAsia="Times New Roman" w:hAnsi="Times New Roman" w:cs="Times New Roman"/>
          <w:lang w:eastAsia="de-AT"/>
        </w:rPr>
      </w:pPr>
      <w:r w:rsidRPr="00C1713B">
        <w:rPr>
          <w:rFonts w:ascii="Times New Roman" w:eastAsia="Times New Roman" w:hAnsi="Times New Roman" w:cs="Times New Roman"/>
          <w:lang w:eastAsia="de-AT"/>
        </w:rPr>
        <w:t>6.1 paveikslėlis</w:t>
      </w:r>
    </w:p>
    <w:p w:rsidR="00C81C1A" w:rsidRPr="00C1713B" w:rsidRDefault="00C81C1A" w:rsidP="00C81C1A">
      <w:pPr>
        <w:spacing w:after="0" w:line="240" w:lineRule="auto"/>
        <w:ind w:left="360"/>
        <w:rPr>
          <w:rFonts w:ascii="Times New Roman" w:eastAsia="Times New Roman" w:hAnsi="Times New Roman" w:cs="Times New Roman"/>
          <w:lang w:eastAsia="de-AT"/>
        </w:rPr>
      </w:pPr>
    </w:p>
    <w:p w:rsidR="00C81C1A" w:rsidRDefault="00C81C1A" w:rsidP="00C81C1A">
      <w:pPr>
        <w:spacing w:after="0" w:line="240" w:lineRule="auto"/>
        <w:ind w:left="360"/>
        <w:rPr>
          <w:rFonts w:ascii="Times New Roman" w:eastAsia="Times New Roman" w:hAnsi="Times New Roman" w:cs="Times New Roman"/>
          <w:strike/>
          <w:lang w:eastAsia="de-AT"/>
        </w:rPr>
      </w:pPr>
      <w:r>
        <w:rPr>
          <w:noProof/>
          <w:lang w:eastAsia="lt-LT"/>
        </w:rPr>
        <w:drawing>
          <wp:inline distT="0" distB="0" distL="0" distR="0" wp14:anchorId="4BF0874A" wp14:editId="65831220">
            <wp:extent cx="2628900" cy="2628900"/>
            <wp:effectExtent l="0" t="0" r="0" b="0"/>
            <wp:docPr id="18" name="Picture 18" descr="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ild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lang w:eastAsia="de-AT"/>
        </w:rPr>
      </w:pPr>
      <w:r w:rsidRPr="00C1713B">
        <w:rPr>
          <w:rFonts w:ascii="Times New Roman" w:eastAsia="Times New Roman" w:hAnsi="Times New Roman" w:cs="Times New Roman"/>
          <w:lang w:eastAsia="de-AT"/>
        </w:rPr>
        <w:t>6.2 paveikslėlis</w:t>
      </w:r>
    </w:p>
    <w:p w:rsidR="00C81C1A" w:rsidRPr="002E4D40" w:rsidRDefault="00C81C1A" w:rsidP="00C81C1A">
      <w:pPr>
        <w:spacing w:after="0" w:line="240" w:lineRule="auto"/>
        <w:ind w:left="360"/>
        <w:rPr>
          <w:rFonts w:ascii="Times New Roman" w:eastAsia="Times New Roman" w:hAnsi="Times New Roman" w:cs="Times New Roman"/>
          <w:strike/>
          <w:lang w:eastAsia="de-AT"/>
        </w:rPr>
      </w:pPr>
    </w:p>
    <w:p w:rsidR="00C81C1A" w:rsidRDefault="00C81C1A" w:rsidP="00C81C1A">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E4D40">
        <w:rPr>
          <w:rFonts w:ascii="Times New Roman" w:eastAsia="Times New Roman" w:hAnsi="Times New Roman" w:cs="Times New Roman"/>
        </w:rPr>
        <w:t>olygiai spau</w:t>
      </w:r>
      <w:r>
        <w:rPr>
          <w:rFonts w:ascii="Times New Roman" w:eastAsia="Times New Roman" w:hAnsi="Times New Roman" w:cs="Times New Roman"/>
        </w:rPr>
        <w:t>skite</w:t>
      </w:r>
      <w:r w:rsidRPr="002E4D40">
        <w:rPr>
          <w:rFonts w:ascii="Times New Roman" w:eastAsia="Times New Roman" w:hAnsi="Times New Roman" w:cs="Times New Roman"/>
        </w:rPr>
        <w:t xml:space="preserve"> </w:t>
      </w:r>
      <w:r>
        <w:rPr>
          <w:rFonts w:ascii="Times New Roman" w:eastAsia="Times New Roman" w:hAnsi="Times New Roman" w:cs="Times New Roman"/>
        </w:rPr>
        <w:t xml:space="preserve">švirkštą </w:t>
      </w:r>
      <w:r w:rsidRPr="002E4D40">
        <w:rPr>
          <w:rFonts w:ascii="Times New Roman" w:eastAsia="Times New Roman" w:hAnsi="Times New Roman" w:cs="Times New Roman"/>
        </w:rPr>
        <w:t>prie odos</w:t>
      </w:r>
      <w:r>
        <w:rPr>
          <w:rFonts w:ascii="Times New Roman" w:eastAsia="Times New Roman" w:hAnsi="Times New Roman" w:cs="Times New Roman"/>
        </w:rPr>
        <w:t>. Tuo pačiu metu</w:t>
      </w:r>
      <w:r w:rsidRPr="002E4D40">
        <w:rPr>
          <w:rFonts w:ascii="Times New Roman" w:eastAsia="Times New Roman" w:hAnsi="Times New Roman" w:cs="Times New Roman"/>
        </w:rPr>
        <w:t xml:space="preserve">, lėtai stumkite stūmoklį </w:t>
      </w:r>
      <w:r>
        <w:rPr>
          <w:rFonts w:ascii="Times New Roman" w:eastAsia="Times New Roman" w:hAnsi="Times New Roman" w:cs="Times New Roman"/>
        </w:rPr>
        <w:t xml:space="preserve">į švirkštą tol, kol </w:t>
      </w:r>
      <w:r w:rsidRPr="002E4D40">
        <w:rPr>
          <w:rFonts w:ascii="Times New Roman" w:eastAsia="Times New Roman" w:hAnsi="Times New Roman" w:cs="Times New Roman"/>
        </w:rPr>
        <w:t>vis</w:t>
      </w:r>
      <w:r>
        <w:rPr>
          <w:rFonts w:ascii="Times New Roman" w:eastAsia="Times New Roman" w:hAnsi="Times New Roman" w:cs="Times New Roman"/>
        </w:rPr>
        <w:t>as</w:t>
      </w:r>
      <w:r w:rsidRPr="002E4D40">
        <w:rPr>
          <w:rFonts w:ascii="Times New Roman" w:eastAsia="Times New Roman" w:hAnsi="Times New Roman" w:cs="Times New Roman"/>
        </w:rPr>
        <w:t xml:space="preserve"> skyst</w:t>
      </w:r>
      <w:r>
        <w:rPr>
          <w:rFonts w:ascii="Times New Roman" w:eastAsia="Times New Roman" w:hAnsi="Times New Roman" w:cs="Times New Roman"/>
        </w:rPr>
        <w:t xml:space="preserve">is bus </w:t>
      </w:r>
      <w:r w:rsidRPr="002E4D40">
        <w:rPr>
          <w:rFonts w:ascii="Times New Roman" w:eastAsia="Times New Roman" w:hAnsi="Times New Roman" w:cs="Times New Roman"/>
        </w:rPr>
        <w:t>suleis</w:t>
      </w:r>
      <w:r>
        <w:rPr>
          <w:rFonts w:ascii="Times New Roman" w:eastAsia="Times New Roman" w:hAnsi="Times New Roman" w:cs="Times New Roman"/>
        </w:rPr>
        <w:t>tas</w:t>
      </w:r>
      <w:r w:rsidRPr="002E4D40">
        <w:rPr>
          <w:rFonts w:ascii="Times New Roman" w:eastAsia="Times New Roman" w:hAnsi="Times New Roman" w:cs="Times New Roman"/>
        </w:rPr>
        <w:t xml:space="preserve"> po oda</w:t>
      </w:r>
      <w:r>
        <w:rPr>
          <w:rFonts w:ascii="Times New Roman" w:eastAsia="Times New Roman" w:hAnsi="Times New Roman" w:cs="Times New Roman"/>
        </w:rPr>
        <w:t xml:space="preserve"> (žr. 6.3 paveikslėlį)</w:t>
      </w:r>
      <w:r w:rsidRPr="002E4D40">
        <w:rPr>
          <w:rFonts w:ascii="Times New Roman" w:eastAsia="Times New Roman" w:hAnsi="Times New Roman" w:cs="Times New Roman"/>
        </w:rPr>
        <w:t>.</w:t>
      </w:r>
      <w:r w:rsidRPr="002E4D40">
        <w:rPr>
          <w:rFonts w:ascii="Times New Roman" w:eastAsia="Times New Roman" w:hAnsi="Times New Roman" w:cs="Times New Roman"/>
        </w:rPr>
        <w:br/>
      </w:r>
      <w:r>
        <w:rPr>
          <w:noProof/>
          <w:lang w:eastAsia="lt-LT"/>
        </w:rPr>
        <w:drawing>
          <wp:inline distT="0" distB="0" distL="0" distR="0" wp14:anchorId="705B3335" wp14:editId="75C8736F">
            <wp:extent cx="2809875" cy="2809875"/>
            <wp:effectExtent l="0" t="0" r="9525" b="9525"/>
            <wp:docPr id="19" name="Picture 19" descr="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ild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noProof/>
          <w:lang w:eastAsia="lt-LT"/>
        </w:rPr>
        <w:t>3 paveikslėlis</w:t>
      </w:r>
    </w:p>
    <w:p w:rsidR="00C81C1A" w:rsidRDefault="00C81C1A" w:rsidP="00C81C1A">
      <w:pPr>
        <w:spacing w:after="0" w:line="240" w:lineRule="auto"/>
        <w:ind w:left="360"/>
        <w:rPr>
          <w:rFonts w:ascii="Times New Roman" w:eastAsia="Times New Roman" w:hAnsi="Times New Roman" w:cs="Times New Roman"/>
        </w:rPr>
      </w:pPr>
    </w:p>
    <w:p w:rsidR="00C81C1A" w:rsidRPr="0054568F" w:rsidRDefault="00C81C1A" w:rsidP="00C81C1A">
      <w:pPr>
        <w:spacing w:after="0" w:line="240" w:lineRule="auto"/>
        <w:ind w:left="360"/>
        <w:rPr>
          <w:rFonts w:ascii="Times New Roman" w:eastAsia="Times New Roman" w:hAnsi="Times New Roman" w:cs="Times New Roman"/>
          <w:b/>
        </w:rPr>
      </w:pPr>
      <w:r w:rsidRPr="0054568F">
        <w:rPr>
          <w:rFonts w:ascii="Times New Roman" w:eastAsia="Times New Roman" w:hAnsi="Times New Roman" w:cs="Times New Roman"/>
          <w:b/>
        </w:rPr>
        <w:t>7 žingsnis</w:t>
      </w:r>
    </w:p>
    <w:p w:rsidR="00C81C1A" w:rsidRPr="002E4D40"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p>
    <w:p w:rsidR="00C81C1A" w:rsidRPr="002E4D40" w:rsidRDefault="00C81C1A" w:rsidP="00C81C1A">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Po injekcijos </w:t>
      </w:r>
      <w:r>
        <w:rPr>
          <w:rFonts w:ascii="Times New Roman" w:eastAsia="Times New Roman" w:hAnsi="Times New Roman" w:cs="Times New Roman"/>
        </w:rPr>
        <w:t>mėlyna žymė</w:t>
      </w:r>
      <w:r w:rsidRPr="002E4D40">
        <w:rPr>
          <w:rFonts w:ascii="Times New Roman" w:eastAsia="Times New Roman" w:hAnsi="Times New Roman" w:cs="Times New Roman"/>
        </w:rPr>
        <w:t xml:space="preserve"> </w:t>
      </w:r>
      <w:r>
        <w:rPr>
          <w:rFonts w:ascii="Times New Roman" w:eastAsia="Times New Roman" w:hAnsi="Times New Roman" w:cs="Times New Roman"/>
        </w:rPr>
        <w:t xml:space="preserve">langelyje </w:t>
      </w:r>
      <w:r w:rsidRPr="002E4D40">
        <w:rPr>
          <w:rFonts w:ascii="Times New Roman" w:eastAsia="Times New Roman" w:hAnsi="Times New Roman" w:cs="Times New Roman"/>
        </w:rPr>
        <w:t xml:space="preserve">išnyks, ir apsauginis mechanizmas automatiškai užsirakins. Adatos apsauginis dangtelis yra </w:t>
      </w:r>
      <w:r>
        <w:rPr>
          <w:rFonts w:ascii="Times New Roman" w:eastAsia="Times New Roman" w:hAnsi="Times New Roman" w:cs="Times New Roman"/>
        </w:rPr>
        <w:t>aktyvuotas</w:t>
      </w:r>
      <w:r w:rsidRPr="002E4D40">
        <w:rPr>
          <w:rFonts w:ascii="Times New Roman" w:eastAsia="Times New Roman" w:hAnsi="Times New Roman" w:cs="Times New Roman"/>
        </w:rPr>
        <w:t xml:space="preserve"> ir saugo nuo sužeidimų</w:t>
      </w:r>
      <w:r>
        <w:rPr>
          <w:rFonts w:ascii="Times New Roman" w:eastAsia="Times New Roman" w:hAnsi="Times New Roman" w:cs="Times New Roman"/>
        </w:rPr>
        <w:t xml:space="preserve"> (žr. 7 paveikslėlį)</w:t>
      </w:r>
    </w:p>
    <w:p w:rsidR="00C81C1A" w:rsidRDefault="00C81C1A" w:rsidP="00C81C1A">
      <w:pPr>
        <w:spacing w:after="0" w:line="240" w:lineRule="auto"/>
        <w:ind w:left="360"/>
        <w:rPr>
          <w:rFonts w:ascii="Times New Roman" w:eastAsia="Times New Roman" w:hAnsi="Times New Roman" w:cs="Times New Roman"/>
        </w:rPr>
      </w:pPr>
      <w:r>
        <w:rPr>
          <w:noProof/>
          <w:lang w:eastAsia="lt-LT"/>
        </w:rPr>
        <w:drawing>
          <wp:inline distT="0" distB="0" distL="0" distR="0" wp14:anchorId="26015AD8" wp14:editId="1D06CB24">
            <wp:extent cx="3086100" cy="3086100"/>
            <wp:effectExtent l="0" t="0" r="0" b="0"/>
            <wp:docPr id="20" name="Picture 20" descr="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ild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p w:rsidR="00C81C1A" w:rsidRDefault="00C81C1A" w:rsidP="00C81C1A">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7 paveikslėlis</w:t>
      </w:r>
    </w:p>
    <w:p w:rsidR="00C81C1A" w:rsidRPr="002E4D40" w:rsidRDefault="00C81C1A" w:rsidP="00C81C1A">
      <w:pPr>
        <w:spacing w:after="0" w:line="240" w:lineRule="auto"/>
        <w:ind w:left="360"/>
        <w:rPr>
          <w:rFonts w:ascii="Times New Roman" w:eastAsia="Times New Roman" w:hAnsi="Times New Roman" w:cs="Times New Roman"/>
        </w:rPr>
      </w:pPr>
    </w:p>
    <w:p w:rsidR="00C81C1A" w:rsidRPr="00AD405B" w:rsidRDefault="00C81C1A" w:rsidP="00C81C1A">
      <w:pPr>
        <w:numPr>
          <w:ilvl w:val="0"/>
          <w:numId w:val="4"/>
        </w:numPr>
        <w:spacing w:after="0" w:line="240" w:lineRule="auto"/>
        <w:rPr>
          <w:rFonts w:ascii="Times New Roman" w:eastAsia="Times New Roman" w:hAnsi="Times New Roman" w:cs="Times New Roman"/>
        </w:rPr>
      </w:pPr>
      <w:r w:rsidRPr="00AD405B">
        <w:rPr>
          <w:rFonts w:ascii="Times New Roman" w:eastAsia="Times New Roman" w:hAnsi="Times New Roman" w:cs="Times New Roman"/>
        </w:rPr>
        <w:t>Tamponu prispauskite injekcijos vietą tol, kol kraujavimas liausis. Norint išvengti injekcijos vietos dirginimo, netrinkite.</w:t>
      </w:r>
      <w:r w:rsidRPr="00AD405B">
        <w:rPr>
          <w:rFonts w:ascii="Times New Roman" w:eastAsia="Times New Roman" w:hAnsi="Times New Roman" w:cs="Times New Roman"/>
        </w:rPr>
        <w:br/>
      </w:r>
    </w:p>
    <w:p w:rsidR="00C81C1A" w:rsidRPr="002E4D40" w:rsidRDefault="00C81C1A" w:rsidP="00C81C1A">
      <w:pPr>
        <w:spacing w:after="0" w:line="240" w:lineRule="auto"/>
        <w:rPr>
          <w:rFonts w:ascii="Times New Roman" w:eastAsia="Times New Roman" w:hAnsi="Times New Roman" w:cs="Times New Roman"/>
        </w:rPr>
      </w:pPr>
    </w:p>
    <w:p w:rsidR="00C81C1A" w:rsidRPr="00F31F85" w:rsidRDefault="00C81C1A" w:rsidP="00534499">
      <w:pPr>
        <w:pStyle w:val="Sraopastraipa"/>
        <w:numPr>
          <w:ilvl w:val="0"/>
          <w:numId w:val="24"/>
        </w:numPr>
        <w:spacing w:after="0" w:line="240" w:lineRule="auto"/>
      </w:pPr>
      <w:r w:rsidRPr="00C81C1A">
        <w:rPr>
          <w:rFonts w:ascii="Times New Roman" w:eastAsia="Times New Roman" w:hAnsi="Times New Roman" w:cs="Times New Roman"/>
        </w:rPr>
        <w:t>Švirkštą ir adatą išmeskite į aštrioms atliekoms skirtą indą.</w:t>
      </w:r>
      <w:r w:rsidRPr="00C81C1A">
        <w:rPr>
          <w:rFonts w:ascii="Times New Roman" w:eastAsia="Times New Roman" w:hAnsi="Times New Roman" w:cs="Times New Roman"/>
        </w:rPr>
        <w:t xml:space="preserve">        </w:t>
      </w:r>
      <w:bookmarkStart w:id="10" w:name="_GoBack"/>
      <w:bookmarkEnd w:id="10"/>
    </w:p>
    <w:p w:rsidR="00BA6577" w:rsidRDefault="00BA6577"/>
    <w:sectPr w:rsidR="00BA6577" w:rsidSect="0080294F">
      <w:headerReference w:type="default" r:id="rId26"/>
      <w:footerReference w:type="even" r:id="rId27"/>
      <w:footerReference w:type="default" r:id="rId28"/>
      <w:footerReference w:type="first" r:id="rId29"/>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FC" w:rsidRDefault="00C81C1A" w:rsidP="008029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02BFC" w:rsidRDefault="00C81C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FC" w:rsidRPr="00B42191" w:rsidRDefault="00C81C1A" w:rsidP="0080294F">
    <w:pPr>
      <w:pStyle w:val="Porat"/>
      <w:framePr w:wrap="around" w:vAnchor="text" w:hAnchor="margin" w:xAlign="center" w:y="1"/>
      <w:rPr>
        <w:rStyle w:val="Puslapionumeris"/>
        <w:sz w:val="22"/>
        <w:szCs w:val="22"/>
      </w:rPr>
    </w:pPr>
    <w:r w:rsidRPr="00B42191">
      <w:rPr>
        <w:rStyle w:val="Puslapionumeris"/>
        <w:sz w:val="22"/>
        <w:szCs w:val="22"/>
      </w:rPr>
      <w:fldChar w:fldCharType="begin"/>
    </w:r>
    <w:r w:rsidRPr="00B42191">
      <w:rPr>
        <w:rStyle w:val="Puslapionumeris"/>
        <w:sz w:val="22"/>
        <w:szCs w:val="22"/>
      </w:rPr>
      <w:instrText xml:space="preserve">PAGE  </w:instrText>
    </w:r>
    <w:r w:rsidRPr="00B42191">
      <w:rPr>
        <w:rStyle w:val="Puslapionumeris"/>
        <w:sz w:val="22"/>
        <w:szCs w:val="22"/>
      </w:rPr>
      <w:fldChar w:fldCharType="separate"/>
    </w:r>
    <w:r>
      <w:rPr>
        <w:rStyle w:val="Puslapionumeris"/>
        <w:noProof/>
        <w:sz w:val="22"/>
        <w:szCs w:val="22"/>
      </w:rPr>
      <w:t>21</w:t>
    </w:r>
    <w:r w:rsidRPr="00B42191">
      <w:rPr>
        <w:rStyle w:val="Puslapionumeris"/>
        <w:sz w:val="22"/>
        <w:szCs w:val="22"/>
      </w:rPr>
      <w:fldChar w:fldCharType="end"/>
    </w:r>
  </w:p>
  <w:p w:rsidR="00C02BFC" w:rsidRDefault="00C81C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102262"/>
      <w:docPartObj>
        <w:docPartGallery w:val="Page Numbers (Bottom of Page)"/>
        <w:docPartUnique/>
      </w:docPartObj>
    </w:sdtPr>
    <w:sdtEndPr/>
    <w:sdtContent>
      <w:p w:rsidR="00C02BFC" w:rsidRDefault="00C81C1A">
        <w:pPr>
          <w:pStyle w:val="Porat"/>
          <w:jc w:val="center"/>
        </w:pPr>
        <w:r w:rsidRPr="00B42191">
          <w:rPr>
            <w:sz w:val="22"/>
            <w:szCs w:val="22"/>
          </w:rPr>
          <w:fldChar w:fldCharType="begin"/>
        </w:r>
        <w:r w:rsidRPr="00B42191">
          <w:rPr>
            <w:sz w:val="22"/>
            <w:szCs w:val="22"/>
          </w:rPr>
          <w:instrText>PAGE   \* MERGEFORMAT</w:instrText>
        </w:r>
        <w:r w:rsidRPr="00B42191">
          <w:rPr>
            <w:sz w:val="22"/>
            <w:szCs w:val="22"/>
          </w:rPr>
          <w:fldChar w:fldCharType="separate"/>
        </w:r>
        <w:r>
          <w:rPr>
            <w:noProof/>
            <w:sz w:val="22"/>
            <w:szCs w:val="22"/>
          </w:rPr>
          <w:t>1</w:t>
        </w:r>
        <w:r w:rsidRPr="00B42191">
          <w:rPr>
            <w:sz w:val="22"/>
            <w:szCs w:val="22"/>
          </w:rPr>
          <w:fldChar w:fldCharType="end"/>
        </w:r>
      </w:p>
    </w:sdtContent>
  </w:sdt>
  <w:p w:rsidR="00C02BFC" w:rsidRDefault="00C81C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FC" w:rsidRDefault="00C81C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31B"/>
    <w:multiLevelType w:val="hybridMultilevel"/>
    <w:tmpl w:val="B380A5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24D4605"/>
    <w:multiLevelType w:val="hybridMultilevel"/>
    <w:tmpl w:val="14AAF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9A0B99"/>
    <w:multiLevelType w:val="hybridMultilevel"/>
    <w:tmpl w:val="983A8590"/>
    <w:lvl w:ilvl="0" w:tplc="C4C44C6C">
      <w:start w:val="5"/>
      <w:numFmt w:val="decimal"/>
      <w:lvlText w:val="%1."/>
      <w:lvlJc w:val="left"/>
      <w:pPr>
        <w:tabs>
          <w:tab w:val="num" w:pos="3795"/>
        </w:tabs>
        <w:ind w:left="3795" w:hanging="570"/>
      </w:pPr>
      <w:rPr>
        <w:rFonts w:hint="default"/>
      </w:rPr>
    </w:lvl>
    <w:lvl w:ilvl="1" w:tplc="04090019" w:tentative="1">
      <w:start w:val="1"/>
      <w:numFmt w:val="lowerLetter"/>
      <w:lvlText w:val="%2."/>
      <w:lvlJc w:val="left"/>
      <w:pPr>
        <w:tabs>
          <w:tab w:val="num" w:pos="4305"/>
        </w:tabs>
        <w:ind w:left="4305" w:hanging="360"/>
      </w:pPr>
    </w:lvl>
    <w:lvl w:ilvl="2" w:tplc="0409001B" w:tentative="1">
      <w:start w:val="1"/>
      <w:numFmt w:val="lowerRoman"/>
      <w:lvlText w:val="%3."/>
      <w:lvlJc w:val="right"/>
      <w:pPr>
        <w:tabs>
          <w:tab w:val="num" w:pos="5025"/>
        </w:tabs>
        <w:ind w:left="5025" w:hanging="180"/>
      </w:pPr>
    </w:lvl>
    <w:lvl w:ilvl="3" w:tplc="0409000F" w:tentative="1">
      <w:start w:val="1"/>
      <w:numFmt w:val="decimal"/>
      <w:lvlText w:val="%4."/>
      <w:lvlJc w:val="left"/>
      <w:pPr>
        <w:tabs>
          <w:tab w:val="num" w:pos="5745"/>
        </w:tabs>
        <w:ind w:left="5745" w:hanging="360"/>
      </w:pPr>
    </w:lvl>
    <w:lvl w:ilvl="4" w:tplc="04090019" w:tentative="1">
      <w:start w:val="1"/>
      <w:numFmt w:val="lowerLetter"/>
      <w:lvlText w:val="%5."/>
      <w:lvlJc w:val="left"/>
      <w:pPr>
        <w:tabs>
          <w:tab w:val="num" w:pos="6465"/>
        </w:tabs>
        <w:ind w:left="6465" w:hanging="360"/>
      </w:pPr>
    </w:lvl>
    <w:lvl w:ilvl="5" w:tplc="0409001B" w:tentative="1">
      <w:start w:val="1"/>
      <w:numFmt w:val="lowerRoman"/>
      <w:lvlText w:val="%6."/>
      <w:lvlJc w:val="right"/>
      <w:pPr>
        <w:tabs>
          <w:tab w:val="num" w:pos="7185"/>
        </w:tabs>
        <w:ind w:left="7185" w:hanging="180"/>
      </w:pPr>
    </w:lvl>
    <w:lvl w:ilvl="6" w:tplc="0409000F" w:tentative="1">
      <w:start w:val="1"/>
      <w:numFmt w:val="decimal"/>
      <w:lvlText w:val="%7."/>
      <w:lvlJc w:val="left"/>
      <w:pPr>
        <w:tabs>
          <w:tab w:val="num" w:pos="7905"/>
        </w:tabs>
        <w:ind w:left="7905" w:hanging="360"/>
      </w:pPr>
    </w:lvl>
    <w:lvl w:ilvl="7" w:tplc="04090019" w:tentative="1">
      <w:start w:val="1"/>
      <w:numFmt w:val="lowerLetter"/>
      <w:lvlText w:val="%8."/>
      <w:lvlJc w:val="left"/>
      <w:pPr>
        <w:tabs>
          <w:tab w:val="num" w:pos="8625"/>
        </w:tabs>
        <w:ind w:left="8625" w:hanging="360"/>
      </w:pPr>
    </w:lvl>
    <w:lvl w:ilvl="8" w:tplc="0409001B" w:tentative="1">
      <w:start w:val="1"/>
      <w:numFmt w:val="lowerRoman"/>
      <w:lvlText w:val="%9."/>
      <w:lvlJc w:val="right"/>
      <w:pPr>
        <w:tabs>
          <w:tab w:val="num" w:pos="9345"/>
        </w:tabs>
        <w:ind w:left="9345" w:hanging="180"/>
      </w:pPr>
    </w:lvl>
  </w:abstractNum>
  <w:abstractNum w:abstractNumId="3" w15:restartNumberingAfterBreak="0">
    <w:nsid w:val="1C260B1A"/>
    <w:multiLevelType w:val="hybridMultilevel"/>
    <w:tmpl w:val="31D29B88"/>
    <w:lvl w:ilvl="0" w:tplc="C4C44C6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C27B4"/>
    <w:multiLevelType w:val="hybridMultilevel"/>
    <w:tmpl w:val="8C10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E15A6"/>
    <w:multiLevelType w:val="hybridMultilevel"/>
    <w:tmpl w:val="7CFC5C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171C34"/>
    <w:multiLevelType w:val="hybridMultilevel"/>
    <w:tmpl w:val="E26CD436"/>
    <w:lvl w:ilvl="0" w:tplc="ACA856C2">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7088A"/>
    <w:multiLevelType w:val="hybridMultilevel"/>
    <w:tmpl w:val="A3AA64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D043814"/>
    <w:multiLevelType w:val="hybridMultilevel"/>
    <w:tmpl w:val="2C7E2DFC"/>
    <w:lvl w:ilvl="0" w:tplc="412A68BA">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21B027D"/>
    <w:multiLevelType w:val="hybridMultilevel"/>
    <w:tmpl w:val="61FA40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21B709A"/>
    <w:multiLevelType w:val="hybridMultilevel"/>
    <w:tmpl w:val="CFD23810"/>
    <w:lvl w:ilvl="0" w:tplc="0D8E6FB4">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03BB4"/>
    <w:multiLevelType w:val="hybridMultilevel"/>
    <w:tmpl w:val="A350E616"/>
    <w:lvl w:ilvl="0" w:tplc="C4C44C6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EA5798"/>
    <w:multiLevelType w:val="hybridMultilevel"/>
    <w:tmpl w:val="65D2828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E55926"/>
    <w:multiLevelType w:val="hybridMultilevel"/>
    <w:tmpl w:val="C88C3A6E"/>
    <w:lvl w:ilvl="0" w:tplc="C4C44C6C">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A559EF"/>
    <w:multiLevelType w:val="hybridMultilevel"/>
    <w:tmpl w:val="CA5A5C3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54C971B0"/>
    <w:multiLevelType w:val="hybridMultilevel"/>
    <w:tmpl w:val="9FE83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55419"/>
    <w:multiLevelType w:val="hybridMultilevel"/>
    <w:tmpl w:val="01101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F92259"/>
    <w:multiLevelType w:val="hybridMultilevel"/>
    <w:tmpl w:val="D6B0DB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76438DC"/>
    <w:multiLevelType w:val="hybridMultilevel"/>
    <w:tmpl w:val="165C3D5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71387C"/>
    <w:multiLevelType w:val="hybridMultilevel"/>
    <w:tmpl w:val="51F0DD7E"/>
    <w:lvl w:ilvl="0" w:tplc="D8466FD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BE4C70"/>
    <w:multiLevelType w:val="hybridMultilevel"/>
    <w:tmpl w:val="DA4AE5EA"/>
    <w:lvl w:ilvl="0" w:tplc="4FDAB04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9284B"/>
    <w:multiLevelType w:val="hybridMultilevel"/>
    <w:tmpl w:val="EC8660C2"/>
    <w:lvl w:ilvl="0" w:tplc="AAE6CB0E">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D4D6583"/>
    <w:multiLevelType w:val="hybridMultilevel"/>
    <w:tmpl w:val="B83C7362"/>
    <w:lvl w:ilvl="0" w:tplc="2E9A4F3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35E44"/>
    <w:multiLevelType w:val="multilevel"/>
    <w:tmpl w:val="23467BD4"/>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F565FFF"/>
    <w:multiLevelType w:val="hybridMultilevel"/>
    <w:tmpl w:val="267A7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9"/>
  </w:num>
  <w:num w:numId="7">
    <w:abstractNumId w:val="24"/>
  </w:num>
  <w:num w:numId="8">
    <w:abstractNumId w:val="11"/>
  </w:num>
  <w:num w:numId="9">
    <w:abstractNumId w:val="3"/>
  </w:num>
  <w:num w:numId="10">
    <w:abstractNumId w:val="12"/>
  </w:num>
  <w:num w:numId="11">
    <w:abstractNumId w:val="14"/>
  </w:num>
  <w:num w:numId="12">
    <w:abstractNumId w:val="2"/>
  </w:num>
  <w:num w:numId="13">
    <w:abstractNumId w:val="21"/>
  </w:num>
  <w:num w:numId="14">
    <w:abstractNumId w:val="23"/>
  </w:num>
  <w:num w:numId="15">
    <w:abstractNumId w:val="6"/>
  </w:num>
  <w:num w:numId="16">
    <w:abstractNumId w:val="22"/>
  </w:num>
  <w:num w:numId="17">
    <w:abstractNumId w:val="20"/>
  </w:num>
  <w:num w:numId="18">
    <w:abstractNumId w:val="0"/>
  </w:num>
  <w:num w:numId="19">
    <w:abstractNumId w:val="7"/>
  </w:num>
  <w:num w:numId="20">
    <w:abstractNumId w:val="18"/>
  </w:num>
  <w:num w:numId="21">
    <w:abstractNumId w:val="10"/>
  </w:num>
  <w:num w:numId="22">
    <w:abstractNumId w:val="5"/>
  </w:num>
  <w:num w:numId="23">
    <w:abstractNumId w:val="13"/>
  </w:num>
  <w:num w:numId="24">
    <w:abstractNumId w:val="17"/>
  </w:num>
  <w:num w:numId="25">
    <w:abstractNumId w:val="25"/>
  </w:num>
  <w:num w:numId="26">
    <w:abstractNumId w:val="1"/>
  </w:num>
  <w:num w:numId="27">
    <w:abstractNumId w:val="4"/>
  </w:num>
  <w:num w:numId="28">
    <w:abstractNumId w:val="16"/>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1A"/>
    <w:rsid w:val="00072F85"/>
    <w:rsid w:val="000A5E72"/>
    <w:rsid w:val="000A7B60"/>
    <w:rsid w:val="00181364"/>
    <w:rsid w:val="002945D9"/>
    <w:rsid w:val="00305C48"/>
    <w:rsid w:val="003362C6"/>
    <w:rsid w:val="00497D4D"/>
    <w:rsid w:val="00742EBF"/>
    <w:rsid w:val="00B4219F"/>
    <w:rsid w:val="00BA6577"/>
    <w:rsid w:val="00C30905"/>
    <w:rsid w:val="00C81C1A"/>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F585"/>
  <w15:chartTrackingRefBased/>
  <w15:docId w15:val="{2D904EA6-7456-459D-A98F-1BE7D808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1C1A"/>
    <w:pPr>
      <w:spacing w:after="200" w:line="276" w:lineRule="auto"/>
    </w:pPr>
  </w:style>
  <w:style w:type="paragraph" w:styleId="Antrat1">
    <w:name w:val="heading 1"/>
    <w:basedOn w:val="prastasis"/>
    <w:next w:val="prastasis"/>
    <w:link w:val="Antrat1Diagrama"/>
    <w:qFormat/>
    <w:rsid w:val="00C81C1A"/>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81C1A"/>
    <w:pPr>
      <w:keepNext/>
      <w:spacing w:before="240" w:after="60" w:line="240" w:lineRule="auto"/>
      <w:outlineLvl w:val="1"/>
    </w:pPr>
    <w:rPr>
      <w:rFonts w:ascii="Arial" w:eastAsia="Times New Roman" w:hAnsi="Arial" w:cs="Times New Roman"/>
      <w:b/>
      <w:bCs/>
      <w:i/>
      <w:iCs/>
      <w:sz w:val="28"/>
      <w:szCs w:val="28"/>
      <w:lang w:val="x-none"/>
    </w:rPr>
  </w:style>
  <w:style w:type="paragraph" w:styleId="Antrat3">
    <w:name w:val="heading 3"/>
    <w:basedOn w:val="prastasis"/>
    <w:next w:val="prastasis"/>
    <w:link w:val="Antrat3Diagrama"/>
    <w:qFormat/>
    <w:rsid w:val="00C81C1A"/>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C81C1A"/>
    <w:pPr>
      <w:keepNext/>
      <w:spacing w:after="0" w:line="240" w:lineRule="auto"/>
      <w:outlineLvl w:val="4"/>
    </w:pPr>
    <w:rPr>
      <w:rFonts w:ascii="Times New Roman" w:eastAsia="Times New Roman" w:hAnsi="Times New Roman" w:cs="Times New Roman"/>
      <w:sz w:val="24"/>
      <w:szCs w:val="24"/>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1C1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C81C1A"/>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rsid w:val="00C81C1A"/>
    <w:rPr>
      <w:rFonts w:ascii="Arial" w:eastAsia="Times New Roman" w:hAnsi="Arial" w:cs="Arial"/>
      <w:b/>
      <w:bCs/>
      <w:sz w:val="26"/>
      <w:szCs w:val="26"/>
    </w:rPr>
  </w:style>
  <w:style w:type="character" w:customStyle="1" w:styleId="Antrat5Diagrama">
    <w:name w:val="Antraštė 5 Diagrama"/>
    <w:basedOn w:val="Numatytasispastraiposriftas"/>
    <w:link w:val="Antrat5"/>
    <w:rsid w:val="00C81C1A"/>
    <w:rPr>
      <w:rFonts w:ascii="Times New Roman" w:eastAsia="Times New Roman" w:hAnsi="Times New Roman" w:cs="Times New Roman"/>
      <w:sz w:val="24"/>
      <w:szCs w:val="24"/>
      <w:lang w:val="de-DE" w:eastAsia="de-DE"/>
    </w:rPr>
  </w:style>
  <w:style w:type="numbering" w:customStyle="1" w:styleId="NoList1">
    <w:name w:val="No List1"/>
    <w:next w:val="Sraonra"/>
    <w:uiPriority w:val="99"/>
    <w:semiHidden/>
    <w:unhideWhenUsed/>
    <w:rsid w:val="00C81C1A"/>
  </w:style>
  <w:style w:type="character" w:styleId="Hipersaitas">
    <w:name w:val="Hyperlink"/>
    <w:rsid w:val="00C81C1A"/>
    <w:rPr>
      <w:color w:val="0000FF"/>
      <w:u w:val="single"/>
    </w:rPr>
  </w:style>
  <w:style w:type="character" w:customStyle="1" w:styleId="PI-1labEMEASMCAChar">
    <w:name w:val="PI-1_lab EMEA_SMCA Char"/>
    <w:link w:val="PI-1labEMEASMCA"/>
    <w:locked/>
    <w:rsid w:val="00C81C1A"/>
    <w:rPr>
      <w:b/>
      <w:noProof/>
    </w:rPr>
  </w:style>
  <w:style w:type="paragraph" w:customStyle="1" w:styleId="PI-1labEMEASMCA">
    <w:name w:val="PI-1_lab EMEA_SMCA"/>
    <w:basedOn w:val="prastasis"/>
    <w:link w:val="PI-1labEMEASMCAChar"/>
    <w:autoRedefine/>
    <w:rsid w:val="00C81C1A"/>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BTEMEASMCAChar">
    <w:name w:val="BT EMEA_SMCA Char"/>
    <w:link w:val="BTEMEASMCA"/>
    <w:locked/>
    <w:rsid w:val="00C81C1A"/>
    <w:rPr>
      <w:noProof/>
    </w:rPr>
  </w:style>
  <w:style w:type="paragraph" w:customStyle="1" w:styleId="BTEMEASMCA">
    <w:name w:val="BT EMEA_SMCA"/>
    <w:basedOn w:val="prastasis"/>
    <w:link w:val="BTEMEASMCAChar"/>
    <w:autoRedefine/>
    <w:rsid w:val="00C81C1A"/>
    <w:pPr>
      <w:spacing w:after="0" w:line="240" w:lineRule="auto"/>
    </w:pPr>
    <w:rPr>
      <w:noProof/>
    </w:rPr>
  </w:style>
  <w:style w:type="character" w:customStyle="1" w:styleId="TTEMEASMCAChar">
    <w:name w:val="TT EMEA_SMCA Char"/>
    <w:link w:val="TTEMEASMCA"/>
    <w:locked/>
    <w:rsid w:val="00C81C1A"/>
    <w:rPr>
      <w:b/>
      <w:caps/>
    </w:rPr>
  </w:style>
  <w:style w:type="paragraph" w:customStyle="1" w:styleId="TTEMEASMCA">
    <w:name w:val="TT EMEA_SMCA"/>
    <w:basedOn w:val="Antrat1"/>
    <w:link w:val="TTEMEASMCAChar"/>
    <w:autoRedefine/>
    <w:rsid w:val="00C81C1A"/>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rPr>
  </w:style>
  <w:style w:type="paragraph" w:customStyle="1" w:styleId="BT-EMEASMCA">
    <w:name w:val="BT- EMEA_SMCA"/>
    <w:basedOn w:val="BTEMEASMCA"/>
    <w:autoRedefine/>
    <w:rsid w:val="00C81C1A"/>
    <w:pPr>
      <w:numPr>
        <w:numId w:val="1"/>
      </w:numPr>
      <w:tabs>
        <w:tab w:val="num" w:pos="360"/>
      </w:tabs>
      <w:ind w:left="0" w:firstLine="0"/>
    </w:pPr>
  </w:style>
  <w:style w:type="character" w:customStyle="1" w:styleId="BTgEMEASMCAChar">
    <w:name w:val="BT(g) EMEA_SMCA Char"/>
    <w:link w:val="BTgEMEASMCA"/>
    <w:locked/>
    <w:rsid w:val="00C81C1A"/>
    <w:rPr>
      <w:i/>
      <w:noProof/>
      <w:color w:val="008000"/>
    </w:rPr>
  </w:style>
  <w:style w:type="paragraph" w:customStyle="1" w:styleId="BTgEMEASMCA">
    <w:name w:val="BT(g) EMEA_SMCA"/>
    <w:basedOn w:val="BTEMEASMCA"/>
    <w:link w:val="BTgEMEASMCAChar"/>
    <w:autoRedefine/>
    <w:rsid w:val="00C81C1A"/>
    <w:rPr>
      <w:i/>
      <w:color w:val="008000"/>
    </w:rPr>
  </w:style>
  <w:style w:type="paragraph" w:customStyle="1" w:styleId="PlainText1">
    <w:name w:val="Plain Text1"/>
    <w:basedOn w:val="prastasis"/>
    <w:rsid w:val="00C81C1A"/>
    <w:pPr>
      <w:widowControl w:val="0"/>
      <w:spacing w:after="0" w:line="240" w:lineRule="auto"/>
    </w:pPr>
    <w:rPr>
      <w:rFonts w:ascii="Courier New" w:eastAsia="Times New Roman" w:hAnsi="Courier New" w:cs="Times New Roman"/>
      <w:sz w:val="20"/>
      <w:szCs w:val="20"/>
      <w:lang w:val="en-GB" w:eastAsia="de-DE"/>
    </w:rPr>
  </w:style>
  <w:style w:type="paragraph" w:styleId="Debesliotekstas">
    <w:name w:val="Balloon Text"/>
    <w:basedOn w:val="prastasis"/>
    <w:link w:val="DebesliotekstasDiagrama"/>
    <w:semiHidden/>
    <w:rsid w:val="00C81C1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C81C1A"/>
    <w:rPr>
      <w:rFonts w:ascii="Tahoma" w:eastAsia="Times New Roman" w:hAnsi="Tahoma" w:cs="Tahoma"/>
      <w:sz w:val="16"/>
      <w:szCs w:val="16"/>
    </w:rPr>
  </w:style>
  <w:style w:type="character" w:customStyle="1" w:styleId="KomentarotekstasDiagrama">
    <w:name w:val="Komentaro tekstas Diagrama"/>
    <w:basedOn w:val="Numatytasispastraiposriftas"/>
    <w:link w:val="Komentarotekstas"/>
    <w:semiHidden/>
    <w:rsid w:val="00C81C1A"/>
    <w:rPr>
      <w:rFonts w:ascii="Times New Roman" w:eastAsia="Times New Roman" w:hAnsi="Times New Roman" w:cs="Times New Roman"/>
    </w:rPr>
  </w:style>
  <w:style w:type="paragraph" w:styleId="Komentarotekstas">
    <w:name w:val="annotation text"/>
    <w:basedOn w:val="prastasis"/>
    <w:link w:val="KomentarotekstasDiagrama"/>
    <w:semiHidden/>
    <w:rsid w:val="00C81C1A"/>
    <w:pPr>
      <w:spacing w:after="0" w:line="240" w:lineRule="auto"/>
    </w:pPr>
    <w:rPr>
      <w:rFonts w:ascii="Times New Roman" w:eastAsia="Times New Roman" w:hAnsi="Times New Roman" w:cs="Times New Roman"/>
    </w:rPr>
  </w:style>
  <w:style w:type="character" w:customStyle="1" w:styleId="KomentarotekstasDiagrama1">
    <w:name w:val="Komentaro tekstas Diagrama1"/>
    <w:basedOn w:val="Numatytasispastraiposriftas"/>
    <w:uiPriority w:val="99"/>
    <w:semiHidden/>
    <w:rsid w:val="00C81C1A"/>
    <w:rPr>
      <w:sz w:val="20"/>
      <w:szCs w:val="20"/>
    </w:rPr>
  </w:style>
  <w:style w:type="character" w:customStyle="1" w:styleId="CommentTextChar1">
    <w:name w:val="Comment Text Char1"/>
    <w:basedOn w:val="Numatytasispastraiposriftas"/>
    <w:uiPriority w:val="99"/>
    <w:semiHidden/>
    <w:rsid w:val="00C81C1A"/>
    <w:rPr>
      <w:rFonts w:asciiTheme="minorHAnsi" w:hAnsiTheme="minorHAnsi" w:cstheme="minorBidi"/>
      <w:lang w:val="lt-LT"/>
    </w:rPr>
  </w:style>
  <w:style w:type="character" w:customStyle="1" w:styleId="KomentarotemaDiagrama">
    <w:name w:val="Komentaro tema Diagrama"/>
    <w:basedOn w:val="KomentarotekstasDiagrama"/>
    <w:link w:val="Komentarotema"/>
    <w:semiHidden/>
    <w:rsid w:val="00C81C1A"/>
    <w:rPr>
      <w:rFonts w:ascii="Times New Roman" w:eastAsia="Times New Roman" w:hAnsi="Times New Roman" w:cs="Times New Roman"/>
      <w:b/>
      <w:bCs/>
    </w:rPr>
  </w:style>
  <w:style w:type="paragraph" w:styleId="Komentarotema">
    <w:name w:val="annotation subject"/>
    <w:basedOn w:val="Komentarotekstas"/>
    <w:next w:val="Komentarotekstas"/>
    <w:link w:val="KomentarotemaDiagrama"/>
    <w:semiHidden/>
    <w:rsid w:val="00C81C1A"/>
    <w:rPr>
      <w:b/>
      <w:bCs/>
    </w:rPr>
  </w:style>
  <w:style w:type="character" w:customStyle="1" w:styleId="KomentarotemaDiagrama1">
    <w:name w:val="Komentaro tema Diagrama1"/>
    <w:basedOn w:val="KomentarotekstasDiagrama1"/>
    <w:uiPriority w:val="99"/>
    <w:semiHidden/>
    <w:rsid w:val="00C81C1A"/>
    <w:rPr>
      <w:b/>
      <w:bCs/>
      <w:sz w:val="20"/>
      <w:szCs w:val="20"/>
    </w:rPr>
  </w:style>
  <w:style w:type="character" w:customStyle="1" w:styleId="CommentSubjectChar1">
    <w:name w:val="Comment Subject Char1"/>
    <w:basedOn w:val="CommentTextChar1"/>
    <w:uiPriority w:val="99"/>
    <w:semiHidden/>
    <w:rsid w:val="00C81C1A"/>
    <w:rPr>
      <w:rFonts w:asciiTheme="minorHAnsi" w:hAnsiTheme="minorHAnsi" w:cstheme="minorBidi"/>
      <w:b/>
      <w:bCs/>
      <w:lang w:val="lt-LT"/>
    </w:rPr>
  </w:style>
  <w:style w:type="paragraph" w:customStyle="1" w:styleId="Sraopastraipa1">
    <w:name w:val="Sąrašo pastraipa1"/>
    <w:basedOn w:val="prastasis"/>
    <w:qFormat/>
    <w:rsid w:val="00C81C1A"/>
    <w:pPr>
      <w:spacing w:after="0" w:line="240" w:lineRule="auto"/>
      <w:ind w:left="708"/>
    </w:pPr>
    <w:rPr>
      <w:rFonts w:ascii="Times New Roman" w:eastAsia="Times New Roman" w:hAnsi="Times New Roman" w:cs="Times New Roman"/>
      <w:strike/>
      <w:sz w:val="24"/>
      <w:szCs w:val="20"/>
      <w:lang w:val="de-DE" w:eastAsia="de-DE"/>
    </w:rPr>
  </w:style>
  <w:style w:type="paragraph" w:styleId="Porat">
    <w:name w:val="footer"/>
    <w:basedOn w:val="prastasis"/>
    <w:link w:val="PoratDiagrama"/>
    <w:uiPriority w:val="99"/>
    <w:rsid w:val="00C81C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81C1A"/>
    <w:rPr>
      <w:rFonts w:ascii="Times New Roman" w:eastAsia="Times New Roman" w:hAnsi="Times New Roman" w:cs="Times New Roman"/>
      <w:sz w:val="24"/>
      <w:szCs w:val="24"/>
    </w:rPr>
  </w:style>
  <w:style w:type="character" w:styleId="Puslapionumeris">
    <w:name w:val="page number"/>
    <w:basedOn w:val="Numatytasispastraiposriftas"/>
    <w:rsid w:val="00C81C1A"/>
  </w:style>
  <w:style w:type="paragraph" w:styleId="Antrats">
    <w:name w:val="header"/>
    <w:basedOn w:val="prastasis"/>
    <w:link w:val="AntratsDiagrama"/>
    <w:rsid w:val="00C81C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C81C1A"/>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81C1A"/>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C81C1A"/>
    <w:rPr>
      <w:rFonts w:ascii="Courier New" w:eastAsia="SimSun" w:hAnsi="Courier New" w:cs="Times New Roman"/>
      <w:sz w:val="20"/>
      <w:szCs w:val="20"/>
      <w:lang w:val="x-none" w:eastAsia="x-none"/>
    </w:rPr>
  </w:style>
  <w:style w:type="paragraph" w:customStyle="1" w:styleId="PI-1EMEASMCA">
    <w:name w:val="PI-1 EMEA_SMCA"/>
    <w:basedOn w:val="Antrat2"/>
    <w:autoRedefine/>
    <w:rsid w:val="00C81C1A"/>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C81C1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C81C1A"/>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C81C1A"/>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C81C1A"/>
    <w:rPr>
      <w:b/>
    </w:rPr>
  </w:style>
  <w:style w:type="paragraph" w:customStyle="1" w:styleId="BTbeEMEASMCA">
    <w:name w:val="BT(be) EMEA_SMCA"/>
    <w:basedOn w:val="BTEMEASMCA"/>
    <w:autoRedefine/>
    <w:rsid w:val="00C81C1A"/>
    <w:pPr>
      <w:jc w:val="center"/>
    </w:pPr>
    <w:rPr>
      <w:b/>
    </w:rPr>
  </w:style>
  <w:style w:type="paragraph" w:customStyle="1" w:styleId="BTeEMEASMCA">
    <w:name w:val="BT(e) EMEA_SMCA"/>
    <w:basedOn w:val="BTEMEASMCA"/>
    <w:autoRedefine/>
    <w:rsid w:val="00C81C1A"/>
    <w:pPr>
      <w:jc w:val="center"/>
    </w:pPr>
  </w:style>
  <w:style w:type="paragraph" w:customStyle="1" w:styleId="BTuEMEASMCA">
    <w:name w:val="BT(u) EMEA_SMCA"/>
    <w:basedOn w:val="BTEMEASMCA"/>
    <w:autoRedefine/>
    <w:rsid w:val="00C81C1A"/>
    <w:rPr>
      <w:u w:val="single"/>
    </w:rPr>
  </w:style>
  <w:style w:type="paragraph" w:styleId="Dokumentostruktra">
    <w:name w:val="Document Map"/>
    <w:basedOn w:val="prastasis"/>
    <w:link w:val="DokumentostruktraDiagrama"/>
    <w:rsid w:val="00C81C1A"/>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
    <w:name w:val="Dokumento struktūra Diagrama"/>
    <w:basedOn w:val="Numatytasispastraiposriftas"/>
    <w:link w:val="Dokumentostruktra"/>
    <w:rsid w:val="00C81C1A"/>
    <w:rPr>
      <w:rFonts w:ascii="Tahoma" w:eastAsia="Times New Roman" w:hAnsi="Tahoma" w:cs="Times New Roman"/>
      <w:sz w:val="20"/>
      <w:szCs w:val="20"/>
      <w:shd w:val="clear" w:color="auto" w:fill="000080"/>
      <w:lang w:val="x-none"/>
    </w:rPr>
  </w:style>
  <w:style w:type="table" w:styleId="Lentelstinklelis">
    <w:name w:val="Table Grid"/>
    <w:basedOn w:val="prastojilentel"/>
    <w:rsid w:val="00C81C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C81C1A"/>
    <w:rPr>
      <w:sz w:val="16"/>
      <w:szCs w:val="16"/>
    </w:rPr>
  </w:style>
  <w:style w:type="paragraph" w:styleId="Pataisymai">
    <w:name w:val="Revision"/>
    <w:hidden/>
    <w:uiPriority w:val="99"/>
    <w:semiHidden/>
    <w:rsid w:val="00C81C1A"/>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81C1A"/>
    <w:pPr>
      <w:ind w:left="720"/>
      <w:contextualSpacing/>
    </w:pPr>
  </w:style>
  <w:style w:type="character" w:styleId="Vietosrezervavimoenklotekstas">
    <w:name w:val="Placeholder Text"/>
    <w:basedOn w:val="Numatytasispastraiposriftas"/>
    <w:uiPriority w:val="99"/>
    <w:semiHidden/>
    <w:rsid w:val="00C81C1A"/>
    <w:rPr>
      <w:color w:val="808080"/>
    </w:rPr>
  </w:style>
  <w:style w:type="paragraph" w:customStyle="1" w:styleId="BodytextAgency">
    <w:name w:val="Body text (Agency)"/>
    <w:basedOn w:val="prastasis"/>
    <w:link w:val="BodytextAgencyChar"/>
    <w:qFormat/>
    <w:rsid w:val="00C81C1A"/>
    <w:pPr>
      <w:spacing w:after="140" w:line="280" w:lineRule="atLeast"/>
    </w:pPr>
    <w:rPr>
      <w:rFonts w:ascii="Verdana" w:eastAsia="Times New Roman" w:hAnsi="Verdana" w:cs="Verdana"/>
      <w:sz w:val="18"/>
      <w:szCs w:val="18"/>
      <w:lang w:val="en-GB" w:eastAsia="en-GB"/>
    </w:rPr>
  </w:style>
  <w:style w:type="character" w:customStyle="1" w:styleId="BodytextAgencyChar">
    <w:name w:val="Body text (Agency) Char"/>
    <w:link w:val="BodytextAgency"/>
    <w:locked/>
    <w:rsid w:val="00C81C1A"/>
    <w:rPr>
      <w:rFonts w:ascii="Verdana" w:eastAsia="Times New Roman" w:hAnsi="Verdana" w:cs="Verdana"/>
      <w:sz w:val="18"/>
      <w:szCs w:val="18"/>
      <w:lang w:val="en-GB" w:eastAsia="en-GB"/>
    </w:rPr>
  </w:style>
  <w:style w:type="character" w:customStyle="1" w:styleId="tlid-translation">
    <w:name w:val="tlid-translation"/>
    <w:basedOn w:val="Numatytasispastraiposriftas"/>
    <w:rsid w:val="00C8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emf"/><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22038</Words>
  <Characters>12563</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2025-03-04T12:52:00Z</dcterms:created>
  <dcterms:modified xsi:type="dcterms:W3CDTF">2025-03-04T12:53:00Z</dcterms:modified>
</cp:coreProperties>
</file>