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r w:rsidRPr="00DA5869">
        <w:rPr>
          <w:rFonts w:ascii="Times New Roman" w:eastAsia="Times New Roman" w:hAnsi="Times New Roman" w:cs="Times New Roman"/>
          <w:b/>
          <w:caps/>
          <w:lang w:val="lt-LT"/>
        </w:rPr>
        <w:t>I PRIEDAS</w:t>
      </w:r>
      <w:bookmarkEnd w:id="0"/>
      <w:bookmarkEnd w:id="1"/>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sidRPr="00DA5869">
        <w:rPr>
          <w:rFonts w:ascii="Times New Roman" w:eastAsia="Times New Roman" w:hAnsi="Times New Roman" w:cs="Times New Roman"/>
          <w:b/>
          <w:caps/>
          <w:lang w:val="lt-LT"/>
        </w:rPr>
        <w:t>PREPARATO CHARAKTERISTIKŲ SANTRAUKA</w:t>
      </w:r>
      <w:bookmarkEnd w:id="2"/>
      <w:bookmarkEnd w:id="3"/>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bCs/>
          <w:iCs/>
          <w:lang w:val="lt-LT"/>
        </w:rPr>
        <w:br w:type="page"/>
      </w:r>
      <w:bookmarkStart w:id="4" w:name="_Toc129243223"/>
      <w:bookmarkStart w:id="5" w:name="_Toc129243098"/>
      <w:r w:rsidRPr="00DA5869">
        <w:rPr>
          <w:rFonts w:ascii="Times New Roman" w:eastAsia="Times New Roman" w:hAnsi="Times New Roman" w:cs="Times New Roman"/>
          <w:b/>
          <w:lang w:val="lt-LT"/>
        </w:rPr>
        <w:lastRenderedPageBreak/>
        <w:t>1.</w:t>
      </w:r>
      <w:r w:rsidRPr="00DA5869">
        <w:rPr>
          <w:rFonts w:ascii="Times New Roman" w:eastAsia="Times New Roman" w:hAnsi="Times New Roman" w:cs="Times New Roman"/>
          <w:b/>
          <w:lang w:val="lt-LT"/>
        </w:rPr>
        <w:tab/>
        <w:t>VAISTINIO PREPARATO PAVADINIMAS</w:t>
      </w:r>
      <w:bookmarkEnd w:id="4"/>
      <w:bookmarkEnd w:id="5"/>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37,5 mg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75 mg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150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KOKYBINĖ IR KIEKYBINĖ SUDĖTIS</w:t>
      </w:r>
      <w:bookmarkEnd w:id="6"/>
      <w:bookmarkEnd w:id="7"/>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37,5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Pagalbinės medžiagos, kurių poveikis žinomas: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46,35 mg</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ponso 4R raudonasis (E124): 0,0267 mg</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Pagalbinės medžiagos, kurių poveikis žinomas: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92,69 mg</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 0,0006 mg</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150 mg venlafaksino.</w:t>
      </w:r>
    </w:p>
    <w:p w:rsidR="009825FE" w:rsidRPr="00DA5869" w:rsidRDefault="009825FE" w:rsidP="009825FE">
      <w:pPr>
        <w:tabs>
          <w:tab w:val="left" w:pos="-1440"/>
          <w:tab w:val="left" w:pos="-720"/>
        </w:tabs>
        <w:spacing w:after="0" w:line="240" w:lineRule="exact"/>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Pagalbinės medžiagos, kurių poveikis žinomas: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185,38 mg</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 0,0183 mg</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Visos pagalbinės medžiagos išvardytos 6.1 skyriuje.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5"/>
      <w:bookmarkStart w:id="9" w:name="_Toc129243100"/>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FARMACINĖ FORMA</w:t>
      </w:r>
      <w:bookmarkEnd w:id="8"/>
      <w:bookmarkEnd w:id="9"/>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widowControl w:val="0"/>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Pailginto atpalaidavimo kietoji kapsulė.</w:t>
      </w:r>
    </w:p>
    <w:p w:rsidR="009825FE" w:rsidRPr="00DA5869" w:rsidRDefault="009825FE" w:rsidP="009825FE">
      <w:pPr>
        <w:widowControl w:val="0"/>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 yra „3“ dydžio, jos korpusas skaidrus, dangtelis oranžinis. Viduje yra baltų arba beveik baltų granulių.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 yra „1“ dydžio, jos korpusas skaidrus, dangtelis geltonas. Viduje yra baltų arba beveik baltų granulių.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 yra „0“ dydžio, jos korpusas skaidrus, dangtelis tamsiai geltonas. Viduje yra baltų arba beveik baltų granulių.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KLINIKINĖ INFORMACIJA</w:t>
      </w:r>
      <w:bookmarkEnd w:id="10"/>
      <w:bookmarkEnd w:id="11"/>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DA5869">
        <w:rPr>
          <w:rFonts w:ascii="Times New Roman" w:eastAsia="Times New Roman" w:hAnsi="Times New Roman" w:cs="Times New Roman"/>
          <w:b/>
          <w:kern w:val="28"/>
          <w:lang w:val="lt-LT"/>
        </w:rPr>
        <w:lastRenderedPageBreak/>
        <w:t>4.1</w:t>
      </w:r>
      <w:r w:rsidRPr="00DA5869">
        <w:rPr>
          <w:rFonts w:ascii="Times New Roman" w:eastAsia="Times New Roman" w:hAnsi="Times New Roman" w:cs="Times New Roman"/>
          <w:b/>
          <w:kern w:val="28"/>
          <w:lang w:val="lt-LT"/>
        </w:rPr>
        <w:tab/>
        <w:t>Terapinės indikacijos</w:t>
      </w:r>
      <w:bookmarkEnd w:id="12"/>
      <w:bookmarkEnd w:id="13"/>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gydymas.</w:t>
      </w:r>
    </w:p>
    <w:p w:rsidR="009825FE" w:rsidRPr="00DA5869" w:rsidRDefault="009825FE" w:rsidP="009825FE">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pasikartojimo prevencija.</w:t>
      </w:r>
    </w:p>
    <w:p w:rsidR="009825FE" w:rsidRPr="00DA5869" w:rsidRDefault="009825FE" w:rsidP="009825FE">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Generalizuoto nerimo sutrikimo gydymas.</w:t>
      </w:r>
    </w:p>
    <w:p w:rsidR="009825FE" w:rsidRPr="00DA5869" w:rsidRDefault="009825FE" w:rsidP="009825FE">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Socialinio nerimo sutrikimo gydymas.</w:t>
      </w:r>
    </w:p>
    <w:p w:rsidR="009825FE" w:rsidRPr="00DA5869" w:rsidRDefault="009825FE" w:rsidP="009825FE">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 xml:space="preserve">Panikos sutrikimo, </w:t>
      </w:r>
      <w:r w:rsidRPr="00DA5869">
        <w:rPr>
          <w:rFonts w:ascii="Times New Roman" w:eastAsia="Times New Roman" w:hAnsi="Times New Roman" w:cs="Times New Roman"/>
          <w:bCs/>
          <w:noProof/>
          <w:lang w:val="lt-LT" w:eastAsia="lt-LT"/>
        </w:rPr>
        <w:t>pasireiškiančio</w:t>
      </w:r>
      <w:r w:rsidRPr="00DA5869">
        <w:rPr>
          <w:rFonts w:ascii="Times New Roman" w:eastAsia="Times New Roman" w:hAnsi="Times New Roman" w:cs="Times New Roman"/>
          <w:noProof/>
          <w:lang w:val="lt-LT" w:eastAsia="lt-LT"/>
        </w:rPr>
        <w:t xml:space="preserve"> su agorafobija arba be jos, gydymas.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8"/>
      <w:bookmarkStart w:id="15" w:name="_Toc129243103"/>
      <w:r w:rsidRPr="00DA5869">
        <w:rPr>
          <w:rFonts w:ascii="Times New Roman" w:eastAsia="Times New Roman" w:hAnsi="Times New Roman" w:cs="Times New Roman"/>
          <w:b/>
          <w:kern w:val="28"/>
          <w:lang w:val="lt-LT"/>
        </w:rPr>
        <w:t>4.2</w:t>
      </w:r>
      <w:r w:rsidRPr="00DA5869">
        <w:rPr>
          <w:rFonts w:ascii="Times New Roman" w:eastAsia="Times New Roman" w:hAnsi="Times New Roman" w:cs="Times New Roman"/>
          <w:b/>
          <w:kern w:val="28"/>
          <w:lang w:val="lt-LT"/>
        </w:rPr>
        <w:tab/>
        <w:t>Dozavimas ir vartojimo metodas</w:t>
      </w:r>
      <w:bookmarkEnd w:id="14"/>
      <w:bookmarkEnd w:id="15"/>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Dozavimas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outlineLvl w:val="2"/>
        <w:rPr>
          <w:rFonts w:ascii="Times New Roman" w:eastAsia="Times New Roman" w:hAnsi="Times New Roman" w:cs="Times New Roman"/>
          <w:i/>
          <w:color w:val="000000"/>
          <w:lang w:val="lt-LT"/>
        </w:rPr>
      </w:pPr>
      <w:bookmarkStart w:id="16" w:name="OLE_LINK2"/>
      <w:bookmarkStart w:id="17" w:name="OLE_LINK1"/>
      <w:r w:rsidRPr="00DA5869">
        <w:rPr>
          <w:rFonts w:ascii="Times New Roman" w:eastAsia="Times New Roman" w:hAnsi="Times New Roman" w:cs="Times New Roman"/>
          <w:i/>
          <w:color w:val="000000"/>
          <w:lang w:val="lt-LT"/>
        </w:rPr>
        <w:t xml:space="preserve">Didžiosios depresijos epizodai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Rekomenduojama pradinė pailginto atpalaidavimo venlafaksino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mažesne kaip 4 dienų pertrauka.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Dėl su doze susijusio nepageidaujamo poveikio rizikos dozę galima didinti tik atlikus klinikinį įvertinimą (žr. 4.4 skyrių). Reikia išlaikyti mažiausią veiksmingą dozę.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skiriama esamam epizodui gydyti.</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Pasiekus remisiją, vaistinius preparatus nuo depresijos reikia ir toliau vartoti ne mažiau kaip 6 mėn.</w:t>
      </w:r>
    </w:p>
    <w:p w:rsidR="009825FE" w:rsidRPr="00DA5869" w:rsidRDefault="009825FE" w:rsidP="009825FE">
      <w:pPr>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Generalizuoto nerimo sutrikimas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Pradinė rekomenduojama pailginto atpalaidavimo venlafaksino dozė yra 75 mg, vartojama kartą per parą. </w:t>
      </w:r>
      <w:r w:rsidRPr="00DA5869">
        <w:rPr>
          <w:rFonts w:ascii="Times New Roman" w:eastAsia="Times New Roman" w:hAnsi="Times New Roman" w:cs="Times New Roman"/>
          <w:color w:val="000000"/>
          <w:lang w:val="lt-LT"/>
        </w:rPr>
        <w:t>Pacientams, kuriems pradinė 75 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 savaites ar rečiau.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 4.4 skyrių). Reikia išlaikyti mažiausią veiksmingą dozę.</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9825FE" w:rsidRPr="00DA5869" w:rsidRDefault="009825FE" w:rsidP="009825FE">
      <w:pPr>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Socialinio nerimo sutrikimas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Rekomenduojama pailginto atpalaidavimo venlafaksino dozė yra 75 mg kartą per parą. Neįrodyta, kad nuo didesnių dozių paciento būklė labiau pagerėtų.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Tačiau individualiais atvejais, kai pradinė 75 mg paros dozė nėra pakankamai veiksminga, paros dozę galima didinti iki maksimalios – 225 mg per parą. Dozę galima didinti kas 2 savaites ar rečiau.</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lastRenderedPageBreak/>
        <w:t>Dėl su doze susijusio nepageidaujamo poveikio rizikos dozę galima didinti tik atlikus klinikinį įvertinimą (žr. 4.4 skyrių). Reikia išlaikyti mažiausią veiksmingą dozę.</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9825FE" w:rsidRPr="00DA5869" w:rsidRDefault="009825FE" w:rsidP="009825FE">
      <w:pPr>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Panikos sutrikimas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Rekomenduojama 7 paras vartoti po 37,5 mg pailginto atpalaidavimo venlafaksino per parą, tada paros dozę padidinti iki 75 mg. </w:t>
      </w:r>
      <w:r w:rsidRPr="00DA5869">
        <w:rPr>
          <w:rFonts w:ascii="Times New Roman" w:eastAsia="Times New Roman" w:hAnsi="Times New Roman" w:cs="Times New Roman"/>
          <w:color w:val="000000"/>
          <w:lang w:val="lt-LT"/>
        </w:rPr>
        <w:t>Pacientams, kuriems pradinė 75 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 savaites ar rečiau.</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 4.4 skyrių). Reikia išlaikyti mažiausią veiksmingą dozę.</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9825FE" w:rsidRPr="00DA5869" w:rsidRDefault="009825FE" w:rsidP="009825FE">
      <w:pPr>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Senyviems pacientams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Manoma, kad specialiai, atsižvelgiant tik į paciento amžių, venlafaksino dozės koreguoti nereikia. Tačiau pagyvenusius pacientus reikia gydyti atsargiai (pvz., dėl inkstų funkcijos sutrikimo galimybės, galimų su amžiumi atsirandančių neuromediatorių jautrumo ir afiniškumo pakitimų). Visada reikia skirti mažiausią veiksmingą dozę; prireikus didinti dozę, pacientą reikia atidžiai stebėti.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Vaikų populiacija (vaikams ir jaunesniems kaip 18 metų paaugliams)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nerekomenduojama vartoti vaikams ir paaugliams.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Kontroliuojamų klinikinių tyrimų metu nenustatyta, kad venlafaksinas veiksmingas didžiosios depresijos sutrikimu sergantiems vaikams ir paaugliams, todėl venlafaksino vartojimas šiems pacientams nėra pagrįstas (žr. 4.4 ir 4.8 skyrius).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Duomenų apie venlafaksino vartojimo kitoms indikacijoms jaunesniems kaip 18 metų vaikams ir paaugliams saugumą ir veiksmingumą nėra.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kepenų funkcija sutrikusi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yra lengvas ar vidutinio sunkumo kepenų veiklos sutrikimas, bendrai rekomenduojama venlafaksino paros dozę sumažinti 50 %. Tačiau dėl galimo individualaus klirenso kintamumo šiems pacientams gali prireikti dozę parinkti individualiai.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Duomenų apie vartojimą pacientams, kuriems nustatytas sunkus kepenų funkcijos sutrikimas, nėra. Reikalingas atsargumas ir gali prireikti mažinti dozę daugiau kaip 50 %. Gydant pacientus, kuriems yra sunkus kepenų veiklos sutrikimas, reikia įvertinti galimos naudos ir rizikos santykį.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inkstų funkcija sutrikusi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Nors pacientams, kuriems nustatytas 30–70 ml per minutę glomerulų filtracijos greitis (GFG), dozės keisti nereikia, šį medikamentą vartoti reikia atsargiai. Pacientams, kuriems reikalinga hemodializė, ir pacientams, kuriems nustatytas sunkus inkstų nepakankamumas (GFG &lt; 30 ml/min.), dozę reikia sumažinti 50 %. Dėl individualaus klirenso kintamumo šiems pacientams gali prireikti dozę parinkti individualiai.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lastRenderedPageBreak/>
        <w:t>Nutraukus venlafaksino vartojimą pastebėti simptomai</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 vengti nutraukti vartojimą staiga. Siekiant sumažinti nutraukimo reakcijų riziką, nutraukiant venlafaksino vartojimą, dozę reikia sumažinti pamažu, ne mažiau kaip per 1–2 savaites (žr. 4.4 ir 4.8 skyrius). Jei sumažinus dozę arba nutraukus gydymą pasireiškia netoleruojamų simptomų, tuomet gali prireikti vėl pradėti taikyti anksčiau skirtą dozę. </w:t>
      </w:r>
      <w:r w:rsidRPr="00DA5869">
        <w:rPr>
          <w:rFonts w:ascii="Times New Roman" w:eastAsia="Times New Roman" w:hAnsi="Times New Roman" w:cs="Times New Roman"/>
          <w:bCs/>
          <w:lang w:val="lt-LT"/>
        </w:rPr>
        <w:t xml:space="preserve">Po to gydytojas dozę gali mažinti, bet </w:t>
      </w:r>
      <w:r w:rsidRPr="00DA5869">
        <w:rPr>
          <w:rFonts w:ascii="Times New Roman" w:eastAsia="Times New Roman" w:hAnsi="Times New Roman" w:cs="Times New Roman"/>
          <w:lang w:val="lt-LT"/>
        </w:rPr>
        <w:t>lėčiau</w:t>
      </w:r>
      <w:r w:rsidRPr="00DA5869">
        <w:rPr>
          <w:rFonts w:ascii="Times New Roman" w:eastAsia="Times New Roman" w:hAnsi="Times New Roman" w:cs="Times New Roman"/>
          <w:bCs/>
          <w:lang w:val="lt-LT"/>
        </w:rPr>
        <w:t>.</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u w:val="single"/>
          <w:lang w:val="lt-LT"/>
        </w:rPr>
      </w:pPr>
      <w:r w:rsidRPr="00DA5869">
        <w:rPr>
          <w:rFonts w:ascii="Times New Roman" w:eastAsia="Times New Roman" w:hAnsi="Times New Roman" w:cs="Times New Roman"/>
          <w:color w:val="000000"/>
          <w:u w:val="single"/>
          <w:lang w:val="lt-LT"/>
        </w:rPr>
        <w:t>Vartojimo metodas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Vartoti per burną.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Pailginto atpalaidavimo venlafaksino kapsules rekomenduojama vartoti valgant, kasdien maždaug tuo pačiu metu. Kapsulę būtina nuryti nepažeistą, užsigeriant skysčiu. Kapsulės negalima dalyti, traiškyti, kramtyti ar tirpinti vandenyje.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Vietoj anksčiau vartotų tiesioginio atpalaidavimo venlafaksino tablečių pacientams galima skirti pailginto atpalaidavimo kapsules, taikant artimiausią lygiavertę paros dozę. Pavyzdžiui, vietoj du kartus per parą vartojamų greito atpalaidavimo venlafaksino 37,5 mg tablečių galima skirti kartą per parą vartoti pailginto atpalaidavimo 75 mg kapsules. Dozę gali prireikti koreguoti individualiai.</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 xml:space="preserve">Pailginto atpalaidavimo venlafaksino kapsulėse yra sferinių dalelių, lėtai atpalaiduojančių veikliąją medžiagą virškinimo trakte. Netirpi šių sferinių dalelių sudėtinė dalis pašalinama su išmatomis.  </w:t>
      </w:r>
    </w:p>
    <w:bookmarkEnd w:id="16"/>
    <w:bookmarkEnd w:id="17"/>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29"/>
      <w:bookmarkStart w:id="19" w:name="_Toc129243104"/>
      <w:r w:rsidRPr="00DA5869">
        <w:rPr>
          <w:rFonts w:ascii="Times New Roman" w:eastAsia="Times New Roman" w:hAnsi="Times New Roman" w:cs="Times New Roman"/>
          <w:b/>
          <w:kern w:val="28"/>
          <w:lang w:val="lt-LT"/>
        </w:rPr>
        <w:t>4.3</w:t>
      </w:r>
      <w:r w:rsidRPr="00DA5869">
        <w:rPr>
          <w:rFonts w:ascii="Times New Roman" w:eastAsia="Times New Roman" w:hAnsi="Times New Roman" w:cs="Times New Roman"/>
          <w:b/>
          <w:kern w:val="28"/>
          <w:lang w:val="lt-LT"/>
        </w:rPr>
        <w:tab/>
        <w:t>Kontraindikacijos</w:t>
      </w:r>
      <w:bookmarkEnd w:id="18"/>
      <w:bookmarkEnd w:id="19"/>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Padidėjęs jautrumas veikliajai arba bet kuriai 6.1 skyriuje nurodytai pagalbinei medžiagai.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Vartojimas kartu su negrįžtamojo poveikio monoaminooksidazės inhibitoriais (MAOI) kontraindikuotinas dėl pavojaus, kad gali pasireikšti serotonino sindromas su tokiais simptomais, kaip ažitacija, tremoras ir hipertermija. Nutraukus gydymą negrįžtamojo poveikio MAOI, gydymą venlafaksinu galima pradėti ne anksčiau kaip po 14 dienų.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Venlafaksino vartojimą reikia nutraukti likus ne mažiau kaip 7 dienoms iki negrįžtamojo poveikio MAOI vartojimo pradžios (žr. 4.4 ir 4.5 skyrius).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0"/>
      <w:bookmarkStart w:id="21" w:name="_Toc129243105"/>
      <w:r w:rsidRPr="00DA5869">
        <w:rPr>
          <w:rFonts w:ascii="Times New Roman" w:eastAsia="Times New Roman" w:hAnsi="Times New Roman" w:cs="Times New Roman"/>
          <w:b/>
          <w:kern w:val="28"/>
          <w:lang w:val="lt-LT"/>
        </w:rPr>
        <w:t>4.4</w:t>
      </w:r>
      <w:r w:rsidRPr="00DA5869">
        <w:rPr>
          <w:rFonts w:ascii="Times New Roman" w:eastAsia="Times New Roman" w:hAnsi="Times New Roman" w:cs="Times New Roman"/>
          <w:b/>
          <w:kern w:val="28"/>
          <w:lang w:val="lt-LT"/>
        </w:rPr>
        <w:tab/>
        <w:t>Specialūs įspėjimai ir atsargumo priemonės</w:t>
      </w:r>
      <w:bookmarkEnd w:id="20"/>
      <w:bookmarkEnd w:id="21"/>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iCs/>
          <w:lang w:val="lt-LT"/>
        </w:rPr>
        <w:t>Savižudybė ir (arba) mintys apie savižudybę arba būklės pablogėjimas</w:t>
      </w:r>
      <w:r w:rsidRPr="00DA5869">
        <w:rPr>
          <w:rFonts w:ascii="Times New Roman" w:eastAsia="Times New Roman" w:hAnsi="Times New Roman" w:cs="Times New Roman"/>
          <w:i/>
          <w:lang w:val="lt-LT"/>
        </w:rPr>
        <w:t xml:space="preserve">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Depresija yra susijusi su minčių apie savižudybę, savęs žalojimo ir savižudybės (su savižudybe siejamų reiškinių) rizikos padidėjimu. Ši rizika išlieka, kol būklė reikšmingai pagerėja. Pirmąsias kelias gydymo savaites ar ilgiau būklė gali nepagerėti, todėl pacientus reikia atidžiai stebėti, kol būklė pagerės. Remiantis bendrąja klinikine patirtimi, ankstyvuoju sveikimo laikotarpiu savižudybės rizika gali padidėti.</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Kiti psichikos sutrikimai, kurie gydomi Venlafaxine Actavis,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rsidR="009825FE" w:rsidRPr="00DA5869" w:rsidRDefault="009825FE" w:rsidP="009825FE">
      <w:pPr>
        <w:spacing w:after="0" w:line="240" w:lineRule="auto"/>
        <w:jc w:val="both"/>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Vaikų populiacija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Venlafaksino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saugumą vaikų ir paauglių augimo, brendimo ir pažinimo bei elgesio raidos požiūriu.</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Serotonino sindromas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Kaip ir vartojant kitus serotonerginius vaistinius preparatus, vartojant venlafaksiną gali pasireikšti gyvybei pavojingą būklė – serotonino sindromas, ypač kartu vartojant kitus preparatus, kurie gali paveikti serotonerginę neurotransmisinę sistemą (įskaitant triptanus, SSRI, SNRI, litį, sibutraminą, jonažolės (</w:t>
      </w:r>
      <w:r w:rsidRPr="00DA5869">
        <w:rPr>
          <w:rFonts w:ascii="Times New Roman" w:eastAsia="Times New Roman" w:hAnsi="Times New Roman" w:cs="Times New Roman"/>
          <w:i/>
          <w:color w:val="000000"/>
          <w:lang w:val="lt-LT"/>
        </w:rPr>
        <w:t xml:space="preserve">Hypericum </w:t>
      </w:r>
      <w:r w:rsidRPr="00DA5869">
        <w:rPr>
          <w:rFonts w:ascii="Times New Roman" w:eastAsia="Times New Roman" w:hAnsi="Times New Roman" w:cs="Times New Roman"/>
          <w:color w:val="000000"/>
          <w:lang w:val="lt-LT"/>
        </w:rPr>
        <w:t>perforatum) preparatus, fentanilį ir jo analogus, tramadolį, dekstrometorfaną, tapentadolį, petidiną, metadoną ir pentazociną), serotonino metabolizmą įtakojančius vaistinius preparatus, tokius kaip MAO inhibitoriai, pvz., metileno mėlis; serotonino pirmtakus (tokius kaip triptofano papildus) ar antipsichotikus bei kitus dopamino antagonistus (žr. 4.3 ir 4.5 skyrius).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Serotonino sindromo simptomai gali pasireikšti psichinės būklės pakitimais (pvz., ažitacija, haliucinacijomis, koma), autonominiu nestabilumu (pvz., tachikardija, nepastoviu kraujospūdžiu, hipertermija), nervų ir raumenų sutrikimais (pvz., hiperrefleksija, koordinacijos sutrikimais) ir (arba) virškinimo trakto simptomais (pvz., pykinimu, vėmimu, viduriavimu). Sunkiausios formos serotonino sindromas gali būti panašus į PNS, kuris pasireiškia hipertermija, raumenų rigidiškumu, autonominės nervų sistemos nestabilumu su greita gyvybinių požymių kaita bei psichinės būklės pokyčiais.</w:t>
      </w:r>
    </w:p>
    <w:p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nusprendžiama, kad dėl klinikinės būklės venlafaksiną būtina vartoti kartu su kitokiais vaistiniais preparatais, kurie gali veikti serotoninerginės ir (arba) dopaminerginės nervinio impulso pernašos sistemas, pacientą rekomenduojama atidžiai stebėti, ypač gydymo pradžioje ir dozės didinimo metu.</w:t>
      </w:r>
    </w:p>
    <w:p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Venlafaksino nerekomenduojama vartoti kartu su serotonino pirmtakais (triptofano papildais).</w:t>
      </w:r>
    </w:p>
    <w:p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Uždaro kampo glaukoma</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gali pasireikšti midriazė. Pacientus, kurių padidėjęs akispūdis arba kuriems gresia ūminė uždaro kampo glaukoma, rekomenduojama atidžiai stebėti.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 xml:space="preserve">Kraujo spaudimas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dažnai pastebimas su doze susijęs kraujospūdžio padidėjimas. Vaistinį preparatą pateikus į rinką, kai kuriais atvejais nustatytas labai padidėjęs kraujospūdis, reikalaujantis neatidėliotino gydymo. Prieš pradedant gydymą, visus pacientus reikia atidžiai tikrinti, ar jiems nėra padidėjęs kraujospūdis, ir esama hipertenzija turi būti sureguliuota. Pradėjus gydymą ir padidinus dozę, kraujo spaudimą reikia tikrinti reguliariai. Atsargiai vaistinį preparatą reikia skirti pacientams, kuriems padidėjęs kraujospūdis gali pasunkinti gretutines ligas, pvz., kai yra sutrikusi širdies veikla.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susitraukimų dažnis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 padažnėti širdies susitraukimai, ypač vartojant didesnes dozes. Atsargiai reikia skirti pacientams, kuriems padažnėjęs širdies susitraukimų dažnis gali pasunkinti gretutines ligas.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liga ir aritmijos rizika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vartojimas netirtas pacientams, kurie neseniai patyrė miokardo infarktą arba sirgo nestabilia širdies liga. Todėl šiems pacientams preparatą reikia skirti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Preparatą pateikus į rinką, gauta pranešimų apie QTc intervalo pailgėjimą, </w:t>
      </w:r>
      <w:r w:rsidRPr="00DA5869">
        <w:rPr>
          <w:rFonts w:ascii="Times New Roman" w:eastAsia="Times New Roman" w:hAnsi="Times New Roman" w:cs="Times New Roman"/>
          <w:i/>
          <w:color w:val="000000"/>
          <w:lang w:val="lt-LT"/>
        </w:rPr>
        <w:t>Torsades de Pointes</w:t>
      </w:r>
      <w:r w:rsidRPr="00DA5869">
        <w:rPr>
          <w:rFonts w:ascii="Times New Roman" w:eastAsia="Times New Roman" w:hAnsi="Times New Roman" w:cs="Times New Roman"/>
          <w:color w:val="000000"/>
          <w:lang w:val="lt-LT"/>
        </w:rPr>
        <w:t xml:space="preserve">, skilvelių tachikardiją ir mirtinos širdies aritmijos atvejus vartojant venlafaksiną, ypač perdozavus ar esant kitiems QTc pailgėjimo/TdP rizikos veiksniams. Prieš skiriant venlafaksiną pacientams, kuriems yra didelė sunkios širdies aritmijos ar QTc pailgėjimo rizika, reikia pasverti rizikos ir naudos santykį.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Traukuliai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venlafaksiną gali pasireikšti traukuliai. Pacientams, kuriems yra buvę traukuliai, venlafaksiną, kaip ir visus antidepresantus, reikia skirti atsargiai; šiuos pacientus reikia atidžiai stebėti. Jei pacientui pasireiškė traukuliai, gydymą reikia nutraukti.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Hiponatremija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venlafaksiną, gali pasireikšti hiponatremija ir (arba) antidiurezinio hormono sekrecijos nepakankamumo sindromas (angl. </w:t>
      </w:r>
      <w:r w:rsidRPr="00DA5869">
        <w:rPr>
          <w:rFonts w:ascii="Times New Roman" w:eastAsia="Times New Roman" w:hAnsi="Times New Roman" w:cs="Times New Roman"/>
          <w:i/>
          <w:iCs/>
          <w:color w:val="000000"/>
          <w:lang w:val="lt-LT"/>
        </w:rPr>
        <w:t xml:space="preserve">Syndrome of Inappropriate Antidiuretic Hormone, </w:t>
      </w:r>
      <w:r w:rsidRPr="00DA5869">
        <w:rPr>
          <w:rFonts w:ascii="Times New Roman" w:eastAsia="Times New Roman" w:hAnsi="Times New Roman" w:cs="Times New Roman"/>
          <w:color w:val="000000"/>
          <w:lang w:val="lt-LT"/>
        </w:rPr>
        <w:t xml:space="preserve">SIADH). Dažniausiai šis sindromas pasireiškė pacientams, kuriems buvo sumažėjęs skysčių kiekis arba dehidruotiems. Ši rizika yra didesnė pagyvenusio amžiaus pacientams, diuretikus vartojantiems pacientams ir pacientams, kuriems yra sumažėjęs skysčių kiekis dėl kitų priežasčių.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Nenormalus kraujavimas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Serotonino pasisavinimą slopinantys vaistiniai preparatai gali slopinti trombocitų aktyvumą. Su SSRI ir SNRI vartojimu susiję reiškiniai apima nuo ekchimozių, hematomų, epistaksio ir petechijų iki virškinamojo trakto ir gyvybei grėsmingų hemoragijų venlafaksiną vartojantiems pacientams hemoragijų rizika gali būti didesnė. Venlafaksiną, kaip ir kitus serotonino reabsorbcijos inhibitorius, kraujuoti linkusiems pacientams, taip pat antikoaguliantus ir trombocitų inhibitorius vartojantiems pacientams reikia skirti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Cholesterolio kiekis serume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Kliniškai reikšmingas cholesterolio kiekio serume padidėjimas nustatytas 5,3 % venlafaksiną vartojusių pacientų ir 0,0 % placebą vartojusių pacientų, kurie placebu kontroliuojamų klinikinių tyrimų metu buvo gydomi ne mažiau kaip 3 mėnesius. Taikant ilgalaikį gydymą, reikia sekti cholesterolio kiekį serume.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 xml:space="preserve">Vartojimas kartu su svorį mažinančiais preparatais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vartojimo kartu su svorį mažinančiais preparatais, įskaitant fenterminą, saugumas ir veiksmingumas netirtas. Vartoti venlafaksiną kartu su svorį mažinančiais preparatais nerekomenduojama. Venlafaksinas nėra skirtas vartoti svoriui mažinti atskirai arba kartu su kitais preparatais.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Manija/hipomanija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Nedidelei daliai nuotaikos sutrikimų turinčių pacientų, kurie vartojo antidepresantus, įskaitant venlafaksiną, gali pasireikšti manija ir (arba) hipomanija. Venlafaksiną, kaip ir kitus antidepresantus, pacientams reikia skirti atsargiai, jei jiems arba jų šeimos nariams yra buvę bipolinio sutrikimo atvejų.</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Agresija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Nedidelei daliai pacientų, kurie vartojo antidepresantus, įskaitant venlafaksiną, gali pasireikšti agresija. Ji gali pasireikšti pradedant vartoti, keičiant dozes ir nutraukiant vartojimą.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buvo pasireiškusi agresija, venlafaksiną, kaip ir visus antidepresantus, reikia skirti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Gydymo nutraukimas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Nutraukiant gydymą nutraukimo simptomai pasireiškia dažnai, ypač jei nutraukiama staiga (žr. 4.8 skyrių). Klinikinių tyrimų metu, nutraukiant gydymą (dozės mažinimo laikotarpiu ir po jo), nepageidaujami reiškiniai pasireiškė maždaug 31 % venlafaksiną vartojusių pacientų ir 17 % placebą vartojusių pacientų.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 ažitacija ar nerimas, pykinimas ir (arba) vėmimas, tremoras ir galvos skausmas. Bendrai šie simptomai yra lengvi arba vidutinio sunkumo, tačiau kai kuriems pacientams jie gali būti sunkūs. Paprastai simptomai pasireiškia per kelias pirmąsias dienas po gydymo nutraukimo, tačiau labai retai tokie simptomai buvo nustatyti pacientams, kurie netyčia praleido dozę. Bendrai šie simptomai savaime praeina ir paprastai išnyksta per 2 savaites, nors kai kuriems asmenims jie gali likti ilgiau (2–3 mėnesius ar ilgiau). Todėl rekomenduojama, baigiant gydymą, venlafaksino dozę per kelias savaites ar mėnesius, atsižvelgiant į paciento poreikius, laipsniškai mažinti (žr. 4.2 skyrių).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Akatizija/psichomotorinis neramumas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pasireiškė akatizija, kuriai būdingas subjektyviai nemalonus ar kankinantis neramumas ir poreikis judėti, kuriuos dažnai lydi nesugebėjimas ramiai sėdėti ar stovėti. Dažniausiai tai pasireiškia per kelias pirmąsias gydymo savaites. Pacientams, kuriems pasireiškia šie simptomai, dozės didinimas gali pakenkti.</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Burnos sausumas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Burnos sausumas nustatytas 10 % venlafaksiną vartojusių pacientų. Tai gali padidinti karieso riziką, todėl pacientus reikia informuoti apie dantų higienos svarbą.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Cukrinis diabetas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Cukriniu diabetu sergantiems pacientams gydymas SSRI ar venlafaxinu gali paveikti glikeminę kontrolę. Gali tekti koreguoti insulino ir/ar kito vartojamo per burną antidiabetinio vaistinio preparato dozę.</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Klaidingi laboratorinių tyrimų duomenys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Venlafaksiną vartojantiems pacientams nustatyti klaidingi teigiami fenciklinui ir amfetaminui šlapimo tyrimų duomenys. Tai įvyksta dėl tyrimo metodų specifiškumo trūkumo. Nutraukus gydymą venlafaksinu, tyrimų rezultatai gali išlikti klaidingai teigiami dar keletą dienų. Patvirtinamieji tyrimai, tokie kaip dujinė chromatografija ar spektrofotometrija, atskirs venlafaksiną nuo fenciklino ir amfetamino.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korpuse esanti pagalbinė medžiaga ponso 4R raudonasis (E124) gali sukelti alergines reakcijas. Kapsulės sudėtyje yra sacharozės, todėl pacientams, kuriems yra paveldėtas fruktozės netoleravimas, gliukozės ir galaktozės malabsorbcija arba sacharazės ir izomaltazės stygius, šio vaistinio preparato vartoti negalima.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Kapsulės sudėtyje esantis saulėlydžio geltonasis FCF (E110) gali sukelti alergines reakcijas. Kapsulės sudėtyje yra sacharozės, todėl pacientams, kuriems yra paveldėtas fruktozės netoleravimas, gliukozės ir galaktozės malabsorbcija arba </w:t>
      </w:r>
      <w:bookmarkStart w:id="22" w:name="OLE_LINK3"/>
      <w:r w:rsidRPr="00DA5869">
        <w:rPr>
          <w:rFonts w:ascii="Times New Roman" w:eastAsia="Times New Roman" w:hAnsi="Times New Roman" w:cs="Times New Roman"/>
          <w:lang w:val="lt-LT"/>
        </w:rPr>
        <w:t>sacharazės ir izomaltazės stygius</w:t>
      </w:r>
      <w:bookmarkEnd w:id="22"/>
      <w:r w:rsidRPr="00DA5869">
        <w:rPr>
          <w:rFonts w:ascii="Times New Roman" w:eastAsia="Times New Roman" w:hAnsi="Times New Roman" w:cs="Times New Roman"/>
          <w:lang w:val="lt-LT"/>
        </w:rPr>
        <w:t>, šio vaistinio preparato vartoti negalima.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sudėtyje esantis saulėlydžio geltonasis FCF (E110) gali sukelti alergines reakcijas. Kapsulės sudėtyje yra sacharozės, todėl pacientams, kuriems yra paveldėtas fruktozės netoleravimas, gliukozės ir galaktozės malabsorbcija arba sacharazės ir izomaltazės stygius, šio vaistinio preparato vartoti negalima.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3" w:name="_Toc129243231"/>
      <w:bookmarkStart w:id="24" w:name="_Toc129243106"/>
      <w:r w:rsidRPr="00DA5869">
        <w:rPr>
          <w:rFonts w:ascii="Times New Roman" w:eastAsia="Times New Roman" w:hAnsi="Times New Roman" w:cs="Times New Roman"/>
          <w:b/>
          <w:kern w:val="28"/>
          <w:lang w:val="lt-LT"/>
        </w:rPr>
        <w:t>4.5</w:t>
      </w:r>
      <w:r w:rsidRPr="00DA5869">
        <w:rPr>
          <w:rFonts w:ascii="Times New Roman" w:eastAsia="Times New Roman" w:hAnsi="Times New Roman" w:cs="Times New Roman"/>
          <w:b/>
          <w:kern w:val="28"/>
          <w:lang w:val="lt-LT"/>
        </w:rPr>
        <w:tab/>
        <w:t>Sąveika su kitais vaistiniais preparatais ir kitokia sąveika</w:t>
      </w:r>
      <w:bookmarkEnd w:id="23"/>
      <w:bookmarkEnd w:id="24"/>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spacing w:after="0" w:line="240" w:lineRule="auto"/>
        <w:rPr>
          <w:rFonts w:ascii="Times New Roman" w:eastAsia="Times New Roman" w:hAnsi="Times New Roman" w:cs="Times New Roman"/>
          <w:i/>
          <w:iCs/>
          <w:lang w:val="lt-LT"/>
        </w:rPr>
      </w:pPr>
      <w:r w:rsidRPr="00DA5869">
        <w:rPr>
          <w:rFonts w:ascii="Times New Roman" w:eastAsia="Times New Roman" w:hAnsi="Times New Roman" w:cs="Times New Roman"/>
          <w:i/>
          <w:iCs/>
          <w:lang w:val="lt-LT"/>
        </w:rPr>
        <w:t>Monoaminooksidazės inhibitoriai (MAOI)</w:t>
      </w:r>
    </w:p>
    <w:p w:rsidR="009825FE" w:rsidRPr="00DA5869" w:rsidRDefault="009825FE" w:rsidP="009825FE">
      <w:pPr>
        <w:keepNext/>
        <w:keepLines/>
        <w:spacing w:after="0" w:line="240" w:lineRule="auto"/>
        <w:rPr>
          <w:rFonts w:ascii="Times New Roman" w:eastAsia="Times New Roman" w:hAnsi="Times New Roman" w:cs="Times New Roman"/>
          <w:i/>
          <w:iCs/>
          <w:lang w:val="lt-LT"/>
        </w:rPr>
      </w:pPr>
    </w:p>
    <w:p w:rsidR="009825FE" w:rsidRPr="00DA5869" w:rsidRDefault="009825FE" w:rsidP="009825FE">
      <w:pPr>
        <w:keepNext/>
        <w:keepLines/>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 Negrįžtamojo poveikio neselektyvūs MAOI </w:t>
      </w:r>
    </w:p>
    <w:p w:rsidR="009825FE" w:rsidRPr="00DA5869" w:rsidRDefault="009825FE" w:rsidP="009825FE">
      <w:pPr>
        <w:keepNext/>
        <w:keepLine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Venlafaksino vartoti kartu su negrįžtamojo poveikio neselektyviais MAOI  negalima. Nutraukus gydymą negrįžtamojo poveikio neselektyviais MAOI, gydymą venlafaksinu galima pradėti ne anksčiau kaip po 14 parų. Venlafaksino vartojimą reikia užbaigti likus ne mažiau kaip 7 dienoms iki negrįžtamojo poveikio neselektyvių MAOI vartojimo pradžios (žr. 4.3 ir 4.4 skyrius).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Grįžtamojo poveikio selektyvus MAO-A inhibitorius (moklobemidas)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Dėl serotonino sindromo rizikos venlafaksino vartoti kartu su grįžtamojo poveikio selektyviais MAOI, pvz., moklobemidu, nerekomenduojama. Po gydymo grįžtamojo poveikio MAO inhibitoriumi, prieš pradedant gydymą venlafaksinu gali būti taikomas trumpesnis nei 14 dienų nutraukimo laikotarpis. Venlafaksino vartojimą rekomenduojama nutraukti likus ne mažiau kaip 7 dienoms iki grįžtamojo poveikio MAOI vartojimo pradžios (žr. 4.4 skyrių).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Grįžtamojo poveikio neselektyvūs MAOI (linezolidas)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Antibiotikas linezolidas yra silpnas grįžtamojo poveikio neselektyvus MAOI; šio preparato negalima skirti venlafaksinu gydomiems pacientams (žr. 4.4 skyrių).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Pacientams, kurie neseniai nutraukė MAOI vartojimą ir pradėjo vartoti venlafaksiną arba kuriems, prieš pradedant vartoti MAOI, neseniai buvo nutrauktas gydymas venlafaksinu, pasireiškė sunkios nepageidaujamos reakcijos: tremoras, mioklonija, profuzinis prakaitavimas, pykinimas, vėmimas, raudonis, svaigulys ir hipertermija su panašiais į piktybinio neurolepsinio sindromo simptomais, traukuliai ir mirtis.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Serotonino sindromas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Kaip ir vartojant kitus serotonerginius preparatus, vartojant venlafaksiną, gali pasireikšti serotonino sindromas (potencialiai gyvybei pavojinga būklė), ypač kartu vartojant kitus preparatus, kurie gali veikti serotonerginę neuromediatorių sistemą (įskaitant triptanus, SSRI, SNRI, litį, sibutraminą, tramadolį arba jonažolę [</w:t>
      </w:r>
      <w:r w:rsidRPr="00DA5869">
        <w:rPr>
          <w:rFonts w:ascii="Times New Roman" w:eastAsia="Times New Roman" w:hAnsi="Times New Roman" w:cs="Times New Roman"/>
          <w:i/>
          <w:iCs/>
          <w:color w:val="000000"/>
          <w:lang w:val="lt-LT"/>
        </w:rPr>
        <w:t>Hypericum perforatum</w:t>
      </w:r>
      <w:r w:rsidRPr="00DA5869">
        <w:rPr>
          <w:rFonts w:ascii="Times New Roman" w:eastAsia="Times New Roman" w:hAnsi="Times New Roman" w:cs="Times New Roman"/>
          <w:color w:val="000000"/>
          <w:lang w:val="lt-LT"/>
        </w:rPr>
        <w:t xml:space="preserve">], fentanilį ir jo analogus, tramadolį, dekstrametorfaną, tapentadolį, petidiną, metadoną ir pentazociną), vaistinius preparatus, kurie trikdo serotonino metabolizmą (įskaitant MAOI, pvz., metileno mėlį), arba serotonino pirmtakus (pvz., triptofano papildus) ar antipsichotikus ar kitus dopamino antagonistus (žr. 4.3 ir 4.4 skyrius).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 venlafaksino vartojimas kartu su SSRI, SNRI arba serotonino receptorių agonistu (triptanu) yra kliniškai pateisinamas, patartina atidžiai stebėti pacientą, ypač pradėjus gydymą ir didinant dozę. Vartoti venlafaksiną kartu su serotonino pirmtakais (pvz., triptofano papildais) nerekomenduojama (žr. 4.4 skyrių).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CNS veikiančios medžiagos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vartojimo kartu su kitomis CNS veikiančiomis medžiagomis rizika sistemiškai netirta. Todėl kartu su kitais CNS veikiančiais preparatais venlafaksiną reikia vartoti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Etanolis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Nustatyta, kad venlafaksinas nesunkina etanolio sukeliamo protinių ir motorinių įgūdžių sutrikimo. Tačiau, kaip ir vartojant kitas CNS veikiančias medžiagas, pacientams reikia patarti nevartoti alkoholinių gėrimų.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QT intervalą ilginantys vaistiniai preparatai</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QT intervalo pailgėjimo rizika ir/ar skilvelio aritmijų (pvz., TdP) rizika didėja, kartu vartojant QT intervalą ilginančių vaistinių preparatų. Reikia vengti skirti šių vaistinių preparatų drauge (žr. 4.4 skyrių).</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Galimos vaistinių preparatų klasės:</w:t>
      </w:r>
    </w:p>
    <w:p w:rsidR="009825FE" w:rsidRPr="00DA5869" w:rsidRDefault="009825FE" w:rsidP="009825FE">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I ir II klasės antiaritminiai vaistiniai preparatai (pvz., chinidinas, amjodaronas , sotalolis, dofetilidas)</w:t>
      </w:r>
    </w:p>
    <w:p w:rsidR="009825FE" w:rsidRPr="00DA5869" w:rsidRDefault="009825FE" w:rsidP="009825FE">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antipsichotikai (pvz., tioridazinas)</w:t>
      </w:r>
    </w:p>
    <w:p w:rsidR="009825FE" w:rsidRPr="00DA5869" w:rsidRDefault="009825FE" w:rsidP="009825FE">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makrolidai (pvz., eritromicinas)</w:t>
      </w:r>
    </w:p>
    <w:p w:rsidR="009825FE" w:rsidRPr="00DA5869" w:rsidRDefault="009825FE" w:rsidP="009825FE">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antihistamininiai vaistai kai kurie chinolono o grupės antibiotikai (pvz., moksifloksacinas)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Aukščiau pateiktas sąrašas nėra išsamus, tad reikėtų vengti kitų atskirai paimtų vaistinių preparatų, apie kuriuos žinoma, kad jie reikšmingai pailgina QT intervalą.</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Kitų vaistinių preparatų poveikis venlafaksinui </w:t>
      </w:r>
    </w:p>
    <w:p w:rsidR="009825FE" w:rsidRPr="00DA5869" w:rsidRDefault="009825FE" w:rsidP="009825FE">
      <w:pPr>
        <w:autoSpaceDE w:val="0"/>
        <w:autoSpaceDN w:val="0"/>
        <w:adjustRightInd w:val="0"/>
        <w:spacing w:after="0" w:line="240" w:lineRule="auto"/>
        <w:jc w:val="both"/>
        <w:outlineLvl w:val="3"/>
        <w:rPr>
          <w:rFonts w:ascii="Times New Roman" w:eastAsia="Times New Roman" w:hAnsi="Times New Roman" w:cs="Times New Roman"/>
          <w:i/>
          <w:iCs/>
          <w:noProof/>
          <w:color w:val="000000"/>
          <w:lang w:val="lt-LT" w:eastAsia="lt-LT"/>
        </w:rPr>
      </w:pPr>
    </w:p>
    <w:p w:rsidR="009825FE" w:rsidRPr="00DA5869" w:rsidRDefault="009825FE" w:rsidP="009825FE">
      <w:pPr>
        <w:autoSpaceDE w:val="0"/>
        <w:autoSpaceDN w:val="0"/>
        <w:adjustRightInd w:val="0"/>
        <w:spacing w:after="0" w:line="240" w:lineRule="auto"/>
        <w:jc w:val="both"/>
        <w:outlineLvl w:val="3"/>
        <w:rPr>
          <w:rFonts w:ascii="Times New Roman" w:eastAsia="Times New Roman" w:hAnsi="Times New Roman" w:cs="Times New Roman"/>
          <w:noProof/>
          <w:color w:val="000000"/>
          <w:lang w:val="lt-LT" w:eastAsia="lt-LT"/>
        </w:rPr>
      </w:pPr>
      <w:r w:rsidRPr="00DA5869">
        <w:rPr>
          <w:rFonts w:ascii="Times New Roman" w:eastAsia="Times New Roman" w:hAnsi="Times New Roman" w:cs="Times New Roman"/>
          <w:i/>
          <w:iCs/>
          <w:noProof/>
          <w:color w:val="000000"/>
          <w:lang w:val="lt-LT" w:eastAsia="lt-LT"/>
        </w:rPr>
        <w:t xml:space="preserve">Ketokonazolas (CYP3A4 inhibitorius)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Ketakonazolo farmakokinetikos tyrimas esant stipriam (angl. </w:t>
      </w:r>
      <w:r w:rsidRPr="00DA5869">
        <w:rPr>
          <w:rFonts w:ascii="Times New Roman" w:eastAsia="Times New Roman" w:hAnsi="Times New Roman" w:cs="Times New Roman"/>
          <w:i/>
          <w:iCs/>
          <w:color w:val="000000"/>
          <w:lang w:val="lt-LT"/>
        </w:rPr>
        <w:t>extensive metabolisers, EM</w:t>
      </w:r>
      <w:r w:rsidRPr="00DA5869">
        <w:rPr>
          <w:rFonts w:ascii="Times New Roman" w:eastAsia="Times New Roman" w:hAnsi="Times New Roman" w:cs="Times New Roman"/>
          <w:color w:val="000000"/>
          <w:lang w:val="lt-LT"/>
        </w:rPr>
        <w:t xml:space="preserve">) ir silpnam CYP2D6 katalizuojamam metabolizmui (angl. </w:t>
      </w:r>
      <w:r w:rsidRPr="00DA5869">
        <w:rPr>
          <w:rFonts w:ascii="Times New Roman" w:eastAsia="Times New Roman" w:hAnsi="Times New Roman" w:cs="Times New Roman"/>
          <w:i/>
          <w:iCs/>
          <w:color w:val="000000"/>
          <w:lang w:val="lt-LT"/>
        </w:rPr>
        <w:t>poor metabolisers, PM</w:t>
      </w:r>
      <w:r w:rsidRPr="00DA5869">
        <w:rPr>
          <w:rFonts w:ascii="Times New Roman" w:eastAsia="Times New Roman" w:hAnsi="Times New Roman" w:cs="Times New Roman"/>
          <w:color w:val="000000"/>
          <w:lang w:val="lt-LT"/>
        </w:rPr>
        <w:t xml:space="preserve">) parodė, kad pavartojus ketokonazolo, padidėja venlafaksino (atitinkamai 70 % ir 21 % tiriamųjų, kuriems nustatytas CYP2D6 EM ir PM) ir O-desmetilvenlafaksino (atitinkamai 33 % ir 23 % tiriamųjų, kuriems nustatytas CYP2D6 EM ir PM) AUC (plotas po koncentracijos kreive). Vartojant citochromo CYP3A4 inhibitorius (pvz., atazanavirą, klaritromiciną, indinavirą, itrakonazolą, vorikonazolą, pozakonazolą, ketokonazolą, </w:t>
      </w:r>
      <w:r w:rsidRPr="00DA5869">
        <w:rPr>
          <w:rFonts w:ascii="Times New Roman" w:eastAsia="Times New Roman" w:hAnsi="Times New Roman" w:cs="Times New Roman"/>
          <w:color w:val="000000"/>
          <w:lang w:val="lt-LT"/>
        </w:rPr>
        <w:lastRenderedPageBreak/>
        <w:t>nelfinavirą, ritonavirą, sakvinavirą, telitromiciną) kartu su venlafaksinu, gali padidėti venlafaksino ir O-desmetilvenlafaksino koncentracija. Todėl pacientą gydyti CYP3A4 inhibitoriumi ir venlafaksinu reikia atsargiai.</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Venlafaksino poveikis kitiems vaistiniams preparatams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Litis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Kartu vartojant venlafaksiną ir litį, gali pasireikšti serotonino sindromas (žr. „Serotonino sindromas“).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Diazepamas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neturi įtakos diazepamo bei aktyvaus jo metabolito desmetildiazepamo farmakokinetikai ir farmakodinamikai. Diazepamas įtakos venlafaksino arba O-desmetilvenlafaksino farmakokinetikai neturi. Ar pasireiškia farmakokinetinė ir (arba) farmakodinaminė sąveika su kitais benzodiazepinais, nežinoma.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Imipraminas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imipramino ir 2-OH-imipramino farmakokinetikai įtakos neturėjo. Vartojant nuo 75 mg iki 150 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Haloperidolis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Haloperidolio farmakokinetikos tyrimas parodė, kad per burną vartojamo preparato bendras klirensas sumažėja 42 %, AUC padidėja 70 %, C</w:t>
      </w:r>
      <w:r w:rsidRPr="00DA5869">
        <w:rPr>
          <w:rFonts w:ascii="Times New Roman" w:eastAsia="Times New Roman" w:hAnsi="Times New Roman" w:cs="Times New Roman"/>
          <w:color w:val="000000"/>
          <w:vertAlign w:val="subscript"/>
          <w:lang w:val="lt-LT"/>
        </w:rPr>
        <w:t xml:space="preserve">max </w:t>
      </w:r>
      <w:r w:rsidRPr="00DA5869">
        <w:rPr>
          <w:rFonts w:ascii="Times New Roman" w:eastAsia="Times New Roman" w:hAnsi="Times New Roman" w:cs="Times New Roman"/>
          <w:color w:val="000000"/>
          <w:lang w:val="lt-LT"/>
        </w:rPr>
        <w:t xml:space="preserve">padidėja 88 %, tačiau haloperidolio pusinės eliminacijos periodas nepakinta. Į tai reikia atsižvelgti gydant pacientus, kurie kartu vartoja haloperidolį ir venlafaksiną. Šios sąveikos klinikinė reikšmė nežinoma. </w:t>
      </w: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i/>
          <w:iCs/>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Risperidonas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50 % padidino risperidono AUC, tačiau bendros aktyvios dalies (risperidono ir 9-hidroksirisperidono) farmakokinetikai reikšmingos įtakos neturėjo. Šios sąveikos klinikinė reikšmė nežinoma.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Metoprololis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Sveikiems savanoriams kartu vartojant venlafaksiną ir metoprololį, šių preparatų farmakokinetinės sąveikos tyrimo metu nustatyta, kad metoprololio koncentracija plazmoje padidėjo maždaug 30–40 %;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Indinaviras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Indinaviro farmakokinetikos tyrimo metu nustatyta, kad  indinaviro AUC sumažėja 28 %, o C</w:t>
      </w:r>
      <w:r w:rsidRPr="00DA5869">
        <w:rPr>
          <w:rFonts w:ascii="Times New Roman" w:eastAsia="Times New Roman" w:hAnsi="Times New Roman" w:cs="Times New Roman"/>
          <w:vertAlign w:val="subscript"/>
          <w:lang w:val="lt-LT"/>
        </w:rPr>
        <w:t>max</w:t>
      </w:r>
      <w:r w:rsidRPr="00DA5869">
        <w:rPr>
          <w:rFonts w:ascii="Times New Roman" w:eastAsia="Times New Roman" w:hAnsi="Times New Roman" w:cs="Times New Roman"/>
          <w:lang w:val="lt-LT"/>
        </w:rPr>
        <w:t xml:space="preserve"> – 36%. Indinaviras venlafaksino arba O-desmetilvenlafaksino farmakokinetikai įtakos neturėjo. Šios sąveikos klinikinė reikšmė nežinoma.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5" w:name="_Toc129243232"/>
      <w:bookmarkStart w:id="26" w:name="_Toc129243107"/>
      <w:r w:rsidRPr="00DA5869">
        <w:rPr>
          <w:rFonts w:ascii="Times New Roman" w:eastAsia="Times New Roman" w:hAnsi="Times New Roman" w:cs="Times New Roman"/>
          <w:b/>
          <w:kern w:val="28"/>
          <w:lang w:val="lt-LT"/>
        </w:rPr>
        <w:t>4.6</w:t>
      </w:r>
      <w:r w:rsidRPr="00DA5869">
        <w:rPr>
          <w:rFonts w:ascii="Times New Roman" w:eastAsia="Times New Roman" w:hAnsi="Times New Roman" w:cs="Times New Roman"/>
          <w:b/>
          <w:kern w:val="28"/>
          <w:lang w:val="lt-LT"/>
        </w:rPr>
        <w:tab/>
        <w:t>Vaisingumas, nėštumo ir žindymo laikotarpis</w:t>
      </w:r>
      <w:bookmarkEnd w:id="25"/>
      <w:bookmarkEnd w:id="26"/>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Nėštumas</w:t>
      </w:r>
    </w:p>
    <w:p w:rsidR="009825FE" w:rsidRPr="00DA5869" w:rsidRDefault="009825FE" w:rsidP="009825FE">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Reikiamų duomenų apie venlafaksino vartojimą nėštumo metu nėra. </w:t>
      </w:r>
    </w:p>
    <w:p w:rsidR="009825FE" w:rsidRPr="00DA5869" w:rsidRDefault="009825FE" w:rsidP="009825FE">
      <w:pPr>
        <w:widowControl w:val="0"/>
        <w:spacing w:after="0" w:line="240" w:lineRule="auto"/>
        <w:rPr>
          <w:rFonts w:ascii="Times New Roman" w:eastAsia="Times New Roman" w:hAnsi="Times New Roman" w:cs="Times New Roman"/>
          <w:lang w:val="lt-LT"/>
        </w:rPr>
      </w:pPr>
    </w:p>
    <w:p w:rsidR="009825FE" w:rsidRPr="00DA5869" w:rsidRDefault="009825FE" w:rsidP="009825FE">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 gyvūnais atlikti tyrimai parodė toksinį poveikį reprodukcijai (žr. 5.3 skyrių). Galimas pavojus žmogui nežinomas. Venlafaksiną nėštumo metu reikia skirti tik tais atvejais, kai numatoma nauda yra didesnė už galimą riziką.</w:t>
      </w:r>
    </w:p>
    <w:p w:rsidR="009825FE" w:rsidRPr="00DA5869" w:rsidRDefault="009825FE" w:rsidP="009825FE">
      <w:pPr>
        <w:widowControl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Venlafaksiną, kaip ir kitus serotonino reabsorbcijos inhibitorius (SSRI/SNRI), vartojant iki gimdymo arba prieš pat gimdymą, naujagimiams gali būti vartojimo nutraukimo simptomų. Kai kuriems naujagimiams, kurių motinos venlafaksiną vartojo trečiojo nėštumo trimestro pabaigoje, pasireiškė komplikacijų, dėl kurių juos prireikė maitinimo zondu, dirbtinio plaučių ventiliavimo arba ilgesnės hospitalizacijos. Tokios komplikacijos gali atsirasti iš karto po gimdymo.</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Epidemiologinių tyrimų duomenys rodo, kad SSRI vartojimas nėštumo metu, ypač nėštumo pabaigoje, gali didinti naujagimių persistuojančios plautinės hipertenzijos (NPPH) riziką. Tyrimų, kuriais būtų įvertintas NPPH ryšys su gydymu SNRI, neatlikta, vis dėlto atsižvelgiant į panašų veikimo mechanizmą (serotonino atgalinio įsiurbimo slopinimą), tokios rizikos galimybės vartojant venlafaksiną paneigti negalima.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Naujagimiams, kurių motinos nėštumo pabaigoje vartojo SSRI/SNRI, gali pasireikšti šie simptomai: dirglumas, tremoras, hipotonija, nesiliaujantis verksmas ir žindymo arba miego sutrikimai.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Šie simptomai gali pasireikšti dėl serotoninerginio poveikio arba ekspozicijos. Dažniausiai šios komplikacijos nustatytos iš karto po gimdymo arba per 24 valandas po gimdymo.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Žindymas</w:t>
      </w:r>
    </w:p>
    <w:p w:rsidR="009825FE" w:rsidRPr="00DA5869" w:rsidRDefault="009825FE" w:rsidP="009825FE">
      <w:pPr>
        <w:widowControl w:val="0"/>
        <w:spacing w:after="0" w:line="240" w:lineRule="auto"/>
        <w:rPr>
          <w:rFonts w:ascii="Times New Roman" w:eastAsia="Times New Roman" w:hAnsi="Times New Roman" w:cs="Times New Roman"/>
          <w:noProof/>
          <w:lang w:val="lt-LT"/>
        </w:rPr>
      </w:pPr>
      <w:r w:rsidRPr="00DA5869">
        <w:rPr>
          <w:rFonts w:ascii="Times New Roman" w:eastAsia="Times New Roman" w:hAnsi="Times New Roman" w:cs="Times New Roman"/>
          <w:lang w:val="lt-LT"/>
        </w:rPr>
        <w:t xml:space="preserve">Venlafaksino ir aktyvaus jo metabolito O-desmetilvenlafaksino patenka į motinos pieną. </w:t>
      </w:r>
      <w:r w:rsidRPr="00DA5869">
        <w:rPr>
          <w:rFonts w:ascii="Times New Roman" w:eastAsia="Times New Roman" w:hAnsi="Times New Roman" w:cs="Times New Roman"/>
          <w:noProof/>
          <w:lang w:val="lt-LT"/>
        </w:rPr>
        <w:t xml:space="preserve">Po vaistinio preparato patekimo į rinką gauta pranešimų apie žindytiems kūdikiams pasireiškusį </w:t>
      </w:r>
      <w:r w:rsidRPr="00DA5869">
        <w:rPr>
          <w:rFonts w:ascii="Times New Roman" w:eastAsia="Times New Roman" w:hAnsi="Times New Roman" w:cs="Times New Roman"/>
          <w:lang w:val="lt-LT"/>
        </w:rPr>
        <w:t>verkimą, irzlumą ir nenormalų miegą. Be to, pranešta, kad nutraukus žindymą, atsirado s</w:t>
      </w:r>
      <w:r w:rsidRPr="00DA5869">
        <w:rPr>
          <w:rFonts w:ascii="Times New Roman" w:eastAsia="Times New Roman" w:hAnsi="Times New Roman" w:cs="Times New Roman"/>
          <w:noProof/>
          <w:lang w:val="lt-LT"/>
        </w:rPr>
        <w:t>imptomų, būdingų venlafaksino vartojimo nutraukimui</w:t>
      </w:r>
      <w:r w:rsidRPr="00DA5869">
        <w:rPr>
          <w:rFonts w:ascii="Times New Roman" w:eastAsia="Times New Roman" w:hAnsi="Times New Roman" w:cs="Times New Roman"/>
          <w:lang w:val="lt-LT"/>
        </w:rPr>
        <w:t>. Negalima atmesti rizikos žindomam kūdikiui. Todėl sprendžiant, ar reikia tęsti, ar nutraukti žindymą, ar gydymą Venlafaxin Actavis, reikia atsižvelgti į žindymo naudą kūdikiui ir gydymo Venlafaxin Actavis naudą moteriai.</w:t>
      </w:r>
    </w:p>
    <w:p w:rsidR="009825FE" w:rsidRPr="00DA5869" w:rsidRDefault="009825FE" w:rsidP="009825FE">
      <w:pPr>
        <w:widowControl w:val="0"/>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7" w:name="_Toc129243233"/>
      <w:bookmarkStart w:id="28" w:name="_Toc129243108"/>
      <w:r w:rsidRPr="00DA5869">
        <w:rPr>
          <w:rFonts w:ascii="Times New Roman" w:eastAsia="Times New Roman" w:hAnsi="Times New Roman" w:cs="Times New Roman"/>
          <w:b/>
          <w:kern w:val="28"/>
          <w:lang w:val="lt-LT"/>
        </w:rPr>
        <w:t>4.7</w:t>
      </w:r>
      <w:r w:rsidRPr="00DA5869">
        <w:rPr>
          <w:rFonts w:ascii="Times New Roman" w:eastAsia="Times New Roman" w:hAnsi="Times New Roman" w:cs="Times New Roman"/>
          <w:b/>
          <w:kern w:val="28"/>
          <w:lang w:val="lt-LT"/>
        </w:rPr>
        <w:tab/>
        <w:t>Poveikis gebėjimui vairuoti ir valdyti mechanizmus</w:t>
      </w:r>
      <w:bookmarkEnd w:id="27"/>
      <w:bookmarkEnd w:id="28"/>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Bet koks psichiką veikiantis vaistinis preparatas gali sutrikdyti nuovokumą, mąstymą ir motorinius įgūdžius. Todėl venlafaksiną vartojančius pacientus reikia įspėti dėl jų gebėjimo vairuoti ir valdyti pavojingus mechanizmus.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9" w:name="_Toc129243234"/>
      <w:bookmarkStart w:id="30" w:name="_Toc129243109"/>
      <w:r w:rsidRPr="00DA5869">
        <w:rPr>
          <w:rFonts w:ascii="Times New Roman" w:eastAsia="Times New Roman" w:hAnsi="Times New Roman" w:cs="Times New Roman"/>
          <w:b/>
          <w:kern w:val="28"/>
          <w:lang w:val="lt-LT"/>
        </w:rPr>
        <w:t>4.8</w:t>
      </w:r>
      <w:r w:rsidRPr="00DA5869">
        <w:rPr>
          <w:rFonts w:ascii="Times New Roman" w:eastAsia="Times New Roman" w:hAnsi="Times New Roman" w:cs="Times New Roman"/>
          <w:b/>
          <w:kern w:val="28"/>
          <w:lang w:val="lt-LT"/>
        </w:rPr>
        <w:tab/>
        <w:t>Nepageidaujamas poveikis</w:t>
      </w:r>
      <w:bookmarkEnd w:id="29"/>
      <w:bookmarkEnd w:id="30"/>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Klinikinių tyrimų metu dažniausiai (&gt;1/10) pasireiškė šios nepageidaujamos reakcijos: pykinimas, burnos sausumas, galvos skausmas ir prakaitavimas (įskaitant naktinį prakaitavimą).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Nepageidaujamos reakcijos pagal organų klasę ir dažnį išvardytos toliau.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Dažnis apibūdinamas taip: labai dažni (≥1/10), dažni (nuo ≥1/100 iki &lt;1/10), nedažni (nuo ≥1/1 000 iki &lt;1/100), reti (nuo ≥1/10 000 iki &lt;1/1 000), dažnis nežinomas (negali būti įvertintas pagal turimus duomenis).</w:t>
      </w:r>
    </w:p>
    <w:p w:rsidR="009825FE" w:rsidRPr="00DA5869" w:rsidRDefault="009825FE" w:rsidP="009825FE">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1162"/>
        <w:gridCol w:w="2097"/>
        <w:gridCol w:w="1440"/>
        <w:gridCol w:w="1230"/>
        <w:gridCol w:w="1951"/>
      </w:tblGrid>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Organų sistema</w:t>
            </w:r>
          </w:p>
        </w:tc>
        <w:tc>
          <w:tcPr>
            <w:tcW w:w="1162"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Labai dažni</w:t>
            </w:r>
          </w:p>
        </w:tc>
        <w:tc>
          <w:tcPr>
            <w:tcW w:w="2097"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w:t>
            </w:r>
          </w:p>
        </w:tc>
        <w:tc>
          <w:tcPr>
            <w:tcW w:w="1440"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Nedažni</w:t>
            </w:r>
          </w:p>
        </w:tc>
        <w:tc>
          <w:tcPr>
            <w:tcW w:w="1230"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Reti</w:t>
            </w:r>
          </w:p>
        </w:tc>
        <w:tc>
          <w:tcPr>
            <w:tcW w:w="1951" w:type="dxa"/>
          </w:tcPr>
          <w:p w:rsidR="009825FE" w:rsidRPr="00DA5869" w:rsidRDefault="009825FE" w:rsidP="00510A05">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Dažnis nežinomas</w:t>
            </w:r>
          </w:p>
        </w:tc>
      </w:tr>
      <w:tr w:rsidR="009825FE" w:rsidRPr="00211002"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Kraujo ir limfinės sistemos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Trombocitopenija, Kraujo sutrikimai (įskaitant agranulocitozę, aplazinę anemiją, neutropeniją ir pancitopeniją)</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Imuninės sistemos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Anafilaksinės reakcijos</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Endokrininės sistemos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Antidiurezinio hormono sekrecijos nepakankamumo sindromas (SIADH),</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Metabolizmo ir mitybos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apetitas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Hiponetremija</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Psichikos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Konfūzija, Depersenonalizacija, Anorgazmija, Lytinio potraukio susilpnėjimas, Nervingumas, Nemiga, Nenormalūs sapnai</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Haliucinacijos, Derealizacija, Ažitacija, Orgazmo sutrikimas (moterims), Apatija, Hipomanija, Bruksizmas</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Manija</w:t>
            </w: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Mintys apie savižudybę ir suicidinis elgesys**</w:t>
            </w:r>
          </w:p>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Kliedesiai, Agresyvumas***</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Nervų sistemos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Svaigulys, Galvos skausmas* </w:t>
            </w:r>
          </w:p>
        </w:tc>
        <w:tc>
          <w:tcPr>
            <w:tcW w:w="2097"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Somnolencija, Drebulys, Parestezija, Hipertonija</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Akatizija ir Psichomotorinis neramumas,, Sinkopė, Mioklonija, Koordinacijos ir pusiausvyrossutrikimas, Disguzija</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Traukuliai</w:t>
            </w: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Piktybinis neurolepsinis sindromas (PNS), Serotonerginis sindromas, Ekstrapiramidinės reakcijos (įskaitant distoniją ir diskineziją), Vėlyvoji diskinezija</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Akių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Regos sutrikimas, įskaitant susiliejusį vaizdą,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Midriazė,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Sutrikusi akomodacija, </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Uždaro kampo glaukoma</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Ausų ir labirinto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Tinitas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Širdies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Palpitacijos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Tachikardija</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Skilvelių virpėjimas, Skilvelių tachikardija </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Kraujagyslių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Hipertenzija,</w:t>
            </w:r>
          </w:p>
          <w:p w:rsidR="009825FE" w:rsidRPr="00DA5869" w:rsidDel="00944470"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Vazodilatacija (daugiausia karščio pylimas)</w:t>
            </w:r>
          </w:p>
        </w:tc>
        <w:tc>
          <w:tcPr>
            <w:tcW w:w="1440" w:type="dxa"/>
          </w:tcPr>
          <w:p w:rsidR="009825FE" w:rsidRPr="00DA5869" w:rsidDel="00944470"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Ortostatinė hipotenzija</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Hipotenzija,</w:t>
            </w:r>
          </w:p>
          <w:p w:rsidR="009825FE" w:rsidRPr="00DA5869" w:rsidDel="00944470"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Kraujavimas (iš gleivinių)</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Kvėpavimo sistemos, krūtinės ląstos ir tarpuplaučio sutrikimai</w:t>
            </w:r>
          </w:p>
        </w:tc>
        <w:tc>
          <w:tcPr>
            <w:tcW w:w="1162"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Žiovulys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Dispnėja</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Plaučių eozinofilija</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Virškinimo trakto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Pykinimas Burnos džiūvimas </w:t>
            </w:r>
          </w:p>
          <w:p w:rsidR="009825FE" w:rsidRPr="00DA5869" w:rsidRDefault="009825FE" w:rsidP="00510A05">
            <w:pPr>
              <w:spacing w:after="0" w:line="240" w:lineRule="auto"/>
              <w:rPr>
                <w:rFonts w:ascii="Times New Roman" w:eastAsia="Times New Roman" w:hAnsi="Times New Roman" w:cs="Times New Roman"/>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Vėmimas,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Viduriavimas,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Vidurių užkietėjimas, </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Kraujavimas į virškinamąjį traktą</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Pankreatitas</w:t>
            </w:r>
          </w:p>
        </w:tc>
      </w:tr>
      <w:tr w:rsidR="009825FE" w:rsidRPr="00211002"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Kepenų, tulžies pūslės ir latakų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Hepatitas, Pakitę kepenų funkcijos tyrimų rodmenys</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Odos ir poodinio audinio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Prakaitavimas (įskaitant naktinį prakaitavimą) </w:t>
            </w: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Angioedena,</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Fotosensibilizacija,</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Ekchimozė,</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Išbėrimas,</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Alopecija</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Daugiaformė raudonė (</w:t>
            </w:r>
            <w:r w:rsidRPr="00DA5869">
              <w:rPr>
                <w:rFonts w:ascii="Times New Roman" w:eastAsia="Times New Roman" w:hAnsi="Times New Roman" w:cs="Times New Roman"/>
                <w:i/>
                <w:color w:val="000000"/>
                <w:lang w:val="lt-LT"/>
              </w:rPr>
              <w:t>Erythema multiforme</w:t>
            </w:r>
            <w:r w:rsidRPr="00DA5869">
              <w:rPr>
                <w:rFonts w:ascii="Times New Roman" w:eastAsia="Times New Roman" w:hAnsi="Times New Roman" w:cs="Times New Roman"/>
                <w:color w:val="000000"/>
                <w:lang w:val="lt-LT"/>
              </w:rPr>
              <w:t xml:space="preserve">), </w:t>
            </w:r>
          </w:p>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Toksinė epidermio nekrolizė, Stivenso-Džonsono </w:t>
            </w:r>
          </w:p>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Cs/>
                <w:color w:val="000000"/>
                <w:lang w:val="lt-LT"/>
              </w:rPr>
              <w:t>(</w:t>
            </w:r>
            <w:r w:rsidRPr="00DA5869">
              <w:rPr>
                <w:rFonts w:ascii="Times New Roman" w:eastAsia="Times New Roman" w:hAnsi="Times New Roman" w:cs="Times New Roman"/>
                <w:i/>
                <w:iCs/>
                <w:color w:val="000000"/>
                <w:lang w:val="lt-LT"/>
              </w:rPr>
              <w:t>Stevens-Johnson</w:t>
            </w:r>
            <w:r w:rsidRPr="00DA5869">
              <w:rPr>
                <w:rFonts w:ascii="Times New Roman" w:eastAsia="Times New Roman" w:hAnsi="Times New Roman" w:cs="Times New Roman"/>
                <w:iCs/>
                <w:color w:val="000000"/>
                <w:lang w:val="lt-LT"/>
              </w:rPr>
              <w:t>)</w:t>
            </w:r>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sindromas, Niežėjimas, Dilgėlinė</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Skeleto, raumenų ir jungiamojo audinio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Rabdomiolizė</w:t>
            </w: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Inkstų ir šlapimo takų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Šlapinimosi sutrikimas (daugiausia uždelsta šlapinimosi pradžia), Polakiurija </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Šlapimo susilaikymas</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Šlapimo nelaikymas</w:t>
            </w: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Lytinės sistemos ir krūties sutrikimai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Menstruacijų sutrikimai, susiję su padidėjusiu kraujavimu arba </w:t>
            </w:r>
            <w:r w:rsidRPr="00DA5869">
              <w:rPr>
                <w:rFonts w:ascii="Times New Roman" w:eastAsia="Times New Roman" w:hAnsi="Times New Roman" w:cs="Times New Roman"/>
                <w:lang w:val="lt-LT"/>
              </w:rPr>
              <w:lastRenderedPageBreak/>
              <w:t>padidėjusiu nereguliariu kraujavimu (pvz., menoragija, metroragija),</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Nenormali ejakuliacija</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Erekcijos sutrikimas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Bendrieji sutrikimai ir vartojimo vietos pažeidimai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Astenija,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Nuovargis, </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Šiurpulys</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r>
      <w:tr w:rsidR="009825FE" w:rsidRPr="00DA5869" w:rsidTr="00510A05">
        <w:tc>
          <w:tcPr>
            <w:tcW w:w="1409"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Tyrimai</w:t>
            </w:r>
          </w:p>
        </w:tc>
        <w:tc>
          <w:tcPr>
            <w:tcW w:w="1162"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Padidėjusi cholesterolio koncentracija kraujyje </w:t>
            </w:r>
          </w:p>
        </w:tc>
        <w:tc>
          <w:tcPr>
            <w:tcW w:w="1440" w:type="dxa"/>
          </w:tcPr>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Padidėjęs kūno svoris,</w:t>
            </w:r>
          </w:p>
          <w:p w:rsidR="009825FE" w:rsidRPr="00DA5869" w:rsidRDefault="009825FE" w:rsidP="00510A05">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kūno svoris</w:t>
            </w:r>
          </w:p>
        </w:tc>
        <w:tc>
          <w:tcPr>
            <w:tcW w:w="1230" w:type="dxa"/>
          </w:tcPr>
          <w:p w:rsidR="009825FE" w:rsidRPr="00DA5869" w:rsidRDefault="009825FE" w:rsidP="00510A05">
            <w:pPr>
              <w:spacing w:after="0" w:line="240" w:lineRule="auto"/>
              <w:rPr>
                <w:rFonts w:ascii="Times New Roman" w:eastAsia="Times New Roman" w:hAnsi="Times New Roman" w:cs="Times New Roman"/>
                <w:lang w:val="lt-LT"/>
              </w:rPr>
            </w:pPr>
          </w:p>
        </w:tc>
        <w:tc>
          <w:tcPr>
            <w:tcW w:w="1951" w:type="dxa"/>
          </w:tcPr>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Pailgėjęs QT intervalas kardiogramoje, Pailgėjęs kraujavimo laikas,</w:t>
            </w:r>
          </w:p>
          <w:p w:rsidR="009825FE" w:rsidRPr="00DA5869" w:rsidRDefault="009825FE" w:rsidP="00510A05">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Padidėjusi prolaktino koncentracija kraujyje </w:t>
            </w:r>
          </w:p>
        </w:tc>
      </w:tr>
    </w:tbl>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*Bendrų klinikinių tyrimų metu galvos skausmas vartojant venlafaksiną nustatytas 30,3 %, vartojant placebą – 31,3 %.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Venlafaksino vartojimo laikotarpiu arba netrukus po gydymo nutraukimo nustatyti minčių apie savižudybę ir suicidinio elgesio atvejai (žr. 4.4 skyrių).  </w:t>
      </w:r>
    </w:p>
    <w:p w:rsidR="009825FE" w:rsidRPr="00DA5869" w:rsidRDefault="009825FE" w:rsidP="009825FE">
      <w:pPr>
        <w:spacing w:after="0" w:line="240" w:lineRule="auto"/>
        <w:rPr>
          <w:rFonts w:ascii="Times New Roman" w:eastAsia="Times New Roman" w:hAnsi="Times New Roman" w:cs="Times New Roman"/>
          <w:b/>
          <w:noProof/>
          <w:lang w:val="lt-LT"/>
        </w:rPr>
      </w:pPr>
      <w:r w:rsidRPr="00DA5869">
        <w:rPr>
          <w:rFonts w:ascii="Times New Roman" w:eastAsia="Times New Roman" w:hAnsi="Times New Roman" w:cs="Times New Roman"/>
          <w:lang w:val="lt-LT"/>
        </w:rPr>
        <w:t>*** Žr. 4.4 skyrių.</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Nutraukus venlafaksino vartojimą (ypač staiga), paprastai pasireiškia nutraukimo simptomai. Dažniausiai pasireiškė šios reakcijos: svaigulys, jutimo sutrikimai (įskaitant paresteziją), miego sutrikimai (įskaitant nemigą ir ryškius sapnus), ažitacija ar nerimas, pykinimas ir (arba) vėmimas, tremoras, 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 xml:space="preserve">), galvos skausmas ir gripo sindromas. Bendrai šie reiškiniai yra lengvi arba vidutinio sunkumo ir savaime praeina, tačiau kai kuriems pacientams jie gali būti sunkūs ir (arba) ilgalaikiai. Todėl rekomenduojama, kai gydyti venlafaksinu nebereikia, jo vartojimą nutraukti laipsniškai, pamažu mažinant vaistinio preparato dozę (žr. 4.2 ir 4.4 skyrius).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Vaikų populiacija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Bendrai vartojant venlafaksiną (placebu kontroliuojamų tyrimų metu) vaikams ir paaugliams (6–17 metų) pasireiškusios nepageidaujamos reakcijos buvo panašios į suaugusiesiems nustatytas reakcijas. Kaip ir suaugusiesiems, nustatytas apetito sumažėjimas, svorio kritimas, kraujospūdžio padidėjimas ir cholesterolio koncentracijos kraujo serume padidėjimas (žr. 4.4 skyrių).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Vaikų ir paauglių klinikinių tyrimų metu buvo pastebėta nepageidaujama reakcija – mintys apie savižudybę. Taip pat dažniau nustatyta priešiškumo ir, ypač didžiąja depresija sergantiems pacientams, susižalojimo atvejų.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Vaikams ir paaugliams ypač dažnai pastebėtos šios nepageidaujamos reakcijos: pilvo skausmas, sujaudinimas, dispepsija, echimozė, epistaksė ir mialgija.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u w:val="single"/>
          <w:lang w:val="lt-LT"/>
        </w:rPr>
        <w:lastRenderedPageBreak/>
        <w:t>Pranešimas apie įtariamas nepageidaujamas reakcijas</w:t>
      </w:r>
    </w:p>
    <w:p w:rsidR="009825FE" w:rsidRPr="004719B8"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9B028B">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B028B">
          <w:rPr>
            <w:rStyle w:val="Hipersaitas"/>
            <w:rFonts w:ascii="Times New Roman" w:eastAsia="Times New Roman" w:hAnsi="Times New Roman"/>
            <w:u w:val="none"/>
            <w:lang w:val="lt-LT"/>
          </w:rPr>
          <w:t>www.vvkt.lt</w:t>
        </w:r>
      </w:hyperlink>
      <w:r w:rsidRPr="009B028B">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B028B">
          <w:rPr>
            <w:rStyle w:val="Hipersaitas"/>
            <w:rFonts w:ascii="Times New Roman" w:eastAsia="Times New Roman" w:hAnsi="Times New Roman"/>
            <w:u w:val="none"/>
            <w:lang w:val="lt-LT"/>
          </w:rPr>
          <w:t>NepageidaujamaR@vvkt.lt</w:t>
        </w:r>
      </w:hyperlink>
      <w:r w:rsidRPr="009B028B">
        <w:rPr>
          <w:rFonts w:ascii="Times New Roman" w:eastAsia="Times New Roman" w:hAnsi="Times New Roman" w:cs="Times New Roman"/>
          <w:lang w:val="lt-LT"/>
        </w:rPr>
        <w:t>), per interneto svetainę (adresu http://www.vvkt.lt).</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ind w:left="540" w:hanging="540"/>
        <w:rPr>
          <w:rFonts w:ascii="Times New Roman" w:eastAsia="Times New Roman" w:hAnsi="Times New Roman" w:cs="Times New Roman"/>
          <w:b/>
          <w:kern w:val="28"/>
          <w:lang w:val="lt-LT"/>
        </w:rPr>
      </w:pPr>
      <w:r w:rsidRPr="00DA5869">
        <w:rPr>
          <w:rFonts w:ascii="Times New Roman" w:eastAsia="Times New Roman" w:hAnsi="Times New Roman" w:cs="Times New Roman"/>
          <w:b/>
          <w:kern w:val="28"/>
          <w:lang w:val="lt-LT"/>
        </w:rPr>
        <w:t>4.9</w:t>
      </w:r>
      <w:r w:rsidRPr="00DA5869">
        <w:rPr>
          <w:rFonts w:ascii="Times New Roman" w:eastAsia="Times New Roman" w:hAnsi="Times New Roman" w:cs="Times New Roman"/>
          <w:b/>
          <w:kern w:val="28"/>
          <w:lang w:val="lt-LT"/>
        </w:rPr>
        <w:tab/>
        <w:t>Perdozavimas</w:t>
      </w:r>
    </w:p>
    <w:p w:rsidR="009825FE" w:rsidRPr="00DA5869" w:rsidRDefault="009825FE" w:rsidP="009825FE">
      <w:pPr>
        <w:tabs>
          <w:tab w:val="left" w:pos="567"/>
        </w:tabs>
        <w:spacing w:after="0" w:line="240" w:lineRule="auto"/>
        <w:rPr>
          <w:rFonts w:ascii="Times New Roman" w:eastAsia="Times New Roman" w:hAnsi="Times New Roman" w:cs="Times New Roman"/>
          <w:kern w:val="28"/>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Vaistinį preparatą pateikus į rinką, venlafaksino perdozavimas daugiausia nustatytas vartojant kartu su alkoholiniais gėrimais ir (arba) kitais vaistiniais preparatais. Dažniausiai stebėti šie su perdozavimu susiję reiškiniai: tachikardija, sąmonės pokyčiai (nuo somnolencijos iki komos), midriazė, traukuliai ir vėmimas. Taip pat nustatyti šie reiškiniai: elektrokardiografiniai pokyčiai (pvz., QT intervalo pailgėjimas, Hiso pluošto kojyčių blokada, QRS pailgėjimas), skilvelių tachikardija, bradikardija, hipotenzija, 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 xml:space="preserve">) ir mirtis.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Paskelbti retrospektyviniai tyrimai rodo, kad venlafaksino perdozavimas gali būti susijęs su didesne mirtinų pasekmių rizika nei SSRI antidepresantų, bet mažesne nei triciklių antidepresantų. Epidemiologinių tyrimų metu venlafaksinu gydytiems pacientams nustatyta daugiau savižudybės rizikos veiksnių nei gydytiems SSRI. Kiek šią nustatytą padidėjusią mirtinų pasekmių riziką gali lemti toksinis perdozuoto venlafaksino poveikis ir kiek tam tikros venlafaksinu gydytų pacientų savybės, nėra aišku. Siekiant sumažinti perdozavimo riziką, venlafaksino receptus reikia išrašyti nurodant mažiausią vaistinio preparato kiekį, vadovaujantis gero pacientų aptarnavimo reikalavimais.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Rekomenduojamas gydymas </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Rekomenduojama taikyti bendras palaikomojo ir simptominio gydymo priemones; reikia stebėti širdies ritmą ir gyvybines funkcijas. Jei yra aspiracijos rizika, sukelti vėmimo nerekomenduojama. Gali prireikti praplauti skrandį netrukus nurijus medikamento arba pacientams, kuriems nustatyti simptomai. Aktyvintosios anglies skyrimas gali riboti veikliosios medžiagos absorbciją. Forsuotos diurezės, dializės, hemoperfuzijos ir pakaitinės transfuzijos nauda mažai tikėtina. Specialių priešnuodžių perdozavus venlafaksino nežinoma.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1" w:name="_Toc129243236"/>
      <w:bookmarkStart w:id="32" w:name="_Toc129243111"/>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FARMAKOLOGINĖS SAVYBĖS</w:t>
      </w:r>
      <w:bookmarkEnd w:id="31"/>
      <w:bookmarkEnd w:id="32"/>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3" w:name="_Toc129243237"/>
      <w:bookmarkStart w:id="34" w:name="_Toc129243112"/>
      <w:r w:rsidRPr="00DA5869">
        <w:rPr>
          <w:rFonts w:ascii="Times New Roman" w:eastAsia="Times New Roman" w:hAnsi="Times New Roman" w:cs="Times New Roman"/>
          <w:b/>
          <w:kern w:val="28"/>
          <w:lang w:val="lt-LT"/>
        </w:rPr>
        <w:t>5.1</w:t>
      </w:r>
      <w:r w:rsidRPr="00DA5869">
        <w:rPr>
          <w:rFonts w:ascii="Times New Roman" w:eastAsia="Times New Roman" w:hAnsi="Times New Roman" w:cs="Times New Roman"/>
          <w:b/>
          <w:kern w:val="28"/>
          <w:lang w:val="lt-LT"/>
        </w:rPr>
        <w:tab/>
        <w:t>Farmakodinaminės savybės</w:t>
      </w:r>
      <w:bookmarkEnd w:id="33"/>
      <w:bookmarkEnd w:id="34"/>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Farmakoterapinė grupė – kiti antidepresantai, ATC kodas – N06AX16</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Veikimo mechanizmas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Manoma, kad antidepresanto venlafaksino veikimo mechanizmas žmogaus organizme yra susijęs su preparato neuromediatorių aktyvumo sužadinimu centrinėje nervų sistemoje. Ikiklinikiniai tyrimai parodė, kad venlafaksinas ir pagrindinis jo metabolitas O-desmetilvenlafaksinas (ODV) yra serotonino ir noradrenalino reabsorbcijos inhibitoriai. Venlafaksinas taip pat silpnai slopina dopamino absorbciją. Venlafaksinas ir ak</w:t>
      </w:r>
      <w:r w:rsidRPr="00DA5869">
        <w:rPr>
          <w:rFonts w:ascii="Times New Roman" w:eastAsia="Times New Roman" w:hAnsi="Times New Roman" w:cs="Times New Roman"/>
          <w:color w:val="000000"/>
          <w:lang w:val="lt-LT"/>
        </w:rPr>
        <w:lastRenderedPageBreak/>
        <w:t xml:space="preserve">tyvus jo metabolitas mažina β-adrenerginį atsaką po vienkartinio (vienos dozės) vartojimo ir ilgalaikio vartojimo. Venlafaksinas ir ODV yra labai panašūs savo bendru poveikiu neuromediatorių reabsorbcijai ir jungimuisi prie receptorių.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tyrimų metu venlafaksinas iš esmės neturėjo afiniteto žiurkių smegenų muskarininiams, cholinerginiams, H1 histaminerginiams arba α1 adrenerginiams receptoriams. Farmakologinis aktyvumas šiuose receptoriuose gali būti siejamas su įvairiu šalutiniu poveikiu, nustatytu vartojant kitus vaistinius preparatus nuo depresijos, pvz., anticholinerginiu, sedaciniu poveikiu bei poveikiu širdies ir kraujagyslių sistemai.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nepasižymi monoaminooksidazę (MAO) slopinančiu poveikiu.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tyrimai parodė, kad venlafaksinas iš esmės neturi afiniteto opiatams arba benzodiazepinams jautriems receptoriams.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Didžiosios depresijos epizodai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 xml:space="preserve">Tiesioginio atpalaidavimo venlafaksino veiksmingumas gydant didžiosios depresijos epizodus nustatytas atliekant penkis atsitiktinės imties, dvigubai aklus, placebu kontroliuojamus trumpalaikius </w:t>
      </w:r>
      <w:r w:rsidRPr="00DA5869">
        <w:rPr>
          <w:rFonts w:ascii="Times New Roman" w:eastAsia="Times New Roman" w:hAnsi="Times New Roman" w:cs="Times New Roman"/>
          <w:lang w:val="lt-LT"/>
        </w:rPr>
        <w:t xml:space="preserve">tyrimus, kurie truko nuo 4 iki 6 savaičių, skiriant iki 375 mg paros dozes. Pailginto atpalaidavimo venlafaksino veiksmingumas gydant didžiosios depresijos epizodus nustatytas atliekant du placebu kontroliuojamus trumpalaikius tyrimus, kurie truko nuo 8 iki 12 savaičių, skiriant nuo 75 iki 225 mg paros dozes.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Antro ilgalaikio tyrimo metu venlafaksino veiksmingumas užkertant kelią didžiosios depresijos epizodų pasikartojimui 12 mėnesių laikotarpiu buvo vertinamas atliekant placebu kontroliuojamą dvigubai aklą klinikinį tyrimą su suaugusiais ambulatoriniais ligoniais, kuriems kartojosi didžiosios depresijos epizodai ir kuriems nustatytas atsakas į gydymą venlafaksinu (vartojant 100–200 mg paros dozę du kartus per parą) paskutinio depresijos epizodo metu.</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Generalizuoto nerimo sutrikimas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 xml:space="preserve">Pailginto atpalaidavimo venlafaksino kapsulių veiksmingumas gydant generalizuotą nerimo sutrikimą (GNS) buvo vertinamas, atliekant du 8 savaičių trukmės, placebu kontroliuojamus, fiksuotos dozės (nuo 75 iki 225 mg per parą) tyrimus, </w:t>
      </w:r>
      <w:r w:rsidRPr="00DA5869">
        <w:rPr>
          <w:rFonts w:ascii="Times New Roman" w:eastAsia="Times New Roman" w:hAnsi="Times New Roman" w:cs="Times New Roman"/>
          <w:lang w:val="lt-LT"/>
        </w:rPr>
        <w:t xml:space="preserve">vieną 6 mėnesių trukmės, placebu kontroliuojamą fiksuotos dozės </w:t>
      </w:r>
      <w:r w:rsidRPr="00DA5869">
        <w:rPr>
          <w:rFonts w:ascii="Times New Roman" w:eastAsia="Times New Roman" w:hAnsi="Times New Roman" w:cs="Times New Roman"/>
          <w:iCs/>
          <w:lang w:val="lt-LT"/>
        </w:rPr>
        <w:t xml:space="preserve">(nuo 75 iki 225 mg per parą) </w:t>
      </w:r>
      <w:r w:rsidRPr="00DA5869">
        <w:rPr>
          <w:rFonts w:ascii="Times New Roman" w:eastAsia="Times New Roman" w:hAnsi="Times New Roman" w:cs="Times New Roman"/>
          <w:lang w:val="lt-LT"/>
        </w:rPr>
        <w:t xml:space="preserve">tyrimą ir vieną 6 mėnesių trukmės placebu kontroliuojamą, keičiamos doės (37,5 mg, 75 mg ir 150 mg per parą) tyrimą su suaugusiais ambulatoriniais pacientais.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Nors vartojant 37,5 mg paros dozę, taip pat nustatytas pranašumas palyginti su placebu, ši dozė nebuvo tokia pastoviai veiksminga, kaip didesnės dozės.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iCs/>
          <w:lang w:val="lt-LT"/>
        </w:rPr>
      </w:pPr>
      <w:r w:rsidRPr="00DA5869">
        <w:rPr>
          <w:rFonts w:ascii="Times New Roman" w:eastAsia="Times New Roman" w:hAnsi="Times New Roman" w:cs="Times New Roman"/>
          <w:i/>
          <w:iCs/>
          <w:lang w:val="lt-LT"/>
        </w:rPr>
        <w:t xml:space="preserve">Socialinio nerimo sutrikimas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Venlafaksino</w:t>
      </w:r>
      <w:r w:rsidRPr="00DA5869">
        <w:rPr>
          <w:rFonts w:ascii="Times New Roman" w:eastAsia="Times New Roman" w:hAnsi="Times New Roman" w:cs="Times New Roman"/>
          <w:lang w:val="lt-LT"/>
        </w:rPr>
        <w:t xml:space="preserve"> </w:t>
      </w:r>
      <w:bookmarkStart w:id="35" w:name="OLE_LINK6"/>
      <w:r w:rsidRPr="00DA5869">
        <w:rPr>
          <w:rFonts w:ascii="Times New Roman" w:eastAsia="Times New Roman" w:hAnsi="Times New Roman" w:cs="Times New Roman"/>
          <w:iCs/>
          <w:lang w:val="lt-LT"/>
        </w:rPr>
        <w:t>pailginto atpalaidavimo kapsulių</w:t>
      </w:r>
      <w:bookmarkEnd w:id="35"/>
      <w:r w:rsidRPr="00DA5869">
        <w:rPr>
          <w:rFonts w:ascii="Times New Roman" w:eastAsia="Times New Roman" w:hAnsi="Times New Roman" w:cs="Times New Roman"/>
          <w:lang w:val="lt-LT"/>
        </w:rPr>
        <w:t xml:space="preserve"> veiksmingumas, gydant socialinio nerimo sutrikimą, </w:t>
      </w:r>
      <w:r w:rsidRPr="00DA5869">
        <w:rPr>
          <w:rFonts w:ascii="Times New Roman" w:eastAsia="Times New Roman" w:hAnsi="Times New Roman" w:cs="Times New Roman"/>
          <w:iCs/>
          <w:lang w:val="lt-LT"/>
        </w:rPr>
        <w:t>buvo vertinamas atliekant k</w:t>
      </w:r>
      <w:r w:rsidRPr="00DA5869">
        <w:rPr>
          <w:rFonts w:ascii="Times New Roman" w:eastAsia="Times New Roman" w:hAnsi="Times New Roman" w:cs="Times New Roman"/>
          <w:lang w:val="lt-LT"/>
        </w:rPr>
        <w:t xml:space="preserve">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pacientais. Pacientai vartojo 75–225 mg paros dozes. 6 mėnesių trukmės tyrimas nerodė </w:t>
      </w:r>
      <w:r w:rsidRPr="00DA5869">
        <w:rPr>
          <w:rFonts w:ascii="Times New Roman" w:eastAsia="Times New Roman" w:hAnsi="Times New Roman" w:cs="Times New Roman"/>
          <w:lang w:val="lt-LT"/>
        </w:rPr>
        <w:lastRenderedPageBreak/>
        <w:t xml:space="preserve">jokio didesnio 150–220 mg paros dozės veiksmingumo, palyginti su 75 mg paros doze.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Panikos sutrikimas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Venlafaksino </w:t>
      </w:r>
      <w:r w:rsidRPr="00DA5869">
        <w:rPr>
          <w:rFonts w:ascii="Times New Roman" w:eastAsia="Times New Roman" w:hAnsi="Times New Roman" w:cs="Times New Roman"/>
          <w:iCs/>
          <w:lang w:val="lt-LT"/>
        </w:rPr>
        <w:t>pailginto atpalaidavimo kapsulių</w:t>
      </w:r>
      <w:r w:rsidRPr="00DA5869">
        <w:rPr>
          <w:rFonts w:ascii="Times New Roman" w:eastAsia="Times New Roman" w:hAnsi="Times New Roman" w:cs="Times New Roman"/>
          <w:lang w:val="lt-LT"/>
        </w:rPr>
        <w:t xml:space="preserve"> veiksmingumas, gydant panikos sutrikimą buvo vertinamas atliekant du dvigubai aklus, 12 savaičių trukmės, daugiacentrius, placebu kontroliuojamus tyrimus su suaugusiais ambulatoriniais ligoniais, kuriems nustatytas panikos sutrikimas su agorafobija ar be agorafobijos. Panikos sutrikimo tyrimo metu pradinė dozė buvo 37,5 mg per parą, vartojama 7 dienas. Po to viename tyrime pacientams paskirtos  75 mg arba 150 mg fiksuotos paros dozės, kitame tyrime – 75 mg arba 225 mg fiksuotos paros dozės.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Veiksmingumas taip pat buvo vertinamas, atliekant vieną ilgalaikį, dvigubai aklą, placebu kontroliuojamą, paralelinių grupių tyrimą, skirtą ilgalaikiam saugumui, veiksmingumui ir ligos atkryčio prevencijai ištirti suaugusiems ambulatoriniams pacientams, kuriems gydymas atviros tyrimo fazės metu buvo veiksmingas. Pacientai toliau vartojo tą pačią pailginto atpalaidavimo venlafaksino dozę, kurią jie vartojo atviros tyrimo fazės pabaigoje  (75, 150 arba 225 mg).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numPr>
          <w:ilvl w:val="1"/>
          <w:numId w:val="3"/>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Farmakokinetinės savybės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Venlafaksinas yra ekstensyviai metabolizuojamas, visų pirma į aktyvų metabolitą O</w:t>
      </w:r>
      <w:r w:rsidRPr="00DA5869">
        <w:rPr>
          <w:rFonts w:ascii="Times New Roman" w:eastAsia="Times New Roman" w:hAnsi="Times New Roman" w:cs="Times New Roman"/>
          <w:color w:val="000000"/>
          <w:lang w:val="lt-LT"/>
        </w:rPr>
        <w:noBreakHyphen/>
        <w:t>desmetilvenlafaksiną (ODV). Venlafaksino ir ODV vidutinis pusinės eliminacijos iš plazmos periodas ± SN (standartinis nuokrypis) yra atitinkamai 5±2 valandos ir 11±2 valandos. Pastovios venlafaksino ir ODV koncentracijos pasiekiamos per 3 paras pradėjus per burną vartoti daugkartines dozes. Venlafaksinui ir ODV būdinga linijinė kinetika, vartojant nuo 75 mg iki 450 mg paros dozes.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Absorbcija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 mažiau kaip 92 % venlafaksino absorbuojama per burną pavartojus vienkartines tiesioginio atpalaidavimo venlafaksino dozes. Dėl priešsisteminio metabolizmo visiškas biologinis prieinamumas sudaro 40–45 %. Pavartojus tiesioginio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tiesioginio atpalaidavimo tablečių arba pailginto atpalaidavimo kapsulių forma, pailginto atpalaidavimo kapsulė absorbuojama lėčiau, tačiau absorbcijos apimtis yra tokia pati kaip tiesioginio atpalaidavimo tabletės. Maistas venlafaksino ir ODV biologiniam prieinamumui įtakos neturi.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Pasiskirstymas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ir ODV, esant gydomosioms koncentracijoms, minimaliai jungiasi prie žmogaus plazmos baltymų (atitinkamai 27 % ir 30 %). Suleidus į veną, venlafaksino pasiskirstymo tūris esant pastoviai koncentracijai yra 4,4±1,6 l/kg.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Biotransformacija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yra ekstensyviai metabolizuojamas kepenyse.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CYP2D6 biologiškai transformuoja venlafaksiną į pagrindinį aktyvų jo metabolitą ODV.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CYP3A4 metabolizuoja venlafaksiną į mažesnį, mažiau aktyvų jo metabolitą N-desmetilvenlafaksiną.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venlafaksinas yra silpnas CYP2D6 inhibitorius. Venlafaksinas neslopino CYP1A2, CYP2C9 arba CYP3A4.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Eliminacija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Venlafaksinas ir jo metabolitai visų pirma yra pašalinami per inkstus. Per 48 valandas šlapime aptinkama maždaug 87 % venlafaksino dozės nepakitusio venlafaksino forma (5 %), nekonjuguoto ODV (29 %), konjuguoto ODV (26 %) arba kitų mažesnių neaktyvių metabolitų forma (27 %). Venlafaksino ir ODV pastovios koncentracijos klirenso plazmoje vidutinis ± SN (standartinis nuokrypis) yra atitinkamai 1,3±0,6 l/h/kg ir 0,4±0,2 l/h/kg.</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Ypatingos populiacijos </w:t>
      </w: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 xml:space="preserve">Amžius ir lytis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Tiriamųjų amžius ir lytis venlafaksino ir ODV farmakokinetikai reikšmingos įtakos neturi.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i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 xml:space="preserve">CYP2D6 stiprus ir (arba) silpnas metabolizmas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Veikiant CYP2D6 silpniems metabolizuojantiems fermentams, venlafaksino koncentracijos plazmoje yra didesnės nei veikiant aktyviems metabolizuojantiems fermentams. Kadangi bendra venlafaksino ir ODV ekspozicija (AUC) esant silpnam ir stipriam metabolizmui yra panaši, šioms dviem grupėms skirtingų venlafaksino dozavimo režimų taikyti nereikia.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i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kepenų funkcija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Pacientams, kuriems nustatytas </w:t>
      </w:r>
      <w:r w:rsidRPr="00DA5869">
        <w:rPr>
          <w:rFonts w:ascii="Times New Roman" w:eastAsia="Times New Roman" w:hAnsi="Times New Roman" w:cs="Times New Roman"/>
          <w:i/>
          <w:lang w:val="lt-LT"/>
        </w:rPr>
        <w:t xml:space="preserve">Child-Pugh </w:t>
      </w:r>
      <w:r w:rsidRPr="00DA5869">
        <w:rPr>
          <w:rFonts w:ascii="Times New Roman" w:eastAsia="Times New Roman" w:hAnsi="Times New Roman" w:cs="Times New Roman"/>
          <w:lang w:val="lt-LT"/>
        </w:rPr>
        <w:t xml:space="preserve">A (lengvas kepenų veiklos sutrikimas) ir </w:t>
      </w:r>
      <w:r w:rsidRPr="00DA5869">
        <w:rPr>
          <w:rFonts w:ascii="Times New Roman" w:eastAsia="Times New Roman" w:hAnsi="Times New Roman" w:cs="Times New Roman"/>
          <w:i/>
          <w:lang w:val="lt-LT"/>
        </w:rPr>
        <w:t>Child-Pugh</w:t>
      </w:r>
      <w:r w:rsidRPr="00DA5869">
        <w:rPr>
          <w:rFonts w:ascii="Times New Roman" w:eastAsia="Times New Roman" w:hAnsi="Times New Roman" w:cs="Times New Roman"/>
          <w:lang w:val="lt-LT"/>
        </w:rPr>
        <w:t xml:space="preserve"> B (vidutinio sunkumo kepenų veiklos sutrikimas), venlafaksino ir ODV pusinės eliminacijos periodas buvo ilgesnis negu asmenų, kurių kepenų veikla normali. Išgerto venlafaksino ir ODV klirensas buvo mažesnis. Tarp asmenų nustatyti dideli individualūs skirtumai. Duomenų apie vartojimą pacientams, kuriems nustatytas sunkus kepenų veiklos sutrikimas, nepakanka (žr. 4.2 skyrių).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inkstų funkcija</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Pacientams, kuriems taikoma dializė, venlafaksino pusinės eliminacijos periodas buvo ilgesnis maždaug 180 %, klirensas mažesnis maždaug 57 %, palyginti su asmenimis, kurių inkstų veikla normali, o ODV pusinės eliminacijos periodas buvo ilgesnis maždaug 142 %, klirensas mažesnis maždaug 56 %. Pacientams, kuriems nustatytas sunkus inkstų veiklos sutrikimas ir pacientams, kuriems reikalinga hemodializė, dozę reikia koreguoti (žr. 4.2 skyrių).</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numPr>
          <w:ilvl w:val="1"/>
          <w:numId w:val="3"/>
        </w:num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Ikiklinikinių saugumo tyrimų duomenys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Su žiurkėmis ir pelėmis atlikti venlafaksino tyrimai kancerogeninio poveikio neparodė. Atlikus įvairius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tyrimus, mutageninio venlafaksino poveikio nenustatyta.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 mg/kg paros dozę, 4 kartus (pagal mg/kg) viršijančią 375 mg žmogui skiriamą venlafaksino paros dozę. Pagal šiuos duomenis nekenksminga dozė buvo 1,3 karto didesnė už žmogui skiriamą dozę. Galimas pavojus žmogui nežinomas.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Tyrime, kurio metu žiurkių patinams ir patelėms buvo duodamas ODV, nustatytas vaisingumo sumažėjimas. Ši ekspozicija buvo maždaug 1–2 kartus didesnė už ekspoziciją žmogui skiriant 375 mg venlafaksino paros dozę. Šių duomenų reikšmė žmogui nežinoma.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6" w:name="_Toc129243240"/>
      <w:bookmarkStart w:id="37" w:name="_Toc129243115"/>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FARMACINĖ INFORMACIJA</w:t>
      </w:r>
      <w:bookmarkEnd w:id="36"/>
      <w:bookmarkEnd w:id="37"/>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241"/>
      <w:bookmarkStart w:id="39" w:name="_Toc129243116"/>
      <w:r w:rsidRPr="00DA5869">
        <w:rPr>
          <w:rFonts w:ascii="Times New Roman" w:eastAsia="Times New Roman" w:hAnsi="Times New Roman" w:cs="Times New Roman"/>
          <w:b/>
          <w:kern w:val="28"/>
          <w:lang w:val="lt-LT"/>
        </w:rPr>
        <w:t>6.1</w:t>
      </w:r>
      <w:r w:rsidRPr="00DA5869">
        <w:rPr>
          <w:rFonts w:ascii="Times New Roman" w:eastAsia="Times New Roman" w:hAnsi="Times New Roman" w:cs="Times New Roman"/>
          <w:b/>
          <w:kern w:val="28"/>
          <w:lang w:val="lt-LT"/>
        </w:rPr>
        <w:tab/>
        <w:t>Pagalbinių medžiagų sąrašas</w:t>
      </w:r>
      <w:bookmarkEnd w:id="38"/>
      <w:bookmarkEnd w:id="39"/>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Hipromeliozė (E464)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Ponso 4R raudonasis (E124)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Hipromeliozė (E464)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Hipromeliozė (E464)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lang w:val="lt-LT"/>
        </w:rPr>
        <w:t>Patent</w:t>
      </w:r>
      <w:r w:rsidRPr="00DA5869">
        <w:rPr>
          <w:rFonts w:ascii="Times New Roman" w:eastAsia="Times New Roman" w:hAnsi="Times New Roman" w:cs="Times New Roman"/>
          <w:lang w:val="lt-LT"/>
        </w:rPr>
        <w:t xml:space="preserve"> mėlynasis (E131)</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242"/>
      <w:bookmarkStart w:id="41" w:name="_Toc129243117"/>
      <w:r w:rsidRPr="00DA5869">
        <w:rPr>
          <w:rFonts w:ascii="Times New Roman" w:eastAsia="Times New Roman" w:hAnsi="Times New Roman" w:cs="Times New Roman"/>
          <w:b/>
          <w:kern w:val="28"/>
          <w:lang w:val="lt-LT"/>
        </w:rPr>
        <w:t>6.2</w:t>
      </w:r>
      <w:r w:rsidRPr="00DA5869">
        <w:rPr>
          <w:rFonts w:ascii="Times New Roman" w:eastAsia="Times New Roman" w:hAnsi="Times New Roman" w:cs="Times New Roman"/>
          <w:b/>
          <w:kern w:val="28"/>
          <w:lang w:val="lt-LT"/>
        </w:rPr>
        <w:tab/>
        <w:t>Nesuderinamumas</w:t>
      </w:r>
      <w:bookmarkEnd w:id="40"/>
      <w:bookmarkEnd w:id="41"/>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Duomenys nebūtini.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243"/>
      <w:bookmarkStart w:id="43" w:name="_Toc129243118"/>
      <w:r w:rsidRPr="00DA5869">
        <w:rPr>
          <w:rFonts w:ascii="Times New Roman" w:eastAsia="Times New Roman" w:hAnsi="Times New Roman" w:cs="Times New Roman"/>
          <w:b/>
          <w:kern w:val="28"/>
          <w:lang w:val="lt-LT"/>
        </w:rPr>
        <w:t>6.3</w:t>
      </w:r>
      <w:r w:rsidRPr="00DA5869">
        <w:rPr>
          <w:rFonts w:ascii="Times New Roman" w:eastAsia="Times New Roman" w:hAnsi="Times New Roman" w:cs="Times New Roman"/>
          <w:b/>
          <w:kern w:val="28"/>
          <w:lang w:val="lt-LT"/>
        </w:rPr>
        <w:tab/>
        <w:t>Tinkamumo laikas</w:t>
      </w:r>
      <w:bookmarkEnd w:id="42"/>
      <w:bookmarkEnd w:id="43"/>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 metai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4"/>
      <w:bookmarkStart w:id="45" w:name="_Toc129243119"/>
      <w:r w:rsidRPr="00DA5869">
        <w:rPr>
          <w:rFonts w:ascii="Times New Roman" w:eastAsia="Times New Roman" w:hAnsi="Times New Roman" w:cs="Times New Roman"/>
          <w:b/>
          <w:kern w:val="28"/>
          <w:lang w:val="lt-LT"/>
        </w:rPr>
        <w:t>6.4</w:t>
      </w:r>
      <w:r w:rsidRPr="00DA5869">
        <w:rPr>
          <w:rFonts w:ascii="Times New Roman" w:eastAsia="Times New Roman" w:hAnsi="Times New Roman" w:cs="Times New Roman"/>
          <w:b/>
          <w:kern w:val="28"/>
          <w:lang w:val="lt-LT"/>
        </w:rPr>
        <w:tab/>
        <w:t>Specialios laikymo sąlygos</w:t>
      </w:r>
      <w:bookmarkEnd w:id="44"/>
      <w:bookmarkEnd w:id="45"/>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Šiam vaistiniam preparatui specialių laikymo sąlygų nereikia.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5"/>
      <w:bookmarkStart w:id="47" w:name="_Toc129243120"/>
      <w:r w:rsidRPr="00DA5869">
        <w:rPr>
          <w:rFonts w:ascii="Times New Roman" w:eastAsia="Times New Roman" w:hAnsi="Times New Roman" w:cs="Times New Roman"/>
          <w:b/>
          <w:kern w:val="28"/>
          <w:lang w:val="lt-LT"/>
        </w:rPr>
        <w:t>6.5</w:t>
      </w:r>
      <w:r w:rsidRPr="00DA5869">
        <w:rPr>
          <w:rFonts w:ascii="Times New Roman" w:eastAsia="Times New Roman" w:hAnsi="Times New Roman" w:cs="Times New Roman"/>
          <w:b/>
          <w:kern w:val="28"/>
          <w:lang w:val="lt-LT"/>
        </w:rPr>
        <w:tab/>
        <w:t>Talpyklės pobūdis ir jos turinys</w:t>
      </w:r>
      <w:bookmarkEnd w:id="46"/>
      <w:bookmarkEnd w:id="47"/>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7, 10, 14, 20, 28, 30, 50, 98 arba 100</w:t>
      </w:r>
      <w:r w:rsidRPr="00DA5869">
        <w:rPr>
          <w:rFonts w:ascii="Times New Roman" w:eastAsia="Times New Roman" w:hAnsi="Times New Roman" w:cs="Times New Roman"/>
          <w:lang w:val="lt-LT"/>
        </w:rPr>
        <w:t xml:space="preserve"> pailginto atpalaidavimo kietųjų kapsulių, supakuotų į lizdines plokšteles (PVC/aliuminio).</w:t>
      </w:r>
    </w:p>
    <w:p w:rsidR="009825FE" w:rsidRPr="00DA5869" w:rsidRDefault="009825FE" w:rsidP="009825FE">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lang w:val="lt-LT"/>
        </w:rPr>
        <w:t>50 arba 100 pailginto atpalaidavimo kietųjų kapsulių</w:t>
      </w:r>
      <w:r w:rsidRPr="00DA5869" w:rsidDel="001E2062">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DTPE buteliuke su DTPE užsukamuoju dangteliu ir silikagelio paketėliu (sausikliu).</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50 arba 100 pailginto atpalaidavimo kietųjų kapsulių DTPE buteliuke su PP atsukamu dangteliu su integruotu desikantu (silicio geliu).</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6"/>
      <w:bookmarkStart w:id="49" w:name="_Toc129243121"/>
      <w:r w:rsidRPr="00DA5869">
        <w:rPr>
          <w:rFonts w:ascii="Times New Roman" w:eastAsia="Times New Roman" w:hAnsi="Times New Roman" w:cs="Times New Roman"/>
          <w:b/>
          <w:kern w:val="28"/>
          <w:lang w:val="lt-LT"/>
        </w:rPr>
        <w:t>6.6</w:t>
      </w:r>
      <w:r w:rsidRPr="00DA5869">
        <w:rPr>
          <w:rFonts w:ascii="Times New Roman" w:eastAsia="Times New Roman" w:hAnsi="Times New Roman" w:cs="Times New Roman"/>
          <w:b/>
          <w:kern w:val="28"/>
          <w:lang w:val="lt-LT"/>
        </w:rPr>
        <w:tab/>
        <w:t xml:space="preserve">Specialūs reikalavimai atliekoms tvarkyti </w:t>
      </w:r>
      <w:bookmarkEnd w:id="48"/>
      <w:bookmarkEnd w:id="49"/>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Specialių reikalavimų nėra.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0" w:name="_Toc129243247"/>
      <w:bookmarkStart w:id="51" w:name="_Toc129243122"/>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REGISTRUOTOJAS</w:t>
      </w:r>
      <w:bookmarkEnd w:id="50"/>
      <w:bookmarkEnd w:id="51"/>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248"/>
      <w:bookmarkStart w:id="53" w:name="_Toc129243123"/>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REGISTRACIJOS PAŽYMĖJIMO NUMERIS</w:t>
      </w:r>
      <w:bookmarkEnd w:id="52"/>
      <w:bookmarkEnd w:id="53"/>
      <w:r w:rsidRPr="00DA5869">
        <w:rPr>
          <w:rFonts w:ascii="Times New Roman" w:eastAsia="Times New Roman" w:hAnsi="Times New Roman" w:cs="Times New Roman"/>
          <w:b/>
          <w:lang w:val="lt-LT"/>
        </w:rPr>
        <w:t xml:space="preserve"> (-IAI)</w:t>
      </w:r>
    </w:p>
    <w:p w:rsidR="009825FE" w:rsidRPr="00DA5869" w:rsidRDefault="009825FE" w:rsidP="009825FE">
      <w:pPr>
        <w:spacing w:after="0" w:line="240" w:lineRule="auto"/>
        <w:rPr>
          <w:rFonts w:ascii="Times New Roman" w:eastAsia="Times New Roman" w:hAnsi="Times New Roman" w:cs="Times New Roman"/>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5"/>
      </w:tblGrid>
      <w:tr w:rsidR="009825FE" w:rsidRPr="00DA5869" w:rsidTr="00510A05">
        <w:tc>
          <w:tcPr>
            <w:tcW w:w="3096" w:type="dxa"/>
          </w:tcPr>
          <w:p w:rsidR="009825FE" w:rsidRPr="00DA5869" w:rsidRDefault="009825FE" w:rsidP="00510A05">
            <w:pPr>
              <w:rPr>
                <w:sz w:val="22"/>
                <w:szCs w:val="22"/>
              </w:rPr>
            </w:pPr>
            <w:r w:rsidRPr="00DA5869">
              <w:rPr>
                <w:sz w:val="22"/>
                <w:szCs w:val="22"/>
              </w:rPr>
              <w:lastRenderedPageBreak/>
              <w:t>Venlafaxine Actavis 37,5 mg</w:t>
            </w:r>
          </w:p>
          <w:p w:rsidR="009825FE" w:rsidRPr="00DA5869" w:rsidRDefault="009825FE" w:rsidP="00510A05">
            <w:pPr>
              <w:rPr>
                <w:sz w:val="22"/>
                <w:szCs w:val="22"/>
              </w:rPr>
            </w:pPr>
            <w:r w:rsidRPr="00DA5869">
              <w:rPr>
                <w:sz w:val="22"/>
                <w:szCs w:val="22"/>
                <w:u w:val="single"/>
              </w:rPr>
              <w:t>Lizdinė plokštelė</w:t>
            </w:r>
            <w:r w:rsidRPr="00DA5869">
              <w:rPr>
                <w:sz w:val="22"/>
                <w:szCs w:val="22"/>
              </w:rPr>
              <w:t>:</w:t>
            </w:r>
          </w:p>
          <w:p w:rsidR="009825FE" w:rsidRPr="00DA5869" w:rsidRDefault="009825FE" w:rsidP="00510A05">
            <w:pPr>
              <w:rPr>
                <w:sz w:val="22"/>
                <w:szCs w:val="22"/>
              </w:rPr>
            </w:pPr>
            <w:r w:rsidRPr="00DA5869">
              <w:rPr>
                <w:sz w:val="22"/>
                <w:szCs w:val="22"/>
              </w:rPr>
              <w:t>N7 - LT/1/08/1404/025</w:t>
            </w:r>
          </w:p>
          <w:p w:rsidR="009825FE" w:rsidRPr="00DA5869" w:rsidRDefault="009825FE" w:rsidP="00510A05">
            <w:pPr>
              <w:rPr>
                <w:sz w:val="22"/>
                <w:szCs w:val="22"/>
              </w:rPr>
            </w:pPr>
            <w:r w:rsidRPr="00DA5869">
              <w:rPr>
                <w:sz w:val="22"/>
                <w:szCs w:val="22"/>
              </w:rPr>
              <w:t>N10 - LT/1/08/1404/026</w:t>
            </w:r>
          </w:p>
          <w:p w:rsidR="009825FE" w:rsidRPr="00DA5869" w:rsidRDefault="009825FE" w:rsidP="00510A05">
            <w:pPr>
              <w:rPr>
                <w:sz w:val="22"/>
                <w:szCs w:val="22"/>
              </w:rPr>
            </w:pPr>
            <w:r w:rsidRPr="00DA5869">
              <w:rPr>
                <w:sz w:val="22"/>
                <w:szCs w:val="22"/>
              </w:rPr>
              <w:t>N14 - LT/1/08/1404/027</w:t>
            </w:r>
          </w:p>
          <w:p w:rsidR="009825FE" w:rsidRPr="00DA5869" w:rsidRDefault="009825FE" w:rsidP="00510A05">
            <w:pPr>
              <w:rPr>
                <w:sz w:val="22"/>
                <w:szCs w:val="22"/>
              </w:rPr>
            </w:pPr>
            <w:r w:rsidRPr="00DA5869">
              <w:rPr>
                <w:sz w:val="22"/>
                <w:szCs w:val="22"/>
              </w:rPr>
              <w:t>N20 – LT/1/08/1404/001</w:t>
            </w:r>
          </w:p>
          <w:p w:rsidR="009825FE" w:rsidRPr="00DA5869" w:rsidRDefault="009825FE" w:rsidP="00510A05">
            <w:pPr>
              <w:rPr>
                <w:sz w:val="22"/>
                <w:szCs w:val="22"/>
              </w:rPr>
            </w:pPr>
            <w:r w:rsidRPr="00DA5869">
              <w:rPr>
                <w:sz w:val="22"/>
                <w:szCs w:val="22"/>
              </w:rPr>
              <w:t>N28 – LT/1/08/1404/002</w:t>
            </w:r>
          </w:p>
          <w:p w:rsidR="009825FE" w:rsidRPr="00DA5869" w:rsidRDefault="009825FE" w:rsidP="00510A05">
            <w:pPr>
              <w:rPr>
                <w:sz w:val="22"/>
                <w:szCs w:val="22"/>
              </w:rPr>
            </w:pPr>
            <w:r w:rsidRPr="00DA5869">
              <w:rPr>
                <w:sz w:val="22"/>
                <w:szCs w:val="22"/>
              </w:rPr>
              <w:t>N30 – LT/1/08/1404/003</w:t>
            </w:r>
          </w:p>
          <w:p w:rsidR="009825FE" w:rsidRPr="00DA5869" w:rsidRDefault="009825FE" w:rsidP="00510A05">
            <w:pPr>
              <w:rPr>
                <w:sz w:val="22"/>
                <w:szCs w:val="22"/>
              </w:rPr>
            </w:pPr>
            <w:r w:rsidRPr="00DA5869">
              <w:rPr>
                <w:sz w:val="22"/>
                <w:szCs w:val="22"/>
              </w:rPr>
              <w:t>N50 – LT/1/08/1404/004</w:t>
            </w:r>
          </w:p>
          <w:p w:rsidR="009825FE" w:rsidRPr="00DA5869" w:rsidRDefault="009825FE" w:rsidP="00510A05">
            <w:pPr>
              <w:rPr>
                <w:sz w:val="22"/>
                <w:szCs w:val="22"/>
              </w:rPr>
            </w:pPr>
            <w:r w:rsidRPr="00DA5869">
              <w:rPr>
                <w:sz w:val="22"/>
                <w:szCs w:val="22"/>
              </w:rPr>
              <w:t>N98 – LT/1/08/1404/005</w:t>
            </w:r>
          </w:p>
          <w:p w:rsidR="009825FE" w:rsidRPr="00DA5869" w:rsidRDefault="009825FE" w:rsidP="00510A05">
            <w:pPr>
              <w:rPr>
                <w:sz w:val="22"/>
                <w:szCs w:val="22"/>
              </w:rPr>
            </w:pPr>
            <w:r w:rsidRPr="00DA5869">
              <w:rPr>
                <w:sz w:val="22"/>
                <w:szCs w:val="22"/>
              </w:rPr>
              <w:t>N100 – LT/1/08/1404/006</w:t>
            </w:r>
          </w:p>
          <w:p w:rsidR="009825FE" w:rsidRPr="00DA5869" w:rsidRDefault="009825FE" w:rsidP="00510A05">
            <w:pPr>
              <w:rPr>
                <w:sz w:val="22"/>
                <w:szCs w:val="22"/>
              </w:rPr>
            </w:pPr>
            <w:r w:rsidRPr="00DA5869">
              <w:rPr>
                <w:sz w:val="22"/>
                <w:szCs w:val="22"/>
                <w:u w:val="single"/>
              </w:rPr>
              <w:t>Buteliukas</w:t>
            </w:r>
            <w:r w:rsidRPr="00DA5869">
              <w:rPr>
                <w:sz w:val="22"/>
                <w:szCs w:val="22"/>
              </w:rPr>
              <w:t>:</w:t>
            </w:r>
          </w:p>
          <w:p w:rsidR="009825FE" w:rsidRPr="00DA5869" w:rsidRDefault="009825FE" w:rsidP="00510A05">
            <w:pPr>
              <w:rPr>
                <w:sz w:val="22"/>
                <w:szCs w:val="22"/>
              </w:rPr>
            </w:pPr>
            <w:r w:rsidRPr="00DA5869">
              <w:rPr>
                <w:sz w:val="22"/>
                <w:szCs w:val="22"/>
              </w:rPr>
              <w:t>N50 – LT/1/08/1404/007</w:t>
            </w:r>
          </w:p>
          <w:p w:rsidR="009825FE" w:rsidRPr="00DA5869" w:rsidRDefault="009825FE" w:rsidP="00510A05">
            <w:pPr>
              <w:rPr>
                <w:sz w:val="22"/>
                <w:szCs w:val="22"/>
                <w:u w:val="single"/>
              </w:rPr>
            </w:pPr>
            <w:r w:rsidRPr="00DA5869">
              <w:rPr>
                <w:sz w:val="22"/>
                <w:szCs w:val="22"/>
              </w:rPr>
              <w:t>N100 – LT/1/08/1404/008</w:t>
            </w:r>
          </w:p>
        </w:tc>
        <w:tc>
          <w:tcPr>
            <w:tcW w:w="3096" w:type="dxa"/>
          </w:tcPr>
          <w:p w:rsidR="009825FE" w:rsidRPr="00DA5869" w:rsidRDefault="009825FE" w:rsidP="00510A05">
            <w:pPr>
              <w:rPr>
                <w:sz w:val="22"/>
                <w:szCs w:val="22"/>
              </w:rPr>
            </w:pPr>
            <w:r w:rsidRPr="00DA5869">
              <w:rPr>
                <w:sz w:val="22"/>
                <w:szCs w:val="22"/>
              </w:rPr>
              <w:t>Venlafaxine Actavis 75 mg</w:t>
            </w:r>
          </w:p>
          <w:p w:rsidR="009825FE" w:rsidRPr="00DA5869" w:rsidRDefault="009825FE" w:rsidP="00510A05">
            <w:pPr>
              <w:rPr>
                <w:sz w:val="22"/>
                <w:szCs w:val="22"/>
              </w:rPr>
            </w:pPr>
            <w:r w:rsidRPr="00DA5869">
              <w:rPr>
                <w:sz w:val="22"/>
                <w:szCs w:val="22"/>
                <w:u w:val="single"/>
              </w:rPr>
              <w:t>Lizdinė</w:t>
            </w:r>
            <w:r w:rsidRPr="00DA5869">
              <w:rPr>
                <w:sz w:val="22"/>
                <w:szCs w:val="22"/>
              </w:rPr>
              <w:t xml:space="preserve"> </w:t>
            </w:r>
            <w:r w:rsidRPr="00DA5869">
              <w:rPr>
                <w:sz w:val="22"/>
                <w:szCs w:val="22"/>
                <w:u w:val="single"/>
              </w:rPr>
              <w:t>plokštelė</w:t>
            </w:r>
            <w:r w:rsidRPr="00DA5869">
              <w:rPr>
                <w:sz w:val="22"/>
                <w:szCs w:val="22"/>
              </w:rPr>
              <w:t>:</w:t>
            </w:r>
          </w:p>
          <w:p w:rsidR="009825FE" w:rsidRPr="00DA5869" w:rsidRDefault="009825FE" w:rsidP="00510A05">
            <w:pPr>
              <w:rPr>
                <w:sz w:val="22"/>
                <w:szCs w:val="22"/>
              </w:rPr>
            </w:pPr>
            <w:r w:rsidRPr="00DA5869">
              <w:rPr>
                <w:sz w:val="22"/>
                <w:szCs w:val="22"/>
              </w:rPr>
              <w:t>N7 - LT/1/08/1404/028</w:t>
            </w:r>
          </w:p>
          <w:p w:rsidR="009825FE" w:rsidRPr="00DA5869" w:rsidRDefault="009825FE" w:rsidP="00510A05">
            <w:pPr>
              <w:rPr>
                <w:sz w:val="22"/>
                <w:szCs w:val="22"/>
              </w:rPr>
            </w:pPr>
            <w:r w:rsidRPr="00DA5869">
              <w:rPr>
                <w:sz w:val="22"/>
                <w:szCs w:val="22"/>
              </w:rPr>
              <w:t>N10 - LT/1/08/1404/029</w:t>
            </w:r>
          </w:p>
          <w:p w:rsidR="009825FE" w:rsidRPr="00DA5869" w:rsidRDefault="009825FE" w:rsidP="00510A05">
            <w:pPr>
              <w:rPr>
                <w:sz w:val="22"/>
                <w:szCs w:val="22"/>
              </w:rPr>
            </w:pPr>
            <w:r w:rsidRPr="00DA5869">
              <w:rPr>
                <w:sz w:val="22"/>
                <w:szCs w:val="22"/>
              </w:rPr>
              <w:t>N14 - LT/1/08/1404/030</w:t>
            </w:r>
          </w:p>
          <w:p w:rsidR="009825FE" w:rsidRPr="00DA5869" w:rsidRDefault="009825FE" w:rsidP="00510A05">
            <w:pPr>
              <w:rPr>
                <w:sz w:val="22"/>
                <w:szCs w:val="22"/>
              </w:rPr>
            </w:pPr>
            <w:r w:rsidRPr="00DA5869">
              <w:rPr>
                <w:sz w:val="22"/>
                <w:szCs w:val="22"/>
              </w:rPr>
              <w:t>N20 – LT/1/08/1404/009</w:t>
            </w:r>
          </w:p>
          <w:p w:rsidR="009825FE" w:rsidRPr="00DA5869" w:rsidRDefault="009825FE" w:rsidP="00510A05">
            <w:pPr>
              <w:rPr>
                <w:sz w:val="22"/>
                <w:szCs w:val="22"/>
              </w:rPr>
            </w:pPr>
            <w:r w:rsidRPr="00DA5869">
              <w:rPr>
                <w:sz w:val="22"/>
                <w:szCs w:val="22"/>
              </w:rPr>
              <w:t>N28 – LT/1/08/1404/010</w:t>
            </w:r>
          </w:p>
          <w:p w:rsidR="009825FE" w:rsidRPr="00DA5869" w:rsidRDefault="009825FE" w:rsidP="00510A05">
            <w:pPr>
              <w:rPr>
                <w:sz w:val="22"/>
                <w:szCs w:val="22"/>
              </w:rPr>
            </w:pPr>
            <w:r w:rsidRPr="00DA5869">
              <w:rPr>
                <w:sz w:val="22"/>
                <w:szCs w:val="22"/>
              </w:rPr>
              <w:t>N30 – LT/1/08/1404/011</w:t>
            </w:r>
          </w:p>
          <w:p w:rsidR="009825FE" w:rsidRPr="00DA5869" w:rsidRDefault="009825FE" w:rsidP="00510A05">
            <w:pPr>
              <w:rPr>
                <w:sz w:val="22"/>
                <w:szCs w:val="22"/>
              </w:rPr>
            </w:pPr>
            <w:r w:rsidRPr="00DA5869">
              <w:rPr>
                <w:sz w:val="22"/>
                <w:szCs w:val="22"/>
              </w:rPr>
              <w:t>N50 – LT/1/08/1404/012</w:t>
            </w:r>
          </w:p>
          <w:p w:rsidR="009825FE" w:rsidRPr="00DA5869" w:rsidRDefault="009825FE" w:rsidP="00510A05">
            <w:pPr>
              <w:rPr>
                <w:sz w:val="22"/>
                <w:szCs w:val="22"/>
              </w:rPr>
            </w:pPr>
            <w:r w:rsidRPr="00DA5869">
              <w:rPr>
                <w:sz w:val="22"/>
                <w:szCs w:val="22"/>
              </w:rPr>
              <w:t>N98 – LT/1/08/1404/013</w:t>
            </w:r>
          </w:p>
          <w:p w:rsidR="009825FE" w:rsidRPr="00DA5869" w:rsidRDefault="009825FE" w:rsidP="00510A05">
            <w:pPr>
              <w:rPr>
                <w:sz w:val="22"/>
                <w:szCs w:val="22"/>
              </w:rPr>
            </w:pPr>
            <w:r w:rsidRPr="00DA5869">
              <w:rPr>
                <w:sz w:val="22"/>
                <w:szCs w:val="22"/>
              </w:rPr>
              <w:t>N100 – LT/1/08/1404/014</w:t>
            </w:r>
          </w:p>
          <w:p w:rsidR="009825FE" w:rsidRPr="00DA5869" w:rsidRDefault="009825FE" w:rsidP="00510A05">
            <w:pPr>
              <w:rPr>
                <w:sz w:val="22"/>
                <w:szCs w:val="22"/>
              </w:rPr>
            </w:pPr>
            <w:r w:rsidRPr="00DA5869">
              <w:rPr>
                <w:sz w:val="22"/>
                <w:szCs w:val="22"/>
                <w:u w:val="single"/>
              </w:rPr>
              <w:t>Buteliukas</w:t>
            </w:r>
            <w:r w:rsidRPr="00DA5869">
              <w:rPr>
                <w:sz w:val="22"/>
                <w:szCs w:val="22"/>
              </w:rPr>
              <w:t>:</w:t>
            </w:r>
          </w:p>
          <w:p w:rsidR="009825FE" w:rsidRPr="00DA5869" w:rsidRDefault="009825FE" w:rsidP="00510A05">
            <w:pPr>
              <w:rPr>
                <w:sz w:val="22"/>
                <w:szCs w:val="22"/>
              </w:rPr>
            </w:pPr>
            <w:r w:rsidRPr="00DA5869">
              <w:rPr>
                <w:sz w:val="22"/>
                <w:szCs w:val="22"/>
              </w:rPr>
              <w:t>N50 – LT/1/08/1404/015</w:t>
            </w:r>
          </w:p>
          <w:p w:rsidR="009825FE" w:rsidRPr="00DA5869" w:rsidRDefault="009825FE" w:rsidP="00510A05">
            <w:pPr>
              <w:rPr>
                <w:sz w:val="22"/>
                <w:szCs w:val="22"/>
              </w:rPr>
            </w:pPr>
            <w:r w:rsidRPr="00DA5869">
              <w:rPr>
                <w:sz w:val="22"/>
                <w:szCs w:val="22"/>
              </w:rPr>
              <w:t>N100 – LT/1/08/1404/016</w:t>
            </w:r>
          </w:p>
        </w:tc>
        <w:tc>
          <w:tcPr>
            <w:tcW w:w="3097" w:type="dxa"/>
          </w:tcPr>
          <w:p w:rsidR="009825FE" w:rsidRPr="00DA5869" w:rsidRDefault="009825FE" w:rsidP="00510A05">
            <w:pPr>
              <w:rPr>
                <w:sz w:val="22"/>
                <w:szCs w:val="22"/>
              </w:rPr>
            </w:pPr>
            <w:r w:rsidRPr="00DA5869">
              <w:rPr>
                <w:sz w:val="22"/>
                <w:szCs w:val="22"/>
              </w:rPr>
              <w:t>Venlafaxine Actavis 150 mg</w:t>
            </w:r>
          </w:p>
          <w:p w:rsidR="009825FE" w:rsidRPr="00DA5869" w:rsidRDefault="009825FE" w:rsidP="00510A05">
            <w:pPr>
              <w:rPr>
                <w:sz w:val="22"/>
                <w:szCs w:val="22"/>
              </w:rPr>
            </w:pPr>
            <w:r w:rsidRPr="00DA5869">
              <w:rPr>
                <w:sz w:val="22"/>
                <w:szCs w:val="22"/>
                <w:u w:val="single"/>
              </w:rPr>
              <w:t>Lizdinė</w:t>
            </w:r>
            <w:r w:rsidRPr="00DA5869">
              <w:rPr>
                <w:sz w:val="22"/>
                <w:szCs w:val="22"/>
              </w:rPr>
              <w:t xml:space="preserve"> </w:t>
            </w:r>
            <w:r w:rsidRPr="00DA5869">
              <w:rPr>
                <w:sz w:val="22"/>
                <w:szCs w:val="22"/>
                <w:u w:val="single"/>
              </w:rPr>
              <w:t>plokštelė</w:t>
            </w:r>
            <w:r w:rsidRPr="00DA5869">
              <w:rPr>
                <w:sz w:val="22"/>
                <w:szCs w:val="22"/>
              </w:rPr>
              <w:t>:</w:t>
            </w:r>
          </w:p>
          <w:p w:rsidR="009825FE" w:rsidRPr="00DA5869" w:rsidRDefault="009825FE" w:rsidP="00510A05">
            <w:pPr>
              <w:rPr>
                <w:sz w:val="22"/>
                <w:szCs w:val="22"/>
              </w:rPr>
            </w:pPr>
            <w:r w:rsidRPr="00DA5869">
              <w:rPr>
                <w:sz w:val="22"/>
                <w:szCs w:val="22"/>
              </w:rPr>
              <w:t>N7 - LT/1/08/1404/031</w:t>
            </w:r>
          </w:p>
          <w:p w:rsidR="009825FE" w:rsidRPr="00DA5869" w:rsidRDefault="009825FE" w:rsidP="00510A05">
            <w:pPr>
              <w:rPr>
                <w:sz w:val="22"/>
                <w:szCs w:val="22"/>
              </w:rPr>
            </w:pPr>
            <w:r w:rsidRPr="00DA5869">
              <w:rPr>
                <w:sz w:val="22"/>
                <w:szCs w:val="22"/>
              </w:rPr>
              <w:t>N10 - LT/1/08/1404/032</w:t>
            </w:r>
          </w:p>
          <w:p w:rsidR="009825FE" w:rsidRPr="00DA5869" w:rsidRDefault="009825FE" w:rsidP="00510A05">
            <w:pPr>
              <w:rPr>
                <w:sz w:val="22"/>
                <w:szCs w:val="22"/>
              </w:rPr>
            </w:pPr>
            <w:r w:rsidRPr="00DA5869">
              <w:rPr>
                <w:sz w:val="22"/>
                <w:szCs w:val="22"/>
              </w:rPr>
              <w:t>N14 - LT/1/08/1404/033</w:t>
            </w:r>
          </w:p>
          <w:p w:rsidR="009825FE" w:rsidRPr="00DA5869" w:rsidRDefault="009825FE" w:rsidP="00510A05">
            <w:pPr>
              <w:rPr>
                <w:sz w:val="22"/>
                <w:szCs w:val="22"/>
              </w:rPr>
            </w:pPr>
            <w:r w:rsidRPr="00DA5869">
              <w:rPr>
                <w:sz w:val="22"/>
                <w:szCs w:val="22"/>
              </w:rPr>
              <w:t>N20 – LT/1/08/1404/017</w:t>
            </w:r>
          </w:p>
          <w:p w:rsidR="009825FE" w:rsidRPr="00DA5869" w:rsidRDefault="009825FE" w:rsidP="00510A05">
            <w:pPr>
              <w:rPr>
                <w:sz w:val="22"/>
                <w:szCs w:val="22"/>
              </w:rPr>
            </w:pPr>
            <w:r w:rsidRPr="00DA5869">
              <w:rPr>
                <w:sz w:val="22"/>
                <w:szCs w:val="22"/>
              </w:rPr>
              <w:t>N28 – LT/1/08/1404/018</w:t>
            </w:r>
          </w:p>
          <w:p w:rsidR="009825FE" w:rsidRPr="00DA5869" w:rsidRDefault="009825FE" w:rsidP="00510A05">
            <w:pPr>
              <w:rPr>
                <w:sz w:val="22"/>
                <w:szCs w:val="22"/>
              </w:rPr>
            </w:pPr>
            <w:r w:rsidRPr="00DA5869">
              <w:rPr>
                <w:sz w:val="22"/>
                <w:szCs w:val="22"/>
              </w:rPr>
              <w:t>N30 – LT/1/08/1404/019</w:t>
            </w:r>
          </w:p>
          <w:p w:rsidR="009825FE" w:rsidRPr="00DA5869" w:rsidRDefault="009825FE" w:rsidP="00510A05">
            <w:pPr>
              <w:rPr>
                <w:sz w:val="22"/>
                <w:szCs w:val="22"/>
              </w:rPr>
            </w:pPr>
            <w:r w:rsidRPr="00DA5869">
              <w:rPr>
                <w:sz w:val="22"/>
                <w:szCs w:val="22"/>
              </w:rPr>
              <w:t>N50 – LT/1/08/1404/020</w:t>
            </w:r>
          </w:p>
          <w:p w:rsidR="009825FE" w:rsidRPr="00DA5869" w:rsidRDefault="009825FE" w:rsidP="00510A05">
            <w:pPr>
              <w:rPr>
                <w:sz w:val="22"/>
                <w:szCs w:val="22"/>
              </w:rPr>
            </w:pPr>
            <w:r w:rsidRPr="00DA5869">
              <w:rPr>
                <w:sz w:val="22"/>
                <w:szCs w:val="22"/>
              </w:rPr>
              <w:t>N98 – LT/1/08/1404/021</w:t>
            </w:r>
          </w:p>
          <w:p w:rsidR="009825FE" w:rsidRPr="00DA5869" w:rsidRDefault="009825FE" w:rsidP="00510A05">
            <w:pPr>
              <w:rPr>
                <w:sz w:val="22"/>
                <w:szCs w:val="22"/>
              </w:rPr>
            </w:pPr>
            <w:r w:rsidRPr="00DA5869">
              <w:rPr>
                <w:sz w:val="22"/>
                <w:szCs w:val="22"/>
              </w:rPr>
              <w:t>N100 – LT/1/08/1404/022</w:t>
            </w:r>
          </w:p>
          <w:p w:rsidR="009825FE" w:rsidRPr="00DA5869" w:rsidRDefault="009825FE" w:rsidP="00510A05">
            <w:pPr>
              <w:rPr>
                <w:sz w:val="22"/>
                <w:szCs w:val="22"/>
              </w:rPr>
            </w:pPr>
            <w:r w:rsidRPr="00DA5869">
              <w:rPr>
                <w:sz w:val="22"/>
                <w:szCs w:val="22"/>
                <w:u w:val="single"/>
              </w:rPr>
              <w:t>Buteliukas</w:t>
            </w:r>
            <w:r w:rsidRPr="00DA5869">
              <w:rPr>
                <w:sz w:val="22"/>
                <w:szCs w:val="22"/>
              </w:rPr>
              <w:t>:</w:t>
            </w:r>
          </w:p>
          <w:p w:rsidR="009825FE" w:rsidRPr="00DA5869" w:rsidRDefault="009825FE" w:rsidP="00510A05">
            <w:pPr>
              <w:rPr>
                <w:sz w:val="22"/>
                <w:szCs w:val="22"/>
              </w:rPr>
            </w:pPr>
            <w:r w:rsidRPr="00DA5869">
              <w:rPr>
                <w:sz w:val="22"/>
                <w:szCs w:val="22"/>
              </w:rPr>
              <w:t>N50 – LT/1/08/1404/023</w:t>
            </w:r>
          </w:p>
          <w:p w:rsidR="009825FE" w:rsidRPr="00DA5869" w:rsidRDefault="009825FE" w:rsidP="00510A05">
            <w:pPr>
              <w:rPr>
                <w:sz w:val="22"/>
                <w:szCs w:val="22"/>
              </w:rPr>
            </w:pPr>
            <w:r w:rsidRPr="00DA5869">
              <w:rPr>
                <w:sz w:val="22"/>
                <w:szCs w:val="22"/>
              </w:rPr>
              <w:t>N100 – LT/1/08/1404/024</w:t>
            </w:r>
          </w:p>
        </w:tc>
      </w:tr>
    </w:tbl>
    <w:p w:rsidR="009825FE" w:rsidRPr="00DA5869" w:rsidRDefault="009825FE" w:rsidP="009825FE">
      <w:pPr>
        <w:spacing w:after="0" w:line="240" w:lineRule="auto"/>
        <w:rPr>
          <w:rFonts w:ascii="Times New Roman" w:eastAsia="Times New Roman" w:hAnsi="Times New Roman" w:cs="Times New Roman"/>
          <w:u w:val="single"/>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249"/>
      <w:bookmarkStart w:id="55" w:name="_Toc129243124"/>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REGISTRAVIMO/PERREGISTRAVIMO DATA</w:t>
      </w:r>
      <w:bookmarkEnd w:id="54"/>
      <w:bookmarkEnd w:id="55"/>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Registravimo data 2008 m gruodžio mėn. 30 d.</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Paskutinio perregistravimo data </w:t>
      </w:r>
      <w:r w:rsidRPr="00DA5869">
        <w:rPr>
          <w:rFonts w:ascii="Times New Roman" w:eastAsia="Calibri" w:hAnsi="Times New Roman" w:cs="Times New Roman"/>
          <w:snapToGrid w:val="0"/>
          <w:lang w:val="lt-LT"/>
        </w:rPr>
        <w:t>2014 m. gruodžio mėn. 23 d.</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250"/>
      <w:bookmarkStart w:id="57" w:name="_Toc129243125"/>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TEKSTO PERŽIŪROS DATA</w:t>
      </w:r>
      <w:bookmarkEnd w:id="56"/>
      <w:bookmarkEnd w:id="57"/>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Calibri" w:hAnsi="Times New Roman" w:cs="Times New Roman"/>
          <w:snapToGrid w:val="0"/>
          <w:lang w:val="lt-LT"/>
        </w:rPr>
      </w:pPr>
      <w:r w:rsidRPr="00DA5869">
        <w:rPr>
          <w:rFonts w:ascii="Times New Roman" w:eastAsia="Calibri" w:hAnsi="Times New Roman" w:cs="Times New Roman"/>
          <w:snapToGrid w:val="0"/>
          <w:lang w:val="lt-LT"/>
        </w:rPr>
        <w:t>2015 m. rugsėjo mėn. 4 d.</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Išsami informacija apie šį vaistinį preparatą pateikiama Valstybinės vaistų kontrolės tarnybos prie Lietuvos Respublikos  sveikatos apsaugos ministerijos tinklalapyje </w:t>
      </w:r>
      <w:hyperlink r:id="rId9" w:history="1">
        <w:r w:rsidRPr="00DA5869">
          <w:rPr>
            <w:rFonts w:ascii="Times New Roman" w:eastAsia="Times New Roman" w:hAnsi="Times New Roman" w:cs="Times New Roman"/>
            <w:bCs/>
            <w:color w:val="0000FF"/>
            <w:u w:val="single"/>
            <w:lang w:val="lt-LT"/>
          </w:rPr>
          <w:t>http://www.</w:t>
        </w:r>
        <w:bookmarkStart w:id="58" w:name="_Hlt98560650"/>
        <w:bookmarkStart w:id="59" w:name="_Hlt98560651"/>
        <w:r w:rsidRPr="00DA5869">
          <w:rPr>
            <w:rFonts w:ascii="Times New Roman" w:eastAsia="Times New Roman" w:hAnsi="Times New Roman" w:cs="Times New Roman"/>
            <w:bCs/>
            <w:color w:val="0000FF"/>
            <w:u w:val="single"/>
            <w:lang w:val="lt-LT"/>
          </w:rPr>
          <w:t>vvkt</w:t>
        </w:r>
        <w:bookmarkEnd w:id="58"/>
        <w:bookmarkEnd w:id="59"/>
        <w:r w:rsidRPr="00DA5869">
          <w:rPr>
            <w:rFonts w:ascii="Times New Roman" w:eastAsia="Times New Roman" w:hAnsi="Times New Roman" w:cs="Times New Roman"/>
            <w:bCs/>
            <w:color w:val="0000FF"/>
            <w:u w:val="single"/>
            <w:lang w:val="lt-LT"/>
          </w:rPr>
          <w:t>.lt</w:t>
        </w:r>
        <w:bookmarkStart w:id="60" w:name="_Hlt98580098"/>
        <w:bookmarkStart w:id="61" w:name="_Hlt98580099"/>
        <w:r w:rsidRPr="00DA5869">
          <w:rPr>
            <w:rFonts w:ascii="Times New Roman" w:eastAsia="Times New Roman" w:hAnsi="Times New Roman" w:cs="Times New Roman"/>
            <w:bCs/>
            <w:color w:val="0000FF"/>
            <w:u w:val="single"/>
            <w:lang w:val="lt-LT"/>
          </w:rPr>
          <w:t>/</w:t>
        </w:r>
        <w:bookmarkEnd w:id="60"/>
        <w:bookmarkEnd w:id="61"/>
      </w:hyperlink>
    </w:p>
    <w:p w:rsidR="009825FE" w:rsidRPr="00DA5869" w:rsidRDefault="009825FE" w:rsidP="009825FE">
      <w:pPr>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jc w:val="center"/>
        <w:rPr>
          <w:rFonts w:ascii="Times New Roman" w:eastAsia="Times New Roman" w:hAnsi="Times New Roman" w:cs="Times New Roman"/>
          <w:b/>
          <w:lang w:val="lt-LT"/>
        </w:rPr>
      </w:pPr>
      <w:bookmarkStart w:id="62" w:name="_Toc129243253"/>
      <w:bookmarkStart w:id="63" w:name="_Toc129243128"/>
      <w:r w:rsidRPr="00DA5869">
        <w:rPr>
          <w:rFonts w:ascii="Times New Roman" w:eastAsia="Times New Roman" w:hAnsi="Times New Roman" w:cs="Times New Roman"/>
          <w:b/>
          <w:lang w:val="lt-LT"/>
        </w:rPr>
        <w:t>II PRIEDAS</w:t>
      </w:r>
      <w:bookmarkEnd w:id="62"/>
      <w:bookmarkEnd w:id="63"/>
    </w:p>
    <w:p w:rsidR="009825FE" w:rsidRPr="00DA5869" w:rsidRDefault="009825FE" w:rsidP="009825FE">
      <w:pPr>
        <w:spacing w:after="0" w:line="240" w:lineRule="auto"/>
        <w:jc w:val="center"/>
        <w:rPr>
          <w:rFonts w:ascii="Times New Roman" w:eastAsia="Times New Roman" w:hAnsi="Times New Roman" w:cs="Times New Roman"/>
          <w:b/>
          <w:lang w:val="lt-LT"/>
        </w:rPr>
      </w:pPr>
    </w:p>
    <w:p w:rsidR="009825FE" w:rsidRPr="00DA5869" w:rsidRDefault="009825FE" w:rsidP="009825FE">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REGISTRACIJOS SĄLYGOS</w:t>
      </w:r>
    </w:p>
    <w:p w:rsidR="009825FE" w:rsidRPr="00DA5869" w:rsidRDefault="009825FE" w:rsidP="009825FE">
      <w:pPr>
        <w:spacing w:after="0" w:line="240" w:lineRule="auto"/>
        <w:rPr>
          <w:rFonts w:ascii="Times New Roman" w:eastAsia="Times New Roman" w:hAnsi="Times New Roman" w:cs="Times New Roman"/>
          <w:b/>
          <w:lang w:val="lt-LT"/>
        </w:rPr>
      </w:pPr>
    </w:p>
    <w:p w:rsidR="009825FE" w:rsidRPr="00DA5869" w:rsidRDefault="009825FE" w:rsidP="009825FE">
      <w:pPr>
        <w:spacing w:after="0" w:line="240" w:lineRule="auto"/>
        <w:ind w:left="1985" w:hanging="567"/>
        <w:rPr>
          <w:rFonts w:ascii="Times New Roman" w:eastAsia="Times New Roman" w:hAnsi="Times New Roman" w:cs="Times New Roman"/>
          <w:b/>
          <w:highlight w:val="yellow"/>
          <w:lang w:val="lt-LT"/>
        </w:rPr>
      </w:pPr>
      <w:r w:rsidRPr="00DA5869">
        <w:rPr>
          <w:rFonts w:ascii="Times New Roman" w:eastAsia="Times New Roman" w:hAnsi="Times New Roman" w:cs="Times New Roman"/>
          <w:b/>
          <w:lang w:val="lt-LT"/>
        </w:rPr>
        <w:t>A.</w:t>
      </w:r>
      <w:r w:rsidRPr="00DA5869">
        <w:rPr>
          <w:rFonts w:ascii="Times New Roman" w:eastAsia="Times New Roman" w:hAnsi="Times New Roman" w:cs="Times New Roman"/>
          <w:b/>
          <w:lang w:val="lt-LT"/>
        </w:rPr>
        <w:tab/>
        <w:t>GAMINTOJAS (-AI), ATSAKINGAS (-I) UŽ SERIJŲ IŠLEIDIMĄ</w:t>
      </w:r>
    </w:p>
    <w:p w:rsidR="009825FE" w:rsidRPr="00DA5869" w:rsidRDefault="009825FE" w:rsidP="009825FE">
      <w:pPr>
        <w:spacing w:after="0" w:line="240" w:lineRule="auto"/>
        <w:ind w:left="2268" w:hanging="567"/>
        <w:rPr>
          <w:rFonts w:ascii="Times New Roman" w:eastAsia="Times New Roman" w:hAnsi="Times New Roman" w:cs="Times New Roman"/>
          <w:b/>
          <w:highlight w:val="yellow"/>
          <w:lang w:val="lt-LT"/>
        </w:rPr>
      </w:pPr>
    </w:p>
    <w:p w:rsidR="009825FE" w:rsidRPr="00DA5869" w:rsidRDefault="009825FE" w:rsidP="009825FE">
      <w:pPr>
        <w:spacing w:after="0" w:line="240" w:lineRule="auto"/>
        <w:ind w:left="1985" w:hanging="567"/>
        <w:rPr>
          <w:rFonts w:ascii="Times New Roman" w:eastAsia="Times New Roman" w:hAnsi="Times New Roman" w:cs="Times New Roman"/>
          <w:b/>
          <w:lang w:val="lt-LT"/>
        </w:rPr>
      </w:pPr>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t>TIEKIMO IR VARTOJIMO SĄLYGOS IR APRIBOJIMAI</w:t>
      </w:r>
    </w:p>
    <w:p w:rsidR="009825FE" w:rsidRPr="00DA5869" w:rsidRDefault="009825FE" w:rsidP="009825FE">
      <w:pPr>
        <w:spacing w:after="0" w:line="240" w:lineRule="auto"/>
        <w:rPr>
          <w:rFonts w:ascii="Times New Roman" w:eastAsia="Times New Roman" w:hAnsi="Times New Roman" w:cs="Times New Roman"/>
          <w:bCs/>
          <w:highlight w:val="yellow"/>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lang w:val="lt-LT"/>
        </w:rPr>
        <w:br w:type="page"/>
      </w:r>
      <w:r w:rsidRPr="00DA5869">
        <w:rPr>
          <w:rFonts w:ascii="Times New Roman" w:eastAsia="Times New Roman" w:hAnsi="Times New Roman" w:cs="Times New Roman"/>
          <w:b/>
          <w:lang w:val="lt-LT"/>
        </w:rPr>
        <w:lastRenderedPageBreak/>
        <w:t>A.</w:t>
      </w:r>
      <w:r w:rsidRPr="00DA5869">
        <w:rPr>
          <w:rFonts w:ascii="Times New Roman" w:eastAsia="Times New Roman" w:hAnsi="Times New Roman" w:cs="Times New Roman"/>
          <w:b/>
          <w:lang w:val="lt-LT"/>
        </w:rPr>
        <w:tab/>
        <w:t>GAMINTOJAS (-AI), ATSAKINGAS (-I) UŽ SERIJŲ IŠLEIDIMĄ</w:t>
      </w:r>
    </w:p>
    <w:p w:rsidR="009825FE" w:rsidRPr="00DA5869" w:rsidRDefault="009825FE" w:rsidP="009825FE">
      <w:pPr>
        <w:spacing w:after="0" w:line="240" w:lineRule="auto"/>
        <w:rPr>
          <w:rFonts w:ascii="Times New Roman" w:eastAsia="Times New Roman" w:hAnsi="Times New Roman" w:cs="Times New Roman"/>
          <w:bCs/>
          <w:u w:val="single"/>
          <w:lang w:val="lt-LT"/>
        </w:rPr>
      </w:pPr>
    </w:p>
    <w:p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Gamintojo (-ų), atsakingo (-ų) už serijų išleidimą, pavadinimas (-ai) ir adresas (-ai)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Balkanpharma – Dupnitsa AD</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3 Samokovsko Shosse Str.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Dupnitsa 2600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highlight w:val="yellow"/>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64" w:name="_Toc129243254"/>
      <w:bookmarkStart w:id="65" w:name="_Toc129243129"/>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r>
      <w:bookmarkStart w:id="66" w:name="_Toc129243255"/>
      <w:bookmarkStart w:id="67" w:name="_Toc129243130"/>
      <w:bookmarkEnd w:id="64"/>
      <w:bookmarkEnd w:id="65"/>
      <w:r w:rsidRPr="00DA5869">
        <w:rPr>
          <w:rFonts w:ascii="Times New Roman" w:eastAsia="Times New Roman" w:hAnsi="Times New Roman" w:cs="Times New Roman"/>
          <w:b/>
          <w:kern w:val="28"/>
          <w:lang w:val="lt-LT"/>
        </w:rPr>
        <w:t xml:space="preserve">TIEKIMO IR VARTOJIMO SĄLYGOS AR APRIBOJIMAI </w:t>
      </w:r>
      <w:bookmarkEnd w:id="66"/>
      <w:bookmarkEnd w:id="67"/>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vaistinis preparatas</w:t>
      </w:r>
    </w:p>
    <w:p w:rsidR="009825FE" w:rsidRPr="00DA5869" w:rsidRDefault="009825FE" w:rsidP="009825FE">
      <w:pPr>
        <w:spacing w:after="0" w:line="240" w:lineRule="auto"/>
        <w:rPr>
          <w:rFonts w:ascii="Times New Roman" w:eastAsia="Times New Roman" w:hAnsi="Times New Roman" w:cs="Times New Roman"/>
          <w:bCs/>
          <w:highlight w:val="yellow"/>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bookmarkStart w:id="68" w:name="_Toc129243259"/>
      <w:bookmarkStart w:id="69" w:name="_Toc129243134"/>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III PRIEDAS</w:t>
      </w:r>
      <w:bookmarkEnd w:id="68"/>
      <w:bookmarkEnd w:id="69"/>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260"/>
      <w:bookmarkStart w:id="71" w:name="_Toc129243135"/>
      <w:r w:rsidRPr="00DA5869">
        <w:rPr>
          <w:rFonts w:ascii="Times New Roman" w:eastAsia="Times New Roman" w:hAnsi="Times New Roman" w:cs="Times New Roman"/>
          <w:b/>
          <w:caps/>
          <w:lang w:val="lt-LT"/>
        </w:rPr>
        <w:t>ŽENKLINIMAS IR PAKUOTĖS LAPELIS</w:t>
      </w:r>
      <w:bookmarkEnd w:id="70"/>
      <w:bookmarkEnd w:id="71"/>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bookmarkStart w:id="72" w:name="_Toc129243261"/>
      <w:bookmarkStart w:id="73" w:name="_Toc129243136"/>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A. ŽENKLINIMAS</w:t>
      </w:r>
      <w:bookmarkEnd w:id="72"/>
      <w:bookmarkEnd w:id="73"/>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IŠORINĖS PAKUOTĖS</w:t>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DĖŽUTĖ, KURIOJE YRA LIZDINĖS PLOKŠTELĖS ARBA BUTELIUKAS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Kiekvienoje kapsulėje yra venlafaksino hidrochlorido, atitinkančio 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Kiekvienoje kapsulėje yra venlafaksino hidrochlorido, atitinkančio 150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Sudėtyje yra sacharozės (cukriniuose branduoliuose), ponso 4R (E124).</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highlight w:val="lightGray"/>
          <w:u w:val="single"/>
          <w:lang w:val="lt-LT"/>
        </w:rPr>
        <w:t>Lizdinės plokštelės: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7 pailginto atpalaidavimo kietosios kapsulės</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10 pailginto atpalaidavimo kietųjų kapsulių</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14 pailginto atpalaidavimo kietųjų kapsulių</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20 pailginto atpalaidavimo kietųjų kapsulių</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28 pailginto atpalaidavimo kietosios kapsulės</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30 pailginto atpalaidavimo kietųjų kapsulių</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50 pailginto atpalaidavimo kietųjų kapsulių</w:t>
      </w:r>
    </w:p>
    <w:p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98 pailginto atpalaidavimo kietosios kapsulės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 pailginto atpalaidavimo kietųjų kapsulių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highlight w:val="lightGray"/>
          <w:u w:val="single"/>
          <w:lang w:val="lt-LT"/>
        </w:rPr>
        <w:t>Buteliukai:</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 pailginto atpalaidavimo kietųjų kapsulių</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lastRenderedPageBreak/>
        <w:t>100 pailginto atpalaidavimo kietųjų kapsulių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Prieš vartojimą perskaitykite pakuotės lapelį.</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Tinka iki: {mm.MMMM}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REGISTRACIJOS PAŽYMĖJIMO NUMERIS (-IAI)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N7 - LT/1/08/1404/025</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N10 - LT/1/08/1404/026</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N14 - LT/1/08/1404/027</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LT/1/08/1404/001</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LT/1/08/1404/002</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LT/1/08/1404/003</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LT/1/08/1404/004</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N98 – LT/1/08/1404/005</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LT/1/08/1404/006</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LT/1/08/1404/007</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LT/1/08/1404/008</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N7 - LT/1/08/1404/028</w:t>
      </w:r>
    </w:p>
    <w:p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N10 - LT/1/08/1404/029</w:t>
      </w:r>
    </w:p>
    <w:p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N14 - LT/1/08/1404/030</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LT/1/08/1404/009</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LT/1/08/1404/010</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LT/1/08/1404/011</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LT/1/08/1404/012</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N98 – LT/1/08/1404/013</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LT/1/08/1404/014</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N7 - LT/1/08/1404/031</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N10 - LT/1/08/1404/032</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N14 - LT/1/08/1404/033</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LT/1/08/1404/017</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LT/1/08/1404/018</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LT/1/08/1404/019</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LT/1/08/1404/020</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N98 – LT/1/08/1404/021</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LT/1/08/1404/022</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LT/1/08/1404/023</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LT/1/08/1404/024</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Serija: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vaistinis preparatas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 xml:space="preserve">Venlafaxine Actavis 37,5 mg </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 xml:space="preserve">Venlafaxine Actavis 75 mg </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 xml:space="preserve">Venlafaxine Actavis 150 mg </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 xml:space="preserve">MINIMALI </w:t>
      </w:r>
      <w:r w:rsidRPr="00DA5869">
        <w:rPr>
          <w:rFonts w:ascii="Times New Roman" w:eastAsia="Times New Roman" w:hAnsi="Times New Roman" w:cs="Times New Roman"/>
          <w:b/>
          <w:caps/>
          <w:lang w:val="lt-LT"/>
        </w:rPr>
        <w:t xml:space="preserve">informacija ant </w:t>
      </w:r>
      <w:r w:rsidRPr="00DA5869">
        <w:rPr>
          <w:rFonts w:ascii="Times New Roman" w:eastAsia="Times New Roman" w:hAnsi="Times New Roman" w:cs="Times New Roman"/>
          <w:b/>
          <w:lang w:val="lt-LT"/>
        </w:rPr>
        <w:t>LIZDINIŲ PLOKŠTELIŲ ARBA DVISLUOKSNIŲ JUOSTELIŲ</w:t>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LIZDINĖ PLOKŠTELĖ</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REGISTRUOTOJO PAVADINIMAS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Actavis </w:t>
      </w:r>
      <w:r w:rsidRPr="00DA5869">
        <w:rPr>
          <w:rFonts w:ascii="Times New Roman" w:eastAsia="Times New Roman" w:hAnsi="Times New Roman" w:cs="Times New Roman"/>
          <w:bCs/>
          <w:highlight w:val="lightGray"/>
          <w:lang w:val="lt-LT"/>
        </w:rPr>
        <w:t>Group PTC ehf logo</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TINKAMUMO LAIKAS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EXP</w:t>
      </w:r>
      <w:r w:rsidRPr="00DA5869">
        <w:rPr>
          <w:rFonts w:ascii="Times New Roman" w:eastAsia="Times New Roman" w:hAnsi="Times New Roman" w:cs="Times New Roman"/>
          <w:bCs/>
          <w:lang w:val="lt-LT"/>
        </w:rPr>
        <w:t xml:space="preserve"> {mm.MMMM}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SERIJOS NUMERIS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Lot</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KITA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VIDINĖS</w:t>
      </w:r>
      <w:r w:rsidRPr="00DA5869">
        <w:rPr>
          <w:rFonts w:ascii="Times New Roman" w:eastAsia="Times New Roman" w:hAnsi="Times New Roman" w:cs="Times New Roman"/>
          <w:b/>
          <w:bCs/>
          <w:lang w:val="lt-LT"/>
        </w:rPr>
        <w:t xml:space="preserve"> </w:t>
      </w:r>
      <w:r w:rsidRPr="00DA5869">
        <w:rPr>
          <w:rFonts w:ascii="Times New Roman" w:eastAsia="Times New Roman" w:hAnsi="Times New Roman" w:cs="Times New Roman"/>
          <w:b/>
          <w:lang w:val="lt-LT"/>
        </w:rPr>
        <w:t>PAKUOTĖS</w:t>
      </w: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BUTELIUKO ETIKETĖ</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Kiekvienoje kapsulėje yra venlafaksino hidrochlorido, atitinkančio 75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Kiekvienoje kapsulėje yra venlafaksino hidrochlorido, atitinkančio 150 mg venlafaksino.</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37,5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Sudėtyje yra sacharozės (cukriniuose branduoliuose), ponso 4R (E124).</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 pailginto atpalaidavimo kietųjų kapsulių</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 pailginto atpalaidavimo kietųjų kapsulių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Tinka iki: {mm.MMMM}</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Reykjavíkurvegi 76-78,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RIEGISTRACIJOS PAŽYMĖJIMO NUMERIS (-IAI)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LT/1/08/1404/007</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LT/1/08/1404/008</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LT/1/08/1404/023</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LT/1/08/1404/024</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Serija: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Receptinis vaistinis preparatas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Venlafaxine Actavis 37,5 mg </w:t>
      </w:r>
    </w:p>
    <w:p w:rsidR="009825FE" w:rsidRPr="00DA5869" w:rsidRDefault="009825FE" w:rsidP="009825FE">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 xml:space="preserve">Venlafaxine Actavis 75 mg </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 xml:space="preserve">Venlafaxine Actavis 150 mg </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4" w:name="_Toc129243262"/>
      <w:bookmarkStart w:id="75" w:name="_Toc129243137"/>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B. PAKUOTĖS LAPELIS</w:t>
      </w:r>
      <w:bookmarkEnd w:id="74"/>
      <w:bookmarkEnd w:id="75"/>
    </w:p>
    <w:p w:rsidR="009825FE" w:rsidRPr="00DA5869" w:rsidRDefault="009825FE" w:rsidP="009825FE">
      <w:pPr>
        <w:jc w:val="center"/>
        <w:rPr>
          <w:rFonts w:ascii="Times New Roman" w:hAnsi="Times New Roman" w:cs="Times New Roman"/>
          <w:b/>
          <w:lang w:val="lt-LT"/>
        </w:rPr>
      </w:pPr>
      <w:r w:rsidRPr="00DA5869">
        <w:rPr>
          <w:rFonts w:ascii="Times New Roman" w:hAnsi="Times New Roman" w:cs="Times New Roman"/>
          <w:lang w:val="lt-LT"/>
        </w:rPr>
        <w:br w:type="page"/>
      </w:r>
      <w:r w:rsidRPr="00DA5869">
        <w:rPr>
          <w:rFonts w:ascii="Times New Roman" w:hAnsi="Times New Roman" w:cs="Times New Roman"/>
          <w:b/>
          <w:lang w:val="lt-LT"/>
        </w:rPr>
        <w:lastRenderedPageBreak/>
        <w:t>Pakuotės lapelis: informacija vartotojui</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37,5 mg pailginto atpalaidavimo kietosios kapsulės</w:t>
      </w:r>
    </w:p>
    <w:p w:rsidR="009825FE" w:rsidRPr="00DA5869" w:rsidRDefault="009825FE" w:rsidP="009825FE">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75 mg pailginto atpalaidavimo kietosios kapsulės</w:t>
      </w:r>
    </w:p>
    <w:p w:rsidR="009825FE" w:rsidRPr="00DA5869" w:rsidRDefault="009825FE" w:rsidP="009825FE">
      <w:pPr>
        <w:spacing w:after="0" w:line="240" w:lineRule="auto"/>
        <w:jc w:val="center"/>
        <w:rPr>
          <w:rFonts w:ascii="Times New Roman" w:eastAsia="Times New Roman" w:hAnsi="Times New Roman" w:cs="Times New Roman"/>
          <w:lang w:val="lt-LT"/>
        </w:rPr>
      </w:pPr>
      <w:r w:rsidRPr="00DA5869">
        <w:rPr>
          <w:rFonts w:ascii="Times New Roman" w:eastAsia="Times New Roman" w:hAnsi="Times New Roman" w:cs="Times New Roman"/>
          <w:b/>
          <w:lang w:val="lt-LT"/>
        </w:rPr>
        <w:t>Venlafaxine Actavis 150 mg pailginto atpalaidavimo kietosios kapsulės</w:t>
      </w:r>
    </w:p>
    <w:p w:rsidR="009825FE" w:rsidRPr="00DA5869" w:rsidRDefault="009825FE" w:rsidP="009825FE">
      <w:pPr>
        <w:spacing w:after="0" w:line="240" w:lineRule="auto"/>
        <w:jc w:val="center"/>
        <w:rPr>
          <w:rFonts w:ascii="Times New Roman" w:eastAsia="Times New Roman" w:hAnsi="Times New Roman" w:cs="Times New Roman"/>
          <w:bCs/>
          <w:lang w:val="lt-LT"/>
        </w:rPr>
      </w:pPr>
    </w:p>
    <w:p w:rsidR="009825FE" w:rsidRPr="00DA5869" w:rsidRDefault="009825FE" w:rsidP="009825FE">
      <w:pPr>
        <w:spacing w:after="0" w:line="240" w:lineRule="auto"/>
        <w:jc w:val="center"/>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Venlafaksinas </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Atidžiai perskaitykite visą šį lapelį, prieš pradėdami vartoti vaistą,</w:t>
      </w:r>
      <w:r w:rsidRPr="00DA5869">
        <w:rPr>
          <w:rFonts w:ascii="Times New Roman" w:eastAsia="Times New Roman" w:hAnsi="Times New Roman" w:cs="Times New Roman"/>
          <w:b/>
          <w:noProof/>
          <w:snapToGrid w:val="0"/>
          <w:lang w:val="lt-LT"/>
        </w:rPr>
        <w:t xml:space="preserve"> nes jame pateikiama Jums svarbi informacija</w:t>
      </w:r>
      <w:r w:rsidRPr="00DA5869">
        <w:rPr>
          <w:rFonts w:ascii="Times New Roman" w:eastAsia="Times New Roman" w:hAnsi="Times New Roman" w:cs="Times New Roman"/>
          <w:b/>
          <w:bCs/>
          <w:lang w:val="lt-LT"/>
        </w:rPr>
        <w:t>.</w:t>
      </w:r>
    </w:p>
    <w:p w:rsidR="009825FE" w:rsidRPr="00DA5869" w:rsidRDefault="009825FE" w:rsidP="009825FE">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Neišmeskite šio lapelio, nes vėl gali prireikti jį perskaityti.</w:t>
      </w:r>
    </w:p>
    <w:p w:rsidR="009825FE" w:rsidRPr="00DA5869" w:rsidRDefault="009825FE" w:rsidP="009825FE">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kiltų daugiau klausimų, kreipkitės į gydytoją arba vaistininką.</w:t>
      </w:r>
    </w:p>
    <w:p w:rsidR="009825FE" w:rsidRPr="00DA5869" w:rsidRDefault="009825FE" w:rsidP="009825FE">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Šis vaistas skirtas tik Jums, todėl kitiems žmonėms jo duoti negalima. Vaistas gali jiems pakenkti (net tiems, kurių ligos požymiai yra tokie patys kaip Jūsų).</w:t>
      </w:r>
    </w:p>
    <w:p w:rsidR="009825FE" w:rsidRPr="00DA5869" w:rsidRDefault="009825FE" w:rsidP="009825FE">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pasireiškė šalutinis poveikis (net jeigu jis šiame lapelyje nenurodytas), kreipkitės į gydytoją arba vaistininką.</w:t>
      </w:r>
      <w:r w:rsidRPr="00DA5869">
        <w:rPr>
          <w:rFonts w:ascii="Times New Roman" w:eastAsia="Times New Roman" w:hAnsi="Times New Roman" w:cs="Times New Roman"/>
          <w:noProof/>
          <w:snapToGrid w:val="0"/>
          <w:lang w:val="lt-LT"/>
        </w:rPr>
        <w:t xml:space="preserve"> Žr. 4 skyrių.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Apie ką rašoma šiame lapelyje?</w:t>
      </w:r>
    </w:p>
    <w:p w:rsidR="009825FE" w:rsidRPr="00DA5869" w:rsidRDefault="009825FE" w:rsidP="009825FE">
      <w:pPr>
        <w:spacing w:after="0" w:line="240" w:lineRule="auto"/>
        <w:rPr>
          <w:rFonts w:ascii="Times New Roman" w:eastAsia="Times New Roman" w:hAnsi="Times New Roman" w:cs="Times New Roman"/>
          <w:b/>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1.</w:t>
      </w:r>
      <w:r w:rsidRPr="00DA5869">
        <w:rPr>
          <w:rFonts w:ascii="Times New Roman" w:eastAsia="Times New Roman" w:hAnsi="Times New Roman" w:cs="Times New Roman"/>
          <w:bCs/>
          <w:lang w:val="lt-LT"/>
        </w:rPr>
        <w:tab/>
        <w:t>Kas yra Venlafaxine Actavis ir kam jis vartojamas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2.</w:t>
      </w:r>
      <w:r w:rsidRPr="00DA5869">
        <w:rPr>
          <w:rFonts w:ascii="Times New Roman" w:eastAsia="Times New Roman" w:hAnsi="Times New Roman" w:cs="Times New Roman"/>
          <w:bCs/>
          <w:lang w:val="lt-LT"/>
        </w:rPr>
        <w:tab/>
        <w:t>Kas žinotina prieš vartojant Venlafaxine Actavis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w:t>
      </w:r>
      <w:r w:rsidRPr="00DA5869">
        <w:rPr>
          <w:rFonts w:ascii="Times New Roman" w:eastAsia="Times New Roman" w:hAnsi="Times New Roman" w:cs="Times New Roman"/>
          <w:bCs/>
          <w:lang w:val="lt-LT"/>
        </w:rPr>
        <w:tab/>
        <w:t>Kaip vartoti Venlafaxine Actavis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4.</w:t>
      </w:r>
      <w:r w:rsidRPr="00DA5869">
        <w:rPr>
          <w:rFonts w:ascii="Times New Roman" w:eastAsia="Times New Roman" w:hAnsi="Times New Roman" w:cs="Times New Roman"/>
          <w:bCs/>
          <w:lang w:val="lt-LT"/>
        </w:rPr>
        <w:tab/>
        <w:t>Galimas šalutinis poveikis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w:t>
      </w:r>
      <w:r w:rsidRPr="00DA5869">
        <w:rPr>
          <w:rFonts w:ascii="Times New Roman" w:eastAsia="Times New Roman" w:hAnsi="Times New Roman" w:cs="Times New Roman"/>
          <w:bCs/>
          <w:lang w:val="lt-LT"/>
        </w:rPr>
        <w:tab/>
        <w:t>Kaip laikyti Venlafaxine Actavis</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6.</w:t>
      </w:r>
      <w:r w:rsidRPr="00DA5869">
        <w:rPr>
          <w:rFonts w:ascii="Times New Roman" w:eastAsia="Times New Roman" w:hAnsi="Times New Roman" w:cs="Times New Roman"/>
          <w:bCs/>
          <w:lang w:val="lt-LT"/>
        </w:rPr>
        <w:tab/>
        <w:t>Pakuotės turinys ir kita informacija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264"/>
      <w:bookmarkStart w:id="77" w:name="_Toc129243139"/>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r>
      <w:bookmarkEnd w:id="76"/>
      <w:bookmarkEnd w:id="77"/>
      <w:r w:rsidRPr="00DA5869">
        <w:rPr>
          <w:rFonts w:ascii="Times New Roman" w:eastAsia="Times New Roman" w:hAnsi="Times New Roman" w:cs="Times New Roman"/>
          <w:b/>
          <w:lang w:val="lt-LT"/>
        </w:rPr>
        <w:t>Kas yra Venlafaxine Actavis ir kam jis vartojamas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yra antidepresantas, priklausantis vaistų, vadinamų serotonino ir norepinefrino reabsorbcijos inhibitoriais (SNRI), grupei. Ši vaistų grupė yra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 </w:t>
      </w:r>
    </w:p>
    <w:p w:rsidR="009825FE" w:rsidRPr="00DA5869" w:rsidRDefault="009825FE" w:rsidP="009825FE">
      <w:pPr>
        <w:spacing w:after="0" w:line="240" w:lineRule="auto"/>
        <w:rPr>
          <w:rFonts w:ascii="Times New Roman" w:eastAsia="Times New Roman" w:hAnsi="Times New Roman" w:cs="Times New Roman"/>
          <w:noProof/>
          <w:lang w:val="lt-LT" w:eastAsia="lt-LT"/>
        </w:rPr>
      </w:pPr>
    </w:p>
    <w:p w:rsidR="009825FE" w:rsidRPr="00DA5869" w:rsidRDefault="009825FE" w:rsidP="009825FE">
      <w:pPr>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Venlafaxine Actavis yra vaistas, skirtas depresija sergantiems suaugusiesiems gydyti. Venlafaxine Actavis taip pat yra skirtas šiems suaugusiųjų nerimo sutrikimams gydyti: generalizuotas nerimo sutrikimas, socialinio nerimo sutrikimas (socialinių situacijų baimė ar jų vengimas) ir panikos sutrikimas (panikos priepuoliai). Kad Jūsų būklė pagerėtų, svarbu tinkamai gydyti depresiją ar nerimo sutrikimus. Jei šie sutrikimai nebus gydomi, liga gali nepraeiti, ji gali pasunkėti ir ją gydyti bus sunkiau.</w:t>
      </w:r>
    </w:p>
    <w:p w:rsidR="009825FE" w:rsidRPr="00DA5869" w:rsidRDefault="009825FE" w:rsidP="009825FE">
      <w:pPr>
        <w:spacing w:after="0" w:line="240" w:lineRule="auto"/>
        <w:rPr>
          <w:rFonts w:ascii="Times New Roman" w:eastAsia="Times New Roman" w:hAnsi="Times New Roman" w:cs="Times New Roman"/>
          <w:noProof/>
          <w:lang w:val="lt-LT" w:eastAsia="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78" w:name="_Toc129243265"/>
      <w:bookmarkStart w:id="79" w:name="_Toc129243140"/>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r>
      <w:bookmarkEnd w:id="78"/>
      <w:bookmarkEnd w:id="79"/>
      <w:r w:rsidRPr="00DA5869">
        <w:rPr>
          <w:rFonts w:ascii="Times New Roman" w:eastAsia="Times New Roman" w:hAnsi="Times New Roman" w:cs="Times New Roman"/>
          <w:b/>
          <w:lang w:val="lt-LT"/>
        </w:rPr>
        <w:t>Kas žinotina prieš vartojant Venlafaxine Actavis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Venlafaxine Actavis vartoti negalima: </w:t>
      </w:r>
    </w:p>
    <w:p w:rsidR="009825FE" w:rsidRPr="00DA5869" w:rsidRDefault="009825FE" w:rsidP="009825FE">
      <w:pPr>
        <w:numPr>
          <w:ilvl w:val="0"/>
          <w:numId w:val="16"/>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jeigu yra alergija venlafaksinui arba bet kuriai pagalbinei šio vaisto medžiagai (jos išvardytos 6 skyriuje); </w:t>
      </w:r>
    </w:p>
    <w:p w:rsidR="009825FE" w:rsidRPr="00DA5869" w:rsidRDefault="009825FE" w:rsidP="009825FE">
      <w:pPr>
        <w:numPr>
          <w:ilvl w:val="0"/>
          <w:numId w:val="16"/>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jeigu taip pat vartojate arba per paskutines 14 dienų vartojote vaistų, kurie yra negrįžtamojo poveikio monoaminooksidazės inhibitoriai (MAOI), vartojami depresijai arba Parkinsono  ligai gydyti. Vartojant negrįžtamojo poveikio MAOI </w:t>
      </w:r>
      <w:r w:rsidRPr="00DA5869">
        <w:rPr>
          <w:rFonts w:ascii="Times New Roman" w:eastAsia="Times New Roman" w:hAnsi="Times New Roman" w:cs="Times New Roman"/>
          <w:color w:val="000000"/>
          <w:lang w:val="lt-LT"/>
        </w:rPr>
        <w:lastRenderedPageBreak/>
        <w:t xml:space="preserve">kartu su kitais vaistais, įskaitant Venlafaxine Actavis, gali pasireikšti sunkus arba gyvybei pavojingas šalutinis poveikis. Taip pat, nustoję vartoti Venlafaxine Actavis, prieš pradėdami vartoti bet kokį negrįžtamojo poveikio MAOI, turite palaukti ne mažiau kaip 7 dienas (žr. skyrius „Serotonino sindromas“ ir „Kitų vaistų vartojimas“).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Įspėjimai ir atsargumo priemonės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Cs/>
          <w:lang w:val="lt-LT"/>
        </w:rPr>
        <w:t>Pasitarkite su gydytoju arba vaistininku, prieš pradėdami vartoti Venlafaxine Actavis</w:t>
      </w:r>
      <w:r w:rsidRPr="00DA5869">
        <w:rPr>
          <w:rFonts w:ascii="Times New Roman" w:eastAsia="Times New Roman" w:hAnsi="Times New Roman" w:cs="Times New Roman"/>
          <w:b/>
          <w:bCs/>
          <w:lang w:val="lt-LT"/>
        </w:rPr>
        <w:t xml:space="preserve">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Jūs vartojate kitų vaistų, kurie vartojant kartu su Venlafaxine Actavis gali padidinti serotonino sindromo riziką (žr. skyrių „Kiti vaistai ir Venlafaxine Actavis “);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yra akių sutrikimų, pvz., tam tikrų rūšių glaukoma (padidėjęs akispūdis);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pakilęs kraujospūdis;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širdies veiklos sutrikimų;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sakyta, kad Jūsų širdies ritmas nenormalus;</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priepuolių (traukulių);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sumažėjusi natrio koncentracija kraujyje (hiponatremija);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greitai atsiranda kraujosruvų (mėlynių) arba greitai pradedate kraujuoti (buvo kraujavimo sutrikimų) arba jeigu vartojate kitus vaistus, kurie gali didinti kraujavimo riziką, pvz., varfarino (kraujo krešumą mažinantis vaistas);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arba Jūsų šeimos nariui buvo pasireiškusi manija arba bipolinis sutrikimas (per didelis susijaudinimas ar euforija); </w:t>
      </w:r>
    </w:p>
    <w:p w:rsidR="009825FE" w:rsidRPr="00DA5869" w:rsidRDefault="009825FE" w:rsidP="009825FE">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pasireiškęs agresyvus elgesys.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pirmosiomis gydymo savaitėmis gali sukelti neramumo pojūtį arba nesugebėjimą ramiai sėdėti arba stovėti. Jei Jums tai pasireiškė, pasakykite gydytojui.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jc w:val="both"/>
        <w:rPr>
          <w:rFonts w:ascii="Times New Roman" w:eastAsia="Times New Roman" w:hAnsi="Times New Roman" w:cs="Times New Roman"/>
          <w:b/>
          <w:lang w:val="lt-LT"/>
        </w:rPr>
      </w:pPr>
      <w:r w:rsidRPr="00DA5869">
        <w:rPr>
          <w:rFonts w:ascii="Times New Roman" w:eastAsia="Times New Roman" w:hAnsi="Times New Roman" w:cs="Times New Roman"/>
          <w:b/>
          <w:lang w:val="lt-LT"/>
        </w:rPr>
        <w:t>Mintys apie savižudybę ir depresijos arba nerimo sutrikimų pasunkėjimas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Tokia minčių tikimybė Jums yra didesnė šiais atvejais:</w:t>
      </w:r>
    </w:p>
    <w:p w:rsidR="009825FE" w:rsidRPr="00DA5869" w:rsidRDefault="009825FE" w:rsidP="009825FE">
      <w:pPr>
        <w:spacing w:after="0" w:line="240" w:lineRule="auto"/>
        <w:ind w:left="540" w:hanging="540"/>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anksčiau mąstėte apie savižudybę arba savęs žalojimą;</w:t>
      </w:r>
    </w:p>
    <w:p w:rsidR="009825FE" w:rsidRPr="00DA5869" w:rsidRDefault="009825FE" w:rsidP="009825FE">
      <w:pPr>
        <w:numPr>
          <w:ilvl w:val="12"/>
          <w:numId w:val="0"/>
        </w:numPr>
        <w:spacing w:after="0" w:line="240" w:lineRule="auto"/>
        <w:ind w:left="562" w:hanging="562"/>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Jums gali būti naudinga pasakyti giminaičiams ar artimiems draugams</w:t>
      </w:r>
      <w:r w:rsidRPr="00DA5869">
        <w:rPr>
          <w:rFonts w:ascii="Times New Roman" w:eastAsia="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Burnos sausumas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Burnos sausumas pasireiškia 10 % venlafaksiną vartojusių pacientų. Tai gali padidinti dantų susirgimų (karieso) riziką, todėl būtina ypatingai rūpintis savo dantų higiena.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Cukrinis diabetas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gali paveikti gliukozės kiekį kraujyje. Gali tekti pakoreguoti Jūsų vaistų nuo cukrinio diabeto dozes.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Vartojimas vaikams ir paaugliams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rizika. Nežiūrint to, gydytojas gali skirti Venlafaxine Actavis jaunesniam kaip 18 metų pacientui, jei ji(s) nusprendžia, kad tai geriausiai atitinka jo(s) interesus. Jeigu gydytojas skyrė Venlafaxine Actavis jaunesniam kaip 18 metų pacientui ir norite tai aptarti, grįžkite pas gydytoją. Jeigu jaunesniam kaip 18 metų pacientui vartojant Venlafaxine Actavis pasireiškė arba pasunkėjo bent vienas iš aukščiau išvardytų simptomų, turite informuoti gydytoją. Taip pat dar nenustatytas ilgalaikis Venlafaxine Actavis vartojimo šiai amžiaus grupei saugumas augimo, brendimo ir pažinimo bei elgesio raidos požiūriu.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Kiti vaistai ir Venlafaxine Actavis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nuspręs, ar galite vartoti Venlafaxine Actavis kartu su kitais vaistais.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Nepradėkite ir nenutraukite jokių vaistų vartojimo, įskaitant įsigytus be recepto, natūralius ir žolinius preparatus, nepasitarę su gydytoju arba vaistininku. </w:t>
      </w:r>
    </w:p>
    <w:p w:rsidR="009825FE" w:rsidRPr="00DA5869" w:rsidRDefault="009825FE" w:rsidP="009825FE">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Negalima vartoti</w:t>
      </w:r>
      <w:r w:rsidRPr="00DA5869">
        <w:rPr>
          <w:rFonts w:ascii="Times New Roman" w:eastAsia="Times New Roman" w:hAnsi="Times New Roman" w:cs="Times New Roman"/>
          <w:lang w:val="lt-LT"/>
        </w:rPr>
        <w:t xml:space="preserve"> monoaminooksidazės inhibitorių (naudojami depresijai ar Parkinsono ligai gydyti) kartu su Venlafaxine Actavis. Jei per paskutiniąsias 14 dienų vartojote šių vaistų, pasakykite gydytojui (MAOI: žr. skyrių „Kas žinotina prieš vartojant Venlafaxine Actavis“). </w:t>
      </w:r>
    </w:p>
    <w:p w:rsidR="009825FE" w:rsidRPr="00DA5869" w:rsidRDefault="009825FE" w:rsidP="009825FE">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Serotonino sindromas. </w:t>
      </w:r>
    </w:p>
    <w:p w:rsidR="009825FE" w:rsidRPr="00DA5869" w:rsidRDefault="009825FE" w:rsidP="009825FE">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Vartojant venlafaksiną, ypač kartu su kitais vaistais, gali pasireikšti potencialiai gyvybei pavojinga būklė - serotonino sindromas (arba į piktybinį neurolepsinį sindromą (PNS) panašios reakcijos) (žr. skyrių „Galimas šalutinis poveikis“). Tai gali būti šie vaistai: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triptanai (vartojami nuo migrenos);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kiti depresijai gydyti skirti vaistai, pvz., SNRI, SSRI, tricikliai vaistai arba vaistai, kurių sudėtyje yra ličio;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antibiotiko linezolido (vartojamo infekcijoms gydyti);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grįžtamojo poveikio MAOI moklobemido (vartojamo depresijai gydyti);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sibutramino (vartojamo svoriui mažinti);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tramadolio, fentanilio, tapentadolo, peptidino ar pentazocino (nuo stipraus skausmo);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metadono (skirtas opioidinių vaistų priklausomybei arba stipriam skausmui gydyti);</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dekstrametorfano (kosuliui gydyti);</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metileno mėlio ( dideliam methemaglobino kiekiui kraujyje gydyti);</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preparatai, kurių sudėtyje yra jonažolių (dar vadinamų </w:t>
      </w:r>
      <w:r w:rsidRPr="00DA5869">
        <w:rPr>
          <w:rFonts w:ascii="Times New Roman" w:eastAsia="Times New Roman" w:hAnsi="Times New Roman" w:cs="Times New Roman"/>
          <w:i/>
          <w:iCs/>
          <w:lang w:val="lt-LT"/>
        </w:rPr>
        <w:t xml:space="preserve">Hypericum perforatum; </w:t>
      </w:r>
      <w:r w:rsidRPr="00DA5869">
        <w:rPr>
          <w:rFonts w:ascii="Times New Roman" w:eastAsia="Times New Roman" w:hAnsi="Times New Roman" w:cs="Times New Roman"/>
          <w:lang w:val="lt-LT"/>
        </w:rPr>
        <w:t xml:space="preserve">natūralus arba žolinis preparatas, vartojamas lengvai depresijai gydyti); </w:t>
      </w:r>
    </w:p>
    <w:p w:rsidR="009825FE" w:rsidRPr="00DA5869" w:rsidRDefault="009825FE" w:rsidP="009825FE">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preparatai, kurių sudėtyje yra triptofano (pvz., vartojami miego sutrikimams ir depresijai gydyti);</w:t>
      </w:r>
    </w:p>
    <w:p w:rsidR="009825FE" w:rsidRPr="00DA5869" w:rsidRDefault="009825FE" w:rsidP="009825FE">
      <w:pPr>
        <w:numPr>
          <w:ilvl w:val="0"/>
          <w:numId w:val="19"/>
        </w:numPr>
        <w:autoSpaceDE w:val="0"/>
        <w:autoSpaceDN w:val="0"/>
        <w:adjustRightInd w:val="0"/>
        <w:spacing w:after="0" w:line="240" w:lineRule="auto"/>
        <w:rPr>
          <w:rFonts w:ascii="Times New Roman" w:hAnsi="Times New Roman" w:cs="Times New Roman"/>
          <w:lang w:val="lt-LT"/>
        </w:rPr>
      </w:pPr>
      <w:r w:rsidRPr="00DA5869">
        <w:rPr>
          <w:rFonts w:ascii="Times New Roman" w:hAnsi="Times New Roman" w:cs="Times New Roman"/>
          <w:lang w:val="lt-LT"/>
        </w:rPr>
        <w:t>vaistai nuo psichozės (jais gydoma liga, kuria sergant pasireiškia šie simptomai: nesamų reiškinių girdėjimas, matymas arba jutimas, klaidingi įsitikinimai, neįprastas įtarumas, neaiškūs samprotavimai ir uždarumas).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Serotonino sindromo požymiai ir simptomai gali apimti kelis iš šių: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neramumas, haliucinacijos, koordinacijos netekimas, greitas širdies plakimas, pakilusi kūno temperatūra, staigūs kraujospūdžio pokyčiai, sustiprėję refleksai, viduriavimas, koma, pykinimas, vėmimas. Jeigu manote, kad jums pasireiškia serotonino sindromas, nedelsdami kreipkitės medicinos pagalbos.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Sunkiausios formos serotonino sindromo simptomai gali būti panašūs į piktybinio neurolepsinio sindromo (PNS) požymius. Gali atsirasti tokių PNS požymių ir simptomų derinys: karščiavimas, dažnas širdies plakimas, prakaitavimas, sunkus raumenų sustingimas, sumišimas, raumenų fermentų kiekio padidėjimas (nustatomas kraujo tyrimais).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bCs/>
          <w:lang w:val="lt-LT"/>
        </w:rPr>
        <w:t>Jeigu manote, kad Jums atsirado serotonino sindromo simptomų, nedelsdami pasakykite gydytojui arba kreipkitės į artimiausią ligoninę.</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Taip pat privalote pasakyti gydytojui apie kitus Jūsų vartojamus vaistus, kurie gali veikti širdies ritmą. Šie vaistai gali būti:</w:t>
      </w:r>
    </w:p>
    <w:p w:rsidR="009825FE" w:rsidRPr="00DA5869" w:rsidRDefault="009825FE" w:rsidP="009825FE">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Antiaritminiai vaistai, tokie kaip chinidinas, amjodaronas, sotalolis ar dofetilidas (naudojami širdies ritmo sutrikimams gydyti)</w:t>
      </w:r>
    </w:p>
    <w:p w:rsidR="009825FE" w:rsidRPr="00DA5869" w:rsidRDefault="009825FE" w:rsidP="009825FE">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Antipsichotiniai vaistai, tokie kaip tioridazinas (žr. aukščiau aprašytą serotonino sindromą)</w:t>
      </w:r>
    </w:p>
    <w:p w:rsidR="009825FE" w:rsidRPr="00DA5869" w:rsidRDefault="009825FE" w:rsidP="009825FE">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Antibiotikai, tokie kaip eritromicinas ar moksifloksacinas ( vartojami bakterinėms infekcijoms gydyti)</w:t>
      </w:r>
    </w:p>
    <w:p w:rsidR="009825FE" w:rsidRPr="00DA5869" w:rsidRDefault="009825FE" w:rsidP="009825FE">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Antihistamininiai vaistai (alergijai gydyti)</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Toliau nurodyti vaistai taip pat gali sąveikauti su Venlafaxine Actavis; juos reikia vartoti atsargiai. Ypač svarbu paminėti gydytojui arba vaistininkui, jeigu vartojate vaistus, kurių sudėtyje yra: </w:t>
      </w:r>
    </w:p>
    <w:p w:rsidR="009825FE" w:rsidRPr="00DA5869" w:rsidRDefault="009825FE" w:rsidP="009825FE">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ketokonazolo (priešgrybelinis vaistas); </w:t>
      </w:r>
    </w:p>
    <w:p w:rsidR="009825FE" w:rsidRPr="00DA5869" w:rsidRDefault="009825FE" w:rsidP="009825FE">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haloperidolio arba risperidono (psichinėms būklėms gydyti); </w:t>
      </w:r>
    </w:p>
    <w:p w:rsidR="009825FE" w:rsidRPr="00DA5869" w:rsidRDefault="009825FE" w:rsidP="009825FE">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metoprololio (beta adrenoblokatoriaus, vartojamo aukštam kraujospūdžiui ir širdies sutrikimams gydyti).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w:t>
      </w:r>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b/>
          <w:lang w:val="lt-LT"/>
        </w:rPr>
        <w:t>vartojimas su maistu, gėrimais ir alkoholiu</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reikia vartoti su maistu (žr. 3 skyrių „Kaip vartoti Venlafaxine Actavis“).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Vartodami Venlafaxine Actavis turite vengti vartoti alkoholinius gėrimus.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Nėštumas ir žindymo laikotarpis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 esate nėščia, žindote kūdikį, manote, kad galbūt esate nėščia ar planuojate pastoti, tai prieš vartodama šį vaistą, pasitarkite su gydytoju arba vaistininku.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akušerė ir (arba) gydytojas turi žinoti, kad vartojate Venlafaxine Actavis. Panašūs vaistai (SSRI), vartojami nėštumo metu, gali didinti sunkaus naujagimio sutrikimo, vadinamo naujagimių persistentine plautine hipertenzija (NPPH), riziką (atsiradus šiam sutrikimui, kūdikis pradeda dažniau kvėpuoti ir pamėlsta). Tokie simptomai paprastai </w:t>
      </w:r>
      <w:r w:rsidRPr="00DA5869">
        <w:rPr>
          <w:rFonts w:ascii="Times New Roman" w:eastAsia="Times New Roman" w:hAnsi="Times New Roman" w:cs="Times New Roman"/>
          <w:lang w:val="lt-LT"/>
        </w:rPr>
        <w:lastRenderedPageBreak/>
        <w:t>prasideda per pirmąsias 24 valandas po vaiko gimimo. Jei toks poveikis pasireiškia Jūsų kūdikiui, privalote nedelsdamas kreiptis į akušerę ir (arba) gydytoją.</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šio vaisto vartojate nėštumo metu, gimusiam naujagimiui gali pasireikšti kitų simptomų: naujagimis negali tinkamai žįsti, kartu sutrinka jo kvėpavimas. Jei Jūsų gimusiam kūdikiui pasireiškia šie simptomai ir Jums neramu dėl to, kreipkitės į gydytoją ir (arba) akušerį, kurie galės Jums patarti.</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patenka į motinos pieną. Yra poveikio kūdikiui rizika. Todėl turite aptarti šį klausimą su gydytoju; gydytojas nuspręs, ar turite nutraukti žindymą, ar gydymą Venlafaxine Actavis.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Vairavimas ir mechanizmų valdymas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Nevairuokite ir nevaldykite jokių prietaisų ar mechanizmų, kol nesužinojote, kaip Venlafaxine Actavis Jus veikia.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w:t>
      </w: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Venlafaxine Actavis sudėtyje yra 4R raudonojo ponso (E124):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raudonasis ponso 4 R (E124) gali sukelti alerginę reakciją.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w:t>
      </w:r>
      <w:r w:rsidRPr="00DA5869">
        <w:rPr>
          <w:rFonts w:ascii="Times New Roman" w:eastAsia="Times New Roman" w:hAnsi="Times New Roman" w:cs="Times New Roman"/>
          <w:lang w:val="lt-LT"/>
        </w:rPr>
        <w:t xml:space="preserve"> </w:t>
      </w: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saulėlydžio geltonojo (E110):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saulėlydžio geltonasis FCF (E110) gali sukelti alerginę reakciją.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w:t>
      </w: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saulėlydžio geltonojo (E110):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saulėlydžio geltonasis FCF (E110) gali sukelti alerginę reakciją.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sacharozės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gydytojas Jums yra sakęs, kad netoleruojate kokių nors angliavandenių, pasitarkite su juo prieš pradėdami vartoti šį vaistą.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80" w:name="_Toc129243266"/>
      <w:bookmarkStart w:id="81" w:name="_Toc129243141"/>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r>
      <w:bookmarkEnd w:id="80"/>
      <w:bookmarkEnd w:id="81"/>
      <w:r w:rsidRPr="00DA5869">
        <w:rPr>
          <w:rFonts w:ascii="Times New Roman" w:eastAsia="Times New Roman" w:hAnsi="Times New Roman" w:cs="Times New Roman"/>
          <w:b/>
          <w:lang w:val="lt-LT"/>
        </w:rPr>
        <w:t>Kaip vartoti Venlafaxine Actavis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Rekomenduojama pradinė dozė, gydant depresiją, generalizuotą nerimo sutrikimą ir socialinį nerimo sutrikimą yra 75 mg per parą. Šią dozę gydytojas gali laipsniškai didinti ir, jei reikia, net iki maksimalios 375 mg paros dozės depresijai gydyti. Jei jūs gydotės nuo panikos sutrikimo, gydytojas pradės gydymą nuo mažesnės dozės (37,5 mg) ir po to dozę laipsniškai didins. Didžiausia paros dozė, gydant generalizuotą nerimo sutrikimą, socialinio nerimo sutrikimą ir panikos sutrikimą, yra 225 mg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Venlafaxine Actavis vartokite kiekvieną dieną maždaug tuo pat metu, ryte arba vakare. Reikia praryti visą kapsulę, užsigeriant skysčiu; jų negalima atidaryti, traiškyti, kramtyti ar tirpinti.</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reikia vartoti su maistu.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 Jūsų kepenų arba inkstų veikla sutrikusi, pasakykite gydytojui, nes galbūt Jums reikės skirti kitą Venlafaxine Actavis dozę.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Nenutraukite Venlafaxine Actavis vartojimo nepasitarę su gydytoju (žr. skyrių „Nustojus vartoti Venlafaxine Actavis“).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Ką daryti pavartojus per didelę Venlafaxine Actavis dozę?</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Pavartoję didesnį Venlafaxine Actavis kiekį nei skyrė gydytojas, nedelsdami kreipkitės į gydytoją arba vaistininką.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Galimo perdozavimo simptomai gali būti šie: greitas širdies plakimas, budrumo būklės pokyčiai (nuo mieguistumo iki komos), miglotas matymas, traukuliai arba priepuoliai ir vėmimas.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Pamiršus pavartoti Venlafaxine Actavis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Pamiršę pavartoti dozę, vartokite ją iš karto, kai prisiminsite. Tačiau jeigu netrukus reikės vartoti kitą dozę, praleistos dozės nevartokite ir vartokite tik vieną dozę, kaip įprasta. Per parą nesuvartokite didesnio Venlafaxine Actavis kiekio už Jums skirtą paros kiekį.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Nustojus vartoti Venlafaxine Actavis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Nenustokite vartoti vaisto ir nemažinkite dozės, nepasitarę su gydytoju, net jeigu jaučiatės geriau. Jeigu Jūsų gydytojas mano, kad Jums nebereikia vartoti Venlafaxine Actavis, ji(s) gali paprašyti Jūsų prieš visiškai nutraukiant gydymą pamažu mažinti dozę. Nustatyta, kad nustojus vartoti Venlafaxine Actavis pasireiškia šalutinis poveikis, ypač kai vartojimas nutraukiamas staiga arba dozė sumažinama per greitai. Kai kuriems pacientams gali pasireikšti tokie simptomai: nuovargis, svaigulys, apsvaigimas, sukimosi pojūtis, galvos skausmas, nemiga, košmarai, burnos sausumas, apetito netekimas, pykinimas, viduriavimas, nervingumas, susijaudinimas, minčių susipainiojimas, spengesys ausyse, dilgsėjimo ar (retai) elektros šoko pojūčiai, silpnumas, prakaitavimas, traukuliai arba į gripą panašūs simptomai.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patars Jums, kaip reikia laipsniškai nutraukti Venlafaxine Actavis vartojimą. Jeigu Jums pasireiškia bet kuris iš šių arba kiti varginantys simptomai, kreipkitės į gydytoją.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kiltų daugiau klausimų dėl šio vaisto vartojimo, kreipkitės į gydytoją arba vaistininką.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82" w:name="_Toc129243267"/>
      <w:bookmarkStart w:id="83" w:name="_Toc129243142"/>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r>
      <w:bookmarkEnd w:id="82"/>
      <w:bookmarkEnd w:id="83"/>
      <w:r w:rsidRPr="00DA5869">
        <w:rPr>
          <w:rFonts w:ascii="Times New Roman" w:eastAsia="Times New Roman" w:hAnsi="Times New Roman" w:cs="Times New Roman"/>
          <w:b/>
          <w:lang w:val="lt-LT"/>
        </w:rPr>
        <w:t>Galimas šalutinis poveikis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Šis vaistas, kaip ir visi kiti, gali sukelti šalutinį poveikį, nors jis pasireiškia ne visiems žmonėms.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Alerginės reakcijos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color w:val="000000"/>
          <w:lang w:val="lt-LT"/>
        </w:rPr>
        <w:t xml:space="preserve">Jeigu pasireiškia bent viena iš toliau nurodytų reakcijų, Venlafaxine Actavis nebevartokite. </w:t>
      </w:r>
      <w:r w:rsidRPr="00DA5869">
        <w:rPr>
          <w:rFonts w:ascii="Times New Roman" w:eastAsia="Times New Roman" w:hAnsi="Times New Roman" w:cs="Times New Roman"/>
          <w:b/>
          <w:color w:val="000000"/>
          <w:lang w:val="lt-LT"/>
        </w:rPr>
        <w:t xml:space="preserve">Nedelsdamas pasakykite gydytojui arba vykite į artimiausios ligoninės pirmosios pagalbos skyrių, jei atsiranda: </w:t>
      </w:r>
    </w:p>
    <w:p w:rsidR="009825FE" w:rsidRPr="00DA5869" w:rsidRDefault="009825FE" w:rsidP="009825FE">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krūtinės spaudimas, švokštimas, rijimo arba kvėpavimo sutrikimas; </w:t>
      </w:r>
    </w:p>
    <w:p w:rsidR="009825FE" w:rsidRPr="00DA5869" w:rsidRDefault="009825FE" w:rsidP="009825FE">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veido, gerklės, plaštakų arba pėdų patinimas; </w:t>
      </w:r>
    </w:p>
    <w:p w:rsidR="009825FE" w:rsidRPr="00DA5869" w:rsidRDefault="009825FE" w:rsidP="009825FE">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lastRenderedPageBreak/>
        <w:t xml:space="preserve">nervingumas arba nerimas, svaigulys, tvinkčiojimo pojūčiai, staigus odos paraudimas ir (arba) šilumos pojūtis; </w:t>
      </w:r>
    </w:p>
    <w:p w:rsidR="009825FE" w:rsidRPr="00DA5869" w:rsidRDefault="009825FE" w:rsidP="009825FE">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sunkus bėrimas, niežulys arba dilgėlinė (paraudusios ar išbalusios odos bėrimas ruplėmis, kurios dažnai niežti).;</w:t>
      </w:r>
    </w:p>
    <w:p w:rsidR="009825FE" w:rsidRPr="00DA5869" w:rsidRDefault="009825FE" w:rsidP="009825FE">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serotonino sindromo požymiai ir simptomai, įskaitant nenustygstamumą, haliucinacijas, koordinacijos sutrikimą, dažną širdies plakimą, kūno temperatūros padidėjimą, staigius kraujospūdžio pokyčius, refleksų sustiprėjimą, viduriavimą, komą, pykinimą, vėmimą;</w:t>
      </w:r>
    </w:p>
    <w:p w:rsidR="009825FE" w:rsidRPr="00DA5869" w:rsidRDefault="009825FE" w:rsidP="009825FE">
      <w:pPr>
        <w:autoSpaceDE w:val="0"/>
        <w:autoSpaceDN w:val="0"/>
        <w:adjustRightInd w:val="0"/>
        <w:spacing w:after="0" w:line="240" w:lineRule="auto"/>
        <w:ind w:left="567"/>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Sunkiausios formos serotonino sindromas gali būti panašus į piktybinį neurolepsinį sindromą (PNS). Gali pasireikšti tokių PNS požymių ir simptomų derinys: karščiavimas, dažnas širdies plakimas, prakaitavimas, sunkus raumenų sustingimas, sumišimas, raumenų fermentų kiekio padidėjimas (nustatomas kraujo tyrimais).</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Sunkus šalutinis poveikis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Kitoks šalutinis poveikis, apie kurį </w:t>
      </w:r>
      <w:r w:rsidRPr="00DA5869">
        <w:rPr>
          <w:rFonts w:ascii="Times New Roman" w:eastAsia="Times New Roman" w:hAnsi="Times New Roman" w:cs="Times New Roman"/>
          <w:b/>
          <w:color w:val="000000"/>
          <w:lang w:val="lt-LT"/>
        </w:rPr>
        <w:t>reikia pasakyti gydytojui</w:t>
      </w:r>
      <w:r w:rsidRPr="00DA5869">
        <w:rPr>
          <w:rFonts w:ascii="Times New Roman" w:eastAsia="Times New Roman" w:hAnsi="Times New Roman" w:cs="Times New Roman"/>
          <w:color w:val="000000"/>
          <w:lang w:val="lt-LT"/>
        </w:rPr>
        <w:t>, yra:</w:t>
      </w:r>
    </w:p>
    <w:p w:rsidR="009825FE" w:rsidRPr="00DA5869" w:rsidRDefault="009825FE" w:rsidP="009825FE">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kosulys, švokštimas, dusulys ir kūno temperatūros padidėjimas;</w:t>
      </w:r>
    </w:p>
    <w:p w:rsidR="009825FE" w:rsidRPr="00DA5869" w:rsidRDefault="009825FE" w:rsidP="009825FE">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juodos (deguto spalvos) išmatos arba kraujas išmatose;</w:t>
      </w:r>
    </w:p>
    <w:p w:rsidR="009825FE" w:rsidRPr="00DA5869" w:rsidRDefault="009825FE" w:rsidP="009825FE">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odos ar akių pageltimas, niežulys ir šlapimo patamsėjimas. Tai gali būti kepenų uždegimo simptomai (hepatitas); </w:t>
      </w:r>
    </w:p>
    <w:p w:rsidR="009825FE" w:rsidRPr="00DA5869" w:rsidRDefault="009825FE" w:rsidP="009825FE">
      <w:pPr>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ab/>
        <w:t xml:space="preserve">širdies sutrikimai, pvz., greitas ar nereguliarus širdies plakimas, pakilęs kraujospūdis; </w:t>
      </w:r>
    </w:p>
    <w:p w:rsidR="009825FE" w:rsidRPr="00DA5869" w:rsidRDefault="009825FE" w:rsidP="009825FE">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akių sutrikimai, pvz., miglotas matymas, išsiplėtę vyzdžiai;  </w:t>
      </w:r>
    </w:p>
    <w:p w:rsidR="009825FE" w:rsidRPr="00DA5869" w:rsidRDefault="009825FE" w:rsidP="009825FE">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nervų sutrikimai: svaigulys, dilgsėjimas, judėjimo sutrikimas, traukuliai ar priepuoliai; </w:t>
      </w:r>
    </w:p>
    <w:p w:rsidR="009825FE" w:rsidRPr="00DA5869" w:rsidRDefault="009825FE" w:rsidP="009825FE">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psichikos sutrikimai, pvz., padidėjęs aktyvumas ir euforija; </w:t>
      </w:r>
    </w:p>
    <w:p w:rsidR="009825FE" w:rsidRPr="00DA5869" w:rsidRDefault="009825FE" w:rsidP="009825FE">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gydymo nutraukimo simptomai (žr. skyrių „Kaip vartoti Venlafaxine Actavis“, „Nustojus vartoti Venlafaxine Actavis“). </w:t>
      </w: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Nesijaudinkite, jei, pavartoję Venlafaxine Actavis,  pastebėsite mažas baltas granules ar rutuliukus išmatose. Venlafaxine Actavis kapsulių viduje yra granulių arba mažų baltų rutuliukų, turinčių veikliosios medžiagos venlafaksino. Šios granulės iš kapsulės patenka į virškinamąjį traktą. Kol jos slenka virškinamuoju traktu, venlafaksinas iš lėto atpalaiduojamas. Granulių „apvalkalėlis“ lieka neištirpęs ir pašalinamas su išmatomis. Todėl, net jei išmatose yra granulių, venlafaksino dozė būna absorbuota.   </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Viso šalutinio poveikio sąrašas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Labai dažni (gali pasireikšti daugiau nei 1 žmogui iš 10)</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Svaigulys, galvos skausmas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Pykinimas, burnos džiūvimas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Prakaitavimas (įskaitant naktinį)</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 (gali pasireikšti mažiau nei 1 žmogui iš 10)</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apetitas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Atsiskyrimo nuo savęs ar realybės pojūtis, orgazmo nebuvimas, sumažėjęs lytinis potraukis, nervingumas, nemiga, nenormalūs sapnai</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Mieguistumas, drebulys, dilgčiojimas, ir badymas, padidėjęs raumenų tonusas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Regėjimo sutrikimai, tame tarpe išsiliejęs vaizdas; išsiplėtę vyzdžiai, nesugebėjimas automatiškai susifokusuoti nuo tolimų į artimus objektus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Skambėjimas ausyse (tinitas)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Palpitacijos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Padidėjęs kraujospūdis; veido ir kaklo paraudimas </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Žiovulys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Vėmimas; vidurių užkietėjimas; viduriavimas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Šlapinimosi padažnėjimas, šlapinimosi pasunkėjimas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Mėnesinių ciklo sutrikimai, pavyzdžiui, gausesnis kraujavimas arba nereguliaraus kraujavimo pagausėjimas, nenormali ejakuliacija/ orgazmas (vyrams), erekcijos sutrikimai (impotencija)</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Silpnumas (astenija), nuovargis, šaltkrėtis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Padidėjęs cholesterolis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Nedažnas (gali pasireikšti mažiau nei 1 iš 100 žmonių)</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Haliucinacijos, atsiskyrimo (ar atsitraukimo) nuo realybės pojūtis, sudirgimas, nenormalus orgazmas (moterims); jausmų ar emocijų stoka; perdėtas džiaugsmingumas, griežimas dantimis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Nenustygimas ar nesugebėjimas ramiai sėdėti ar stovėti, alpulys, nevalingi raumenų judesiai, sutrikusi koordinacija ir pusiausvyra, pakitęs skonio pojūtis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Greitas širdies ritmas, galvos svaigimas (ypač per staigiai atsistojus)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Apsunkintas kvėpavimas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Vėmimas krauju, juodos, deguto spalvos išmatos (fekalijos) arba kraujas išmatose, kurie gali rodyti vidinį kraujavimą</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Išplitęs odos (ypač veido, burnos, liežuvio, gerklės arba rankų ir kojų) išbėrimas ir (arba) išbėrimas su patinimu ir niežuliu (dilgėlinė), jautrumas šviesai, bėrimas, nenormalus plaukų slinkimas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Negalėjimas pasišlapinti</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Kūno svorio didėjimas; kūno svorio kritimas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Retas (gali pasireikšti mažiau nei 1 žmogui iš 1000)</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Nekontroliuojamas šlapinimasis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Perdėtas aktyvumas, šokinėjančios mintys ir sumažėjęs miego poreikis (manija)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Dažnis nežinomas (negali būti nustatytas pagal turimus duomenis)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Sumažėjęs trombocitų kiekis kraujyje, padidinantis kraujosruvų atsiradimo arba kraujavimo riziką; kraujo sutrikimai, kurie gali padidinti infekcijos riziką</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Veido ar liežuvio patinimas, dusulys ar pasunkėjęs kvėpavimas, dažnai su odos bėrimu (tai gali būti sunki alerginė reakcija)</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Per didelis skysčių pasisavinimas (vadinamas SIADH)</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Natrio kiekio sumažėjimas kraujyje</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Savižudiškos mintys ar elgesys; buvo pranešta apie savižudiškas mintis ar elgesį gydymo venlafaksinu metu ar iš karto po gydymo nutraukimo (žr. 2 skyrių „Kas žinotina prieš vartojant Venlafaxine Actavis“)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Orientacijos sutrikimas ir sumišimas, dažnai susiję su haliucinacijomis (kliedesiais)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Aukšta temperatūra su raumenų sustingimu, minčių susipainiojimas arba susijaudinimas ir prakaitavimas arba, jeigu pasireiškia nekontroliuojami mėšlungiški judesiai, tai gali būti sunkių būklių, vadinamų piktybiniu neurolepsiniu sindromu, simptomai; euforiniai jausmai, mieguistumas, nepertraukiamas greitas akių judėjimas, nerangumas, neramumas, girtumo jausmas, prakaitavimas arba raumenų sustingimas, t. y., serotenerginio sindromo simptomai; sustingimas, spazmai ir nevalingi raumenų judesiai</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Aštrus akių skausmas ir suprastėjęs ar miglotas matymas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Galvos svaigimas (</w:t>
      </w:r>
      <w:r w:rsidRPr="00DA5869">
        <w:rPr>
          <w:rFonts w:ascii="Times New Roman" w:eastAsia="Times New Roman" w:hAnsi="Times New Roman" w:cs="Times New Roman"/>
          <w:i/>
          <w:lang w:val="lt-LT"/>
        </w:rPr>
        <w:t>vertigo</w:t>
      </w:r>
      <w:r w:rsidRPr="00DA5869">
        <w:rPr>
          <w:rFonts w:ascii="Times New Roman" w:eastAsia="Times New Roman" w:hAnsi="Times New Roman" w:cs="Times New Roman"/>
          <w:lang w:val="lt-LT"/>
        </w:rPr>
        <w:t>)</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Kraujospūdžio sumažėjimas, nenormalus, dažnas ar nereguliarus širdies plakimas. Tai gali pasireikšti apalpimu; netikėtas kraujavimas, pvz., kraujavimas iš dantenų, kraujas šlapime ar vėmimas krauju, be priežasties atsiradusios mėlynės ar pažeistos kraujagyslės (venos)</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kosulys, švokštimas, dusulys ir aukšta temperatūra, t. y., su baltųjų kraujo kūnelių skaičiaus padidėjimu (plaučių eozinofilija) susijusio plaučių uždegimo simptomai (plautinė eozinofilija)</w:t>
      </w:r>
    </w:p>
    <w:p w:rsidR="009825FE" w:rsidRPr="00DA5869" w:rsidRDefault="009825FE" w:rsidP="009825FE">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Stiprūs pilvo ir nugaros skausmai (gali būti rimtų žarnų, kepenų kasos sutrikimų požymis)</w:t>
      </w:r>
    </w:p>
    <w:p w:rsidR="009825FE" w:rsidRPr="00DA5869" w:rsidRDefault="009825FE" w:rsidP="009825FE">
      <w:pPr>
        <w:numPr>
          <w:ilvl w:val="0"/>
          <w:numId w:val="25"/>
        </w:numPr>
        <w:contextualSpacing/>
        <w:rPr>
          <w:rFonts w:ascii="Times New Roman" w:eastAsia="Times New Roman" w:hAnsi="Times New Roman" w:cs="Times New Roman"/>
          <w:u w:val="single"/>
          <w:lang w:val="lt-LT"/>
        </w:rPr>
      </w:pPr>
      <w:r w:rsidRPr="00DA5869">
        <w:rPr>
          <w:rFonts w:ascii="Times New Roman" w:eastAsia="Times New Roman" w:hAnsi="Times New Roman" w:cs="Times New Roman"/>
          <w:lang w:val="lt-LT"/>
        </w:rPr>
        <w:t>Niežulys, pageltusi oda ar akys, tamsus šlapimas arba į gripą panašūs simptomai, kurie yra kepenų uždegimo (hepatito) simptomai,</w:t>
      </w:r>
      <w:r w:rsidRPr="00DA5869">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lang w:val="lt-LT"/>
        </w:rPr>
        <w:t>nežymūs kepenų fermentų kiekio kraujyje pokyčiai</w:t>
      </w:r>
    </w:p>
    <w:p w:rsidR="009825FE" w:rsidRPr="00DA5869" w:rsidRDefault="009825FE" w:rsidP="009825FE">
      <w:pPr>
        <w:numPr>
          <w:ilvl w:val="0"/>
          <w:numId w:val="25"/>
        </w:numPr>
        <w:contextualSpacing/>
        <w:rPr>
          <w:rFonts w:ascii="Times New Roman" w:eastAsia="Times New Roman" w:hAnsi="Times New Roman" w:cs="Times New Roman"/>
          <w:u w:val="single"/>
          <w:lang w:val="lt-LT"/>
        </w:rPr>
      </w:pPr>
      <w:r w:rsidRPr="00DA5869">
        <w:rPr>
          <w:rFonts w:ascii="Times New Roman" w:eastAsia="Times New Roman" w:hAnsi="Times New Roman" w:cs="Times New Roman"/>
          <w:lang w:val="lt-LT"/>
        </w:rPr>
        <w:t>Odos bėrimas, galintis pereiti į sunkų odos pūslėjimąsi ir atsisluoksniavimą; niežėjimas; nestiprus bėrimas</w:t>
      </w:r>
    </w:p>
    <w:p w:rsidR="009825FE" w:rsidRPr="00DA5869" w:rsidRDefault="009825FE" w:rsidP="009825FE">
      <w:pPr>
        <w:numPr>
          <w:ilvl w:val="0"/>
          <w:numId w:val="25"/>
        </w:numPr>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Nežinomos priežasties sukeltas raumenų skausmas, skausmingumas ar silpnumas (rabdomiolizė).</w:t>
      </w:r>
    </w:p>
    <w:p w:rsidR="009825FE" w:rsidRPr="00DA5869" w:rsidRDefault="009825FE" w:rsidP="009825FE">
      <w:pPr>
        <w:numPr>
          <w:ilvl w:val="0"/>
          <w:numId w:val="25"/>
        </w:numPr>
        <w:contextualSpacing/>
        <w:rPr>
          <w:rFonts w:ascii="Times New Roman" w:hAnsi="Times New Roman" w:cs="Times New Roman"/>
          <w:b/>
          <w:bCs/>
          <w:color w:val="000000"/>
          <w:lang w:val="lt-LT"/>
        </w:rPr>
      </w:pPr>
      <w:r w:rsidRPr="00DA5869">
        <w:rPr>
          <w:rFonts w:ascii="Times New Roman" w:eastAsia="Times New Roman" w:hAnsi="Times New Roman" w:cs="Times New Roman"/>
          <w:u w:val="single"/>
          <w:lang w:val="lt-LT"/>
        </w:rPr>
        <w:t>Nenormali pieno sekrecija</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kartais sukelia nepageidaujamą poveikį, apie kurį galite nežinoti, pvz., kraujospūdžio padidėjimą arba nenormalų širdies plakimą; nežymius kepenų fermentų, natrio ar cholesterolio kiekio pokyčius kraujyje. Rečiau Venlafaxine Actavis gali sumažinti trombocitų aktyvumą kraujyje, dėl to gali padidėti kraujosruvų atsiradimo ar kraujavimo rizika. Todėl gydytojas gali norėti retkarčiais atlikti kraujo tyrimus, ypač jeigu vartojate Venlafaxine Actavis ilgą laiką.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Pranešimas apie šalutinį poveikį</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A5869">
          <w:rPr>
            <w:rStyle w:val="Hipersaitas"/>
            <w:rFonts w:ascii="Times New Roman" w:eastAsia="Times New Roman" w:hAnsi="Times New Roman"/>
            <w:lang w:val="lt-LT"/>
          </w:rPr>
          <w:t>www.vvkt.lt</w:t>
        </w:r>
      </w:hyperlink>
      <w:r w:rsidRPr="00DA586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DA5869">
          <w:rPr>
            <w:rStyle w:val="Hipersaitas"/>
            <w:rFonts w:ascii="Times New Roman" w:eastAsia="Times New Roman" w:hAnsi="Times New Roman"/>
            <w:lang w:val="lt-LT"/>
          </w:rPr>
          <w:t>NepageidaujamaR@vvkt.lt</w:t>
        </w:r>
      </w:hyperlink>
      <w:r w:rsidRPr="00DA586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2" w:history="1">
        <w:r w:rsidRPr="00DA5869">
          <w:rPr>
            <w:rStyle w:val="Hipersaitas"/>
            <w:rFonts w:ascii="Times New Roman" w:eastAsia="Times New Roman" w:hAnsi="Times New Roman"/>
            <w:lang w:val="lt-LT"/>
          </w:rPr>
          <w:t>http://www.vvkt.lt</w:t>
        </w:r>
      </w:hyperlink>
      <w:r w:rsidRPr="00DA5869">
        <w:rPr>
          <w:rFonts w:ascii="Times New Roman" w:eastAsia="Times New Roman" w:hAnsi="Times New Roman" w:cs="Times New Roman"/>
          <w:lang w:val="lt-LT"/>
        </w:rPr>
        <w:t>). Pranešdami apie šalutinį poveikį galite mums padėti gauti daugiau informacijos apie šio vaisto saugumą.</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84" w:name="_Toc129243268"/>
      <w:bookmarkStart w:id="85" w:name="_Toc129243143"/>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r>
      <w:bookmarkEnd w:id="84"/>
      <w:bookmarkEnd w:id="85"/>
      <w:r w:rsidRPr="00DA5869">
        <w:rPr>
          <w:rFonts w:ascii="Times New Roman" w:eastAsia="Times New Roman" w:hAnsi="Times New Roman" w:cs="Times New Roman"/>
          <w:b/>
          <w:lang w:val="lt-LT"/>
        </w:rPr>
        <w:t>Kaip laikyti Venlafaxine Actavis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Šį vaistą laikykite vaikams nepastebimoje ir nepasiekiamoje vietoje.</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Ant dėžutės, lizdinės plokštelės, buteliuko po ,,Tinka iki/</w:t>
      </w:r>
      <w:r w:rsidRPr="00DA5869">
        <w:rPr>
          <w:rFonts w:ascii="Times New Roman" w:eastAsia="Times New Roman" w:hAnsi="Times New Roman" w:cs="Times New Roman"/>
          <w:highlight w:val="lightGray"/>
          <w:lang w:val="lt-LT"/>
        </w:rPr>
        <w:t>EXP</w:t>
      </w:r>
      <w:r w:rsidRPr="00DA5869">
        <w:rPr>
          <w:rFonts w:ascii="Times New Roman" w:eastAsia="Times New Roman" w:hAnsi="Times New Roman" w:cs="Times New Roman"/>
          <w:lang w:val="lt-LT"/>
        </w:rPr>
        <w:t>“ nurodytam tinkamumo laikui pasibaigus, šio vaisto vartoti negalima. Vaistas tinkamas vartoti iki paskutinės nurodyto mėnesio dienos.</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Šiam vaistui specialių laikymo sąlygų nereikia.</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Vaistų negalima išmesti į kanalizaciją arba išmesti su buitinėmis atliekomis. Kaip išmesti nereikalingus vaistus, klauskite vaistininko. Šios priemonės padės apsaugoti aplinką.</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6" w:name="_Toc129243269"/>
      <w:bookmarkStart w:id="87" w:name="_Toc129243144"/>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r>
      <w:bookmarkEnd w:id="86"/>
      <w:bookmarkEnd w:id="87"/>
      <w:r w:rsidRPr="00DA5869">
        <w:rPr>
          <w:rFonts w:ascii="Times New Roman" w:eastAsia="Times New Roman" w:hAnsi="Times New Roman" w:cs="Times New Roman"/>
          <w:b/>
          <w:lang w:val="lt-LT"/>
        </w:rPr>
        <w:t>Pakuotės turinys ir kita informacija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sudėtis</w:t>
      </w:r>
    </w:p>
    <w:p w:rsidR="009825FE" w:rsidRPr="00DA5869" w:rsidRDefault="009825FE" w:rsidP="009825FE">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Veiklioji medžiaga yra venlafaksinas. </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37,5 mg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9825FE" w:rsidRPr="00DA5869" w:rsidRDefault="009825FE" w:rsidP="009825FE">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ponso 4R (E124), chinolino geltonasis (E104), titano dioksidas (E171).</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75 mg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75 mg venlafaksino.</w:t>
      </w:r>
    </w:p>
    <w:p w:rsidR="009825FE" w:rsidRPr="00DA5869" w:rsidRDefault="009825FE" w:rsidP="009825FE">
      <w:pPr>
        <w:numPr>
          <w:ilvl w:val="0"/>
          <w:numId w:val="10"/>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saulėlydžio geltonasis FCF (E110), chinolino geltonasis (E104), titano dioksidas (E171).</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150 mg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150 mg venlafaksino.</w:t>
      </w:r>
    </w:p>
    <w:p w:rsidR="009825FE" w:rsidRPr="00DA5869" w:rsidRDefault="009825FE" w:rsidP="009825FE">
      <w:pPr>
        <w:numPr>
          <w:ilvl w:val="0"/>
          <w:numId w:val="10"/>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saulėlydžio geltonasis FCF (E110), chinolino geltonasis (E104), </w:t>
      </w:r>
      <w:r w:rsidRPr="00DA5869">
        <w:rPr>
          <w:rFonts w:ascii="Times New Roman" w:eastAsia="Times New Roman" w:hAnsi="Times New Roman" w:cs="Times New Roman"/>
          <w:i/>
          <w:lang w:val="lt-LT"/>
        </w:rPr>
        <w:t xml:space="preserve">patent </w:t>
      </w:r>
      <w:r w:rsidRPr="00DA5869">
        <w:rPr>
          <w:rFonts w:ascii="Times New Roman" w:eastAsia="Times New Roman" w:hAnsi="Times New Roman" w:cs="Times New Roman"/>
          <w:lang w:val="lt-LT"/>
        </w:rPr>
        <w:t>mėlynasis (E131), titano dioksidas (E171).</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išvaizda ir kiekis pakuotėje</w:t>
      </w: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Venlafaxine Actavis 37,5 mg pailginto atpalaidavimo kietosios kapsulės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Kapsulės yra „3“ dydžio, jų korpusas skaidrus su oranžiniu dangteliu. Viduje yra baltų arba beveik baltų granulių.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Venlafaxine Actavis 75 mg pailginto atpalaidavimo kietosios kapsulės </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„1“ dydžio, jų korpusas skaidrus su geltonu dangteliu. Viduje yra baltų arba beveik baltų granulių.</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 pailginto atpalaidavimo kietosios kapsulės</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„0“ dydžio, jų korpusas skaidrus su tamsiai geltonu dangteliu. Viduje yra baltų arba beveik baltų granulių.</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Dėžutė, kurioje yra 7, 10, 14, 20, 28, 30, 50, 98 arba 100</w:t>
      </w:r>
      <w:r w:rsidRPr="00DA5869">
        <w:rPr>
          <w:rFonts w:ascii="Times New Roman" w:eastAsia="Times New Roman" w:hAnsi="Times New Roman" w:cs="Times New Roman"/>
          <w:lang w:val="lt-LT"/>
        </w:rPr>
        <w:t xml:space="preserve"> pailginto atpalaidavimo kietųjų kapsulių, supakuotų į lizdines plokšteles (PVC/aliuminio). Kapsulės taip pat tiekiamos DTPE buteliuke su DTPE užsukamuoju dangteliu ir silikagelio paketėliu (sausikliu) ar </w:t>
      </w:r>
      <w:r w:rsidRPr="00DA5869">
        <w:rPr>
          <w:rFonts w:ascii="Times New Roman" w:eastAsia="Times New Roman" w:hAnsi="Times New Roman" w:cs="Times New Roman"/>
          <w:bCs/>
          <w:lang w:val="lt-LT"/>
        </w:rPr>
        <w:t xml:space="preserve">DTPE buteliuke su PP atsukamu dangteliu su integruotu desikantu (silicio geliu). Abiejų tipų buteliukuose </w:t>
      </w:r>
      <w:r w:rsidRPr="00DA5869">
        <w:rPr>
          <w:rFonts w:ascii="Times New Roman" w:eastAsia="Times New Roman" w:hAnsi="Times New Roman" w:cs="Times New Roman"/>
          <w:lang w:val="lt-LT"/>
        </w:rPr>
        <w:t>yra 50 arba 100 pailginto atpalaidavimo kietųjų kapsulių.</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Registruotojas ir gamintojas</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
    <w:p w:rsidR="009825FE" w:rsidRPr="00DA5869" w:rsidRDefault="009825FE" w:rsidP="009825FE">
      <w:pPr>
        <w:tabs>
          <w:tab w:val="left" w:pos="567"/>
        </w:tabs>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Registruotojas</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autoSpaceDE w:val="0"/>
        <w:autoSpaceDN w:val="0"/>
        <w:adjustRightInd w:val="0"/>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Gamintojas</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Balkanpharma – Dupnitsa AD</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3 Samokovsko Shosse Str.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Dupnitsa 2600</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apie šį vaistą norite sužinoti daugiau, kreipkitės į vietinį registruotojo atstovą.</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UAB „Actavis Baltics“, </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Senasis Ukmergės kelias 4</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Užubalių k., Avižienių sen.,</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LT-14130 Vilniaus raj.,</w:t>
      </w:r>
    </w:p>
    <w:p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Tel. +370 5 2609615</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
          <w:snapToGrid w:val="0"/>
          <w:lang w:val="lt-LT"/>
        </w:rPr>
        <w:t>Šis vaistas EEE valstybėse narėse registruotas tokiais pavadinimais:</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Austrija</w:t>
      </w:r>
      <w:r w:rsidRPr="00DA5869">
        <w:rPr>
          <w:rFonts w:ascii="Times New Roman" w:eastAsia="Times New Roman" w:hAnsi="Times New Roman" w:cs="Times New Roman"/>
          <w:bCs/>
          <w:lang w:val="lt-LT"/>
        </w:rPr>
        <w:tab/>
        <w:t xml:space="preserve">Venlafaxin Actavis 75 mg Retardkapseln; </w:t>
      </w:r>
    </w:p>
    <w:p w:rsidR="009825FE" w:rsidRPr="00DA5869" w:rsidRDefault="009825FE" w:rsidP="009B028B">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 Actavis 150 mg Retardkapseln</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Bulgarija</w:t>
      </w:r>
      <w:r w:rsidRPr="00DA5869">
        <w:rPr>
          <w:rFonts w:ascii="Times New Roman" w:eastAsia="Times New Roman" w:hAnsi="Times New Roman" w:cs="Times New Roman"/>
          <w:bCs/>
          <w:lang w:val="lt-LT"/>
        </w:rPr>
        <w:tab/>
        <w:t>Laroxin SR</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Danija</w:t>
      </w:r>
      <w:r w:rsidRPr="00DA5869">
        <w:rPr>
          <w:rFonts w:ascii="Times New Roman" w:eastAsia="Times New Roman" w:hAnsi="Times New Roman" w:cs="Times New Roman"/>
          <w:bCs/>
          <w:lang w:val="lt-LT"/>
        </w:rPr>
        <w:tab/>
        <w:t>Venlafaxin Actavis</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Vokietija</w:t>
      </w:r>
      <w:r w:rsidRPr="00DA5869">
        <w:rPr>
          <w:rFonts w:ascii="Times New Roman" w:eastAsia="Times New Roman" w:hAnsi="Times New Roman" w:cs="Times New Roman"/>
          <w:bCs/>
          <w:lang w:val="lt-LT"/>
        </w:rPr>
        <w:tab/>
      </w:r>
      <w:r w:rsidR="0028479D"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37,5 mg Hartkapseln, retardiert</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0028479D"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75 mg Hartkapseln, retardiert</w:t>
      </w:r>
    </w:p>
    <w:p w:rsidR="009825FE" w:rsidRPr="00DA5869" w:rsidRDefault="009825FE" w:rsidP="009B028B">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0028479D"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150 mg Hartkapseln, retardiert</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Ispanija</w:t>
      </w:r>
      <w:r w:rsidRPr="00DA5869">
        <w:rPr>
          <w:rFonts w:ascii="Times New Roman" w:eastAsia="Times New Roman" w:hAnsi="Times New Roman" w:cs="Times New Roman"/>
          <w:bCs/>
          <w:lang w:val="lt-LT"/>
        </w:rPr>
        <w:tab/>
      </w:r>
      <w:r w:rsidR="00A901AC" w:rsidRPr="00A901AC">
        <w:rPr>
          <w:rFonts w:ascii="Times New Roman" w:eastAsia="Times New Roman" w:hAnsi="Times New Roman" w:cs="Times New Roman"/>
          <w:bCs/>
          <w:lang w:val="lt-LT"/>
        </w:rPr>
        <w:t>Venlafaxina Retard Aurovitas Spain</w:t>
      </w:r>
      <w:r w:rsidR="00A901AC" w:rsidRPr="00A901AC" w:rsidDel="00A901AC">
        <w:rPr>
          <w:rFonts w:ascii="Times New Roman" w:eastAsia="Times New Roman" w:hAnsi="Times New Roman" w:cs="Times New Roman"/>
          <w:bCs/>
          <w:lang w:val="lt-LT"/>
        </w:rPr>
        <w:t xml:space="preserve"> </w:t>
      </w:r>
      <w:r w:rsidRPr="00DA5869">
        <w:rPr>
          <w:rFonts w:ascii="Times New Roman" w:eastAsia="Times New Roman" w:hAnsi="Times New Roman" w:cs="Times New Roman"/>
          <w:bCs/>
          <w:lang w:val="lt-LT"/>
        </w:rPr>
        <w:t xml:space="preserve">75 mg cápsulas duras de liberación prolongada EFG, </w:t>
      </w:r>
      <w:r w:rsidR="00A901AC" w:rsidRPr="00A901AC">
        <w:rPr>
          <w:rFonts w:ascii="Times New Roman" w:eastAsia="Times New Roman" w:hAnsi="Times New Roman" w:cs="Times New Roman"/>
          <w:bCs/>
          <w:lang w:val="lt-LT"/>
        </w:rPr>
        <w:t>Venlafaxina Retard Aurovitas Spain</w:t>
      </w:r>
      <w:r w:rsidR="00A901AC" w:rsidRPr="00A901AC" w:rsidDel="00A901AC">
        <w:rPr>
          <w:rFonts w:ascii="Times New Roman" w:eastAsia="Times New Roman" w:hAnsi="Times New Roman" w:cs="Times New Roman"/>
          <w:bCs/>
          <w:lang w:val="lt-LT"/>
        </w:rPr>
        <w:t xml:space="preserve"> </w:t>
      </w:r>
      <w:r w:rsidRPr="00DA5869">
        <w:rPr>
          <w:rFonts w:ascii="Times New Roman" w:eastAsia="Times New Roman" w:hAnsi="Times New Roman" w:cs="Times New Roman"/>
          <w:bCs/>
          <w:lang w:val="lt-LT"/>
        </w:rPr>
        <w:t>150 mg cápsulas duras de liberación prolongada EFG</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Estija</w:t>
      </w:r>
      <w:r w:rsidRPr="00DA5869">
        <w:rPr>
          <w:rFonts w:ascii="Times New Roman" w:eastAsia="Times New Roman" w:hAnsi="Times New Roman" w:cs="Times New Roman"/>
          <w:bCs/>
          <w:lang w:val="lt-LT"/>
        </w:rPr>
        <w:tab/>
        <w:t>Venlafaxine Actavis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Prancūzija</w:t>
      </w:r>
      <w:r w:rsidRPr="00DA5869">
        <w:rPr>
          <w:rFonts w:ascii="Times New Roman" w:eastAsia="Times New Roman" w:hAnsi="Times New Roman" w:cs="Times New Roman"/>
          <w:bCs/>
          <w:lang w:val="lt-LT"/>
        </w:rPr>
        <w:tab/>
        <w:t>Venlafaxine Actavis LP 37.5 mg, gélule á libération prolongée</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LP 75 mg, gélule á libération prolongée</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LP 150 mg, gélule á libération prolongée</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Suomija</w:t>
      </w:r>
      <w:r w:rsidRPr="00DA5869">
        <w:rPr>
          <w:rFonts w:ascii="Times New Roman" w:eastAsia="Times New Roman" w:hAnsi="Times New Roman" w:cs="Times New Roman"/>
          <w:bCs/>
          <w:lang w:val="lt-LT"/>
        </w:rPr>
        <w:tab/>
        <w:t>Venlafaxin Actavis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Vengrija</w:t>
      </w: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37,5 mg retard kemény kapszula</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75 mg retard kemény kapszula</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150 mg retard kemény kapszula</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r w:rsidRPr="00DA5869">
        <w:rPr>
          <w:rFonts w:ascii="Times New Roman" w:eastAsia="Times New Roman" w:hAnsi="Times New Roman" w:cs="Times New Roman"/>
          <w:bCs/>
          <w:lang w:val="lt-LT"/>
        </w:rPr>
        <w:tab/>
        <w:t>Venlafaxin Actavis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Italija</w:t>
      </w: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Venlafaxina Actavis PTC</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Lietuva</w:t>
      </w:r>
      <w:r w:rsidRPr="00DA5869">
        <w:rPr>
          <w:rFonts w:ascii="Times New Roman" w:eastAsia="Times New Roman" w:hAnsi="Times New Roman" w:cs="Times New Roman"/>
          <w:bCs/>
          <w:lang w:val="lt-LT"/>
        </w:rPr>
        <w:tab/>
        <w:t>Venlafaxine Actavis 37,5 mg pailginto atpalaidavimo kietosios kapsules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75 mg pailginto atpalaidavimo kietosios kapsules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150 mg pailginto atpalaidavimo kietosios kapsules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Lenkija</w:t>
      </w:r>
      <w:r w:rsidRPr="00DA5869">
        <w:rPr>
          <w:rFonts w:ascii="Times New Roman" w:eastAsia="Times New Roman" w:hAnsi="Times New Roman" w:cs="Times New Roman"/>
          <w:bCs/>
          <w:lang w:val="lt-LT"/>
        </w:rPr>
        <w:tab/>
        <w:t>Efevelon SR</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Malta</w:t>
      </w:r>
      <w:r w:rsidRPr="00DA5869">
        <w:rPr>
          <w:rFonts w:ascii="Times New Roman" w:eastAsia="Times New Roman" w:hAnsi="Times New Roman" w:cs="Times New Roman"/>
          <w:bCs/>
          <w:lang w:val="lt-LT"/>
        </w:rPr>
        <w:tab/>
        <w:t>Efevelon XL</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Nyderlandai</w:t>
      </w:r>
      <w:r w:rsidRPr="00DA5869">
        <w:rPr>
          <w:rFonts w:ascii="Times New Roman" w:eastAsia="Times New Roman" w:hAnsi="Times New Roman" w:cs="Times New Roman"/>
          <w:bCs/>
          <w:lang w:val="lt-LT"/>
        </w:rPr>
        <w:tab/>
        <w:t>Venlafaxin Actavis XR 37,5 mg, capsule met verlengde afgifte hard</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ab/>
      </w:r>
      <w:r w:rsidRPr="00DA5869">
        <w:rPr>
          <w:rFonts w:ascii="Times New Roman" w:eastAsia="Times New Roman" w:hAnsi="Times New Roman" w:cs="Times New Roman"/>
          <w:bCs/>
          <w:lang w:val="bg-BG"/>
        </w:rPr>
        <w:t>Venlafaxin Actavis XR 75 mg, capsule met verlengde afgifte hard</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 xml:space="preserve">Venlafaxin Actavis XR </w:t>
      </w:r>
      <w:r w:rsidRPr="00DA5869">
        <w:rPr>
          <w:rFonts w:ascii="Times New Roman" w:eastAsia="Times New Roman" w:hAnsi="Times New Roman" w:cs="Times New Roman"/>
          <w:bCs/>
          <w:lang w:val="lt-LT"/>
        </w:rPr>
        <w:t>150</w:t>
      </w:r>
      <w:r w:rsidRPr="00DA5869">
        <w:rPr>
          <w:rFonts w:ascii="Times New Roman" w:eastAsia="Times New Roman" w:hAnsi="Times New Roman" w:cs="Times New Roman"/>
          <w:bCs/>
          <w:lang w:val="bg-BG"/>
        </w:rPr>
        <w:t xml:space="preserve"> mg, capsule met verlengde afgifte hard</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Norvegija</w:t>
      </w:r>
      <w:r w:rsidRPr="00DA5869">
        <w:rPr>
          <w:rFonts w:ascii="Times New Roman" w:eastAsia="Times New Roman" w:hAnsi="Times New Roman" w:cs="Times New Roman"/>
          <w:bCs/>
          <w:lang w:val="lt-LT"/>
        </w:rPr>
        <w:tab/>
        <w:t>Venlafaxin Actavis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Portugalija</w:t>
      </w:r>
      <w:r w:rsidRPr="00DA5869">
        <w:rPr>
          <w:rFonts w:ascii="Times New Roman" w:eastAsia="Times New Roman" w:hAnsi="Times New Roman" w:cs="Times New Roman"/>
          <w:bCs/>
          <w:lang w:val="lt-LT"/>
        </w:rPr>
        <w:tab/>
      </w:r>
      <w:r w:rsidR="00A901AC" w:rsidRPr="00A901AC">
        <w:rPr>
          <w:rFonts w:ascii="Times New Roman" w:eastAsia="Times New Roman" w:hAnsi="Times New Roman" w:cs="Times New Roman"/>
          <w:bCs/>
          <w:lang w:val="lt-LT"/>
        </w:rPr>
        <w:t>Venlafaxina Aurovitas</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Rumunija</w:t>
      </w:r>
      <w:r w:rsidRPr="00DA5869">
        <w:rPr>
          <w:rFonts w:ascii="Times New Roman" w:eastAsia="Times New Roman" w:hAnsi="Times New Roman" w:cs="Times New Roman"/>
          <w:bCs/>
          <w:lang w:val="lt-LT"/>
        </w:rPr>
        <w:tab/>
        <w:t>Venlafaxina Actavis 75 mg capsule cu eliberare prelungita</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Venlafaxina Actavis 150 mg capsule cu eliberare prelungita</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Švedija</w:t>
      </w:r>
      <w:r w:rsidRPr="00DA5869">
        <w:rPr>
          <w:rFonts w:ascii="Times New Roman" w:eastAsia="Times New Roman" w:hAnsi="Times New Roman" w:cs="Times New Roman"/>
          <w:bCs/>
          <w:lang w:val="lt-LT"/>
        </w:rPr>
        <w:tab/>
        <w:t>Venlafaxin Actavis</w:t>
      </w:r>
    </w:p>
    <w:p w:rsidR="009571D5"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Slovėnija</w:t>
      </w:r>
      <w:r w:rsidRPr="00DA5869">
        <w:rPr>
          <w:rFonts w:ascii="Times New Roman" w:eastAsia="Times New Roman" w:hAnsi="Times New Roman" w:cs="Times New Roman"/>
          <w:bCs/>
          <w:lang w:val="lt-LT"/>
        </w:rPr>
        <w:tab/>
        <w:t xml:space="preserve">Venlafaksin Actavis 37,5 mg, trde kapsule s podaljšanim sprošcanjem, </w:t>
      </w:r>
    </w:p>
    <w:p w:rsidR="009571D5" w:rsidRDefault="009825FE" w:rsidP="009B028B">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Venlafaksin Actavis 75 mg, trde kapsule s podaljšanim sprošcanjem, </w:t>
      </w:r>
    </w:p>
    <w:p w:rsidR="009825FE" w:rsidRPr="00DA5869" w:rsidRDefault="009825FE" w:rsidP="009B028B">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 Actavis 150 mg, trde kapsule s podaljšanim sprošcanjem</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Slovakija</w:t>
      </w:r>
      <w:r w:rsidRPr="00DA5869">
        <w:rPr>
          <w:rFonts w:ascii="Times New Roman" w:eastAsia="Times New Roman" w:hAnsi="Times New Roman" w:cs="Times New Roman"/>
          <w:bCs/>
          <w:lang w:val="lt-LT"/>
        </w:rPr>
        <w:tab/>
        <w:t>Venlafaxin Actavis 75 mg; Venlafaxin Actavis 150 mg</w:t>
      </w:r>
    </w:p>
    <w:p w:rsidR="009825FE" w:rsidRPr="00DA5869" w:rsidRDefault="009825FE" w:rsidP="009571D5">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Jungtinė Karalystė</w:t>
      </w:r>
      <w:r w:rsidRPr="00DA5869">
        <w:rPr>
          <w:rFonts w:ascii="Times New Roman" w:eastAsia="Times New Roman" w:hAnsi="Times New Roman" w:cs="Times New Roman"/>
          <w:bCs/>
          <w:lang w:val="lt-LT"/>
        </w:rPr>
        <w:tab/>
        <w:t xml:space="preserve">Politid XL 37,5 mg prolonged-release capsules, </w:t>
      </w:r>
    </w:p>
    <w:p w:rsidR="009825FE" w:rsidRPr="00DA5869" w:rsidRDefault="009825FE" w:rsidP="009B028B">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Politid XL 75 mg prolonged-release capsules, </w:t>
      </w:r>
    </w:p>
    <w:p w:rsidR="009825FE" w:rsidRPr="00DA5869" w:rsidRDefault="009825FE" w:rsidP="009B028B">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Politid XL 150 mg prolonged-release capsules</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bCs/>
          <w:lang w:val="lt-LT"/>
        </w:rPr>
      </w:pPr>
    </w:p>
    <w:p w:rsidR="009B028B"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Šis pakuotės lapelis paskutinį kartą peržiūrėtas </w:t>
      </w:r>
      <w:r w:rsidR="009B028B">
        <w:rPr>
          <w:rFonts w:ascii="Times New Roman" w:eastAsia="Times New Roman" w:hAnsi="Times New Roman" w:cs="Times New Roman"/>
          <w:b/>
          <w:lang w:val="lt-LT"/>
        </w:rPr>
        <w:t>2016-08-03.</w:t>
      </w: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DA5869">
        <w:rPr>
          <w:rFonts w:ascii="Times New Roman" w:eastAsia="Times New Roman" w:hAnsi="Times New Roman" w:cs="Times New Roman"/>
          <w:bCs/>
          <w:i/>
          <w:lang w:val="lt-LT"/>
        </w:rPr>
        <w:t xml:space="preserve"> </w:t>
      </w:r>
      <w:hyperlink r:id="rId13" w:history="1">
        <w:r w:rsidRPr="00DA5869">
          <w:rPr>
            <w:rFonts w:ascii="Times New Roman" w:hAnsi="Times New Roman" w:cs="Times New Roman"/>
            <w:color w:val="0000FF"/>
            <w:u w:val="single"/>
            <w:lang w:val="lt-LT"/>
          </w:rPr>
          <w:t>http://www.vvkt.lt</w:t>
        </w:r>
      </w:hyperlink>
      <w:r w:rsidRPr="00DA5869">
        <w:rPr>
          <w:rFonts w:ascii="Times New Roman" w:eastAsia="Times New Roman" w:hAnsi="Times New Roman" w:cs="Times New Roman"/>
          <w:bCs/>
          <w:lang w:val="lt-LT"/>
        </w:rPr>
        <w:t xml:space="preserve"> </w:t>
      </w:r>
    </w:p>
    <w:p w:rsidR="009825FE" w:rsidRPr="00DA5869" w:rsidRDefault="009825FE" w:rsidP="009825FE">
      <w:pPr>
        <w:spacing w:after="0" w:line="240" w:lineRule="auto"/>
        <w:rPr>
          <w:rFonts w:ascii="Times New Roman" w:eastAsia="Times New Roman" w:hAnsi="Times New Roman" w:cs="Times New Roman"/>
          <w:bCs/>
          <w:lang w:val="lt-LT"/>
        </w:rPr>
      </w:pPr>
    </w:p>
    <w:p w:rsidR="009825FE" w:rsidRPr="00DA5869" w:rsidRDefault="009825FE" w:rsidP="009825FE">
      <w:pPr>
        <w:spacing w:after="0" w:line="240" w:lineRule="auto"/>
        <w:rPr>
          <w:rFonts w:ascii="Times New Roman" w:eastAsia="Times New Roman" w:hAnsi="Times New Roman" w:cs="Times New Roman"/>
          <w:lang w:val="lt-LT"/>
        </w:rPr>
      </w:pPr>
      <w:bookmarkStart w:id="88" w:name="_GoBack"/>
      <w:bookmarkEnd w:id="88"/>
      <w:permStart w:id="1508453420" w:edGrp="everyone"/>
      <w:permEnd w:id="1508453420"/>
    </w:p>
    <w:p w:rsidR="009825FE" w:rsidRPr="00DA5869" w:rsidRDefault="009825FE" w:rsidP="009825FE">
      <w:pPr>
        <w:spacing w:after="0" w:line="240" w:lineRule="auto"/>
        <w:rPr>
          <w:rFonts w:ascii="Times New Roman" w:eastAsia="Times New Roman" w:hAnsi="Times New Roman" w:cs="Times New Roman"/>
          <w:lang w:val="lt-LT"/>
        </w:rPr>
      </w:pPr>
    </w:p>
    <w:p w:rsidR="009825FE" w:rsidRPr="00DA5869" w:rsidRDefault="009825FE" w:rsidP="009825FE">
      <w:pPr>
        <w:rPr>
          <w:rFonts w:ascii="Times New Roman" w:hAnsi="Times New Roman" w:cs="Times New Roman"/>
          <w:lang w:val="lt-LT"/>
        </w:rPr>
      </w:pPr>
    </w:p>
    <w:p w:rsidR="00BB0965" w:rsidRPr="00211002" w:rsidRDefault="00BB0965">
      <w:pPr>
        <w:rPr>
          <w:lang w:val="lt-LT"/>
        </w:rPr>
      </w:pPr>
    </w:p>
    <w:sectPr w:rsidR="00BB0965" w:rsidRPr="00211002" w:rsidSect="00510A05">
      <w:footerReference w:type="even" r:id="rId14"/>
      <w:footerReference w:type="default" r:id="rId15"/>
      <w:pgSz w:w="11909" w:h="16834" w:code="9"/>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A05" w:rsidRDefault="00510A05">
      <w:pPr>
        <w:spacing w:after="0" w:line="240" w:lineRule="auto"/>
      </w:pPr>
      <w:r>
        <w:separator/>
      </w:r>
    </w:p>
  </w:endnote>
  <w:endnote w:type="continuationSeparator" w:id="0">
    <w:p w:rsidR="00510A05" w:rsidRDefault="0051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05" w:rsidRDefault="00510A05" w:rsidP="00510A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28</w:t>
    </w:r>
    <w:r>
      <w:rPr>
        <w:rStyle w:val="Puslapionumeris"/>
      </w:rPr>
      <w:fldChar w:fldCharType="end"/>
    </w:r>
  </w:p>
  <w:p w:rsidR="00510A05" w:rsidRDefault="00510A05" w:rsidP="00510A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05" w:rsidRPr="00582589" w:rsidRDefault="00510A05" w:rsidP="00510A05">
    <w:pPr>
      <w:pStyle w:val="Porat"/>
      <w:framePr w:wrap="around" w:vAnchor="text" w:hAnchor="margin" w:xAlign="right" w:y="1"/>
      <w:rPr>
        <w:rStyle w:val="Puslapionumeris"/>
      </w:rPr>
    </w:pPr>
    <w:r w:rsidRPr="00582589">
      <w:rPr>
        <w:rStyle w:val="Puslapionumeris"/>
      </w:rPr>
      <w:fldChar w:fldCharType="begin"/>
    </w:r>
    <w:r w:rsidRPr="00582589">
      <w:rPr>
        <w:rStyle w:val="Puslapionumeris"/>
      </w:rPr>
      <w:instrText xml:space="preserve">PAGE  </w:instrText>
    </w:r>
    <w:r w:rsidRPr="00582589">
      <w:rPr>
        <w:rStyle w:val="Puslapionumeris"/>
      </w:rPr>
      <w:fldChar w:fldCharType="separate"/>
    </w:r>
    <w:r w:rsidR="00C0378F">
      <w:rPr>
        <w:rStyle w:val="Puslapionumeris"/>
      </w:rPr>
      <w:t>38</w:t>
    </w:r>
    <w:r w:rsidRPr="00582589">
      <w:rPr>
        <w:rStyle w:val="Puslapionumeris"/>
      </w:rPr>
      <w:fldChar w:fldCharType="end"/>
    </w:r>
  </w:p>
  <w:p w:rsidR="00510A05" w:rsidRDefault="00510A05" w:rsidP="00510A0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A05" w:rsidRDefault="00510A05">
      <w:pPr>
        <w:spacing w:after="0" w:line="240" w:lineRule="auto"/>
      </w:pPr>
      <w:r>
        <w:separator/>
      </w:r>
    </w:p>
  </w:footnote>
  <w:footnote w:type="continuationSeparator" w:id="0">
    <w:p w:rsidR="00510A05" w:rsidRDefault="00510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EAA52C"/>
    <w:multiLevelType w:val="hybridMultilevel"/>
    <w:tmpl w:val="1126572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D3DF8B"/>
    <w:multiLevelType w:val="hybridMultilevel"/>
    <w:tmpl w:val="F0ED617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7C"/>
    <w:multiLevelType w:val="singleLevel"/>
    <w:tmpl w:val="C56E91B4"/>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E4B6A104"/>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2F2285E4"/>
    <w:lvl w:ilvl="0">
      <w:start w:val="1"/>
      <w:numFmt w:val="decimal"/>
      <w:lvlText w:val="%1."/>
      <w:lvlJc w:val="left"/>
      <w:pPr>
        <w:tabs>
          <w:tab w:val="num" w:pos="926"/>
        </w:tabs>
        <w:ind w:left="926" w:hanging="360"/>
      </w:pPr>
      <w:rPr>
        <w:rFonts w:cs="Times New Roman"/>
      </w:rPr>
    </w:lvl>
  </w:abstractNum>
  <w:abstractNum w:abstractNumId="5" w15:restartNumberingAfterBreak="0">
    <w:nsid w:val="FFFFFF7F"/>
    <w:multiLevelType w:val="singleLevel"/>
    <w:tmpl w:val="F3BE6182"/>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4E96568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CC47D8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BB2875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674AAA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F4CA87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15CCB2B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FE4C67"/>
    <w:multiLevelType w:val="hybridMultilevel"/>
    <w:tmpl w:val="7D58053A"/>
    <w:lvl w:ilvl="0" w:tplc="E6AAB37C">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3A724B0"/>
    <w:multiLevelType w:val="hybridMultilevel"/>
    <w:tmpl w:val="7982ED76"/>
    <w:lvl w:ilvl="0" w:tplc="36C6AB76">
      <w:start w:val="1"/>
      <w:numFmt w:val="bullet"/>
      <w:lvlText w:val=" "/>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12AB4"/>
    <w:multiLevelType w:val="hybridMultilevel"/>
    <w:tmpl w:val="38D47F2A"/>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23754"/>
    <w:multiLevelType w:val="multilevel"/>
    <w:tmpl w:val="11265725"/>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1CD00B8E"/>
    <w:multiLevelType w:val="hybridMultilevel"/>
    <w:tmpl w:val="426460DC"/>
    <w:lvl w:ilvl="0" w:tplc="DDF46A0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CB211B"/>
    <w:multiLevelType w:val="hybridMultilevel"/>
    <w:tmpl w:val="8DACAAE0"/>
    <w:lvl w:ilvl="0" w:tplc="EAFEBFD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pStyle w:val="BTg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31956F08"/>
    <w:multiLevelType w:val="multilevel"/>
    <w:tmpl w:val="98EABA76"/>
    <w:lvl w:ilvl="0">
      <w:start w:val="5"/>
      <w:numFmt w:val="decimal"/>
      <w:lvlText w:val="%1"/>
      <w:lvlJc w:val="left"/>
      <w:pPr>
        <w:tabs>
          <w:tab w:val="num" w:pos="570"/>
        </w:tabs>
        <w:ind w:left="570" w:hanging="570"/>
      </w:pPr>
      <w:rPr>
        <w:rFonts w:cs="Times New Roman" w:hint="default"/>
        <w:b/>
      </w:rPr>
    </w:lvl>
    <w:lvl w:ilvl="1">
      <w:start w:val="2"/>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34CC346B"/>
    <w:multiLevelType w:val="hybridMultilevel"/>
    <w:tmpl w:val="5B5C44A2"/>
    <w:lvl w:ilvl="0" w:tplc="A4C4601E">
      <w:start w:val="1"/>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26A2A"/>
    <w:multiLevelType w:val="hybridMultilevel"/>
    <w:tmpl w:val="110087A2"/>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15:restartNumberingAfterBreak="0">
    <w:nsid w:val="47C47C7B"/>
    <w:multiLevelType w:val="hybridMultilevel"/>
    <w:tmpl w:val="7B6EA958"/>
    <w:lvl w:ilvl="0" w:tplc="54A0D58C">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C110C"/>
    <w:multiLevelType w:val="hybridMultilevel"/>
    <w:tmpl w:val="69405262"/>
    <w:lvl w:ilvl="0" w:tplc="F532289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2010E"/>
    <w:multiLevelType w:val="hybridMultilevel"/>
    <w:tmpl w:val="35265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00E8D"/>
    <w:multiLevelType w:val="hybridMultilevel"/>
    <w:tmpl w:val="C90EAB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D0665"/>
    <w:multiLevelType w:val="hybridMultilevel"/>
    <w:tmpl w:val="E20C850E"/>
    <w:lvl w:ilvl="0" w:tplc="DC262F5A">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C27E3"/>
    <w:multiLevelType w:val="hybridMultilevel"/>
    <w:tmpl w:val="E1365D20"/>
    <w:lvl w:ilvl="0" w:tplc="81A882CE">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32771"/>
    <w:multiLevelType w:val="hybridMultilevel"/>
    <w:tmpl w:val="B0BA5CCE"/>
    <w:lvl w:ilvl="0" w:tplc="7256AB5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32448"/>
    <w:multiLevelType w:val="multilevel"/>
    <w:tmpl w:val="F0ED617D"/>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2A235D0"/>
    <w:multiLevelType w:val="hybridMultilevel"/>
    <w:tmpl w:val="69543AE8"/>
    <w:lvl w:ilvl="0" w:tplc="36C6AB76">
      <w:start w:val="1"/>
      <w:numFmt w:val="bullet"/>
      <w:lvlText w:val=" "/>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260CD"/>
    <w:multiLevelType w:val="hybridMultilevel"/>
    <w:tmpl w:val="BD32B8A6"/>
    <w:lvl w:ilvl="0" w:tplc="AAA647A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1C5E94"/>
    <w:multiLevelType w:val="hybridMultilevel"/>
    <w:tmpl w:val="305A451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C077F"/>
    <w:multiLevelType w:val="hybridMultilevel"/>
    <w:tmpl w:val="75BC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D0983"/>
    <w:multiLevelType w:val="hybridMultilevel"/>
    <w:tmpl w:val="2BB4189C"/>
    <w:lvl w:ilvl="0" w:tplc="F532289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9"/>
  </w:num>
  <w:num w:numId="3">
    <w:abstractNumId w:val="21"/>
  </w:num>
  <w:num w:numId="4">
    <w:abstractNumId w:val="27"/>
  </w:num>
  <w:num w:numId="5">
    <w:abstractNumId w:val="24"/>
  </w:num>
  <w:num w:numId="6">
    <w:abstractNumId w:val="17"/>
  </w:num>
  <w:num w:numId="7">
    <w:abstractNumId w:val="14"/>
  </w:num>
  <w:num w:numId="8">
    <w:abstractNumId w:val="31"/>
  </w:num>
  <w:num w:numId="9">
    <w:abstractNumId w:val="35"/>
  </w:num>
  <w:num w:numId="10">
    <w:abstractNumId w:val="15"/>
  </w:num>
  <w:num w:numId="11">
    <w:abstractNumId w:val="39"/>
  </w:num>
  <w:num w:numId="12">
    <w:abstractNumId w:val="26"/>
  </w:num>
  <w:num w:numId="13">
    <w:abstractNumId w:val="37"/>
  </w:num>
  <w:num w:numId="14">
    <w:abstractNumId w:val="0"/>
  </w:num>
  <w:num w:numId="15">
    <w:abstractNumId w:val="1"/>
  </w:num>
  <w:num w:numId="16">
    <w:abstractNumId w:val="36"/>
  </w:num>
  <w:num w:numId="17">
    <w:abstractNumId w:val="30"/>
  </w:num>
  <w:num w:numId="18">
    <w:abstractNumId w:val="25"/>
  </w:num>
  <w:num w:numId="19">
    <w:abstractNumId w:val="33"/>
  </w:num>
  <w:num w:numId="20">
    <w:abstractNumId w:val="22"/>
  </w:num>
  <w:num w:numId="21">
    <w:abstractNumId w:val="13"/>
  </w:num>
  <w:num w:numId="22">
    <w:abstractNumId w:val="16"/>
  </w:num>
  <w:num w:numId="23">
    <w:abstractNumId w:val="32"/>
  </w:num>
  <w:num w:numId="24">
    <w:abstractNumId w:val="34"/>
  </w:num>
  <w:num w:numId="25">
    <w:abstractNumId w:val="18"/>
  </w:num>
  <w:num w:numId="26">
    <w:abstractNumId w:val="28"/>
  </w:num>
  <w:num w:numId="27">
    <w:abstractNumId w:val="11"/>
  </w:num>
  <w:num w:numId="28">
    <w:abstractNumId w:val="9"/>
  </w:num>
  <w:num w:numId="29">
    <w:abstractNumId w:val="8"/>
  </w:num>
  <w:num w:numId="30">
    <w:abstractNumId w:val="7"/>
  </w:num>
  <w:num w:numId="31">
    <w:abstractNumId w:val="6"/>
  </w:num>
  <w:num w:numId="32">
    <w:abstractNumId w:val="10"/>
  </w:num>
  <w:num w:numId="33">
    <w:abstractNumId w:val="5"/>
  </w:num>
  <w:num w:numId="34">
    <w:abstractNumId w:val="4"/>
  </w:num>
  <w:num w:numId="35">
    <w:abstractNumId w:val="3"/>
  </w:num>
  <w:num w:numId="36">
    <w:abstractNumId w:val="2"/>
  </w:num>
  <w:num w:numId="37">
    <w:abstractNumId w:val="38"/>
  </w:num>
  <w:num w:numId="38">
    <w:abstractNumId w:val="12"/>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Dayi7qCWrT9VFSkQ9ejIXhUlg8ZnzTeGZJjr0ikvOc53dgbx4hP9pjeFYiTOYRkX3gFDEanybCl/XS1e+NNIGQ==" w:salt="kLWzJnzXVZvUqZ4hMpETg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9E"/>
    <w:rsid w:val="00211002"/>
    <w:rsid w:val="0028479D"/>
    <w:rsid w:val="004719B8"/>
    <w:rsid w:val="00510A05"/>
    <w:rsid w:val="0075731C"/>
    <w:rsid w:val="009571D5"/>
    <w:rsid w:val="009825FE"/>
    <w:rsid w:val="009B028B"/>
    <w:rsid w:val="00A901AC"/>
    <w:rsid w:val="00B6239E"/>
    <w:rsid w:val="00BB0965"/>
    <w:rsid w:val="00C03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94174-C409-4103-8E80-9788AC6A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5FE"/>
    <w:pPr>
      <w:spacing w:after="200" w:line="276" w:lineRule="auto"/>
    </w:pPr>
    <w:rPr>
      <w:lang w:val="en-US"/>
    </w:rPr>
  </w:style>
  <w:style w:type="paragraph" w:styleId="Antrat1">
    <w:name w:val="heading 1"/>
    <w:basedOn w:val="prastasis"/>
    <w:next w:val="prastasis"/>
    <w:link w:val="Antrat1Diagrama"/>
    <w:qFormat/>
    <w:rsid w:val="009825FE"/>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qFormat/>
    <w:rsid w:val="009825FE"/>
    <w:pPr>
      <w:keepNext/>
      <w:spacing w:before="240" w:after="60" w:line="240" w:lineRule="auto"/>
      <w:outlineLvl w:val="1"/>
    </w:pPr>
    <w:rPr>
      <w:rFonts w:ascii="Arial" w:eastAsia="Times New Roman" w:hAnsi="Arial" w:cs="Times New Roman"/>
      <w:b/>
      <w:bCs/>
      <w:i/>
      <w:iCs/>
      <w:sz w:val="28"/>
      <w:szCs w:val="28"/>
      <w:lang w:val="lt-LT" w:eastAsia="lt-LT"/>
    </w:rPr>
  </w:style>
  <w:style w:type="paragraph" w:styleId="Antrat3">
    <w:name w:val="heading 3"/>
    <w:basedOn w:val="prastasis"/>
    <w:next w:val="prastasis"/>
    <w:link w:val="Antrat3Diagrama"/>
    <w:qFormat/>
    <w:rsid w:val="009825FE"/>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4">
    <w:name w:val="heading 4"/>
    <w:basedOn w:val="Default"/>
    <w:next w:val="Default"/>
    <w:link w:val="Antrat4Diagrama"/>
    <w:qFormat/>
    <w:rsid w:val="009825FE"/>
    <w:pPr>
      <w:outlineLvl w:val="3"/>
    </w:pPr>
    <w:rPr>
      <w:noProof/>
      <w:color w:val="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25FE"/>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9825FE"/>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9825FE"/>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9825FE"/>
    <w:rPr>
      <w:rFonts w:ascii="Times New Roman" w:eastAsia="Times New Roman" w:hAnsi="Times New Roman" w:cs="Times New Roman"/>
      <w:noProof/>
      <w:sz w:val="24"/>
      <w:szCs w:val="24"/>
      <w:lang w:eastAsia="lt-LT"/>
    </w:rPr>
  </w:style>
  <w:style w:type="numbering" w:customStyle="1" w:styleId="NoList1">
    <w:name w:val="No List1"/>
    <w:next w:val="Sraonra"/>
    <w:semiHidden/>
    <w:rsid w:val="009825FE"/>
  </w:style>
  <w:style w:type="paragraph" w:customStyle="1" w:styleId="Default">
    <w:name w:val="Default"/>
    <w:rsid w:val="009825F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rsid w:val="009825FE"/>
    <w:pPr>
      <w:tabs>
        <w:tab w:val="center" w:pos="4536"/>
        <w:tab w:val="right" w:pos="9072"/>
      </w:tabs>
      <w:spacing w:after="0" w:line="240" w:lineRule="auto"/>
    </w:pPr>
    <w:rPr>
      <w:rFonts w:ascii="Times New Roman" w:eastAsia="Times New Roman" w:hAnsi="Times New Roman" w:cs="Times New Roman"/>
      <w:sz w:val="20"/>
      <w:szCs w:val="20"/>
      <w:lang w:val="en-GB" w:eastAsia="fi-FI"/>
    </w:rPr>
  </w:style>
  <w:style w:type="character" w:customStyle="1" w:styleId="AntratsDiagrama">
    <w:name w:val="Antraštės Diagrama"/>
    <w:basedOn w:val="Numatytasispastraiposriftas"/>
    <w:link w:val="Antrats"/>
    <w:rsid w:val="009825FE"/>
    <w:rPr>
      <w:rFonts w:ascii="Times New Roman" w:eastAsia="Times New Roman" w:hAnsi="Times New Roman" w:cs="Times New Roman"/>
      <w:sz w:val="20"/>
      <w:szCs w:val="20"/>
      <w:lang w:val="en-GB" w:eastAsia="fi-FI"/>
    </w:rPr>
  </w:style>
  <w:style w:type="paragraph" w:styleId="Porat">
    <w:name w:val="footer"/>
    <w:basedOn w:val="prastasis"/>
    <w:link w:val="PoratDiagrama"/>
    <w:rsid w:val="009825FE"/>
    <w:pPr>
      <w:widowControl w:val="0"/>
      <w:tabs>
        <w:tab w:val="center" w:pos="4153"/>
        <w:tab w:val="right" w:pos="8306"/>
      </w:tabs>
      <w:spacing w:after="0" w:line="240" w:lineRule="auto"/>
    </w:pPr>
    <w:rPr>
      <w:rFonts w:ascii="Times New Roman" w:eastAsia="Times New Roman" w:hAnsi="Times New Roman" w:cs="Times New Roman"/>
      <w:noProof/>
      <w:sz w:val="20"/>
      <w:szCs w:val="20"/>
      <w:lang w:val="lt-LT" w:eastAsia="lt-LT"/>
    </w:rPr>
  </w:style>
  <w:style w:type="character" w:customStyle="1" w:styleId="PoratDiagrama">
    <w:name w:val="Poraštė Diagrama"/>
    <w:basedOn w:val="Numatytasispastraiposriftas"/>
    <w:link w:val="Porat"/>
    <w:rsid w:val="009825FE"/>
    <w:rPr>
      <w:rFonts w:ascii="Times New Roman" w:eastAsia="Times New Roman" w:hAnsi="Times New Roman" w:cs="Times New Roman"/>
      <w:noProof/>
      <w:sz w:val="20"/>
      <w:szCs w:val="20"/>
      <w:lang w:eastAsia="lt-LT"/>
    </w:rPr>
  </w:style>
  <w:style w:type="paragraph" w:styleId="Pagrindinistekstas">
    <w:name w:val="Body Text"/>
    <w:basedOn w:val="prastasis"/>
    <w:link w:val="PagrindinistekstasDiagrama"/>
    <w:rsid w:val="009825FE"/>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9825FE"/>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9825FE"/>
    <w:pPr>
      <w:tabs>
        <w:tab w:val="left" w:pos="567"/>
      </w:tabs>
      <w:spacing w:after="0" w:line="360" w:lineRule="auto"/>
      <w:jc w:val="both"/>
    </w:pPr>
    <w:rPr>
      <w:rFonts w:ascii="Times New Roman" w:eastAsia="Times New Roman" w:hAnsi="Times New Roman" w:cs="Times New Roman"/>
      <w:noProof/>
      <w:sz w:val="20"/>
      <w:szCs w:val="20"/>
      <w:lang w:val="lt-LT" w:eastAsia="lt-LT"/>
    </w:rPr>
  </w:style>
  <w:style w:type="character" w:customStyle="1" w:styleId="Pagrindinistekstas2Diagrama">
    <w:name w:val="Pagrindinis tekstas 2 Diagrama"/>
    <w:basedOn w:val="Numatytasispastraiposriftas"/>
    <w:link w:val="Pagrindinistekstas2"/>
    <w:rsid w:val="009825FE"/>
    <w:rPr>
      <w:rFonts w:ascii="Times New Roman" w:eastAsia="Times New Roman" w:hAnsi="Times New Roman" w:cs="Times New Roman"/>
      <w:noProof/>
      <w:sz w:val="20"/>
      <w:szCs w:val="20"/>
      <w:lang w:eastAsia="lt-LT"/>
    </w:rPr>
  </w:style>
  <w:style w:type="paragraph" w:styleId="Debesliotekstas">
    <w:name w:val="Balloon Text"/>
    <w:basedOn w:val="prastasis"/>
    <w:link w:val="DebesliotekstasDiagrama"/>
    <w:semiHidden/>
    <w:rsid w:val="009825FE"/>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9825FE"/>
    <w:rPr>
      <w:rFonts w:ascii="Tahoma" w:eastAsia="Times New Roman" w:hAnsi="Tahoma" w:cs="Times New Roman"/>
      <w:sz w:val="16"/>
      <w:szCs w:val="16"/>
      <w:lang w:eastAsia="lt-LT"/>
    </w:rPr>
  </w:style>
  <w:style w:type="paragraph" w:customStyle="1" w:styleId="PI-1EMEASMCA">
    <w:name w:val="PI-1 EMEA_SMCA"/>
    <w:basedOn w:val="Antrat2"/>
    <w:autoRedefine/>
    <w:rsid w:val="009825FE"/>
    <w:pPr>
      <w:tabs>
        <w:tab w:val="left" w:pos="567"/>
      </w:tabs>
      <w:spacing w:before="0" w:after="0"/>
      <w:ind w:left="567" w:hanging="567"/>
    </w:pPr>
    <w:rPr>
      <w:rFonts w:ascii="Times New Roman" w:hAnsi="Times New Roman"/>
      <w:bCs w:val="0"/>
      <w:i w:val="0"/>
      <w:iCs w:val="0"/>
      <w:sz w:val="22"/>
      <w:szCs w:val="22"/>
      <w:lang w:eastAsia="en-US"/>
    </w:rPr>
  </w:style>
  <w:style w:type="character" w:customStyle="1" w:styleId="PI-1labEMEASMCAChar">
    <w:name w:val="PI-1_lab EMEA_SMCA Char"/>
    <w:basedOn w:val="Numatytasispastraiposriftas"/>
    <w:link w:val="PI-1labEMEASMCA"/>
    <w:locked/>
    <w:rsid w:val="009825FE"/>
    <w:rPr>
      <w:rFonts w:ascii="Calibri" w:hAnsi="Calibri" w:cs="Times New Roman"/>
      <w:b/>
      <w:noProof/>
    </w:rPr>
  </w:style>
  <w:style w:type="paragraph" w:customStyle="1" w:styleId="PI-1labEMEASMCA">
    <w:name w:val="PI-1_lab EMEA_SMCA"/>
    <w:basedOn w:val="prastasis"/>
    <w:link w:val="PI-1labEMEASMCAChar"/>
    <w:autoRedefine/>
    <w:rsid w:val="009825F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Calibri" w:hAnsi="Calibri" w:cs="Times New Roman"/>
      <w:b/>
      <w:noProof/>
      <w:lang w:val="lt-LT"/>
    </w:rPr>
  </w:style>
  <w:style w:type="paragraph" w:customStyle="1" w:styleId="PI-2EMEASMCA">
    <w:name w:val="PI-2 EMEA_SMCA"/>
    <w:basedOn w:val="Antrat3"/>
    <w:autoRedefine/>
    <w:rsid w:val="009825F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BTEMEASMCAChar">
    <w:name w:val="BT EMEA_SMCA Char"/>
    <w:basedOn w:val="Numatytasispastraiposriftas"/>
    <w:link w:val="BTEMEASMCA"/>
    <w:locked/>
    <w:rsid w:val="009825FE"/>
    <w:rPr>
      <w:rFonts w:ascii="Calibri" w:hAnsi="Calibri" w:cs="Times New Roman"/>
      <w:bCs/>
    </w:rPr>
  </w:style>
  <w:style w:type="paragraph" w:customStyle="1" w:styleId="BTEMEASMCA">
    <w:name w:val="BT EMEA_SMCA"/>
    <w:basedOn w:val="prastasis"/>
    <w:link w:val="BTEMEASMCAChar"/>
    <w:autoRedefine/>
    <w:rsid w:val="009825FE"/>
    <w:pPr>
      <w:spacing w:after="0" w:line="240" w:lineRule="auto"/>
    </w:pPr>
    <w:rPr>
      <w:rFonts w:ascii="Calibri" w:hAnsi="Calibri" w:cs="Times New Roman"/>
      <w:bCs/>
      <w:lang w:val="lt-LT"/>
    </w:rPr>
  </w:style>
  <w:style w:type="character" w:customStyle="1" w:styleId="TTEMEASMCAChar">
    <w:name w:val="TT EMEA_SMCA Char"/>
    <w:basedOn w:val="Numatytasispastraiposriftas"/>
    <w:link w:val="TTEMEASMCA"/>
    <w:locked/>
    <w:rsid w:val="009825FE"/>
    <w:rPr>
      <w:rFonts w:cs="Times New Roman"/>
      <w:b/>
      <w:caps/>
    </w:rPr>
  </w:style>
  <w:style w:type="paragraph" w:customStyle="1" w:styleId="TTEMEASMCA">
    <w:name w:val="TT EMEA_SMCA"/>
    <w:basedOn w:val="Antrat1"/>
    <w:link w:val="TTEMEASMCAChar"/>
    <w:autoRedefine/>
    <w:rsid w:val="009825FE"/>
    <w:pPr>
      <w:keepNext w:val="0"/>
      <w:tabs>
        <w:tab w:val="left" w:pos="567"/>
      </w:tabs>
      <w:spacing w:before="0" w:after="0"/>
      <w:ind w:left="567" w:hanging="567"/>
      <w:jc w:val="center"/>
    </w:pPr>
    <w:rPr>
      <w:rFonts w:asciiTheme="minorHAnsi" w:eastAsiaTheme="minorHAnsi" w:hAnsiTheme="minorHAnsi"/>
      <w:bCs w:val="0"/>
      <w:caps/>
      <w:kern w:val="0"/>
      <w:sz w:val="22"/>
      <w:szCs w:val="22"/>
      <w:lang w:eastAsia="en-US"/>
    </w:rPr>
  </w:style>
  <w:style w:type="paragraph" w:customStyle="1" w:styleId="BTAnIIEMEASMCA">
    <w:name w:val="BT(AnII) EMEA_SMCA"/>
    <w:basedOn w:val="Debesliotekstas"/>
    <w:autoRedefine/>
    <w:rsid w:val="009825F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825FE"/>
    <w:pPr>
      <w:tabs>
        <w:tab w:val="num" w:pos="360"/>
      </w:tabs>
    </w:pPr>
  </w:style>
  <w:style w:type="paragraph" w:customStyle="1" w:styleId="PI-3EMEASMCA">
    <w:name w:val="PI-3 EMEA_SMCA"/>
    <w:basedOn w:val="prastasis"/>
    <w:autoRedefine/>
    <w:rsid w:val="009825F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9825FE"/>
    <w:rPr>
      <w:b/>
    </w:rPr>
  </w:style>
  <w:style w:type="paragraph" w:customStyle="1" w:styleId="BTeEMEASMCA">
    <w:name w:val="BT(e) EMEA_SMCA"/>
    <w:basedOn w:val="BTEMEASMCA"/>
    <w:autoRedefine/>
    <w:rsid w:val="009825FE"/>
    <w:pPr>
      <w:jc w:val="center"/>
    </w:pPr>
  </w:style>
  <w:style w:type="character" w:customStyle="1" w:styleId="BTgEMEASMCAChar">
    <w:name w:val="BT(g) EMEA_SMCA Char"/>
    <w:basedOn w:val="BTEMEASMCAChar"/>
    <w:link w:val="BTgEMEASMCA"/>
    <w:locked/>
    <w:rsid w:val="009825FE"/>
    <w:rPr>
      <w:rFonts w:ascii="Calibri" w:hAnsi="Calibri" w:cs="Times New Roman"/>
      <w:bCs/>
      <w:i/>
      <w:color w:val="008000"/>
    </w:rPr>
  </w:style>
  <w:style w:type="paragraph" w:customStyle="1" w:styleId="BTgEMEASMCA">
    <w:name w:val="BT(g) EMEA_SMCA"/>
    <w:basedOn w:val="BTEMEASMCA"/>
    <w:link w:val="BTgEMEASMCAChar"/>
    <w:autoRedefine/>
    <w:rsid w:val="009825FE"/>
    <w:pPr>
      <w:numPr>
        <w:numId w:val="1"/>
      </w:numPr>
    </w:pPr>
    <w:rPr>
      <w:i/>
      <w:color w:val="008000"/>
    </w:rPr>
  </w:style>
  <w:style w:type="paragraph" w:customStyle="1" w:styleId="BTuEMEASMCA">
    <w:name w:val="BT(u) EMEA_SMCA"/>
    <w:basedOn w:val="BTEMEASMCA"/>
    <w:autoRedefine/>
    <w:rsid w:val="009825FE"/>
    <w:rPr>
      <w:u w:val="single"/>
    </w:rPr>
  </w:style>
  <w:style w:type="paragraph" w:customStyle="1" w:styleId="fachinfotext">
    <w:name w:val="fachinfotext"/>
    <w:basedOn w:val="prastasis"/>
    <w:rsid w:val="009825FE"/>
    <w:pPr>
      <w:tabs>
        <w:tab w:val="left" w:pos="284"/>
      </w:tabs>
      <w:spacing w:after="0" w:line="240" w:lineRule="auto"/>
      <w:jc w:val="both"/>
    </w:pPr>
    <w:rPr>
      <w:rFonts w:ascii="Arial" w:eastAsia="Times New Roman" w:hAnsi="Arial" w:cs="Arial"/>
      <w:sz w:val="16"/>
      <w:szCs w:val="16"/>
      <w:lang w:val="de-DE" w:eastAsia="de-DE"/>
    </w:rPr>
  </w:style>
  <w:style w:type="character" w:customStyle="1" w:styleId="Volgblad">
    <w:name w:val="Volgblad"/>
    <w:basedOn w:val="Numatytasispastraiposriftas"/>
    <w:rsid w:val="009825FE"/>
    <w:rPr>
      <w:rFonts w:ascii="Courier" w:hAnsi="Courier" w:cs="Times New Roman"/>
      <w:sz w:val="24"/>
      <w:lang w:val="en-US" w:eastAsia="x-none"/>
    </w:rPr>
  </w:style>
  <w:style w:type="character" w:styleId="Puslapionumeris">
    <w:name w:val="page number"/>
    <w:basedOn w:val="Numatytasispastraiposriftas"/>
    <w:rsid w:val="009825FE"/>
    <w:rPr>
      <w:rFonts w:cs="Times New Roman"/>
    </w:rPr>
  </w:style>
  <w:style w:type="paragraph" w:styleId="Pagrindiniotekstotrauka">
    <w:name w:val="Body Text Indent"/>
    <w:basedOn w:val="prastasis"/>
    <w:link w:val="PagrindiniotekstotraukaDiagrama"/>
    <w:rsid w:val="009825FE"/>
    <w:pPr>
      <w:spacing w:after="120" w:line="240" w:lineRule="auto"/>
      <w:ind w:left="283"/>
    </w:pPr>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
    <w:rsid w:val="009825FE"/>
    <w:rPr>
      <w:rFonts w:ascii="Times New Roman" w:eastAsia="Times New Roman" w:hAnsi="Times New Roman" w:cs="Times New Roman"/>
      <w:sz w:val="24"/>
      <w:szCs w:val="24"/>
      <w:lang w:eastAsia="lt-LT"/>
    </w:rPr>
  </w:style>
  <w:style w:type="character" w:styleId="Hipersaitas">
    <w:name w:val="Hyperlink"/>
    <w:basedOn w:val="Numatytasispastraiposriftas"/>
    <w:rsid w:val="009825FE"/>
    <w:rPr>
      <w:rFonts w:cs="Times New Roman"/>
      <w:color w:val="0000FF"/>
      <w:u w:val="single"/>
    </w:rPr>
  </w:style>
  <w:style w:type="paragraph" w:styleId="Komentarotekstas">
    <w:name w:val="annotation text"/>
    <w:basedOn w:val="prastasis"/>
    <w:link w:val="KomentarotekstasDiagrama"/>
    <w:semiHidden/>
    <w:rsid w:val="009825FE"/>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9825F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9825FE"/>
    <w:rPr>
      <w:b/>
      <w:bCs/>
    </w:rPr>
  </w:style>
  <w:style w:type="character" w:customStyle="1" w:styleId="KomentarotemaDiagrama">
    <w:name w:val="Komentaro tema Diagrama"/>
    <w:basedOn w:val="KomentarotekstasDiagrama"/>
    <w:link w:val="Komentarotema"/>
    <w:semiHidden/>
    <w:rsid w:val="009825FE"/>
    <w:rPr>
      <w:rFonts w:ascii="Times New Roman" w:eastAsia="Times New Roman" w:hAnsi="Times New Roman" w:cs="Times New Roman"/>
      <w:b/>
      <w:bCs/>
      <w:sz w:val="20"/>
      <w:szCs w:val="20"/>
      <w:lang w:eastAsia="lt-LT"/>
    </w:rPr>
  </w:style>
  <w:style w:type="table" w:styleId="Lentelstinklelis">
    <w:name w:val="Table Grid"/>
    <w:basedOn w:val="prastojilentel"/>
    <w:rsid w:val="009825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25FE"/>
    <w:pPr>
      <w:ind w:left="720"/>
      <w:contextualSpacing/>
    </w:pPr>
  </w:style>
  <w:style w:type="character" w:styleId="Komentaronuoroda">
    <w:name w:val="annotation reference"/>
    <w:basedOn w:val="Numatytasispastraiposriftas"/>
    <w:uiPriority w:val="99"/>
    <w:semiHidden/>
    <w:unhideWhenUsed/>
    <w:rsid w:val="009825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10655</Words>
  <Characters>79707</Characters>
  <Application>Microsoft Office Word</Application>
  <DocSecurity>8</DocSecurity>
  <Lines>4688</Lines>
  <Paragraphs>2442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2016-08-17T12:16:00Z</dcterms:created>
  <dcterms:modified xsi:type="dcterms:W3CDTF">2016-08-17T12:16:00Z</dcterms:modified>
</cp:coreProperties>
</file>