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0932" w14:textId="77777777" w:rsidR="00D66635" w:rsidRPr="00D66635" w:rsidRDefault="00D66635" w:rsidP="00D66635">
      <w:pPr>
        <w:pStyle w:val="Antrat3"/>
        <w:spacing w:before="0" w:after="0"/>
        <w:jc w:val="center"/>
        <w:rPr>
          <w:rFonts w:ascii="Times New Roman" w:hAnsi="Times New Roman" w:cs="Times New Roman"/>
          <w:b/>
          <w:bCs/>
          <w:color w:val="auto"/>
          <w:sz w:val="22"/>
          <w:szCs w:val="22"/>
        </w:rPr>
      </w:pPr>
      <w:r w:rsidRPr="00D66635">
        <w:rPr>
          <w:rFonts w:ascii="Times New Roman" w:hAnsi="Times New Roman" w:cs="Times New Roman"/>
          <w:b/>
          <w:bCs/>
          <w:color w:val="auto"/>
          <w:sz w:val="22"/>
          <w:szCs w:val="22"/>
        </w:rPr>
        <w:t>Pakuotės lapelis: informacija vartotojui</w:t>
      </w:r>
    </w:p>
    <w:p w14:paraId="2F21B07C" w14:textId="77777777" w:rsidR="00D66635" w:rsidRPr="00D66635" w:rsidRDefault="00D66635" w:rsidP="00D66635">
      <w:pPr>
        <w:rPr>
          <w:sz w:val="22"/>
          <w:szCs w:val="22"/>
          <w:lang w:eastAsia="lt-LT"/>
        </w:rPr>
      </w:pPr>
    </w:p>
    <w:p w14:paraId="3A7C5F69" w14:textId="77777777" w:rsidR="00D66635" w:rsidRPr="00D66635" w:rsidRDefault="00D66635" w:rsidP="00D66635">
      <w:pPr>
        <w:pStyle w:val="Antrat2"/>
        <w:spacing w:before="0" w:after="0"/>
        <w:jc w:val="center"/>
        <w:rPr>
          <w:rFonts w:ascii="Times New Roman" w:hAnsi="Times New Roman" w:cs="Times New Roman"/>
          <w:b/>
          <w:bCs/>
          <w:color w:val="auto"/>
          <w:sz w:val="22"/>
          <w:szCs w:val="22"/>
        </w:rPr>
      </w:pPr>
      <w:proofErr w:type="spellStart"/>
      <w:r w:rsidRPr="00D66635">
        <w:rPr>
          <w:rFonts w:ascii="Times New Roman" w:hAnsi="Times New Roman" w:cs="Times New Roman"/>
          <w:b/>
          <w:bCs/>
          <w:color w:val="auto"/>
          <w:sz w:val="22"/>
          <w:szCs w:val="22"/>
        </w:rPr>
        <w:t>Sinupret</w:t>
      </w:r>
      <w:proofErr w:type="spellEnd"/>
      <w:r w:rsidRPr="00D66635">
        <w:rPr>
          <w:rFonts w:ascii="Times New Roman" w:hAnsi="Times New Roman" w:cs="Times New Roman"/>
          <w:b/>
          <w:bCs/>
          <w:color w:val="auto"/>
          <w:sz w:val="22"/>
          <w:szCs w:val="22"/>
          <w:vertAlign w:val="superscript"/>
        </w:rPr>
        <w:t xml:space="preserve"> </w:t>
      </w:r>
      <w:r w:rsidRPr="00D66635">
        <w:rPr>
          <w:rFonts w:ascii="Times New Roman" w:hAnsi="Times New Roman" w:cs="Times New Roman"/>
          <w:b/>
          <w:bCs/>
          <w:color w:val="auto"/>
          <w:sz w:val="22"/>
          <w:szCs w:val="22"/>
        </w:rPr>
        <w:t>forte dengtos tabletės</w:t>
      </w:r>
    </w:p>
    <w:p w14:paraId="50651B3B" w14:textId="77777777" w:rsidR="00D66635" w:rsidRPr="00D66635" w:rsidRDefault="00D66635" w:rsidP="00D66635">
      <w:pPr>
        <w:jc w:val="center"/>
        <w:rPr>
          <w:sz w:val="22"/>
          <w:szCs w:val="22"/>
        </w:rPr>
      </w:pPr>
      <w:proofErr w:type="spellStart"/>
      <w:r w:rsidRPr="00D66635">
        <w:rPr>
          <w:sz w:val="22"/>
          <w:szCs w:val="22"/>
        </w:rPr>
        <w:t>verbenų</w:t>
      </w:r>
      <w:proofErr w:type="spellEnd"/>
      <w:r w:rsidRPr="00D66635">
        <w:rPr>
          <w:sz w:val="22"/>
          <w:szCs w:val="22"/>
        </w:rPr>
        <w:t xml:space="preserve"> žolės milteliai, </w:t>
      </w:r>
      <w:proofErr w:type="spellStart"/>
      <w:r w:rsidRPr="00D66635">
        <w:rPr>
          <w:sz w:val="22"/>
          <w:szCs w:val="22"/>
        </w:rPr>
        <w:t>gencijonų</w:t>
      </w:r>
      <w:proofErr w:type="spellEnd"/>
      <w:r w:rsidRPr="00D66635">
        <w:rPr>
          <w:sz w:val="22"/>
          <w:szCs w:val="22"/>
        </w:rPr>
        <w:t xml:space="preserve"> šaknų milteliai, rūgštynių žolės milteliai, šeivamedžių žiedų milteliai, raktažolių žiedų milteliai</w:t>
      </w:r>
    </w:p>
    <w:p w14:paraId="51D28957" w14:textId="77777777" w:rsidR="00D66635" w:rsidRPr="00D66635" w:rsidRDefault="00D66635" w:rsidP="00D66635">
      <w:pPr>
        <w:rPr>
          <w:sz w:val="22"/>
          <w:szCs w:val="22"/>
        </w:rPr>
      </w:pPr>
    </w:p>
    <w:p w14:paraId="14EB9F75" w14:textId="77777777" w:rsidR="00D66635" w:rsidRPr="00D66635" w:rsidRDefault="00D66635" w:rsidP="00D66635">
      <w:pPr>
        <w:rPr>
          <w:b/>
          <w:sz w:val="22"/>
          <w:szCs w:val="22"/>
        </w:rPr>
      </w:pPr>
      <w:r w:rsidRPr="00D66635">
        <w:rPr>
          <w:b/>
          <w:sz w:val="22"/>
          <w:szCs w:val="22"/>
        </w:rPr>
        <w:t>Atidžiai perskaitykite visą šį lapelį, prieš pradėdami vartoti šį vaistą, nes jame pateikiama Jums svarbi informacija.</w:t>
      </w:r>
    </w:p>
    <w:p w14:paraId="2E50FE9B" w14:textId="77777777" w:rsidR="00D66635" w:rsidRPr="00D66635" w:rsidRDefault="00D66635" w:rsidP="00D66635">
      <w:pPr>
        <w:numPr>
          <w:ilvl w:val="12"/>
          <w:numId w:val="0"/>
        </w:numPr>
        <w:rPr>
          <w:sz w:val="22"/>
          <w:szCs w:val="22"/>
        </w:rPr>
      </w:pPr>
      <w:r w:rsidRPr="00D66635">
        <w:rPr>
          <w:sz w:val="22"/>
          <w:szCs w:val="22"/>
        </w:rPr>
        <w:t>Visada vartokite šį vaistą tiksliai kaip aprašyta šiame lapelyje arba kaip nurodė gydytojas arba vaistininkas.</w:t>
      </w:r>
    </w:p>
    <w:p w14:paraId="74445580" w14:textId="77777777" w:rsidR="00D66635" w:rsidRPr="00D66635" w:rsidRDefault="00D66635" w:rsidP="00D66635">
      <w:pPr>
        <w:ind w:left="567" w:hanging="567"/>
        <w:rPr>
          <w:sz w:val="22"/>
          <w:szCs w:val="22"/>
        </w:rPr>
      </w:pPr>
      <w:r w:rsidRPr="00D66635">
        <w:rPr>
          <w:sz w:val="22"/>
          <w:szCs w:val="22"/>
        </w:rPr>
        <w:t>-</w:t>
      </w:r>
      <w:r w:rsidRPr="00D66635">
        <w:rPr>
          <w:sz w:val="22"/>
          <w:szCs w:val="22"/>
        </w:rPr>
        <w:tab/>
        <w:t>Neišmeskite šio lapelio, nes vėl gali prireikti jį perskaityti.</w:t>
      </w:r>
    </w:p>
    <w:p w14:paraId="7C90FD7E" w14:textId="77777777" w:rsidR="00D66635" w:rsidRPr="00D66635" w:rsidRDefault="00D66635" w:rsidP="00D66635">
      <w:pPr>
        <w:ind w:left="567" w:hanging="567"/>
        <w:rPr>
          <w:sz w:val="22"/>
          <w:szCs w:val="22"/>
        </w:rPr>
      </w:pPr>
      <w:r w:rsidRPr="00D66635">
        <w:rPr>
          <w:sz w:val="22"/>
          <w:szCs w:val="22"/>
        </w:rPr>
        <w:t>-</w:t>
      </w:r>
      <w:r w:rsidRPr="00D66635">
        <w:rPr>
          <w:sz w:val="22"/>
          <w:szCs w:val="22"/>
        </w:rPr>
        <w:tab/>
        <w:t>Jeigu norite sužinoti daugiau arba pasitarti, kreipkitės į vaistininką.</w:t>
      </w:r>
    </w:p>
    <w:p w14:paraId="6159BD7D" w14:textId="77777777" w:rsidR="00D66635" w:rsidRPr="00D66635" w:rsidRDefault="00D66635" w:rsidP="00D66635">
      <w:pPr>
        <w:numPr>
          <w:ilvl w:val="0"/>
          <w:numId w:val="2"/>
        </w:numPr>
        <w:tabs>
          <w:tab w:val="left" w:pos="567"/>
        </w:tabs>
        <w:ind w:left="567" w:hanging="567"/>
        <w:rPr>
          <w:sz w:val="22"/>
          <w:szCs w:val="22"/>
        </w:rPr>
      </w:pPr>
      <w:r w:rsidRPr="00D66635">
        <w:rPr>
          <w:sz w:val="22"/>
          <w:szCs w:val="22"/>
        </w:rPr>
        <w:t>Jeigu pasireiškė šalutinis poveikis (net jeigu jis šiame lapelyje nenurodytas), kreipkitės į gydytoją, vaistininką arba slaugytoją. Žr. 4 skyrių.</w:t>
      </w:r>
    </w:p>
    <w:p w14:paraId="4AC741D8" w14:textId="77777777" w:rsidR="00D66635" w:rsidRPr="00D66635" w:rsidRDefault="00D66635" w:rsidP="00D66635">
      <w:pPr>
        <w:numPr>
          <w:ilvl w:val="0"/>
          <w:numId w:val="2"/>
        </w:numPr>
        <w:tabs>
          <w:tab w:val="left" w:pos="567"/>
        </w:tabs>
        <w:ind w:left="567" w:hanging="567"/>
        <w:rPr>
          <w:sz w:val="22"/>
          <w:szCs w:val="22"/>
        </w:rPr>
      </w:pPr>
      <w:r w:rsidRPr="00D66635">
        <w:rPr>
          <w:sz w:val="22"/>
          <w:szCs w:val="22"/>
        </w:rPr>
        <w:t>Jeigu per 7–14 dienų Jūsų savijauta nepagerėjo arba net pablogėjo, kreipkitės į gydytoją.</w:t>
      </w:r>
    </w:p>
    <w:p w14:paraId="5935E8B7" w14:textId="77777777" w:rsidR="00D66635" w:rsidRPr="00D66635" w:rsidRDefault="00D66635" w:rsidP="00D66635">
      <w:pPr>
        <w:rPr>
          <w:sz w:val="22"/>
          <w:szCs w:val="22"/>
        </w:rPr>
      </w:pPr>
    </w:p>
    <w:p w14:paraId="042D87E1" w14:textId="77777777" w:rsidR="00D66635" w:rsidRPr="00D66635" w:rsidRDefault="00D66635" w:rsidP="00D66635">
      <w:pPr>
        <w:ind w:left="567" w:hanging="567"/>
        <w:rPr>
          <w:b/>
          <w:sz w:val="22"/>
          <w:szCs w:val="22"/>
        </w:rPr>
      </w:pPr>
      <w:r w:rsidRPr="00D66635">
        <w:rPr>
          <w:b/>
          <w:sz w:val="22"/>
          <w:szCs w:val="22"/>
        </w:rPr>
        <w:t>Apie ką rašoma šiame lapelyje?</w:t>
      </w:r>
    </w:p>
    <w:p w14:paraId="61C27C95" w14:textId="77777777" w:rsidR="00D66635" w:rsidRPr="00D66635" w:rsidRDefault="00D66635" w:rsidP="00D66635">
      <w:pPr>
        <w:ind w:left="567" w:hanging="567"/>
        <w:rPr>
          <w:b/>
          <w:sz w:val="22"/>
          <w:szCs w:val="22"/>
        </w:rPr>
      </w:pPr>
    </w:p>
    <w:p w14:paraId="7D3242A8" w14:textId="77777777" w:rsidR="00D66635" w:rsidRPr="00D66635" w:rsidRDefault="00D66635" w:rsidP="00D66635">
      <w:pPr>
        <w:tabs>
          <w:tab w:val="left" w:pos="567"/>
        </w:tabs>
        <w:rPr>
          <w:sz w:val="22"/>
          <w:szCs w:val="22"/>
        </w:rPr>
      </w:pPr>
      <w:r w:rsidRPr="00D66635">
        <w:rPr>
          <w:sz w:val="22"/>
          <w:szCs w:val="22"/>
        </w:rPr>
        <w:t>1.</w:t>
      </w:r>
      <w:r w:rsidRPr="00D66635">
        <w:rPr>
          <w:sz w:val="22"/>
          <w:szCs w:val="22"/>
        </w:rPr>
        <w:tab/>
        <w:t xml:space="preserve">Kas yra </w:t>
      </w:r>
      <w:proofErr w:type="spellStart"/>
      <w:r w:rsidRPr="00D66635">
        <w:rPr>
          <w:sz w:val="22"/>
          <w:szCs w:val="22"/>
        </w:rPr>
        <w:t>Sinupret</w:t>
      </w:r>
      <w:proofErr w:type="spellEnd"/>
      <w:r w:rsidRPr="00D66635">
        <w:rPr>
          <w:sz w:val="22"/>
          <w:szCs w:val="22"/>
        </w:rPr>
        <w:t xml:space="preserve"> forte ir kam jis vartojamas</w:t>
      </w:r>
    </w:p>
    <w:p w14:paraId="0C3421C4" w14:textId="77777777" w:rsidR="00D66635" w:rsidRPr="00D66635" w:rsidRDefault="00D66635" w:rsidP="00D66635">
      <w:pPr>
        <w:tabs>
          <w:tab w:val="left" w:pos="567"/>
        </w:tabs>
        <w:rPr>
          <w:sz w:val="22"/>
          <w:szCs w:val="22"/>
        </w:rPr>
      </w:pPr>
      <w:r w:rsidRPr="00D66635">
        <w:rPr>
          <w:sz w:val="22"/>
          <w:szCs w:val="22"/>
        </w:rPr>
        <w:t>2.</w:t>
      </w:r>
      <w:r w:rsidRPr="00D66635">
        <w:rPr>
          <w:sz w:val="22"/>
          <w:szCs w:val="22"/>
        </w:rPr>
        <w:tab/>
        <w:t xml:space="preserve">Kas žinotina prieš vartojant </w:t>
      </w:r>
      <w:proofErr w:type="spellStart"/>
      <w:r w:rsidRPr="00D66635">
        <w:rPr>
          <w:sz w:val="22"/>
          <w:szCs w:val="22"/>
        </w:rPr>
        <w:t>Sinupret</w:t>
      </w:r>
      <w:proofErr w:type="spellEnd"/>
      <w:r w:rsidRPr="00D66635">
        <w:rPr>
          <w:sz w:val="22"/>
          <w:szCs w:val="22"/>
        </w:rPr>
        <w:t xml:space="preserve"> forte</w:t>
      </w:r>
    </w:p>
    <w:p w14:paraId="4700240F" w14:textId="77777777" w:rsidR="00D66635" w:rsidRPr="00D66635" w:rsidRDefault="00D66635" w:rsidP="00D66635">
      <w:pPr>
        <w:tabs>
          <w:tab w:val="left" w:pos="567"/>
        </w:tabs>
        <w:rPr>
          <w:sz w:val="22"/>
          <w:szCs w:val="22"/>
        </w:rPr>
      </w:pPr>
      <w:r w:rsidRPr="00D66635">
        <w:rPr>
          <w:sz w:val="22"/>
          <w:szCs w:val="22"/>
        </w:rPr>
        <w:t>3.</w:t>
      </w:r>
      <w:r w:rsidRPr="00D66635">
        <w:rPr>
          <w:sz w:val="22"/>
          <w:szCs w:val="22"/>
        </w:rPr>
        <w:tab/>
        <w:t xml:space="preserve">Kaip vartoti </w:t>
      </w:r>
      <w:proofErr w:type="spellStart"/>
      <w:r w:rsidRPr="00D66635">
        <w:rPr>
          <w:sz w:val="22"/>
          <w:szCs w:val="22"/>
        </w:rPr>
        <w:t>Sinupret</w:t>
      </w:r>
      <w:proofErr w:type="spellEnd"/>
      <w:r w:rsidRPr="00D66635">
        <w:rPr>
          <w:sz w:val="22"/>
          <w:szCs w:val="22"/>
        </w:rPr>
        <w:t xml:space="preserve"> forte </w:t>
      </w:r>
    </w:p>
    <w:p w14:paraId="6B7434B4" w14:textId="77777777" w:rsidR="00D66635" w:rsidRPr="00D66635" w:rsidRDefault="00D66635" w:rsidP="00D66635">
      <w:pPr>
        <w:tabs>
          <w:tab w:val="left" w:pos="567"/>
        </w:tabs>
        <w:rPr>
          <w:sz w:val="22"/>
          <w:szCs w:val="22"/>
        </w:rPr>
      </w:pPr>
      <w:r w:rsidRPr="00D66635">
        <w:rPr>
          <w:sz w:val="22"/>
          <w:szCs w:val="22"/>
        </w:rPr>
        <w:t>4.</w:t>
      </w:r>
      <w:r w:rsidRPr="00D66635">
        <w:rPr>
          <w:sz w:val="22"/>
          <w:szCs w:val="22"/>
        </w:rPr>
        <w:tab/>
        <w:t>Galimas šalutinis poveikis</w:t>
      </w:r>
    </w:p>
    <w:p w14:paraId="6416D4C0" w14:textId="77777777" w:rsidR="00D66635" w:rsidRPr="00D66635" w:rsidRDefault="00D66635" w:rsidP="00D66635">
      <w:pPr>
        <w:tabs>
          <w:tab w:val="left" w:pos="567"/>
        </w:tabs>
        <w:rPr>
          <w:sz w:val="22"/>
          <w:szCs w:val="22"/>
        </w:rPr>
      </w:pPr>
      <w:r w:rsidRPr="00D66635">
        <w:rPr>
          <w:sz w:val="22"/>
          <w:szCs w:val="22"/>
        </w:rPr>
        <w:t>5.</w:t>
      </w:r>
      <w:r w:rsidRPr="00D66635">
        <w:rPr>
          <w:sz w:val="22"/>
          <w:szCs w:val="22"/>
        </w:rPr>
        <w:tab/>
        <w:t xml:space="preserve">Kaip laikyti </w:t>
      </w:r>
      <w:proofErr w:type="spellStart"/>
      <w:r w:rsidRPr="00D66635">
        <w:rPr>
          <w:sz w:val="22"/>
          <w:szCs w:val="22"/>
        </w:rPr>
        <w:t>Sinupret</w:t>
      </w:r>
      <w:proofErr w:type="spellEnd"/>
      <w:r w:rsidRPr="00D66635">
        <w:rPr>
          <w:sz w:val="22"/>
          <w:szCs w:val="22"/>
        </w:rPr>
        <w:t xml:space="preserve"> forte</w:t>
      </w:r>
    </w:p>
    <w:p w14:paraId="5AECB13A" w14:textId="77777777" w:rsidR="00D66635" w:rsidRPr="00D66635" w:rsidRDefault="00D66635" w:rsidP="00D66635">
      <w:pPr>
        <w:tabs>
          <w:tab w:val="left" w:pos="567"/>
        </w:tabs>
        <w:rPr>
          <w:sz w:val="22"/>
          <w:szCs w:val="22"/>
        </w:rPr>
      </w:pPr>
      <w:r w:rsidRPr="00D66635">
        <w:rPr>
          <w:sz w:val="22"/>
          <w:szCs w:val="22"/>
        </w:rPr>
        <w:t>6.</w:t>
      </w:r>
      <w:r w:rsidRPr="00D66635">
        <w:rPr>
          <w:sz w:val="22"/>
          <w:szCs w:val="22"/>
        </w:rPr>
        <w:tab/>
        <w:t>Pakuotės turinys ir kita informacija</w:t>
      </w:r>
    </w:p>
    <w:p w14:paraId="4557D1FD" w14:textId="77777777" w:rsidR="00D66635" w:rsidRPr="00D66635" w:rsidRDefault="00D66635" w:rsidP="00D66635">
      <w:pPr>
        <w:rPr>
          <w:sz w:val="22"/>
          <w:szCs w:val="22"/>
        </w:rPr>
      </w:pPr>
    </w:p>
    <w:p w14:paraId="551FC188" w14:textId="77777777" w:rsidR="00D66635" w:rsidRPr="00D66635" w:rsidRDefault="00D66635" w:rsidP="00D66635">
      <w:pPr>
        <w:rPr>
          <w:sz w:val="22"/>
          <w:szCs w:val="22"/>
        </w:rPr>
      </w:pPr>
    </w:p>
    <w:p w14:paraId="3E506A74" w14:textId="77777777" w:rsidR="00D66635" w:rsidRPr="00D66635" w:rsidRDefault="00D66635" w:rsidP="00D66635">
      <w:pPr>
        <w:ind w:left="540" w:hanging="540"/>
        <w:rPr>
          <w:b/>
          <w:bCs/>
          <w:sz w:val="22"/>
          <w:szCs w:val="22"/>
        </w:rPr>
      </w:pPr>
      <w:r w:rsidRPr="00D66635">
        <w:rPr>
          <w:b/>
          <w:bCs/>
          <w:sz w:val="22"/>
          <w:szCs w:val="22"/>
        </w:rPr>
        <w:t>1.</w:t>
      </w:r>
      <w:r w:rsidRPr="00D66635">
        <w:rPr>
          <w:b/>
          <w:bCs/>
          <w:sz w:val="22"/>
          <w:szCs w:val="22"/>
        </w:rPr>
        <w:tab/>
      </w:r>
      <w:r w:rsidRPr="00D66635">
        <w:rPr>
          <w:b/>
          <w:sz w:val="22"/>
          <w:szCs w:val="22"/>
        </w:rPr>
        <w:t xml:space="preserve">Kas yra </w:t>
      </w:r>
      <w:proofErr w:type="spellStart"/>
      <w:r w:rsidRPr="00D66635">
        <w:rPr>
          <w:b/>
          <w:sz w:val="22"/>
          <w:szCs w:val="22"/>
        </w:rPr>
        <w:t>Sinupret</w:t>
      </w:r>
      <w:proofErr w:type="spellEnd"/>
      <w:r w:rsidRPr="00D66635">
        <w:rPr>
          <w:b/>
          <w:sz w:val="22"/>
          <w:szCs w:val="22"/>
        </w:rPr>
        <w:t xml:space="preserve"> forte ir kam jis vartojamas</w:t>
      </w:r>
      <w:r w:rsidRPr="00D66635" w:rsidDel="006914E9">
        <w:rPr>
          <w:b/>
          <w:bCs/>
          <w:sz w:val="22"/>
          <w:szCs w:val="22"/>
        </w:rPr>
        <w:t xml:space="preserve"> </w:t>
      </w:r>
    </w:p>
    <w:p w14:paraId="2E10BB22" w14:textId="77777777" w:rsidR="00D66635" w:rsidRPr="00D66635" w:rsidRDefault="00D66635" w:rsidP="00D66635">
      <w:pPr>
        <w:ind w:left="540" w:hanging="540"/>
        <w:rPr>
          <w:sz w:val="22"/>
          <w:szCs w:val="22"/>
        </w:rPr>
      </w:pPr>
    </w:p>
    <w:p w14:paraId="52E7DCC5" w14:textId="77777777" w:rsidR="00D66635" w:rsidRPr="00D66635" w:rsidRDefault="00D66635" w:rsidP="00D66635">
      <w:pPr>
        <w:rPr>
          <w:sz w:val="22"/>
          <w:szCs w:val="22"/>
        </w:rPr>
      </w:pPr>
      <w:proofErr w:type="spellStart"/>
      <w:r w:rsidRPr="00D66635">
        <w:rPr>
          <w:sz w:val="22"/>
          <w:szCs w:val="22"/>
        </w:rPr>
        <w:t>Sinupret</w:t>
      </w:r>
      <w:proofErr w:type="spellEnd"/>
      <w:r w:rsidRPr="00D66635">
        <w:rPr>
          <w:sz w:val="22"/>
          <w:szCs w:val="22"/>
        </w:rPr>
        <w:t xml:space="preserve"> forte yra augalinis vaistas, vartojamas tirštam nosiaryklės sekretui skystinti sergant ūminiu arba paūmėjusiu lėtiniu prienosinių ančių uždegimu (sinusitu). </w:t>
      </w:r>
    </w:p>
    <w:p w14:paraId="240D4E1B" w14:textId="77777777" w:rsidR="00D66635" w:rsidRPr="00D66635" w:rsidRDefault="00D66635" w:rsidP="00D66635">
      <w:pPr>
        <w:rPr>
          <w:sz w:val="22"/>
          <w:szCs w:val="22"/>
        </w:rPr>
      </w:pPr>
    </w:p>
    <w:p w14:paraId="2D7A21CC" w14:textId="77777777" w:rsidR="00D66635" w:rsidRPr="00D66635" w:rsidRDefault="00D66635" w:rsidP="00D66635">
      <w:pPr>
        <w:rPr>
          <w:sz w:val="22"/>
          <w:szCs w:val="22"/>
        </w:rPr>
      </w:pPr>
    </w:p>
    <w:p w14:paraId="416F6D98" w14:textId="77777777" w:rsidR="00D66635" w:rsidRPr="00D66635" w:rsidRDefault="00D66635" w:rsidP="00D66635">
      <w:pPr>
        <w:ind w:left="540" w:hanging="540"/>
        <w:rPr>
          <w:b/>
          <w:sz w:val="22"/>
          <w:szCs w:val="22"/>
        </w:rPr>
      </w:pPr>
      <w:r w:rsidRPr="00D66635">
        <w:rPr>
          <w:b/>
          <w:bCs/>
          <w:sz w:val="22"/>
          <w:szCs w:val="22"/>
        </w:rPr>
        <w:t>2.</w:t>
      </w:r>
      <w:r w:rsidRPr="00D66635">
        <w:rPr>
          <w:b/>
          <w:bCs/>
          <w:sz w:val="22"/>
          <w:szCs w:val="22"/>
        </w:rPr>
        <w:tab/>
      </w:r>
      <w:r w:rsidRPr="00D66635">
        <w:rPr>
          <w:b/>
          <w:sz w:val="22"/>
          <w:szCs w:val="22"/>
        </w:rPr>
        <w:t xml:space="preserve">Kas žinotina prieš vartojant </w:t>
      </w:r>
      <w:proofErr w:type="spellStart"/>
      <w:r w:rsidRPr="00D66635">
        <w:rPr>
          <w:b/>
          <w:sz w:val="22"/>
          <w:szCs w:val="22"/>
        </w:rPr>
        <w:t>Sinupret</w:t>
      </w:r>
      <w:proofErr w:type="spellEnd"/>
      <w:r w:rsidRPr="00D66635">
        <w:rPr>
          <w:b/>
          <w:sz w:val="22"/>
          <w:szCs w:val="22"/>
        </w:rPr>
        <w:t xml:space="preserve"> forte </w:t>
      </w:r>
    </w:p>
    <w:p w14:paraId="6ACC3BEE" w14:textId="77777777" w:rsidR="00D66635" w:rsidRPr="00D66635" w:rsidRDefault="00D66635" w:rsidP="00D66635">
      <w:pPr>
        <w:ind w:left="540" w:hanging="540"/>
        <w:rPr>
          <w:b/>
          <w:bCs/>
          <w:sz w:val="22"/>
          <w:szCs w:val="22"/>
        </w:rPr>
      </w:pPr>
    </w:p>
    <w:p w14:paraId="3823FFE4" w14:textId="77777777" w:rsidR="00D66635" w:rsidRPr="00D66635" w:rsidRDefault="00D66635" w:rsidP="00D66635">
      <w:pPr>
        <w:rPr>
          <w:b/>
          <w:bCs/>
          <w:sz w:val="22"/>
          <w:szCs w:val="22"/>
        </w:rPr>
      </w:pPr>
      <w:proofErr w:type="spellStart"/>
      <w:r w:rsidRPr="00D66635">
        <w:rPr>
          <w:b/>
          <w:bCs/>
          <w:sz w:val="22"/>
          <w:szCs w:val="22"/>
        </w:rPr>
        <w:t>Sinupret</w:t>
      </w:r>
      <w:proofErr w:type="spellEnd"/>
      <w:r w:rsidRPr="00D66635">
        <w:rPr>
          <w:b/>
          <w:bCs/>
          <w:sz w:val="22"/>
          <w:szCs w:val="22"/>
        </w:rPr>
        <w:t xml:space="preserve"> forte vartoti draudžiama:</w:t>
      </w:r>
    </w:p>
    <w:p w14:paraId="581C8CFE" w14:textId="77777777" w:rsidR="00D66635" w:rsidRPr="00D66635" w:rsidRDefault="00D66635" w:rsidP="00D66635">
      <w:pPr>
        <w:ind w:left="720" w:hanging="720"/>
        <w:rPr>
          <w:b/>
          <w:bCs/>
          <w:sz w:val="22"/>
          <w:szCs w:val="22"/>
        </w:rPr>
      </w:pPr>
      <w:r w:rsidRPr="00D66635">
        <w:rPr>
          <w:b/>
          <w:bCs/>
          <w:sz w:val="22"/>
          <w:szCs w:val="22"/>
        </w:rPr>
        <w:t>-</w:t>
      </w:r>
      <w:r w:rsidRPr="00D66635">
        <w:rPr>
          <w:b/>
          <w:bCs/>
          <w:sz w:val="22"/>
          <w:szCs w:val="22"/>
        </w:rPr>
        <w:tab/>
      </w:r>
      <w:r w:rsidRPr="00D66635">
        <w:rPr>
          <w:sz w:val="22"/>
          <w:szCs w:val="22"/>
        </w:rPr>
        <w:t>jeigu yra alergija bet kuriai veikliajai arba bet kuriai pagalbinei šio vaisto medžiagai (jos išvardytos 6 skyriuje).</w:t>
      </w:r>
    </w:p>
    <w:p w14:paraId="5A59CAD5" w14:textId="77777777" w:rsidR="00D66635" w:rsidRPr="00D66635" w:rsidRDefault="00D66635" w:rsidP="00D66635">
      <w:pPr>
        <w:rPr>
          <w:b/>
          <w:bCs/>
          <w:sz w:val="22"/>
          <w:szCs w:val="22"/>
        </w:rPr>
      </w:pPr>
    </w:p>
    <w:p w14:paraId="41C7300F" w14:textId="77777777" w:rsidR="00D66635" w:rsidRPr="00D66635" w:rsidRDefault="00D66635" w:rsidP="00D66635">
      <w:pPr>
        <w:rPr>
          <w:sz w:val="22"/>
          <w:szCs w:val="22"/>
        </w:rPr>
      </w:pPr>
      <w:r w:rsidRPr="00D66635">
        <w:rPr>
          <w:b/>
          <w:sz w:val="22"/>
          <w:szCs w:val="22"/>
        </w:rPr>
        <w:t>Įspėjimai ir atsargumo priemonės</w:t>
      </w:r>
    </w:p>
    <w:p w14:paraId="118B91C2" w14:textId="77777777" w:rsidR="00D66635" w:rsidRPr="00D66635" w:rsidRDefault="00D66635" w:rsidP="00D66635">
      <w:pPr>
        <w:rPr>
          <w:sz w:val="22"/>
          <w:szCs w:val="22"/>
        </w:rPr>
      </w:pPr>
      <w:r w:rsidRPr="00D66635">
        <w:rPr>
          <w:sz w:val="22"/>
          <w:szCs w:val="22"/>
        </w:rPr>
        <w:t>Pasitarkite su gydytoju, jeigu simptomai išsilaiko ilgiau nei 7–14 dienų arba periodiškai kartojasi arba jeigu pasireiškia dusulys, karščiavimas ir atsiranda pūlingų skreplių.</w:t>
      </w:r>
    </w:p>
    <w:p w14:paraId="32637EF1" w14:textId="77777777" w:rsidR="00D66635" w:rsidRPr="00D66635" w:rsidRDefault="00D66635" w:rsidP="00D66635">
      <w:pPr>
        <w:rPr>
          <w:sz w:val="22"/>
          <w:szCs w:val="22"/>
        </w:rPr>
      </w:pPr>
    </w:p>
    <w:p w14:paraId="2E09B79F" w14:textId="77777777" w:rsidR="00D66635" w:rsidRPr="00D66635" w:rsidRDefault="00D66635" w:rsidP="00D66635">
      <w:pPr>
        <w:numPr>
          <w:ilvl w:val="12"/>
          <w:numId w:val="0"/>
        </w:numPr>
        <w:rPr>
          <w:b/>
          <w:sz w:val="22"/>
          <w:szCs w:val="22"/>
        </w:rPr>
      </w:pPr>
      <w:r w:rsidRPr="00D66635">
        <w:rPr>
          <w:b/>
          <w:sz w:val="22"/>
          <w:szCs w:val="22"/>
        </w:rPr>
        <w:t>Vaikams ir paaugliams</w:t>
      </w:r>
    </w:p>
    <w:p w14:paraId="45D620F5" w14:textId="77777777" w:rsidR="00D66635" w:rsidRPr="00D66635" w:rsidRDefault="00D66635" w:rsidP="00D66635">
      <w:pPr>
        <w:rPr>
          <w:sz w:val="22"/>
          <w:szCs w:val="22"/>
        </w:rPr>
      </w:pPr>
      <w:proofErr w:type="spellStart"/>
      <w:r w:rsidRPr="00D66635">
        <w:rPr>
          <w:sz w:val="22"/>
          <w:szCs w:val="22"/>
        </w:rPr>
        <w:t>Sinupret</w:t>
      </w:r>
      <w:proofErr w:type="spellEnd"/>
      <w:r w:rsidRPr="00D66635">
        <w:rPr>
          <w:sz w:val="22"/>
          <w:szCs w:val="22"/>
        </w:rPr>
        <w:t xml:space="preserve"> forte nerekomenduojama vartoti jaunesniems kaip 12 metų vaikams, nes nepakanka duomenų.</w:t>
      </w:r>
    </w:p>
    <w:p w14:paraId="42BB3ACF" w14:textId="77777777" w:rsidR="00D66635" w:rsidRPr="00D66635" w:rsidRDefault="00D66635" w:rsidP="00D66635">
      <w:pPr>
        <w:rPr>
          <w:sz w:val="22"/>
          <w:szCs w:val="22"/>
        </w:rPr>
      </w:pPr>
    </w:p>
    <w:p w14:paraId="23CBEEF1" w14:textId="77777777" w:rsidR="00D66635" w:rsidRPr="00D66635" w:rsidRDefault="00D66635" w:rsidP="00D66635">
      <w:pPr>
        <w:rPr>
          <w:sz w:val="22"/>
          <w:szCs w:val="22"/>
          <w:lang w:eastAsia="lt-LT"/>
        </w:rPr>
      </w:pPr>
      <w:r w:rsidRPr="00D66635">
        <w:rPr>
          <w:b/>
          <w:sz w:val="22"/>
          <w:szCs w:val="22"/>
        </w:rPr>
        <w:t xml:space="preserve">Kiti vaistai ir </w:t>
      </w:r>
      <w:proofErr w:type="spellStart"/>
      <w:r w:rsidRPr="00D66635">
        <w:rPr>
          <w:b/>
          <w:sz w:val="22"/>
          <w:szCs w:val="22"/>
        </w:rPr>
        <w:t>Sinupret</w:t>
      </w:r>
      <w:proofErr w:type="spellEnd"/>
      <w:r w:rsidRPr="00D66635">
        <w:rPr>
          <w:b/>
          <w:sz w:val="22"/>
          <w:szCs w:val="22"/>
        </w:rPr>
        <w:t xml:space="preserve"> forte</w:t>
      </w:r>
    </w:p>
    <w:p w14:paraId="619A61ED" w14:textId="77777777" w:rsidR="00D66635" w:rsidRPr="00D66635" w:rsidRDefault="00D66635" w:rsidP="00D66635">
      <w:pPr>
        <w:rPr>
          <w:sz w:val="22"/>
          <w:szCs w:val="22"/>
        </w:rPr>
      </w:pPr>
      <w:r w:rsidRPr="00D66635">
        <w:rPr>
          <w:sz w:val="22"/>
          <w:szCs w:val="22"/>
        </w:rPr>
        <w:t xml:space="preserve">Sąveika su kitais vaistais nežinoma. </w:t>
      </w:r>
    </w:p>
    <w:p w14:paraId="7AAB9AC9" w14:textId="77777777" w:rsidR="00D66635" w:rsidRPr="00D66635" w:rsidRDefault="00D66635" w:rsidP="00D66635">
      <w:pPr>
        <w:rPr>
          <w:sz w:val="22"/>
          <w:szCs w:val="22"/>
        </w:rPr>
      </w:pPr>
      <w:r w:rsidRPr="00D66635">
        <w:rPr>
          <w:sz w:val="22"/>
          <w:szCs w:val="22"/>
        </w:rPr>
        <w:t>Jeigu vartojate ar neseniai vartojote kitų vaistų arba dėl to nesate tikri, apie tai pasakykite gydytojui arba vaistininkui.</w:t>
      </w:r>
    </w:p>
    <w:p w14:paraId="245DFB1F" w14:textId="77777777" w:rsidR="00D66635" w:rsidRPr="00D66635" w:rsidRDefault="00D66635" w:rsidP="00D66635">
      <w:pPr>
        <w:rPr>
          <w:sz w:val="22"/>
          <w:szCs w:val="22"/>
        </w:rPr>
      </w:pPr>
    </w:p>
    <w:p w14:paraId="44778F88" w14:textId="77777777" w:rsidR="00D66635" w:rsidRPr="00D66635" w:rsidRDefault="00D66635" w:rsidP="00D66635">
      <w:pPr>
        <w:rPr>
          <w:b/>
          <w:sz w:val="22"/>
          <w:szCs w:val="22"/>
        </w:rPr>
      </w:pPr>
      <w:proofErr w:type="spellStart"/>
      <w:r w:rsidRPr="00D66635">
        <w:rPr>
          <w:b/>
          <w:sz w:val="22"/>
          <w:szCs w:val="22"/>
        </w:rPr>
        <w:t>Sinupret</w:t>
      </w:r>
      <w:proofErr w:type="spellEnd"/>
      <w:r w:rsidRPr="00D66635">
        <w:rPr>
          <w:b/>
          <w:sz w:val="22"/>
          <w:szCs w:val="22"/>
        </w:rPr>
        <w:t xml:space="preserve"> forte vartojimas su maistu, gėrimais ir alkoholiu</w:t>
      </w:r>
    </w:p>
    <w:p w14:paraId="39CA21E2" w14:textId="77777777" w:rsidR="00D66635" w:rsidRPr="00D66635" w:rsidRDefault="00D66635" w:rsidP="00D66635">
      <w:pPr>
        <w:rPr>
          <w:sz w:val="22"/>
          <w:szCs w:val="22"/>
        </w:rPr>
      </w:pPr>
      <w:r w:rsidRPr="00D66635">
        <w:rPr>
          <w:sz w:val="22"/>
          <w:szCs w:val="22"/>
        </w:rPr>
        <w:t>Vaisto galima vartoti nepriklausomai nuo valgymo laiko.</w:t>
      </w:r>
    </w:p>
    <w:p w14:paraId="1A82ADE6" w14:textId="77777777" w:rsidR="00D66635" w:rsidRPr="00D66635" w:rsidRDefault="00D66635" w:rsidP="00D66635">
      <w:pPr>
        <w:rPr>
          <w:sz w:val="22"/>
          <w:szCs w:val="22"/>
        </w:rPr>
      </w:pPr>
    </w:p>
    <w:p w14:paraId="22561F62" w14:textId="77777777" w:rsidR="00D66635" w:rsidRPr="00D66635" w:rsidRDefault="00D66635" w:rsidP="00D66635">
      <w:pPr>
        <w:keepNext/>
        <w:keepLines/>
        <w:rPr>
          <w:b/>
          <w:bCs/>
          <w:sz w:val="22"/>
          <w:szCs w:val="22"/>
        </w:rPr>
      </w:pPr>
      <w:r w:rsidRPr="00D66635">
        <w:rPr>
          <w:b/>
          <w:bCs/>
          <w:sz w:val="22"/>
          <w:szCs w:val="22"/>
        </w:rPr>
        <w:lastRenderedPageBreak/>
        <w:t>Nėštumas, žindymo laikotarpis ir vaisingumas</w:t>
      </w:r>
    </w:p>
    <w:p w14:paraId="5CFEA95F" w14:textId="77777777" w:rsidR="00D66635" w:rsidRPr="00D66635" w:rsidRDefault="00D66635" w:rsidP="00D66635">
      <w:pPr>
        <w:keepNext/>
        <w:keepLines/>
        <w:rPr>
          <w:sz w:val="22"/>
          <w:szCs w:val="22"/>
        </w:rPr>
      </w:pPr>
      <w:r w:rsidRPr="00D66635">
        <w:rPr>
          <w:sz w:val="22"/>
          <w:szCs w:val="22"/>
        </w:rPr>
        <w:t>Jeigu esate nėščia, žindote kūdikį, manote, kad galbūt esate nėščia, arba planuojate pastoti, tai prieš vartodama šį vaistą, pasitarkite su gydytoju.</w:t>
      </w:r>
    </w:p>
    <w:p w14:paraId="30B49940" w14:textId="77777777" w:rsidR="00D66635" w:rsidRPr="00D66635" w:rsidRDefault="00D66635" w:rsidP="00D66635">
      <w:pPr>
        <w:rPr>
          <w:sz w:val="22"/>
          <w:szCs w:val="22"/>
        </w:rPr>
      </w:pPr>
    </w:p>
    <w:p w14:paraId="1B67E9C5" w14:textId="77777777" w:rsidR="00D66635" w:rsidRPr="00D66635" w:rsidRDefault="00D66635" w:rsidP="00D66635">
      <w:pPr>
        <w:rPr>
          <w:b/>
          <w:sz w:val="22"/>
          <w:szCs w:val="22"/>
        </w:rPr>
      </w:pPr>
      <w:r w:rsidRPr="00D66635">
        <w:rPr>
          <w:b/>
          <w:sz w:val="22"/>
          <w:szCs w:val="22"/>
        </w:rPr>
        <w:t>Vairavimas ir mechanizmų valdymas</w:t>
      </w:r>
    </w:p>
    <w:p w14:paraId="7C7FE2E9" w14:textId="77777777" w:rsidR="00D66635" w:rsidRPr="00D66635" w:rsidRDefault="00D66635" w:rsidP="00D66635">
      <w:pPr>
        <w:rPr>
          <w:sz w:val="22"/>
          <w:szCs w:val="22"/>
        </w:rPr>
      </w:pPr>
      <w:r w:rsidRPr="00D66635">
        <w:rPr>
          <w:sz w:val="22"/>
          <w:szCs w:val="22"/>
        </w:rPr>
        <w:t>Vaistas gebėjimo vairuoti ar valdyti mechanizmus neveikia.</w:t>
      </w:r>
    </w:p>
    <w:p w14:paraId="5130F543" w14:textId="77777777" w:rsidR="00D66635" w:rsidRPr="00D66635" w:rsidRDefault="00D66635" w:rsidP="00D66635">
      <w:pPr>
        <w:rPr>
          <w:sz w:val="22"/>
          <w:szCs w:val="22"/>
        </w:rPr>
      </w:pPr>
    </w:p>
    <w:p w14:paraId="5E3DE57A" w14:textId="77777777" w:rsidR="00D66635" w:rsidRPr="00D66635" w:rsidRDefault="00D66635" w:rsidP="00D66635">
      <w:pPr>
        <w:pStyle w:val="Antrat3"/>
        <w:spacing w:before="0" w:after="0"/>
        <w:rPr>
          <w:rFonts w:ascii="Times New Roman" w:hAnsi="Times New Roman" w:cs="Times New Roman"/>
          <w:color w:val="auto"/>
          <w:sz w:val="22"/>
          <w:szCs w:val="22"/>
        </w:rPr>
      </w:pPr>
      <w:proofErr w:type="spellStart"/>
      <w:r w:rsidRPr="00D66635">
        <w:rPr>
          <w:rFonts w:ascii="Times New Roman" w:hAnsi="Times New Roman" w:cs="Times New Roman"/>
          <w:color w:val="auto"/>
          <w:sz w:val="22"/>
          <w:szCs w:val="22"/>
        </w:rPr>
        <w:t>Sinupret</w:t>
      </w:r>
      <w:proofErr w:type="spellEnd"/>
      <w:r w:rsidRPr="00D66635">
        <w:rPr>
          <w:rFonts w:ascii="Times New Roman" w:hAnsi="Times New Roman" w:cs="Times New Roman"/>
          <w:color w:val="auto"/>
          <w:sz w:val="22"/>
          <w:szCs w:val="22"/>
        </w:rPr>
        <w:t xml:space="preserve"> forte sudėtyje yra gliukozės, laktozės, sacharozės ir </w:t>
      </w:r>
      <w:proofErr w:type="spellStart"/>
      <w:r w:rsidRPr="00D66635">
        <w:rPr>
          <w:rFonts w:ascii="Times New Roman" w:hAnsi="Times New Roman" w:cs="Times New Roman"/>
          <w:color w:val="auto"/>
          <w:sz w:val="22"/>
          <w:szCs w:val="22"/>
        </w:rPr>
        <w:t>sorbitolio</w:t>
      </w:r>
      <w:proofErr w:type="spellEnd"/>
      <w:r w:rsidRPr="00D66635">
        <w:rPr>
          <w:rFonts w:ascii="Times New Roman" w:hAnsi="Times New Roman" w:cs="Times New Roman"/>
          <w:color w:val="auto"/>
          <w:sz w:val="22"/>
          <w:szCs w:val="22"/>
        </w:rPr>
        <w:t xml:space="preserve">. </w:t>
      </w:r>
    </w:p>
    <w:p w14:paraId="079966DF" w14:textId="77777777" w:rsidR="00D66635" w:rsidRPr="00D66635" w:rsidRDefault="00D66635" w:rsidP="00D66635">
      <w:pPr>
        <w:pStyle w:val="Pagrindinistekstas"/>
        <w:spacing w:after="0"/>
        <w:rPr>
          <w:szCs w:val="22"/>
        </w:rPr>
      </w:pPr>
      <w:r w:rsidRPr="00D66635">
        <w:rPr>
          <w:szCs w:val="22"/>
        </w:rPr>
        <w:t>Jeigu gydytojas Jums yra sakęs, kad netoleruojate kokių nors angliavandenių, kreipkitės į jį prieš pradėdami vartoti šį vaistą.</w:t>
      </w:r>
    </w:p>
    <w:p w14:paraId="230C1B8E" w14:textId="77777777" w:rsidR="00D66635" w:rsidRPr="00D66635" w:rsidRDefault="00D66635" w:rsidP="00D66635">
      <w:pPr>
        <w:pStyle w:val="Pagrindinistekstas"/>
        <w:spacing w:after="0"/>
        <w:rPr>
          <w:szCs w:val="22"/>
        </w:rPr>
      </w:pPr>
    </w:p>
    <w:p w14:paraId="2289E650" w14:textId="77777777" w:rsidR="00D66635" w:rsidRPr="00D66635" w:rsidRDefault="00D66635" w:rsidP="00D66635">
      <w:pPr>
        <w:autoSpaceDE w:val="0"/>
        <w:autoSpaceDN w:val="0"/>
        <w:adjustRightInd w:val="0"/>
        <w:rPr>
          <w:rFonts w:eastAsia="Calibri"/>
          <w:sz w:val="22"/>
          <w:szCs w:val="22"/>
          <w:lang w:eastAsia="lt-LT"/>
        </w:rPr>
      </w:pPr>
      <w:r w:rsidRPr="00D66635">
        <w:rPr>
          <w:rFonts w:eastAsia="Calibri"/>
          <w:sz w:val="22"/>
          <w:szCs w:val="22"/>
          <w:lang w:eastAsia="lt-LT"/>
        </w:rPr>
        <w:t xml:space="preserve">Kiekvienoje šio vaisto dengtoje tabletėje yra </w:t>
      </w:r>
      <w:r w:rsidRPr="00D66635">
        <w:rPr>
          <w:sz w:val="22"/>
          <w:szCs w:val="22"/>
        </w:rPr>
        <w:t xml:space="preserve">0,44 mg </w:t>
      </w:r>
      <w:proofErr w:type="spellStart"/>
      <w:r w:rsidRPr="00D66635">
        <w:rPr>
          <w:sz w:val="22"/>
          <w:szCs w:val="22"/>
        </w:rPr>
        <w:t>s</w:t>
      </w:r>
      <w:r w:rsidRPr="00D66635">
        <w:rPr>
          <w:rFonts w:eastAsia="Calibri"/>
          <w:sz w:val="22"/>
          <w:szCs w:val="22"/>
          <w:lang w:eastAsia="lt-LT"/>
        </w:rPr>
        <w:t>orbitolio</w:t>
      </w:r>
      <w:proofErr w:type="spellEnd"/>
      <w:r w:rsidRPr="00D66635">
        <w:rPr>
          <w:rFonts w:eastAsia="Calibri"/>
          <w:sz w:val="22"/>
          <w:szCs w:val="22"/>
          <w:lang w:eastAsia="lt-LT"/>
        </w:rPr>
        <w:t>.</w:t>
      </w:r>
    </w:p>
    <w:p w14:paraId="1F5548BB" w14:textId="77777777" w:rsidR="00D66635" w:rsidRPr="00D66635" w:rsidRDefault="00D66635" w:rsidP="00D66635">
      <w:pPr>
        <w:autoSpaceDE w:val="0"/>
        <w:autoSpaceDN w:val="0"/>
        <w:adjustRightInd w:val="0"/>
        <w:rPr>
          <w:sz w:val="22"/>
          <w:szCs w:val="22"/>
        </w:rPr>
      </w:pPr>
    </w:p>
    <w:p w14:paraId="25D3F438" w14:textId="77777777" w:rsidR="00D66635" w:rsidRPr="00D66635" w:rsidRDefault="00D66635" w:rsidP="00D66635">
      <w:pPr>
        <w:rPr>
          <w:sz w:val="22"/>
          <w:szCs w:val="22"/>
        </w:rPr>
      </w:pPr>
      <w:r w:rsidRPr="00D66635">
        <w:rPr>
          <w:sz w:val="22"/>
          <w:szCs w:val="22"/>
        </w:rPr>
        <w:t>Šio vaisto dengtoje tabletėje yra mažiau kaip 1 </w:t>
      </w:r>
      <w:proofErr w:type="spellStart"/>
      <w:r w:rsidRPr="00D66635">
        <w:rPr>
          <w:sz w:val="22"/>
          <w:szCs w:val="22"/>
        </w:rPr>
        <w:t>mmol</w:t>
      </w:r>
      <w:proofErr w:type="spellEnd"/>
      <w:r w:rsidRPr="00D66635">
        <w:rPr>
          <w:sz w:val="22"/>
          <w:szCs w:val="22"/>
        </w:rPr>
        <w:t xml:space="preserve"> (23 mg) natrio, t. y. jis beveik neturi reikšmės.</w:t>
      </w:r>
    </w:p>
    <w:p w14:paraId="4F4CCA5B" w14:textId="77777777" w:rsidR="00D66635" w:rsidRPr="00D66635" w:rsidRDefault="00D66635" w:rsidP="00D66635">
      <w:pPr>
        <w:autoSpaceDE w:val="0"/>
        <w:autoSpaceDN w:val="0"/>
        <w:adjustRightInd w:val="0"/>
        <w:rPr>
          <w:sz w:val="22"/>
          <w:szCs w:val="22"/>
        </w:rPr>
      </w:pPr>
    </w:p>
    <w:p w14:paraId="4FFBDFDF" w14:textId="77777777" w:rsidR="00D66635" w:rsidRPr="00D66635" w:rsidRDefault="00D66635" w:rsidP="00D66635">
      <w:pPr>
        <w:rPr>
          <w:sz w:val="22"/>
          <w:szCs w:val="22"/>
        </w:rPr>
      </w:pPr>
    </w:p>
    <w:p w14:paraId="0CC84D8C" w14:textId="77777777" w:rsidR="00D66635" w:rsidRPr="00D66635" w:rsidRDefault="00D66635" w:rsidP="00D66635">
      <w:pPr>
        <w:ind w:left="540" w:hanging="540"/>
        <w:rPr>
          <w:b/>
          <w:bCs/>
          <w:sz w:val="22"/>
          <w:szCs w:val="22"/>
        </w:rPr>
      </w:pPr>
      <w:r w:rsidRPr="00D66635">
        <w:rPr>
          <w:b/>
          <w:bCs/>
          <w:sz w:val="22"/>
          <w:szCs w:val="22"/>
        </w:rPr>
        <w:t>3.</w:t>
      </w:r>
      <w:r w:rsidRPr="00D66635">
        <w:rPr>
          <w:b/>
          <w:bCs/>
          <w:sz w:val="22"/>
          <w:szCs w:val="22"/>
        </w:rPr>
        <w:tab/>
      </w:r>
      <w:r w:rsidRPr="00D66635">
        <w:rPr>
          <w:b/>
          <w:sz w:val="22"/>
          <w:szCs w:val="22"/>
        </w:rPr>
        <w:t xml:space="preserve">Kaip vartoti </w:t>
      </w:r>
      <w:proofErr w:type="spellStart"/>
      <w:r w:rsidRPr="00D66635">
        <w:rPr>
          <w:b/>
          <w:sz w:val="22"/>
          <w:szCs w:val="22"/>
        </w:rPr>
        <w:t>Sinupret</w:t>
      </w:r>
      <w:proofErr w:type="spellEnd"/>
      <w:r w:rsidRPr="00D66635">
        <w:rPr>
          <w:b/>
          <w:sz w:val="22"/>
          <w:szCs w:val="22"/>
        </w:rPr>
        <w:t xml:space="preserve"> forte</w:t>
      </w:r>
    </w:p>
    <w:p w14:paraId="7B53BE09" w14:textId="77777777" w:rsidR="00D66635" w:rsidRPr="00D66635" w:rsidRDefault="00D66635" w:rsidP="00D66635">
      <w:pPr>
        <w:rPr>
          <w:sz w:val="22"/>
          <w:szCs w:val="22"/>
        </w:rPr>
      </w:pPr>
    </w:p>
    <w:p w14:paraId="56AE58BA" w14:textId="77777777" w:rsidR="00D66635" w:rsidRPr="00D66635" w:rsidRDefault="00D66635" w:rsidP="00D66635">
      <w:pPr>
        <w:rPr>
          <w:sz w:val="22"/>
          <w:szCs w:val="22"/>
        </w:rPr>
      </w:pPr>
      <w:r w:rsidRPr="00D66635">
        <w:rPr>
          <w:sz w:val="22"/>
          <w:szCs w:val="22"/>
        </w:rPr>
        <w:t xml:space="preserve">Visada vartokite šį vaistą tiksliai, kaip </w:t>
      </w:r>
      <w:r w:rsidRPr="00D66635">
        <w:rPr>
          <w:noProof/>
          <w:sz w:val="22"/>
          <w:szCs w:val="22"/>
        </w:rPr>
        <w:t>aprašyta šiame</w:t>
      </w:r>
      <w:r w:rsidRPr="00D66635">
        <w:rPr>
          <w:sz w:val="22"/>
          <w:szCs w:val="22"/>
        </w:rPr>
        <w:t xml:space="preserve"> pakuotės lapelyje arba kaip nurodė gydytojas arba vaistininkas. Jeigu abejojate, kreipkitės į gydytoją arba vaistininką.</w:t>
      </w:r>
    </w:p>
    <w:p w14:paraId="798EC257" w14:textId="77777777" w:rsidR="00D66635" w:rsidRPr="00D66635" w:rsidRDefault="00D66635" w:rsidP="00D66635">
      <w:pPr>
        <w:rPr>
          <w:sz w:val="22"/>
          <w:szCs w:val="22"/>
        </w:rPr>
      </w:pPr>
    </w:p>
    <w:p w14:paraId="74C27D96" w14:textId="77777777" w:rsidR="00D66635" w:rsidRPr="00D66635" w:rsidRDefault="00D66635" w:rsidP="00D66635">
      <w:pPr>
        <w:rPr>
          <w:sz w:val="22"/>
          <w:szCs w:val="22"/>
        </w:rPr>
      </w:pPr>
      <w:r w:rsidRPr="00D66635">
        <w:rPr>
          <w:sz w:val="22"/>
          <w:szCs w:val="22"/>
        </w:rPr>
        <w:t>Rekomenduojama dozė</w:t>
      </w:r>
    </w:p>
    <w:p w14:paraId="6458D89A" w14:textId="77777777" w:rsidR="00D66635" w:rsidRPr="00D66635" w:rsidRDefault="00D66635" w:rsidP="00D66635">
      <w:pPr>
        <w:jc w:val="both"/>
        <w:rPr>
          <w:sz w:val="22"/>
          <w:szCs w:val="22"/>
        </w:rPr>
      </w:pPr>
      <w:r w:rsidRPr="00D66635">
        <w:rPr>
          <w:sz w:val="22"/>
          <w:szCs w:val="22"/>
        </w:rPr>
        <w:t>Jeigu gydytojas nepaskyrė vartoti kitaip, suaugusieji ir paaugliai nuo 12 metų turėtų vartoti po 1 tabletę 3 kartus per parą.</w:t>
      </w:r>
    </w:p>
    <w:p w14:paraId="3F7A888D" w14:textId="77777777" w:rsidR="00D66635" w:rsidRPr="00D66635" w:rsidRDefault="00D66635" w:rsidP="00D66635">
      <w:pPr>
        <w:jc w:val="both"/>
        <w:rPr>
          <w:sz w:val="22"/>
          <w:szCs w:val="22"/>
        </w:rPr>
      </w:pPr>
    </w:p>
    <w:p w14:paraId="5AD565AF" w14:textId="77777777" w:rsidR="00D66635" w:rsidRPr="00D66635" w:rsidRDefault="00D66635" w:rsidP="00D66635">
      <w:pPr>
        <w:jc w:val="both"/>
        <w:rPr>
          <w:sz w:val="22"/>
          <w:szCs w:val="22"/>
        </w:rPr>
      </w:pPr>
      <w:r w:rsidRPr="00D66635">
        <w:rPr>
          <w:sz w:val="22"/>
          <w:szCs w:val="22"/>
        </w:rPr>
        <w:t>Tabletes reikia nuryti nesukramtytas, užgeriant trupučiu skysčio (pavyzdžiui, stikline vandens).</w:t>
      </w:r>
    </w:p>
    <w:p w14:paraId="47AAC9F5" w14:textId="77777777" w:rsidR="00D66635" w:rsidRPr="00D66635" w:rsidRDefault="00D66635" w:rsidP="00D66635">
      <w:pPr>
        <w:jc w:val="both"/>
        <w:rPr>
          <w:sz w:val="22"/>
          <w:szCs w:val="22"/>
        </w:rPr>
      </w:pPr>
    </w:p>
    <w:p w14:paraId="7E129E9B" w14:textId="77777777" w:rsidR="00D66635" w:rsidRPr="00D66635" w:rsidRDefault="00D66635" w:rsidP="00D66635">
      <w:pPr>
        <w:jc w:val="both"/>
        <w:rPr>
          <w:sz w:val="22"/>
          <w:szCs w:val="22"/>
        </w:rPr>
      </w:pPr>
      <w:r w:rsidRPr="00D66635">
        <w:rPr>
          <w:sz w:val="22"/>
          <w:szCs w:val="22"/>
        </w:rPr>
        <w:t>Jeigu gydytojas nepaskyrė kitaip, rekomenduojama vartojimo trukmė yra 7–14 dienų. Prašom atkreipti dėmesį į skyrelį „Specialūs įspėjimai ir atsargumo priemonės“.</w:t>
      </w:r>
    </w:p>
    <w:p w14:paraId="2B5BA203" w14:textId="77777777" w:rsidR="00D66635" w:rsidRPr="00D66635" w:rsidRDefault="00D66635" w:rsidP="00D66635">
      <w:pPr>
        <w:rPr>
          <w:sz w:val="22"/>
          <w:szCs w:val="22"/>
        </w:rPr>
      </w:pPr>
    </w:p>
    <w:p w14:paraId="756310BF" w14:textId="77777777" w:rsidR="00D66635" w:rsidRPr="00D66635" w:rsidRDefault="00D66635" w:rsidP="00D66635">
      <w:pPr>
        <w:rPr>
          <w:sz w:val="22"/>
          <w:szCs w:val="22"/>
        </w:rPr>
      </w:pPr>
      <w:r w:rsidRPr="00D66635">
        <w:rPr>
          <w:sz w:val="22"/>
          <w:szCs w:val="22"/>
        </w:rPr>
        <w:t xml:space="preserve">Jeigu manote, kad </w:t>
      </w:r>
      <w:proofErr w:type="spellStart"/>
      <w:r w:rsidRPr="00D66635">
        <w:rPr>
          <w:sz w:val="22"/>
          <w:szCs w:val="22"/>
        </w:rPr>
        <w:t>Sinupret</w:t>
      </w:r>
      <w:proofErr w:type="spellEnd"/>
      <w:r w:rsidRPr="00D66635">
        <w:rPr>
          <w:sz w:val="22"/>
          <w:szCs w:val="22"/>
        </w:rPr>
        <w:t xml:space="preserve"> forte veikia per stipriai arba per silpnai, pasitarkite su gydytoju arba vaistininku. </w:t>
      </w:r>
    </w:p>
    <w:p w14:paraId="74867069" w14:textId="77777777" w:rsidR="00D66635" w:rsidRPr="00D66635" w:rsidRDefault="00D66635" w:rsidP="00D66635">
      <w:pPr>
        <w:rPr>
          <w:sz w:val="22"/>
          <w:szCs w:val="22"/>
        </w:rPr>
      </w:pPr>
    </w:p>
    <w:p w14:paraId="64936441" w14:textId="77777777" w:rsidR="00D66635" w:rsidRPr="00D66635" w:rsidRDefault="00D66635" w:rsidP="00D66635">
      <w:pPr>
        <w:pStyle w:val="Antrat2"/>
        <w:spacing w:before="0" w:after="0"/>
        <w:rPr>
          <w:rFonts w:ascii="Times New Roman" w:hAnsi="Times New Roman" w:cs="Times New Roman"/>
          <w:color w:val="auto"/>
          <w:sz w:val="22"/>
          <w:szCs w:val="22"/>
        </w:rPr>
      </w:pPr>
      <w:r w:rsidRPr="00D66635">
        <w:rPr>
          <w:rFonts w:ascii="Times New Roman" w:hAnsi="Times New Roman" w:cs="Times New Roman"/>
          <w:color w:val="auto"/>
          <w:sz w:val="22"/>
          <w:szCs w:val="22"/>
        </w:rPr>
        <w:t>Vartojimas vaikams</w:t>
      </w:r>
    </w:p>
    <w:p w14:paraId="0579F20D" w14:textId="77777777" w:rsidR="00D66635" w:rsidRPr="00D66635" w:rsidRDefault="00D66635" w:rsidP="00D66635">
      <w:pPr>
        <w:rPr>
          <w:sz w:val="22"/>
          <w:szCs w:val="22"/>
        </w:rPr>
      </w:pPr>
      <w:proofErr w:type="spellStart"/>
      <w:r w:rsidRPr="00D66635">
        <w:rPr>
          <w:sz w:val="22"/>
          <w:szCs w:val="22"/>
        </w:rPr>
        <w:t>Sinupret</w:t>
      </w:r>
      <w:proofErr w:type="spellEnd"/>
      <w:r w:rsidRPr="00D66635">
        <w:rPr>
          <w:sz w:val="22"/>
          <w:szCs w:val="22"/>
        </w:rPr>
        <w:t xml:space="preserve"> forte jaunesniems kaip 12 metų vaikams vartoti nerekomenduojama, kadangi duomenų apie saugumą ir veiksmingumą nepakanka.</w:t>
      </w:r>
    </w:p>
    <w:p w14:paraId="3247876F" w14:textId="77777777" w:rsidR="00D66635" w:rsidRPr="00D66635" w:rsidRDefault="00D66635" w:rsidP="00D66635">
      <w:pPr>
        <w:rPr>
          <w:sz w:val="22"/>
          <w:szCs w:val="22"/>
        </w:rPr>
      </w:pPr>
    </w:p>
    <w:p w14:paraId="7D237554" w14:textId="77777777" w:rsidR="00D66635" w:rsidRPr="00D66635" w:rsidRDefault="00D66635" w:rsidP="00D66635">
      <w:pPr>
        <w:pStyle w:val="Antrat2"/>
        <w:spacing w:before="0" w:after="0"/>
        <w:rPr>
          <w:rFonts w:ascii="Times New Roman" w:hAnsi="Times New Roman" w:cs="Times New Roman"/>
          <w:color w:val="auto"/>
          <w:sz w:val="22"/>
          <w:szCs w:val="22"/>
        </w:rPr>
      </w:pPr>
      <w:r w:rsidRPr="00D66635">
        <w:rPr>
          <w:rFonts w:ascii="Times New Roman" w:hAnsi="Times New Roman" w:cs="Times New Roman"/>
          <w:color w:val="auto"/>
          <w:sz w:val="22"/>
          <w:szCs w:val="22"/>
        </w:rPr>
        <w:t xml:space="preserve">Ką daryti pavartojus per didelę </w:t>
      </w:r>
      <w:proofErr w:type="spellStart"/>
      <w:r w:rsidRPr="00D66635">
        <w:rPr>
          <w:rFonts w:ascii="Times New Roman" w:hAnsi="Times New Roman" w:cs="Times New Roman"/>
          <w:color w:val="auto"/>
          <w:sz w:val="22"/>
          <w:szCs w:val="22"/>
        </w:rPr>
        <w:t>Sinupret</w:t>
      </w:r>
      <w:proofErr w:type="spellEnd"/>
      <w:r w:rsidRPr="00D66635">
        <w:rPr>
          <w:rFonts w:ascii="Times New Roman" w:hAnsi="Times New Roman" w:cs="Times New Roman"/>
          <w:color w:val="auto"/>
          <w:sz w:val="22"/>
          <w:szCs w:val="22"/>
        </w:rPr>
        <w:t xml:space="preserve"> forte dozę</w:t>
      </w:r>
    </w:p>
    <w:p w14:paraId="545906B5" w14:textId="77777777" w:rsidR="00D66635" w:rsidRPr="00D66635" w:rsidRDefault="00D66635" w:rsidP="00D66635">
      <w:pPr>
        <w:rPr>
          <w:sz w:val="22"/>
          <w:szCs w:val="22"/>
        </w:rPr>
      </w:pPr>
      <w:r w:rsidRPr="00D66635">
        <w:rPr>
          <w:sz w:val="22"/>
          <w:szCs w:val="22"/>
        </w:rPr>
        <w:t xml:space="preserve">Perdozavus </w:t>
      </w:r>
      <w:proofErr w:type="spellStart"/>
      <w:r w:rsidRPr="00D66635">
        <w:rPr>
          <w:sz w:val="22"/>
          <w:szCs w:val="22"/>
        </w:rPr>
        <w:t>Sinupret</w:t>
      </w:r>
      <w:proofErr w:type="spellEnd"/>
      <w:r w:rsidRPr="00D66635">
        <w:rPr>
          <w:sz w:val="22"/>
          <w:szCs w:val="22"/>
        </w:rPr>
        <w:t xml:space="preserve"> forte praneškite gydytojui, ir jis nuspręs, kokių priemonių reikia imtis. Perdozavus gali pasireikšti stipresnis šalutinis poveikis.</w:t>
      </w:r>
    </w:p>
    <w:p w14:paraId="76633CDF" w14:textId="77777777" w:rsidR="00D66635" w:rsidRPr="00D66635" w:rsidRDefault="00D66635" w:rsidP="00D66635">
      <w:pPr>
        <w:rPr>
          <w:sz w:val="22"/>
          <w:szCs w:val="22"/>
        </w:rPr>
      </w:pPr>
    </w:p>
    <w:p w14:paraId="58231F29" w14:textId="77777777" w:rsidR="00D66635" w:rsidRPr="00D66635" w:rsidRDefault="00D66635" w:rsidP="00D66635">
      <w:pPr>
        <w:rPr>
          <w:b/>
          <w:sz w:val="22"/>
          <w:szCs w:val="22"/>
        </w:rPr>
      </w:pPr>
      <w:r w:rsidRPr="00D66635">
        <w:rPr>
          <w:b/>
          <w:sz w:val="22"/>
          <w:szCs w:val="22"/>
        </w:rPr>
        <w:t xml:space="preserve">Pamiršus pavartoti </w:t>
      </w:r>
      <w:proofErr w:type="spellStart"/>
      <w:r w:rsidRPr="00D66635">
        <w:rPr>
          <w:b/>
          <w:sz w:val="22"/>
          <w:szCs w:val="22"/>
        </w:rPr>
        <w:t>Sinupret</w:t>
      </w:r>
      <w:proofErr w:type="spellEnd"/>
      <w:r w:rsidRPr="00D66635">
        <w:rPr>
          <w:b/>
          <w:sz w:val="22"/>
          <w:szCs w:val="22"/>
        </w:rPr>
        <w:t xml:space="preserve"> forte</w:t>
      </w:r>
    </w:p>
    <w:p w14:paraId="566F5451" w14:textId="77777777" w:rsidR="00D66635" w:rsidRPr="00D66635" w:rsidRDefault="00D66635" w:rsidP="00D66635">
      <w:pPr>
        <w:rPr>
          <w:sz w:val="22"/>
          <w:szCs w:val="22"/>
        </w:rPr>
      </w:pPr>
      <w:r w:rsidRPr="00D66635">
        <w:rPr>
          <w:sz w:val="22"/>
          <w:szCs w:val="22"/>
        </w:rPr>
        <w:t>Negalima vartoti dvigubos dozės norint kompensuoti praleistą dozę.</w:t>
      </w:r>
    </w:p>
    <w:p w14:paraId="08027AE6" w14:textId="77777777" w:rsidR="00D66635" w:rsidRPr="00D66635" w:rsidRDefault="00D66635" w:rsidP="00D66635">
      <w:pPr>
        <w:rPr>
          <w:sz w:val="22"/>
          <w:szCs w:val="22"/>
        </w:rPr>
      </w:pPr>
    </w:p>
    <w:p w14:paraId="62318A5E" w14:textId="77777777" w:rsidR="00D66635" w:rsidRPr="00D66635" w:rsidRDefault="00D66635" w:rsidP="00D66635">
      <w:pPr>
        <w:rPr>
          <w:b/>
          <w:sz w:val="22"/>
          <w:szCs w:val="22"/>
        </w:rPr>
      </w:pPr>
      <w:r w:rsidRPr="00D66635">
        <w:rPr>
          <w:b/>
          <w:sz w:val="22"/>
          <w:szCs w:val="22"/>
        </w:rPr>
        <w:t xml:space="preserve">Nustojus vartoti </w:t>
      </w:r>
      <w:proofErr w:type="spellStart"/>
      <w:r w:rsidRPr="00D66635">
        <w:rPr>
          <w:b/>
          <w:sz w:val="22"/>
          <w:szCs w:val="22"/>
        </w:rPr>
        <w:t>Sinupret</w:t>
      </w:r>
      <w:proofErr w:type="spellEnd"/>
      <w:r w:rsidRPr="00D66635">
        <w:rPr>
          <w:b/>
          <w:sz w:val="22"/>
          <w:szCs w:val="22"/>
        </w:rPr>
        <w:t xml:space="preserve"> forte</w:t>
      </w:r>
    </w:p>
    <w:p w14:paraId="2196168F" w14:textId="77777777" w:rsidR="00D66635" w:rsidRPr="00D66635" w:rsidRDefault="00D66635" w:rsidP="00D66635">
      <w:pPr>
        <w:rPr>
          <w:sz w:val="22"/>
          <w:szCs w:val="22"/>
        </w:rPr>
      </w:pPr>
      <w:r w:rsidRPr="00D66635">
        <w:rPr>
          <w:sz w:val="22"/>
          <w:szCs w:val="22"/>
        </w:rPr>
        <w:t xml:space="preserve">Nustojus vartoti </w:t>
      </w:r>
      <w:proofErr w:type="spellStart"/>
      <w:r w:rsidRPr="00D66635">
        <w:rPr>
          <w:sz w:val="22"/>
          <w:szCs w:val="22"/>
        </w:rPr>
        <w:t>Sinupret</w:t>
      </w:r>
      <w:proofErr w:type="spellEnd"/>
      <w:r w:rsidRPr="00D66635">
        <w:rPr>
          <w:sz w:val="22"/>
          <w:szCs w:val="22"/>
        </w:rPr>
        <w:t xml:space="preserve"> forte problemų kilti neturėtų.</w:t>
      </w:r>
    </w:p>
    <w:p w14:paraId="15EC40B2" w14:textId="77777777" w:rsidR="00D66635" w:rsidRPr="00D66635" w:rsidRDefault="00D66635" w:rsidP="00D66635">
      <w:pPr>
        <w:rPr>
          <w:sz w:val="22"/>
          <w:szCs w:val="22"/>
        </w:rPr>
      </w:pPr>
    </w:p>
    <w:p w14:paraId="237AB0DA" w14:textId="77777777" w:rsidR="00D66635" w:rsidRPr="00D66635" w:rsidRDefault="00D66635" w:rsidP="00D66635">
      <w:pPr>
        <w:rPr>
          <w:sz w:val="22"/>
          <w:szCs w:val="22"/>
        </w:rPr>
      </w:pPr>
      <w:r w:rsidRPr="00D66635">
        <w:rPr>
          <w:sz w:val="22"/>
          <w:szCs w:val="22"/>
        </w:rPr>
        <w:t>Jeigu kiltų daugiau klausimų dėl šio vaisto vartojimo, kreipkitės į gydytoją arba vaistininką.</w:t>
      </w:r>
    </w:p>
    <w:p w14:paraId="34DF59E9" w14:textId="77777777" w:rsidR="00D66635" w:rsidRPr="00D66635" w:rsidRDefault="00D66635" w:rsidP="00D66635">
      <w:pPr>
        <w:rPr>
          <w:b/>
          <w:bCs/>
          <w:sz w:val="22"/>
          <w:szCs w:val="22"/>
        </w:rPr>
      </w:pPr>
    </w:p>
    <w:p w14:paraId="77891AC1" w14:textId="77777777" w:rsidR="00D66635" w:rsidRPr="00D66635" w:rsidRDefault="00D66635" w:rsidP="00D66635">
      <w:pPr>
        <w:rPr>
          <w:b/>
          <w:bCs/>
          <w:sz w:val="22"/>
          <w:szCs w:val="22"/>
        </w:rPr>
      </w:pPr>
    </w:p>
    <w:p w14:paraId="61D45985" w14:textId="77777777" w:rsidR="00D66635" w:rsidRPr="00D66635" w:rsidRDefault="00D66635" w:rsidP="00D66635">
      <w:pPr>
        <w:ind w:left="540" w:hanging="540"/>
        <w:rPr>
          <w:b/>
          <w:bCs/>
          <w:sz w:val="22"/>
          <w:szCs w:val="22"/>
        </w:rPr>
      </w:pPr>
      <w:r w:rsidRPr="00D66635">
        <w:rPr>
          <w:b/>
          <w:bCs/>
          <w:sz w:val="22"/>
          <w:szCs w:val="22"/>
        </w:rPr>
        <w:t>4.</w:t>
      </w:r>
      <w:r w:rsidRPr="00D66635">
        <w:rPr>
          <w:b/>
          <w:bCs/>
          <w:sz w:val="22"/>
          <w:szCs w:val="22"/>
        </w:rPr>
        <w:tab/>
      </w:r>
      <w:r w:rsidRPr="00D66635">
        <w:rPr>
          <w:b/>
          <w:sz w:val="22"/>
          <w:szCs w:val="22"/>
        </w:rPr>
        <w:t>Galimas šalutinis poveikis</w:t>
      </w:r>
    </w:p>
    <w:p w14:paraId="2A7B2373" w14:textId="77777777" w:rsidR="00D66635" w:rsidRPr="00D66635" w:rsidRDefault="00D66635" w:rsidP="00D66635">
      <w:pPr>
        <w:ind w:left="540" w:hanging="540"/>
        <w:rPr>
          <w:sz w:val="22"/>
          <w:szCs w:val="22"/>
        </w:rPr>
      </w:pPr>
    </w:p>
    <w:p w14:paraId="510BCE57" w14:textId="77777777" w:rsidR="00D66635" w:rsidRPr="00D66635" w:rsidRDefault="00D66635" w:rsidP="00D66635">
      <w:pPr>
        <w:rPr>
          <w:sz w:val="22"/>
          <w:szCs w:val="22"/>
        </w:rPr>
      </w:pPr>
      <w:r w:rsidRPr="00D66635">
        <w:rPr>
          <w:sz w:val="22"/>
          <w:szCs w:val="22"/>
        </w:rPr>
        <w:t>Šis vaistas, kaip ir visi kiti, gali sukelti šalutinį poveikį, nors jis pasireiškia ne visiems žmonėms.</w:t>
      </w:r>
    </w:p>
    <w:p w14:paraId="4CF7B818" w14:textId="77777777" w:rsidR="00D66635" w:rsidRPr="00D66635" w:rsidRDefault="00D66635" w:rsidP="00D66635">
      <w:pPr>
        <w:rPr>
          <w:sz w:val="22"/>
          <w:szCs w:val="22"/>
        </w:rPr>
      </w:pPr>
    </w:p>
    <w:p w14:paraId="565E5E6A" w14:textId="77777777" w:rsidR="00D66635" w:rsidRPr="00D66635" w:rsidRDefault="00D66635" w:rsidP="00D66635">
      <w:pPr>
        <w:rPr>
          <w:i/>
          <w:iCs/>
          <w:sz w:val="22"/>
          <w:szCs w:val="22"/>
        </w:rPr>
      </w:pPr>
      <w:r w:rsidRPr="00D66635">
        <w:rPr>
          <w:i/>
          <w:iCs/>
          <w:sz w:val="22"/>
          <w:szCs w:val="22"/>
        </w:rPr>
        <w:t>Nedažni šalutinio poveikio reiškiniai (gali pasireikšti rečiau kaip 1 iš 100 asmenų):</w:t>
      </w:r>
    </w:p>
    <w:p w14:paraId="7D58DF59" w14:textId="77777777" w:rsidR="00D66635" w:rsidRPr="00D66635" w:rsidRDefault="00D66635" w:rsidP="00D66635">
      <w:pPr>
        <w:rPr>
          <w:sz w:val="22"/>
          <w:szCs w:val="22"/>
        </w:rPr>
      </w:pPr>
      <w:r w:rsidRPr="00D66635">
        <w:rPr>
          <w:sz w:val="22"/>
          <w:szCs w:val="22"/>
        </w:rPr>
        <w:t>Virškinimo trakto sutrikimai, pvz., skrandžio skausmas, pykinimas.</w:t>
      </w:r>
    </w:p>
    <w:p w14:paraId="557D472D" w14:textId="77777777" w:rsidR="00D66635" w:rsidRPr="00D66635" w:rsidRDefault="00D66635" w:rsidP="00D66635">
      <w:pPr>
        <w:rPr>
          <w:sz w:val="22"/>
          <w:szCs w:val="22"/>
        </w:rPr>
      </w:pPr>
    </w:p>
    <w:p w14:paraId="42206E47" w14:textId="77777777" w:rsidR="00D66635" w:rsidRPr="00D66635" w:rsidRDefault="00D66635" w:rsidP="00D66635">
      <w:pPr>
        <w:rPr>
          <w:i/>
          <w:sz w:val="22"/>
          <w:szCs w:val="22"/>
        </w:rPr>
      </w:pPr>
      <w:r w:rsidRPr="00D66635">
        <w:rPr>
          <w:i/>
          <w:sz w:val="22"/>
          <w:szCs w:val="22"/>
        </w:rPr>
        <w:lastRenderedPageBreak/>
        <w:t>Reti šalutinio poveikio reiškiniai (gali pasireikšti rečiau kaip 1 iš 1 000 asmenų):</w:t>
      </w:r>
    </w:p>
    <w:p w14:paraId="713366F7" w14:textId="77777777" w:rsidR="00D66635" w:rsidRPr="00D66635" w:rsidRDefault="00D66635" w:rsidP="00D66635">
      <w:pPr>
        <w:rPr>
          <w:sz w:val="22"/>
          <w:szCs w:val="22"/>
        </w:rPr>
      </w:pPr>
      <w:r w:rsidRPr="00D66635">
        <w:rPr>
          <w:sz w:val="22"/>
          <w:szCs w:val="22"/>
        </w:rPr>
        <w:t xml:space="preserve">Padidėjusio jautrumo odos reakcijos, pvz., </w:t>
      </w:r>
      <w:proofErr w:type="spellStart"/>
      <w:r w:rsidRPr="00D66635">
        <w:rPr>
          <w:sz w:val="22"/>
          <w:szCs w:val="22"/>
        </w:rPr>
        <w:t>egzantema</w:t>
      </w:r>
      <w:proofErr w:type="spellEnd"/>
      <w:r w:rsidRPr="00D66635">
        <w:rPr>
          <w:sz w:val="22"/>
          <w:szCs w:val="22"/>
        </w:rPr>
        <w:t xml:space="preserve">, </w:t>
      </w:r>
      <w:proofErr w:type="spellStart"/>
      <w:r w:rsidRPr="00D66635">
        <w:rPr>
          <w:sz w:val="22"/>
          <w:szCs w:val="22"/>
        </w:rPr>
        <w:t>eritema</w:t>
      </w:r>
      <w:proofErr w:type="spellEnd"/>
      <w:r w:rsidRPr="00D66635">
        <w:rPr>
          <w:sz w:val="22"/>
          <w:szCs w:val="22"/>
        </w:rPr>
        <w:t>, niežulys.</w:t>
      </w:r>
    </w:p>
    <w:p w14:paraId="5C021561" w14:textId="77777777" w:rsidR="00D66635" w:rsidRPr="00D66635" w:rsidRDefault="00D66635" w:rsidP="00D66635">
      <w:pPr>
        <w:rPr>
          <w:sz w:val="22"/>
          <w:szCs w:val="22"/>
        </w:rPr>
      </w:pPr>
    </w:p>
    <w:p w14:paraId="56FB099F" w14:textId="77777777" w:rsidR="00D66635" w:rsidRPr="00D66635" w:rsidRDefault="00D66635" w:rsidP="00D66635">
      <w:pPr>
        <w:rPr>
          <w:i/>
          <w:iCs/>
          <w:sz w:val="22"/>
          <w:szCs w:val="22"/>
        </w:rPr>
      </w:pPr>
      <w:r w:rsidRPr="00D66635">
        <w:rPr>
          <w:i/>
          <w:iCs/>
          <w:sz w:val="22"/>
          <w:szCs w:val="22"/>
        </w:rPr>
        <w:t>Šalutinio poveikio reiškiniai, kurių dažnis nežinomas (negali būti apskaičiuotas pagal turimus duomenis):</w:t>
      </w:r>
    </w:p>
    <w:p w14:paraId="77ACFB5D" w14:textId="77777777" w:rsidR="00D66635" w:rsidRPr="00D66635" w:rsidRDefault="00D66635" w:rsidP="00D66635">
      <w:pPr>
        <w:keepNext/>
        <w:keepLines/>
        <w:tabs>
          <w:tab w:val="left" w:pos="0"/>
        </w:tabs>
        <w:rPr>
          <w:sz w:val="22"/>
          <w:szCs w:val="22"/>
        </w:rPr>
      </w:pPr>
      <w:r w:rsidRPr="00D66635">
        <w:rPr>
          <w:sz w:val="22"/>
          <w:szCs w:val="22"/>
        </w:rPr>
        <w:t>Gali pasireikšti alerginės reakcijos (pvz., lūpų, liežuvio ir ryklės ir (arba) gerklų pabrinkimas, siaurinantis kvėpavimo takus (</w:t>
      </w:r>
      <w:proofErr w:type="spellStart"/>
      <w:r w:rsidRPr="00D66635">
        <w:rPr>
          <w:sz w:val="22"/>
          <w:szCs w:val="22"/>
        </w:rPr>
        <w:t>angioneurozinė</w:t>
      </w:r>
      <w:proofErr w:type="spellEnd"/>
      <w:r w:rsidRPr="00D66635">
        <w:rPr>
          <w:sz w:val="22"/>
          <w:szCs w:val="22"/>
        </w:rPr>
        <w:t xml:space="preserve"> edema), dusulys, veido pabrinkimas). Pasireiškus pirmiems padidėjusio jautrumo (alerginių) reakcijų simptomams, </w:t>
      </w:r>
      <w:proofErr w:type="spellStart"/>
      <w:r w:rsidRPr="00D66635">
        <w:rPr>
          <w:sz w:val="22"/>
          <w:szCs w:val="22"/>
        </w:rPr>
        <w:t>Sinupret</w:t>
      </w:r>
      <w:proofErr w:type="spellEnd"/>
      <w:r w:rsidRPr="00D66635">
        <w:rPr>
          <w:sz w:val="22"/>
          <w:szCs w:val="22"/>
        </w:rPr>
        <w:t xml:space="preserve"> forte vartojimą reikia nutraukti.</w:t>
      </w:r>
    </w:p>
    <w:p w14:paraId="4234207C" w14:textId="77777777" w:rsidR="00D66635" w:rsidRPr="00D66635" w:rsidRDefault="00D66635" w:rsidP="00D66635">
      <w:pPr>
        <w:jc w:val="both"/>
        <w:rPr>
          <w:sz w:val="22"/>
          <w:szCs w:val="22"/>
        </w:rPr>
      </w:pPr>
    </w:p>
    <w:p w14:paraId="64CF1F12" w14:textId="77777777" w:rsidR="00D66635" w:rsidRPr="00D66635" w:rsidRDefault="00D66635" w:rsidP="00D66635">
      <w:pPr>
        <w:autoSpaceDE w:val="0"/>
        <w:autoSpaceDN w:val="0"/>
        <w:adjustRightInd w:val="0"/>
        <w:jc w:val="both"/>
        <w:rPr>
          <w:sz w:val="22"/>
          <w:szCs w:val="22"/>
          <w:u w:val="single"/>
        </w:rPr>
      </w:pPr>
      <w:r w:rsidRPr="00D66635">
        <w:rPr>
          <w:b/>
          <w:noProof/>
          <w:sz w:val="22"/>
          <w:szCs w:val="22"/>
        </w:rPr>
        <w:t>Pranešimas apie šalutinį poveikį</w:t>
      </w:r>
    </w:p>
    <w:p w14:paraId="78E7D033" w14:textId="77777777" w:rsidR="00D66635" w:rsidRPr="00D66635" w:rsidRDefault="00D66635" w:rsidP="00D66635">
      <w:pPr>
        <w:tabs>
          <w:tab w:val="left" w:pos="1080"/>
        </w:tabs>
        <w:autoSpaceDE w:val="0"/>
        <w:autoSpaceDN w:val="0"/>
        <w:adjustRightInd w:val="0"/>
        <w:rPr>
          <w:sz w:val="22"/>
          <w:szCs w:val="22"/>
        </w:rPr>
      </w:pPr>
      <w:r w:rsidRPr="00D66635">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66635">
          <w:rPr>
            <w:rStyle w:val="Hipersaitas"/>
            <w:rFonts w:eastAsiaTheme="majorEastAsia"/>
            <w:color w:val="auto"/>
            <w:sz w:val="22"/>
            <w:szCs w:val="22"/>
            <w:lang w:eastAsia="lt-LT"/>
          </w:rPr>
          <w:t>https://vvkt.lrv.lt/lt/</w:t>
        </w:r>
      </w:hyperlink>
      <w:r w:rsidRPr="00D66635">
        <w:rPr>
          <w:sz w:val="22"/>
          <w:szCs w:val="22"/>
          <w:u w:val="single"/>
          <w:lang w:eastAsia="lt-LT"/>
        </w:rPr>
        <w:t xml:space="preserve"> </w:t>
      </w:r>
      <w:r w:rsidRPr="00D66635">
        <w:rPr>
          <w:sz w:val="22"/>
          <w:szCs w:val="22"/>
        </w:rPr>
        <w:t>nurodytais būdais arba paskambinti nemokamu telefonu +370 800 73 568. Pranešdami apie šalutinį poveikį galite mums padėti gauti daugiau informacijos apie šio vaisto saugumą.</w:t>
      </w:r>
    </w:p>
    <w:p w14:paraId="702B2C7C" w14:textId="77777777" w:rsidR="00D66635" w:rsidRPr="00D66635" w:rsidRDefault="00D66635" w:rsidP="00D66635">
      <w:pPr>
        <w:rPr>
          <w:sz w:val="22"/>
          <w:szCs w:val="22"/>
        </w:rPr>
      </w:pPr>
    </w:p>
    <w:p w14:paraId="435689E8" w14:textId="77777777" w:rsidR="00D66635" w:rsidRPr="00D66635" w:rsidRDefault="00D66635" w:rsidP="00D66635">
      <w:pPr>
        <w:rPr>
          <w:sz w:val="22"/>
          <w:szCs w:val="22"/>
        </w:rPr>
      </w:pPr>
    </w:p>
    <w:p w14:paraId="69F562AB" w14:textId="77777777" w:rsidR="00D66635" w:rsidRPr="00D66635" w:rsidRDefault="00D66635" w:rsidP="00D66635">
      <w:pPr>
        <w:ind w:left="540" w:hanging="540"/>
        <w:rPr>
          <w:b/>
          <w:bCs/>
          <w:sz w:val="22"/>
          <w:szCs w:val="22"/>
        </w:rPr>
      </w:pPr>
      <w:r w:rsidRPr="00D66635">
        <w:rPr>
          <w:b/>
          <w:bCs/>
          <w:sz w:val="22"/>
          <w:szCs w:val="22"/>
        </w:rPr>
        <w:t>5.</w:t>
      </w:r>
      <w:r w:rsidRPr="00D66635">
        <w:rPr>
          <w:b/>
          <w:bCs/>
          <w:sz w:val="22"/>
          <w:szCs w:val="22"/>
        </w:rPr>
        <w:tab/>
      </w:r>
      <w:r w:rsidRPr="00D66635">
        <w:rPr>
          <w:b/>
          <w:sz w:val="22"/>
          <w:szCs w:val="22"/>
        </w:rPr>
        <w:t xml:space="preserve">Kaip laikyti </w:t>
      </w:r>
      <w:proofErr w:type="spellStart"/>
      <w:r w:rsidRPr="00D66635">
        <w:rPr>
          <w:b/>
          <w:sz w:val="22"/>
          <w:szCs w:val="22"/>
        </w:rPr>
        <w:t>Sinupret</w:t>
      </w:r>
      <w:proofErr w:type="spellEnd"/>
      <w:r w:rsidRPr="00D66635">
        <w:rPr>
          <w:b/>
          <w:sz w:val="22"/>
          <w:szCs w:val="22"/>
        </w:rPr>
        <w:t xml:space="preserve"> forte</w:t>
      </w:r>
    </w:p>
    <w:p w14:paraId="05D72EB7" w14:textId="77777777" w:rsidR="00D66635" w:rsidRPr="00D66635" w:rsidRDefault="00D66635" w:rsidP="00D66635">
      <w:pPr>
        <w:rPr>
          <w:sz w:val="22"/>
          <w:szCs w:val="22"/>
        </w:rPr>
      </w:pPr>
    </w:p>
    <w:p w14:paraId="2B27C7DF" w14:textId="77777777" w:rsidR="00D66635" w:rsidRPr="00D66635" w:rsidRDefault="00D66635" w:rsidP="00D66635">
      <w:pPr>
        <w:numPr>
          <w:ilvl w:val="12"/>
          <w:numId w:val="0"/>
        </w:numPr>
        <w:ind w:right="-2"/>
        <w:rPr>
          <w:snapToGrid w:val="0"/>
          <w:sz w:val="22"/>
          <w:szCs w:val="22"/>
        </w:rPr>
      </w:pPr>
      <w:r w:rsidRPr="00D66635">
        <w:rPr>
          <w:snapToGrid w:val="0"/>
          <w:sz w:val="22"/>
          <w:szCs w:val="22"/>
        </w:rPr>
        <w:t>Šį vaistą laikykite vaikams nepastebimoje ir nepasiekiamoje vietoje.</w:t>
      </w:r>
    </w:p>
    <w:p w14:paraId="302B81FE" w14:textId="77777777" w:rsidR="00D66635" w:rsidRPr="00D66635" w:rsidRDefault="00D66635" w:rsidP="00D66635">
      <w:pPr>
        <w:rPr>
          <w:sz w:val="22"/>
          <w:szCs w:val="22"/>
        </w:rPr>
      </w:pPr>
    </w:p>
    <w:p w14:paraId="1026A7CC" w14:textId="77777777" w:rsidR="00D66635" w:rsidRPr="00D66635" w:rsidRDefault="00D66635" w:rsidP="00D66635">
      <w:pPr>
        <w:jc w:val="both"/>
        <w:rPr>
          <w:sz w:val="22"/>
          <w:szCs w:val="22"/>
        </w:rPr>
      </w:pPr>
      <w:r w:rsidRPr="00D66635">
        <w:rPr>
          <w:sz w:val="22"/>
          <w:szCs w:val="22"/>
        </w:rPr>
        <w:t>Ant dėžutės ir lizdinės plokštelės po „EXP“ nurodytam tinkamumo laikui pasibaigus, šio vaisto vartoti negalima. Vaistas tinkamas vartoti iki paskutinės nurodyto mėnesio dienos.</w:t>
      </w:r>
    </w:p>
    <w:p w14:paraId="35FFEB44" w14:textId="77777777" w:rsidR="00D66635" w:rsidRPr="00D66635" w:rsidRDefault="00D66635" w:rsidP="00D66635">
      <w:pPr>
        <w:rPr>
          <w:sz w:val="22"/>
          <w:szCs w:val="22"/>
        </w:rPr>
      </w:pPr>
    </w:p>
    <w:p w14:paraId="35F16559" w14:textId="77777777" w:rsidR="00D66635" w:rsidRPr="00D66635" w:rsidRDefault="00D66635" w:rsidP="00D66635">
      <w:pPr>
        <w:rPr>
          <w:sz w:val="22"/>
          <w:szCs w:val="22"/>
        </w:rPr>
      </w:pPr>
      <w:r w:rsidRPr="00D66635">
        <w:rPr>
          <w:rFonts w:eastAsia="Calibri"/>
          <w:sz w:val="22"/>
          <w:szCs w:val="22"/>
          <w:lang w:eastAsia="lt-LT"/>
        </w:rPr>
        <w:t>Laikyti ne aukštesnėje kaip 30 °C temperatūroje.</w:t>
      </w:r>
    </w:p>
    <w:p w14:paraId="08C9D26A" w14:textId="77777777" w:rsidR="00D66635" w:rsidRPr="00D66635" w:rsidRDefault="00D66635" w:rsidP="00D66635">
      <w:pPr>
        <w:numPr>
          <w:ilvl w:val="12"/>
          <w:numId w:val="0"/>
        </w:numPr>
        <w:ind w:left="567" w:hanging="567"/>
        <w:outlineLvl w:val="0"/>
        <w:rPr>
          <w:b/>
          <w:sz w:val="22"/>
          <w:szCs w:val="22"/>
        </w:rPr>
      </w:pPr>
    </w:p>
    <w:p w14:paraId="4199E022" w14:textId="77777777" w:rsidR="00D66635" w:rsidRPr="00D66635" w:rsidRDefault="00D66635" w:rsidP="00D66635">
      <w:pPr>
        <w:numPr>
          <w:ilvl w:val="12"/>
          <w:numId w:val="0"/>
        </w:numPr>
        <w:ind w:right="-2"/>
        <w:rPr>
          <w:i/>
          <w:snapToGrid w:val="0"/>
          <w:sz w:val="22"/>
          <w:szCs w:val="22"/>
        </w:rPr>
      </w:pPr>
      <w:r w:rsidRPr="00D66635">
        <w:rPr>
          <w:snapToGrid w:val="0"/>
          <w:sz w:val="22"/>
          <w:szCs w:val="22"/>
        </w:rPr>
        <w:t>Vaistų negalima išmesti į kanalizaciją arba su buitinėmis atliekomis. Kaip išmesti nereikalingus vaistus, klauskite vaistininko. Šios priemonės padės apsaugoti aplinką.</w:t>
      </w:r>
    </w:p>
    <w:p w14:paraId="473857F6" w14:textId="77777777" w:rsidR="00D66635" w:rsidRPr="00D66635" w:rsidRDefault="00D66635" w:rsidP="00D66635">
      <w:pPr>
        <w:numPr>
          <w:ilvl w:val="12"/>
          <w:numId w:val="0"/>
        </w:numPr>
        <w:ind w:left="567" w:hanging="567"/>
        <w:outlineLvl w:val="0"/>
        <w:rPr>
          <w:b/>
          <w:sz w:val="22"/>
          <w:szCs w:val="22"/>
        </w:rPr>
      </w:pPr>
    </w:p>
    <w:p w14:paraId="57934983" w14:textId="77777777" w:rsidR="00D66635" w:rsidRPr="00D66635" w:rsidRDefault="00D66635" w:rsidP="00D66635">
      <w:pPr>
        <w:numPr>
          <w:ilvl w:val="12"/>
          <w:numId w:val="0"/>
        </w:numPr>
        <w:ind w:left="567" w:hanging="567"/>
        <w:outlineLvl w:val="0"/>
        <w:rPr>
          <w:b/>
          <w:sz w:val="22"/>
          <w:szCs w:val="22"/>
        </w:rPr>
      </w:pPr>
    </w:p>
    <w:p w14:paraId="48781BED" w14:textId="77777777" w:rsidR="00D66635" w:rsidRPr="00D66635" w:rsidRDefault="00D66635" w:rsidP="00D66635">
      <w:pPr>
        <w:numPr>
          <w:ilvl w:val="12"/>
          <w:numId w:val="0"/>
        </w:numPr>
        <w:ind w:left="567" w:hanging="567"/>
        <w:outlineLvl w:val="0"/>
        <w:rPr>
          <w:b/>
          <w:sz w:val="22"/>
          <w:szCs w:val="22"/>
        </w:rPr>
      </w:pPr>
      <w:r w:rsidRPr="00D66635">
        <w:rPr>
          <w:b/>
          <w:sz w:val="22"/>
          <w:szCs w:val="22"/>
        </w:rPr>
        <w:t>6.</w:t>
      </w:r>
      <w:r w:rsidRPr="00D66635">
        <w:rPr>
          <w:sz w:val="22"/>
          <w:szCs w:val="22"/>
        </w:rPr>
        <w:tab/>
      </w:r>
      <w:r w:rsidRPr="00D66635">
        <w:rPr>
          <w:b/>
          <w:sz w:val="22"/>
          <w:szCs w:val="22"/>
        </w:rPr>
        <w:t>Pakuotės turinys ir kita informacija</w:t>
      </w:r>
      <w:r w:rsidRPr="00D66635" w:rsidDel="0060476C">
        <w:rPr>
          <w:b/>
          <w:sz w:val="22"/>
          <w:szCs w:val="22"/>
        </w:rPr>
        <w:t xml:space="preserve"> </w:t>
      </w:r>
    </w:p>
    <w:p w14:paraId="42D43E2C" w14:textId="77777777" w:rsidR="00D66635" w:rsidRPr="00D66635" w:rsidRDefault="00D66635" w:rsidP="00D66635">
      <w:pPr>
        <w:ind w:left="567" w:hanging="567"/>
        <w:rPr>
          <w:sz w:val="22"/>
          <w:szCs w:val="22"/>
        </w:rPr>
      </w:pPr>
    </w:p>
    <w:p w14:paraId="6361E71D" w14:textId="77777777" w:rsidR="00D66635" w:rsidRPr="00D66635" w:rsidRDefault="00D66635" w:rsidP="00D66635">
      <w:pPr>
        <w:ind w:left="567" w:hanging="567"/>
        <w:rPr>
          <w:b/>
          <w:sz w:val="22"/>
          <w:szCs w:val="22"/>
        </w:rPr>
      </w:pPr>
      <w:proofErr w:type="spellStart"/>
      <w:r w:rsidRPr="00D66635">
        <w:rPr>
          <w:b/>
          <w:sz w:val="22"/>
          <w:szCs w:val="22"/>
        </w:rPr>
        <w:t>Sinupret</w:t>
      </w:r>
      <w:proofErr w:type="spellEnd"/>
      <w:r w:rsidRPr="00D66635">
        <w:rPr>
          <w:b/>
          <w:sz w:val="22"/>
          <w:szCs w:val="22"/>
        </w:rPr>
        <w:t xml:space="preserve"> forte sudėtis</w:t>
      </w:r>
    </w:p>
    <w:p w14:paraId="3DEC282A" w14:textId="77777777" w:rsidR="00D66635" w:rsidRPr="00D66635" w:rsidRDefault="00D66635" w:rsidP="00D66635">
      <w:pPr>
        <w:pStyle w:val="BT-EMEASMCA"/>
        <w:tabs>
          <w:tab w:val="clear" w:pos="360"/>
          <w:tab w:val="num" w:pos="567"/>
        </w:tabs>
        <w:ind w:left="567" w:hanging="567"/>
        <w:rPr>
          <w:rFonts w:cs="Times New Roman"/>
          <w:b/>
        </w:rPr>
      </w:pPr>
      <w:r w:rsidRPr="00D66635">
        <w:rPr>
          <w:rFonts w:cs="Times New Roman"/>
        </w:rPr>
        <w:t xml:space="preserve">Veikliosios medžiagos: Vienoje dengtoje tabletėje yra 36 mg </w:t>
      </w:r>
      <w:proofErr w:type="spellStart"/>
      <w:r w:rsidRPr="00D66635">
        <w:rPr>
          <w:rFonts w:cs="Times New Roman"/>
          <w:i/>
          <w:iCs/>
        </w:rPr>
        <w:t>Verbena</w:t>
      </w:r>
      <w:proofErr w:type="spellEnd"/>
      <w:r w:rsidRPr="00D66635">
        <w:rPr>
          <w:rFonts w:cs="Times New Roman"/>
          <w:i/>
          <w:iCs/>
        </w:rPr>
        <w:t xml:space="preserve"> </w:t>
      </w:r>
      <w:proofErr w:type="spellStart"/>
      <w:r w:rsidRPr="00D66635">
        <w:rPr>
          <w:rFonts w:cs="Times New Roman"/>
          <w:i/>
          <w:iCs/>
        </w:rPr>
        <w:t>officinalis</w:t>
      </w:r>
      <w:proofErr w:type="spellEnd"/>
      <w:r w:rsidRPr="00D66635">
        <w:rPr>
          <w:rFonts w:cs="Times New Roman"/>
          <w:i/>
          <w:iCs/>
        </w:rPr>
        <w:t xml:space="preserve"> </w:t>
      </w:r>
      <w:r w:rsidRPr="00D66635">
        <w:rPr>
          <w:rFonts w:cs="Times New Roman"/>
        </w:rPr>
        <w:t xml:space="preserve">L., </w:t>
      </w:r>
      <w:proofErr w:type="spellStart"/>
      <w:r w:rsidRPr="00D66635">
        <w:rPr>
          <w:rFonts w:cs="Times New Roman"/>
        </w:rPr>
        <w:t>herba</w:t>
      </w:r>
      <w:proofErr w:type="spellEnd"/>
      <w:r w:rsidRPr="00D66635">
        <w:rPr>
          <w:rFonts w:cs="Times New Roman"/>
        </w:rPr>
        <w:t xml:space="preserve"> (</w:t>
      </w:r>
      <w:proofErr w:type="spellStart"/>
      <w:r w:rsidRPr="00D66635">
        <w:rPr>
          <w:rFonts w:cs="Times New Roman"/>
        </w:rPr>
        <w:t>verbenų</w:t>
      </w:r>
      <w:proofErr w:type="spellEnd"/>
      <w:r w:rsidRPr="00D66635">
        <w:rPr>
          <w:rFonts w:cs="Times New Roman"/>
        </w:rPr>
        <w:t xml:space="preserve"> žolės) miltelių, </w:t>
      </w:r>
      <w:r w:rsidRPr="00D66635">
        <w:rPr>
          <w:rFonts w:cs="Times New Roman"/>
          <w:iCs/>
        </w:rPr>
        <w:t xml:space="preserve">12 mg </w:t>
      </w:r>
      <w:proofErr w:type="spellStart"/>
      <w:r w:rsidRPr="00D66635">
        <w:rPr>
          <w:rStyle w:val="Emfaz"/>
          <w:rFonts w:eastAsia="MS Mincho" w:cs="Times New Roman"/>
        </w:rPr>
        <w:t>Gentiana</w:t>
      </w:r>
      <w:proofErr w:type="spellEnd"/>
      <w:r w:rsidRPr="00D66635">
        <w:rPr>
          <w:rStyle w:val="Emfaz"/>
          <w:rFonts w:eastAsia="MS Mincho" w:cs="Times New Roman"/>
        </w:rPr>
        <w:t xml:space="preserve"> </w:t>
      </w:r>
      <w:proofErr w:type="spellStart"/>
      <w:r w:rsidRPr="00D66635">
        <w:rPr>
          <w:rStyle w:val="Emfaz"/>
          <w:rFonts w:eastAsia="MS Mincho" w:cs="Times New Roman"/>
        </w:rPr>
        <w:t>lutea</w:t>
      </w:r>
      <w:proofErr w:type="spellEnd"/>
      <w:r w:rsidRPr="00D66635">
        <w:rPr>
          <w:rFonts w:eastAsia="MS Mincho" w:cs="Times New Roman"/>
        </w:rPr>
        <w:t xml:space="preserve"> L., </w:t>
      </w:r>
      <w:proofErr w:type="spellStart"/>
      <w:r w:rsidRPr="00D66635">
        <w:rPr>
          <w:rFonts w:eastAsia="MS Mincho" w:cs="Times New Roman"/>
        </w:rPr>
        <w:t>radix</w:t>
      </w:r>
      <w:proofErr w:type="spellEnd"/>
      <w:r w:rsidRPr="00D66635">
        <w:rPr>
          <w:rFonts w:eastAsia="MS Mincho" w:cs="Times New Roman"/>
        </w:rPr>
        <w:t xml:space="preserve"> (</w:t>
      </w:r>
      <w:proofErr w:type="spellStart"/>
      <w:r w:rsidRPr="00D66635">
        <w:rPr>
          <w:rFonts w:cs="Times New Roman"/>
        </w:rPr>
        <w:t>gencijonų</w:t>
      </w:r>
      <w:proofErr w:type="spellEnd"/>
      <w:r w:rsidRPr="00D66635">
        <w:rPr>
          <w:rFonts w:cs="Times New Roman"/>
        </w:rPr>
        <w:t xml:space="preserve"> šaknų) miltelių, 36 mg įvairių </w:t>
      </w:r>
      <w:proofErr w:type="spellStart"/>
      <w:r w:rsidRPr="00D66635">
        <w:rPr>
          <w:rFonts w:cs="Times New Roman"/>
          <w:i/>
          <w:iCs/>
        </w:rPr>
        <w:t>Rumex</w:t>
      </w:r>
      <w:proofErr w:type="spellEnd"/>
      <w:r w:rsidRPr="00D66635">
        <w:rPr>
          <w:rFonts w:cs="Times New Roman"/>
          <w:i/>
          <w:iCs/>
        </w:rPr>
        <w:t xml:space="preserve"> </w:t>
      </w:r>
      <w:r w:rsidRPr="00D66635">
        <w:rPr>
          <w:rFonts w:cs="Times New Roman"/>
          <w:iCs/>
        </w:rPr>
        <w:t xml:space="preserve">genties rūšių, įskaitant </w:t>
      </w:r>
      <w:r w:rsidRPr="00D66635">
        <w:rPr>
          <w:rFonts w:cs="Times New Roman"/>
          <w:i/>
          <w:iCs/>
        </w:rPr>
        <w:t xml:space="preserve">R. </w:t>
      </w:r>
      <w:proofErr w:type="spellStart"/>
      <w:r w:rsidRPr="00D66635">
        <w:rPr>
          <w:rFonts w:cs="Times New Roman"/>
          <w:i/>
          <w:iCs/>
        </w:rPr>
        <w:t>acetosa</w:t>
      </w:r>
      <w:proofErr w:type="spellEnd"/>
      <w:r w:rsidRPr="00D66635">
        <w:rPr>
          <w:rFonts w:cs="Times New Roman"/>
          <w:i/>
          <w:iCs/>
        </w:rPr>
        <w:t xml:space="preserve"> </w:t>
      </w:r>
      <w:r w:rsidRPr="00D66635">
        <w:rPr>
          <w:rFonts w:cs="Times New Roman"/>
        </w:rPr>
        <w:t xml:space="preserve">L., </w:t>
      </w:r>
      <w:r w:rsidRPr="00D66635">
        <w:rPr>
          <w:rFonts w:cs="Times New Roman"/>
          <w:i/>
          <w:iCs/>
        </w:rPr>
        <w:t xml:space="preserve">R. </w:t>
      </w:r>
      <w:proofErr w:type="spellStart"/>
      <w:r w:rsidRPr="00D66635">
        <w:rPr>
          <w:rFonts w:cs="Times New Roman"/>
          <w:i/>
          <w:iCs/>
        </w:rPr>
        <w:t>acetosella</w:t>
      </w:r>
      <w:proofErr w:type="spellEnd"/>
      <w:r w:rsidRPr="00D66635">
        <w:rPr>
          <w:rFonts w:cs="Times New Roman"/>
          <w:i/>
          <w:iCs/>
        </w:rPr>
        <w:t xml:space="preserve"> </w:t>
      </w:r>
      <w:r w:rsidRPr="00D66635">
        <w:rPr>
          <w:rFonts w:cs="Times New Roman"/>
        </w:rPr>
        <w:t xml:space="preserve">L., </w:t>
      </w:r>
      <w:r w:rsidRPr="00D66635">
        <w:rPr>
          <w:rFonts w:cs="Times New Roman"/>
          <w:i/>
          <w:iCs/>
        </w:rPr>
        <w:t xml:space="preserve">R. </w:t>
      </w:r>
      <w:proofErr w:type="spellStart"/>
      <w:r w:rsidRPr="00D66635">
        <w:rPr>
          <w:rFonts w:cs="Times New Roman"/>
          <w:i/>
          <w:iCs/>
        </w:rPr>
        <w:t>obtusifolius</w:t>
      </w:r>
      <w:proofErr w:type="spellEnd"/>
      <w:r w:rsidRPr="00D66635">
        <w:rPr>
          <w:rFonts w:cs="Times New Roman"/>
          <w:i/>
          <w:iCs/>
        </w:rPr>
        <w:t xml:space="preserve"> </w:t>
      </w:r>
      <w:r w:rsidRPr="00D66635">
        <w:rPr>
          <w:rFonts w:cs="Times New Roman"/>
        </w:rPr>
        <w:t>L.,</w:t>
      </w:r>
      <w:r w:rsidRPr="00D66635">
        <w:rPr>
          <w:rFonts w:cs="Times New Roman"/>
          <w:i/>
          <w:iCs/>
        </w:rPr>
        <w:t xml:space="preserve"> R. </w:t>
      </w:r>
      <w:proofErr w:type="spellStart"/>
      <w:r w:rsidRPr="00D66635">
        <w:rPr>
          <w:rFonts w:cs="Times New Roman"/>
          <w:i/>
          <w:iCs/>
        </w:rPr>
        <w:t>patientia</w:t>
      </w:r>
      <w:proofErr w:type="spellEnd"/>
      <w:r w:rsidRPr="00D66635">
        <w:rPr>
          <w:rFonts w:cs="Times New Roman"/>
          <w:i/>
          <w:iCs/>
        </w:rPr>
        <w:t xml:space="preserve"> </w:t>
      </w:r>
      <w:r w:rsidRPr="00D66635">
        <w:rPr>
          <w:rFonts w:cs="Times New Roman"/>
        </w:rPr>
        <w:t xml:space="preserve">L., </w:t>
      </w:r>
      <w:r w:rsidRPr="00D66635">
        <w:rPr>
          <w:rFonts w:cs="Times New Roman"/>
          <w:i/>
          <w:iCs/>
        </w:rPr>
        <w:t xml:space="preserve">R. </w:t>
      </w:r>
      <w:proofErr w:type="spellStart"/>
      <w:r w:rsidRPr="00D66635">
        <w:rPr>
          <w:rFonts w:cs="Times New Roman"/>
          <w:i/>
          <w:iCs/>
        </w:rPr>
        <w:t>crispus</w:t>
      </w:r>
      <w:proofErr w:type="spellEnd"/>
      <w:r w:rsidRPr="00D66635">
        <w:rPr>
          <w:rFonts w:cs="Times New Roman"/>
          <w:i/>
          <w:iCs/>
        </w:rPr>
        <w:t xml:space="preserve"> </w:t>
      </w:r>
      <w:r w:rsidRPr="00D66635">
        <w:rPr>
          <w:rFonts w:cs="Times New Roman"/>
        </w:rPr>
        <w:t xml:space="preserve">L., </w:t>
      </w:r>
      <w:r w:rsidRPr="00D66635">
        <w:rPr>
          <w:rFonts w:cs="Times New Roman"/>
          <w:i/>
          <w:iCs/>
        </w:rPr>
        <w:t xml:space="preserve">R. </w:t>
      </w:r>
      <w:proofErr w:type="spellStart"/>
      <w:r w:rsidRPr="00D66635">
        <w:rPr>
          <w:rFonts w:cs="Times New Roman"/>
          <w:i/>
          <w:iCs/>
        </w:rPr>
        <w:t>thyrsiflorus</w:t>
      </w:r>
      <w:proofErr w:type="spellEnd"/>
      <w:r w:rsidRPr="00D66635">
        <w:rPr>
          <w:rFonts w:cs="Times New Roman"/>
          <w:i/>
          <w:iCs/>
        </w:rPr>
        <w:t xml:space="preserve"> </w:t>
      </w:r>
      <w:proofErr w:type="spellStart"/>
      <w:r w:rsidRPr="00D66635">
        <w:rPr>
          <w:rFonts w:cs="Times New Roman"/>
        </w:rPr>
        <w:t>Fingerh</w:t>
      </w:r>
      <w:proofErr w:type="spellEnd"/>
      <w:r w:rsidRPr="00D66635">
        <w:rPr>
          <w:rFonts w:cs="Times New Roman"/>
        </w:rPr>
        <w:t xml:space="preserve">., </w:t>
      </w:r>
      <w:proofErr w:type="spellStart"/>
      <w:r w:rsidRPr="00D66635">
        <w:rPr>
          <w:rFonts w:cs="Times New Roman"/>
        </w:rPr>
        <w:t>herba</w:t>
      </w:r>
      <w:proofErr w:type="spellEnd"/>
      <w:r w:rsidRPr="00D66635">
        <w:rPr>
          <w:rFonts w:cs="Times New Roman"/>
        </w:rPr>
        <w:t xml:space="preserve"> (rūgštynių žolės) miltelių, 36 mg </w:t>
      </w:r>
      <w:proofErr w:type="spellStart"/>
      <w:r w:rsidRPr="00D66635">
        <w:rPr>
          <w:rFonts w:cs="Times New Roman"/>
          <w:i/>
          <w:iCs/>
        </w:rPr>
        <w:t>Sambucus</w:t>
      </w:r>
      <w:proofErr w:type="spellEnd"/>
      <w:r w:rsidRPr="00D66635">
        <w:rPr>
          <w:rFonts w:cs="Times New Roman"/>
          <w:i/>
          <w:iCs/>
        </w:rPr>
        <w:t xml:space="preserve"> </w:t>
      </w:r>
      <w:proofErr w:type="spellStart"/>
      <w:r w:rsidRPr="00D66635">
        <w:rPr>
          <w:rFonts w:cs="Times New Roman"/>
          <w:i/>
          <w:iCs/>
        </w:rPr>
        <w:t>nigra</w:t>
      </w:r>
      <w:proofErr w:type="spellEnd"/>
      <w:r w:rsidRPr="00D66635">
        <w:rPr>
          <w:rFonts w:cs="Times New Roman"/>
          <w:i/>
          <w:iCs/>
        </w:rPr>
        <w:t xml:space="preserve"> </w:t>
      </w:r>
      <w:r w:rsidRPr="00D66635">
        <w:rPr>
          <w:rFonts w:cs="Times New Roman"/>
        </w:rPr>
        <w:t xml:space="preserve">L., </w:t>
      </w:r>
      <w:proofErr w:type="spellStart"/>
      <w:r w:rsidRPr="00D66635">
        <w:rPr>
          <w:rFonts w:cs="Times New Roman"/>
        </w:rPr>
        <w:t>flos</w:t>
      </w:r>
      <w:proofErr w:type="spellEnd"/>
      <w:r w:rsidRPr="00D66635">
        <w:rPr>
          <w:rFonts w:cs="Times New Roman"/>
        </w:rPr>
        <w:t xml:space="preserve"> (</w:t>
      </w:r>
      <w:proofErr w:type="spellStart"/>
      <w:r w:rsidRPr="00D66635">
        <w:rPr>
          <w:rFonts w:cs="Times New Roman"/>
        </w:rPr>
        <w:t>juoduogių</w:t>
      </w:r>
      <w:proofErr w:type="spellEnd"/>
      <w:r w:rsidRPr="00D66635">
        <w:rPr>
          <w:rFonts w:cs="Times New Roman"/>
        </w:rPr>
        <w:t xml:space="preserve"> šeivamedžių žiedų) miltelių, 36 mg </w:t>
      </w:r>
      <w:proofErr w:type="spellStart"/>
      <w:r w:rsidRPr="00D66635">
        <w:rPr>
          <w:rFonts w:cs="Times New Roman"/>
          <w:i/>
          <w:iCs/>
        </w:rPr>
        <w:t>Primula</w:t>
      </w:r>
      <w:proofErr w:type="spellEnd"/>
      <w:r w:rsidRPr="00D66635">
        <w:rPr>
          <w:rFonts w:cs="Times New Roman"/>
          <w:i/>
          <w:iCs/>
        </w:rPr>
        <w:t xml:space="preserve"> </w:t>
      </w:r>
      <w:proofErr w:type="spellStart"/>
      <w:r w:rsidRPr="00D66635">
        <w:rPr>
          <w:rFonts w:cs="Times New Roman"/>
          <w:i/>
          <w:iCs/>
        </w:rPr>
        <w:t>veris</w:t>
      </w:r>
      <w:proofErr w:type="spellEnd"/>
      <w:r w:rsidRPr="00D66635">
        <w:rPr>
          <w:rFonts w:cs="Times New Roman"/>
          <w:i/>
          <w:iCs/>
        </w:rPr>
        <w:t xml:space="preserve"> </w:t>
      </w:r>
      <w:r w:rsidRPr="00D66635">
        <w:rPr>
          <w:rFonts w:cs="Times New Roman"/>
        </w:rPr>
        <w:t xml:space="preserve">L. ir (ar) </w:t>
      </w:r>
      <w:proofErr w:type="spellStart"/>
      <w:r w:rsidRPr="00D66635">
        <w:rPr>
          <w:rFonts w:cs="Times New Roman"/>
          <w:i/>
          <w:iCs/>
        </w:rPr>
        <w:t>Primula</w:t>
      </w:r>
      <w:proofErr w:type="spellEnd"/>
      <w:r w:rsidRPr="00D66635">
        <w:rPr>
          <w:rFonts w:cs="Times New Roman"/>
          <w:i/>
          <w:iCs/>
        </w:rPr>
        <w:t xml:space="preserve"> </w:t>
      </w:r>
      <w:proofErr w:type="spellStart"/>
      <w:r w:rsidRPr="00D66635">
        <w:rPr>
          <w:rFonts w:cs="Times New Roman"/>
          <w:i/>
          <w:iCs/>
        </w:rPr>
        <w:t>elatior</w:t>
      </w:r>
      <w:proofErr w:type="spellEnd"/>
      <w:r w:rsidRPr="00D66635">
        <w:rPr>
          <w:rFonts w:cs="Times New Roman"/>
          <w:i/>
          <w:iCs/>
        </w:rPr>
        <w:t xml:space="preserve"> </w:t>
      </w:r>
      <w:r w:rsidRPr="00D66635">
        <w:rPr>
          <w:rFonts w:cs="Times New Roman"/>
        </w:rPr>
        <w:t xml:space="preserve">(L.) </w:t>
      </w:r>
      <w:proofErr w:type="spellStart"/>
      <w:r w:rsidRPr="00D66635">
        <w:rPr>
          <w:rFonts w:cs="Times New Roman"/>
        </w:rPr>
        <w:t>Hill</w:t>
      </w:r>
      <w:proofErr w:type="spellEnd"/>
      <w:r w:rsidRPr="00D66635">
        <w:rPr>
          <w:rFonts w:cs="Times New Roman"/>
        </w:rPr>
        <w:t xml:space="preserve">., </w:t>
      </w:r>
      <w:proofErr w:type="spellStart"/>
      <w:r w:rsidRPr="00D66635">
        <w:rPr>
          <w:rFonts w:cs="Times New Roman"/>
        </w:rPr>
        <w:t>flos</w:t>
      </w:r>
      <w:proofErr w:type="spellEnd"/>
      <w:r w:rsidRPr="00D66635">
        <w:rPr>
          <w:rFonts w:cs="Times New Roman"/>
        </w:rPr>
        <w:t xml:space="preserve"> (raktažolių žiedų) miltelių.</w:t>
      </w:r>
    </w:p>
    <w:p w14:paraId="27CDAAED" w14:textId="77777777" w:rsidR="00D66635" w:rsidRPr="00D66635" w:rsidRDefault="00D66635" w:rsidP="00D66635">
      <w:pPr>
        <w:pStyle w:val="BT-EMEASMCA"/>
        <w:tabs>
          <w:tab w:val="clear" w:pos="360"/>
          <w:tab w:val="num" w:pos="567"/>
        </w:tabs>
        <w:ind w:left="567" w:hanging="567"/>
        <w:rPr>
          <w:rFonts w:cs="Times New Roman"/>
          <w:bCs/>
        </w:rPr>
      </w:pPr>
      <w:r w:rsidRPr="00D66635">
        <w:rPr>
          <w:rFonts w:cs="Times New Roman"/>
        </w:rPr>
        <w:t xml:space="preserve">Pagalbinės medžiagos. Tablečių šerdis: bulvių krakmolas, bevandenis koloidinis silicio dioksidas, </w:t>
      </w:r>
      <w:r w:rsidRPr="00D66635">
        <w:rPr>
          <w:rFonts w:cs="Times New Roman"/>
          <w:bCs/>
        </w:rPr>
        <w:t>l</w:t>
      </w:r>
      <w:r w:rsidRPr="00D66635">
        <w:rPr>
          <w:rFonts w:cs="Times New Roman"/>
        </w:rPr>
        <w:t xml:space="preserve">aktozė </w:t>
      </w:r>
      <w:proofErr w:type="spellStart"/>
      <w:r w:rsidRPr="00D66635">
        <w:rPr>
          <w:rFonts w:cs="Times New Roman"/>
        </w:rPr>
        <w:t>monohidratas</w:t>
      </w:r>
      <w:proofErr w:type="spellEnd"/>
      <w:r w:rsidRPr="00D66635">
        <w:rPr>
          <w:rFonts w:cs="Times New Roman"/>
        </w:rPr>
        <w:t xml:space="preserve">, želatina, </w:t>
      </w:r>
      <w:proofErr w:type="spellStart"/>
      <w:r w:rsidRPr="00D66635">
        <w:rPr>
          <w:rFonts w:cs="Times New Roman"/>
        </w:rPr>
        <w:t>sorbitolis</w:t>
      </w:r>
      <w:proofErr w:type="spellEnd"/>
      <w:r w:rsidRPr="00D66635">
        <w:rPr>
          <w:rFonts w:cs="Times New Roman"/>
        </w:rPr>
        <w:t xml:space="preserve"> (E 420 (i)), stearino rūgštis. Tablečių dangalas: </w:t>
      </w:r>
      <w:r w:rsidRPr="00D66635">
        <w:rPr>
          <w:rFonts w:cs="Times New Roman"/>
          <w:bCs/>
        </w:rPr>
        <w:t>k</w:t>
      </w:r>
      <w:r w:rsidRPr="00D66635">
        <w:rPr>
          <w:rFonts w:cs="Times New Roman"/>
        </w:rPr>
        <w:t xml:space="preserve">alcio karbonatas (E 170), </w:t>
      </w:r>
      <w:r w:rsidRPr="00D66635">
        <w:rPr>
          <w:rFonts w:cs="Times New Roman"/>
          <w:bCs/>
        </w:rPr>
        <w:t xml:space="preserve">chlorofilo milteliai 25 % (sudėtyje yra vario </w:t>
      </w:r>
      <w:proofErr w:type="spellStart"/>
      <w:r w:rsidRPr="00D66635">
        <w:rPr>
          <w:rFonts w:cs="Times New Roman"/>
          <w:bCs/>
        </w:rPr>
        <w:t>chlorofilino</w:t>
      </w:r>
      <w:proofErr w:type="spellEnd"/>
      <w:r w:rsidRPr="00D66635">
        <w:rPr>
          <w:rFonts w:cs="Times New Roman"/>
          <w:bCs/>
        </w:rPr>
        <w:t xml:space="preserve"> kompleksų (E 141 (ii)) ir skystosios gliukozės, džiovintos išpurškiant), </w:t>
      </w:r>
      <w:r w:rsidRPr="00D66635">
        <w:rPr>
          <w:rFonts w:cs="Times New Roman"/>
        </w:rPr>
        <w:t>rafinuotas ricinų aliejus, b</w:t>
      </w:r>
      <w:r w:rsidRPr="00D66635">
        <w:rPr>
          <w:rFonts w:cs="Times New Roman"/>
          <w:lang w:eastAsia="lt-LT"/>
        </w:rPr>
        <w:t xml:space="preserve">azinis </w:t>
      </w:r>
      <w:proofErr w:type="spellStart"/>
      <w:r w:rsidRPr="00D66635">
        <w:rPr>
          <w:rFonts w:cs="Times New Roman"/>
          <w:lang w:eastAsia="lt-LT"/>
        </w:rPr>
        <w:t>butilintas</w:t>
      </w:r>
      <w:proofErr w:type="spellEnd"/>
      <w:r w:rsidRPr="00D66635">
        <w:rPr>
          <w:rFonts w:cs="Times New Roman"/>
          <w:lang w:eastAsia="lt-LT"/>
        </w:rPr>
        <w:t xml:space="preserve"> </w:t>
      </w:r>
      <w:proofErr w:type="spellStart"/>
      <w:r w:rsidRPr="00D66635">
        <w:rPr>
          <w:rFonts w:cs="Times New Roman"/>
          <w:lang w:eastAsia="lt-LT"/>
        </w:rPr>
        <w:t>metakrilato</w:t>
      </w:r>
      <w:proofErr w:type="spellEnd"/>
      <w:r w:rsidRPr="00D66635">
        <w:rPr>
          <w:rFonts w:cs="Times New Roman"/>
          <w:lang w:eastAsia="lt-LT"/>
        </w:rPr>
        <w:t xml:space="preserve"> </w:t>
      </w:r>
      <w:proofErr w:type="spellStart"/>
      <w:r w:rsidRPr="00D66635">
        <w:rPr>
          <w:rFonts w:cs="Times New Roman"/>
          <w:lang w:eastAsia="lt-LT"/>
        </w:rPr>
        <w:t>kopolimeras</w:t>
      </w:r>
      <w:proofErr w:type="spellEnd"/>
      <w:r w:rsidRPr="00D66635">
        <w:rPr>
          <w:rFonts w:cs="Times New Roman"/>
        </w:rPr>
        <w:t xml:space="preserve">, skystoji gliukozė, </w:t>
      </w:r>
      <w:proofErr w:type="spellStart"/>
      <w:r w:rsidRPr="00D66635">
        <w:rPr>
          <w:rFonts w:cs="Times New Roman"/>
        </w:rPr>
        <w:t>indigokarminas</w:t>
      </w:r>
      <w:proofErr w:type="spellEnd"/>
      <w:r w:rsidRPr="00D66635">
        <w:rPr>
          <w:rFonts w:cs="Times New Roman"/>
        </w:rPr>
        <w:t xml:space="preserve"> (E 132), lengvasis magnio oksidas, kukurūzų krakmolas, </w:t>
      </w:r>
      <w:proofErr w:type="spellStart"/>
      <w:r w:rsidRPr="00D66635">
        <w:rPr>
          <w:rFonts w:cs="Times New Roman"/>
        </w:rPr>
        <w:t>dekstrinas</w:t>
      </w:r>
      <w:proofErr w:type="spellEnd"/>
      <w:r w:rsidRPr="00D66635">
        <w:rPr>
          <w:rFonts w:cs="Times New Roman"/>
        </w:rPr>
        <w:t xml:space="preserve">, </w:t>
      </w:r>
      <w:proofErr w:type="spellStart"/>
      <w:r w:rsidRPr="00D66635">
        <w:rPr>
          <w:rFonts w:cs="Times New Roman"/>
        </w:rPr>
        <w:t>montanglikolio</w:t>
      </w:r>
      <w:proofErr w:type="spellEnd"/>
      <w:r w:rsidRPr="00D66635">
        <w:rPr>
          <w:rFonts w:cs="Times New Roman"/>
        </w:rPr>
        <w:t xml:space="preserve"> vaškas, </w:t>
      </w:r>
      <w:proofErr w:type="spellStart"/>
      <w:r w:rsidRPr="00D66635">
        <w:rPr>
          <w:rFonts w:cs="Times New Roman"/>
        </w:rPr>
        <w:t>riboflavinas</w:t>
      </w:r>
      <w:proofErr w:type="spellEnd"/>
      <w:r w:rsidRPr="00D66635">
        <w:rPr>
          <w:rFonts w:cs="Times New Roman"/>
        </w:rPr>
        <w:t xml:space="preserve"> (E 101 (i)), </w:t>
      </w:r>
      <w:proofErr w:type="spellStart"/>
      <w:r w:rsidRPr="00D66635">
        <w:rPr>
          <w:rFonts w:cs="Times New Roman"/>
        </w:rPr>
        <w:t>šelakas</w:t>
      </w:r>
      <w:proofErr w:type="spellEnd"/>
      <w:r w:rsidRPr="00D66635">
        <w:rPr>
          <w:rFonts w:cs="Times New Roman"/>
        </w:rPr>
        <w:t>, sacharozė, talkas, titano dioksidas (E 171).</w:t>
      </w:r>
    </w:p>
    <w:p w14:paraId="18230D82" w14:textId="77777777" w:rsidR="00D66635" w:rsidRPr="00D66635" w:rsidRDefault="00D66635" w:rsidP="00D66635">
      <w:pPr>
        <w:ind w:left="567" w:hanging="567"/>
        <w:rPr>
          <w:b/>
          <w:sz w:val="22"/>
          <w:szCs w:val="22"/>
        </w:rPr>
      </w:pPr>
    </w:p>
    <w:p w14:paraId="13C9EBAD" w14:textId="77777777" w:rsidR="00D66635" w:rsidRPr="00D66635" w:rsidRDefault="00D66635" w:rsidP="00D66635">
      <w:pPr>
        <w:rPr>
          <w:b/>
          <w:sz w:val="22"/>
          <w:szCs w:val="22"/>
        </w:rPr>
      </w:pPr>
      <w:proofErr w:type="spellStart"/>
      <w:r w:rsidRPr="00D66635">
        <w:rPr>
          <w:b/>
          <w:sz w:val="22"/>
          <w:szCs w:val="22"/>
        </w:rPr>
        <w:t>Sinupret</w:t>
      </w:r>
      <w:proofErr w:type="spellEnd"/>
      <w:r w:rsidRPr="00D66635">
        <w:rPr>
          <w:b/>
          <w:sz w:val="22"/>
          <w:szCs w:val="22"/>
        </w:rPr>
        <w:t xml:space="preserve"> forte išvaizda ir kiekis pakuotėje</w:t>
      </w:r>
    </w:p>
    <w:p w14:paraId="44630F35" w14:textId="77777777" w:rsidR="00D66635" w:rsidRPr="00D66635" w:rsidRDefault="00D66635" w:rsidP="00D66635">
      <w:pPr>
        <w:pStyle w:val="Pagrindinistekstas"/>
        <w:spacing w:after="0"/>
        <w:jc w:val="both"/>
        <w:rPr>
          <w:szCs w:val="22"/>
        </w:rPr>
      </w:pPr>
      <w:proofErr w:type="spellStart"/>
      <w:r w:rsidRPr="00D66635">
        <w:rPr>
          <w:szCs w:val="22"/>
        </w:rPr>
        <w:t>Sinupret</w:t>
      </w:r>
      <w:proofErr w:type="spellEnd"/>
      <w:r w:rsidRPr="00D66635">
        <w:rPr>
          <w:szCs w:val="22"/>
        </w:rPr>
        <w:t xml:space="preserve"> forte yra žalios, apvalios, abipus išgaubtos, dengtos tabletės, kurių paviršius lygus.</w:t>
      </w:r>
    </w:p>
    <w:p w14:paraId="274B4969" w14:textId="77777777" w:rsidR="00D66635" w:rsidRPr="00D66635" w:rsidRDefault="00D66635" w:rsidP="00D66635">
      <w:pPr>
        <w:pStyle w:val="Pagrindinistekstas"/>
        <w:spacing w:after="0"/>
        <w:jc w:val="both"/>
        <w:rPr>
          <w:szCs w:val="22"/>
        </w:rPr>
      </w:pPr>
      <w:r w:rsidRPr="00D66635">
        <w:rPr>
          <w:szCs w:val="22"/>
        </w:rPr>
        <w:t>Tiekiamos pakuotėse po 20, 50 arba 100 dengtų tablečių.</w:t>
      </w:r>
    </w:p>
    <w:p w14:paraId="0E4BFCDE" w14:textId="77777777" w:rsidR="00D66635" w:rsidRPr="00D66635" w:rsidRDefault="00D66635" w:rsidP="00D66635">
      <w:pPr>
        <w:rPr>
          <w:sz w:val="22"/>
          <w:szCs w:val="22"/>
        </w:rPr>
      </w:pPr>
      <w:r w:rsidRPr="00D66635">
        <w:rPr>
          <w:sz w:val="22"/>
          <w:szCs w:val="22"/>
        </w:rPr>
        <w:t>Ligoninės pakuotės – 500 (10 × 50) dengtų tablečių.</w:t>
      </w:r>
    </w:p>
    <w:p w14:paraId="14307B36" w14:textId="77777777" w:rsidR="00D66635" w:rsidRPr="00D66635" w:rsidRDefault="00D66635" w:rsidP="00D66635">
      <w:pPr>
        <w:rPr>
          <w:sz w:val="22"/>
          <w:szCs w:val="22"/>
        </w:rPr>
      </w:pPr>
      <w:r w:rsidRPr="00D66635">
        <w:rPr>
          <w:sz w:val="22"/>
          <w:szCs w:val="22"/>
        </w:rPr>
        <w:t>Gali būti tiekiamos ne visų dydžių pakuotės.</w:t>
      </w:r>
    </w:p>
    <w:p w14:paraId="22F380B0" w14:textId="77777777" w:rsidR="00D66635" w:rsidRPr="00D66635" w:rsidRDefault="00D66635" w:rsidP="00D66635">
      <w:pPr>
        <w:pStyle w:val="Pagrindinistekstas"/>
        <w:spacing w:after="0"/>
        <w:jc w:val="both"/>
        <w:rPr>
          <w:szCs w:val="22"/>
        </w:rPr>
      </w:pPr>
    </w:p>
    <w:p w14:paraId="729CB102" w14:textId="77777777" w:rsidR="00D66635" w:rsidRPr="00D66635" w:rsidRDefault="00D66635" w:rsidP="00D66635">
      <w:pPr>
        <w:keepNext/>
        <w:keepLines/>
        <w:rPr>
          <w:b/>
          <w:bCs/>
          <w:sz w:val="22"/>
          <w:szCs w:val="22"/>
        </w:rPr>
      </w:pPr>
      <w:r w:rsidRPr="00D66635">
        <w:rPr>
          <w:b/>
          <w:bCs/>
          <w:sz w:val="22"/>
          <w:szCs w:val="22"/>
        </w:rPr>
        <w:lastRenderedPageBreak/>
        <w:t>Registruotojas ir gamintojas:</w:t>
      </w:r>
    </w:p>
    <w:p w14:paraId="003F881A" w14:textId="77777777" w:rsidR="00D66635" w:rsidRPr="00D66635" w:rsidRDefault="00D66635" w:rsidP="00D66635">
      <w:pPr>
        <w:keepNext/>
        <w:keepLines/>
        <w:rPr>
          <w:sz w:val="22"/>
          <w:szCs w:val="22"/>
        </w:rPr>
      </w:pPr>
      <w:r w:rsidRPr="00D66635">
        <w:rPr>
          <w:sz w:val="22"/>
          <w:szCs w:val="22"/>
        </w:rPr>
        <w:t>BIONORICA SE</w:t>
      </w:r>
    </w:p>
    <w:p w14:paraId="2054EFFD" w14:textId="77777777" w:rsidR="00D66635" w:rsidRPr="00D66635" w:rsidRDefault="00D66635" w:rsidP="00D66635">
      <w:pPr>
        <w:keepNext/>
        <w:keepLines/>
        <w:rPr>
          <w:sz w:val="22"/>
          <w:szCs w:val="22"/>
        </w:rPr>
      </w:pPr>
      <w:proofErr w:type="spellStart"/>
      <w:r w:rsidRPr="00D66635">
        <w:rPr>
          <w:sz w:val="22"/>
          <w:szCs w:val="22"/>
        </w:rPr>
        <w:t>Kerschensteinerstrasse</w:t>
      </w:r>
      <w:proofErr w:type="spellEnd"/>
      <w:r w:rsidRPr="00D66635">
        <w:rPr>
          <w:sz w:val="22"/>
          <w:szCs w:val="22"/>
        </w:rPr>
        <w:t xml:space="preserve"> 11-15 </w:t>
      </w:r>
    </w:p>
    <w:p w14:paraId="75878CA2" w14:textId="77777777" w:rsidR="00D66635" w:rsidRPr="00D66635" w:rsidRDefault="00D66635" w:rsidP="00D66635">
      <w:pPr>
        <w:keepNext/>
        <w:keepLines/>
        <w:rPr>
          <w:sz w:val="22"/>
          <w:szCs w:val="22"/>
        </w:rPr>
      </w:pPr>
      <w:r w:rsidRPr="00D66635">
        <w:rPr>
          <w:sz w:val="22"/>
          <w:szCs w:val="22"/>
        </w:rPr>
        <w:t xml:space="preserve">92318 </w:t>
      </w:r>
      <w:proofErr w:type="spellStart"/>
      <w:r w:rsidRPr="00D66635">
        <w:rPr>
          <w:sz w:val="22"/>
          <w:szCs w:val="22"/>
        </w:rPr>
        <w:t>Neumarkt</w:t>
      </w:r>
      <w:proofErr w:type="spellEnd"/>
    </w:p>
    <w:p w14:paraId="6C2B1544" w14:textId="77777777" w:rsidR="00D66635" w:rsidRPr="00D66635" w:rsidRDefault="00D66635" w:rsidP="00D66635">
      <w:pPr>
        <w:rPr>
          <w:sz w:val="22"/>
          <w:szCs w:val="22"/>
        </w:rPr>
      </w:pPr>
      <w:r w:rsidRPr="00D66635">
        <w:rPr>
          <w:sz w:val="22"/>
          <w:szCs w:val="22"/>
        </w:rPr>
        <w:t>Vokietija</w:t>
      </w:r>
    </w:p>
    <w:p w14:paraId="4BDBB9A1" w14:textId="77777777" w:rsidR="00D66635" w:rsidRPr="00D66635" w:rsidRDefault="00D66635" w:rsidP="00D66635">
      <w:pPr>
        <w:rPr>
          <w:sz w:val="22"/>
          <w:szCs w:val="22"/>
        </w:rPr>
      </w:pPr>
      <w:r w:rsidRPr="00D66635">
        <w:rPr>
          <w:sz w:val="22"/>
          <w:szCs w:val="22"/>
        </w:rPr>
        <w:t xml:space="preserve">Adresas internete: </w:t>
      </w:r>
      <w:hyperlink r:id="rId6" w:history="1">
        <w:r w:rsidRPr="00D66635">
          <w:rPr>
            <w:rStyle w:val="Hipersaitas"/>
            <w:rFonts w:eastAsiaTheme="majorEastAsia"/>
            <w:color w:val="auto"/>
            <w:sz w:val="22"/>
            <w:szCs w:val="22"/>
          </w:rPr>
          <w:t>www.bionorica.de</w:t>
        </w:r>
      </w:hyperlink>
    </w:p>
    <w:p w14:paraId="476D2CEE" w14:textId="77777777" w:rsidR="00D66635" w:rsidRPr="00D66635" w:rsidRDefault="00D66635" w:rsidP="00D66635">
      <w:pPr>
        <w:rPr>
          <w:sz w:val="22"/>
          <w:szCs w:val="22"/>
        </w:rPr>
      </w:pPr>
      <w:r w:rsidRPr="00D66635">
        <w:rPr>
          <w:sz w:val="22"/>
          <w:szCs w:val="22"/>
        </w:rPr>
        <w:t xml:space="preserve">El. paštas: </w:t>
      </w:r>
      <w:hyperlink r:id="rId7" w:history="1">
        <w:r w:rsidRPr="00D66635">
          <w:rPr>
            <w:rStyle w:val="Hipersaitas"/>
            <w:rFonts w:eastAsiaTheme="majorEastAsia"/>
            <w:color w:val="auto"/>
            <w:sz w:val="22"/>
            <w:szCs w:val="22"/>
          </w:rPr>
          <w:t>info@bionorica.de</w:t>
        </w:r>
      </w:hyperlink>
    </w:p>
    <w:p w14:paraId="42617F53" w14:textId="77777777" w:rsidR="00D66635" w:rsidRPr="00D66635" w:rsidRDefault="00D66635" w:rsidP="00D66635">
      <w:pPr>
        <w:pStyle w:val="Pagrindinistekstas"/>
        <w:spacing w:after="0"/>
        <w:jc w:val="both"/>
        <w:rPr>
          <w:szCs w:val="22"/>
        </w:rPr>
      </w:pPr>
    </w:p>
    <w:p w14:paraId="315E7D54" w14:textId="77777777" w:rsidR="00D66635" w:rsidRPr="00D66635" w:rsidRDefault="00D66635" w:rsidP="00D66635">
      <w:pPr>
        <w:rPr>
          <w:sz w:val="22"/>
          <w:szCs w:val="22"/>
        </w:rPr>
      </w:pPr>
      <w:r w:rsidRPr="00D66635">
        <w:rPr>
          <w:sz w:val="22"/>
          <w:szCs w:val="22"/>
        </w:rPr>
        <w:t xml:space="preserve">Jeigu apie šį vaistą norite sužinoti daugiau, kreipkitės į vietinį </w:t>
      </w:r>
      <w:r w:rsidRPr="00D66635">
        <w:rPr>
          <w:noProof/>
          <w:sz w:val="22"/>
          <w:szCs w:val="22"/>
        </w:rPr>
        <w:t>registruotojo</w:t>
      </w:r>
      <w:r w:rsidRPr="00D66635">
        <w:rPr>
          <w:sz w:val="22"/>
          <w:szCs w:val="22"/>
        </w:rPr>
        <w:t xml:space="preserve"> atstovą:</w:t>
      </w:r>
    </w:p>
    <w:p w14:paraId="10FAC1C1" w14:textId="77777777" w:rsidR="00D66635" w:rsidRPr="00D66635" w:rsidRDefault="00D66635" w:rsidP="00D66635">
      <w:pPr>
        <w:rPr>
          <w:sz w:val="22"/>
          <w:szCs w:val="22"/>
        </w:rPr>
      </w:pPr>
      <w:proofErr w:type="spellStart"/>
      <w:r w:rsidRPr="00D66635">
        <w:rPr>
          <w:sz w:val="22"/>
          <w:szCs w:val="22"/>
        </w:rPr>
        <w:t>Bionorica</w:t>
      </w:r>
      <w:proofErr w:type="spellEnd"/>
      <w:r w:rsidRPr="00D66635">
        <w:rPr>
          <w:sz w:val="22"/>
          <w:szCs w:val="22"/>
        </w:rPr>
        <w:t xml:space="preserve"> Lithuania </w:t>
      </w:r>
    </w:p>
    <w:p w14:paraId="7EE7D277" w14:textId="77777777" w:rsidR="00D66635" w:rsidRPr="00D66635" w:rsidRDefault="00D66635" w:rsidP="00D66635">
      <w:pPr>
        <w:rPr>
          <w:sz w:val="22"/>
          <w:szCs w:val="22"/>
        </w:rPr>
      </w:pPr>
      <w:r w:rsidRPr="00D66635">
        <w:rPr>
          <w:sz w:val="22"/>
          <w:szCs w:val="22"/>
        </w:rPr>
        <w:t xml:space="preserve">Šiaulių g. 10-57 </w:t>
      </w:r>
    </w:p>
    <w:p w14:paraId="1E8218C4" w14:textId="77777777" w:rsidR="00D66635" w:rsidRPr="00D66635" w:rsidRDefault="00D66635" w:rsidP="00D66635">
      <w:pPr>
        <w:rPr>
          <w:sz w:val="22"/>
          <w:szCs w:val="22"/>
        </w:rPr>
      </w:pPr>
      <w:r w:rsidRPr="00D66635">
        <w:rPr>
          <w:sz w:val="22"/>
          <w:szCs w:val="22"/>
        </w:rPr>
        <w:t xml:space="preserve">LT-01134 Vilnius </w:t>
      </w:r>
    </w:p>
    <w:p w14:paraId="7FFCE2A7" w14:textId="77777777" w:rsidR="00D66635" w:rsidRPr="00D66635" w:rsidRDefault="00D66635" w:rsidP="00D66635">
      <w:pPr>
        <w:rPr>
          <w:sz w:val="22"/>
          <w:szCs w:val="22"/>
        </w:rPr>
      </w:pPr>
      <w:r w:rsidRPr="00D66635">
        <w:rPr>
          <w:sz w:val="22"/>
          <w:szCs w:val="22"/>
        </w:rPr>
        <w:t>Lietuva</w:t>
      </w:r>
    </w:p>
    <w:p w14:paraId="23901D80" w14:textId="77777777" w:rsidR="00D66635" w:rsidRPr="00D66635" w:rsidRDefault="00D66635" w:rsidP="00D66635">
      <w:pPr>
        <w:rPr>
          <w:sz w:val="22"/>
          <w:szCs w:val="22"/>
        </w:rPr>
      </w:pPr>
      <w:r w:rsidRPr="00D66635">
        <w:rPr>
          <w:sz w:val="22"/>
          <w:szCs w:val="22"/>
        </w:rPr>
        <w:t>Tel.: +370 5 2157481</w:t>
      </w:r>
    </w:p>
    <w:p w14:paraId="6AC882A7" w14:textId="77777777" w:rsidR="00D66635" w:rsidRPr="00D66635" w:rsidRDefault="00D66635" w:rsidP="00D66635">
      <w:pPr>
        <w:rPr>
          <w:sz w:val="22"/>
          <w:szCs w:val="22"/>
        </w:rPr>
      </w:pPr>
      <w:r w:rsidRPr="00D66635">
        <w:rPr>
          <w:sz w:val="22"/>
          <w:szCs w:val="22"/>
        </w:rPr>
        <w:t>El. paštas: info@bionorica.lt</w:t>
      </w:r>
    </w:p>
    <w:p w14:paraId="294921A0" w14:textId="77777777" w:rsidR="00D66635" w:rsidRPr="00D66635" w:rsidRDefault="00D66635" w:rsidP="00D66635">
      <w:pPr>
        <w:rPr>
          <w:sz w:val="22"/>
          <w:szCs w:val="22"/>
        </w:rPr>
      </w:pPr>
    </w:p>
    <w:p w14:paraId="759BD2C2" w14:textId="77777777" w:rsidR="00D66635" w:rsidRPr="00D66635" w:rsidRDefault="00D66635" w:rsidP="00D66635">
      <w:pPr>
        <w:rPr>
          <w:sz w:val="22"/>
          <w:szCs w:val="22"/>
        </w:rPr>
      </w:pPr>
    </w:p>
    <w:p w14:paraId="75F1624C" w14:textId="77777777" w:rsidR="00D66635" w:rsidRPr="00D66635" w:rsidRDefault="00D66635" w:rsidP="00D66635">
      <w:pPr>
        <w:jc w:val="both"/>
        <w:rPr>
          <w:b/>
          <w:sz w:val="22"/>
          <w:szCs w:val="22"/>
        </w:rPr>
      </w:pPr>
      <w:r w:rsidRPr="00D66635">
        <w:rPr>
          <w:b/>
          <w:sz w:val="22"/>
          <w:szCs w:val="22"/>
        </w:rPr>
        <w:t>Šis pakuotės lapelis paskutinį kartą peržiūrėtas 2025-11-28.</w:t>
      </w:r>
    </w:p>
    <w:p w14:paraId="4854E755" w14:textId="77777777" w:rsidR="00D66635" w:rsidRPr="00D66635" w:rsidRDefault="00D66635" w:rsidP="00D66635">
      <w:pPr>
        <w:jc w:val="both"/>
        <w:rPr>
          <w:b/>
          <w:sz w:val="22"/>
          <w:szCs w:val="22"/>
        </w:rPr>
      </w:pPr>
    </w:p>
    <w:p w14:paraId="7C3B8D1B" w14:textId="77777777" w:rsidR="00D66635" w:rsidRPr="00D66635" w:rsidRDefault="00D66635" w:rsidP="00D66635">
      <w:pPr>
        <w:jc w:val="both"/>
        <w:rPr>
          <w:b/>
          <w:sz w:val="22"/>
          <w:szCs w:val="22"/>
        </w:rPr>
      </w:pPr>
    </w:p>
    <w:p w14:paraId="13A12DDC" w14:textId="77777777" w:rsidR="00D66635" w:rsidRPr="00D66635" w:rsidRDefault="00D66635" w:rsidP="00D66635">
      <w:pPr>
        <w:numPr>
          <w:ilvl w:val="12"/>
          <w:numId w:val="0"/>
        </w:numPr>
        <w:tabs>
          <w:tab w:val="left" w:pos="567"/>
        </w:tabs>
        <w:ind w:right="-2"/>
        <w:rPr>
          <w:snapToGrid w:val="0"/>
          <w:sz w:val="22"/>
          <w:szCs w:val="22"/>
        </w:rPr>
      </w:pPr>
      <w:bookmarkStart w:id="0" w:name="OLE_LINK3"/>
      <w:r w:rsidRPr="00D66635">
        <w:rPr>
          <w:snapToGrid w:val="0"/>
          <w:sz w:val="22"/>
          <w:szCs w:val="22"/>
        </w:rPr>
        <w:t>Išsami informacija apie šį vaistą pateikiama Valstybinės vaistų kontrolės tarnybos prie Lietuvos Respublikos sveikatos apsaugos ministerijos tinklalapyje</w:t>
      </w:r>
      <w:r w:rsidRPr="00D66635">
        <w:rPr>
          <w:i/>
          <w:snapToGrid w:val="0"/>
          <w:sz w:val="22"/>
          <w:szCs w:val="22"/>
        </w:rPr>
        <w:t xml:space="preserve"> </w:t>
      </w:r>
      <w:r w:rsidRPr="00D66635">
        <w:rPr>
          <w:sz w:val="22"/>
          <w:szCs w:val="22"/>
          <w:u w:val="single"/>
          <w:lang w:eastAsia="lt-LT"/>
        </w:rPr>
        <w:t>https://vvkt.lrv.lt/lt/.</w:t>
      </w:r>
    </w:p>
    <w:bookmarkEnd w:id="0"/>
    <w:p w14:paraId="29691DE0" w14:textId="77777777" w:rsidR="00D66635" w:rsidRPr="00D66635" w:rsidRDefault="00D66635" w:rsidP="00D66635">
      <w:pPr>
        <w:jc w:val="both"/>
        <w:rPr>
          <w:sz w:val="22"/>
          <w:szCs w:val="22"/>
        </w:rPr>
      </w:pPr>
    </w:p>
    <w:p w14:paraId="40ABE2C2" w14:textId="77777777" w:rsidR="00D66635" w:rsidRPr="00D66635" w:rsidRDefault="00D66635" w:rsidP="00D66635">
      <w:pPr>
        <w:jc w:val="both"/>
        <w:rPr>
          <w:sz w:val="22"/>
          <w:szCs w:val="22"/>
        </w:rPr>
      </w:pPr>
    </w:p>
    <w:p w14:paraId="1D26F1CA" w14:textId="77777777" w:rsidR="00D66635" w:rsidRPr="00D66635" w:rsidRDefault="00D66635" w:rsidP="00D66635">
      <w:pPr>
        <w:rPr>
          <w:sz w:val="22"/>
          <w:szCs w:val="22"/>
        </w:rPr>
      </w:pPr>
    </w:p>
    <w:p w14:paraId="6F781D40" w14:textId="77777777" w:rsidR="00222FED" w:rsidRPr="00D66635" w:rsidRDefault="00222FED" w:rsidP="00D66635">
      <w:pPr>
        <w:rPr>
          <w:sz w:val="22"/>
          <w:szCs w:val="22"/>
        </w:rPr>
      </w:pPr>
    </w:p>
    <w:sectPr w:rsidR="00222FED" w:rsidRPr="00D66635" w:rsidSect="00D66635">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8688" w14:textId="77777777" w:rsidR="00D66635" w:rsidRDefault="00D66635" w:rsidP="00444D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33F96E" w14:textId="77777777" w:rsidR="00D66635" w:rsidRDefault="00D66635" w:rsidP="00444D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6A98" w14:textId="77777777" w:rsidR="00D66635" w:rsidRPr="00E55475" w:rsidRDefault="00D66635" w:rsidP="00444DFF">
    <w:pPr>
      <w:pStyle w:val="Porat"/>
      <w:framePr w:wrap="around" w:vAnchor="text" w:hAnchor="margin" w:xAlign="right" w:y="1"/>
      <w:rPr>
        <w:rStyle w:val="Puslapionumeris"/>
        <w:sz w:val="22"/>
        <w:szCs w:val="22"/>
      </w:rPr>
    </w:pPr>
    <w:r w:rsidRPr="00E55475">
      <w:rPr>
        <w:rStyle w:val="Puslapionumeris"/>
        <w:sz w:val="22"/>
        <w:szCs w:val="22"/>
      </w:rPr>
      <w:fldChar w:fldCharType="begin"/>
    </w:r>
    <w:r w:rsidRPr="00E55475">
      <w:rPr>
        <w:rStyle w:val="Puslapionumeris"/>
        <w:sz w:val="22"/>
        <w:szCs w:val="22"/>
      </w:rPr>
      <w:instrText xml:space="preserve">PAGE  </w:instrText>
    </w:r>
    <w:r w:rsidRPr="00E55475">
      <w:rPr>
        <w:rStyle w:val="Puslapionumeris"/>
        <w:sz w:val="22"/>
        <w:szCs w:val="22"/>
      </w:rPr>
      <w:fldChar w:fldCharType="separate"/>
    </w:r>
    <w:r>
      <w:rPr>
        <w:rStyle w:val="Puslapionumeris"/>
        <w:noProof/>
        <w:sz w:val="22"/>
        <w:szCs w:val="22"/>
      </w:rPr>
      <w:t>1</w:t>
    </w:r>
    <w:r>
      <w:rPr>
        <w:rStyle w:val="Puslapionumeris"/>
        <w:noProof/>
        <w:sz w:val="22"/>
        <w:szCs w:val="22"/>
      </w:rPr>
      <w:t>9</w:t>
    </w:r>
    <w:r w:rsidRPr="00E55475">
      <w:rPr>
        <w:rStyle w:val="Puslapionumeris"/>
        <w:sz w:val="22"/>
        <w:szCs w:val="22"/>
      </w:rPr>
      <w:fldChar w:fldCharType="end"/>
    </w:r>
  </w:p>
  <w:p w14:paraId="50011785" w14:textId="77777777" w:rsidR="00D66635" w:rsidRDefault="00D66635" w:rsidP="00444DF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num w:numId="1" w16cid:durableId="401219378">
    <w:abstractNumId w:val="1"/>
  </w:num>
  <w:num w:numId="2" w16cid:durableId="206714635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35"/>
    <w:rsid w:val="00222FED"/>
    <w:rsid w:val="005F173E"/>
    <w:rsid w:val="008B3AD4"/>
    <w:rsid w:val="008F0805"/>
    <w:rsid w:val="00984A0A"/>
    <w:rsid w:val="00D047C4"/>
    <w:rsid w:val="00D6663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C0E0"/>
  <w15:chartTrackingRefBased/>
  <w15:docId w15:val="{81FACBF0-D552-4C59-AAD7-E6F52936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63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D6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6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D666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6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63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6663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63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6663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63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6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666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D6663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63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63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6663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63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6663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63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666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6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6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63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6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635"/>
    <w:rPr>
      <w:i/>
      <w:iCs/>
      <w:color w:val="404040" w:themeColor="text1" w:themeTint="BF"/>
    </w:rPr>
  </w:style>
  <w:style w:type="paragraph" w:styleId="Sraopastraipa">
    <w:name w:val="List Paragraph"/>
    <w:basedOn w:val="prastasis"/>
    <w:uiPriority w:val="34"/>
    <w:qFormat/>
    <w:rsid w:val="00D66635"/>
    <w:pPr>
      <w:ind w:left="720"/>
      <w:contextualSpacing/>
    </w:pPr>
  </w:style>
  <w:style w:type="character" w:styleId="Rykuspabraukimas">
    <w:name w:val="Intense Emphasis"/>
    <w:basedOn w:val="Numatytasispastraiposriftas"/>
    <w:uiPriority w:val="21"/>
    <w:qFormat/>
    <w:rsid w:val="00D66635"/>
    <w:rPr>
      <w:i/>
      <w:iCs/>
      <w:color w:val="0F4761" w:themeColor="accent1" w:themeShade="BF"/>
    </w:rPr>
  </w:style>
  <w:style w:type="paragraph" w:styleId="Iskirtacitata">
    <w:name w:val="Intense Quote"/>
    <w:basedOn w:val="prastasis"/>
    <w:next w:val="prastasis"/>
    <w:link w:val="IskirtacitataDiagrama"/>
    <w:uiPriority w:val="30"/>
    <w:qFormat/>
    <w:rsid w:val="00D6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635"/>
    <w:rPr>
      <w:i/>
      <w:iCs/>
      <w:color w:val="0F4761" w:themeColor="accent1" w:themeShade="BF"/>
    </w:rPr>
  </w:style>
  <w:style w:type="character" w:styleId="Rykinuoroda">
    <w:name w:val="Intense Reference"/>
    <w:basedOn w:val="Numatytasispastraiposriftas"/>
    <w:uiPriority w:val="32"/>
    <w:qFormat/>
    <w:rsid w:val="00D66635"/>
    <w:rPr>
      <w:b/>
      <w:bCs/>
      <w:smallCaps/>
      <w:color w:val="0F4761" w:themeColor="accent1" w:themeShade="BF"/>
      <w:spacing w:val="5"/>
    </w:rPr>
  </w:style>
  <w:style w:type="paragraph" w:styleId="Pagrindinistekstas">
    <w:name w:val="Body Text"/>
    <w:basedOn w:val="prastasis"/>
    <w:link w:val="PagrindinistekstasDiagrama"/>
    <w:rsid w:val="00D66635"/>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66635"/>
    <w:rPr>
      <w:rFonts w:eastAsia="Times New Roman"/>
      <w:kern w:val="0"/>
      <w:szCs w:val="20"/>
      <w:lang w:eastAsia="lt-LT"/>
      <w14:ligatures w14:val="none"/>
    </w:rPr>
  </w:style>
  <w:style w:type="character" w:styleId="Hipersaitas">
    <w:name w:val="Hyperlink"/>
    <w:uiPriority w:val="99"/>
    <w:rsid w:val="00D66635"/>
    <w:rPr>
      <w:color w:val="0000FF"/>
      <w:u w:val="single"/>
    </w:rPr>
  </w:style>
  <w:style w:type="character" w:styleId="Emfaz">
    <w:name w:val="Emphasis"/>
    <w:qFormat/>
    <w:rsid w:val="00D66635"/>
    <w:rPr>
      <w:i/>
      <w:iCs/>
    </w:rPr>
  </w:style>
  <w:style w:type="paragraph" w:customStyle="1" w:styleId="BT-EMEASMCA">
    <w:name w:val="BT- EMEA_SMCA"/>
    <w:basedOn w:val="prastasis"/>
    <w:autoRedefine/>
    <w:rsid w:val="00D66635"/>
    <w:pPr>
      <w:numPr>
        <w:numId w:val="1"/>
      </w:numPr>
      <w:tabs>
        <w:tab w:val="clear" w:pos="363"/>
        <w:tab w:val="num" w:pos="360"/>
      </w:tabs>
      <w:ind w:left="0" w:firstLine="0"/>
    </w:pPr>
    <w:rPr>
      <w:rFonts w:cs="Arial"/>
      <w:sz w:val="22"/>
      <w:szCs w:val="22"/>
    </w:rPr>
  </w:style>
  <w:style w:type="paragraph" w:styleId="Porat">
    <w:name w:val="footer"/>
    <w:basedOn w:val="prastasis"/>
    <w:link w:val="PoratDiagrama"/>
    <w:rsid w:val="00D66635"/>
    <w:pPr>
      <w:tabs>
        <w:tab w:val="center" w:pos="4819"/>
        <w:tab w:val="right" w:pos="9638"/>
      </w:tabs>
    </w:pPr>
  </w:style>
  <w:style w:type="character" w:customStyle="1" w:styleId="PoratDiagrama">
    <w:name w:val="Poraštė Diagrama"/>
    <w:basedOn w:val="Numatytasispastraiposriftas"/>
    <w:link w:val="Porat"/>
    <w:rsid w:val="00D66635"/>
    <w:rPr>
      <w:rFonts w:eastAsia="Times New Roman"/>
      <w:kern w:val="0"/>
      <w:sz w:val="24"/>
      <w:szCs w:val="24"/>
      <w14:ligatures w14:val="none"/>
    </w:rPr>
  </w:style>
  <w:style w:type="character" w:styleId="Puslapionumeris">
    <w:name w:val="page number"/>
    <w:basedOn w:val="Numatytasispastraiposriftas"/>
    <w:rsid w:val="00D6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ionoric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norica.de"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5294</Words>
  <Characters>3019</Characters>
  <Application>Microsoft Office Word</Application>
  <DocSecurity>0</DocSecurity>
  <Lines>25</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2025-12-16T09:57:00Z</dcterms:created>
  <dcterms:modified xsi:type="dcterms:W3CDTF">2025-12-16T09:59:00Z</dcterms:modified>
</cp:coreProperties>
</file>