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b/>
          <w:lang w:val="lt-LT"/>
        </w:rPr>
        <w:t>Pakuotės lapelis: informacija vartotojui</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r w:rsidRPr="00611DF7">
        <w:rPr>
          <w:rFonts w:ascii="Times New Roman" w:eastAsia="Calibri" w:hAnsi="Times New Roman" w:cs="Times New Roman"/>
          <w:lang w:val="lt-LT"/>
        </w:rPr>
        <w:t>/</w:t>
      </w:r>
      <w:r w:rsidRPr="00611DF7">
        <w:rPr>
          <w:rFonts w:ascii="Times New Roman" w:eastAsia="Calibri" w:hAnsi="Times New Roman" w:cs="Times New Roman"/>
          <w:b/>
          <w:lang w:val="lt-LT"/>
        </w:rPr>
        <w:t xml:space="preserve">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Neišmeskite šio lapelio, nes vėl gali prireikti jį perskaityti.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w:t>
      </w:r>
      <w:r w:rsidRPr="00611DF7">
        <w:rPr>
          <w:rFonts w:ascii="Times New Roman" w:eastAsia="Calibri" w:hAnsi="Times New Roman" w:cs="Times New Roman"/>
          <w:lang w:val="lt-LT"/>
        </w:rPr>
        <w:t>r. 4 skyrių.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balansą, kurį sukelia inkstų pažeidimas.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nepertraukiama inkstų pakaitinė terapija, skiriamas, norint iš kraujo pašalinti medžiagų apykaitos atliekas, kai neveikia inkstai.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p>
    <w:p w:rsidR="00386DD0" w:rsidRPr="00DC3C1F"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64DB0">
        <w:rPr>
          <w:rFonts w:ascii="Times New Roman" w:hAnsi="Times New Roman"/>
          <w:lang w:val="lt-LT"/>
        </w:rPr>
        <w:t>Phoxilium</w:t>
      </w:r>
      <w:proofErr w:type="spellEnd"/>
      <w:r w:rsidRPr="00664DB0">
        <w:rPr>
          <w:rFonts w:ascii="Times New Roman" w:hAnsi="Times New Roman"/>
          <w:lang w:val="lt-LT"/>
        </w:rPr>
        <w:t xml:space="preserve"> taip pat gali būti vartojamas apsinuodijimo vaistais atvejais arba apsinuodijimų metu, kai nuodai </w:t>
      </w:r>
      <w:proofErr w:type="spellStart"/>
      <w:r w:rsidRPr="00664DB0">
        <w:rPr>
          <w:rFonts w:ascii="Times New Roman" w:hAnsi="Times New Roman"/>
          <w:lang w:val="lt-LT"/>
        </w:rPr>
        <w:t>dializuojami</w:t>
      </w:r>
      <w:proofErr w:type="spellEnd"/>
      <w:r w:rsidRPr="00664DB0">
        <w:rPr>
          <w:rFonts w:ascii="Times New Roman" w:hAnsi="Times New Roman"/>
          <w:lang w:val="lt-LT"/>
        </w:rPr>
        <w:t xml:space="preserve"> arba pašalinami per membraną.</w:t>
      </w:r>
    </w:p>
    <w:p w:rsidR="00386DD0"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i/>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lang w:val="lt-LT"/>
        </w:rPr>
        <w:t>), jei yra didelė kraujavimo rizika.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152A20" w:rsidRDefault="00386DD0" w:rsidP="00386DD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terapija.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kitų vaistų koncentracija gali paveikti gydymą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xml:space="preserve">, nes jie gali padidinti didelės kalcio koncentracijos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hiperkalcemija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p>
    <w:p w:rsidR="00386DD0" w:rsidRPr="00611DF7" w:rsidRDefault="00386DD0" w:rsidP="00386DD0">
      <w:pPr>
        <w:numPr>
          <w:ilvl w:val="0"/>
          <w:numId w:val="13"/>
        </w:numPr>
        <w:spacing w:after="0" w:line="240" w:lineRule="auto"/>
        <w:ind w:left="539" w:hanging="539"/>
        <w:rPr>
          <w:rFonts w:ascii="Times New Roman" w:eastAsia="Calibri" w:hAnsi="Times New Roman" w:cs="Times New Roman"/>
          <w:i/>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bikarbonatą</w:t>
      </w:r>
      <w:proofErr w:type="spellEnd"/>
      <w:r w:rsidRPr="00611DF7">
        <w:rPr>
          <w:rFonts w:ascii="Times New Roman" w:eastAsia="Calibri" w:hAnsi="Times New Roman" w:cs="Times New Roman"/>
          <w:lang w:val="lt-LT"/>
        </w:rPr>
        <w:t xml:space="preserve">, nes tai gali padidinti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pertekliaus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metabolinė</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alkalozė</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r w:rsidRPr="00611DF7">
        <w:rPr>
          <w:rFonts w:ascii="Times New Roman" w:eastAsia="SimSun" w:hAnsi="Times New Roman" w:cs="Times New Roman"/>
          <w:i/>
          <w:szCs w:val="24"/>
          <w:lang w:val="lt-LT" w:eastAsia="sv-SE"/>
        </w:rPr>
        <w:t xml:space="preserve"> </w:t>
      </w:r>
    </w:p>
    <w:p w:rsidR="00386DD0" w:rsidRPr="00611DF7" w:rsidRDefault="00386DD0" w:rsidP="00386DD0">
      <w:pPr>
        <w:numPr>
          <w:ilvl w:val="0"/>
          <w:numId w:val="13"/>
        </w:numPr>
        <w:autoSpaceDE w:val="0"/>
        <w:autoSpaceDN w:val="0"/>
        <w:adjustRightInd w:val="0"/>
        <w:spacing w:after="0" w:line="240" w:lineRule="auto"/>
        <w:ind w:left="540" w:hanging="539"/>
        <w:rPr>
          <w:rFonts w:ascii="Times New Roman" w:eastAsia="Calibri" w:hAnsi="Times New Roman" w:cs="Times New Roman"/>
          <w:lang w:val="lt-LT"/>
        </w:rPr>
      </w:pPr>
      <w:r w:rsidRPr="00611DF7">
        <w:rPr>
          <w:rFonts w:ascii="Times New Roman" w:eastAsia="SimSun" w:hAnsi="Times New Roman" w:cs="Times New Roman"/>
          <w:bCs/>
          <w:lang w:val="lt-LT" w:eastAsia="sv-SE"/>
        </w:rPr>
        <w:t>jei citratas vartojamas kaip antikoaguliantas, nes jis gali sumažinti kalcio koncentraciją plazmoje.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Vartojimo instrukcijų žr. skyriuje „Žemiau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Jei suvartojote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Kaip ir kiti vaistai, šis vaistas gali sukelti šalutinį poveikį, nors jis pasireiškia ne visiems žmonėms.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sukelti gydymas dialize, tokių kaip:</w:t>
      </w:r>
    </w:p>
    <w:p w:rsidR="00386DD0" w:rsidRPr="00611DF7" w:rsidRDefault="00386DD0" w:rsidP="00386DD0">
      <w:pPr>
        <w:numPr>
          <w:ilvl w:val="0"/>
          <w:numId w:val="6"/>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noProof/>
          <w:lang w:val="lt-LT"/>
        </w:rPr>
      </w:pPr>
      <w:r w:rsidRPr="00611DF7">
        <w:rPr>
          <w:rFonts w:ascii="Times New Roman" w:eastAsia="Calibri" w:hAnsi="Times New Roman" w:cs="Times New Roman"/>
          <w:b/>
          <w:noProof/>
          <w:lang w:val="lt-LT"/>
        </w:rPr>
        <w:t>Pranešimas apie šalutinį poveikį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noProof/>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Pr>
          <w:rFonts w:ascii="Times New Roman" w:eastAsia="Calibri" w:hAnsi="Times New Roman" w:cs="Times New Roman"/>
          <w:lang w:val="lt-LT"/>
        </w:rPr>
        <w:t>u</w:t>
      </w:r>
      <w:r w:rsidRPr="00611DF7">
        <w:rPr>
          <w:rFonts w:ascii="Times New Roman" w:eastAsia="Calibri" w:hAnsi="Times New Roman" w:cs="Times New Roman"/>
          <w:lang w:val="lt-LT"/>
        </w:rPr>
        <w:t xml:space="preserve">i. </w:t>
      </w:r>
      <w:r w:rsidRPr="006640D5">
        <w:rPr>
          <w:rFonts w:ascii="Times New Roman" w:eastAsia="Calibri" w:hAnsi="Times New Roman" w:cs="Times New Roman"/>
          <w:noProof/>
          <w:lang w:val="lt-LT"/>
        </w:rPr>
        <w:t xml:space="preserve">Pranešimą apie šalutinį poveikį galite užpildyti ir pateikti Valstybinės vaistų kontrolės tarnybos prie Lietuvos Respublikos sveikatos apsaugos ministerijos tinklalapyje </w:t>
      </w:r>
      <w:r w:rsidRPr="006640D5">
        <w:rPr>
          <w:rFonts w:ascii="Times New Roman" w:eastAsia="Calibri" w:hAnsi="Times New Roman" w:cs="Times New Roman"/>
          <w:noProof/>
          <w:u w:val="single"/>
          <w:lang w:val="lt-LT"/>
        </w:rPr>
        <w:t>https://vvkt.lrv.lt/lt/</w:t>
      </w:r>
      <w:r w:rsidRPr="006640D5">
        <w:rPr>
          <w:rFonts w:ascii="Times New Roman" w:eastAsia="Calibri" w:hAnsi="Times New Roman" w:cs="Times New Roman"/>
          <w:noProof/>
          <w:lang w:val="lt-LT"/>
        </w:rPr>
        <w:t xml:space="preserve"> nurodytais būdais arba paskambinti nemokamu telefonu 8 800 73 568. Pranešdami apie šalutinį poveikį galite mums padėti gauti daugiau informacijos apie šio vaisto saugumą.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Ant etiketės ir pakuotės </w:t>
      </w:r>
      <w:r>
        <w:rPr>
          <w:rFonts w:ascii="Times New Roman" w:eastAsia="Calibri" w:hAnsi="Times New Roman" w:cs="Times New Roman"/>
          <w:lang w:val="lt-LT"/>
        </w:rPr>
        <w:t xml:space="preserve">po „Tinka iki“ </w:t>
      </w:r>
      <w:r w:rsidRPr="00611DF7">
        <w:rPr>
          <w:rFonts w:ascii="Times New Roman" w:eastAsia="Calibri" w:hAnsi="Times New Roman" w:cs="Times New Roman"/>
          <w:lang w:val="lt-LT"/>
        </w:rPr>
        <w:t>nurodytam tinkamumo laikui pasibaigus, šio vaisto vartoti negalima. Vaistas tinkamas vartoti iki paskutinės nurodyto mėnesio dienos.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Laikyti nuo +4 °C iki +30 °C temperatūroje. </w:t>
      </w:r>
      <w:r w:rsidRPr="00611DF7">
        <w:rPr>
          <w:rFonts w:ascii="Times New Roman" w:eastAsia="Calibri" w:hAnsi="Times New Roman" w:cs="Times New Roman"/>
          <w:noProof/>
          <w:lang w:val="lt-LT"/>
        </w:rPr>
        <w:t>Negalima šaldyti ar užšaldyti</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Nevartokite šio vaisto, jei tirpalas yra drumstas arba pažeista apsauginė plėvelė. Visi uždoriai turi būti nepažeisti.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bCs/>
          <w:i/>
          <w:iCs/>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rsidR="00386DD0" w:rsidRPr="00152A20" w:rsidRDefault="00386DD0" w:rsidP="00386DD0">
      <w:pPr>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2+</w:t>
      </w:r>
      <w:r w:rsidRPr="00152A20">
        <w:rPr>
          <w:rFonts w:ascii="Times New Roman" w:hAnsi="Times New Roman"/>
          <w:lang w:val="fr-FR"/>
        </w:rPr>
        <w:tab/>
        <w:t>0,6</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rsidR="00386DD0" w:rsidRPr="00152A20" w:rsidRDefault="00386DD0" w:rsidP="00386DD0">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w:t>
      </w:r>
    </w:p>
    <w:p w:rsidR="00386DD0" w:rsidRPr="00611DF7" w:rsidRDefault="00386DD0" w:rsidP="00386DD0">
      <w:pPr>
        <w:numPr>
          <w:ilvl w:val="0"/>
          <w:numId w:val="7"/>
        </w:numPr>
        <w:autoSpaceDE w:val="0"/>
        <w:autoSpaceDN w:val="0"/>
        <w:adjustRightInd w:val="0"/>
        <w:spacing w:after="0" w:line="240" w:lineRule="auto"/>
        <w:ind w:left="540" w:hanging="54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rsidR="00386DD0" w:rsidRPr="00152A20" w:rsidRDefault="00386DD0" w:rsidP="00386DD0">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injekcinis vanduo.</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rsidR="00386DD0" w:rsidRPr="00152A20" w:rsidRDefault="00386DD0" w:rsidP="00386DD0">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sulaužius lūžtantį kaištelį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rsidR="00386DD0" w:rsidRPr="00152A20" w:rsidRDefault="00386DD0" w:rsidP="00386DD0">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rsidR="00386DD0" w:rsidRPr="005733EA" w:rsidRDefault="00386DD0" w:rsidP="00386DD0">
      <w:pPr>
        <w:autoSpaceDE w:val="0"/>
        <w:autoSpaceDN w:val="0"/>
        <w:adjustRightInd w:val="0"/>
        <w:spacing w:after="0" w:line="240" w:lineRule="auto"/>
        <w:rPr>
          <w:rFonts w:ascii="Times New Roman" w:hAnsi="Times New Roman" w:cs="Times New Roman"/>
        </w:rPr>
      </w:pPr>
      <w:proofErr w:type="spellStart"/>
      <w:r w:rsidRPr="005733EA">
        <w:rPr>
          <w:rFonts w:ascii="Times New Roman" w:hAnsi="Times New Roman" w:cs="Times New Roman"/>
        </w:rPr>
        <w:t>Vantive</w:t>
      </w:r>
      <w:proofErr w:type="spellEnd"/>
      <w:r w:rsidRPr="005733EA">
        <w:rPr>
          <w:rFonts w:ascii="Times New Roman" w:hAnsi="Times New Roman" w:cs="Times New Roman"/>
        </w:rPr>
        <w:t xml:space="preserve"> Belgium SRL</w:t>
      </w:r>
    </w:p>
    <w:p w:rsidR="00386DD0" w:rsidRPr="005733EA" w:rsidRDefault="00386DD0" w:rsidP="00386DD0">
      <w:pPr>
        <w:autoSpaceDE w:val="0"/>
        <w:autoSpaceDN w:val="0"/>
        <w:adjustRightInd w:val="0"/>
        <w:spacing w:after="0" w:line="240" w:lineRule="auto"/>
        <w:rPr>
          <w:rFonts w:ascii="Times New Roman" w:hAnsi="Times New Roman" w:cs="Times New Roman"/>
        </w:rPr>
      </w:pPr>
      <w:r w:rsidRPr="005733EA">
        <w:rPr>
          <w:rFonts w:ascii="Times New Roman" w:hAnsi="Times New Roman" w:cs="Times New Roman"/>
        </w:rPr>
        <w:t xml:space="preserve">Boulevard </w:t>
      </w:r>
      <w:proofErr w:type="spellStart"/>
      <w:r w:rsidRPr="005733EA">
        <w:rPr>
          <w:rFonts w:ascii="Times New Roman" w:hAnsi="Times New Roman" w:cs="Times New Roman"/>
        </w:rPr>
        <w:t>d'Angleterre</w:t>
      </w:r>
      <w:proofErr w:type="spellEnd"/>
      <w:r w:rsidRPr="005733EA">
        <w:rPr>
          <w:rFonts w:ascii="Times New Roman" w:hAnsi="Times New Roman" w:cs="Times New Roman"/>
        </w:rPr>
        <w:t xml:space="preserve"> 2</w:t>
      </w:r>
    </w:p>
    <w:p w:rsidR="00386DD0" w:rsidRPr="005733EA" w:rsidRDefault="00386DD0" w:rsidP="00386DD0">
      <w:pPr>
        <w:autoSpaceDE w:val="0"/>
        <w:autoSpaceDN w:val="0"/>
        <w:adjustRightInd w:val="0"/>
        <w:spacing w:after="0" w:line="240" w:lineRule="auto"/>
        <w:rPr>
          <w:rFonts w:ascii="Times New Roman" w:hAnsi="Times New Roman" w:cs="Times New Roman"/>
        </w:rPr>
      </w:pPr>
      <w:r w:rsidRPr="005733EA">
        <w:rPr>
          <w:rFonts w:ascii="Times New Roman" w:hAnsi="Times New Roman" w:cs="Times New Roman"/>
        </w:rPr>
        <w:t>1420 Braine-</w:t>
      </w:r>
      <w:proofErr w:type="spellStart"/>
      <w:r w:rsidRPr="005733EA">
        <w:rPr>
          <w:rFonts w:ascii="Times New Roman" w:hAnsi="Times New Roman" w:cs="Times New Roman"/>
        </w:rPr>
        <w:t>l'Alleud</w:t>
      </w:r>
      <w:proofErr w:type="spellEnd"/>
    </w:p>
    <w:p w:rsidR="00386DD0" w:rsidRPr="00FB2257" w:rsidRDefault="00386DD0" w:rsidP="00386DD0">
      <w:pPr>
        <w:spacing w:after="0"/>
        <w:rPr>
          <w:rFonts w:ascii="Times New Roman" w:hAnsi="Times New Roman" w:cs="Times New Roman"/>
        </w:rPr>
      </w:pPr>
      <w:proofErr w:type="spellStart"/>
      <w:r w:rsidRPr="005733EA">
        <w:rPr>
          <w:rFonts w:ascii="Times New Roman" w:hAnsi="Times New Roman" w:cs="Times New Roman"/>
        </w:rPr>
        <w:t>Belgija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da-DK"/>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it-IT"/>
        </w:rPr>
      </w:pPr>
      <w:r w:rsidRPr="00611DF7">
        <w:rPr>
          <w:rFonts w:ascii="Times New Roman" w:eastAsia="Calibri" w:hAnsi="Times New Roman" w:cs="Times New Roman"/>
          <w:i/>
          <w:lang w:val="lt-LT"/>
        </w:rPr>
        <w:t>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it-IT"/>
        </w:rPr>
        <w:t xml:space="preserve">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rsidR="00386DD0"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233A3D" w:rsidRDefault="00386DD0" w:rsidP="00386DD0">
      <w:pPr>
        <w:autoSpaceDE w:val="0"/>
        <w:autoSpaceDN w:val="0"/>
        <w:adjustRightInd w:val="0"/>
        <w:spacing w:after="0" w:line="240" w:lineRule="auto"/>
        <w:rPr>
          <w:rFonts w:ascii="Times New Roman" w:eastAsia="Calibri" w:hAnsi="Times New Roman" w:cs="Times New Roman"/>
          <w:lang w:val="lt-LT"/>
        </w:rPr>
      </w:pPr>
      <w:r w:rsidRPr="00233A3D">
        <w:rPr>
          <w:rFonts w:ascii="Times New Roman" w:eastAsia="Calibri" w:hAnsi="Times New Roman" w:cs="Times New Roman"/>
          <w:lang w:val="lt-LT"/>
        </w:rPr>
        <w:t>arba</w:t>
      </w:r>
    </w:p>
    <w:p w:rsidR="00386DD0" w:rsidRPr="00233A3D"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Default="00386DD0" w:rsidP="00386DD0">
      <w:pPr>
        <w:widowControl w:val="0"/>
        <w:numPr>
          <w:ilvl w:val="12"/>
          <w:numId w:val="0"/>
        </w:numPr>
        <w:spacing w:after="0" w:line="240" w:lineRule="auto"/>
        <w:ind w:right="-2"/>
        <w:rPr>
          <w:rFonts w:ascii="Times New Roman" w:eastAsia="Calibri" w:hAnsi="Times New Roman" w:cs="Times New Roman"/>
        </w:rPr>
      </w:pPr>
      <w:proofErr w:type="spellStart"/>
      <w:r w:rsidRPr="00B630AB">
        <w:rPr>
          <w:rFonts w:ascii="Times New Roman" w:eastAsia="Calibri" w:hAnsi="Times New Roman" w:cs="Times New Roman"/>
          <w:lang w:val="lt-LT"/>
        </w:rPr>
        <w:t>Vantive</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Manufacturing</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Limited</w:t>
      </w:r>
      <w:proofErr w:type="spellEnd"/>
      <w:r w:rsidRPr="00233A3D">
        <w:rPr>
          <w:rFonts w:ascii="Times New Roman" w:eastAsia="Calibri" w:hAnsi="Times New Roman" w:cs="Times New Roman"/>
        </w:rPr>
        <w:t>,</w:t>
      </w:r>
    </w:p>
    <w:p w:rsidR="00386DD0" w:rsidRPr="00233A3D" w:rsidRDefault="00386DD0" w:rsidP="00386DD0">
      <w:pPr>
        <w:widowControl w:val="0"/>
        <w:numPr>
          <w:ilvl w:val="12"/>
          <w:numId w:val="0"/>
        </w:numPr>
        <w:spacing w:after="0" w:line="240" w:lineRule="auto"/>
        <w:ind w:right="-2"/>
        <w:rPr>
          <w:rFonts w:ascii="Times New Roman" w:eastAsia="Calibri" w:hAnsi="Times New Roman" w:cs="Times New Roman"/>
        </w:rPr>
      </w:pPr>
      <w:proofErr w:type="spellStart"/>
      <w:r w:rsidRPr="00233A3D">
        <w:rPr>
          <w:rFonts w:ascii="Times New Roman" w:eastAsia="Calibri" w:hAnsi="Times New Roman" w:cs="Times New Roman"/>
        </w:rPr>
        <w:t>Moneen</w:t>
      </w:r>
      <w:proofErr w:type="spellEnd"/>
      <w:r w:rsidRPr="00233A3D">
        <w:rPr>
          <w:rFonts w:ascii="Times New Roman" w:eastAsia="Calibri" w:hAnsi="Times New Roman" w:cs="Times New Roman"/>
        </w:rPr>
        <w:t xml:space="preserve"> Road, </w:t>
      </w:r>
      <w:proofErr w:type="spellStart"/>
      <w:r w:rsidRPr="00233A3D">
        <w:rPr>
          <w:rFonts w:ascii="Times New Roman" w:eastAsia="Calibri" w:hAnsi="Times New Roman" w:cs="Times New Roman"/>
        </w:rPr>
        <w:t>Castlebar</w:t>
      </w:r>
      <w:proofErr w:type="spellEnd"/>
      <w:r w:rsidRPr="00233A3D">
        <w:rPr>
          <w:rFonts w:ascii="Times New Roman" w:eastAsia="Calibri" w:hAnsi="Times New Roman" w:cs="Times New Roman"/>
        </w:rPr>
        <w:t xml:space="preserve">, County Mayo, F23 XR63, </w:t>
      </w:r>
      <w:proofErr w:type="spellStart"/>
      <w:r w:rsidRPr="00233A3D">
        <w:rPr>
          <w:rFonts w:ascii="Times New Roman" w:eastAsia="Calibri" w:hAnsi="Times New Roman" w:cs="Times New Roman"/>
        </w:rPr>
        <w:t>Airija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233A3D">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Pr="00611DF7">
        <w:rPr>
          <w:rFonts w:ascii="Times New Roman" w:eastAsia="Times New Roman" w:hAnsi="Times New Roman" w:cs="Times New Roman"/>
          <w:b/>
          <w:snapToGrid w:val="0"/>
          <w:szCs w:val="20"/>
          <w:lang w:val="lt-LT"/>
        </w:rPr>
        <w:t>registruotas tokiais pavadinimais</w:t>
      </w:r>
      <w:r w:rsidRPr="00611DF7">
        <w:rPr>
          <w:rFonts w:ascii="Times New Roman" w:eastAsia="Times New Roman" w:hAnsi="Times New Roman" w:cs="Times New Roman"/>
          <w:snapToGrid w:val="0"/>
          <w:szCs w:val="20"/>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noProof/>
          <w:lang w:val="lt-LT"/>
        </w:rPr>
      </w:pPr>
      <w:r w:rsidRPr="00611DF7">
        <w:rPr>
          <w:rFonts w:ascii="Times New Roman" w:eastAsia="Calibri" w:hAnsi="Times New Roman" w:cs="Times New Roman"/>
          <w:b/>
          <w:lang w:val="lt-LT"/>
        </w:rPr>
        <w:t xml:space="preserve">Šis pakuotės lapelis paskutinį kartą </w:t>
      </w:r>
      <w:r w:rsidRPr="00611DF7">
        <w:rPr>
          <w:rFonts w:ascii="Times New Roman" w:eastAsia="Calibri" w:hAnsi="Times New Roman" w:cs="Times New Roman"/>
          <w:b/>
          <w:noProof/>
          <w:lang w:val="lt-LT"/>
        </w:rPr>
        <w:t>peržiūrėtas</w:t>
      </w:r>
      <w:r>
        <w:rPr>
          <w:rFonts w:ascii="Times New Roman" w:eastAsia="Calibri" w:hAnsi="Times New Roman" w:cs="Times New Roman"/>
          <w:b/>
          <w:noProof/>
          <w:lang w:val="lt-LT"/>
        </w:rPr>
        <w:t xml:space="preserve"> 2025-02-03.</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5"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rsidR="00386DD0" w:rsidRPr="00611DF7" w:rsidRDefault="00386DD0" w:rsidP="00386DD0">
      <w:pPr>
        <w:numPr>
          <w:ilvl w:val="12"/>
          <w:numId w:val="0"/>
        </w:numPr>
        <w:spacing w:after="0" w:line="240" w:lineRule="auto"/>
        <w:ind w:right="-2"/>
        <w:rPr>
          <w:rFonts w:ascii="Times New Roman" w:eastAsia="Times New Roman" w:hAnsi="Times New Roman" w:cs="Times New Roman"/>
          <w:snapToGrid w:val="0"/>
          <w:szCs w:val="24"/>
          <w:lang w:val="lt-LT"/>
        </w:rPr>
      </w:pPr>
    </w:p>
    <w:p w:rsidR="00386DD0" w:rsidRPr="00611DF7" w:rsidRDefault="00386DD0" w:rsidP="00386DD0">
      <w:pPr>
        <w:numPr>
          <w:ilvl w:val="12"/>
          <w:numId w:val="0"/>
        </w:numPr>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4"/>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 xml:space="preserve">.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Skysčių disbalanso atveju klinikinę būseną reikia atidžiai stebėti ir būtina atstatyti skysčių balansą: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(arba)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b/>
          <w:szCs w:val="24"/>
          <w:lang w:val="lt-LT" w:eastAsia="fr-FR"/>
        </w:rPr>
      </w:pPr>
      <w:r w:rsidRPr="00611DF7">
        <w:rPr>
          <w:rFonts w:ascii="Times New Roman" w:eastAsia="SimSun" w:hAnsi="Times New Roman" w:cs="Times New Roman"/>
          <w:b/>
          <w:szCs w:val="24"/>
          <w:lang w:val="lt-LT" w:eastAsia="fr-FR"/>
        </w:rPr>
        <w:t>Įspėjimai: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szCs w:val="24"/>
          <w:lang w:val="lt-LT" w:eastAsia="sv-SE"/>
        </w:rPr>
      </w:pPr>
      <w:proofErr w:type="spellStart"/>
      <w:r w:rsidRPr="00611DF7">
        <w:rPr>
          <w:rFonts w:ascii="Times New Roman" w:eastAsia="Calibri" w:hAnsi="Times New Roman" w:cs="Times New Roman"/>
          <w:szCs w:val="24"/>
          <w:lang w:val="lt-LT" w:eastAsia="sv-SE"/>
        </w:rPr>
        <w:t>Phoxilium</w:t>
      </w:r>
      <w:proofErr w:type="spellEnd"/>
      <w:r w:rsidRPr="00611DF7">
        <w:rPr>
          <w:rFonts w:ascii="Times New Roman" w:eastAsia="Calibri" w:hAnsi="Times New Roman" w:cs="Times New Roman"/>
          <w:szCs w:val="24"/>
          <w:lang w:val="lt-LT" w:eastAsia="sv-SE"/>
        </w:rPr>
        <w:t xml:space="preserve"> negalima vartoti pacientams, kuriems nustatyta </w:t>
      </w:r>
      <w:proofErr w:type="spellStart"/>
      <w:r w:rsidRPr="00611DF7">
        <w:rPr>
          <w:rFonts w:ascii="Times New Roman" w:eastAsia="Calibri" w:hAnsi="Times New Roman" w:cs="Times New Roman"/>
          <w:szCs w:val="24"/>
          <w:lang w:val="lt-LT" w:eastAsia="sv-SE"/>
        </w:rPr>
        <w:t>hiperkalemija</w:t>
      </w:r>
      <w:proofErr w:type="spellEnd"/>
      <w:r w:rsidRPr="00611DF7">
        <w:rPr>
          <w:rFonts w:ascii="Times New Roman" w:eastAsia="Calibri" w:hAnsi="Times New Roman" w:cs="Times New Roman"/>
          <w:szCs w:val="24"/>
          <w:lang w:val="lt-LT" w:eastAsia="sv-SE"/>
        </w:rPr>
        <w:t xml:space="preserve">. Būtina stebėti kalio koncentraciją serume prieš ir per </w:t>
      </w:r>
      <w:proofErr w:type="spellStart"/>
      <w:r w:rsidRPr="00611DF7">
        <w:rPr>
          <w:rFonts w:ascii="Times New Roman" w:eastAsia="Calibri" w:hAnsi="Times New Roman" w:cs="Times New Roman"/>
          <w:szCs w:val="24"/>
          <w:lang w:val="lt-LT" w:eastAsia="sv-SE"/>
        </w:rPr>
        <w:t>hemofiltravimo</w:t>
      </w:r>
      <w:proofErr w:type="spellEnd"/>
      <w:r w:rsidRPr="00611DF7">
        <w:rPr>
          <w:rFonts w:ascii="Times New Roman" w:eastAsia="Calibri" w:hAnsi="Times New Roman" w:cs="Times New Roman"/>
          <w:szCs w:val="24"/>
          <w:lang w:val="lt-LT" w:eastAsia="sv-SE"/>
        </w:rPr>
        <w:t xml:space="preserve"> ir (arba) hemodializės procedūrą.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szCs w:val="24"/>
          <w:lang w:val="lt-LT" w:eastAsia="sv-SE"/>
        </w:rPr>
        <w:t xml:space="preserve">Jei </w:t>
      </w:r>
      <w:proofErr w:type="spellStart"/>
      <w:r w:rsidRPr="00611DF7">
        <w:rPr>
          <w:rFonts w:ascii="Times New Roman" w:eastAsia="Calibri" w:hAnsi="Times New Roman" w:cs="Times New Roman"/>
          <w:szCs w:val="24"/>
          <w:lang w:val="lt-LT" w:eastAsia="sv-SE"/>
        </w:rPr>
        <w:t>hiperkalemija</w:t>
      </w:r>
      <w:proofErr w:type="spellEnd"/>
      <w:r w:rsidRPr="00611DF7">
        <w:rPr>
          <w:rFonts w:ascii="Times New Roman" w:eastAsia="Calibri" w:hAnsi="Times New Roman" w:cs="Times New Roman"/>
          <w:szCs w:val="24"/>
          <w:lang w:val="lt-LT" w:eastAsia="sv-SE"/>
        </w:rPr>
        <w:t xml:space="preserve"> atsiranda vartojant </w:t>
      </w:r>
      <w:proofErr w:type="spellStart"/>
      <w:r w:rsidRPr="00611DF7">
        <w:rPr>
          <w:rFonts w:ascii="Times New Roman" w:eastAsia="Calibri" w:hAnsi="Times New Roman" w:cs="Times New Roman"/>
          <w:szCs w:val="24"/>
          <w:lang w:val="lt-LT" w:eastAsia="sv-SE"/>
        </w:rPr>
        <w:t>Phoxilium</w:t>
      </w:r>
      <w:proofErr w:type="spellEnd"/>
      <w:r w:rsidRPr="00611DF7">
        <w:rPr>
          <w:rFonts w:ascii="Times New Roman" w:eastAsia="Calibri" w:hAnsi="Times New Roman" w:cs="Times New Roman"/>
          <w:szCs w:val="24"/>
          <w:lang w:val="lt-LT" w:eastAsia="sv-SE"/>
        </w:rPr>
        <w:t xml:space="preserve"> kaip </w:t>
      </w:r>
      <w:proofErr w:type="spellStart"/>
      <w:r w:rsidRPr="00611DF7">
        <w:rPr>
          <w:rFonts w:ascii="Times New Roman" w:eastAsia="Calibri" w:hAnsi="Times New Roman" w:cs="Times New Roman"/>
          <w:szCs w:val="24"/>
          <w:lang w:val="lt-LT" w:eastAsia="sv-SE"/>
        </w:rPr>
        <w:t>dializatą</w:t>
      </w:r>
      <w:proofErr w:type="spellEnd"/>
      <w:r w:rsidRPr="00611DF7">
        <w:rPr>
          <w:rFonts w:ascii="Times New Roman" w:eastAsia="Calibri" w:hAnsi="Times New Roman" w:cs="Times New Roman"/>
          <w:szCs w:val="24"/>
          <w:lang w:val="lt-LT" w:eastAsia="sv-SE"/>
        </w:rPr>
        <w:t xml:space="preserve">, gali prireikti vartoti </w:t>
      </w:r>
      <w:proofErr w:type="spellStart"/>
      <w:r w:rsidRPr="00611DF7">
        <w:rPr>
          <w:rFonts w:ascii="Times New Roman" w:eastAsia="Calibri" w:hAnsi="Times New Roman" w:cs="Times New Roman"/>
          <w:szCs w:val="24"/>
          <w:lang w:val="lt-LT" w:eastAsia="sv-SE"/>
        </w:rPr>
        <w:t>dializatą</w:t>
      </w:r>
      <w:proofErr w:type="spellEnd"/>
      <w:r w:rsidRPr="00611DF7">
        <w:rPr>
          <w:rFonts w:ascii="Times New Roman" w:eastAsia="Calibri" w:hAnsi="Times New Roman" w:cs="Times New Roman"/>
          <w:szCs w:val="24"/>
          <w:lang w:val="lt-LT" w:eastAsia="sv-SE"/>
        </w:rPr>
        <w:t>, kurio sudėtyje nėra kalio, kad padidėtų kalio šalinimo greitis.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bei rūgščių ir 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lang w:val="lt-LT" w:eastAsia="fr-FR"/>
        </w:rPr>
      </w:pPr>
      <w:r w:rsidRPr="00611DF7">
        <w:rPr>
          <w:rFonts w:ascii="Times New Roman" w:eastAsia="SimSun" w:hAnsi="Times New Roman" w:cs="Times New Roman"/>
          <w:lang w:val="it-IT" w:eastAsia="fr-FR"/>
        </w:rPr>
        <w:t xml:space="preserve">Kadangi Phoxilium </w:t>
      </w:r>
      <w:r w:rsidRPr="00611DF7">
        <w:rPr>
          <w:rFonts w:ascii="Times New Roman" w:eastAsia="TimesNewRoman" w:hAnsi="Times New Roman" w:cs="Times New Roman"/>
          <w:bCs/>
          <w:color w:val="000000"/>
          <w:lang w:val="lt-LT" w:eastAsia="sv-SE"/>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TimesNewRoman" w:hAnsi="Times New Roman" w:cs="Times New Roman"/>
          <w:bCs/>
          <w:color w:val="000000"/>
          <w:lang w:val="lt-LT" w:eastAsia="sv-SE"/>
        </w:rPr>
        <w:t>asimptominės</w:t>
      </w:r>
      <w:proofErr w:type="spellEnd"/>
      <w:r w:rsidRPr="00611DF7">
        <w:rPr>
          <w:rFonts w:ascii="Times New Roman" w:eastAsia="TimesNewRoman" w:hAnsi="Times New Roman" w:cs="Times New Roman"/>
          <w:bCs/>
          <w:color w:val="000000"/>
          <w:lang w:val="lt-LT" w:eastAsia="sv-SE"/>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TimesNewRoman" w:hAnsi="Times New Roman" w:cs="Times New Roman"/>
          <w:bCs/>
          <w:color w:val="000000"/>
          <w:lang w:val="lt-LT" w:eastAsia="sv-SE"/>
        </w:rPr>
        <w:t>glikemijos</w:t>
      </w:r>
      <w:proofErr w:type="spellEnd"/>
      <w:r w:rsidRPr="00611DF7">
        <w:rPr>
          <w:rFonts w:ascii="Times New Roman" w:eastAsia="TimesNewRoman" w:hAnsi="Times New Roman" w:cs="Times New Roman"/>
          <w:bCs/>
          <w:color w:val="000000"/>
          <w:lang w:val="lt-LT" w:eastAsia="sv-SE"/>
        </w:rPr>
        <w:t xml:space="preserve"> kontrolę, gali prireikti taikyti kitas koreguojamąsias priemones</w:t>
      </w:r>
      <w:r w:rsidRPr="00611DF7">
        <w:rPr>
          <w:rFonts w:ascii="Times New Roman" w:eastAsia="SimSun" w:hAnsi="Times New Roman" w:cs="Times New Roman"/>
          <w:lang w:val="lt-LT" w:eastAsia="fr-FR"/>
        </w:rPr>
        <w:t>.</w:t>
      </w:r>
    </w:p>
    <w:p w:rsidR="00386DD0" w:rsidRPr="00611DF7" w:rsidRDefault="00386DD0" w:rsidP="00386DD0">
      <w:pPr>
        <w:snapToGrid w:val="0"/>
        <w:spacing w:after="60" w:line="240" w:lineRule="auto"/>
        <w:jc w:val="both"/>
        <w:rPr>
          <w:rFonts w:ascii="Times New Roman" w:eastAsia="Times New Roman" w:hAnsi="Times New Roman" w:cs="Times New Roman"/>
          <w:b/>
          <w:color w:val="000000"/>
          <w:lang w:val="lt-LT" w:eastAsia="fr-FR"/>
        </w:rPr>
      </w:pPr>
    </w:p>
    <w:p w:rsidR="00386DD0" w:rsidRPr="00611DF7" w:rsidRDefault="00386DD0" w:rsidP="00386DD0">
      <w:pPr>
        <w:snapToGrid w:val="0"/>
        <w:spacing w:after="60" w:line="240" w:lineRule="auto"/>
        <w:jc w:val="both"/>
        <w:rPr>
          <w:rFonts w:ascii="Times New Roman" w:eastAsia="Times New Roman" w:hAnsi="Times New Roman" w:cs="Times New Roman"/>
          <w:b/>
          <w:color w:val="000000"/>
          <w:lang w:val="lt-LT" w:eastAsia="fr-FR"/>
        </w:rPr>
      </w:pPr>
      <w:r w:rsidRPr="00611DF7">
        <w:rPr>
          <w:rFonts w:ascii="Times New Roman" w:eastAsia="Times New Roman" w:hAnsi="Times New Roman" w:cs="Times New Roman"/>
          <w:b/>
          <w:color w:val="000000"/>
          <w:lang w:val="lt-LT" w:eastAsia="fr-FR"/>
        </w:rPr>
        <w:t>Dozavimas:</w:t>
      </w: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 xml:space="preserve">Vartotinas </w:t>
      </w:r>
      <w:proofErr w:type="spellStart"/>
      <w:r w:rsidRPr="00611DF7">
        <w:rPr>
          <w:rFonts w:ascii="Times New Roman" w:eastAsia="SimSun" w:hAnsi="Times New Roman" w:cs="Times New Roman"/>
          <w:bCs/>
          <w:lang w:val="lt-LT" w:eastAsia="fr-FR"/>
        </w:rPr>
        <w:t>Phoxilium</w:t>
      </w:r>
      <w:proofErr w:type="spellEnd"/>
      <w:r w:rsidRPr="00611DF7">
        <w:rPr>
          <w:rFonts w:ascii="Times New Roman" w:eastAsia="SimSun" w:hAnsi="Times New Roman" w:cs="Times New Roman"/>
          <w:bCs/>
          <w:lang w:val="lt-LT" w:eastAsia="fr-FR"/>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SimSun" w:hAnsi="Times New Roman" w:cs="Times New Roman"/>
          <w:bCs/>
          <w:lang w:val="lt-LT" w:eastAsia="fr-FR"/>
        </w:rPr>
        <w:t>dializato</w:t>
      </w:r>
      <w:proofErr w:type="spellEnd"/>
      <w:r w:rsidRPr="00611DF7">
        <w:rPr>
          <w:rFonts w:ascii="Times New Roman" w:eastAsia="SimSun" w:hAnsi="Times New Roman" w:cs="Times New Roman"/>
          <w:bCs/>
          <w:lang w:val="lt-LT" w:eastAsia="fr-FR"/>
        </w:rPr>
        <w:t xml:space="preserve"> tūris taip pat priklausys nuo pageidaujamo gydymo intensyvumo (dozės). Vartotiną </w:t>
      </w:r>
      <w:proofErr w:type="spellStart"/>
      <w:r w:rsidRPr="00611DF7">
        <w:rPr>
          <w:rFonts w:ascii="Times New Roman" w:eastAsia="SimSun" w:hAnsi="Times New Roman" w:cs="Times New Roman"/>
          <w:bCs/>
          <w:lang w:val="lt-LT" w:eastAsia="fr-FR"/>
        </w:rPr>
        <w:t>Phoxilium</w:t>
      </w:r>
      <w:proofErr w:type="spellEnd"/>
      <w:r w:rsidRPr="00611DF7">
        <w:rPr>
          <w:rFonts w:ascii="Times New Roman" w:eastAsia="SimSun" w:hAnsi="Times New Roman" w:cs="Times New Roman"/>
          <w:bCs/>
          <w:lang w:val="lt-LT" w:eastAsia="fr-FR"/>
        </w:rPr>
        <w:t xml:space="preserve"> dozę, infuzijos greitį ir kumuliacinį tūrį turi nustatyti tik gydytojas, turintis intensyvios terapijos taikymo ir ilgalaikės inkstų pakeičiamosios terapijos (IIPT) taikymo patirties.</w:t>
      </w: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Todėl tūrio dozė turi būti parenkama ir skiriama atsakingo gydytojo.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pakaitinio tirpalo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Paprastai suaugusiesiems taikomas IIPT (</w:t>
      </w:r>
      <w:proofErr w:type="spellStart"/>
      <w:r w:rsidRPr="00611DF7">
        <w:rPr>
          <w:rFonts w:ascii="Times New Roman" w:eastAsia="SimSun" w:hAnsi="Times New Roman" w:cs="Times New Roman"/>
          <w:bCs/>
          <w:lang w:val="lt-LT" w:eastAsia="fr-FR"/>
        </w:rPr>
        <w:t>dializato</w:t>
      </w:r>
      <w:proofErr w:type="spellEnd"/>
      <w:r w:rsidRPr="00611DF7">
        <w:rPr>
          <w:rFonts w:ascii="Times New Roman" w:eastAsia="SimSun" w:hAnsi="Times New Roman" w:cs="Times New Roman"/>
          <w:bCs/>
          <w:lang w:val="lt-LT" w:eastAsia="fr-FR"/>
        </w:rPr>
        <w:t xml:space="preserve"> ir pakaitinio tirpalo) bendras visas tėkmės greitis yra maždaug 2000–2500 ml/val., ir tai atitinka maždaug 48–60 l kasdien skiriamo pakaitinio skysčio tūrio.</w:t>
      </w:r>
    </w:p>
    <w:p w:rsidR="00386DD0" w:rsidRPr="00611DF7" w:rsidRDefault="00386DD0" w:rsidP="00386DD0">
      <w:pPr>
        <w:autoSpaceDE w:val="0"/>
        <w:autoSpaceDN w:val="0"/>
        <w:adjustRightInd w:val="0"/>
        <w:spacing w:after="0" w:line="240" w:lineRule="auto"/>
        <w:rPr>
          <w:rFonts w:ascii="Times New Roman" w:eastAsia="SimSun" w:hAnsi="Times New Roman" w:cs="Times New Roman"/>
          <w:lang w:val="it-IT" w:eastAsia="sv-SE"/>
        </w:rPr>
      </w:pPr>
    </w:p>
    <w:p w:rsidR="00386DD0" w:rsidRPr="00611DF7" w:rsidRDefault="00386DD0" w:rsidP="00386DD0">
      <w:pPr>
        <w:spacing w:after="0" w:line="240" w:lineRule="auto"/>
        <w:ind w:right="-143"/>
        <w:rPr>
          <w:rFonts w:ascii="Times New Roman" w:eastAsia="SimSun" w:hAnsi="Times New Roman" w:cs="Times New Roman"/>
          <w:b/>
          <w:lang w:val="it-IT" w:eastAsia="sv-SE"/>
        </w:rPr>
      </w:pPr>
      <w:r w:rsidRPr="00611DF7">
        <w:rPr>
          <w:rFonts w:ascii="Times New Roman" w:eastAsia="SimSun" w:hAnsi="Times New Roman" w:cs="Times New Roman"/>
          <w:b/>
          <w:lang w:val="it-IT" w:eastAsia="sv-SE"/>
        </w:rPr>
        <w:t>Vaikų populiacija:</w:t>
      </w:r>
    </w:p>
    <w:p w:rsidR="00386DD0" w:rsidRPr="00611DF7" w:rsidRDefault="00386DD0" w:rsidP="00386DD0">
      <w:pPr>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 xml:space="preserve">Vaikams (nuo naujagimių iki paauglių iki 18 metų amžiaus) tėkmės greičio intervalas, kai tirpalas skiriamas kaip pakaitinis </w:t>
      </w:r>
      <w:proofErr w:type="spellStart"/>
      <w:r w:rsidRPr="00611DF7">
        <w:rPr>
          <w:rFonts w:ascii="Times New Roman" w:eastAsia="SimSun" w:hAnsi="Times New Roman" w:cs="Times New Roman"/>
          <w:bCs/>
          <w:lang w:val="lt-LT" w:eastAsia="fr-FR"/>
        </w:rPr>
        <w:t>hemofiltracijai</w:t>
      </w:r>
      <w:proofErr w:type="spellEnd"/>
      <w:r w:rsidRPr="00611DF7">
        <w:rPr>
          <w:rFonts w:ascii="Times New Roman" w:eastAsia="SimSun" w:hAnsi="Times New Roman" w:cs="Times New Roman"/>
          <w:bCs/>
          <w:lang w:val="lt-LT" w:eastAsia="fr-FR"/>
        </w:rPr>
        <w:t xml:space="preserve"> ar </w:t>
      </w:r>
      <w:proofErr w:type="spellStart"/>
      <w:r w:rsidRPr="00611DF7">
        <w:rPr>
          <w:rFonts w:ascii="Times New Roman" w:eastAsia="SimSun" w:hAnsi="Times New Roman" w:cs="Times New Roman"/>
          <w:bCs/>
          <w:lang w:val="lt-LT" w:eastAsia="fr-FR"/>
        </w:rPr>
        <w:t>hemodiafiltracijai</w:t>
      </w:r>
      <w:proofErr w:type="spellEnd"/>
      <w:r w:rsidRPr="00611DF7">
        <w:rPr>
          <w:rFonts w:ascii="Times New Roman" w:eastAsia="SimSun" w:hAnsi="Times New Roman" w:cs="Times New Roman"/>
          <w:bCs/>
          <w:lang w:val="lt-LT" w:eastAsia="fr-FR"/>
        </w:rPr>
        <w:t xml:space="preserve"> atlikti ir kaip dializės tirpalas (</w:t>
      </w:r>
      <w:proofErr w:type="spellStart"/>
      <w:r w:rsidRPr="00611DF7">
        <w:rPr>
          <w:rFonts w:ascii="Times New Roman" w:eastAsia="SimSun" w:hAnsi="Times New Roman" w:cs="Times New Roman"/>
          <w:bCs/>
          <w:lang w:val="lt-LT" w:eastAsia="fr-FR"/>
        </w:rPr>
        <w:t>dializatas</w:t>
      </w:r>
      <w:proofErr w:type="spellEnd"/>
      <w:r w:rsidRPr="00611DF7">
        <w:rPr>
          <w:rFonts w:ascii="Times New Roman" w:eastAsia="SimSun" w:hAnsi="Times New Roman" w:cs="Times New Roman"/>
          <w:bCs/>
          <w:lang w:val="lt-LT" w:eastAsia="fr-FR"/>
        </w:rPr>
        <w:t xml:space="preserve">) nuolatinei hemodializei ar </w:t>
      </w:r>
      <w:proofErr w:type="spellStart"/>
      <w:r w:rsidRPr="00611DF7">
        <w:rPr>
          <w:rFonts w:ascii="Times New Roman" w:eastAsia="SimSun" w:hAnsi="Times New Roman" w:cs="Times New Roman"/>
          <w:bCs/>
          <w:lang w:val="lt-LT" w:eastAsia="fr-FR"/>
        </w:rPr>
        <w:t>hemodiafiltracijai</w:t>
      </w:r>
      <w:proofErr w:type="spellEnd"/>
      <w:r w:rsidRPr="00611DF7">
        <w:rPr>
          <w:rFonts w:ascii="Times New Roman" w:eastAsia="SimSun" w:hAnsi="Times New Roman" w:cs="Times New Roman"/>
          <w:bCs/>
          <w:lang w:val="lt-LT" w:eastAsia="fr-FR"/>
        </w:rPr>
        <w:t xml:space="preserve"> atlikti, yra 1000–4000 ml/val./1,73 m</w:t>
      </w:r>
      <w:r w:rsidRPr="00611DF7">
        <w:rPr>
          <w:rFonts w:ascii="Times New Roman" w:eastAsia="SimSun" w:hAnsi="Times New Roman" w:cs="Times New Roman"/>
          <w:bCs/>
          <w:vertAlign w:val="superscript"/>
          <w:lang w:val="lt-LT" w:eastAsia="fr-FR"/>
        </w:rPr>
        <w:t>2</w:t>
      </w:r>
      <w:r w:rsidRPr="00611DF7">
        <w:rPr>
          <w:rFonts w:ascii="Times New Roman" w:eastAsia="SimSun" w:hAnsi="Times New Roman" w:cs="Times New Roman"/>
          <w:bCs/>
          <w:lang w:val="lt-LT" w:eastAsia="fr-FR"/>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SimSun" w:hAnsi="Times New Roman" w:cs="Times New Roman"/>
          <w:bCs/>
          <w:lang w:val="lt-LT" w:eastAsia="fr-FR"/>
        </w:rPr>
        <w:t>Paaugliams (12–18 metų amžiaus) taikoma rekomenduojama suaugusiųjų dozė, jei apskaičiuota vaikų dozė viršija didžiausią suaugusiųjų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pat vartojimą nulaužę lūžtantį kaištelį supilkite skystį iš mažojo skyriaus A į didžiojo skyriaus B skystį. Paruoštas tirpalas turi būti bespalvis ir skaidrus.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lūžtantis kaištelis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lang w:val="it-IT"/>
        </w:rPr>
        <w:t xml:space="preserve"> </w:t>
      </w:r>
      <w:r w:rsidRPr="00DC3C1F">
        <w:rPr>
          <w:rFonts w:ascii="Times New Roman" w:eastAsia="Calibri" w:hAnsi="Times New Roman" w:cs="Times New Roman"/>
          <w:lang w:val="it-IT"/>
        </w:rPr>
        <w:t>Priedus pridėti ir sumaišyti visada būtina prieš prijungiant tirpalo maišelį prie ekstrakorporinės apytakos.</w:t>
      </w:r>
      <w:r>
        <w:rPr>
          <w:rFonts w:ascii="Times New Roman" w:eastAsia="Calibri" w:hAnsi="Times New Roman" w:cs="Times New Roman"/>
          <w:lang w:val="it-IT"/>
        </w:rPr>
        <w:t xml:space="preserve"> </w:t>
      </w:r>
      <w:r w:rsidRPr="00611DF7">
        <w:rPr>
          <w:rFonts w:ascii="Times New Roman" w:eastAsia="Calibri" w:hAnsi="Times New Roman" w:cs="Times New Roman"/>
          <w:b/>
          <w:lang w:val="lt-LT"/>
        </w:rPr>
        <w:t>Tirpalą reikia nedelsiant vartoti.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nulauždami lūžtantį kaištelį tarp dviejų maišelio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Lūžtantis kaištelis liks maišelyje</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rsidR="00386DD0" w:rsidRPr="00611DF7" w:rsidRDefault="00386DD0" w:rsidP="00386DD0">
      <w:pPr>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Įsitikinkite, kad visas skystis iš mažojo skyriaus A bus perpiltas į didįjį skyrių B (žr. II pav. toliau).</w:t>
      </w:r>
    </w:p>
    <w:p w:rsidR="00386DD0" w:rsidRPr="00611DF7" w:rsidRDefault="00386DD0" w:rsidP="00386DD0">
      <w:pPr>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Du kartus praskalaukite mažąjį skyrių A spausdami sumaišytą tirpalą atgal į mažąjį skyrių A ir tada atgal į didįjį skyrių B (žr. III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Kai mažasis skyrius A yra tuščias: supurtykite didįjį skyrių B taip, kad visiškai susimaišytų turinys. Tirpalas dabar paruoštas vartoti ir maišelį galima kabinti ant įrangos (žr. IV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w:t>
      </w:r>
      <w:proofErr w:type="spellStart"/>
      <w:r w:rsidRPr="00611DF7">
        <w:rPr>
          <w:rFonts w:ascii="Times New Roman" w:eastAsia="Calibri" w:hAnsi="Times New Roman" w:cs="Times New Roman"/>
          <w:lang w:val="lt-LT"/>
        </w:rPr>
        <w:t>aseptinėmis</w:t>
      </w:r>
      <w:proofErr w:type="spellEnd"/>
      <w:r w:rsidRPr="00611DF7">
        <w:rPr>
          <w:rFonts w:ascii="Times New Roman" w:eastAsia="Calibri" w:hAnsi="Times New Roman" w:cs="Times New Roman"/>
          <w:lang w:val="lt-LT"/>
        </w:rPr>
        <w:t xml:space="preserve"> sąlygomis nuimkite dangtelį ir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priveržkite. Abiem rankomis sulaužykite mėlyną lūžtantį kaištelį ties jo pagrindu ir pastumkite jį pirmyn ir atgal. Nenaudokite įrankio. Patikrinkite, ar kaištelis visiškai atskirtas ir ar skystis laisvai teka. Atliekant gydymą, kaištelis liks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angoje (žr. </w:t>
      </w:r>
      <w:proofErr w:type="spellStart"/>
      <w:r w:rsidRPr="00611DF7">
        <w:rPr>
          <w:rFonts w:ascii="Times New Roman" w:eastAsia="Calibri" w:hAnsi="Times New Roman" w:cs="Times New Roman"/>
          <w:lang w:val="lt-LT"/>
        </w:rPr>
        <w:t>V.a</w:t>
      </w:r>
      <w:proofErr w:type="spellEnd"/>
      <w:r w:rsidRPr="00611DF7">
        <w:rPr>
          <w:rFonts w:ascii="Times New Roman" w:eastAsia="Calibri" w:hAnsi="Times New Roman" w:cs="Times New Roman"/>
          <w:lang w:val="lt-LT"/>
        </w:rPr>
        <w:t xml:space="preserve">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Pr="007F100E">
        <w:rPr>
          <w:rFonts w:ascii="Times New Roman" w:eastAsia="Calibri" w:hAnsi="Times New Roman" w:cs="Times New Roman"/>
          <w:lang w:val="lt-LT"/>
        </w:rPr>
        <w:t xml:space="preserve">Injekcijų angą galima valyti </w:t>
      </w:r>
      <w:r>
        <w:rPr>
          <w:rFonts w:ascii="Times New Roman" w:eastAsia="Calibri" w:hAnsi="Times New Roman" w:cs="Times New Roman"/>
          <w:lang w:val="lt-LT"/>
        </w:rPr>
        <w:t xml:space="preserve">steriliu </w:t>
      </w:r>
      <w:r w:rsidRPr="007F100E">
        <w:rPr>
          <w:rFonts w:ascii="Times New Roman" w:eastAsia="Calibri" w:hAnsi="Times New Roman" w:cs="Times New Roman"/>
          <w:lang w:val="lt-LT"/>
        </w:rPr>
        <w:t>tamponu.</w:t>
      </w:r>
      <w:r>
        <w:rPr>
          <w:rFonts w:ascii="Times New Roman" w:eastAsia="Calibri" w:hAnsi="Times New Roman" w:cs="Times New Roman"/>
          <w:lang w:val="lt-LT"/>
        </w:rPr>
        <w:t xml:space="preserve">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V.b</w:t>
      </w:r>
      <w:proofErr w:type="spellEnd"/>
      <w:r w:rsidRPr="00611DF7">
        <w:rPr>
          <w:rFonts w:ascii="Times New Roman" w:eastAsia="Calibri" w:hAnsi="Times New Roman" w:cs="Times New Roman"/>
          <w:lang w:val="lt-LT"/>
        </w:rPr>
        <w:t xml:space="preserve">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rsidR="00386DD0" w:rsidRPr="00611DF7" w:rsidRDefault="00386DD0" w:rsidP="00386DD0">
      <w:pPr>
        <w:spacing w:after="0" w:line="240" w:lineRule="auto"/>
        <w:rPr>
          <w:rFonts w:ascii="Times New Roman" w:eastAsia="Calibri" w:hAnsi="Times New Roman" w:cs="Times New Roman"/>
          <w:lang w:val="sv-SE"/>
        </w:rPr>
      </w:pPr>
    </w:p>
    <w:p w:rsidR="00386DD0" w:rsidRPr="00611DF7" w:rsidRDefault="00386DD0" w:rsidP="00386DD0">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rsidR="00386DD0" w:rsidRPr="00611DF7" w:rsidRDefault="00386DD0" w:rsidP="00386DD0">
      <w:pPr>
        <w:spacing w:after="0" w:line="240" w:lineRule="auto"/>
        <w:rPr>
          <w:rFonts w:ascii="Times New Roman" w:eastAsia="Calibri" w:hAnsi="Times New Roman" w:cs="Times New Roman"/>
          <w:lang w:val="sv-SE"/>
        </w:rPr>
      </w:pPr>
    </w:p>
    <w:p w:rsidR="00386DD0" w:rsidRPr="00152A20" w:rsidRDefault="00386DD0" w:rsidP="00386DD0">
      <w:pPr>
        <w:spacing w:after="0" w:line="240" w:lineRule="auto"/>
        <w:rPr>
          <w:rFonts w:ascii="Times New Roman" w:hAnsi="Times New Roman"/>
          <w:lang w:val="fr-FR"/>
        </w:rPr>
      </w:pPr>
      <w:r w:rsidRPr="00D974D7">
        <w:rPr>
          <w:rFonts w:ascii="Times New Roman" w:hAnsi="Times New Roman"/>
          <w:noProof/>
          <w:lang w:val="lt-LT" w:eastAsia="lt-LT"/>
        </w:rPr>
        <w:drawing>
          <wp:inline distT="0" distB="0" distL="0" distR="0" wp14:anchorId="3911225E" wp14:editId="61603EAC">
            <wp:extent cx="5953125"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438275"/>
                    </a:xfrm>
                    <a:prstGeom prst="rect">
                      <a:avLst/>
                    </a:prstGeom>
                    <a:noFill/>
                    <a:ln>
                      <a:noFill/>
                    </a:ln>
                  </pic:spPr>
                </pic:pic>
              </a:graphicData>
            </a:graphic>
          </wp:inline>
        </w:drawing>
      </w:r>
    </w:p>
    <w:p w:rsidR="00386DD0" w:rsidRPr="00152A20" w:rsidRDefault="00386DD0" w:rsidP="00386DD0">
      <w:pPr>
        <w:snapToGrid w:val="0"/>
        <w:spacing w:after="0" w:line="240" w:lineRule="auto"/>
        <w:rPr>
          <w:rFonts w:ascii="Times New Roman" w:hAnsi="Times New Roman"/>
          <w:lang w:val="lt-LT"/>
        </w:rPr>
      </w:pPr>
    </w:p>
    <w:p w:rsidR="00386DD0" w:rsidRPr="00611DF7" w:rsidRDefault="00386DD0" w:rsidP="00386DD0">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br w:type="page"/>
      </w: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b/>
          <w:lang w:val="lt-LT"/>
        </w:rPr>
        <w:t>Pakuotės lapelis: informacija vartotojui</w:t>
      </w: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r w:rsidRPr="00611DF7">
        <w:rPr>
          <w:rFonts w:ascii="Times New Roman" w:eastAsia="Calibri" w:hAnsi="Times New Roman" w:cs="Times New Roman"/>
          <w:lang w:val="lt-LT"/>
        </w:rPr>
        <w:t>• Neišmeskite šio lapelio, nes vėl gali prireikti jį perskaityti.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Žr. 4</w:t>
      </w:r>
      <w:r w:rsidRPr="00611DF7">
        <w:rPr>
          <w:rFonts w:ascii="Times New Roman" w:eastAsia="Calibri" w:hAnsi="Times New Roman" w:cs="Times New Roman"/>
          <w:lang w:val="lt-LT"/>
        </w:rPr>
        <w:t xml:space="preserve"> skyrių.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disbalansą, kurį sukelia inkstų pažeidimas.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nuolatinė inkstų pakaitinė terapija, skiriamas, norint iš kraujo pašalinti medžiagų apykaitos atliekas, kai neveikia inkstai.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i/>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DC3C1F">
        <w:rPr>
          <w:rFonts w:ascii="Times New Roman" w:eastAsia="Calibri" w:hAnsi="Times New Roman" w:cs="Times New Roman"/>
          <w:lang w:val="lt-LT"/>
        </w:rPr>
        <w:t>Phoxilium</w:t>
      </w:r>
      <w:proofErr w:type="spellEnd"/>
      <w:r w:rsidRPr="00DC3C1F">
        <w:rPr>
          <w:rFonts w:ascii="Times New Roman" w:eastAsia="Calibri" w:hAnsi="Times New Roman" w:cs="Times New Roman"/>
          <w:lang w:val="lt-LT"/>
        </w:rPr>
        <w:t xml:space="preserve"> taip pat gali būti vartojamas apsinuodijimo vaistais atvejais arba apsinuodijimų metu, kai nuodai </w:t>
      </w:r>
      <w:proofErr w:type="spellStart"/>
      <w:r w:rsidRPr="00DC3C1F">
        <w:rPr>
          <w:rFonts w:ascii="Times New Roman" w:eastAsia="Calibri" w:hAnsi="Times New Roman" w:cs="Times New Roman"/>
          <w:lang w:val="lt-LT"/>
        </w:rPr>
        <w:t>dializuojami</w:t>
      </w:r>
      <w:proofErr w:type="spellEnd"/>
      <w:r w:rsidRPr="00DC3C1F">
        <w:rPr>
          <w:rFonts w:ascii="Times New Roman" w:eastAsia="Calibri" w:hAnsi="Times New Roman" w:cs="Times New Roman"/>
          <w:lang w:val="lt-LT"/>
        </w:rPr>
        <w:t xml:space="preserve"> arba pašalinami per membraną.</w:t>
      </w:r>
    </w:p>
    <w:p w:rsidR="00386DD0"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 jei yra didelė kraujavimo rizika.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152A20" w:rsidRDefault="00386DD0" w:rsidP="00386DD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terapija.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kitų vaistų koncentracija gali paveikti gydymą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rsidR="00386DD0" w:rsidRPr="00611DF7" w:rsidRDefault="00386DD0" w:rsidP="00386DD0">
      <w:pPr>
        <w:numPr>
          <w:ilvl w:val="0"/>
          <w:numId w:val="9"/>
        </w:numPr>
        <w:tabs>
          <w:tab w:val="num" w:pos="540"/>
        </w:tabs>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9"/>
        </w:numPr>
        <w:tabs>
          <w:tab w:val="num" w:pos="540"/>
        </w:tabs>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nes jie gali padidinti didelės kalcio koncentracijos kraujyje riziką (</w:t>
      </w:r>
      <w:proofErr w:type="spellStart"/>
      <w:r w:rsidRPr="00611DF7">
        <w:rPr>
          <w:rFonts w:ascii="Times New Roman" w:eastAsia="Calibri" w:hAnsi="Times New Roman" w:cs="Times New Roman"/>
          <w:lang w:val="lt-LT"/>
        </w:rPr>
        <w:t>hiperkalcemija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10"/>
        </w:numPr>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bikarbonatas</w:t>
      </w:r>
      <w:proofErr w:type="spellEnd"/>
      <w:r w:rsidRPr="00611DF7">
        <w:rPr>
          <w:rFonts w:ascii="Times New Roman" w:eastAsia="Calibri" w:hAnsi="Times New Roman" w:cs="Times New Roman"/>
          <w:lang w:val="lt-LT"/>
        </w:rPr>
        <w:t xml:space="preserve">, nes tai gali padidinti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pertekliaus kraujyje riziką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i/>
          <w:lang w:val="lt-LT"/>
        </w:rPr>
        <w:t>;</w:t>
      </w:r>
    </w:p>
    <w:p w:rsidR="00386DD0" w:rsidRPr="00611DF7" w:rsidRDefault="00386DD0" w:rsidP="00386DD0">
      <w:pPr>
        <w:numPr>
          <w:ilvl w:val="0"/>
          <w:numId w:val="10"/>
        </w:numPr>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bCs/>
          <w:lang w:val="lt-LT"/>
        </w:rPr>
        <w:t>jei citratas vartojamas kaip antikoaguliantas, nes jis gali sumažinti kalcio koncentraciją plazmoje</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Vartojimo instrukcijų žr. skyriuje „Žemiau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Jei suvartotoje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noProof/>
          <w:lang w:val="lt-LT"/>
        </w:rPr>
        <w:t xml:space="preserve">Šis vaistas, </w:t>
      </w:r>
      <w:r w:rsidRPr="00611DF7">
        <w:rPr>
          <w:rFonts w:ascii="Times New Roman" w:eastAsia="Calibri" w:hAnsi="Times New Roman" w:cs="Times New Roman"/>
          <w:lang w:val="lt-LT"/>
        </w:rPr>
        <w:t>kaip ir kiti gali sukelti šalutinį poveikį, nors jis pasireiškia ne visiems žmonėms.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rsidR="00386DD0" w:rsidRPr="00611DF7" w:rsidRDefault="00386DD0" w:rsidP="00386DD0">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rsidR="00386DD0" w:rsidRPr="00611DF7" w:rsidRDefault="00386DD0" w:rsidP="00386DD0">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gydymas dialize, tokių kaip:</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noProof/>
          <w:lang w:val="lt-LT"/>
        </w:rPr>
        <w:t>Pranešimas apie šalutinį poveikį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Pr>
          <w:rFonts w:ascii="Times New Roman" w:eastAsia="Calibri" w:hAnsi="Times New Roman" w:cs="Times New Roman"/>
          <w:lang w:val="lt-LT"/>
        </w:rPr>
        <w:t>u</w:t>
      </w:r>
      <w:r w:rsidRPr="00611DF7">
        <w:rPr>
          <w:rFonts w:ascii="Times New Roman" w:eastAsia="Calibri" w:hAnsi="Times New Roman" w:cs="Times New Roman"/>
          <w:lang w:val="lt-LT"/>
        </w:rPr>
        <w:t>i.</w:t>
      </w:r>
      <w:r w:rsidRPr="00152A20">
        <w:rPr>
          <w:rFonts w:ascii="Calibri" w:hAnsi="Calibri"/>
          <w:lang w:val="lt-LT"/>
        </w:rPr>
        <w:t xml:space="preserve"> </w:t>
      </w:r>
      <w:r w:rsidRPr="006640D5">
        <w:rPr>
          <w:rFonts w:ascii="Times New Roman" w:eastAsia="Calibri" w:hAnsi="Times New Roman" w:cs="Times New Roman"/>
          <w:lang w:val="lt-LT"/>
        </w:rPr>
        <w:t xml:space="preserve">Pranešimą apie šalutinį poveikį galite užpildyti ir pateikti Valstybinės vaistų kontrolės tarnybos prie Lietuvos Respublikos sveikatos apsaugos ministerijos tinklalapyje </w:t>
      </w:r>
      <w:r w:rsidRPr="006640D5">
        <w:rPr>
          <w:rFonts w:ascii="Times New Roman" w:eastAsia="Calibri" w:hAnsi="Times New Roman" w:cs="Times New Roman"/>
          <w:u w:val="single"/>
          <w:lang w:val="lt-LT"/>
        </w:rPr>
        <w:t>https://vvkt.lrv.lt/lt/</w:t>
      </w:r>
      <w:r w:rsidRPr="006640D5">
        <w:rPr>
          <w:rFonts w:ascii="Times New Roman" w:eastAsia="Calibri" w:hAnsi="Times New Roman" w:cs="Times New Roman"/>
          <w:lang w:val="lt-LT"/>
        </w:rPr>
        <w:t xml:space="preserve"> nurodytais būdais arba paskambinti nemokamu telefonu 8 800 73 568. Pranešdami apie šalutinį poveikį galite mums padėti gauti daugiau informacijos apie šio vaisto saugumą.</w:t>
      </w:r>
    </w:p>
    <w:p w:rsidR="00386DD0"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Ant etiketės ir pakuotės</w:t>
      </w:r>
      <w:r>
        <w:rPr>
          <w:rFonts w:ascii="Times New Roman" w:eastAsia="Calibri" w:hAnsi="Times New Roman" w:cs="Times New Roman"/>
          <w:lang w:val="lt-LT"/>
        </w:rPr>
        <w:t xml:space="preserve"> po „Tinka iki“</w:t>
      </w:r>
      <w:r w:rsidRPr="00611DF7">
        <w:rPr>
          <w:rFonts w:ascii="Times New Roman" w:eastAsia="Calibri" w:hAnsi="Times New Roman" w:cs="Times New Roman"/>
          <w:lang w:val="lt-LT"/>
        </w:rPr>
        <w:t xml:space="preserve"> nurodytam tinkamumo laikui pasibaigus, šio vaiso vartoti negalima. Vaistas tinkamas vartoti iki paskutinės nurodyto mėnesio dienos.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Laikyti nuo +4 °C iki +30 °C temperatūroje. Negalima šaldyti ar užšaldyti.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Nevartokite šio vaisto, jei tirpalas yra drumstas arba pažeista apsauginė plėvelė. Visi uždoriai turi būti nepažeisti.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 </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p>
    <w:p w:rsidR="00386DD0" w:rsidRPr="00152A20" w:rsidRDefault="00386DD0" w:rsidP="00386DD0">
      <w:pPr>
        <w:tabs>
          <w:tab w:val="left" w:pos="3960"/>
        </w:tabs>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 xml:space="preserve">2+ </w:t>
      </w:r>
      <w:r w:rsidRPr="00152A20">
        <w:rPr>
          <w:rFonts w:ascii="Times New Roman" w:hAnsi="Times New Roman"/>
          <w:lang w:val="fr-FR"/>
        </w:rPr>
        <w:tab/>
        <w:t>0,6</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rsidR="00386DD0" w:rsidRPr="00152A20" w:rsidRDefault="00386DD0" w:rsidP="00386DD0">
      <w:pPr>
        <w:numPr>
          <w:ilvl w:val="0"/>
          <w:numId w:val="11"/>
        </w:numPr>
        <w:autoSpaceDE w:val="0"/>
        <w:autoSpaceDN w:val="0"/>
        <w:adjustRightInd w:val="0"/>
        <w:spacing w:after="0" w:line="240" w:lineRule="auto"/>
        <w:ind w:left="36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w:t>
      </w:r>
    </w:p>
    <w:p w:rsidR="00386DD0" w:rsidRPr="00611DF7" w:rsidRDefault="00386DD0" w:rsidP="00386DD0">
      <w:pPr>
        <w:numPr>
          <w:ilvl w:val="0"/>
          <w:numId w:val="11"/>
        </w:numPr>
        <w:autoSpaceDE w:val="0"/>
        <w:autoSpaceDN w:val="0"/>
        <w:adjustRightInd w:val="0"/>
        <w:spacing w:after="0" w:line="240" w:lineRule="auto"/>
        <w:ind w:left="36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rsidR="00386DD0" w:rsidRPr="00152A20" w:rsidRDefault="00386DD0" w:rsidP="00386DD0">
      <w:pPr>
        <w:numPr>
          <w:ilvl w:val="0"/>
          <w:numId w:val="11"/>
        </w:numPr>
        <w:autoSpaceDE w:val="0"/>
        <w:autoSpaceDN w:val="0"/>
        <w:adjustRightInd w:val="0"/>
        <w:spacing w:after="0" w:line="240" w:lineRule="auto"/>
        <w:ind w:left="360"/>
        <w:rPr>
          <w:rFonts w:ascii="Times New Roman" w:hAnsi="Times New Roman"/>
          <w:lang w:val="fr-FR"/>
        </w:rPr>
      </w:pPr>
      <w:r w:rsidRPr="00611DF7">
        <w:rPr>
          <w:rFonts w:ascii="Times New Roman" w:eastAsia="Calibri" w:hAnsi="Times New Roman" w:cs="Times New Roman"/>
          <w:lang w:val="lt-LT"/>
        </w:rPr>
        <w:t>injekcinis vanduo.</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rsidR="00386DD0" w:rsidRPr="00152A20" w:rsidRDefault="00386DD0" w:rsidP="00386DD0">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perplėšus perplėšiamąjį uždorį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rsidR="00386DD0" w:rsidRPr="00152A20" w:rsidRDefault="00386DD0" w:rsidP="00386DD0">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rsidR="00386DD0" w:rsidRPr="007A0D89" w:rsidRDefault="00386DD0" w:rsidP="00386DD0">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Vantive</w:t>
      </w:r>
      <w:proofErr w:type="spellEnd"/>
      <w:r w:rsidRPr="007A0D89">
        <w:rPr>
          <w:rFonts w:ascii="Times New Roman" w:hAnsi="Times New Roman" w:cs="Times New Roman"/>
        </w:rPr>
        <w:t xml:space="preserve"> Belgium SRL</w:t>
      </w:r>
    </w:p>
    <w:p w:rsidR="00386DD0" w:rsidRPr="007A0D89" w:rsidRDefault="00386DD0" w:rsidP="00386DD0">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 xml:space="preserve">Boulevard </w:t>
      </w:r>
      <w:proofErr w:type="spellStart"/>
      <w:r w:rsidRPr="007A0D89">
        <w:rPr>
          <w:rFonts w:ascii="Times New Roman" w:hAnsi="Times New Roman" w:cs="Times New Roman"/>
        </w:rPr>
        <w:t>d'Angleterre</w:t>
      </w:r>
      <w:proofErr w:type="spellEnd"/>
      <w:r w:rsidRPr="007A0D89">
        <w:rPr>
          <w:rFonts w:ascii="Times New Roman" w:hAnsi="Times New Roman" w:cs="Times New Roman"/>
        </w:rPr>
        <w:t xml:space="preserve"> 2</w:t>
      </w:r>
    </w:p>
    <w:p w:rsidR="00386DD0" w:rsidRPr="007A0D89" w:rsidRDefault="00386DD0" w:rsidP="00386DD0">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1420 Braine-</w:t>
      </w:r>
      <w:proofErr w:type="spellStart"/>
      <w:r w:rsidRPr="007A0D89">
        <w:rPr>
          <w:rFonts w:ascii="Times New Roman" w:hAnsi="Times New Roman" w:cs="Times New Roman"/>
        </w:rPr>
        <w:t>l'Alleud</w:t>
      </w:r>
      <w:proofErr w:type="spellEnd"/>
    </w:p>
    <w:p w:rsidR="00386DD0" w:rsidRDefault="00386DD0" w:rsidP="00386DD0">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Belgija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 xml:space="preserve">.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rsidR="00386DD0"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0503" w:rsidRDefault="00386DD0" w:rsidP="00386DD0">
      <w:pPr>
        <w:autoSpaceDE w:val="0"/>
        <w:autoSpaceDN w:val="0"/>
        <w:adjustRightInd w:val="0"/>
        <w:spacing w:after="0" w:line="240" w:lineRule="auto"/>
        <w:rPr>
          <w:rFonts w:ascii="Times New Roman" w:eastAsia="Calibri" w:hAnsi="Times New Roman" w:cs="Times New Roman"/>
          <w:lang w:val="lt-LT"/>
        </w:rPr>
      </w:pPr>
      <w:r w:rsidRPr="00610503">
        <w:rPr>
          <w:rFonts w:ascii="Times New Roman" w:eastAsia="Calibri" w:hAnsi="Times New Roman" w:cs="Times New Roman"/>
          <w:lang w:val="lt-LT"/>
        </w:rPr>
        <w:t>arba</w:t>
      </w:r>
    </w:p>
    <w:p w:rsidR="00386DD0" w:rsidRPr="00610503"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Default="00386DD0" w:rsidP="00386DD0">
      <w:pPr>
        <w:tabs>
          <w:tab w:val="left" w:pos="1620"/>
        </w:tabs>
        <w:spacing w:after="0" w:line="240" w:lineRule="auto"/>
        <w:rPr>
          <w:rFonts w:ascii="Times New Roman" w:eastAsia="Calibri" w:hAnsi="Times New Roman" w:cs="Times New Roman"/>
        </w:rPr>
      </w:pPr>
      <w:proofErr w:type="spellStart"/>
      <w:r w:rsidRPr="00B630AB">
        <w:rPr>
          <w:rFonts w:ascii="Times New Roman" w:eastAsia="Times New Roman" w:hAnsi="Times New Roman" w:cs="Times New Roman"/>
          <w:lang w:val="lt-LT"/>
        </w:rPr>
        <w:t>Vantive</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Manufacturing</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Limited</w:t>
      </w:r>
      <w:proofErr w:type="spellEnd"/>
      <w:r w:rsidRPr="00610503">
        <w:rPr>
          <w:rFonts w:ascii="Times New Roman" w:eastAsia="Calibri" w:hAnsi="Times New Roman" w:cs="Times New Roman"/>
        </w:rPr>
        <w:t xml:space="preserve">, </w:t>
      </w:r>
    </w:p>
    <w:p w:rsidR="00386DD0" w:rsidRPr="00610503" w:rsidRDefault="00386DD0" w:rsidP="00386DD0">
      <w:pPr>
        <w:tabs>
          <w:tab w:val="left" w:pos="1620"/>
        </w:tabs>
        <w:spacing w:after="0" w:line="240" w:lineRule="auto"/>
        <w:rPr>
          <w:rFonts w:ascii="Times New Roman" w:eastAsia="Calibri" w:hAnsi="Times New Roman" w:cs="Times New Roman"/>
        </w:rPr>
      </w:pPr>
      <w:proofErr w:type="spellStart"/>
      <w:r w:rsidRPr="00610503">
        <w:rPr>
          <w:rFonts w:ascii="Times New Roman" w:eastAsia="Calibri" w:hAnsi="Times New Roman" w:cs="Times New Roman"/>
        </w:rPr>
        <w:t>Moneen</w:t>
      </w:r>
      <w:proofErr w:type="spellEnd"/>
      <w:r w:rsidRPr="00610503">
        <w:rPr>
          <w:rFonts w:ascii="Times New Roman" w:eastAsia="Calibri" w:hAnsi="Times New Roman" w:cs="Times New Roman"/>
        </w:rPr>
        <w:t xml:space="preserve"> Road, </w:t>
      </w:r>
      <w:proofErr w:type="spellStart"/>
      <w:r w:rsidRPr="00610503">
        <w:rPr>
          <w:rFonts w:ascii="Times New Roman" w:eastAsia="Calibri" w:hAnsi="Times New Roman" w:cs="Times New Roman"/>
        </w:rPr>
        <w:t>Castlebar</w:t>
      </w:r>
      <w:proofErr w:type="spellEnd"/>
      <w:r w:rsidRPr="00610503">
        <w:rPr>
          <w:rFonts w:ascii="Times New Roman" w:eastAsia="Calibri" w:hAnsi="Times New Roman" w:cs="Times New Roman"/>
        </w:rPr>
        <w:t xml:space="preserve">, County Mayo, F23 XR63, </w:t>
      </w:r>
      <w:proofErr w:type="spellStart"/>
      <w:r w:rsidRPr="00610503">
        <w:rPr>
          <w:rFonts w:ascii="Times New Roman" w:eastAsia="Calibri" w:hAnsi="Times New Roman" w:cs="Times New Roman"/>
        </w:rPr>
        <w:t>Airija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610503">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Pr="00611DF7">
        <w:rPr>
          <w:rFonts w:ascii="Times New Roman" w:eastAsia="Times New Roman" w:hAnsi="Times New Roman" w:cs="Times New Roman"/>
          <w:b/>
          <w:snapToGrid w:val="0"/>
          <w:szCs w:val="20"/>
          <w:lang w:val="lt-LT"/>
        </w:rPr>
        <w:t>registruotas tokiais pavadinimais</w:t>
      </w:r>
      <w:r w:rsidRPr="00611DF7">
        <w:rPr>
          <w:rFonts w:ascii="Times New Roman" w:eastAsia="Times New Roman" w:hAnsi="Times New Roman" w:cs="Times New Roman"/>
          <w:snapToGrid w:val="0"/>
          <w:szCs w:val="20"/>
          <w:lang w:val="lt-LT"/>
        </w:rPr>
        <w:t>:</w:t>
      </w:r>
    </w:p>
    <w:p w:rsidR="00386DD0" w:rsidRPr="00611DF7" w:rsidRDefault="00386DD0" w:rsidP="00386DD0">
      <w:pPr>
        <w:tabs>
          <w:tab w:val="left" w:pos="2880"/>
        </w:tabs>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tabs>
          <w:tab w:val="left" w:pos="2880"/>
        </w:tabs>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tabs>
          <w:tab w:val="left" w:pos="2880"/>
        </w:tabs>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2025-02-03.</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7"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rsidR="00386DD0" w:rsidRPr="00611DF7" w:rsidRDefault="00386DD0" w:rsidP="00386DD0">
      <w:pPr>
        <w:numPr>
          <w:ilvl w:val="12"/>
          <w:numId w:val="0"/>
        </w:numPr>
        <w:spacing w:after="0" w:line="240" w:lineRule="auto"/>
        <w:ind w:right="-2"/>
        <w:rPr>
          <w:rFonts w:ascii="Times New Roman" w:eastAsia="Times New Roman" w:hAnsi="Times New Roman" w:cs="Times New Roman"/>
          <w:snapToGrid w:val="0"/>
          <w:szCs w:val="24"/>
          <w:lang w:val="lt-LT"/>
        </w:rPr>
      </w:pPr>
    </w:p>
    <w:p w:rsidR="00386DD0" w:rsidRPr="00611DF7" w:rsidRDefault="00386DD0" w:rsidP="00386DD0">
      <w:pPr>
        <w:tabs>
          <w:tab w:val="left" w:pos="1620"/>
        </w:tabs>
        <w:spacing w:after="0" w:line="240" w:lineRule="auto"/>
        <w:rPr>
          <w:rFonts w:ascii="Times New Roman" w:eastAsia="Calibri" w:hAnsi="Times New Roman" w:cs="Times New Roman"/>
          <w:highlight w:val="yellow"/>
          <w:lang w:val="lt-LT"/>
        </w:rPr>
      </w:pPr>
      <w:r w:rsidRPr="00152A20">
        <w:rPr>
          <w:rFonts w:ascii="Calibri" w:hAnsi="Calibri"/>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Skysčių disbalanso atveju, klinikinę būseną reikia atidžiai stebėti ir būtina atstatyti skysčių balansą: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Įspėjimai: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negalima vartoti pacientams, kuriems nustatyta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Būtina stebėti kalio koncentraciją serume prieš ir per </w:t>
      </w:r>
      <w:proofErr w:type="spellStart"/>
      <w:r w:rsidRPr="00611DF7">
        <w:rPr>
          <w:rFonts w:ascii="Times New Roman" w:eastAsia="Calibri" w:hAnsi="Times New Roman" w:cs="Times New Roman"/>
          <w:lang w:val="lt-LT"/>
        </w:rPr>
        <w:t>hemofiltravimo</w:t>
      </w:r>
      <w:proofErr w:type="spellEnd"/>
      <w:r w:rsidRPr="00611DF7">
        <w:rPr>
          <w:rFonts w:ascii="Times New Roman" w:eastAsia="Calibri" w:hAnsi="Times New Roman" w:cs="Times New Roman"/>
          <w:lang w:val="lt-LT"/>
        </w:rPr>
        <w:t xml:space="preserve"> ir (arba) hemodializės procedūrą.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atsiranda vartojant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kaip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xml:space="preserve">, gali prireikti vartoti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kurio sudėtyje nėra kalio, kad padidėtų kalio šalinimo greitis.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bei rūgščių ir 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it-IT"/>
        </w:rPr>
        <w:t xml:space="preserve">Kadangi Phoxilium </w:t>
      </w:r>
      <w:r w:rsidRPr="00611DF7">
        <w:rPr>
          <w:rFonts w:ascii="Times New Roman" w:eastAsia="Calibri" w:hAnsi="Times New Roman" w:cs="Times New Roman"/>
          <w:bCs/>
          <w:lang w:val="lt-LT"/>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Calibri" w:hAnsi="Times New Roman" w:cs="Times New Roman"/>
          <w:bCs/>
          <w:lang w:val="lt-LT"/>
        </w:rPr>
        <w:t>asimptominės</w:t>
      </w:r>
      <w:proofErr w:type="spellEnd"/>
      <w:r w:rsidRPr="00611DF7">
        <w:rPr>
          <w:rFonts w:ascii="Times New Roman" w:eastAsia="Calibri" w:hAnsi="Times New Roman" w:cs="Times New Roman"/>
          <w:bCs/>
          <w:lang w:val="lt-LT"/>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Calibri" w:hAnsi="Times New Roman" w:cs="Times New Roman"/>
          <w:bCs/>
          <w:lang w:val="lt-LT"/>
        </w:rPr>
        <w:t>glikemijos</w:t>
      </w:r>
      <w:proofErr w:type="spellEnd"/>
      <w:r w:rsidRPr="00611DF7">
        <w:rPr>
          <w:rFonts w:ascii="Times New Roman" w:eastAsia="Calibri" w:hAnsi="Times New Roman" w:cs="Times New Roman"/>
          <w:bCs/>
          <w:lang w:val="lt-LT"/>
        </w:rPr>
        <w:t xml:space="preserve"> kontrolę, gali prireikti taikyti kitas koreguojamąsias priemones</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Dozavimas: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Vartotinas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tūris taip pat priklausys nuo pageidaujamo gydymo intensyvumo (dozės). Vartotiną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dozę, infuzijos greitį ir kumuliacinį tūrį turi nustatyti tik gydytojas, turintis intensyvios terapijos taikymo ir ilgalaikės inkstų pakeičiamosios terapijos (IIPT) taikymo patirties.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Todėl tūrio dozė turi būti parenkama ir skiriama atsakingo gydytojo.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pakaitinio tirpalo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Paprastai suaugusiesiems taikomas IIPT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ir pakaitinio tirpalo) bendras visas tėkmės greitis yra maždaug 2000–2500 ml/val., ir tai atitinka maždaug 48–60 l kasdien skiriamo pakaitinio skysčio tūrio.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it-IT"/>
        </w:rPr>
        <w:t>Vaikų populiacija: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Vaikams (nuo naujagimių iki paauglių iki 18 metų amžiaus) tėkmės greičio intervalas, kai tirpalas skiriamas kaip pakaitinis </w:t>
      </w:r>
      <w:proofErr w:type="spellStart"/>
      <w:r w:rsidRPr="00611DF7">
        <w:rPr>
          <w:rFonts w:ascii="Times New Roman" w:eastAsia="Calibri" w:hAnsi="Times New Roman" w:cs="Times New Roman"/>
          <w:bCs/>
          <w:lang w:val="lt-LT"/>
        </w:rPr>
        <w:t>hemofiltracijai</w:t>
      </w:r>
      <w:proofErr w:type="spellEnd"/>
      <w:r w:rsidRPr="00611DF7">
        <w:rPr>
          <w:rFonts w:ascii="Times New Roman" w:eastAsia="Calibri" w:hAnsi="Times New Roman" w:cs="Times New Roman"/>
          <w:bCs/>
          <w:lang w:val="lt-LT"/>
        </w:rPr>
        <w:t xml:space="preserve">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ir kaip dializės tirpalas (</w:t>
      </w:r>
      <w:proofErr w:type="spellStart"/>
      <w:r w:rsidRPr="00611DF7">
        <w:rPr>
          <w:rFonts w:ascii="Times New Roman" w:eastAsia="Calibri" w:hAnsi="Times New Roman" w:cs="Times New Roman"/>
          <w:bCs/>
          <w:lang w:val="lt-LT"/>
        </w:rPr>
        <w:t>dializatas</w:t>
      </w:r>
      <w:proofErr w:type="spellEnd"/>
      <w:r w:rsidRPr="00611DF7">
        <w:rPr>
          <w:rFonts w:ascii="Times New Roman" w:eastAsia="Calibri" w:hAnsi="Times New Roman" w:cs="Times New Roman"/>
          <w:bCs/>
          <w:lang w:val="lt-LT"/>
        </w:rPr>
        <w:t xml:space="preserve">) nuolatinei hemodializei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yra 1000–4000 ml/val./1,73 m</w:t>
      </w:r>
      <w:r w:rsidRPr="00611DF7">
        <w:rPr>
          <w:rFonts w:ascii="Times New Roman" w:eastAsia="Calibri" w:hAnsi="Times New Roman" w:cs="Times New Roman"/>
          <w:bCs/>
          <w:vertAlign w:val="superscript"/>
          <w:lang w:val="lt-LT"/>
        </w:rPr>
        <w:t>2</w:t>
      </w:r>
      <w:r w:rsidRPr="00611DF7">
        <w:rPr>
          <w:rFonts w:ascii="Times New Roman" w:eastAsia="Calibri" w:hAnsi="Times New Roman" w:cs="Times New Roman"/>
          <w:bCs/>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Paaugliams (12–18 metų amžiaus) taikoma rekomenduojama suaugusiųjų dozė, jei apskaičiuota vaikų dozė viršija didžiausią suaugusiųjų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pat vartojimą perplėšę perplėšiamąjį uždorį supilkite skystį iš mažojo skyriaus A į didžiojo skyriaus B skystį. Paruoštas tirpalas turi būti bespalvis ir skaidrus.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perplėšiamasis uždoris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b/>
          <w:lang w:val="it-IT"/>
        </w:rPr>
        <w:t xml:space="preserve"> </w:t>
      </w:r>
      <w:r w:rsidRPr="00DC3C1F">
        <w:rPr>
          <w:rFonts w:ascii="Times New Roman" w:eastAsia="Calibri" w:hAnsi="Times New Roman" w:cs="Times New Roman"/>
          <w:lang w:val="it-IT"/>
        </w:rPr>
        <w:t>Priedus pridėti ir sumaišyti visada būtina prieš prijungiant tirpalo maišelį prie ekstrakorporinės apytakos.</w:t>
      </w:r>
      <w:r>
        <w:rPr>
          <w:rFonts w:ascii="Times New Roman" w:eastAsia="Calibri" w:hAnsi="Times New Roman" w:cs="Times New Roman"/>
          <w:b/>
          <w:lang w:val="it-IT"/>
        </w:rPr>
        <w:t xml:space="preserve"> </w:t>
      </w:r>
      <w:r w:rsidRPr="00611DF7">
        <w:rPr>
          <w:rFonts w:ascii="Times New Roman" w:eastAsia="Calibri" w:hAnsi="Times New Roman" w:cs="Times New Roman"/>
          <w:b/>
          <w:lang w:val="lt-LT"/>
        </w:rPr>
        <w:t>Tirpalą reikia nedelsiant vartoti.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abiem rankomis laikydami mažąjį skyrių ir spausdami tol, kol perplėšiamajame uždoryje atsiras anga tarp dviejų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Abiem rankomis spauskite didįjį skyrių tol, kol perplėšiamasis uždoris tarp dviejų skyrių bus visiškai atidarytas (žr. II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 xml:space="preserve">III </w:t>
      </w:r>
      <w:r w:rsidRPr="00611DF7">
        <w:rPr>
          <w:rFonts w:ascii="Times New Roman" w:eastAsia="Calibri" w:hAnsi="Times New Roman" w:cs="Times New Roman"/>
          <w:lang w:val="lt-LT"/>
        </w:rPr>
        <w:tab/>
        <w:t>Užtikrinkite tirpalo visišką susimaišymą, atsargiai purtydami maišelį. Tirpalas dabar paruoštas vartoti ir galima jį kabinti ant įrangos (žr. III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IV.a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nuimkite dangtelį, jį pasukdami ir atitraukdami, ir pastumdami bei pasukdami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Įsitikinkite, kad jungtis yra sandari ir tvirta. Dabar jungtis atvira. Patikrinkite, ar skystis laisvai teka (žr. </w:t>
      </w:r>
      <w:proofErr w:type="spellStart"/>
      <w:r w:rsidRPr="00611DF7">
        <w:rPr>
          <w:rFonts w:ascii="Times New Roman" w:eastAsia="Calibri" w:hAnsi="Times New Roman" w:cs="Times New Roman"/>
          <w:lang w:val="lt-LT"/>
        </w:rPr>
        <w:t>IV.a</w:t>
      </w:r>
      <w:proofErr w:type="spellEnd"/>
      <w:r w:rsidRPr="00611DF7">
        <w:rPr>
          <w:rFonts w:ascii="Times New Roman" w:eastAsia="Calibri" w:hAnsi="Times New Roman" w:cs="Times New Roman"/>
          <w:lang w:val="lt-LT"/>
        </w:rPr>
        <w:t xml:space="preserve"> pav. toliau). </w:t>
      </w:r>
      <w:r w:rsidRPr="00611DF7">
        <w:rPr>
          <w:rFonts w:ascii="Times New Roman" w:eastAsia="Calibri" w:hAnsi="Times New Roman" w:cs="Times New Roman"/>
          <w:lang w:val="lt-LT"/>
        </w:rPr>
        <w:br/>
        <w:t xml:space="preserve">Dializės arba pakaitinę liniją atjungus nuo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jungtis uždaroma ir skystis nustoja tekėti.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anga yra </w:t>
      </w:r>
      <w:proofErr w:type="spellStart"/>
      <w:r w:rsidRPr="00611DF7">
        <w:rPr>
          <w:rFonts w:ascii="Times New Roman" w:eastAsia="Calibri" w:hAnsi="Times New Roman" w:cs="Times New Roman"/>
          <w:lang w:val="lt-LT"/>
        </w:rPr>
        <w:t>beadatė</w:t>
      </w:r>
      <w:proofErr w:type="spellEnd"/>
      <w:r w:rsidRPr="00611DF7">
        <w:rPr>
          <w:rFonts w:ascii="Times New Roman" w:eastAsia="Calibri" w:hAnsi="Times New Roman" w:cs="Times New Roman"/>
          <w:lang w:val="lt-LT"/>
        </w:rPr>
        <w:t xml:space="preserve"> tamponu valoma anga.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IV.b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Pr="002C447A">
        <w:rPr>
          <w:rFonts w:ascii="Times New Roman" w:eastAsia="Calibri" w:hAnsi="Times New Roman" w:cs="Times New Roman"/>
          <w:lang w:val="lt-LT"/>
        </w:rPr>
        <w:t xml:space="preserve">Injekcijų angą galima valyti </w:t>
      </w:r>
      <w:r>
        <w:rPr>
          <w:rFonts w:ascii="Times New Roman" w:eastAsia="Calibri" w:hAnsi="Times New Roman" w:cs="Times New Roman"/>
          <w:lang w:val="lt-LT"/>
        </w:rPr>
        <w:t xml:space="preserve">steriliu </w:t>
      </w:r>
      <w:r w:rsidRPr="002C447A">
        <w:rPr>
          <w:rFonts w:ascii="Times New Roman" w:eastAsia="Calibri" w:hAnsi="Times New Roman" w:cs="Times New Roman"/>
          <w:lang w:val="lt-LT"/>
        </w:rPr>
        <w:t xml:space="preserve">tamponu.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IV.b</w:t>
      </w:r>
      <w:proofErr w:type="spellEnd"/>
      <w:r w:rsidRPr="00611DF7">
        <w:rPr>
          <w:rFonts w:ascii="Times New Roman" w:eastAsia="Calibri" w:hAnsi="Times New Roman" w:cs="Times New Roman"/>
          <w:lang w:val="lt-LT"/>
        </w:rPr>
        <w:t xml:space="preserve">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D974D7">
        <w:rPr>
          <w:rFonts w:ascii="Times New Roman" w:hAnsi="Times New Roman"/>
          <w:noProof/>
          <w:lang w:val="lt-LT" w:eastAsia="lt-LT"/>
        </w:rPr>
        <w:drawing>
          <wp:inline distT="0" distB="0" distL="0" distR="0" wp14:anchorId="4451341C" wp14:editId="7A48F806">
            <wp:extent cx="596265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rsidR="00386DD0" w:rsidRPr="00152A20" w:rsidRDefault="00386DD0" w:rsidP="00386DD0">
      <w:pPr>
        <w:snapToGrid w:val="0"/>
        <w:spacing w:after="0" w:line="240" w:lineRule="auto"/>
        <w:rPr>
          <w:rFonts w:ascii="Times New Roman" w:hAnsi="Times New Roman"/>
          <w:lang w:val="lt-LT"/>
        </w:rPr>
      </w:pP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lang w:val="lt-LT"/>
        </w:rPr>
        <w:br w:type="page"/>
      </w:r>
      <w:r w:rsidRPr="00611DF7">
        <w:rPr>
          <w:rFonts w:ascii="Times New Roman" w:eastAsia="Calibri" w:hAnsi="Times New Roman" w:cs="Times New Roman"/>
          <w:b/>
          <w:lang w:val="lt-LT"/>
        </w:rPr>
        <w:t>Pakuotės lapelis: informacija vartotojui</w:t>
      </w: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 fosfato hemodializės</w:t>
      </w:r>
      <w:r w:rsidRPr="00611DF7">
        <w:rPr>
          <w:rFonts w:ascii="Times New Roman" w:eastAsia="Calibri" w:hAnsi="Times New Roman" w:cs="Times New Roman"/>
          <w:lang w:val="lt-LT"/>
        </w:rPr>
        <w:t>/</w:t>
      </w:r>
      <w:r w:rsidRPr="00611DF7">
        <w:rPr>
          <w:rFonts w:ascii="Times New Roman" w:eastAsia="Calibri" w:hAnsi="Times New Roman" w:cs="Times New Roman"/>
          <w:b/>
          <w:lang w:val="lt-LT"/>
        </w:rPr>
        <w:t xml:space="preserve">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Neišmeskite šio lapelio, nes vėl gali prireikti jį perskaityti.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Žr. 4 skyrių.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balansą, kurį sukelia inkstų pažeidimas.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nepertraukiama inkstų pakaitinė terapija, skiriamas, norint iš kraujo pašalinti medžiagų apykaitos atliekas, kai neveikia inkstai.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DC3C1F">
        <w:rPr>
          <w:rFonts w:ascii="Times New Roman" w:eastAsia="Calibri" w:hAnsi="Times New Roman" w:cs="Times New Roman"/>
          <w:lang w:val="lt-LT"/>
        </w:rPr>
        <w:t>Phoxilium</w:t>
      </w:r>
      <w:proofErr w:type="spellEnd"/>
      <w:r w:rsidRPr="00DC3C1F">
        <w:rPr>
          <w:rFonts w:ascii="Times New Roman" w:eastAsia="Calibri" w:hAnsi="Times New Roman" w:cs="Times New Roman"/>
          <w:lang w:val="lt-LT"/>
        </w:rPr>
        <w:t xml:space="preserve"> taip pat gali būti vartojamas apsinuodijimo vaistais atvejais arba apsinuodijimų metu, kai nuodai </w:t>
      </w:r>
      <w:proofErr w:type="spellStart"/>
      <w:r w:rsidRPr="00DC3C1F">
        <w:rPr>
          <w:rFonts w:ascii="Times New Roman" w:eastAsia="Calibri" w:hAnsi="Times New Roman" w:cs="Times New Roman"/>
          <w:lang w:val="lt-LT"/>
        </w:rPr>
        <w:t>dializuojami</w:t>
      </w:r>
      <w:proofErr w:type="spellEnd"/>
      <w:r w:rsidRPr="00DC3C1F">
        <w:rPr>
          <w:rFonts w:ascii="Times New Roman" w:eastAsia="Calibri" w:hAnsi="Times New Roman" w:cs="Times New Roman"/>
          <w:lang w:val="lt-LT"/>
        </w:rPr>
        <w:t xml:space="preserve"> arba pašalinami per membraną.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Cs/>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iCs/>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i/>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lang w:val="lt-LT"/>
        </w:rPr>
        <w:t>), jei yra didelė kraujavimo rizika.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152A20" w:rsidRDefault="00386DD0" w:rsidP="00386DD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CRRT.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w:t>
      </w:r>
      <w:bookmarkStart w:id="0" w:name="OLE_LINK8"/>
      <w:bookmarkStart w:id="1" w:name="OLE_LINK9"/>
      <w:r w:rsidRPr="00611DF7">
        <w:rPr>
          <w:rFonts w:ascii="Times New Roman" w:eastAsia="Calibri" w:hAnsi="Times New Roman" w:cs="Times New Roman"/>
          <w:lang w:val="lt-LT"/>
        </w:rPr>
        <w:t>kitų vaistų koncentracija gali paveikti gydymą</w:t>
      </w:r>
      <w:bookmarkEnd w:id="0"/>
      <w:bookmarkEnd w:id="1"/>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xml:space="preserve">, nes jie gali padidinti didelės kalcio koncentracijos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hiperkalcemija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bikarbonatą</w:t>
      </w:r>
      <w:proofErr w:type="spellEnd"/>
      <w:r w:rsidRPr="00611DF7">
        <w:rPr>
          <w:rFonts w:ascii="Times New Roman" w:eastAsia="Calibri" w:hAnsi="Times New Roman" w:cs="Times New Roman"/>
          <w:lang w:val="lt-LT"/>
        </w:rPr>
        <w:t xml:space="preserve">, nes tai gali padidinti vandenilio karbonato pertekliaus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metabolinė</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alkalozė</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 xml:space="preserve">; </w:t>
      </w:r>
    </w:p>
    <w:p w:rsidR="00386DD0" w:rsidRPr="00611DF7" w:rsidRDefault="00386DD0" w:rsidP="00386DD0">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bCs/>
          <w:lang w:val="lt-LT"/>
        </w:rPr>
      </w:pPr>
      <w:r w:rsidRPr="00611DF7">
        <w:rPr>
          <w:rFonts w:ascii="Times New Roman" w:eastAsia="Calibri" w:hAnsi="Times New Roman" w:cs="Times New Roman"/>
          <w:bCs/>
          <w:lang w:val="lt-LT"/>
        </w:rPr>
        <w:t>jei citratas vartojamas kaip antikoaguliantas, nes jis gali sumažinti kalcio koncentraciją plazmoje.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Vartojimo instrukcijų žr. skyriuje</w:t>
      </w:r>
      <w:r>
        <w:rPr>
          <w:rFonts w:ascii="Times New Roman" w:eastAsia="Calibri" w:hAnsi="Times New Roman" w:cs="Times New Roman"/>
          <w:lang w:val="lt-LT"/>
        </w:rPr>
        <w:t xml:space="preserve"> </w:t>
      </w:r>
      <w:r w:rsidRPr="00611DF7">
        <w:rPr>
          <w:rFonts w:ascii="Times New Roman" w:eastAsia="Calibri" w:hAnsi="Times New Roman" w:cs="Times New Roman"/>
          <w:lang w:val="lt-LT"/>
        </w:rPr>
        <w:t>„Žemiau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Jei suvartojote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noProof/>
          <w:lang w:val="lt-LT"/>
        </w:rPr>
        <w:t>Šis vaistas, k</w:t>
      </w:r>
      <w:proofErr w:type="spellStart"/>
      <w:r w:rsidRPr="00611DF7">
        <w:rPr>
          <w:rFonts w:ascii="Times New Roman" w:eastAsia="Calibri" w:hAnsi="Times New Roman" w:cs="Times New Roman"/>
          <w:lang w:val="lt-LT"/>
        </w:rPr>
        <w:t>aip</w:t>
      </w:r>
      <w:proofErr w:type="spellEnd"/>
      <w:r w:rsidRPr="00611DF7">
        <w:rPr>
          <w:rFonts w:ascii="Times New Roman" w:eastAsia="Calibri" w:hAnsi="Times New Roman" w:cs="Times New Roman"/>
          <w:lang w:val="lt-LT"/>
        </w:rPr>
        <w:t xml:space="preserve"> ir kiti gali sukelti šalutinį poveikį, nors jis pasireiškia ne visiems žmonėms.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rsidR="00386DD0" w:rsidRPr="00611DF7" w:rsidRDefault="00386DD0" w:rsidP="00386DD0">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sukelti gydymas dialize, tokių kaip:</w:t>
      </w:r>
    </w:p>
    <w:p w:rsidR="00386DD0" w:rsidRPr="00611DF7" w:rsidRDefault="00386DD0" w:rsidP="00386DD0">
      <w:pPr>
        <w:numPr>
          <w:ilvl w:val="0"/>
          <w:numId w:val="6"/>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noProof/>
          <w:lang w:val="lt-LT"/>
        </w:rPr>
      </w:pPr>
      <w:r w:rsidRPr="00611DF7">
        <w:rPr>
          <w:rFonts w:ascii="Times New Roman" w:eastAsia="Calibri" w:hAnsi="Times New Roman" w:cs="Times New Roman"/>
          <w:b/>
          <w:noProof/>
          <w:lang w:val="lt-LT"/>
        </w:rPr>
        <w:t>Pranešimas apie šalutinį poveikį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Pr>
          <w:rFonts w:ascii="Times New Roman" w:eastAsia="Calibri" w:hAnsi="Times New Roman" w:cs="Times New Roman"/>
          <w:lang w:val="lt-LT"/>
        </w:rPr>
        <w:t>u</w:t>
      </w:r>
      <w:r w:rsidRPr="00611DF7">
        <w:rPr>
          <w:rFonts w:ascii="Times New Roman" w:eastAsia="Calibri" w:hAnsi="Times New Roman" w:cs="Times New Roman"/>
          <w:lang w:val="lt-LT"/>
        </w:rPr>
        <w:t xml:space="preserve">i. </w:t>
      </w:r>
      <w:r w:rsidRPr="006640D5">
        <w:rPr>
          <w:rFonts w:ascii="Times New Roman" w:eastAsia="Calibri" w:hAnsi="Times New Roman" w:cs="Times New Roman"/>
          <w:noProof/>
          <w:lang w:val="lt-LT"/>
        </w:rPr>
        <w:t xml:space="preserve">Pranešimą apie šalutinį poveikį galite užpildyti ir pateikti Valstybinės vaistų kontrolės tarnybos prie Lietuvos Respublikos sveikatos apsaugos ministerijos tinklalapyje </w:t>
      </w:r>
      <w:r w:rsidRPr="006640D5">
        <w:rPr>
          <w:rFonts w:ascii="Times New Roman" w:eastAsia="Calibri" w:hAnsi="Times New Roman" w:cs="Times New Roman"/>
          <w:noProof/>
          <w:u w:val="single"/>
          <w:lang w:val="lt-LT"/>
        </w:rPr>
        <w:t>https://vvkt.lrv.lt/lt/</w:t>
      </w:r>
      <w:r w:rsidRPr="006640D5">
        <w:rPr>
          <w:rFonts w:ascii="Times New Roman" w:eastAsia="Calibri" w:hAnsi="Times New Roman" w:cs="Times New Roman"/>
          <w:noProof/>
          <w:lang w:val="lt-LT"/>
        </w:rPr>
        <w:t xml:space="preserve"> nurodytais būdais arba paskambinti nemokamu telefonu 8 800 73 568. Pranešdami apie šalutinį poveikį galite mums padėti gauti daugiau informacijos apie šio vaisto saugumą.</w:t>
      </w:r>
    </w:p>
    <w:p w:rsidR="00386DD0"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Ant etiketės ir pakuotės</w:t>
      </w:r>
      <w:r>
        <w:rPr>
          <w:rFonts w:ascii="Times New Roman" w:eastAsia="Calibri" w:hAnsi="Times New Roman" w:cs="Times New Roman"/>
          <w:lang w:val="lt-LT"/>
        </w:rPr>
        <w:t xml:space="preserve"> po „Tinka iki“</w:t>
      </w:r>
      <w:r w:rsidRPr="00611DF7">
        <w:rPr>
          <w:rFonts w:ascii="Times New Roman" w:eastAsia="Calibri" w:hAnsi="Times New Roman" w:cs="Times New Roman"/>
          <w:lang w:val="lt-LT"/>
        </w:rPr>
        <w:t xml:space="preserve"> nurodytam tinkamumo laikui pasibaigus, šio vaisto vartoti negalima. Vaistas tinkamas vartoti iki paskutinės nurodyto mėnesio dienos.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Laikyti nuo +4 °C iki +30 °C temperatūroje. Negalima šaldyti ar užšaldyti.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Nevartokite šio vaisto, jei tirpalas yra drumstas arba pažeista apsauginė plėvelė. Visi uždoriai turi būti nepažeisti.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Vaistų negalima išmesti į kanalizaciją arba su buitinėmis atliekomis. Kaip išmesti nereikalingus vaistus, klauskite vaistininko. Šios priemonės padės apsaugoti aplinką.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bCs/>
          <w:i/>
          <w:iCs/>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rsidR="00386DD0" w:rsidRPr="00152A20" w:rsidRDefault="00386DD0" w:rsidP="00386DD0">
      <w:pPr>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rsidR="00386DD0" w:rsidRPr="00152A20" w:rsidRDefault="00386DD0" w:rsidP="00386DD0">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2+</w:t>
      </w:r>
      <w:r w:rsidRPr="00152A20">
        <w:rPr>
          <w:rFonts w:ascii="Times New Roman" w:hAnsi="Times New Roman"/>
          <w:lang w:val="fr-FR"/>
        </w:rPr>
        <w:tab/>
        <w:t>0,6</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rsidR="00386DD0" w:rsidRPr="00611DF7" w:rsidRDefault="00386DD0" w:rsidP="00386DD0">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rsidR="00386DD0" w:rsidRPr="00152A20" w:rsidRDefault="00386DD0" w:rsidP="00386DD0">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 </w:t>
      </w:r>
    </w:p>
    <w:p w:rsidR="00386DD0" w:rsidRPr="00611DF7" w:rsidRDefault="00386DD0" w:rsidP="00386DD0">
      <w:pPr>
        <w:numPr>
          <w:ilvl w:val="0"/>
          <w:numId w:val="7"/>
        </w:numPr>
        <w:autoSpaceDE w:val="0"/>
        <w:autoSpaceDN w:val="0"/>
        <w:adjustRightInd w:val="0"/>
        <w:spacing w:after="0" w:line="240" w:lineRule="auto"/>
        <w:ind w:left="540" w:hanging="54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rsidR="00386DD0" w:rsidRPr="00152A20" w:rsidRDefault="00386DD0" w:rsidP="00386DD0">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injekcinis vanduo.</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rsidR="00386DD0" w:rsidRPr="00152A20" w:rsidRDefault="00386DD0" w:rsidP="00386DD0">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sulaužius lūžtantį kaištelį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rsidR="00386DD0" w:rsidRPr="00152A20" w:rsidRDefault="00386DD0" w:rsidP="00386DD0">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rsidR="00386DD0" w:rsidRPr="00152A20" w:rsidRDefault="00386DD0" w:rsidP="00386DD0">
      <w:pPr>
        <w:autoSpaceDE w:val="0"/>
        <w:autoSpaceDN w:val="0"/>
        <w:adjustRightInd w:val="0"/>
        <w:spacing w:after="0" w:line="240" w:lineRule="auto"/>
        <w:rPr>
          <w:rFonts w:ascii="Times New Roman" w:hAnsi="Times New Roman"/>
          <w:lang w:val="fr-FR"/>
        </w:rPr>
      </w:pPr>
    </w:p>
    <w:p w:rsidR="00386DD0" w:rsidRPr="00152A20" w:rsidRDefault="00386DD0" w:rsidP="00386DD0">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rsidR="00386DD0" w:rsidRPr="007A0D89" w:rsidRDefault="00386DD0" w:rsidP="00386DD0">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Vantive</w:t>
      </w:r>
      <w:proofErr w:type="spellEnd"/>
      <w:r w:rsidRPr="007A0D89">
        <w:rPr>
          <w:rFonts w:ascii="Times New Roman" w:hAnsi="Times New Roman" w:cs="Times New Roman"/>
        </w:rPr>
        <w:t xml:space="preserve"> Belgium SRL</w:t>
      </w:r>
    </w:p>
    <w:p w:rsidR="00386DD0" w:rsidRPr="007A0D89" w:rsidRDefault="00386DD0" w:rsidP="00386DD0">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 xml:space="preserve">Boulevard </w:t>
      </w:r>
      <w:proofErr w:type="spellStart"/>
      <w:r w:rsidRPr="007A0D89">
        <w:rPr>
          <w:rFonts w:ascii="Times New Roman" w:hAnsi="Times New Roman" w:cs="Times New Roman"/>
        </w:rPr>
        <w:t>d'Angleterre</w:t>
      </w:r>
      <w:proofErr w:type="spellEnd"/>
      <w:r w:rsidRPr="007A0D89">
        <w:rPr>
          <w:rFonts w:ascii="Times New Roman" w:hAnsi="Times New Roman" w:cs="Times New Roman"/>
        </w:rPr>
        <w:t xml:space="preserve"> 2</w:t>
      </w:r>
    </w:p>
    <w:p w:rsidR="00386DD0" w:rsidRPr="007A0D89" w:rsidRDefault="00386DD0" w:rsidP="00386DD0">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1420 Braine-</w:t>
      </w:r>
      <w:proofErr w:type="spellStart"/>
      <w:r w:rsidRPr="007A0D89">
        <w:rPr>
          <w:rFonts w:ascii="Times New Roman" w:hAnsi="Times New Roman" w:cs="Times New Roman"/>
        </w:rPr>
        <w:t>l'Alleud</w:t>
      </w:r>
      <w:proofErr w:type="spellEnd"/>
    </w:p>
    <w:p w:rsidR="00386DD0" w:rsidRDefault="00386DD0" w:rsidP="00386DD0">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Belgija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da-DK"/>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i/>
          <w:lang w:val="it-IT"/>
        </w:rPr>
      </w:pPr>
      <w:r w:rsidRPr="00611DF7">
        <w:rPr>
          <w:rFonts w:ascii="Times New Roman" w:eastAsia="Calibri" w:hAnsi="Times New Roman" w:cs="Times New Roman"/>
          <w:i/>
          <w:lang w:val="lt-LT"/>
        </w:rPr>
        <w:t>Gamintojas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it-IT"/>
        </w:rPr>
        <w:t xml:space="preserve"> </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rsidR="00386DD0"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CF2445" w:rsidRDefault="00386DD0" w:rsidP="00386DD0">
      <w:pPr>
        <w:autoSpaceDE w:val="0"/>
        <w:autoSpaceDN w:val="0"/>
        <w:adjustRightInd w:val="0"/>
        <w:spacing w:after="0" w:line="240" w:lineRule="auto"/>
        <w:rPr>
          <w:rFonts w:ascii="Times New Roman" w:eastAsia="Calibri" w:hAnsi="Times New Roman" w:cs="Times New Roman"/>
          <w:lang w:val="lt-LT"/>
        </w:rPr>
      </w:pPr>
      <w:r w:rsidRPr="00CF2445">
        <w:rPr>
          <w:rFonts w:ascii="Times New Roman" w:eastAsia="Calibri" w:hAnsi="Times New Roman" w:cs="Times New Roman"/>
          <w:lang w:val="lt-LT"/>
        </w:rPr>
        <w:t>arba</w:t>
      </w:r>
    </w:p>
    <w:p w:rsidR="00386DD0" w:rsidRPr="00CF2445"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Default="00386DD0" w:rsidP="00386DD0">
      <w:pPr>
        <w:tabs>
          <w:tab w:val="left" w:pos="1620"/>
        </w:tabs>
        <w:spacing w:after="0" w:line="240" w:lineRule="auto"/>
        <w:rPr>
          <w:rFonts w:ascii="Times New Roman" w:eastAsia="Calibri" w:hAnsi="Times New Roman" w:cs="Times New Roman"/>
        </w:rPr>
      </w:pPr>
      <w:proofErr w:type="spellStart"/>
      <w:r w:rsidRPr="00B630AB">
        <w:rPr>
          <w:rFonts w:ascii="Times New Roman" w:eastAsia="Times New Roman" w:hAnsi="Times New Roman" w:cs="Times New Roman"/>
          <w:lang w:val="lt-LT"/>
        </w:rPr>
        <w:t>Vantive</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Manufacturing</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Limited</w:t>
      </w:r>
      <w:proofErr w:type="spellEnd"/>
      <w:r w:rsidRPr="00CF2445">
        <w:rPr>
          <w:rFonts w:ascii="Times New Roman" w:eastAsia="Calibri" w:hAnsi="Times New Roman" w:cs="Times New Roman"/>
        </w:rPr>
        <w:t xml:space="preserve">, </w:t>
      </w:r>
    </w:p>
    <w:p w:rsidR="00386DD0" w:rsidRPr="00CF2445" w:rsidRDefault="00386DD0" w:rsidP="00386DD0">
      <w:pPr>
        <w:tabs>
          <w:tab w:val="left" w:pos="1620"/>
        </w:tabs>
        <w:spacing w:after="0" w:line="240" w:lineRule="auto"/>
        <w:rPr>
          <w:rFonts w:ascii="Times New Roman" w:eastAsia="Calibri" w:hAnsi="Times New Roman" w:cs="Times New Roman"/>
        </w:rPr>
      </w:pPr>
      <w:proofErr w:type="spellStart"/>
      <w:r w:rsidRPr="00CF2445">
        <w:rPr>
          <w:rFonts w:ascii="Times New Roman" w:eastAsia="Calibri" w:hAnsi="Times New Roman" w:cs="Times New Roman"/>
        </w:rPr>
        <w:t>Moneen</w:t>
      </w:r>
      <w:proofErr w:type="spellEnd"/>
      <w:r w:rsidRPr="00CF2445">
        <w:rPr>
          <w:rFonts w:ascii="Times New Roman" w:eastAsia="Calibri" w:hAnsi="Times New Roman" w:cs="Times New Roman"/>
        </w:rPr>
        <w:t xml:space="preserve"> Road, </w:t>
      </w:r>
      <w:proofErr w:type="spellStart"/>
      <w:r w:rsidRPr="00CF2445">
        <w:rPr>
          <w:rFonts w:ascii="Times New Roman" w:eastAsia="Calibri" w:hAnsi="Times New Roman" w:cs="Times New Roman"/>
        </w:rPr>
        <w:t>Castlebar</w:t>
      </w:r>
      <w:proofErr w:type="spellEnd"/>
      <w:r w:rsidRPr="00CF2445">
        <w:rPr>
          <w:rFonts w:ascii="Times New Roman" w:eastAsia="Calibri" w:hAnsi="Times New Roman" w:cs="Times New Roman"/>
        </w:rPr>
        <w:t xml:space="preserve">, County Mayo, F23 XR63, </w:t>
      </w:r>
      <w:proofErr w:type="spellStart"/>
      <w:r w:rsidRPr="00CF2445">
        <w:rPr>
          <w:rFonts w:ascii="Times New Roman" w:eastAsia="Calibri" w:hAnsi="Times New Roman" w:cs="Times New Roman"/>
        </w:rPr>
        <w:t>Airija</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CF2445">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Pr="00611DF7">
        <w:rPr>
          <w:rFonts w:ascii="Times New Roman" w:eastAsia="Times New Roman" w:hAnsi="Times New Roman" w:cs="Times New Roman"/>
          <w:b/>
          <w:snapToGrid w:val="0"/>
          <w:szCs w:val="20"/>
          <w:lang w:val="lt-LT"/>
        </w:rPr>
        <w:t>registruotas tokiais pavadinimais</w:t>
      </w:r>
      <w:r w:rsidRPr="00611DF7">
        <w:rPr>
          <w:rFonts w:ascii="Times New Roman" w:eastAsia="Times New Roman" w:hAnsi="Times New Roman" w:cs="Times New Roman"/>
          <w:snapToGrid w:val="0"/>
          <w:szCs w:val="20"/>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2025-02-03.</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9"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rsidR="00386DD0" w:rsidRPr="00611DF7" w:rsidRDefault="00386DD0" w:rsidP="00386DD0">
      <w:pPr>
        <w:autoSpaceDE w:val="0"/>
        <w:autoSpaceDN w:val="0"/>
        <w:adjustRightInd w:val="0"/>
        <w:spacing w:after="0" w:line="240" w:lineRule="auto"/>
        <w:outlineLvl w:val="0"/>
        <w:rPr>
          <w:rFonts w:ascii="Times New Roman" w:eastAsia="Times New Roman" w:hAnsi="Times New Roman" w:cs="Times New Roman"/>
          <w:snapToGrid w:val="0"/>
          <w:szCs w:val="24"/>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r w:rsidRPr="00152A20">
        <w:rPr>
          <w:rFonts w:ascii="Calibri" w:hAnsi="Calibri"/>
          <w:lang w:val="lt-LT"/>
        </w:rPr>
        <w:t>---------------------------------------------------------------------------------------------------------------------------</w:t>
      </w: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Skysčių disbalanso atveju klinikinę būseną reikia atidžiai stebėti ir būtina atstatyti skysčių balansą: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Įspėjimai: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negalima vartoti pacientams, kuriems nustatyta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Būtina stebėti kalio koncentraciją serume prieš ir per </w:t>
      </w:r>
      <w:proofErr w:type="spellStart"/>
      <w:r w:rsidRPr="00611DF7">
        <w:rPr>
          <w:rFonts w:ascii="Times New Roman" w:eastAsia="Calibri" w:hAnsi="Times New Roman" w:cs="Times New Roman"/>
          <w:lang w:val="lt-LT"/>
        </w:rPr>
        <w:t>hemofiltravimo</w:t>
      </w:r>
      <w:proofErr w:type="spellEnd"/>
      <w:r w:rsidRPr="00611DF7">
        <w:rPr>
          <w:rFonts w:ascii="Times New Roman" w:eastAsia="Calibri" w:hAnsi="Times New Roman" w:cs="Times New Roman"/>
          <w:lang w:val="lt-LT"/>
        </w:rPr>
        <w:t xml:space="preserve"> ir (arba) hemodializės procedūrą.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atsiranda vartojant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kaip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xml:space="preserve">, gali prireikti vartoti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kurio sudėtyje nėra kalio, kad padidėtų kalio šalinimo greitis.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ir rūgščių–šarmų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it-IT"/>
        </w:rPr>
        <w:t xml:space="preserve">Kadangi Phoxilium </w:t>
      </w:r>
      <w:r w:rsidRPr="00611DF7">
        <w:rPr>
          <w:rFonts w:ascii="Times New Roman" w:eastAsia="Calibri" w:hAnsi="Times New Roman" w:cs="Times New Roman"/>
          <w:bCs/>
          <w:lang w:val="lt-LT"/>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Calibri" w:hAnsi="Times New Roman" w:cs="Times New Roman"/>
          <w:bCs/>
          <w:lang w:val="lt-LT"/>
        </w:rPr>
        <w:t>asimptominės</w:t>
      </w:r>
      <w:proofErr w:type="spellEnd"/>
      <w:r w:rsidRPr="00611DF7">
        <w:rPr>
          <w:rFonts w:ascii="Times New Roman" w:eastAsia="Calibri" w:hAnsi="Times New Roman" w:cs="Times New Roman"/>
          <w:bCs/>
          <w:lang w:val="lt-LT"/>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Calibri" w:hAnsi="Times New Roman" w:cs="Times New Roman"/>
          <w:bCs/>
          <w:lang w:val="lt-LT"/>
        </w:rPr>
        <w:t>glikemijos</w:t>
      </w:r>
      <w:proofErr w:type="spellEnd"/>
      <w:r w:rsidRPr="00611DF7">
        <w:rPr>
          <w:rFonts w:ascii="Times New Roman" w:eastAsia="Calibri" w:hAnsi="Times New Roman" w:cs="Times New Roman"/>
          <w:bCs/>
          <w:lang w:val="lt-LT"/>
        </w:rPr>
        <w:t xml:space="preserve"> kontrolę, gali prireikti taikyti kitas koreguojamąsias priemones</w:t>
      </w:r>
      <w:r w:rsidRPr="00611DF7">
        <w:rPr>
          <w:rFonts w:ascii="Times New Roman" w:eastAsia="Calibri" w:hAnsi="Times New Roman" w:cs="Times New Roman"/>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Dozavimas: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Vartotinas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tūris taip pat priklausys nuo pageidaujamo gydymo intensyvumo (dozės). Vartotiną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dozę, infuzijos greitį ir kumuliacinį tūrį turi nustatyti tik gydytojas, turintis intensyvios terapijos taikymo ir ilgalaikės inkstų pakeičiamosios terapijos (IIPT) taikymo patirties.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Todėl tūrio dozė turi būti parenkama ir skiriama atsakingo gydytojo.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pakaitinio tirpalo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Paprastai suaugusiesiems taikomas IIPT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ir pakaitinio tirpalo) bendras visas tėkmės greitis yra maždaug 2000–2500 ml/val., ir tai atitinka maždaug 48–60 l kasdien skiriamo pakaitinio skysčio tūrio.</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it-IT"/>
        </w:rPr>
        <w:t>Vaikų populiacija: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Vaikams (nuo naujagimių iki paauglių iki 18 metų amžiaus) tėkmės greičio intervalas, kai tirpalas skiriamas kaip pakaitinis </w:t>
      </w:r>
      <w:proofErr w:type="spellStart"/>
      <w:r w:rsidRPr="00611DF7">
        <w:rPr>
          <w:rFonts w:ascii="Times New Roman" w:eastAsia="Calibri" w:hAnsi="Times New Roman" w:cs="Times New Roman"/>
          <w:bCs/>
          <w:lang w:val="lt-LT"/>
        </w:rPr>
        <w:t>hemofiltracijai</w:t>
      </w:r>
      <w:proofErr w:type="spellEnd"/>
      <w:r w:rsidRPr="00611DF7">
        <w:rPr>
          <w:rFonts w:ascii="Times New Roman" w:eastAsia="Calibri" w:hAnsi="Times New Roman" w:cs="Times New Roman"/>
          <w:bCs/>
          <w:lang w:val="lt-LT"/>
        </w:rPr>
        <w:t xml:space="preserve">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ir kaip dializės tirpalas (</w:t>
      </w:r>
      <w:proofErr w:type="spellStart"/>
      <w:r w:rsidRPr="00611DF7">
        <w:rPr>
          <w:rFonts w:ascii="Times New Roman" w:eastAsia="Calibri" w:hAnsi="Times New Roman" w:cs="Times New Roman"/>
          <w:bCs/>
          <w:lang w:val="lt-LT"/>
        </w:rPr>
        <w:t>dializatas</w:t>
      </w:r>
      <w:proofErr w:type="spellEnd"/>
      <w:r w:rsidRPr="00611DF7">
        <w:rPr>
          <w:rFonts w:ascii="Times New Roman" w:eastAsia="Calibri" w:hAnsi="Times New Roman" w:cs="Times New Roman"/>
          <w:bCs/>
          <w:lang w:val="lt-LT"/>
        </w:rPr>
        <w:t xml:space="preserve">) nuolatinei hemodializei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yra 1000–4000 ml/val./1,73 m</w:t>
      </w:r>
      <w:r w:rsidRPr="00611DF7">
        <w:rPr>
          <w:rFonts w:ascii="Times New Roman" w:eastAsia="Calibri" w:hAnsi="Times New Roman" w:cs="Times New Roman"/>
          <w:bCs/>
          <w:vertAlign w:val="superscript"/>
          <w:lang w:val="lt-LT"/>
        </w:rPr>
        <w:t>2</w:t>
      </w:r>
      <w:r w:rsidRPr="00611DF7">
        <w:rPr>
          <w:rFonts w:ascii="Times New Roman" w:eastAsia="Calibri" w:hAnsi="Times New Roman" w:cs="Times New Roman"/>
          <w:bCs/>
          <w:lang w:val="lt-LT"/>
        </w:rPr>
        <w:t>.</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Paaugliams (12–18 metų amžiaus) taikoma rekomenduojama suaugusiųjų dozė, jei apskaičiuota vaikų dozė viršija didžiausią suaugusiųjų dozę.</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p>
    <w:p w:rsidR="00386DD0" w:rsidRPr="00611DF7" w:rsidRDefault="00386DD0" w:rsidP="00386DD0">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Prieš pat vartojimą nulaužę lūžtantį kaištelį supilkite skystį iš mažojo skyriaus A į didžiojo skyriaus B skystį. Paruoštas tirpalas turi būti bespalvis ir skaidrus.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lūžtantis kaištelis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lang w:val="it-IT"/>
        </w:rPr>
        <w:t xml:space="preserve"> </w:t>
      </w:r>
      <w:r w:rsidRPr="00006EBB">
        <w:rPr>
          <w:rFonts w:ascii="Times New Roman" w:eastAsia="Calibri" w:hAnsi="Times New Roman" w:cs="Times New Roman"/>
          <w:lang w:val="it-IT"/>
        </w:rPr>
        <w:t xml:space="preserve">Priedus pridėti ir sumaišyti visada būtina prieš prijungiant tirpalo maišelį prie ekstrakorporinės apytakos. </w:t>
      </w:r>
      <w:r w:rsidRPr="00611DF7">
        <w:rPr>
          <w:rFonts w:ascii="Times New Roman" w:eastAsia="Calibri" w:hAnsi="Times New Roman" w:cs="Times New Roman"/>
          <w:b/>
          <w:lang w:val="lt-LT"/>
        </w:rPr>
        <w:t>Tirpalą reikia nedelsiant vartoti.</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it-I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nulauždami lūžtantį kaištelį tarp dviejų maišelio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Lūžtantis kaištelis liks maišelyje</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rsidR="00386DD0" w:rsidRPr="00611DF7" w:rsidRDefault="00386DD0" w:rsidP="00386DD0">
      <w:pPr>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Įsitikinkite, kad visas skystis iš mažojo skyriaus A bus perpiltas į didįjį skyrių B (žr. II pav. toliau).</w:t>
      </w:r>
    </w:p>
    <w:p w:rsidR="00386DD0" w:rsidRPr="00611DF7" w:rsidRDefault="00386DD0" w:rsidP="00386DD0">
      <w:pPr>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Du kartus praskalaukite mažąjį skyrių A spausdami sumaišytą tirpalą atgal į mažąjį skyrių A ir tada atgal į didįjį skyrių B (žr. III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Kai mažasis skyrius A yra tuščias: supurtykite didįjį skyrių B taip, kad visiškai susimaišytų turinys. Tirpalas dabar paruoštas vartoti ir maišelį galima kabinti ant įrangos (žr. IV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nuimkite dangtelį, jį pasukdami ir atitraukdami, ir pastumdami bei pasukdami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Įsitikinkite, kad jungtis yra sandari ir tvirta. Dabar jungtis atvira. Patikrinkite, ar skystis laisvai teka (žr. </w:t>
      </w:r>
      <w:proofErr w:type="spellStart"/>
      <w:r w:rsidRPr="00611DF7">
        <w:rPr>
          <w:rFonts w:ascii="Times New Roman" w:eastAsia="Calibri" w:hAnsi="Times New Roman" w:cs="Times New Roman"/>
          <w:lang w:val="lt-LT"/>
        </w:rPr>
        <w:t>V.a</w:t>
      </w:r>
      <w:proofErr w:type="spellEnd"/>
      <w:r w:rsidRPr="00611DF7">
        <w:rPr>
          <w:rFonts w:ascii="Times New Roman" w:eastAsia="Calibri" w:hAnsi="Times New Roman" w:cs="Times New Roman"/>
          <w:lang w:val="lt-LT"/>
        </w:rPr>
        <w:t xml:space="preserve"> pav. toliau). </w:t>
      </w:r>
      <w:r w:rsidRPr="00611DF7">
        <w:rPr>
          <w:rFonts w:ascii="Times New Roman" w:eastAsia="Calibri" w:hAnsi="Times New Roman" w:cs="Times New Roman"/>
          <w:lang w:val="lt-LT"/>
        </w:rPr>
        <w:br/>
        <w:t xml:space="preserve">Dializės arba pakaitinę liniją atjungus nuo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jungtis uždaroma ir skystis nustoja tekėti.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anga yra </w:t>
      </w:r>
      <w:proofErr w:type="spellStart"/>
      <w:r w:rsidRPr="00611DF7">
        <w:rPr>
          <w:rFonts w:ascii="Times New Roman" w:eastAsia="Calibri" w:hAnsi="Times New Roman" w:cs="Times New Roman"/>
          <w:lang w:val="lt-LT"/>
        </w:rPr>
        <w:t>beadatė</w:t>
      </w:r>
      <w:proofErr w:type="spellEnd"/>
      <w:r w:rsidRPr="00611DF7">
        <w:rPr>
          <w:rFonts w:ascii="Times New Roman" w:eastAsia="Calibri" w:hAnsi="Times New Roman" w:cs="Times New Roman"/>
          <w:lang w:val="lt-LT"/>
        </w:rPr>
        <w:t xml:space="preserve"> tamponu valoma anga.</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Pr="002C447A">
        <w:rPr>
          <w:rFonts w:ascii="Times New Roman" w:eastAsia="Calibri" w:hAnsi="Times New Roman" w:cs="Times New Roman"/>
          <w:lang w:val="lt-LT"/>
        </w:rPr>
        <w:t xml:space="preserve">Injekcijų angą galima valyti </w:t>
      </w:r>
      <w:r>
        <w:rPr>
          <w:rFonts w:ascii="Times New Roman" w:eastAsia="Calibri" w:hAnsi="Times New Roman" w:cs="Times New Roman"/>
          <w:lang w:val="lt-LT"/>
        </w:rPr>
        <w:t xml:space="preserve">steriliu </w:t>
      </w:r>
      <w:r w:rsidRPr="002C447A">
        <w:rPr>
          <w:rFonts w:ascii="Times New Roman" w:eastAsia="Calibri" w:hAnsi="Times New Roman" w:cs="Times New Roman"/>
          <w:lang w:val="lt-LT"/>
        </w:rPr>
        <w:t xml:space="preserve">tamponu.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V.b</w:t>
      </w:r>
      <w:proofErr w:type="spellEnd"/>
      <w:r w:rsidRPr="00611DF7">
        <w:rPr>
          <w:rFonts w:ascii="Times New Roman" w:eastAsia="Calibri" w:hAnsi="Times New Roman" w:cs="Times New Roman"/>
          <w:lang w:val="lt-LT"/>
        </w:rPr>
        <w:t xml:space="preserve"> pav. toliau).</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lt-LT"/>
        </w:rPr>
      </w:pPr>
    </w:p>
    <w:p w:rsidR="00386DD0" w:rsidRPr="00611DF7" w:rsidRDefault="00386DD0" w:rsidP="00386DD0">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rsidR="00386DD0" w:rsidRPr="00611DF7" w:rsidRDefault="00386DD0" w:rsidP="00386DD0">
      <w:pPr>
        <w:spacing w:after="0" w:line="240" w:lineRule="auto"/>
        <w:rPr>
          <w:rFonts w:ascii="Times New Roman" w:eastAsia="Calibri" w:hAnsi="Times New Roman" w:cs="Times New Roman"/>
          <w:lang w:val="sv-SE"/>
        </w:rPr>
      </w:pPr>
    </w:p>
    <w:p w:rsidR="00386DD0" w:rsidRPr="00611DF7" w:rsidRDefault="00386DD0" w:rsidP="00386DD0">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rsidR="00386DD0" w:rsidRPr="00611DF7" w:rsidRDefault="00386DD0" w:rsidP="00386DD0">
      <w:pPr>
        <w:spacing w:after="0" w:line="240" w:lineRule="auto"/>
        <w:rPr>
          <w:rFonts w:ascii="Times New Roman" w:eastAsia="Calibri" w:hAnsi="Times New Roman" w:cs="Times New Roman"/>
          <w:lang w:val="sv-SE"/>
        </w:rPr>
      </w:pPr>
    </w:p>
    <w:p w:rsidR="00386DD0" w:rsidRPr="00611DF7" w:rsidRDefault="00386DD0" w:rsidP="00386DD0">
      <w:pPr>
        <w:spacing w:after="0" w:line="240" w:lineRule="auto"/>
        <w:rPr>
          <w:rFonts w:ascii="Times New Roman" w:eastAsia="Calibri" w:hAnsi="Times New Roman" w:cs="Times New Roman"/>
          <w:lang w:val="lt-LT"/>
        </w:rPr>
      </w:pPr>
      <w:r w:rsidRPr="00D974D7">
        <w:rPr>
          <w:rFonts w:ascii="Times New Roman" w:hAnsi="Times New Roman"/>
          <w:noProof/>
          <w:lang w:val="lt-LT" w:eastAsia="lt-LT"/>
        </w:rPr>
        <w:drawing>
          <wp:inline distT="0" distB="0" distL="0" distR="0" wp14:anchorId="5C6006EC" wp14:editId="6AF6789A">
            <wp:extent cx="5972175"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1304925"/>
                    </a:xfrm>
                    <a:prstGeom prst="rect">
                      <a:avLst/>
                    </a:prstGeom>
                    <a:noFill/>
                    <a:ln>
                      <a:noFill/>
                    </a:ln>
                  </pic:spPr>
                </pic:pic>
              </a:graphicData>
            </a:graphic>
          </wp:inline>
        </w:drawing>
      </w:r>
    </w:p>
    <w:p w:rsidR="00386DD0" w:rsidRPr="00152A20" w:rsidRDefault="00386DD0" w:rsidP="00386DD0">
      <w:pPr>
        <w:snapToGrid w:val="0"/>
        <w:spacing w:after="0" w:line="240" w:lineRule="auto"/>
        <w:rPr>
          <w:rFonts w:ascii="Times New Roman" w:hAnsi="Times New Roman"/>
          <w:b/>
          <w:u w:val="single"/>
          <w:lang w:val="lt-LT"/>
        </w:rPr>
      </w:pPr>
    </w:p>
    <w:p w:rsidR="00386DD0" w:rsidRPr="00152A20" w:rsidRDefault="00386DD0" w:rsidP="00386DD0">
      <w:pPr>
        <w:spacing w:after="0" w:line="240" w:lineRule="auto"/>
        <w:rPr>
          <w:rFonts w:ascii="Calibri" w:hAnsi="Calibri"/>
          <w:b/>
          <w:lang w:val="lt-LT"/>
        </w:rPr>
      </w:pPr>
    </w:p>
    <w:p w:rsidR="00386DD0" w:rsidRPr="00152A20" w:rsidRDefault="00386DD0" w:rsidP="00386DD0">
      <w:pPr>
        <w:rPr>
          <w:rFonts w:ascii="Calibri" w:hAnsi="Calibri"/>
          <w:lang w:val="fr-FR"/>
        </w:rPr>
      </w:pPr>
    </w:p>
    <w:p w:rsidR="00386DD0" w:rsidRPr="00611DF7" w:rsidRDefault="00386DD0" w:rsidP="00386DD0">
      <w:pPr>
        <w:rPr>
          <w:rFonts w:ascii="Calibri" w:eastAsia="Calibri" w:hAnsi="Calibri" w:cs="Times New Roman"/>
          <w:lang w:val="fr-FR"/>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3360DFE"/>
    <w:lvl w:ilvl="0">
      <w:numFmt w:val="decimal"/>
      <w:lvlText w:val="*"/>
      <w:lvlJc w:val="left"/>
      <w:pPr>
        <w:ind w:left="0" w:firstLine="0"/>
      </w:pPr>
      <w:rPr>
        <w:rFonts w:cs="Times New Roman"/>
      </w:rPr>
    </w:lvl>
  </w:abstractNum>
  <w:abstractNum w:abstractNumId="1" w15:restartNumberingAfterBreak="0">
    <w:nsid w:val="04816F2C"/>
    <w:multiLevelType w:val="hybridMultilevel"/>
    <w:tmpl w:val="8BB88E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738CA"/>
    <w:multiLevelType w:val="hybridMultilevel"/>
    <w:tmpl w:val="96048098"/>
    <w:lvl w:ilvl="0" w:tplc="9712262A">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0477"/>
    <w:multiLevelType w:val="hybridMultilevel"/>
    <w:tmpl w:val="02921E46"/>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16320"/>
    <w:multiLevelType w:val="hybridMultilevel"/>
    <w:tmpl w:val="BD24A264"/>
    <w:lvl w:ilvl="0" w:tplc="078E214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A762A"/>
    <w:multiLevelType w:val="hybridMultilevel"/>
    <w:tmpl w:val="DFDEEBCC"/>
    <w:lvl w:ilvl="0" w:tplc="0427000F">
      <w:start w:val="1"/>
      <w:numFmt w:val="decimal"/>
      <w:lvlText w:val="%1."/>
      <w:lvlJc w:val="left"/>
      <w:pPr>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6" w15:restartNumberingAfterBreak="0">
    <w:nsid w:val="1AE46154"/>
    <w:multiLevelType w:val="hybridMultilevel"/>
    <w:tmpl w:val="30AEC86E"/>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13728"/>
    <w:multiLevelType w:val="hybridMultilevel"/>
    <w:tmpl w:val="38F2F738"/>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37F7D"/>
    <w:multiLevelType w:val="hybridMultilevel"/>
    <w:tmpl w:val="45121BB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1" w15:restartNumberingAfterBreak="0">
    <w:nsid w:val="3393571A"/>
    <w:multiLevelType w:val="hybridMultilevel"/>
    <w:tmpl w:val="F5E26734"/>
    <w:lvl w:ilvl="0" w:tplc="98C661A6">
      <w:start w:val="1"/>
      <w:numFmt w:val="bullet"/>
      <w:lvlText w:val=""/>
      <w:lvlJc w:val="left"/>
      <w:pPr>
        <w:ind w:left="470" w:hanging="360"/>
      </w:pPr>
      <w:rPr>
        <w:rFonts w:ascii="Symbol" w:hAnsi="Symbol" w:hint="default"/>
        <w:sz w:val="22"/>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2" w15:restartNumberingAfterBreak="0">
    <w:nsid w:val="3B196A91"/>
    <w:multiLevelType w:val="multilevel"/>
    <w:tmpl w:val="A60821A2"/>
    <w:lvl w:ilvl="0">
      <w:start w:val="7"/>
      <w:numFmt w:val="decimal"/>
      <w:lvlText w:val="2.%1"/>
      <w:lvlJc w:val="left"/>
      <w:pPr>
        <w:tabs>
          <w:tab w:val="num" w:pos="432"/>
        </w:tabs>
        <w:ind w:left="432" w:hanging="432"/>
      </w:pPr>
      <w:rPr>
        <w:rFonts w:cs="Times New Roman"/>
      </w:rPr>
    </w:lvl>
    <w:lvl w:ilvl="1">
      <w:start w:val="1"/>
      <w:numFmt w:val="decimal"/>
      <w:lvlText w:val="2.%1.%2"/>
      <w:lvlJc w:val="left"/>
      <w:pPr>
        <w:tabs>
          <w:tab w:val="num" w:pos="576"/>
        </w:tabs>
        <w:ind w:left="576" w:hanging="576"/>
      </w:pPr>
      <w:rPr>
        <w:rFonts w:cs="Times New Roman"/>
      </w:rPr>
    </w:lvl>
    <w:lvl w:ilvl="2">
      <w:start w:val="1"/>
      <w:numFmt w:val="decimal"/>
      <w:lvlText w:val="2.7.%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C914400"/>
    <w:multiLevelType w:val="hybridMultilevel"/>
    <w:tmpl w:val="B7D4C47C"/>
    <w:lvl w:ilvl="0" w:tplc="62D857B2">
      <w:start w:val="1"/>
      <w:numFmt w:val="decimal"/>
      <w:lvlText w:val="%1."/>
      <w:lvlJc w:val="left"/>
      <w:pPr>
        <w:tabs>
          <w:tab w:val="num" w:pos="1077"/>
        </w:tabs>
        <w:ind w:left="1077"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4" w15:restartNumberingAfterBreak="0">
    <w:nsid w:val="3E69104C"/>
    <w:multiLevelType w:val="hybridMultilevel"/>
    <w:tmpl w:val="AE22BF0C"/>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E371B5"/>
    <w:multiLevelType w:val="multilevel"/>
    <w:tmpl w:val="02921E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A48CE"/>
    <w:multiLevelType w:val="multilevel"/>
    <w:tmpl w:val="F90A83B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53744F88"/>
    <w:multiLevelType w:val="multilevel"/>
    <w:tmpl w:val="4F780790"/>
    <w:lvl w:ilvl="0">
      <w:start w:val="7"/>
      <w:numFmt w:val="decimal"/>
      <w:lvlText w:val="2.5"/>
      <w:lvlJc w:val="left"/>
      <w:pPr>
        <w:tabs>
          <w:tab w:val="num" w:pos="432"/>
        </w:tabs>
        <w:ind w:left="432" w:hanging="432"/>
      </w:pPr>
      <w:rPr>
        <w:rFonts w:cs="Times New Roman"/>
      </w:rPr>
    </w:lvl>
    <w:lvl w:ilvl="1">
      <w:start w:val="1"/>
      <w:numFmt w:val="none"/>
      <w:lvlText w:val="2.5"/>
      <w:lvlJc w:val="left"/>
      <w:pPr>
        <w:tabs>
          <w:tab w:val="num" w:pos="576"/>
        </w:tabs>
        <w:ind w:left="576" w:hanging="576"/>
      </w:pPr>
      <w:rPr>
        <w:rFonts w:cs="Times New Roman"/>
      </w:rPr>
    </w:lvl>
    <w:lvl w:ilvl="2">
      <w:start w:val="1"/>
      <w:numFmt w:val="decimal"/>
      <w:lvlRestart w:val="0"/>
      <w:lvlText w:val="2.7.1.%3"/>
      <w:lvlJc w:val="left"/>
      <w:pPr>
        <w:tabs>
          <w:tab w:val="num" w:pos="720"/>
        </w:tabs>
        <w:ind w:left="720" w:hanging="720"/>
      </w:pPr>
      <w:rPr>
        <w:rFonts w:cs="Times New Roman"/>
      </w:rPr>
    </w:lvl>
    <w:lvl w:ilvl="3">
      <w:start w:val="1"/>
      <w:numFmt w:val="decimal"/>
      <w:lvlText w:val="2.7.%4.%3"/>
      <w:lvlJc w:val="left"/>
      <w:pPr>
        <w:tabs>
          <w:tab w:val="num" w:pos="72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5B69092B"/>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5DB831F6"/>
    <w:multiLevelType w:val="hybridMultilevel"/>
    <w:tmpl w:val="50B245EC"/>
    <w:lvl w:ilvl="0" w:tplc="0409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6B7BCD"/>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6A1D223D"/>
    <w:multiLevelType w:val="hybridMultilevel"/>
    <w:tmpl w:val="F850C490"/>
    <w:lvl w:ilvl="0" w:tplc="0409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23" w15:restartNumberingAfterBreak="0">
    <w:nsid w:val="6E796D56"/>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6F3F1F32"/>
    <w:multiLevelType w:val="hybridMultilevel"/>
    <w:tmpl w:val="03682086"/>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26" w15:restartNumberingAfterBreak="0">
    <w:nsid w:val="7BDF6F9F"/>
    <w:multiLevelType w:val="hybridMultilevel"/>
    <w:tmpl w:val="06FA1546"/>
    <w:lvl w:ilvl="0" w:tplc="A540FEA2">
      <w:start w:val="1"/>
      <w:numFmt w:val="decimal"/>
      <w:lvlText w:val="Table %1:"/>
      <w:lvlJc w:val="left"/>
      <w:pPr>
        <w:tabs>
          <w:tab w:val="num" w:pos="1080"/>
        </w:tabs>
        <w:ind w:left="36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27" w15:restartNumberingAfterBreak="0">
    <w:nsid w:val="7C6E4EDF"/>
    <w:multiLevelType w:val="multilevel"/>
    <w:tmpl w:val="9FB43178"/>
    <w:lvl w:ilvl="0">
      <w:start w:val="7"/>
      <w:numFmt w:val="decimal"/>
      <w:lvlText w:val="%1"/>
      <w:lvlJc w:val="left"/>
      <w:pPr>
        <w:tabs>
          <w:tab w:val="num" w:pos="432"/>
        </w:tabs>
        <w:ind w:left="432" w:hanging="432"/>
      </w:pPr>
      <w:rPr>
        <w:rFonts w:cs="Times New Roman"/>
      </w:rPr>
    </w:lvl>
    <w:lvl w:ilvl="1">
      <w:start w:val="1"/>
      <w:numFmt w:val="none"/>
      <w:lvlRestart w:val="0"/>
      <w:lvlText w:val="2.7"/>
      <w:lvlJc w:val="left"/>
      <w:pPr>
        <w:tabs>
          <w:tab w:val="num" w:pos="576"/>
        </w:tabs>
        <w:ind w:left="576" w:hanging="576"/>
      </w:pPr>
      <w:rPr>
        <w:rFonts w:cs="Times New Roman"/>
      </w:rPr>
    </w:lvl>
    <w:lvl w:ilvl="2">
      <w:start w:val="1"/>
      <w:numFmt w:val="decimal"/>
      <w:lvlText w:val="2.5.%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lvlOverride w:ilvl="0">
      <w:lvl w:ilvl="0">
        <w:numFmt w:val="bullet"/>
        <w:lvlText w:val="-"/>
        <w:legacy w:legacy="1" w:legacySpace="120" w:legacyIndent="360"/>
        <w:lvlJc w:val="left"/>
        <w:pPr>
          <w:ind w:left="360" w:hanging="360"/>
        </w:pPr>
        <w:rPr>
          <w:rFonts w:cs="Times New Roman"/>
        </w:rPr>
      </w:lvl>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4"/>
  </w:num>
  <w:num w:numId="6">
    <w:abstractNumId w:val="24"/>
  </w:num>
  <w:num w:numId="7">
    <w:abstractNumId w:val="1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5"/>
  </w:num>
  <w:num w:numId="33">
    <w:abstractNumId w:val="2"/>
  </w:num>
  <w:num w:numId="34">
    <w:abstractNumId w:val="6"/>
  </w:num>
  <w:num w:numId="35">
    <w:abstractNumId w:val="3"/>
  </w:num>
  <w:num w:numId="36">
    <w:abstractNumId w:val="15"/>
  </w:num>
  <w:num w:numId="37">
    <w:abstractNumId w:val="4"/>
  </w:num>
  <w:num w:numId="38">
    <w:abstractNumId w:val="1"/>
  </w:num>
  <w:num w:numId="39">
    <w:abstractNumId w:val="23"/>
  </w:num>
  <w:num w:numId="40">
    <w:abstractNumId w:val="5"/>
  </w:num>
  <w:num w:numId="41">
    <w:abstractNumId w:val="2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DD0"/>
    <w:rsid w:val="00072F85"/>
    <w:rsid w:val="000A5E72"/>
    <w:rsid w:val="000A7B60"/>
    <w:rsid w:val="00181364"/>
    <w:rsid w:val="002945D9"/>
    <w:rsid w:val="00305C48"/>
    <w:rsid w:val="003362C6"/>
    <w:rsid w:val="00386DD0"/>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46932-9A5E-4F5C-9716-B6564229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DD0"/>
    <w:pPr>
      <w:spacing w:after="200" w:line="276" w:lineRule="auto"/>
    </w:pPr>
    <w:rPr>
      <w:lang w:val="en-US"/>
    </w:rPr>
  </w:style>
  <w:style w:type="paragraph" w:styleId="Antrat1">
    <w:name w:val="heading 1"/>
    <w:basedOn w:val="prastasis"/>
    <w:next w:val="prastasis"/>
    <w:link w:val="Antrat1Diagrama"/>
    <w:qFormat/>
    <w:rsid w:val="00386DD0"/>
    <w:pPr>
      <w:keepNext/>
      <w:spacing w:before="240" w:after="60" w:line="240" w:lineRule="auto"/>
      <w:outlineLvl w:val="0"/>
    </w:pPr>
    <w:rPr>
      <w:rFonts w:ascii="Arial" w:eastAsia="Times New Roman" w:hAnsi="Arial" w:cs="Arial"/>
      <w:b/>
      <w:bCs/>
      <w:color w:val="993366"/>
      <w:kern w:val="32"/>
      <w:sz w:val="32"/>
      <w:szCs w:val="32"/>
      <w:u w:val="wavyHeavy"/>
      <w:lang w:val="fr-FR" w:eastAsia="fr-FR"/>
    </w:rPr>
  </w:style>
  <w:style w:type="paragraph" w:styleId="Antrat2">
    <w:name w:val="heading 2"/>
    <w:basedOn w:val="prastasis"/>
    <w:next w:val="prastasis"/>
    <w:link w:val="Antrat2Diagrama"/>
    <w:unhideWhenUsed/>
    <w:qFormat/>
    <w:rsid w:val="00386DD0"/>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nhideWhenUsed/>
    <w:qFormat/>
    <w:rsid w:val="00386DD0"/>
    <w:pPr>
      <w:keepNext/>
      <w:spacing w:before="240" w:after="60" w:line="240" w:lineRule="auto"/>
      <w:outlineLvl w:val="2"/>
    </w:pPr>
    <w:rPr>
      <w:rFonts w:ascii="Arial" w:eastAsia="Times New Roman" w:hAnsi="Arial" w:cs="Arial"/>
      <w:b/>
      <w:bCs/>
      <w:color w:val="993366"/>
      <w:sz w:val="26"/>
      <w:szCs w:val="26"/>
      <w:u w:val="wavyHeavy"/>
      <w:lang w:val="fr-FR"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86DD0"/>
    <w:rPr>
      <w:rFonts w:ascii="Arial" w:eastAsia="Times New Roman" w:hAnsi="Arial" w:cs="Arial"/>
      <w:b/>
      <w:bCs/>
      <w:color w:val="993366"/>
      <w:kern w:val="32"/>
      <w:sz w:val="32"/>
      <w:szCs w:val="32"/>
      <w:u w:val="wavyHeavy"/>
      <w:lang w:val="fr-FR" w:eastAsia="fr-FR"/>
    </w:rPr>
  </w:style>
  <w:style w:type="character" w:customStyle="1" w:styleId="Antrat2Diagrama">
    <w:name w:val="Antraštė 2 Diagrama"/>
    <w:basedOn w:val="Numatytasispastraiposriftas"/>
    <w:link w:val="Antrat2"/>
    <w:rsid w:val="00386DD0"/>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rsid w:val="00386DD0"/>
    <w:rPr>
      <w:rFonts w:ascii="Arial" w:eastAsia="Times New Roman" w:hAnsi="Arial" w:cs="Arial"/>
      <w:b/>
      <w:bCs/>
      <w:color w:val="993366"/>
      <w:sz w:val="26"/>
      <w:szCs w:val="26"/>
      <w:u w:val="wavyHeavy"/>
      <w:lang w:val="fr-FR" w:eastAsia="fr-FR"/>
    </w:rPr>
  </w:style>
  <w:style w:type="numbering" w:customStyle="1" w:styleId="NoList1">
    <w:name w:val="No List1"/>
    <w:next w:val="Sraonra"/>
    <w:uiPriority w:val="99"/>
    <w:semiHidden/>
    <w:unhideWhenUsed/>
    <w:rsid w:val="00386DD0"/>
  </w:style>
  <w:style w:type="character" w:styleId="Hipersaitas">
    <w:name w:val="Hyperlink"/>
    <w:uiPriority w:val="99"/>
    <w:unhideWhenUsed/>
    <w:rsid w:val="00386DD0"/>
    <w:rPr>
      <w:color w:val="0000FF"/>
      <w:u w:val="single"/>
    </w:rPr>
  </w:style>
  <w:style w:type="character" w:styleId="Perirtashipersaitas">
    <w:name w:val="FollowedHyperlink"/>
    <w:basedOn w:val="Numatytasispastraiposriftas"/>
    <w:uiPriority w:val="99"/>
    <w:semiHidden/>
    <w:unhideWhenUsed/>
    <w:rsid w:val="00386DD0"/>
    <w:rPr>
      <w:color w:val="954F72" w:themeColor="followedHyperlink"/>
      <w:u w:val="single"/>
    </w:rPr>
  </w:style>
  <w:style w:type="paragraph" w:styleId="Komentarotekstas">
    <w:name w:val="annotation text"/>
    <w:basedOn w:val="prastasis"/>
    <w:link w:val="KomentarotekstasDiagrama"/>
    <w:semiHidden/>
    <w:unhideWhenUsed/>
    <w:rsid w:val="00386DD0"/>
    <w:pPr>
      <w:spacing w:after="0" w:line="240" w:lineRule="auto"/>
    </w:pPr>
    <w:rPr>
      <w:rFonts w:ascii="Times New Roman" w:eastAsia="Times New Roman" w:hAnsi="Times New Roman" w:cs="Times New Roman"/>
      <w:color w:val="993366"/>
      <w:sz w:val="20"/>
      <w:szCs w:val="20"/>
      <w:u w:val="wavyHeavy"/>
      <w:lang w:val="fr-FR" w:eastAsia="fr-FR"/>
    </w:rPr>
  </w:style>
  <w:style w:type="character" w:customStyle="1" w:styleId="KomentarotekstasDiagrama">
    <w:name w:val="Komentaro tekstas Diagrama"/>
    <w:basedOn w:val="Numatytasispastraiposriftas"/>
    <w:link w:val="Komentarotekstas"/>
    <w:semiHidden/>
    <w:rsid w:val="00386DD0"/>
    <w:rPr>
      <w:rFonts w:ascii="Times New Roman" w:eastAsia="Times New Roman" w:hAnsi="Times New Roman" w:cs="Times New Roman"/>
      <w:color w:val="993366"/>
      <w:sz w:val="20"/>
      <w:szCs w:val="20"/>
      <w:u w:val="wavyHeavy"/>
      <w:lang w:val="fr-FR" w:eastAsia="fr-FR"/>
    </w:rPr>
  </w:style>
  <w:style w:type="paragraph" w:styleId="Antrats">
    <w:name w:val="header"/>
    <w:basedOn w:val="prastasis"/>
    <w:link w:val="AntratsDiagrama"/>
    <w:unhideWhenUsed/>
    <w:rsid w:val="00386DD0"/>
    <w:pPr>
      <w:tabs>
        <w:tab w:val="center" w:pos="4536"/>
        <w:tab w:val="right" w:pos="9072"/>
      </w:tabs>
    </w:pPr>
    <w:rPr>
      <w:rFonts w:ascii="Calibri" w:eastAsia="Calibri" w:hAnsi="Calibri" w:cs="Times New Roman"/>
      <w:lang w:val="fr-FR"/>
    </w:rPr>
  </w:style>
  <w:style w:type="character" w:customStyle="1" w:styleId="AntratsDiagrama">
    <w:name w:val="Antraštės Diagrama"/>
    <w:basedOn w:val="Numatytasispastraiposriftas"/>
    <w:link w:val="Antrats"/>
    <w:rsid w:val="00386DD0"/>
    <w:rPr>
      <w:rFonts w:ascii="Calibri" w:eastAsia="Calibri" w:hAnsi="Calibri" w:cs="Times New Roman"/>
      <w:lang w:val="fr-FR"/>
    </w:rPr>
  </w:style>
  <w:style w:type="paragraph" w:styleId="Porat">
    <w:name w:val="footer"/>
    <w:basedOn w:val="prastasis"/>
    <w:link w:val="PoratDiagrama"/>
    <w:uiPriority w:val="99"/>
    <w:unhideWhenUsed/>
    <w:rsid w:val="00386DD0"/>
    <w:pPr>
      <w:tabs>
        <w:tab w:val="center" w:pos="4536"/>
        <w:tab w:val="right" w:pos="9072"/>
      </w:tabs>
    </w:pPr>
    <w:rPr>
      <w:rFonts w:ascii="Calibri" w:eastAsia="Calibri" w:hAnsi="Calibri" w:cs="Times New Roman"/>
      <w:lang w:val="fr-FR"/>
    </w:rPr>
  </w:style>
  <w:style w:type="character" w:customStyle="1" w:styleId="PoratDiagrama">
    <w:name w:val="Poraštė Diagrama"/>
    <w:basedOn w:val="Numatytasispastraiposriftas"/>
    <w:link w:val="Porat"/>
    <w:uiPriority w:val="99"/>
    <w:rsid w:val="00386DD0"/>
    <w:rPr>
      <w:rFonts w:ascii="Calibri" w:eastAsia="Calibri" w:hAnsi="Calibri" w:cs="Times New Roman"/>
      <w:lang w:val="fr-FR"/>
    </w:rPr>
  </w:style>
  <w:style w:type="paragraph" w:styleId="Pagrindinistekstas">
    <w:name w:val="Body Text"/>
    <w:basedOn w:val="prastasis"/>
    <w:link w:val="PagrindinistekstasDiagrama"/>
    <w:unhideWhenUsed/>
    <w:rsid w:val="00386DD0"/>
    <w:pPr>
      <w:widowControl w:val="0"/>
      <w:tabs>
        <w:tab w:val="left" w:pos="360"/>
      </w:tabs>
      <w:overflowPunct w:val="0"/>
      <w:autoSpaceDE w:val="0"/>
      <w:autoSpaceDN w:val="0"/>
      <w:adjustRightInd w:val="0"/>
      <w:spacing w:after="0" w:line="240" w:lineRule="auto"/>
      <w:ind w:left="360" w:hanging="360"/>
      <w:jc w:val="center"/>
    </w:pPr>
    <w:rPr>
      <w:rFonts w:ascii="Times New Roman" w:eastAsia="Times New Roman" w:hAnsi="Times New Roman" w:cs="Times New Roman"/>
      <w:b/>
      <w:sz w:val="32"/>
      <w:szCs w:val="20"/>
      <w:u w:val="single"/>
      <w:lang w:val="fr-FR" w:eastAsia="fr-FR"/>
    </w:rPr>
  </w:style>
  <w:style w:type="character" w:customStyle="1" w:styleId="PagrindinistekstasDiagrama">
    <w:name w:val="Pagrindinis tekstas Diagrama"/>
    <w:basedOn w:val="Numatytasispastraiposriftas"/>
    <w:link w:val="Pagrindinistekstas"/>
    <w:rsid w:val="00386DD0"/>
    <w:rPr>
      <w:rFonts w:ascii="Times New Roman" w:eastAsia="Times New Roman" w:hAnsi="Times New Roman" w:cs="Times New Roman"/>
      <w:b/>
      <w:sz w:val="32"/>
      <w:szCs w:val="20"/>
      <w:u w:val="single"/>
      <w:lang w:val="fr-FR" w:eastAsia="fr-FR"/>
    </w:rPr>
  </w:style>
  <w:style w:type="paragraph" w:styleId="Pagrindinistekstas2">
    <w:name w:val="Body Text 2"/>
    <w:basedOn w:val="prastasis"/>
    <w:link w:val="Pagrindinistekstas2Diagrama"/>
    <w:unhideWhenUsed/>
    <w:rsid w:val="00386DD0"/>
    <w:pPr>
      <w:spacing w:after="0" w:line="240" w:lineRule="auto"/>
    </w:pPr>
    <w:rPr>
      <w:rFonts w:ascii="Times New Roman" w:eastAsia="Times New Roman" w:hAnsi="Times New Roman" w:cs="Times New Roman"/>
      <w:bCs/>
      <w:sz w:val="24"/>
      <w:szCs w:val="20"/>
      <w:lang w:val="en-GB" w:eastAsia="fr-FR"/>
    </w:rPr>
  </w:style>
  <w:style w:type="character" w:customStyle="1" w:styleId="Pagrindinistekstas2Diagrama">
    <w:name w:val="Pagrindinis tekstas 2 Diagrama"/>
    <w:basedOn w:val="Numatytasispastraiposriftas"/>
    <w:link w:val="Pagrindinistekstas2"/>
    <w:rsid w:val="00386DD0"/>
    <w:rPr>
      <w:rFonts w:ascii="Times New Roman" w:eastAsia="Times New Roman" w:hAnsi="Times New Roman" w:cs="Times New Roman"/>
      <w:bCs/>
      <w:sz w:val="24"/>
      <w:szCs w:val="20"/>
      <w:lang w:val="en-GB" w:eastAsia="fr-FR"/>
    </w:rPr>
  </w:style>
  <w:style w:type="paragraph" w:styleId="Tekstoblokas">
    <w:name w:val="Block Text"/>
    <w:basedOn w:val="prastasis"/>
    <w:unhideWhenUsed/>
    <w:rsid w:val="00386DD0"/>
    <w:pPr>
      <w:tabs>
        <w:tab w:val="left" w:pos="567"/>
      </w:tabs>
      <w:spacing w:after="0" w:line="240" w:lineRule="auto"/>
      <w:ind w:left="426" w:right="-143" w:hanging="426"/>
    </w:pPr>
    <w:rPr>
      <w:rFonts w:ascii="Times New Roman" w:eastAsia="Times New Roman" w:hAnsi="Times New Roman" w:cs="Times New Roman"/>
      <w:b/>
      <w:bCs/>
      <w:sz w:val="24"/>
      <w:szCs w:val="20"/>
      <w:lang w:val="en-GB" w:eastAsia="sv-SE"/>
    </w:rPr>
  </w:style>
  <w:style w:type="paragraph" w:styleId="Paprastasistekstas">
    <w:name w:val="Plain Text"/>
    <w:basedOn w:val="prastasis"/>
    <w:link w:val="PaprastasistekstasDiagrama"/>
    <w:uiPriority w:val="99"/>
    <w:unhideWhenUsed/>
    <w:rsid w:val="00386DD0"/>
    <w:pPr>
      <w:spacing w:after="0" w:line="240" w:lineRule="auto"/>
    </w:pPr>
    <w:rPr>
      <w:rFonts w:ascii="Courier New" w:eastAsia="SimSun" w:hAnsi="Courier New" w:cs="Times New Roman"/>
      <w:sz w:val="20"/>
      <w:szCs w:val="20"/>
      <w:lang w:eastAsia="x-none"/>
    </w:rPr>
  </w:style>
  <w:style w:type="character" w:customStyle="1" w:styleId="PaprastasistekstasDiagrama">
    <w:name w:val="Paprastasis tekstas Diagrama"/>
    <w:basedOn w:val="Numatytasispastraiposriftas"/>
    <w:link w:val="Paprastasistekstas"/>
    <w:uiPriority w:val="99"/>
    <w:rsid w:val="00386DD0"/>
    <w:rPr>
      <w:rFonts w:ascii="Courier New" w:eastAsia="SimSun" w:hAnsi="Courier New" w:cs="Times New Roman"/>
      <w:sz w:val="20"/>
      <w:szCs w:val="20"/>
      <w:lang w:val="en-US" w:eastAsia="x-none"/>
    </w:rPr>
  </w:style>
  <w:style w:type="paragraph" w:styleId="Komentarotema">
    <w:name w:val="annotation subject"/>
    <w:basedOn w:val="Komentarotekstas"/>
    <w:next w:val="Komentarotekstas"/>
    <w:link w:val="KomentarotemaDiagrama"/>
    <w:semiHidden/>
    <w:unhideWhenUsed/>
    <w:rsid w:val="00386DD0"/>
    <w:rPr>
      <w:b/>
      <w:bCs/>
    </w:rPr>
  </w:style>
  <w:style w:type="character" w:customStyle="1" w:styleId="KomentarotemaDiagrama">
    <w:name w:val="Komentaro tema Diagrama"/>
    <w:basedOn w:val="KomentarotekstasDiagrama"/>
    <w:link w:val="Komentarotema"/>
    <w:semiHidden/>
    <w:rsid w:val="00386DD0"/>
    <w:rPr>
      <w:rFonts w:ascii="Times New Roman" w:eastAsia="Times New Roman" w:hAnsi="Times New Roman" w:cs="Times New Roman"/>
      <w:b/>
      <w:bCs/>
      <w:color w:val="993366"/>
      <w:sz w:val="20"/>
      <w:szCs w:val="20"/>
      <w:u w:val="wavyHeavy"/>
      <w:lang w:val="fr-FR" w:eastAsia="fr-FR"/>
    </w:rPr>
  </w:style>
  <w:style w:type="paragraph" w:styleId="Debesliotekstas">
    <w:name w:val="Balloon Text"/>
    <w:basedOn w:val="prastasis"/>
    <w:link w:val="DebesliotekstasDiagrama"/>
    <w:semiHidden/>
    <w:unhideWhenUsed/>
    <w:rsid w:val="00386DD0"/>
    <w:pPr>
      <w:spacing w:after="0" w:line="240" w:lineRule="auto"/>
    </w:pPr>
    <w:rPr>
      <w:rFonts w:ascii="Tahoma" w:eastAsia="Times New Roman" w:hAnsi="Tahoma" w:cs="Tahoma"/>
      <w:color w:val="993366"/>
      <w:sz w:val="16"/>
      <w:szCs w:val="16"/>
      <w:u w:val="wavyHeavy"/>
      <w:lang w:val="fr-FR" w:eastAsia="fr-FR"/>
    </w:rPr>
  </w:style>
  <w:style w:type="character" w:customStyle="1" w:styleId="DebesliotekstasDiagrama">
    <w:name w:val="Debesėlio tekstas Diagrama"/>
    <w:basedOn w:val="Numatytasispastraiposriftas"/>
    <w:link w:val="Debesliotekstas"/>
    <w:semiHidden/>
    <w:rsid w:val="00386DD0"/>
    <w:rPr>
      <w:rFonts w:ascii="Tahoma" w:eastAsia="Times New Roman" w:hAnsi="Tahoma" w:cs="Tahoma"/>
      <w:color w:val="993366"/>
      <w:sz w:val="16"/>
      <w:szCs w:val="16"/>
      <w:u w:val="wavyHeavy"/>
      <w:lang w:val="fr-FR" w:eastAsia="fr-FR"/>
    </w:rPr>
  </w:style>
  <w:style w:type="paragraph" w:styleId="Pataisymai">
    <w:name w:val="Revision"/>
    <w:uiPriority w:val="99"/>
    <w:semiHidden/>
    <w:rsid w:val="00386DD0"/>
    <w:pPr>
      <w:spacing w:after="0" w:line="240" w:lineRule="auto"/>
    </w:pPr>
    <w:rPr>
      <w:rFonts w:ascii="Times New Roman" w:eastAsia="Times New Roman" w:hAnsi="Times New Roman" w:cs="Times New Roman"/>
      <w:color w:val="993366"/>
      <w:sz w:val="24"/>
      <w:szCs w:val="20"/>
      <w:u w:val="wavyHeavy"/>
      <w:lang w:val="fr-FR" w:eastAsia="fr-FR"/>
    </w:rPr>
  </w:style>
  <w:style w:type="paragraph" w:customStyle="1" w:styleId="Style1">
    <w:name w:val="Style1"/>
    <w:basedOn w:val="prastasis"/>
    <w:rsid w:val="00386DD0"/>
    <w:pPr>
      <w:snapToGrid w:val="0"/>
      <w:spacing w:after="120" w:line="240" w:lineRule="auto"/>
      <w:jc w:val="both"/>
    </w:pPr>
    <w:rPr>
      <w:rFonts w:ascii="Times New Roman" w:eastAsia="Times New Roman" w:hAnsi="Times New Roman" w:cs="Times New Roman"/>
      <w:b/>
      <w:bCs/>
      <w:iCs/>
      <w:szCs w:val="20"/>
      <w:u w:val="single"/>
      <w:lang w:val="en-GB" w:eastAsia="fr-FR"/>
    </w:rPr>
  </w:style>
  <w:style w:type="paragraph" w:customStyle="1" w:styleId="Style2">
    <w:name w:val="Style2"/>
    <w:basedOn w:val="prastasis"/>
    <w:rsid w:val="00386DD0"/>
    <w:pPr>
      <w:snapToGrid w:val="0"/>
      <w:spacing w:after="60" w:line="240" w:lineRule="auto"/>
      <w:jc w:val="both"/>
    </w:pPr>
    <w:rPr>
      <w:rFonts w:ascii="Times New Roman" w:eastAsia="Times New Roman" w:hAnsi="Times New Roman" w:cs="Times New Roman"/>
      <w:b/>
      <w:color w:val="000000"/>
      <w:szCs w:val="20"/>
      <w:lang w:val="en-GB" w:eastAsia="fr-FR"/>
    </w:rPr>
  </w:style>
  <w:style w:type="paragraph" w:customStyle="1" w:styleId="PI-1EMEASMCA">
    <w:name w:val="PI-1 EMEA_SMCA"/>
    <w:basedOn w:val="Antrat2"/>
    <w:autoRedefine/>
    <w:rsid w:val="00386DD0"/>
    <w:pPr>
      <w:snapToGrid/>
      <w:spacing w:before="0" w:after="0" w:line="240" w:lineRule="auto"/>
      <w:ind w:left="567" w:hanging="567"/>
    </w:pPr>
    <w:rPr>
      <w:rFonts w:ascii="Times New Roman" w:hAnsi="Times New Roman"/>
      <w:bCs w:val="0"/>
      <w:i w:val="0"/>
      <w:iCs w:val="0"/>
      <w:sz w:val="22"/>
      <w:szCs w:val="22"/>
      <w:lang w:val="lt-LT" w:eastAsia="en-US"/>
    </w:rPr>
  </w:style>
  <w:style w:type="character" w:customStyle="1" w:styleId="BTEMEASMCAChar">
    <w:name w:val="BT EMEA_SMCA Char"/>
    <w:link w:val="BTEMEASMCA"/>
    <w:locked/>
    <w:rsid w:val="00386DD0"/>
    <w:rPr>
      <w:rFonts w:ascii="Times New Roman" w:eastAsia="Times New Roman" w:hAnsi="Times New Roman" w:cs="Times New Roman"/>
    </w:rPr>
  </w:style>
  <w:style w:type="paragraph" w:customStyle="1" w:styleId="BTEMEASMCA">
    <w:name w:val="BT EMEA_SMCA"/>
    <w:basedOn w:val="prastasis"/>
    <w:link w:val="BTEMEASMCAChar"/>
    <w:autoRedefine/>
    <w:rsid w:val="00386DD0"/>
    <w:pPr>
      <w:tabs>
        <w:tab w:val="left" w:pos="1620"/>
      </w:tabs>
      <w:spacing w:after="0" w:line="240" w:lineRule="auto"/>
    </w:pPr>
    <w:rPr>
      <w:rFonts w:ascii="Times New Roman" w:eastAsia="Times New Roman" w:hAnsi="Times New Roman" w:cs="Times New Roman"/>
      <w:lang w:val="lt-LT"/>
    </w:rPr>
  </w:style>
  <w:style w:type="character" w:customStyle="1" w:styleId="TTEMEASMCAChar">
    <w:name w:val="TT EMEA_SMCA Char"/>
    <w:link w:val="TTEMEASMCA"/>
    <w:locked/>
    <w:rsid w:val="00386DD0"/>
    <w:rPr>
      <w:rFonts w:ascii="Times New Roman" w:eastAsia="Times New Roman" w:hAnsi="Times New Roman" w:cs="Times New Roman"/>
      <w:b/>
      <w:caps/>
    </w:rPr>
  </w:style>
  <w:style w:type="paragraph" w:customStyle="1" w:styleId="TTEMEASMCA">
    <w:name w:val="TT EMEA_SMCA"/>
    <w:basedOn w:val="Antrat1"/>
    <w:link w:val="TTEMEASMCAChar"/>
    <w:autoRedefine/>
    <w:rsid w:val="00386DD0"/>
    <w:pPr>
      <w:keepNext w:val="0"/>
      <w:tabs>
        <w:tab w:val="left" w:pos="567"/>
      </w:tabs>
      <w:spacing w:before="0" w:after="0"/>
      <w:ind w:left="567" w:hanging="567"/>
      <w:jc w:val="center"/>
    </w:pPr>
    <w:rPr>
      <w:rFonts w:ascii="Times New Roman" w:hAnsi="Times New Roman" w:cs="Times New Roman"/>
      <w:bCs w:val="0"/>
      <w:caps/>
      <w:color w:val="auto"/>
      <w:kern w:val="0"/>
      <w:sz w:val="22"/>
      <w:szCs w:val="22"/>
      <w:u w:val="none"/>
      <w:lang w:val="lt-LT" w:eastAsia="en-US"/>
    </w:rPr>
  </w:style>
  <w:style w:type="paragraph" w:customStyle="1" w:styleId="BTAnIIEMEASMCA">
    <w:name w:val="BT(AnII) EMEA_SMCA"/>
    <w:basedOn w:val="Debesliotekstas"/>
    <w:autoRedefine/>
    <w:rsid w:val="00386DD0"/>
    <w:pPr>
      <w:tabs>
        <w:tab w:val="left" w:pos="1701"/>
      </w:tabs>
      <w:ind w:left="1701" w:hanging="567"/>
    </w:pPr>
    <w:rPr>
      <w:rFonts w:ascii="Times New Roman" w:hAnsi="Times New Roman"/>
      <w:b/>
      <w:color w:val="auto"/>
      <w:sz w:val="22"/>
      <w:szCs w:val="22"/>
      <w:u w:val="none"/>
      <w:lang w:val="en-GB" w:eastAsia="en-US"/>
    </w:rPr>
  </w:style>
  <w:style w:type="paragraph" w:customStyle="1" w:styleId="PI-2EMEASMCA">
    <w:name w:val="PI-2 EMEA_SMCA"/>
    <w:basedOn w:val="Antrat3"/>
    <w:autoRedefine/>
    <w:rsid w:val="00386DD0"/>
    <w:pPr>
      <w:keepLines/>
      <w:tabs>
        <w:tab w:val="left" w:pos="567"/>
      </w:tabs>
      <w:spacing w:before="0" w:after="0"/>
      <w:ind w:left="567" w:hanging="567"/>
    </w:pPr>
    <w:rPr>
      <w:rFonts w:ascii="Times New Roman" w:hAnsi="Times New Roman" w:cs="Times New Roman"/>
      <w:bCs w:val="0"/>
      <w:color w:val="auto"/>
      <w:kern w:val="28"/>
      <w:sz w:val="22"/>
      <w:szCs w:val="22"/>
      <w:u w:val="none"/>
      <w:lang w:val="lt-LT" w:eastAsia="en-US"/>
    </w:rPr>
  </w:style>
  <w:style w:type="character" w:customStyle="1" w:styleId="BTgEMEASMCAChar">
    <w:name w:val="BT(g) EMEA_SMCA Char"/>
    <w:link w:val="BTgEMEASMCA"/>
    <w:locked/>
    <w:rsid w:val="00386DD0"/>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rsid w:val="00386DD0"/>
    <w:rPr>
      <w:i/>
      <w:color w:val="008000"/>
    </w:rPr>
  </w:style>
  <w:style w:type="paragraph" w:customStyle="1" w:styleId="BTuEMEASMCA">
    <w:name w:val="BT(u) EMEA_SMCA"/>
    <w:basedOn w:val="BTEMEASMCA"/>
    <w:autoRedefine/>
    <w:rsid w:val="00386DD0"/>
    <w:rPr>
      <w:u w:val="single"/>
    </w:rPr>
  </w:style>
  <w:style w:type="character" w:styleId="Komentaronuoroda">
    <w:name w:val="annotation reference"/>
    <w:semiHidden/>
    <w:unhideWhenUsed/>
    <w:rsid w:val="00386DD0"/>
    <w:rPr>
      <w:rFonts w:ascii="Times New Roman" w:hAnsi="Times New Roman" w:cs="Times New Roman" w:hint="default"/>
      <w:sz w:val="16"/>
      <w:szCs w:val="16"/>
    </w:rPr>
  </w:style>
  <w:style w:type="character" w:styleId="Puslapionumeris">
    <w:name w:val="page number"/>
    <w:unhideWhenUsed/>
    <w:rsid w:val="00386DD0"/>
    <w:rPr>
      <w:rFonts w:ascii="Times New Roman" w:hAnsi="Times New Roman" w:cs="Times New Roman" w:hint="default"/>
      <w:sz w:val="20"/>
    </w:rPr>
  </w:style>
  <w:style w:type="character" w:customStyle="1" w:styleId="UnresolvedMention1">
    <w:name w:val="Unresolved Mention1"/>
    <w:basedOn w:val="Numatytasispastraiposriftas"/>
    <w:uiPriority w:val="99"/>
    <w:semiHidden/>
    <w:unhideWhenUsed/>
    <w:rsid w:val="00386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http://www.em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36694</Words>
  <Characters>20917</Characters>
  <Application>Microsoft Office Word</Application>
  <DocSecurity>0</DocSecurity>
  <Lines>174</Lines>
  <Paragraphs>114</Paragraphs>
  <ScaleCrop>false</ScaleCrop>
  <HeadingPairs>
    <vt:vector size="4" baseType="variant">
      <vt:variant>
        <vt:lpstr>Pavadinimas</vt:lpstr>
      </vt:variant>
      <vt:variant>
        <vt:i4>1</vt:i4>
      </vt:variant>
      <vt:variant>
        <vt:lpstr>Antraštės</vt:lpstr>
      </vt:variant>
      <vt:variant>
        <vt:i4>91</vt:i4>
      </vt:variant>
    </vt:vector>
  </HeadingPairs>
  <TitlesOfParts>
    <vt:vector size="92" baseType="lpstr">
      <vt:lpstr/>
      <vt:lpstr>Pakuotės lapelis: informacija vartotojui</vt:lpstr>
      <vt:lpstr/>
      <vt:lpstr>Phoxilium 1,2 mmol/l fosfato hemodializės / hemofiltracijos tirpalas</vt:lpstr>
      <vt:lpstr>1. Kas yra Phoxilium ir kam jis vartojamas</vt:lpstr>
      <vt:lpstr>2. Kas žinotina prieš vartojant Phoxilium</vt:lpstr>
      <vt:lpstr/>
      <vt:lpstr>Kiti vaistai ir Phoxilium</vt:lpstr>
      <vt:lpstr/>
      <vt:lpstr>Nėštumas, žindymo laikotarpis ir vaisingumas</vt:lpstr>
      <vt:lpstr>Nėštumas ir žindymo laikotarpis</vt:lpstr>
      <vt:lpstr>Vairavimas ir mechanizmų valdymas</vt:lpstr>
      <vt:lpstr/>
      <vt:lpstr>3. Kaip vartoti Phoxilium</vt:lpstr>
      <vt:lpstr>Jei suvartojote daugiau Phoxilium, nei buvo numatyta</vt:lpstr>
      <vt:lpstr/>
      <vt:lpstr>4. Galimas šalutinis poveikis</vt:lpstr>
      <vt:lpstr/>
      <vt:lpstr>5. 	Kaip laikyti Phoxilium</vt:lpstr>
      <vt:lpstr>6. 	Pakuotės turinys ir kita informacija</vt:lpstr>
      <vt:lpstr/>
      <vt:lpstr>Phoxilium sudėtis</vt:lpstr>
      <vt:lpstr>Veikliosios medžiagos prieš ir po maišymo (paruošimo) pateiktos toliau.</vt:lpstr>
      <vt:lpstr>Teorinis osmolariškumas: 293 mOsm/l</vt:lpstr>
      <vt:lpstr>Phoxilium išvaizda ir kiekis pakuotėje</vt:lpstr>
      <vt:lpstr>Šis pakuotės lapelis paskutinį kartą peržiūrėtas 2025-02-03.</vt:lpstr>
      <vt:lpstr/>
      <vt:lpstr>Toliau pateikta informacija skirta tik sveikatos priežiūros specialistams</vt:lpstr>
      <vt:lpstr>Phoxilium 1,2 mmol/l fosfato hemodializės/ hemofiltracijos tirpalas</vt:lpstr>
      <vt:lpstr>Vartojimo ir paruošimo instrukcija</vt:lpstr>
      <vt:lpstr>V 	Prie bet kurios iš dviejų prieigos angų galima prijungti dializės arba pakait</vt:lpstr>
      <vt:lpstr>Pakuotės lapelis: informacija vartotojui</vt:lpstr>
      <vt:lpstr/>
      <vt:lpstr>Phoxilium 1,2 mmol/l fosfato hemodializės/ hemofiltracijos tirpalas</vt:lpstr>
      <vt:lpstr>1. Kas yra Phoxilium ir kam jis vartojamas</vt:lpstr>
      <vt:lpstr>2. Kas žinotina prieš vartojant Phoxilium</vt:lpstr>
      <vt:lpstr/>
      <vt:lpstr/>
      <vt:lpstr>Kiti vaistai ir Phoxilium</vt:lpstr>
      <vt:lpstr>Nėštumas, žindymo laikotarpis ir vaisingumas</vt:lpstr>
      <vt:lpstr>Vairavimas ir mechanizmų valdymas</vt:lpstr>
      <vt:lpstr/>
      <vt:lpstr>3. Kaip vartoti Phoxilium</vt:lpstr>
      <vt:lpstr>Jei suvartotoje daugiau Phoxilium, nei buvo numatyta</vt:lpstr>
      <vt:lpstr/>
      <vt:lpstr/>
      <vt:lpstr>4. Galimas šalutinis poveikis</vt:lpstr>
      <vt:lpstr/>
      <vt:lpstr>5. 	Kaip laikyti Phoxilium</vt:lpstr>
      <vt:lpstr>6. 	Pakuotės turinys ir kita informacija</vt:lpstr>
      <vt:lpstr/>
      <vt:lpstr>Phoxilium sudėtis </vt:lpstr>
      <vt:lpstr>Veikliosios medžiagos prieš ir po maišymo (paruošimo) pateiktos toliau.</vt:lpstr>
      <vt:lpstr>Teorinis osmolariškumas: 293 mOsm/l</vt:lpstr>
      <vt:lpstr>Phoxilium išvaizda ir kiekis pakuotėje</vt:lpstr>
      <vt:lpstr>Šis pakuotės lapelis paskutinį kartą peržiūrėtas  2025-02-03.</vt:lpstr>
      <vt:lpstr/>
      <vt:lpstr>Toliau pateikta informacija skirta tik sveikatos priežiūros specialistams</vt:lpstr>
      <vt:lpstr>Phoxilium 1,2 mmol/l fosfato hemodializės/ hemofiltracijos tirpalas </vt:lpstr>
      <vt:lpstr>Vartojimo ir paruošimo instrukcija</vt:lpstr>
      <vt:lpstr>IV 	Prie bet kurios iš dviejų prieigos angų galima prijungti dializės arba pakai</vt:lpstr>
      <vt:lpstr>Pakuotės lapelis: informacija vartotojui</vt:lpstr>
      <vt:lpstr/>
      <vt:lpstr>Phoxilium 1,2 mmol/l fosfato hemodializės/ hemofiltracijos tirpalas</vt:lpstr>
      <vt:lpstr>1. Kas yra Phoxilium ir kam jis vartojamas</vt:lpstr>
      <vt:lpstr>2. Kas žinotina prieš vartojant Phoxilium</vt:lpstr>
      <vt:lpstr/>
      <vt:lpstr>Kiti vaistai ir Phoxilium</vt:lpstr>
      <vt:lpstr/>
      <vt:lpstr>Nėštumas, žindymo laikotarpis ir vaisingumas</vt:lpstr>
      <vt:lpstr>Nėštumas ir žindymo laikotarpis</vt:lpstr>
      <vt:lpstr>Vairavimas ir mechanizmų valdymas</vt:lpstr>
      <vt:lpstr/>
      <vt:lpstr>3. Kaip vartoti Phoxilium</vt:lpstr>
      <vt:lpstr>Jei suvartojote daugiau Phoxilium, nei buvo numatyta</vt:lpstr>
      <vt:lpstr>4. Galimas šalutinis poveikis</vt:lpstr>
      <vt:lpstr/>
      <vt:lpstr>5. 	Kaip laikyti Phoxilium</vt:lpstr>
      <vt:lpstr>6. 	Pakuotės turinys ir kita informacija</vt:lpstr>
      <vt:lpstr/>
      <vt:lpstr>Phoxilium sudėtis</vt:lpstr>
      <vt:lpstr>Veikliosios medžiagos prieš ir po maišymo (paruošimo) pateiktos toliau.</vt:lpstr>
      <vt:lpstr>Teorinis osmolariškumas: 293 mOsm/l</vt:lpstr>
      <vt:lpstr>Phoxilium išvaizda ir kiekis pakuotėje</vt:lpstr>
      <vt:lpstr>Šis pakuotės lapelis paskutinį kartą peržiūrėtas 2025-02-03.</vt:lpstr>
      <vt:lpstr/>
      <vt:lpstr>--------------------------------------------------------------------------------</vt:lpstr>
      <vt:lpstr/>
      <vt:lpstr>Toliau pateikta informacija skirta tik sveikatos priežiūros specialistams</vt:lpstr>
      <vt:lpstr>Phoxilium 1,2 mmol/l fosfato hemodializės/ hemofiltracijos tirpalas</vt:lpstr>
      <vt:lpstr>Vartojimo ir paruošimo instrukcija</vt:lpstr>
      <vt:lpstr>V 	Prie bet kurios iš dviejų prieigos angų galima prijungti dializės arba pakait</vt:lpstr>
    </vt:vector>
  </TitlesOfParts>
  <Company/>
  <LinksUpToDate>false</LinksUpToDate>
  <CharactersWithSpaces>57497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2025-01-31T12:30:00Z</dcterms:created>
  <dcterms:modified xsi:type="dcterms:W3CDTF">2025-01-31T12:32:00Z</dcterms:modified>
</cp:coreProperties>
</file>