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7FE3D5" w14:textId="77777777" w:rsidR="00B932D0" w:rsidRPr="001D15C7" w:rsidRDefault="00B932D0" w:rsidP="00B932D0">
      <w:pPr>
        <w:spacing w:after="0" w:line="240" w:lineRule="auto"/>
        <w:rPr>
          <w:rFonts w:ascii="Times New Roman" w:eastAsia="Times New Roman" w:hAnsi="Times New Roman"/>
          <w:lang w:val="lt-LT"/>
        </w:rPr>
      </w:pPr>
      <w:bookmarkStart w:id="0" w:name="_GoBack"/>
      <w:bookmarkEnd w:id="0"/>
    </w:p>
    <w:p w14:paraId="5F544834" w14:textId="77777777" w:rsidR="00B932D0" w:rsidRPr="001D15C7" w:rsidRDefault="00B932D0" w:rsidP="00B932D0">
      <w:pPr>
        <w:spacing w:after="0" w:line="240" w:lineRule="auto"/>
        <w:rPr>
          <w:rFonts w:ascii="Times New Roman" w:eastAsia="Times New Roman" w:hAnsi="Times New Roman"/>
          <w:lang w:val="lt-LT"/>
        </w:rPr>
      </w:pPr>
    </w:p>
    <w:p w14:paraId="3F62ED53" w14:textId="77777777" w:rsidR="00B932D0" w:rsidRPr="001D15C7" w:rsidRDefault="00B932D0" w:rsidP="00B932D0">
      <w:pPr>
        <w:spacing w:after="0" w:line="240" w:lineRule="auto"/>
        <w:rPr>
          <w:rFonts w:ascii="Times New Roman" w:eastAsia="Times New Roman" w:hAnsi="Times New Roman"/>
          <w:lang w:val="lt-LT"/>
        </w:rPr>
      </w:pPr>
    </w:p>
    <w:p w14:paraId="51375B59" w14:textId="77777777" w:rsidR="00B932D0" w:rsidRPr="001D15C7" w:rsidRDefault="00B932D0" w:rsidP="00B932D0">
      <w:pPr>
        <w:spacing w:after="0" w:line="240" w:lineRule="auto"/>
        <w:rPr>
          <w:rFonts w:ascii="Times New Roman" w:eastAsia="Times New Roman" w:hAnsi="Times New Roman"/>
          <w:lang w:val="lt-LT"/>
        </w:rPr>
      </w:pPr>
    </w:p>
    <w:p w14:paraId="53B84923" w14:textId="77777777" w:rsidR="00B932D0" w:rsidRPr="001D15C7" w:rsidRDefault="00B932D0" w:rsidP="00B932D0">
      <w:pPr>
        <w:spacing w:after="0" w:line="240" w:lineRule="auto"/>
        <w:rPr>
          <w:rFonts w:ascii="Times New Roman" w:eastAsia="Times New Roman" w:hAnsi="Times New Roman"/>
          <w:lang w:val="lt-LT"/>
        </w:rPr>
      </w:pPr>
    </w:p>
    <w:p w14:paraId="5FDA9B74" w14:textId="77777777" w:rsidR="00B932D0" w:rsidRPr="001D15C7" w:rsidRDefault="00B932D0" w:rsidP="00B932D0">
      <w:pPr>
        <w:spacing w:after="0" w:line="240" w:lineRule="auto"/>
        <w:rPr>
          <w:rFonts w:ascii="Times New Roman" w:eastAsia="Times New Roman" w:hAnsi="Times New Roman"/>
          <w:lang w:val="lt-LT"/>
        </w:rPr>
      </w:pPr>
    </w:p>
    <w:p w14:paraId="608AA5E1" w14:textId="77777777" w:rsidR="00B932D0" w:rsidRPr="001D15C7" w:rsidRDefault="00B932D0" w:rsidP="00B932D0">
      <w:pPr>
        <w:spacing w:after="0" w:line="240" w:lineRule="auto"/>
        <w:rPr>
          <w:rFonts w:ascii="Times New Roman" w:eastAsia="Times New Roman" w:hAnsi="Times New Roman"/>
          <w:lang w:val="lt-LT"/>
        </w:rPr>
      </w:pPr>
    </w:p>
    <w:p w14:paraId="420A826D" w14:textId="77777777" w:rsidR="00B932D0" w:rsidRPr="001D15C7" w:rsidRDefault="00B932D0" w:rsidP="00B932D0">
      <w:pPr>
        <w:spacing w:after="0" w:line="240" w:lineRule="auto"/>
        <w:rPr>
          <w:rFonts w:ascii="Times New Roman" w:eastAsia="Times New Roman" w:hAnsi="Times New Roman"/>
          <w:lang w:val="lt-LT"/>
        </w:rPr>
      </w:pPr>
    </w:p>
    <w:p w14:paraId="283A79B3" w14:textId="77777777" w:rsidR="00B932D0" w:rsidRPr="001D15C7" w:rsidRDefault="00B932D0" w:rsidP="00B932D0">
      <w:pPr>
        <w:spacing w:after="0" w:line="240" w:lineRule="auto"/>
        <w:rPr>
          <w:rFonts w:ascii="Times New Roman" w:eastAsia="Times New Roman" w:hAnsi="Times New Roman"/>
          <w:lang w:val="lt-LT"/>
        </w:rPr>
      </w:pPr>
    </w:p>
    <w:p w14:paraId="665B834B" w14:textId="77777777" w:rsidR="00B932D0" w:rsidRPr="001D15C7" w:rsidRDefault="00B932D0" w:rsidP="00B932D0">
      <w:pPr>
        <w:spacing w:after="0" w:line="240" w:lineRule="auto"/>
        <w:rPr>
          <w:rFonts w:ascii="Times New Roman" w:eastAsia="Times New Roman" w:hAnsi="Times New Roman"/>
          <w:lang w:val="lt-LT"/>
        </w:rPr>
      </w:pPr>
    </w:p>
    <w:p w14:paraId="5FC8C81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4B0C6C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CC7023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9AC886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AF935C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590D7D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0B5A7D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F43D9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BEABD7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7262C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A4363A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651BEF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9184C1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42C1573"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b/>
          <w:noProof/>
          <w:lang w:val="lt-LT"/>
        </w:rPr>
      </w:pPr>
      <w:bookmarkStart w:id="1" w:name="_Toc129243096"/>
      <w:bookmarkStart w:id="2" w:name="_Toc129243221"/>
      <w:r w:rsidRPr="001D15C7">
        <w:rPr>
          <w:rFonts w:ascii="Times New Roman" w:eastAsia="Times New Roman" w:hAnsi="Times New Roman"/>
          <w:b/>
          <w:noProof/>
          <w:lang w:val="lt-LT"/>
        </w:rPr>
        <w:t>I PRIEDAS</w:t>
      </w:r>
      <w:bookmarkEnd w:id="1"/>
      <w:bookmarkEnd w:id="2"/>
    </w:p>
    <w:p w14:paraId="5A3FC9B9"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b/>
          <w:noProof/>
          <w:lang w:val="lt-LT"/>
        </w:rPr>
      </w:pPr>
    </w:p>
    <w:p w14:paraId="5C2A9C3E"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b/>
          <w:noProof/>
          <w:lang w:val="lt-LT"/>
        </w:rPr>
      </w:pPr>
      <w:bookmarkStart w:id="3" w:name="_Toc129243097"/>
      <w:bookmarkStart w:id="4" w:name="_Toc129243222"/>
      <w:r w:rsidRPr="001D15C7">
        <w:rPr>
          <w:rFonts w:ascii="Times New Roman" w:eastAsia="Times New Roman" w:hAnsi="Times New Roman"/>
          <w:b/>
          <w:noProof/>
          <w:lang w:val="lt-LT"/>
        </w:rPr>
        <w:t>PREPARATO CHARAKTERISTIKŲ SANTRAUKA</w:t>
      </w:r>
      <w:bookmarkEnd w:id="3"/>
      <w:bookmarkEnd w:id="4"/>
    </w:p>
    <w:p w14:paraId="69B8CEC9" w14:textId="77777777" w:rsidR="00B932D0" w:rsidRPr="002F3B5B" w:rsidRDefault="00B932D0" w:rsidP="00E029EB">
      <w:pPr>
        <w:tabs>
          <w:tab w:val="left" w:pos="0"/>
          <w:tab w:val="left" w:pos="567"/>
        </w:tabs>
        <w:spacing w:after="0" w:line="240" w:lineRule="auto"/>
        <w:outlineLvl w:val="0"/>
        <w:rPr>
          <w:rFonts w:ascii="Times New Roman" w:eastAsia="Times New Roman" w:hAnsi="Times New Roman"/>
          <w:b/>
          <w:caps/>
          <w:lang w:val="it-IT"/>
        </w:rPr>
      </w:pPr>
      <w:r w:rsidRPr="002F3B5B">
        <w:rPr>
          <w:rFonts w:ascii="Times New Roman" w:eastAsia="Times New Roman" w:hAnsi="Times New Roman"/>
          <w:b/>
          <w:bCs/>
          <w:iCs/>
          <w:caps/>
          <w:lang w:val="it-IT"/>
        </w:rPr>
        <w:br w:type="page"/>
      </w:r>
      <w:bookmarkStart w:id="5" w:name="_Toc129243223"/>
      <w:bookmarkStart w:id="6" w:name="_Toc129243098"/>
      <w:r w:rsidRPr="002F3B5B">
        <w:rPr>
          <w:rFonts w:ascii="Times New Roman" w:eastAsia="Times New Roman" w:hAnsi="Times New Roman"/>
          <w:b/>
          <w:caps/>
          <w:lang w:val="it-IT"/>
        </w:rPr>
        <w:lastRenderedPageBreak/>
        <w:t>1.</w:t>
      </w:r>
      <w:r w:rsidRPr="002F3B5B">
        <w:rPr>
          <w:rFonts w:ascii="Times New Roman" w:eastAsia="Times New Roman" w:hAnsi="Times New Roman"/>
          <w:b/>
          <w:caps/>
          <w:lang w:val="it-IT"/>
        </w:rPr>
        <w:tab/>
        <w:t>VAISTINIO PREPARATO PAVADINIMAS</w:t>
      </w:r>
      <w:bookmarkEnd w:id="5"/>
      <w:bookmarkEnd w:id="6"/>
    </w:p>
    <w:p w14:paraId="71E1F42C" w14:textId="77777777" w:rsidR="00B932D0" w:rsidRPr="002F3B5B" w:rsidRDefault="00B932D0" w:rsidP="00B932D0">
      <w:pPr>
        <w:tabs>
          <w:tab w:val="left" w:pos="0"/>
        </w:tabs>
        <w:spacing w:after="0" w:line="240" w:lineRule="auto"/>
        <w:outlineLvl w:val="0"/>
        <w:rPr>
          <w:rFonts w:ascii="Times New Roman" w:hAnsi="Times New Roman"/>
          <w:b/>
          <w:caps/>
          <w:lang w:val="it-IT"/>
        </w:rPr>
      </w:pPr>
    </w:p>
    <w:p w14:paraId="04611F32"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NUROFEN FORTE EXPRESS 400 mg dengtos tabletės</w:t>
      </w:r>
    </w:p>
    <w:p w14:paraId="1CF6612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2FA2AE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24BAA11"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7" w:name="_Toc129243224"/>
      <w:bookmarkStart w:id="8" w:name="_Toc129243099"/>
      <w:r>
        <w:rPr>
          <w:rFonts w:ascii="Times New Roman" w:eastAsia="Times New Roman" w:hAnsi="Times New Roman"/>
          <w:b/>
          <w:lang w:val="lt-LT"/>
        </w:rPr>
        <w:t>2.</w:t>
      </w:r>
      <w:r>
        <w:rPr>
          <w:rFonts w:ascii="Times New Roman" w:eastAsia="Times New Roman" w:hAnsi="Times New Roman"/>
          <w:b/>
          <w:lang w:val="lt-LT"/>
        </w:rPr>
        <w:tab/>
        <w:t>KOKYBINĖ IR KIEKYBINĖ SUDĖTIS</w:t>
      </w:r>
      <w:bookmarkEnd w:id="7"/>
      <w:bookmarkEnd w:id="8"/>
    </w:p>
    <w:p w14:paraId="6BC82E1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99CC8A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Vienoje tabletėje yra 400 mg ibuprofeno (natrio druskos dihidrato pavidalu).</w:t>
      </w:r>
    </w:p>
    <w:p w14:paraId="0ECA6D3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6CD640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u w:val="single"/>
          <w:lang w:val="lt-LT"/>
        </w:rPr>
        <w:t>Pagalbinės medžiagos</w:t>
      </w:r>
      <w:r>
        <w:rPr>
          <w:rFonts w:ascii="Times New Roman" w:eastAsia="Times New Roman" w:hAnsi="Times New Roman"/>
          <w:u w:val="single"/>
          <w:lang w:val="lt-LT"/>
        </w:rPr>
        <w:t>, kurių poveikis žinomas</w:t>
      </w:r>
      <w:r>
        <w:rPr>
          <w:rFonts w:ascii="Times New Roman" w:eastAsia="Times New Roman" w:hAnsi="Times New Roman"/>
          <w:noProof/>
          <w:lang w:val="lt-LT"/>
        </w:rPr>
        <w:t>: sacharozė ir natris.</w:t>
      </w:r>
    </w:p>
    <w:p w14:paraId="1084049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Vienoje tabletėje yra 186,20 mg sacharozės, 2,43 mmol (arba 55,89 mg) natrio.</w:t>
      </w:r>
    </w:p>
    <w:p w14:paraId="33B1D63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87424B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Visos pagalbinės medžiagos išvardytos 6.1 skyriuje.</w:t>
      </w:r>
    </w:p>
    <w:p w14:paraId="2AB182C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6F3079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4785E36"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9" w:name="_Toc129243225"/>
      <w:bookmarkStart w:id="10" w:name="_Toc129243100"/>
      <w:r>
        <w:rPr>
          <w:rFonts w:ascii="Times New Roman" w:eastAsia="Times New Roman" w:hAnsi="Times New Roman"/>
          <w:b/>
          <w:lang w:val="lt-LT"/>
        </w:rPr>
        <w:t>3.</w:t>
      </w:r>
      <w:r>
        <w:rPr>
          <w:rFonts w:ascii="Times New Roman" w:eastAsia="Times New Roman" w:hAnsi="Times New Roman"/>
          <w:b/>
          <w:lang w:val="lt-LT"/>
        </w:rPr>
        <w:tab/>
        <w:t>FARMACINĖ FORMA</w:t>
      </w:r>
      <w:bookmarkEnd w:id="9"/>
      <w:bookmarkEnd w:id="10"/>
    </w:p>
    <w:p w14:paraId="78C33CC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4FF34C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Dengta tabletė</w:t>
      </w:r>
    </w:p>
    <w:p w14:paraId="7D98564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8331DF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Tabletės yra baltos spalvos, abipus išgaubtos, apvalios, dengtos cukrumi. Vienoje tabletės pusėje yra raudonas užrašas „NUROFEN“.</w:t>
      </w:r>
    </w:p>
    <w:p w14:paraId="3C105DEC"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AF0097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5A8E9AF"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11" w:name="_Toc129243226"/>
      <w:bookmarkStart w:id="12" w:name="_Toc129243101"/>
      <w:r>
        <w:rPr>
          <w:rFonts w:ascii="Times New Roman" w:eastAsia="Times New Roman" w:hAnsi="Times New Roman"/>
          <w:b/>
          <w:lang w:val="lt-LT"/>
        </w:rPr>
        <w:t>4.</w:t>
      </w:r>
      <w:r>
        <w:rPr>
          <w:rFonts w:ascii="Times New Roman" w:eastAsia="Times New Roman" w:hAnsi="Times New Roman"/>
          <w:b/>
          <w:lang w:val="lt-LT"/>
        </w:rPr>
        <w:tab/>
        <w:t>KLINIKINĖ INFORMACIJA</w:t>
      </w:r>
      <w:bookmarkEnd w:id="11"/>
      <w:bookmarkEnd w:id="12"/>
    </w:p>
    <w:p w14:paraId="7C19C04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2F25E9B"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13" w:name="_Toc129243227"/>
      <w:bookmarkStart w:id="14" w:name="_Toc129243102"/>
      <w:r>
        <w:rPr>
          <w:rFonts w:ascii="Times New Roman" w:eastAsia="Times New Roman" w:hAnsi="Times New Roman"/>
          <w:b/>
          <w:bCs/>
          <w:kern w:val="28"/>
          <w:lang w:val="lt-LT"/>
        </w:rPr>
        <w:t>4.1</w:t>
      </w:r>
      <w:r>
        <w:rPr>
          <w:rFonts w:ascii="Times New Roman" w:eastAsia="Times New Roman" w:hAnsi="Times New Roman"/>
          <w:b/>
          <w:bCs/>
          <w:kern w:val="28"/>
          <w:lang w:val="lt-LT"/>
        </w:rPr>
        <w:tab/>
        <w:t>Terapinės indikacijos</w:t>
      </w:r>
      <w:bookmarkEnd w:id="13"/>
      <w:bookmarkEnd w:id="14"/>
    </w:p>
    <w:p w14:paraId="272408B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C6E6AD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Trumpalaikis silpno ar vidutinio stiprumo, tokio kaip galvos, dantų, raumenų, sąnarių, pirminės dismenorėjos sukelto skausmo malšinimas. </w:t>
      </w:r>
    </w:p>
    <w:p w14:paraId="230559E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Karščiavimo mažinimas.</w:t>
      </w:r>
    </w:p>
    <w:p w14:paraId="1F55C0D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7D2CE9E" w14:textId="77777777" w:rsidR="00B932D0" w:rsidRDefault="00B932D0" w:rsidP="00B932D0">
      <w:pPr>
        <w:keepNext/>
        <w:keepLines/>
        <w:numPr>
          <w:ilvl w:val="1"/>
          <w:numId w:val="17"/>
        </w:numPr>
        <w:tabs>
          <w:tab w:val="left" w:pos="0"/>
        </w:tabs>
        <w:spacing w:after="0" w:line="240" w:lineRule="auto"/>
        <w:outlineLvl w:val="2"/>
        <w:rPr>
          <w:rFonts w:ascii="Times New Roman" w:eastAsia="Times New Roman" w:hAnsi="Times New Roman"/>
          <w:b/>
          <w:kern w:val="28"/>
          <w:lang w:val="lt-LT"/>
        </w:rPr>
      </w:pPr>
      <w:bookmarkStart w:id="15" w:name="_Toc129243228"/>
      <w:bookmarkStart w:id="16" w:name="_Toc129243103"/>
      <w:r>
        <w:rPr>
          <w:rFonts w:ascii="Times New Roman" w:eastAsia="Times New Roman" w:hAnsi="Times New Roman"/>
          <w:b/>
          <w:kern w:val="28"/>
          <w:lang w:val="lt-LT"/>
        </w:rPr>
        <w:t>Dozavimas ir vartojimo metodas</w:t>
      </w:r>
      <w:bookmarkEnd w:id="15"/>
      <w:bookmarkEnd w:id="16"/>
    </w:p>
    <w:p w14:paraId="2D4D622F"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0CBC764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Pr>
          <w:rFonts w:ascii="Times New Roman" w:eastAsia="Times New Roman" w:hAnsi="Times New Roman"/>
          <w:noProof/>
          <w:u w:val="single"/>
          <w:lang w:val="lt-LT"/>
        </w:rPr>
        <w:t>Dozavimas</w:t>
      </w:r>
    </w:p>
    <w:p w14:paraId="3513178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87B632D" w14:textId="77777777" w:rsidR="00B932D0" w:rsidRDefault="00B932D0" w:rsidP="00B932D0">
      <w:pPr>
        <w:tabs>
          <w:tab w:val="left" w:pos="567"/>
        </w:tabs>
        <w:spacing w:after="0" w:line="240" w:lineRule="auto"/>
        <w:rPr>
          <w:rFonts w:ascii="Times New Roman" w:eastAsia="Times New Roman" w:hAnsi="Times New Roman"/>
          <w:i/>
          <w:lang w:val="lt-LT"/>
        </w:rPr>
      </w:pPr>
      <w:r>
        <w:rPr>
          <w:rFonts w:ascii="Times New Roman" w:eastAsia="Times New Roman" w:hAnsi="Times New Roman"/>
          <w:i/>
          <w:lang w:val="lt-LT"/>
        </w:rPr>
        <w:t>Suaugusieji ir vyresni kaip 12 metų paaugliai:</w:t>
      </w:r>
    </w:p>
    <w:p w14:paraId="70987EDA"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Po 1 dengtą tabletę 3 kartus per parą vartojant kas 8 valandas. Negalima viršyti didžiausios ibuprofeno paros dozės – 1200 mg. </w:t>
      </w:r>
    </w:p>
    <w:p w14:paraId="2547524E" w14:textId="77777777" w:rsidR="00B932D0" w:rsidRDefault="00B932D0" w:rsidP="00B932D0">
      <w:pPr>
        <w:tabs>
          <w:tab w:val="left" w:pos="567"/>
        </w:tabs>
        <w:spacing w:after="0" w:line="240" w:lineRule="auto"/>
        <w:rPr>
          <w:rFonts w:ascii="Times New Roman" w:eastAsia="Times New Roman" w:hAnsi="Times New Roman"/>
          <w:lang w:val="lt-LT"/>
        </w:rPr>
      </w:pPr>
    </w:p>
    <w:p w14:paraId="3C2D3D66"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Jei simptomai per tris paras išlieka ar blogėja, reikalinga gydytojo konsultacija dėl NUROFEN FORTE EXPRESS 400 mg dengtos tabletės vartojimo.</w:t>
      </w:r>
    </w:p>
    <w:p w14:paraId="2E993B56"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Jei vyresniems kaip 12 metų paaugliams šio vaistinio preparato vartoti reikia ilgiau nei 3 paras ar simptomai pasunkėja, reikia pasitarti su gydytoju.</w:t>
      </w:r>
    </w:p>
    <w:p w14:paraId="47861E72" w14:textId="77777777" w:rsidR="00B932D0" w:rsidRDefault="00B932D0" w:rsidP="00B932D0">
      <w:pPr>
        <w:tabs>
          <w:tab w:val="left" w:pos="567"/>
        </w:tabs>
        <w:spacing w:after="0" w:line="240" w:lineRule="auto"/>
        <w:rPr>
          <w:rFonts w:ascii="Times New Roman" w:eastAsia="Times New Roman" w:hAnsi="Times New Roman"/>
          <w:i/>
          <w:lang w:val="lt-LT"/>
        </w:rPr>
      </w:pPr>
    </w:p>
    <w:p w14:paraId="7F4ACAD6" w14:textId="77777777" w:rsidR="00B932D0" w:rsidRDefault="00B932D0" w:rsidP="00B932D0">
      <w:pPr>
        <w:tabs>
          <w:tab w:val="left" w:pos="567"/>
        </w:tabs>
        <w:spacing w:after="0" w:line="240" w:lineRule="auto"/>
        <w:rPr>
          <w:rFonts w:ascii="Times New Roman" w:eastAsia="Times New Roman" w:hAnsi="Times New Roman"/>
          <w:i/>
          <w:lang w:val="lt-LT"/>
        </w:rPr>
      </w:pPr>
      <w:r>
        <w:rPr>
          <w:rFonts w:ascii="Times New Roman" w:eastAsia="Times New Roman" w:hAnsi="Times New Roman"/>
          <w:i/>
          <w:lang w:val="lt-LT"/>
        </w:rPr>
        <w:t xml:space="preserve">Senyviems pacientams, taip pat pacientams, kurių inkstų ar kepenų funkcija sutrikusi </w:t>
      </w:r>
    </w:p>
    <w:p w14:paraId="73546242"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Šių grupių pacientams specialaus dozavimo nereikia, tačiau vaistinį preparatą reikia skirti atsargiai (žr. 4.4 skyrių).</w:t>
      </w:r>
    </w:p>
    <w:p w14:paraId="074A7B2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Esant sunkiam inkstų arba kepenų nepakankamumui, vaistinį preparatą skirti draudžiama (žr. 4.3 skyrių).</w:t>
      </w:r>
    </w:p>
    <w:p w14:paraId="4F6481A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DCDE93C" w14:textId="77777777" w:rsidR="00B932D0" w:rsidRDefault="00B932D0" w:rsidP="00B932D0">
      <w:pPr>
        <w:tabs>
          <w:tab w:val="left" w:pos="567"/>
        </w:tabs>
        <w:spacing w:after="0" w:line="240" w:lineRule="auto"/>
        <w:rPr>
          <w:rFonts w:ascii="Times New Roman" w:eastAsia="Times New Roman" w:hAnsi="Times New Roman"/>
          <w:i/>
          <w:lang w:val="lt-LT"/>
        </w:rPr>
      </w:pPr>
      <w:r>
        <w:rPr>
          <w:rFonts w:ascii="Times New Roman" w:eastAsia="Times New Roman" w:hAnsi="Times New Roman"/>
          <w:i/>
          <w:lang w:val="lt-LT"/>
        </w:rPr>
        <w:t>Vaikų populiacija</w:t>
      </w:r>
    </w:p>
    <w:p w14:paraId="3F79844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NUROFEN FORTE EXPRESS 400 mg dengtos tabletės nėra skirtos jaunesniems kaip 12 metų vaikams ir paaugliams.</w:t>
      </w:r>
    </w:p>
    <w:p w14:paraId="33D47DB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p>
    <w:p w14:paraId="79E6F0B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Pr>
          <w:rFonts w:ascii="Times New Roman" w:eastAsia="Times New Roman" w:hAnsi="Times New Roman"/>
          <w:noProof/>
          <w:u w:val="single"/>
          <w:lang w:val="lt-LT"/>
        </w:rPr>
        <w:lastRenderedPageBreak/>
        <w:t>Vartojimo metodas</w:t>
      </w:r>
    </w:p>
    <w:p w14:paraId="2BACF778" w14:textId="77777777" w:rsidR="00B932D0" w:rsidRDefault="00B932D0" w:rsidP="00B932D0">
      <w:pPr>
        <w:tabs>
          <w:tab w:val="left" w:pos="567"/>
        </w:tabs>
        <w:spacing w:after="120" w:line="240" w:lineRule="auto"/>
        <w:rPr>
          <w:rFonts w:ascii="Times New Roman" w:eastAsia="Times New Roman" w:hAnsi="Times New Roman"/>
          <w:lang w:val="lt-LT"/>
        </w:rPr>
      </w:pPr>
      <w:r>
        <w:rPr>
          <w:rFonts w:ascii="Times New Roman" w:eastAsia="Times New Roman" w:hAnsi="Times New Roman"/>
          <w:lang w:val="lt-LT"/>
        </w:rPr>
        <w:t>Vartoti per burną.</w:t>
      </w:r>
    </w:p>
    <w:p w14:paraId="259E7490" w14:textId="77777777" w:rsidR="00B932D0" w:rsidRDefault="00B932D0" w:rsidP="00B932D0">
      <w:pPr>
        <w:tabs>
          <w:tab w:val="left" w:pos="567"/>
        </w:tabs>
        <w:spacing w:after="120" w:line="240" w:lineRule="auto"/>
        <w:rPr>
          <w:rFonts w:ascii="Times New Roman" w:eastAsia="Times New Roman" w:hAnsi="Times New Roman"/>
          <w:lang w:val="lt-LT"/>
        </w:rPr>
      </w:pPr>
      <w:r>
        <w:rPr>
          <w:rFonts w:ascii="Times New Roman" w:eastAsia="Times New Roman" w:hAnsi="Times New Roman"/>
          <w:lang w:val="lt-LT"/>
        </w:rPr>
        <w:t>Tabletes reikia nuryti valgio metu arba pavalgius, užsigeriant pakankamu skysčio kiekiu.</w:t>
      </w:r>
    </w:p>
    <w:p w14:paraId="4AEA741B" w14:textId="77777777" w:rsidR="00B932D0" w:rsidRDefault="00B932D0" w:rsidP="00B932D0">
      <w:pPr>
        <w:tabs>
          <w:tab w:val="left" w:pos="567"/>
        </w:tabs>
        <w:spacing w:after="0" w:line="240" w:lineRule="auto"/>
        <w:rPr>
          <w:rFonts w:ascii="Times New Roman" w:eastAsia="Times New Roman" w:hAnsi="Times New Roman"/>
          <w:lang w:val="lt-LT" w:eastAsia="x-none"/>
        </w:rPr>
      </w:pPr>
    </w:p>
    <w:p w14:paraId="1F7507B4" w14:textId="77777777" w:rsidR="00B932D0" w:rsidRPr="00786C67" w:rsidRDefault="00B932D0" w:rsidP="00B932D0">
      <w:pPr>
        <w:tabs>
          <w:tab w:val="left" w:pos="567"/>
        </w:tabs>
        <w:spacing w:after="0" w:line="240" w:lineRule="auto"/>
        <w:rPr>
          <w:rFonts w:ascii="Times New Roman" w:hAnsi="Times New Roman"/>
          <w:lang w:val="lt-LT"/>
        </w:rPr>
      </w:pPr>
      <w:r w:rsidRPr="00127E65">
        <w:rPr>
          <w:rFonts w:ascii="Times New Roman" w:hAnsi="Times New Roman"/>
          <w:lang w:val="lt-LT"/>
        </w:rPr>
        <w:t>Reikia vartoti mažiausią veiksmingą dozę ir ją vartoti kuo trumpiau, kiek tai būtina simptomams palengvinti (žr. 4.4 skyrių).</w:t>
      </w:r>
    </w:p>
    <w:p w14:paraId="67B53A5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E8BED0E" w14:textId="77777777" w:rsidR="00B932D0" w:rsidRDefault="00B932D0" w:rsidP="00B932D0">
      <w:pPr>
        <w:keepNext/>
        <w:keepLines/>
        <w:numPr>
          <w:ilvl w:val="1"/>
          <w:numId w:val="17"/>
        </w:numPr>
        <w:tabs>
          <w:tab w:val="left" w:pos="0"/>
        </w:tabs>
        <w:spacing w:after="0" w:line="240" w:lineRule="auto"/>
        <w:outlineLvl w:val="2"/>
        <w:rPr>
          <w:rFonts w:ascii="Times New Roman" w:eastAsia="Times New Roman" w:hAnsi="Times New Roman"/>
          <w:bCs/>
          <w:kern w:val="28"/>
          <w:lang w:val="lt-LT"/>
        </w:rPr>
      </w:pPr>
      <w:bookmarkStart w:id="17" w:name="_Toc129243229"/>
      <w:bookmarkStart w:id="18" w:name="_Toc129243104"/>
      <w:r>
        <w:rPr>
          <w:rFonts w:ascii="Times New Roman" w:eastAsia="Times New Roman" w:hAnsi="Times New Roman"/>
          <w:b/>
          <w:bCs/>
          <w:kern w:val="28"/>
          <w:lang w:val="lt-LT"/>
        </w:rPr>
        <w:t>Kontraindikacijos</w:t>
      </w:r>
      <w:bookmarkEnd w:id="17"/>
      <w:bookmarkEnd w:id="18"/>
    </w:p>
    <w:p w14:paraId="4911F692"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512D19A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Padidėjęs jautrumas veikliajai arba bet kuriai 6.1 skyriuje nurodytai pagalbinei medžiagai.</w:t>
      </w:r>
    </w:p>
    <w:p w14:paraId="4A3D001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Jei praeityje yra buvę padidėjusio jautrumo reakcijų (astma, rinitas, angioneurozinis pabrinkimas, dilgėlinė) vartojant ibuprofeno, kitų nesteroidinių vaistinių preparatų nuo uždegimo (NVPNU), įskaitant ir acetilsalicilo rūgšties darinius. </w:t>
      </w:r>
    </w:p>
    <w:p w14:paraId="213A557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Paskutinių trijų nėštumo mėnesių laikotarpiu (žr.4.6 skyrių).</w:t>
      </w:r>
    </w:p>
    <w:p w14:paraId="55ECA20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Sunkus kepenų nepakankamumas (žr. 4.4 skyrių).</w:t>
      </w:r>
    </w:p>
    <w:p w14:paraId="72108F1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Sunkus inkstų nepakankamumas (žr. 4.4 skyrių).</w:t>
      </w:r>
    </w:p>
    <w:p w14:paraId="004DD660" w14:textId="77777777" w:rsidR="00B932D0" w:rsidRDefault="00B932D0" w:rsidP="00B932D0">
      <w:pPr>
        <w:spacing w:after="0" w:line="240" w:lineRule="auto"/>
        <w:rPr>
          <w:rFonts w:ascii="Times New Roman" w:eastAsia="Times New Roman" w:hAnsi="Times New Roman"/>
          <w:sz w:val="24"/>
          <w:szCs w:val="24"/>
          <w:lang w:val="lt-LT"/>
        </w:rPr>
      </w:pPr>
      <w:r w:rsidRPr="00CF5F1E">
        <w:rPr>
          <w:rFonts w:ascii="Times New Roman" w:eastAsia="Times New Roman" w:hAnsi="Times New Roman"/>
          <w:lang w:val="lt-LT"/>
        </w:rPr>
        <w:t>Sunkus širdies nepakankamumas</w:t>
      </w:r>
      <w:r>
        <w:rPr>
          <w:rFonts w:ascii="Times New Roman" w:eastAsia="Times New Roman" w:hAnsi="Times New Roman"/>
          <w:lang w:val="lt-LT"/>
        </w:rPr>
        <w:t xml:space="preserve"> </w:t>
      </w:r>
      <w:r>
        <w:rPr>
          <w:rFonts w:ascii="Times New Roman" w:eastAsia="Times New Roman" w:hAnsi="Times New Roman"/>
          <w:lang w:val="lt-LT" w:eastAsia="x-none"/>
        </w:rPr>
        <w:t>(IV funkcinės klasės pagal NYHA)</w:t>
      </w:r>
      <w:r>
        <w:rPr>
          <w:rFonts w:ascii="Times New Roman" w:eastAsia="Times New Roman" w:hAnsi="Times New Roman"/>
          <w:lang w:val="lt-LT"/>
        </w:rPr>
        <w:t>.</w:t>
      </w:r>
    </w:p>
    <w:p w14:paraId="4525C7C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Esama ar buvusi pasikartojanti pepsinė opa ar hemoragija (du ar daugiau atskirų įrodytų išopėjimo ar kraujavimo epizodų).</w:t>
      </w:r>
    </w:p>
    <w:p w14:paraId="556D681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Buvęs kraujavimas iš virškinimo trakto ar jo prakiurimas, susijęs su ankstesniu NVPNU vartojimu. </w:t>
      </w:r>
    </w:p>
    <w:p w14:paraId="613F4A4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Kraujavimas į smegenis, virškinimo traktą arba kitoks kraujavimas.</w:t>
      </w:r>
    </w:p>
    <w:p w14:paraId="5411F67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028F731"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19" w:name="_Toc129243230"/>
      <w:bookmarkStart w:id="20" w:name="_Toc129243105"/>
      <w:r>
        <w:rPr>
          <w:rFonts w:ascii="Times New Roman" w:eastAsia="Times New Roman" w:hAnsi="Times New Roman"/>
          <w:b/>
          <w:bCs/>
          <w:kern w:val="28"/>
          <w:lang w:val="lt-LT"/>
        </w:rPr>
        <w:t>4.4</w:t>
      </w:r>
      <w:r>
        <w:rPr>
          <w:rFonts w:ascii="Times New Roman" w:eastAsia="Times New Roman" w:hAnsi="Times New Roman"/>
          <w:b/>
          <w:bCs/>
          <w:kern w:val="28"/>
          <w:lang w:val="lt-LT"/>
        </w:rPr>
        <w:tab/>
        <w:t>Specialūs įspėjimai ir atsargumo priemonės</w:t>
      </w:r>
      <w:bookmarkEnd w:id="19"/>
      <w:bookmarkEnd w:id="20"/>
    </w:p>
    <w:p w14:paraId="4E9FE2F9" w14:textId="77777777" w:rsidR="00B932D0" w:rsidRDefault="00B932D0" w:rsidP="00B932D0">
      <w:pPr>
        <w:spacing w:after="0" w:line="240" w:lineRule="auto"/>
        <w:rPr>
          <w:rFonts w:ascii="Times New Roman" w:eastAsia="Times New Roman" w:hAnsi="Times New Roman"/>
          <w:lang w:val="lt-LT"/>
        </w:rPr>
      </w:pPr>
    </w:p>
    <w:p w14:paraId="66D351EE"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Nepageidaujamas poveikis gali sumažėti, vartojant mažiausią veiksmingą vaistinio preparato dozę trumpiausią laiką, būtiną simptomų kontrolei (žr. 4.2 skyrių ir toliau aprašytą pavojų virškinimo traktui bei širdies ir kraujagyslių sistemai).</w:t>
      </w:r>
    </w:p>
    <w:p w14:paraId="53FB11BE" w14:textId="77777777" w:rsidR="00B932D0" w:rsidRDefault="00B932D0" w:rsidP="00B932D0">
      <w:pPr>
        <w:spacing w:after="0" w:line="240" w:lineRule="auto"/>
        <w:rPr>
          <w:rFonts w:ascii="Times New Roman" w:eastAsia="Times New Roman" w:hAnsi="Times New Roman"/>
          <w:lang w:val="lt-LT"/>
        </w:rPr>
      </w:pPr>
    </w:p>
    <w:p w14:paraId="61E490A5"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Senyvi pacientai</w:t>
      </w:r>
    </w:p>
    <w:p w14:paraId="188DF5F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Senyviems pacientams yra dažnesnės nepageidaujamos reakcijos į NVPNU, ypač kraujavimas iš virškinimo trakto ir jo prakiurimas, kurie gali būti mirtini (žr. 4.2 skyrių). </w:t>
      </w:r>
    </w:p>
    <w:p w14:paraId="1922C1E8" w14:textId="77777777" w:rsidR="00B932D0" w:rsidRDefault="00B932D0" w:rsidP="00B932D0">
      <w:pPr>
        <w:spacing w:after="0" w:line="240" w:lineRule="auto"/>
        <w:rPr>
          <w:rFonts w:ascii="Times New Roman" w:eastAsia="Times New Roman" w:hAnsi="Times New Roman"/>
          <w:lang w:val="lt-LT"/>
        </w:rPr>
      </w:pPr>
    </w:p>
    <w:p w14:paraId="65759056"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Poveikis kvėpavimo sistemai</w:t>
      </w:r>
    </w:p>
    <w:p w14:paraId="6A2F0FC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Pacientams, praeityje sirgusiems ar sergantiems bronchine astma ar alerginėmis ligomis gali išsivystyti bronchų spazmas. Vartojant ibuprofeno gali išsivystyti astmos priepuolis, ypač asmenims, kurie yra jautrūs acetilsalicilo rūgščiai ar NVPNU (žr. 4.3 skyrių).</w:t>
      </w:r>
    </w:p>
    <w:p w14:paraId="2A7D2BA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F00376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Pacientams, kuriems yra astma, susijusi su lėtiniu rinitu, lėtiniu sinusitu ir (arba) nosies polipais vartojantiems acetilsalicilo rūgštį ir (arba) NVPNU yra alerginių reakcijų  rizika.</w:t>
      </w:r>
    </w:p>
    <w:p w14:paraId="665B2C4F" w14:textId="77777777" w:rsidR="00B932D0" w:rsidRDefault="00B932D0" w:rsidP="00B932D0">
      <w:pPr>
        <w:spacing w:after="0" w:line="240" w:lineRule="auto"/>
        <w:rPr>
          <w:rFonts w:ascii="Times New Roman" w:eastAsia="Times New Roman" w:hAnsi="Times New Roman"/>
          <w:i/>
          <w:lang w:val="lt-LT"/>
        </w:rPr>
      </w:pPr>
    </w:p>
    <w:p w14:paraId="52BFB920"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Kitų NVPNU vartojimas</w:t>
      </w:r>
    </w:p>
    <w:p w14:paraId="202DE61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Reikia vengti vartoti ibuprofeno kartu su kitais NVPNU, įskaitant selektyvius ciklooksigenazės 2 inhibitorius (žr. 4.5 skyrių).</w:t>
      </w:r>
    </w:p>
    <w:p w14:paraId="1BE064DC" w14:textId="77777777" w:rsidR="00B932D0" w:rsidRDefault="00B932D0" w:rsidP="00B932D0">
      <w:pPr>
        <w:spacing w:after="0" w:line="240" w:lineRule="auto"/>
        <w:rPr>
          <w:rFonts w:ascii="Times New Roman" w:eastAsia="Times New Roman" w:hAnsi="Times New Roman"/>
          <w:lang w:val="lt-LT"/>
        </w:rPr>
      </w:pPr>
    </w:p>
    <w:p w14:paraId="0A8A0C5D"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Sisteminė raudonoji vilkligė (SRV) ir mišri jungiamojo audinio liga</w:t>
      </w:r>
    </w:p>
    <w:p w14:paraId="6D09075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Dėl aseptinio meningito pavojaus, pacientai, sergantys sistemine raudonąja vilklige ir jungiamojo audinio ligomis, ibuprofeno vartoti turi atsargiai (žr. 4.8 skyrių). </w:t>
      </w:r>
    </w:p>
    <w:p w14:paraId="0E6BF10C" w14:textId="77777777" w:rsidR="00B932D0" w:rsidRDefault="00B932D0" w:rsidP="00B932D0">
      <w:pPr>
        <w:spacing w:after="0" w:line="240" w:lineRule="auto"/>
        <w:rPr>
          <w:rFonts w:ascii="Times New Roman" w:eastAsia="Times New Roman" w:hAnsi="Times New Roman"/>
          <w:lang w:val="lt-LT"/>
        </w:rPr>
      </w:pPr>
    </w:p>
    <w:p w14:paraId="5E0B1BD2"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Poveikis širdies kraujagyslėms bei galvos smegenų kraujagyslėms</w:t>
      </w:r>
    </w:p>
    <w:p w14:paraId="6B37258C"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Pacientus, kuriems jau buvo padidėjęs kraujospūdis ir (arba) pasireiškę lengvi ar vidutinio sunkumo širdies nepakankamumo reiškiniai, prieš pradedant vartoti NVPNU, turi konsultuoti gydytojas ar vaistininkas dėl galimo skysčių susilaikymo, hipertenzijos ir edemos, susijusios su NVPNU vartojimu.</w:t>
      </w:r>
    </w:p>
    <w:p w14:paraId="3DA85908" w14:textId="77777777" w:rsidR="00B932D0" w:rsidRDefault="00B932D0" w:rsidP="00B932D0">
      <w:pPr>
        <w:spacing w:after="0" w:line="240" w:lineRule="auto"/>
        <w:rPr>
          <w:rFonts w:ascii="Times New Roman" w:eastAsia="Times New Roman" w:hAnsi="Times New Roman"/>
          <w:lang w:val="lt-LT"/>
        </w:rPr>
      </w:pPr>
    </w:p>
    <w:p w14:paraId="7E6C5468"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Klinikiniais tyrimais nustatyta, kad ibuprofeno vartojimas, ypač didelėmis dozėmis (2400 mg per parą), gali būti susijęs su nedideliu arterijų trombozės reiškinių (pvz., miokardo infarkto arba insulto) rizikos padidėjimu. Apskritai epidemiologinių tyrimų duomenys nepatvirtina, kad mažomis dozėmis (pavyzdžiui, </w:t>
      </w:r>
      <w:r>
        <w:rPr>
          <w:rFonts w:ascii="Times New Roman" w:eastAsia="Times New Roman" w:hAnsi="Times New Roman"/>
          <w:lang w:val="lt-LT"/>
        </w:rPr>
        <w:sym w:font="Symbol" w:char="F0A3"/>
      </w:r>
      <w:r>
        <w:rPr>
          <w:rFonts w:ascii="Times New Roman" w:eastAsia="Times New Roman" w:hAnsi="Times New Roman"/>
          <w:lang w:val="lt-LT"/>
        </w:rPr>
        <w:t xml:space="preserve"> 1200 mg per parą) vartojamas ibuprofenas būtų susijęs su padidėjusia arterijų trombozės reiškinių rizika.</w:t>
      </w:r>
    </w:p>
    <w:p w14:paraId="1CEF0515" w14:textId="77777777" w:rsidR="00B932D0" w:rsidRDefault="00B932D0" w:rsidP="00B932D0">
      <w:pPr>
        <w:spacing w:after="0" w:line="240" w:lineRule="auto"/>
        <w:rPr>
          <w:rFonts w:ascii="Times New Roman" w:eastAsia="Times New Roman" w:hAnsi="Times New Roman"/>
          <w:lang w:val="lt-LT"/>
        </w:rPr>
      </w:pPr>
    </w:p>
    <w:p w14:paraId="18A2AE4E" w14:textId="77777777" w:rsidR="00B932D0" w:rsidRDefault="00B932D0" w:rsidP="00B932D0">
      <w:pPr>
        <w:spacing w:after="0" w:line="240" w:lineRule="auto"/>
        <w:rPr>
          <w:rFonts w:ascii="Times New Roman" w:eastAsia="Times New Roman" w:hAnsi="Times New Roman"/>
          <w:lang w:val="x-none" w:eastAsia="x-none"/>
        </w:rPr>
      </w:pPr>
      <w:r>
        <w:rPr>
          <w:rFonts w:ascii="Times New Roman" w:eastAsia="Times New Roman" w:hAnsi="Times New Roman"/>
          <w:lang w:val="lt-LT" w:eastAsia="x-none"/>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w:t>
      </w:r>
      <w:r>
        <w:rPr>
          <w:rFonts w:ascii="Times New Roman" w:eastAsia="Times New Roman" w:hAnsi="Times New Roman"/>
          <w:lang w:val="x-none" w:eastAsia="x-none"/>
        </w:rPr>
        <w:t xml:space="preserve"> </w:t>
      </w:r>
    </w:p>
    <w:p w14:paraId="3405983D" w14:textId="77777777" w:rsidR="00B932D0" w:rsidRDefault="00B932D0" w:rsidP="00B932D0">
      <w:pPr>
        <w:spacing w:after="0" w:line="240" w:lineRule="auto"/>
        <w:rPr>
          <w:rFonts w:ascii="Times New Roman" w:eastAsia="Times New Roman" w:hAnsi="Times New Roman"/>
          <w:lang w:val="x-none" w:eastAsia="x-none"/>
        </w:rPr>
      </w:pPr>
      <w:r>
        <w:rPr>
          <w:rFonts w:ascii="Times New Roman" w:eastAsia="Times New Roman" w:hAnsi="Times New Roman"/>
          <w:lang w:val="lt-LT" w:eastAsia="x-none"/>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55AE34F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732317C"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Poveikis inkstams</w:t>
      </w:r>
    </w:p>
    <w:p w14:paraId="7BA1286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Vaistinio preparato turi atsargiai vartoti pacientai, kurių inkstų funkcija nesunkiai sutrikusi, sergantys hipertenzija ir (arba) širdies sutrikimu, kadangi gali pablogėti inkstų funkcija (žr. 4.3 ir 4.8 skyrius).</w:t>
      </w:r>
    </w:p>
    <w:p w14:paraId="7097E6C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E7C9DAF"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Poveikis kepenims</w:t>
      </w:r>
    </w:p>
    <w:p w14:paraId="5DBA0A2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Kepenų funkcijos sutrikimas (žr. 4.3 ir 4.8 skyrius).</w:t>
      </w:r>
    </w:p>
    <w:p w14:paraId="45237FBC"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DE830C6"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Poveikis moterų vaisingumui</w:t>
      </w:r>
    </w:p>
    <w:p w14:paraId="4FA4283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Yra duomenų, kad vaistinių preparatų, slopinančių ciklooksigenazę ar prostaglandinų sintezę, vartojimas gali mažinti moters vaisingumą dėl poveikio ovuliacijai. Nutraukus vaistinio preparato vartojimą, vaisingumas atsistato.</w:t>
      </w:r>
    </w:p>
    <w:p w14:paraId="67A6E13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81A55F8"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Poveikis virškinimo traktui</w:t>
      </w:r>
    </w:p>
    <w:p w14:paraId="7560C8E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Gali paūmėti virškinimo trakto sutrikimai ir lėtinės uždegiminės žarnyno ligos (opinis kolitas, Krono liga) (žr. 4.8 skyrių).</w:t>
      </w:r>
    </w:p>
    <w:p w14:paraId="1D0866D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65F0C6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Virškinimo trakto kraujavimas, išopėjimas ar prakiurimas, kurie gali būti mirtini, yra registruojami bet kuriuo gydymo metu vartojant visų NVPNU su ar be įspėjamųjų simptomų ar praeityje buvusiais sunkiais virškinimo trakto sutrikimais (įskaitant opinį kolitą, Krono ligą).</w:t>
      </w:r>
    </w:p>
    <w:p w14:paraId="676C406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F0BAD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Didinant NVPNU dozę, pacientams, kuriems praeityje buvo opa, ypač komplikuota kraujavimu arba prakiurimu, o taip pat senyviems žmonėms, kraujavimo iš virškinimo trakto, virškinimo trakto išopėjimo ar prakiurimo rizika didesnė (žr. 4.3 skyrių). Tokius pacientus reikia pradėti gydyti mažiausia vaistinio preparato doze. </w:t>
      </w:r>
    </w:p>
    <w:p w14:paraId="343BAB4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025D9D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Pacientai, kuriems praeityje pasireiškė toksinis poveikis virškinimo traktui, ypač senyvi, turi pasakyti, jeigu atsiranda, ypač gydymo pradžioje, kokių nors neįprastų virškinimo sutrikimų (ypač kraujavimas iš virškinimo trakto).</w:t>
      </w:r>
    </w:p>
    <w:p w14:paraId="772214C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183AE7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Vaistinį preparatą reikia vartoti atsargiai pacientams, gydomiems kai kuriais kitais vaistiniais preparatais, pvz., geriamaisiais kortikosteroidais, antikoaguliantais (varfarinu), selektyviais serotonino reabsorbcijos inhibitoriais ar vaistiniais preparatais, mažinančiais trombocitų agregaciją (pvz., acetilsalicilo rūgštimi), kurie gali didinti virškinimo trakto išopėjimo ar kraujavimo riziką (žr. 4.5 skyrių).</w:t>
      </w:r>
    </w:p>
    <w:p w14:paraId="63CA0B6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923B94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Pacientams, vartojantiems ibuprofeną, jeigu atsiranda virškinimo trakto kraujavimas ar išopėjimas, gydymas turi būti nutraukiamas nedelsiant.</w:t>
      </w:r>
    </w:p>
    <w:p w14:paraId="4A885467" w14:textId="77777777" w:rsidR="00B932D0" w:rsidRPr="00786C67" w:rsidRDefault="00B932D0" w:rsidP="00B932D0">
      <w:pPr>
        <w:tabs>
          <w:tab w:val="left" w:pos="0"/>
          <w:tab w:val="left" w:pos="360"/>
          <w:tab w:val="left" w:pos="720"/>
        </w:tabs>
        <w:spacing w:after="0" w:line="240" w:lineRule="auto"/>
        <w:rPr>
          <w:rFonts w:ascii="Times New Roman" w:hAnsi="Times New Roman"/>
          <w:i/>
          <w:lang w:val="lt-LT"/>
        </w:rPr>
      </w:pPr>
    </w:p>
    <w:p w14:paraId="6B1ACB4E"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Sunkios odos reakcijos</w:t>
      </w:r>
    </w:p>
    <w:p w14:paraId="7DF67202" w14:textId="77777777" w:rsidR="00B932D0" w:rsidRDefault="00B932D0" w:rsidP="00B932D0">
      <w:pPr>
        <w:tabs>
          <w:tab w:val="left" w:pos="0"/>
          <w:tab w:val="left" w:pos="360"/>
          <w:tab w:val="left" w:pos="720"/>
        </w:tabs>
        <w:spacing w:after="0" w:line="240" w:lineRule="auto"/>
        <w:rPr>
          <w:rFonts w:ascii="Times New Roman" w:hAnsi="Times New Roman"/>
          <w:lang w:val="lt-LT"/>
        </w:rPr>
      </w:pPr>
      <w:r>
        <w:rPr>
          <w:rFonts w:ascii="Times New Roman" w:eastAsia="Times New Roman" w:hAnsi="Times New Roman"/>
          <w:noProof/>
          <w:lang w:val="lt-LT"/>
        </w:rPr>
        <w:lastRenderedPageBreak/>
        <w:t>Retais atvejais pastebėta sunkių odos reakcijų (kai kurios iš jų buvo mirtinos), įskaitant eksfoliacinį dermatitą, Stivenso - Džonsono (</w:t>
      </w:r>
      <w:r>
        <w:rPr>
          <w:rFonts w:ascii="Times New Roman" w:hAnsi="Times New Roman"/>
          <w:i/>
          <w:lang w:val="lt-LT"/>
        </w:rPr>
        <w:t>Stevens-</w:t>
      </w:r>
      <w:r>
        <w:rPr>
          <w:rFonts w:ascii="Times New Roman" w:eastAsia="Times New Roman" w:hAnsi="Times New Roman"/>
          <w:i/>
          <w:noProof/>
          <w:lang w:val="lt-LT"/>
        </w:rPr>
        <w:t>Johnson</w:t>
      </w:r>
      <w:r>
        <w:rPr>
          <w:rFonts w:ascii="Times New Roman" w:eastAsia="Times New Roman" w:hAnsi="Times New Roman"/>
          <w:noProof/>
          <w:lang w:val="lt-LT"/>
        </w:rPr>
        <w:t>) sindromą bei toksinę epidermio nekrolizę - Lajelio (</w:t>
      </w:r>
      <w:r>
        <w:rPr>
          <w:rFonts w:ascii="Times New Roman" w:hAnsi="Times New Roman"/>
          <w:i/>
          <w:lang w:val="lt-LT"/>
        </w:rPr>
        <w:t>Lyell</w:t>
      </w:r>
      <w:r>
        <w:rPr>
          <w:rFonts w:ascii="Times New Roman" w:eastAsia="Times New Roman" w:hAnsi="Times New Roman"/>
          <w:noProof/>
          <w:lang w:val="lt-LT"/>
        </w:rPr>
        <w:t xml:space="preserve">) sindromą, susijusių su NVPNU vartojimu (žr. 4.8 skyrių). Manoma, kad šių reakcijų atsiradimo rizika yra didžiausia gydymo pradžioje, daugumoje atvejų jos prasidėjo per pirmąjį gydymo mėnesį. </w:t>
      </w:r>
      <w:r w:rsidRPr="000E36F3">
        <w:rPr>
          <w:rFonts w:ascii="Times New Roman" w:hAnsi="Times New Roman"/>
          <w:lang w:val="lt-LT"/>
        </w:rPr>
        <w:t>Gauta pranešimų apie ūminės generalizuotos egzanteminės pustuliozės (ŪGEP) atvejus, pasireiškusius vartojant ibuprofeno sudėtyje turinči</w:t>
      </w:r>
      <w:r>
        <w:rPr>
          <w:rFonts w:ascii="Times New Roman" w:hAnsi="Times New Roman"/>
          <w:lang w:val="lt-LT"/>
        </w:rPr>
        <w:t>ų</w:t>
      </w:r>
      <w:r w:rsidRPr="000E36F3">
        <w:rPr>
          <w:rFonts w:ascii="Times New Roman" w:hAnsi="Times New Roman"/>
          <w:lang w:val="lt-LT"/>
        </w:rPr>
        <w:t xml:space="preserve"> vaistini</w:t>
      </w:r>
      <w:r>
        <w:rPr>
          <w:rFonts w:ascii="Times New Roman" w:hAnsi="Times New Roman"/>
          <w:lang w:val="lt-LT"/>
        </w:rPr>
        <w:t>ų</w:t>
      </w:r>
      <w:r w:rsidRPr="000E36F3">
        <w:rPr>
          <w:rFonts w:ascii="Times New Roman" w:hAnsi="Times New Roman"/>
          <w:lang w:val="lt-LT"/>
        </w:rPr>
        <w:t xml:space="preserve"> preparat</w:t>
      </w:r>
      <w:r>
        <w:rPr>
          <w:rFonts w:ascii="Times New Roman" w:hAnsi="Times New Roman"/>
          <w:lang w:val="lt-LT"/>
        </w:rPr>
        <w:t>ų</w:t>
      </w:r>
      <w:r w:rsidRPr="000E36F3">
        <w:rPr>
          <w:rFonts w:ascii="Times New Roman" w:hAnsi="Times New Roman"/>
          <w:lang w:val="lt-LT"/>
        </w:rPr>
        <w:t xml:space="preserve">. </w:t>
      </w:r>
      <w:r w:rsidRPr="000E36F3">
        <w:rPr>
          <w:rFonts w:ascii="Times New Roman" w:eastAsia="Times New Roman" w:hAnsi="Times New Roman"/>
          <w:bCs/>
          <w:lang w:val="lt-LT"/>
        </w:rPr>
        <w:t>Pasireiškus pirmiesiems sunkių odos reakcijų požymiams ir simptomams, pa</w:t>
      </w:r>
      <w:r w:rsidRPr="00960CA1">
        <w:rPr>
          <w:rFonts w:ascii="Times New Roman" w:eastAsia="Times New Roman" w:hAnsi="Times New Roman"/>
          <w:bCs/>
          <w:lang w:val="lt-LT"/>
        </w:rPr>
        <w:t xml:space="preserve">vyzdžiui, odos išbėrimui, gleivinės pažeidimams ar kitiems </w:t>
      </w:r>
      <w:r w:rsidRPr="000E36F3">
        <w:rPr>
          <w:rFonts w:ascii="Times New Roman" w:hAnsi="Times New Roman"/>
          <w:lang w:val="lt-LT"/>
        </w:rPr>
        <w:t>ar kitiems padidėjusio jautrumo požymiams, ibuprofeno vartojimą reikia nutraukti.</w:t>
      </w:r>
    </w:p>
    <w:p w14:paraId="7280AE8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DB4A8B1"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Poveikis regai</w:t>
      </w:r>
    </w:p>
    <w:p w14:paraId="26B86FE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Jeigu atsiranda regos sutrikimų, vaistinio preparato vartojimą reikia nutraukti ir rekomenduojama atlikti pilną oftalmologinį ištyrimą.</w:t>
      </w:r>
    </w:p>
    <w:p w14:paraId="0CAAF14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F7E9C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Ilgai vartojant ibuprofeno rekomenduojama sekti kraujo ląstelių formulę, inkstų ir kepenų funkcijos rodiklius.</w:t>
      </w:r>
    </w:p>
    <w:p w14:paraId="05CFF96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69F4E78" w14:textId="77777777" w:rsidR="00B932D0" w:rsidRPr="002D0ED6" w:rsidRDefault="00B932D0" w:rsidP="00B932D0">
      <w:pPr>
        <w:autoSpaceDE w:val="0"/>
        <w:autoSpaceDN w:val="0"/>
        <w:adjustRightInd w:val="0"/>
        <w:spacing w:after="0" w:line="240" w:lineRule="auto"/>
        <w:rPr>
          <w:rFonts w:ascii="Times New Roman" w:hAnsi="Times New Roman"/>
          <w:i/>
          <w:color w:val="000000"/>
          <w:lang w:val="lt-LT"/>
        </w:rPr>
      </w:pPr>
      <w:r w:rsidRPr="002D0ED6">
        <w:rPr>
          <w:rFonts w:ascii="Times New Roman" w:hAnsi="Times New Roman"/>
          <w:i/>
          <w:color w:val="000000"/>
          <w:lang w:val="lt-LT"/>
        </w:rPr>
        <w:t xml:space="preserve">Gretutinių infekcijų simptomų maskavimas </w:t>
      </w:r>
    </w:p>
    <w:p w14:paraId="7891FC99" w14:textId="77777777" w:rsidR="00B932D0" w:rsidRPr="00F07617" w:rsidRDefault="00B932D0" w:rsidP="00B932D0">
      <w:pPr>
        <w:tabs>
          <w:tab w:val="left" w:pos="567"/>
        </w:tabs>
        <w:spacing w:after="0" w:line="240" w:lineRule="auto"/>
        <w:rPr>
          <w:rFonts w:ascii="Times New Roman" w:hAnsi="Times New Roman"/>
          <w:color w:val="000000"/>
          <w:lang w:val="lt-LT"/>
        </w:rPr>
      </w:pP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FORTE EXPRESS </w:t>
      </w:r>
      <w:r w:rsidRPr="00F07617">
        <w:rPr>
          <w:rFonts w:ascii="Times New Roman" w:hAnsi="Times New Roman"/>
          <w:color w:val="000000"/>
          <w:lang w:val="lt-LT"/>
        </w:rPr>
        <w:t xml:space="preserve">gali maskuoti infekcijos simptomus, dėl to gali būti vėluojama pradėti tinkamą gydymą, o tai gali pabloginti infekcijos gydymo rezultatus. Tokių atvejų nustatyta gydant bakterinę visuomenėje įgytą pneumoniją ir bakterines vėjaraupių komplikacijas. Kai </w:t>
      </w:r>
      <w:r>
        <w:rPr>
          <w:rFonts w:ascii="Times New Roman" w:hAnsi="Times New Roman"/>
          <w:color w:val="000000"/>
          <w:lang w:val="lt-LT"/>
        </w:rPr>
        <w:t xml:space="preserve">NUROFEN FORTE EXPRESS </w:t>
      </w:r>
      <w:r w:rsidRPr="00F07617">
        <w:rPr>
          <w:rFonts w:ascii="Times New Roman" w:hAnsi="Times New Roman"/>
          <w:color w:val="000000"/>
          <w:lang w:val="lt-LT"/>
        </w:rPr>
        <w:t xml:space="preserve">skiriamas siekiant sumažinti su infekcija susijusį karščiavimą arba palengvinti infekcijos sukeliamą skausmą, rekomenduojama stebėti infekcijos eigą. Kai gydymas taikomas ne ligoninėje, jeigu simptomai neišnyksta arba sunkėja, pacientas turėtų pasitarti su gydytoju. </w:t>
      </w:r>
    </w:p>
    <w:p w14:paraId="139483D4" w14:textId="77777777" w:rsidR="00B932D0" w:rsidRPr="00786C67" w:rsidRDefault="00B932D0" w:rsidP="00B932D0">
      <w:pPr>
        <w:tabs>
          <w:tab w:val="left" w:pos="0"/>
          <w:tab w:val="left" w:pos="360"/>
          <w:tab w:val="left" w:pos="720"/>
        </w:tabs>
        <w:spacing w:after="0" w:line="240" w:lineRule="auto"/>
        <w:rPr>
          <w:rFonts w:ascii="Times New Roman" w:hAnsi="Times New Roman"/>
          <w:i/>
          <w:lang w:val="lt-LT"/>
        </w:rPr>
      </w:pPr>
    </w:p>
    <w:p w14:paraId="43921470"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Vaikų populiacija</w:t>
      </w:r>
    </w:p>
    <w:p w14:paraId="5626DDE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Dehidruotiems vaikams ir paaugliams yra inkstų sutrikimo rizika.</w:t>
      </w:r>
    </w:p>
    <w:p w14:paraId="2C1C0997" w14:textId="77777777" w:rsidR="00B932D0" w:rsidRDefault="00B932D0" w:rsidP="00B932D0">
      <w:pPr>
        <w:spacing w:after="0" w:line="240" w:lineRule="auto"/>
        <w:rPr>
          <w:rFonts w:ascii="Times New Roman" w:eastAsia="Times New Roman" w:hAnsi="Times New Roman"/>
          <w:b/>
          <w:lang w:val="lt-LT"/>
        </w:rPr>
      </w:pPr>
    </w:p>
    <w:p w14:paraId="4AA8A671" w14:textId="77777777" w:rsidR="00B932D0" w:rsidRDefault="00B932D0" w:rsidP="00B932D0">
      <w:pPr>
        <w:spacing w:after="0" w:line="240" w:lineRule="auto"/>
        <w:rPr>
          <w:rFonts w:ascii="Times New Roman" w:eastAsia="Times New Roman" w:hAnsi="Times New Roman"/>
          <w:b/>
          <w:lang w:val="lt-LT"/>
        </w:rPr>
      </w:pPr>
      <w:r>
        <w:rPr>
          <w:rFonts w:ascii="Times New Roman" w:eastAsia="Times New Roman" w:hAnsi="Times New Roman"/>
          <w:i/>
          <w:lang w:val="lt-LT"/>
        </w:rPr>
        <w:t>Įspėjimai apie vaistinio preparato pagalbines medžiagas</w:t>
      </w:r>
    </w:p>
    <w:p w14:paraId="43062CE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Šio vaistinio preparato negalima vartoti pacientams, kuriems nustatytas retas paveldimas sutrikimas – fruktozės netoleravimas, gliukozės ir galaktozės malabsorbcija arba sacharazės ir izomaltazės stygius.</w:t>
      </w:r>
    </w:p>
    <w:p w14:paraId="5EF6147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7C75BF" w14:textId="77777777" w:rsidR="00B932D0" w:rsidRPr="00CF5F1E" w:rsidRDefault="00B932D0" w:rsidP="00B932D0">
      <w:pPr>
        <w:pStyle w:val="Default"/>
        <w:rPr>
          <w:sz w:val="22"/>
          <w:szCs w:val="22"/>
          <w:lang w:val="lt-LT"/>
        </w:rPr>
      </w:pPr>
      <w:r w:rsidRPr="00CF5F1E">
        <w:rPr>
          <w:sz w:val="22"/>
          <w:szCs w:val="22"/>
          <w:lang w:val="lt-LT"/>
        </w:rPr>
        <w:t xml:space="preserve">Šio vaistinio preparato </w:t>
      </w:r>
      <w:r>
        <w:rPr>
          <w:sz w:val="22"/>
          <w:szCs w:val="22"/>
          <w:lang w:val="lt-LT"/>
        </w:rPr>
        <w:t>kiekvienoje tabletėje</w:t>
      </w:r>
      <w:r w:rsidRPr="00CF5F1E">
        <w:rPr>
          <w:sz w:val="22"/>
          <w:szCs w:val="22"/>
          <w:lang w:val="lt-LT"/>
        </w:rPr>
        <w:t xml:space="preserve"> yra </w:t>
      </w:r>
      <w:r>
        <w:rPr>
          <w:sz w:val="22"/>
          <w:szCs w:val="22"/>
          <w:lang w:val="lt-LT"/>
        </w:rPr>
        <w:t>55,89</w:t>
      </w:r>
      <w:r w:rsidRPr="00CF5F1E">
        <w:rPr>
          <w:sz w:val="22"/>
          <w:szCs w:val="22"/>
          <w:lang w:val="lt-LT"/>
        </w:rPr>
        <w:t xml:space="preserve"> mg natrio, tai atitinka </w:t>
      </w:r>
      <w:r>
        <w:rPr>
          <w:sz w:val="22"/>
          <w:szCs w:val="22"/>
          <w:lang w:val="lt-LT"/>
        </w:rPr>
        <w:t>2,79</w:t>
      </w:r>
      <w:r w:rsidRPr="00CF5F1E">
        <w:rPr>
          <w:sz w:val="22"/>
          <w:szCs w:val="22"/>
          <w:lang w:val="lt-LT"/>
        </w:rPr>
        <w:t xml:space="preserve"> % didžiausios PSO rekomenduojamos paros normos suaugusiesiems, kuri yra 2 g natrio.</w:t>
      </w:r>
    </w:p>
    <w:p w14:paraId="3EBDE9AB" w14:textId="77777777" w:rsidR="00B932D0" w:rsidRDefault="00B932D0" w:rsidP="00B932D0">
      <w:pPr>
        <w:tabs>
          <w:tab w:val="left" w:pos="0"/>
        </w:tabs>
        <w:spacing w:after="0" w:line="240" w:lineRule="auto"/>
        <w:rPr>
          <w:rFonts w:ascii="Times New Roman" w:eastAsia="Times New Roman" w:hAnsi="Times New Roman"/>
          <w:lang w:val="lt-LT"/>
        </w:rPr>
      </w:pPr>
    </w:p>
    <w:p w14:paraId="16BA1153"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21" w:name="_Toc129243231"/>
      <w:bookmarkStart w:id="22" w:name="_Toc129243106"/>
      <w:r>
        <w:rPr>
          <w:rFonts w:ascii="Times New Roman" w:eastAsia="Times New Roman" w:hAnsi="Times New Roman"/>
          <w:b/>
          <w:bCs/>
          <w:kern w:val="28"/>
          <w:lang w:val="lt-LT"/>
        </w:rPr>
        <w:t>4.5</w:t>
      </w:r>
      <w:r>
        <w:rPr>
          <w:rFonts w:ascii="Times New Roman" w:eastAsia="Times New Roman" w:hAnsi="Times New Roman"/>
          <w:b/>
          <w:bCs/>
          <w:kern w:val="28"/>
          <w:lang w:val="lt-LT"/>
        </w:rPr>
        <w:tab/>
        <w:t>Sąveika su kitais vaistiniais preparatais ir kitokia sąveika</w:t>
      </w:r>
      <w:bookmarkEnd w:id="21"/>
      <w:bookmarkEnd w:id="22"/>
    </w:p>
    <w:p w14:paraId="7B376C93" w14:textId="77777777" w:rsidR="00B932D0" w:rsidRDefault="00B932D0" w:rsidP="00B932D0">
      <w:pPr>
        <w:spacing w:after="0" w:line="240" w:lineRule="auto"/>
        <w:rPr>
          <w:rFonts w:ascii="Times New Roman" w:eastAsia="Times New Roman" w:hAnsi="Times New Roman"/>
          <w:lang w:val="lt-LT"/>
        </w:rPr>
      </w:pPr>
    </w:p>
    <w:p w14:paraId="184D31ED" w14:textId="77777777" w:rsidR="00B932D0" w:rsidRDefault="00B932D0" w:rsidP="00B932D0">
      <w:pPr>
        <w:tabs>
          <w:tab w:val="left" w:pos="567"/>
        </w:tabs>
        <w:spacing w:after="0" w:line="240" w:lineRule="auto"/>
        <w:rPr>
          <w:rFonts w:ascii="Times New Roman" w:eastAsia="Times New Roman" w:hAnsi="Times New Roman"/>
          <w:lang w:val="lt-LT" w:eastAsia="lt-LT"/>
        </w:rPr>
      </w:pPr>
      <w:r>
        <w:rPr>
          <w:rFonts w:ascii="Times New Roman" w:eastAsia="Times New Roman" w:hAnsi="Times New Roman"/>
          <w:lang w:val="lt-LT"/>
        </w:rPr>
        <w:t>Paprastai nerekomenduojama kartu vartoti ibuprofeno ir</w:t>
      </w:r>
      <w:r>
        <w:rPr>
          <w:rFonts w:ascii="Times New Roman" w:eastAsia="Times New Roman" w:hAnsi="Times New Roman"/>
          <w:lang w:val="lt-LT" w:eastAsia="lt-LT"/>
        </w:rPr>
        <w:t xml:space="preserve"> acetilsalicilo rūgšties </w:t>
      </w:r>
      <w:r>
        <w:rPr>
          <w:rFonts w:ascii="Times New Roman" w:eastAsia="Times New Roman" w:hAnsi="Times New Roman"/>
          <w:lang w:val="lt-LT"/>
        </w:rPr>
        <w:t>dėl galimos didesnio nepageidaujamo poveikio rizikos.</w:t>
      </w:r>
      <w:r>
        <w:rPr>
          <w:rFonts w:ascii="Times New Roman" w:eastAsia="Times New Roman" w:hAnsi="Times New Roman"/>
          <w:lang w:val="lt-LT" w:eastAsia="lt-LT"/>
        </w:rPr>
        <w:t xml:space="preserve"> </w:t>
      </w:r>
    </w:p>
    <w:p w14:paraId="64810193" w14:textId="77777777" w:rsidR="00B932D0" w:rsidRDefault="00B932D0" w:rsidP="00B932D0">
      <w:pPr>
        <w:tabs>
          <w:tab w:val="left" w:pos="567"/>
        </w:tabs>
        <w:spacing w:after="0" w:line="240" w:lineRule="auto"/>
        <w:rPr>
          <w:rFonts w:ascii="Times New Roman" w:eastAsia="Times New Roman" w:hAnsi="Times New Roman"/>
          <w:lang w:val="lt-LT" w:eastAsia="x-none"/>
        </w:rPr>
      </w:pPr>
      <w:r>
        <w:rPr>
          <w:rFonts w:ascii="Times New Roman" w:eastAsia="Times New Roman" w:hAnsi="Times New Roman"/>
          <w:lang w:val="lt-LT" w:eastAsia="x-none"/>
        </w:rPr>
        <w:t>Eksperimentiniai duomenys rodo, kad vartojant ibuprofeno kartu su acetilsalicilo rūgštimi, jis gali slopinti mažų dozių acetilsalicilo rūgšties poveikį trombocitų agregacijai.</w:t>
      </w:r>
      <w:r>
        <w:rPr>
          <w:rFonts w:ascii="Times New Roman" w:eastAsia="Times New Roman" w:hAnsi="Times New Roman"/>
          <w:lang w:val="x-none" w:eastAsia="x-none"/>
        </w:rPr>
        <w:t xml:space="preserve"> </w:t>
      </w:r>
      <w:r>
        <w:rPr>
          <w:rFonts w:ascii="Times New Roman" w:eastAsia="Times New Roman" w:hAnsi="Times New Roman"/>
          <w:lang w:val="lt-LT" w:eastAsia="x-none"/>
        </w:rPr>
        <w:t>Nors yra tam tikrų neaiškumų dėl šių duomenų ekstrapoliacijos klinikinėmis sąlygomis, negalima atmesti galimybės, kad nuolat ilgą laiką vartojant ibuprofeno gali sumažėti mažų dozių acetilsalicilo rūgšties kardioprotekcinis poveikis.</w:t>
      </w:r>
      <w:r>
        <w:rPr>
          <w:rFonts w:ascii="Times New Roman" w:eastAsia="Times New Roman" w:hAnsi="Times New Roman"/>
          <w:lang w:val="x-none" w:eastAsia="x-none"/>
        </w:rPr>
        <w:t xml:space="preserve"> </w:t>
      </w:r>
      <w:r>
        <w:rPr>
          <w:rFonts w:ascii="Times New Roman" w:eastAsia="Times New Roman" w:hAnsi="Times New Roman"/>
          <w:lang w:val="lt-LT" w:eastAsia="x-none"/>
        </w:rPr>
        <w:t>Manoma, kad retkarčiais vartojant ibuprofeno neturėtų pasireikšti jokio kliniškai reikšmingo poveikio (žr. 5.1 skyrių).</w:t>
      </w:r>
    </w:p>
    <w:p w14:paraId="4426523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D2E1FA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NUROFEN FORTE EXPRESS (kaip ir kitų NVPNU) reikia skirti atsargiai kartu su toliau nurodytais vaistiniais preparatais.</w:t>
      </w:r>
    </w:p>
    <w:p w14:paraId="3D81A25C"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13E88F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Kraujospūdį mažinantys vaistiniai preparatai (AKF inhibitoriai ir angiotenzino II receptorių blokatoriai), diuretikai</w:t>
      </w:r>
      <w:r>
        <w:rPr>
          <w:rFonts w:ascii="Times New Roman" w:eastAsia="Times New Roman" w:hAnsi="Times New Roman"/>
          <w:noProof/>
          <w:lang w:val="lt-LT"/>
        </w:rPr>
        <w:t xml:space="preserve">. NVPNU gali silpninti šių vaistinių preparatų poveikį. </w:t>
      </w:r>
    </w:p>
    <w:p w14:paraId="4718B0D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Kai kuriems pacientams, kurių inkstų funkcija sutrikusi (pvz., dehidratuotiems ar senyviems pacientams, kurių inkstų funkcija sutrikusi), kartu vartojant AKF inhibitorių ar angiotenzino II receptorių blokatorių vaistinių preparatų, kurie slopina ciklooksigenazę, gali pasireikšti tolesnis inkstų funkcijos blogėjimas, </w:t>
      </w:r>
      <w:r>
        <w:rPr>
          <w:rFonts w:ascii="Times New Roman" w:eastAsia="Times New Roman" w:hAnsi="Times New Roman"/>
          <w:noProof/>
          <w:lang w:val="lt-LT"/>
        </w:rPr>
        <w:lastRenderedPageBreak/>
        <w:t xml:space="preserve">įskaitant galimą ūminį inkstų nepakankamumą, kuris paprastai yra laikinas. Į šias sąveikas reikia atsižvelgti pacientams, vartojantiems koksibų kartu su AKF inhibitoriais ar angiotenzino II antagonistais. Todėl tokį derinį reikia skirti atsargiai pacientams, kurių inkstų funkcija sutrikusi, ypač senyviems pacientams. Pacientai turi gauti pakankamai skysčių, jiems reikia tirti inkstų funkciją pradėjus gydymą deriniu ir reguliariai gydymo metu. </w:t>
      </w:r>
    </w:p>
    <w:p w14:paraId="1944E46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Diuretikai gali padidinti NVPNU nefrotoksinio poveikio riziką. </w:t>
      </w:r>
    </w:p>
    <w:p w14:paraId="02FBE58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A1C4F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Širdį veikiantys glikozidai</w:t>
      </w:r>
      <w:r>
        <w:rPr>
          <w:rFonts w:ascii="Times New Roman" w:eastAsia="Times New Roman" w:hAnsi="Times New Roman"/>
          <w:noProof/>
          <w:lang w:val="lt-LT"/>
        </w:rPr>
        <w:t>. NVPNU gali pasunkinti širdies nepakankamumo reiškinius, sumažinti glomerulų filtracijos greitį ir padidinti glikozidų kiekį kraujo plazmoje.</w:t>
      </w:r>
    </w:p>
    <w:p w14:paraId="1D0DE57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927E2E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Litis</w:t>
      </w:r>
      <w:r>
        <w:rPr>
          <w:rFonts w:ascii="Times New Roman" w:eastAsia="Times New Roman" w:hAnsi="Times New Roman"/>
          <w:noProof/>
          <w:lang w:val="lt-LT"/>
        </w:rPr>
        <w:t>. Ibuprofenas padidina ličio kiekį kraujo plazmoje ir sumažėja ličio eliminacija.</w:t>
      </w:r>
    </w:p>
    <w:p w14:paraId="4A37F93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060187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Metotreksatas</w:t>
      </w:r>
      <w:r>
        <w:rPr>
          <w:rFonts w:ascii="Times New Roman" w:eastAsia="Times New Roman" w:hAnsi="Times New Roman"/>
          <w:noProof/>
          <w:lang w:val="lt-LT"/>
        </w:rPr>
        <w:t>. Ibuprofenas padidina metotreksato kiekį kraujo plazmoje ir sumažėja metotreksato eliminacija.</w:t>
      </w:r>
    </w:p>
    <w:p w14:paraId="61970EC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B1FC78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Mifepristonas</w:t>
      </w:r>
      <w:r>
        <w:rPr>
          <w:rFonts w:ascii="Times New Roman" w:eastAsia="Times New Roman" w:hAnsi="Times New Roman"/>
          <w:noProof/>
          <w:lang w:val="lt-LT"/>
        </w:rPr>
        <w:t>. NVPNU neturi būti vartojami 8-12 dienų po mifepristono paskyrimo, nes NVPNU gali mažinti mifepristono poveikį.</w:t>
      </w:r>
    </w:p>
    <w:p w14:paraId="0D3780C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55402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Ciklosporinas</w:t>
      </w:r>
      <w:r>
        <w:rPr>
          <w:rFonts w:ascii="Times New Roman" w:eastAsia="Times New Roman" w:hAnsi="Times New Roman"/>
          <w:noProof/>
          <w:lang w:val="lt-LT"/>
        </w:rPr>
        <w:t xml:space="preserve"> padidina nefrotoksinio poveikio riziką.</w:t>
      </w:r>
    </w:p>
    <w:p w14:paraId="528B899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E2A22C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Kortikosteroidai</w:t>
      </w:r>
      <w:r>
        <w:rPr>
          <w:rFonts w:ascii="Times New Roman" w:eastAsia="Times New Roman" w:hAnsi="Times New Roman"/>
          <w:noProof/>
          <w:lang w:val="lt-LT"/>
        </w:rPr>
        <w:t xml:space="preserve"> gali padidinti NVPNU nepageidaujamo poveikio riziką, ypatingai virškinimo trakto išopėjimą ar kraujavimą (žr. 4.4 skyrių).</w:t>
      </w:r>
    </w:p>
    <w:p w14:paraId="4184D34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FA94FD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Krešėjimą mažinantys vaistiniai preparatai</w:t>
      </w:r>
      <w:r>
        <w:rPr>
          <w:rFonts w:ascii="Times New Roman" w:eastAsia="Times New Roman" w:hAnsi="Times New Roman"/>
          <w:noProof/>
          <w:lang w:val="lt-LT"/>
        </w:rPr>
        <w:t>. NVPNU gali sustiprinti antikoaguliantų (pvz.,varfarino) poveikį (žr. 4.4 skyrių).</w:t>
      </w:r>
    </w:p>
    <w:p w14:paraId="3D689BC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12E309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Vaistiniai preparatai, mažinantys trombocitų agregaciją (pvz., acetilsalicilo rūgštis) ir selektyvūs serotonino reabsorbcijos inhibitoriai</w:t>
      </w:r>
      <w:r>
        <w:rPr>
          <w:rFonts w:ascii="Times New Roman" w:eastAsia="Times New Roman" w:hAnsi="Times New Roman"/>
          <w:noProof/>
          <w:lang w:val="lt-LT"/>
        </w:rPr>
        <w:t xml:space="preserve"> gali didinti virškinimo trakto kraujavimo riziką (žr. 4.4 skyrių).</w:t>
      </w:r>
    </w:p>
    <w:p w14:paraId="140AC2E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BE4250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Chinolonų grupės antibiotikai</w:t>
      </w:r>
      <w:r>
        <w:rPr>
          <w:rFonts w:ascii="Times New Roman" w:eastAsia="Times New Roman" w:hAnsi="Times New Roman"/>
          <w:noProof/>
          <w:lang w:val="lt-LT"/>
        </w:rPr>
        <w:t xml:space="preserve">. Tyrimai su gyvūnais rodo, kad NVPNU gali padidinti mėšlungio riziką susijusią su chinolonų grupės antimikrobiniais vaistiniais preparatais. Pacientai vartojantys NVPNU ir chinolonų grupės antimikrobinių preparatų turi didesnį rizikos pavojų atsirasti mėšlungiui.  </w:t>
      </w:r>
    </w:p>
    <w:p w14:paraId="7A6C98B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32A858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Takrolimuzas</w:t>
      </w:r>
      <w:r>
        <w:rPr>
          <w:rFonts w:ascii="Times New Roman" w:eastAsia="Times New Roman" w:hAnsi="Times New Roman"/>
          <w:noProof/>
          <w:lang w:val="lt-LT"/>
        </w:rPr>
        <w:t xml:space="preserve">. Su takrolimuzu kartu vartojant NVPNU gali padidėti nefrotoksinio poveikio rizika. </w:t>
      </w:r>
    </w:p>
    <w:p w14:paraId="01528EE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740E02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Zidovudinas.</w:t>
      </w:r>
      <w:r>
        <w:rPr>
          <w:rFonts w:ascii="Times New Roman" w:eastAsia="Times New Roman" w:hAnsi="Times New Roman"/>
          <w:noProof/>
          <w:lang w:val="lt-LT"/>
        </w:rPr>
        <w:t xml:space="preserve"> Kartu vartojant NVPNU ir zidovudiną padidėja hematologinio toksiškumo pavojus. ŽIV teigiamiems ir hemofilija sergantiems asmenims kartu gydomiems zidovudinu ir NVPNU, padidėja hematomų ir kraujo išsiliejimo į sąnarinę ertmę pavojus. </w:t>
      </w:r>
    </w:p>
    <w:p w14:paraId="6EE30BE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74CB83F" w14:textId="77777777" w:rsidR="00B932D0" w:rsidRDefault="00B932D0" w:rsidP="00B932D0">
      <w:pPr>
        <w:tabs>
          <w:tab w:val="left" w:pos="0"/>
        </w:tabs>
        <w:spacing w:after="0" w:line="240" w:lineRule="auto"/>
        <w:jc w:val="both"/>
        <w:rPr>
          <w:rFonts w:ascii="Times New Roman" w:eastAsia="Times New Roman" w:hAnsi="Times New Roman"/>
          <w:lang w:val="lt-LT"/>
        </w:rPr>
      </w:pPr>
      <w:r>
        <w:rPr>
          <w:rFonts w:ascii="Times New Roman" w:eastAsia="Times New Roman" w:hAnsi="Times New Roman"/>
          <w:i/>
          <w:lang w:val="lt-LT"/>
        </w:rPr>
        <w:t>Aminoglikozidai</w:t>
      </w:r>
      <w:r>
        <w:rPr>
          <w:rFonts w:ascii="Times New Roman" w:eastAsia="Times New Roman" w:hAnsi="Times New Roman"/>
          <w:lang w:val="lt-LT"/>
        </w:rPr>
        <w:t>. NVPNU gali sumažinti aminoglikozidų išsiskyrimą.</w:t>
      </w:r>
    </w:p>
    <w:p w14:paraId="75451131" w14:textId="77777777" w:rsidR="00B932D0" w:rsidRDefault="00B932D0" w:rsidP="00B932D0">
      <w:pPr>
        <w:tabs>
          <w:tab w:val="left" w:pos="0"/>
        </w:tabs>
        <w:spacing w:after="0" w:line="240" w:lineRule="auto"/>
        <w:jc w:val="both"/>
        <w:rPr>
          <w:rFonts w:ascii="Times New Roman" w:eastAsia="Times New Roman" w:hAnsi="Times New Roman"/>
          <w:lang w:val="lt-LT"/>
        </w:rPr>
      </w:pPr>
    </w:p>
    <w:p w14:paraId="75B1698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i/>
          <w:noProof/>
          <w:lang w:val="lt-LT"/>
        </w:rPr>
        <w:t>Augaliniai vaistiniai preparatai. Ginkgo biloba</w:t>
      </w:r>
      <w:r>
        <w:rPr>
          <w:rFonts w:ascii="Times New Roman" w:eastAsia="Times New Roman" w:hAnsi="Times New Roman"/>
          <w:noProof/>
          <w:lang w:val="lt-LT"/>
        </w:rPr>
        <w:t xml:space="preserve"> vaistiniai preparatai gali padidinti NVPNU kraujavimo rizikos pavojų.</w:t>
      </w:r>
    </w:p>
    <w:p w14:paraId="32295880" w14:textId="77777777" w:rsidR="00B932D0" w:rsidRDefault="00B932D0" w:rsidP="00B932D0">
      <w:pPr>
        <w:tabs>
          <w:tab w:val="left" w:pos="0"/>
          <w:tab w:val="num" w:pos="1080"/>
        </w:tabs>
        <w:spacing w:after="0" w:line="240" w:lineRule="auto"/>
        <w:ind w:left="345"/>
        <w:rPr>
          <w:rFonts w:ascii="Times New Roman" w:eastAsia="Times New Roman" w:hAnsi="Times New Roman"/>
          <w:lang w:val="lt-LT"/>
        </w:rPr>
      </w:pPr>
    </w:p>
    <w:p w14:paraId="7734E9DC" w14:textId="77777777" w:rsidR="00B932D0" w:rsidRDefault="00B932D0" w:rsidP="00B932D0">
      <w:pPr>
        <w:keepNext/>
        <w:keepLines/>
        <w:numPr>
          <w:ilvl w:val="1"/>
          <w:numId w:val="18"/>
        </w:numPr>
        <w:tabs>
          <w:tab w:val="left" w:pos="0"/>
        </w:tabs>
        <w:spacing w:after="0" w:line="240" w:lineRule="auto"/>
        <w:outlineLvl w:val="2"/>
        <w:rPr>
          <w:rFonts w:ascii="Times New Roman" w:eastAsia="Times New Roman" w:hAnsi="Times New Roman"/>
          <w:bCs/>
          <w:kern w:val="28"/>
          <w:lang w:val="lt-LT"/>
        </w:rPr>
      </w:pPr>
      <w:bookmarkStart w:id="23" w:name="_Toc129243232"/>
      <w:bookmarkStart w:id="24" w:name="_Toc129243107"/>
      <w:r>
        <w:rPr>
          <w:rFonts w:ascii="Times New Roman" w:eastAsia="Times New Roman" w:hAnsi="Times New Roman"/>
          <w:b/>
          <w:bCs/>
          <w:kern w:val="28"/>
          <w:lang w:val="lt-LT"/>
        </w:rPr>
        <w:t>Vaisingumas, nėštumo ir žindymo laikotarpis</w:t>
      </w:r>
      <w:bookmarkEnd w:id="23"/>
      <w:bookmarkEnd w:id="24"/>
    </w:p>
    <w:p w14:paraId="43FC8213"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4916F522" w14:textId="77777777" w:rsidR="00B932D0" w:rsidRPr="006211B1"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sidRPr="006211B1">
        <w:rPr>
          <w:rFonts w:ascii="Times New Roman" w:eastAsia="Times New Roman" w:hAnsi="Times New Roman"/>
          <w:noProof/>
          <w:u w:val="single"/>
          <w:lang w:val="lt-LT"/>
        </w:rPr>
        <w:t>Nėštumas</w:t>
      </w:r>
    </w:p>
    <w:p w14:paraId="10C6F83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Prostaglandinų sintezės slopinimas gali neigiamai veikti nėštumo eigą ir (arba) embriono arba vaisiaus vystymąsi. Epidemiologinių tyrimų duomenys rodo, kad vartojant prostaglandinų sintezės inhibitorių ankstyvuoju nėštumo laikotarpiu padidėja persileidimo, širdies vystymosi sutrikimų ir pilvo priekinės sienos nesuaugimo pavojus. Širdies ir kraujagyslių sistemos vystymosi sutrikimų absoliuti rizika padidėjo nuo mažiau kaip 1 % iki apytikriai 1,5 %. Manoma, kad rizika didėja priklausomai nuo dozės ir vartojimo trukmės. Gyvūnams duodant prostaglandinų sintezės inhibitorių aptikta, kad padaugėjo persileidimų iki </w:t>
      </w:r>
      <w:r>
        <w:rPr>
          <w:rFonts w:ascii="Times New Roman" w:eastAsia="Times New Roman" w:hAnsi="Times New Roman"/>
          <w:noProof/>
          <w:lang w:val="lt-LT"/>
        </w:rPr>
        <w:lastRenderedPageBreak/>
        <w:t>implantacijos ir po jos, embriono ir vaisiaus letališkumas. Be to, duodant prostaglandinų sintezės inhibitorių organogenezės laikotarpiu, padidėja įvairių vystymosi sutrikimų, įskaitant širdies ir kraujagyslių defektus, pavojus.</w:t>
      </w:r>
    </w:p>
    <w:p w14:paraId="052F0CC4" w14:textId="7819FEFF" w:rsidR="00B42064" w:rsidRPr="002F3B5B" w:rsidRDefault="0047198E" w:rsidP="002F3B5B">
      <w:pPr>
        <w:pStyle w:val="Default"/>
        <w:rPr>
          <w:rFonts w:asciiTheme="majorBidi" w:hAnsiTheme="majorBidi"/>
          <w:lang w:val="lt-LT"/>
        </w:rPr>
      </w:pPr>
      <w:r w:rsidRPr="005F2AEF">
        <w:rPr>
          <w:bCs/>
          <w:sz w:val="22"/>
          <w:szCs w:val="22"/>
          <w:lang w:val="lt-LT"/>
        </w:rPr>
        <w:t>Nuo 20-osios nėštumo savaitės ibuprofeno vartojimas gali sukelti oligohidramnioną dėl vaisiaus inkstų funkcijos sutrikimo. Tai gali pasireikšti netrukus po gydymo pradžios ir paprastai išnyksta nutraukus gydymą. Be to, sulauk</w:t>
      </w:r>
      <w:r w:rsidR="004154BA">
        <w:rPr>
          <w:bCs/>
          <w:sz w:val="22"/>
          <w:szCs w:val="22"/>
          <w:lang w:val="lt-LT"/>
        </w:rPr>
        <w:t>ta</w:t>
      </w:r>
      <w:r w:rsidRPr="005F2AEF">
        <w:rPr>
          <w:bCs/>
          <w:sz w:val="22"/>
          <w:szCs w:val="22"/>
          <w:lang w:val="lt-LT"/>
        </w:rPr>
        <w:t xml:space="preserve"> pranešimų apie arterinio latako susiaurėjimą po gydymo antrojo trimestro metu, kuris daugumoje atvejų išnyko nutraukus gydymą. Todėl,</w:t>
      </w:r>
      <w:r>
        <w:rPr>
          <w:bCs/>
          <w:lang w:val="lt-LT"/>
        </w:rPr>
        <w:t xml:space="preserve"> </w:t>
      </w:r>
      <w:r>
        <w:rPr>
          <w:rFonts w:eastAsia="Times New Roman"/>
          <w:lang w:val="lt-LT"/>
        </w:rPr>
        <w:t>i</w:t>
      </w:r>
      <w:r w:rsidR="00B932D0">
        <w:rPr>
          <w:rFonts w:eastAsia="Times New Roman"/>
          <w:lang w:val="lt-LT"/>
        </w:rPr>
        <w:t>buprofeno</w:t>
      </w:r>
      <w:r w:rsidR="00B932D0" w:rsidRPr="005F3CF6">
        <w:rPr>
          <w:lang w:val="lt-LT"/>
        </w:rPr>
        <w:t xml:space="preserve"> negalima vartoti pirmą ir antrą nėštumo trimestr</w:t>
      </w:r>
      <w:r w:rsidR="008A5906">
        <w:rPr>
          <w:lang w:val="lt-LT"/>
        </w:rPr>
        <w:t>ai</w:t>
      </w:r>
      <w:r w:rsidR="00B932D0" w:rsidRPr="005F3CF6">
        <w:rPr>
          <w:lang w:val="lt-LT"/>
        </w:rPr>
        <w:t>s, neben</w:t>
      </w:r>
      <w:r w:rsidR="00B932D0" w:rsidRPr="005F76F3">
        <w:rPr>
          <w:lang w:val="lt-LT"/>
        </w:rPr>
        <w:t>t tai būtina. Jei ibuprofeno skiriama vartoti planuojančioms pastoti moterims arba per pirmuosius šešis nėštumo mėnesius, reikia vartoti galimai mažiausią dozę ir trumpiausią laiką.</w:t>
      </w:r>
      <w:r w:rsidR="00B42064">
        <w:rPr>
          <w:rFonts w:eastAsia="Times New Roman"/>
          <w:lang w:val="lt-LT"/>
        </w:rPr>
        <w:t xml:space="preserve"> </w:t>
      </w:r>
      <w:r w:rsidR="008A5906">
        <w:rPr>
          <w:rFonts w:eastAsia="Times New Roman"/>
          <w:lang w:val="lt-LT"/>
        </w:rPr>
        <w:t xml:space="preserve">Jei </w:t>
      </w:r>
      <w:r w:rsidR="008A5906">
        <w:rPr>
          <w:rFonts w:asciiTheme="majorBidi" w:hAnsiTheme="majorBidi" w:cstheme="majorBidi"/>
          <w:bCs/>
          <w:sz w:val="22"/>
          <w:szCs w:val="22"/>
          <w:lang w:val="lt-LT"/>
        </w:rPr>
        <w:t>p</w:t>
      </w:r>
      <w:r w:rsidR="00B42064" w:rsidRPr="0029230E">
        <w:rPr>
          <w:rFonts w:asciiTheme="majorBidi" w:hAnsiTheme="majorBidi" w:cstheme="majorBidi"/>
          <w:bCs/>
          <w:sz w:val="22"/>
          <w:szCs w:val="22"/>
          <w:lang w:val="lt-LT"/>
        </w:rPr>
        <w:t>o</w:t>
      </w:r>
      <w:r w:rsidR="008A5906">
        <w:rPr>
          <w:rFonts w:asciiTheme="majorBidi" w:hAnsiTheme="majorBidi" w:cstheme="majorBidi"/>
          <w:bCs/>
          <w:sz w:val="22"/>
          <w:szCs w:val="22"/>
          <w:lang w:val="lt-LT"/>
        </w:rPr>
        <w:t xml:space="preserve"> 20-os nėštumo savaitės </w:t>
      </w:r>
      <w:r w:rsidR="00B42064" w:rsidRPr="0029230E">
        <w:rPr>
          <w:rFonts w:asciiTheme="majorBidi" w:hAnsiTheme="majorBidi" w:cstheme="majorBidi"/>
          <w:bCs/>
          <w:sz w:val="22"/>
          <w:szCs w:val="22"/>
          <w:lang w:val="lt-LT"/>
        </w:rPr>
        <w:t xml:space="preserve">ibuprofeno </w:t>
      </w:r>
      <w:r w:rsidR="008A5906">
        <w:rPr>
          <w:rFonts w:asciiTheme="majorBidi" w:hAnsiTheme="majorBidi" w:cstheme="majorBidi"/>
          <w:bCs/>
          <w:sz w:val="22"/>
          <w:szCs w:val="22"/>
          <w:lang w:val="lt-LT"/>
        </w:rPr>
        <w:t xml:space="preserve">buvo </w:t>
      </w:r>
      <w:r w:rsidR="00B42064" w:rsidRPr="0029230E">
        <w:rPr>
          <w:rFonts w:asciiTheme="majorBidi" w:hAnsiTheme="majorBidi" w:cstheme="majorBidi"/>
          <w:bCs/>
          <w:sz w:val="22"/>
          <w:szCs w:val="22"/>
          <w:lang w:val="lt-LT"/>
        </w:rPr>
        <w:t>vartoj</w:t>
      </w:r>
      <w:r w:rsidR="008A5906">
        <w:rPr>
          <w:rFonts w:asciiTheme="majorBidi" w:hAnsiTheme="majorBidi" w:cstheme="majorBidi"/>
          <w:bCs/>
          <w:sz w:val="22"/>
          <w:szCs w:val="22"/>
          <w:lang w:val="lt-LT"/>
        </w:rPr>
        <w:t>ama nors kelias dienas,reikia spręsti dėl antenatalinio</w:t>
      </w:r>
      <w:r w:rsidR="00B42064" w:rsidRPr="0029230E">
        <w:rPr>
          <w:rFonts w:asciiTheme="majorBidi" w:hAnsiTheme="majorBidi" w:cstheme="majorBidi"/>
          <w:bCs/>
          <w:sz w:val="22"/>
          <w:szCs w:val="22"/>
          <w:lang w:val="lt-LT"/>
        </w:rPr>
        <w:t xml:space="preserve"> oligohidramniono ir arterinio latako susiaurėjima</w:t>
      </w:r>
      <w:r w:rsidR="00E52455">
        <w:rPr>
          <w:rFonts w:asciiTheme="majorBidi" w:hAnsiTheme="majorBidi" w:cstheme="majorBidi"/>
          <w:bCs/>
          <w:sz w:val="22"/>
          <w:szCs w:val="22"/>
          <w:lang w:val="lt-LT"/>
        </w:rPr>
        <w:t>o</w:t>
      </w:r>
      <w:r w:rsidR="00B42064" w:rsidRPr="0029230E">
        <w:rPr>
          <w:rFonts w:asciiTheme="majorBidi" w:hAnsiTheme="majorBidi" w:cstheme="majorBidi"/>
          <w:bCs/>
          <w:sz w:val="22"/>
          <w:szCs w:val="22"/>
          <w:lang w:val="lt-LT"/>
        </w:rPr>
        <w:t xml:space="preserve"> </w:t>
      </w:r>
      <w:r w:rsidR="008A5906">
        <w:rPr>
          <w:rFonts w:asciiTheme="majorBidi" w:hAnsiTheme="majorBidi" w:cstheme="majorBidi"/>
          <w:bCs/>
          <w:sz w:val="22"/>
          <w:szCs w:val="22"/>
          <w:lang w:val="lt-LT"/>
        </w:rPr>
        <w:t>stebėjimo.</w:t>
      </w:r>
      <w:r w:rsidR="00B42064" w:rsidRPr="0029230E">
        <w:rPr>
          <w:rFonts w:asciiTheme="majorBidi" w:hAnsiTheme="majorBidi" w:cstheme="majorBidi"/>
          <w:bCs/>
          <w:sz w:val="22"/>
          <w:szCs w:val="22"/>
          <w:lang w:val="lt-LT"/>
        </w:rPr>
        <w:t xml:space="preserve"> Jei nustatomas oligohidramnionas arba arterinio latako susiaurėjimas, ibuprofeno vartojimą reikia nutraukti. </w:t>
      </w:r>
    </w:p>
    <w:p w14:paraId="26916206" w14:textId="77777777" w:rsidR="00B932D0" w:rsidRDefault="00B932D0" w:rsidP="00B932D0">
      <w:pPr>
        <w:spacing w:after="0" w:line="240" w:lineRule="auto"/>
        <w:rPr>
          <w:rFonts w:ascii="Times New Roman" w:eastAsia="Times New Roman" w:hAnsi="Times New Roman"/>
          <w:lang w:val="lt-LT"/>
        </w:rPr>
      </w:pPr>
    </w:p>
    <w:p w14:paraId="326A4125"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Prostaglandinų sintezės inhibitoriai, vartojami paskutinius tris nėštumo mėnesius, gali vaisiui sukelti:</w:t>
      </w:r>
    </w:p>
    <w:p w14:paraId="3151EE6D" w14:textId="1A584262" w:rsidR="00B932D0" w:rsidRDefault="00B932D0" w:rsidP="00B932D0">
      <w:pPr>
        <w:numPr>
          <w:ilvl w:val="0"/>
          <w:numId w:val="15"/>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 xml:space="preserve">toksinį poveikį širdžiai ir plaučiams (priešlaikinį arterinio latako </w:t>
      </w:r>
      <w:r w:rsidR="00B07D60">
        <w:rPr>
          <w:rFonts w:ascii="Times New Roman" w:eastAsia="Times New Roman" w:hAnsi="Times New Roman"/>
          <w:noProof/>
          <w:lang w:val="lt-LT"/>
        </w:rPr>
        <w:t xml:space="preserve">susiaurėjimą ir (arba) </w:t>
      </w:r>
      <w:r>
        <w:rPr>
          <w:rFonts w:ascii="Times New Roman" w:eastAsia="Times New Roman" w:hAnsi="Times New Roman"/>
          <w:noProof/>
          <w:lang w:val="lt-LT"/>
        </w:rPr>
        <w:t>užsidarymą, plaučių hipertenziją);</w:t>
      </w:r>
    </w:p>
    <w:p w14:paraId="2F34981A" w14:textId="185868E9" w:rsidR="00B932D0" w:rsidRDefault="00B932D0" w:rsidP="00B932D0">
      <w:pPr>
        <w:numPr>
          <w:ilvl w:val="0"/>
          <w:numId w:val="15"/>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inkstų funkcijos sutrikimą</w:t>
      </w:r>
      <w:r w:rsidR="00B07D60">
        <w:rPr>
          <w:rFonts w:ascii="Times New Roman" w:eastAsia="Times New Roman" w:hAnsi="Times New Roman"/>
          <w:noProof/>
          <w:lang w:val="lt-LT"/>
        </w:rPr>
        <w:t xml:space="preserve"> (žr. </w:t>
      </w:r>
      <w:r w:rsidR="00567E23">
        <w:rPr>
          <w:rFonts w:ascii="Times New Roman" w:eastAsia="Times New Roman" w:hAnsi="Times New Roman"/>
          <w:noProof/>
          <w:lang w:val="lt-LT"/>
        </w:rPr>
        <w:t>a</w:t>
      </w:r>
      <w:r w:rsidR="00B07D60">
        <w:rPr>
          <w:rFonts w:ascii="Times New Roman" w:eastAsia="Times New Roman" w:hAnsi="Times New Roman"/>
          <w:noProof/>
          <w:lang w:val="lt-LT"/>
        </w:rPr>
        <w:t>ukščiau)</w:t>
      </w:r>
      <w:r w:rsidR="00567E23">
        <w:rPr>
          <w:rFonts w:ascii="Times New Roman" w:eastAsia="Times New Roman" w:hAnsi="Times New Roman"/>
          <w:noProof/>
          <w:lang w:val="lt-LT"/>
        </w:rPr>
        <w:t>.</w:t>
      </w:r>
    </w:p>
    <w:p w14:paraId="0FBBE262"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Vartojant nėštumo pabaigoje motinai ir naujagimiui gali sukelti:</w:t>
      </w:r>
    </w:p>
    <w:p w14:paraId="35E88146" w14:textId="77777777" w:rsidR="00B932D0" w:rsidRDefault="00B932D0" w:rsidP="00B932D0">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vartojant netgi mažiausiomis dozėmis - kraujavimo laiko pailgėjimą dėl trombocitų agregacijos slopinimo;</w:t>
      </w:r>
    </w:p>
    <w:p w14:paraId="33B432B2" w14:textId="77777777" w:rsidR="00B932D0" w:rsidRDefault="00B932D0" w:rsidP="00B932D0">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gimdos susitraukimų slopinimą ir dėl to vėluojantį arba užsitęsusį gimdymą.</w:t>
      </w:r>
    </w:p>
    <w:p w14:paraId="2309AF75" w14:textId="56784693"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Todėl ibuprofeno trečią nėštumo trimestrą vartoti draudžiama (žr. 4.3 skyrių).</w:t>
      </w:r>
    </w:p>
    <w:p w14:paraId="459CD858" w14:textId="77777777" w:rsidR="00B932D0" w:rsidRDefault="00B932D0" w:rsidP="00B932D0">
      <w:pPr>
        <w:spacing w:after="0" w:line="240" w:lineRule="auto"/>
        <w:rPr>
          <w:rFonts w:ascii="Times New Roman" w:eastAsia="Times New Roman" w:hAnsi="Times New Roman"/>
          <w:lang w:val="lt-LT"/>
        </w:rPr>
      </w:pPr>
    </w:p>
    <w:p w14:paraId="2D2494B1" w14:textId="77777777" w:rsidR="00B932D0" w:rsidRPr="006211B1" w:rsidRDefault="00B932D0" w:rsidP="00B932D0">
      <w:pPr>
        <w:spacing w:after="0" w:line="240" w:lineRule="auto"/>
        <w:rPr>
          <w:rFonts w:ascii="Times New Roman" w:eastAsia="Times New Roman" w:hAnsi="Times New Roman"/>
          <w:u w:val="single"/>
          <w:lang w:val="lt-LT"/>
        </w:rPr>
      </w:pPr>
      <w:r w:rsidRPr="006211B1">
        <w:rPr>
          <w:rFonts w:ascii="Times New Roman" w:eastAsia="Times New Roman" w:hAnsi="Times New Roman"/>
          <w:u w:val="single"/>
          <w:lang w:val="lt-LT"/>
        </w:rPr>
        <w:t>Žindymas</w:t>
      </w:r>
    </w:p>
    <w:p w14:paraId="6F691347"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r>
        <w:rPr>
          <w:rFonts w:ascii="Times New Roman" w:eastAsia="Times New Roman" w:hAnsi="Times New Roman"/>
          <w:kern w:val="28"/>
          <w:lang w:val="lt-LT"/>
        </w:rPr>
        <w:t xml:space="preserve">Ribotų tyrimų duomenimis ibuprofeno į motinos pieną patenka labai mažais kiekiais ir jis neturėtų pakenkti žindomam kūdikiui. </w:t>
      </w:r>
    </w:p>
    <w:p w14:paraId="2D1587D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E096FD1" w14:textId="77777777" w:rsidR="00B932D0" w:rsidRPr="006211B1"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sidRPr="006211B1">
        <w:rPr>
          <w:rFonts w:ascii="Times New Roman" w:eastAsia="Times New Roman" w:hAnsi="Times New Roman"/>
          <w:noProof/>
          <w:u w:val="single"/>
          <w:lang w:val="lt-LT"/>
        </w:rPr>
        <w:t>Vaisingumas</w:t>
      </w:r>
    </w:p>
    <w:p w14:paraId="3B13728D"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Yra duomenų, kad vaistinių preparatų, slopinančių ciklooksigenazę/prostaglandinų sintezę, vartojimas gali mažinti moters vaisingumą dėl poveikio ovuliacijai. Nutraukus vaistinio preparato vartojimą, vaisingumas atsistato  (žr. 4.4 skyrių).</w:t>
      </w:r>
    </w:p>
    <w:p w14:paraId="741E6BF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E205C96"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25" w:name="_Toc129243233"/>
      <w:bookmarkStart w:id="26" w:name="_Toc129243108"/>
      <w:r>
        <w:rPr>
          <w:rFonts w:ascii="Times New Roman" w:eastAsia="Times New Roman" w:hAnsi="Times New Roman"/>
          <w:b/>
          <w:bCs/>
          <w:kern w:val="28"/>
          <w:lang w:val="lt-LT"/>
        </w:rPr>
        <w:t>4.7</w:t>
      </w:r>
      <w:r>
        <w:rPr>
          <w:rFonts w:ascii="Times New Roman" w:eastAsia="Times New Roman" w:hAnsi="Times New Roman"/>
          <w:b/>
          <w:bCs/>
          <w:kern w:val="28"/>
          <w:lang w:val="lt-LT"/>
        </w:rPr>
        <w:tab/>
        <w:t>Poveikis gebėjimui vairuoti ir valdyti mechanizmus</w:t>
      </w:r>
      <w:bookmarkEnd w:id="25"/>
      <w:bookmarkEnd w:id="26"/>
    </w:p>
    <w:p w14:paraId="4A8CC487" w14:textId="77777777" w:rsidR="00B932D0" w:rsidRDefault="00B932D0" w:rsidP="00B932D0">
      <w:pPr>
        <w:spacing w:after="0" w:line="240" w:lineRule="auto"/>
        <w:rPr>
          <w:rFonts w:ascii="Times New Roman" w:eastAsia="Times New Roman" w:hAnsi="Times New Roman"/>
          <w:lang w:val="lt-LT"/>
        </w:rPr>
      </w:pPr>
    </w:p>
    <w:p w14:paraId="155C475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NUROFEN FORTE EXPRESS gebėjimo vairuoti ir valdyti mechanizmus neveikia arba veikia nereikšmingai. </w:t>
      </w:r>
    </w:p>
    <w:p w14:paraId="10287A7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Ibuprofenas vartojamas didelėmis dozėmis gali sukelti nepageidaujamų poveikių, tokių kaip nuovargis, mieguistumas, galvos svaigimas (</w:t>
      </w:r>
      <w:r>
        <w:rPr>
          <w:rFonts w:ascii="Times New Roman" w:eastAsia="Times New Roman" w:hAnsi="Times New Roman"/>
          <w:i/>
          <w:noProof/>
          <w:lang w:val="lt-LT"/>
        </w:rPr>
        <w:t>vertigo</w:t>
      </w:r>
      <w:r>
        <w:rPr>
          <w:rFonts w:ascii="Times New Roman" w:eastAsia="Times New Roman" w:hAnsi="Times New Roman"/>
          <w:noProof/>
          <w:lang w:val="lt-LT"/>
        </w:rPr>
        <w:t>, dažnas poveikis) ir regos sutrikimai (nedažnas poveikis), todėl pavieniais atvejais gali sutrikti gebėjimas vairuoti automobilį ir valdyti mechanizmus. Šis poveikis būna stipresnis, jei kartu vartojama alkoholio</w:t>
      </w:r>
    </w:p>
    <w:p w14:paraId="7BEFF09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EEA3C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Vartojant rekomenduojamą dozę ir rekomenduojamą laiko tarpą, vaistinis preparatas gebėjimo vairuoti ir valdyti mechanizmus veikti neturėtų.</w:t>
      </w:r>
    </w:p>
    <w:p w14:paraId="640D128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48CC911"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27" w:name="_Toc129243234"/>
      <w:bookmarkStart w:id="28" w:name="_Toc129243109"/>
      <w:r>
        <w:rPr>
          <w:rFonts w:ascii="Times New Roman" w:eastAsia="Times New Roman" w:hAnsi="Times New Roman"/>
          <w:b/>
          <w:bCs/>
          <w:kern w:val="28"/>
          <w:lang w:val="lt-LT"/>
        </w:rPr>
        <w:t>4.8</w:t>
      </w:r>
      <w:r>
        <w:rPr>
          <w:rFonts w:ascii="Times New Roman" w:eastAsia="Times New Roman" w:hAnsi="Times New Roman"/>
          <w:b/>
          <w:bCs/>
          <w:kern w:val="28"/>
          <w:lang w:val="lt-LT"/>
        </w:rPr>
        <w:tab/>
        <w:t>Nepageidaujamas poveikis</w:t>
      </w:r>
      <w:bookmarkEnd w:id="27"/>
      <w:bookmarkEnd w:id="28"/>
    </w:p>
    <w:p w14:paraId="080A6CF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30306C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Toliau nurodomas nepageidaujamas poveikis, susijęs su trumpalaikiu ibuprofeno vartojimu nereceptinėmis dozėmis (maksimali dozė per parą -1200 mg). Jei vaistinis preparatas vartojamas ilgai lėtinėms ligoms gydyti, galimas ir kitas nepageidaujamas poveikis.</w:t>
      </w:r>
    </w:p>
    <w:p w14:paraId="7627482B" w14:textId="77777777" w:rsidR="00B932D0" w:rsidRDefault="00B932D0" w:rsidP="00B932D0">
      <w:pPr>
        <w:spacing w:after="0" w:line="240" w:lineRule="auto"/>
        <w:rPr>
          <w:rFonts w:ascii="Times New Roman" w:eastAsia="Times New Roman" w:hAnsi="Times New Roman"/>
          <w:lang w:val="lt-LT"/>
        </w:rPr>
      </w:pPr>
    </w:p>
    <w:p w14:paraId="5C0897F3" w14:textId="77777777" w:rsidR="00B932D0" w:rsidRDefault="00B932D0" w:rsidP="00B932D0">
      <w:pPr>
        <w:spacing w:after="0" w:line="240" w:lineRule="auto"/>
        <w:rPr>
          <w:rFonts w:ascii="Times New Roman" w:eastAsia="Times New Roman" w:hAnsi="Times New Roman"/>
          <w:b/>
          <w:lang w:val="lt-LT"/>
        </w:rPr>
      </w:pPr>
      <w:r>
        <w:rPr>
          <w:rFonts w:ascii="Times New Roman" w:eastAsia="Times New Roman" w:hAnsi="Times New Roman"/>
          <w:lang w:val="lt-LT"/>
        </w:rPr>
        <w:t>Nepageidaujami poveikiai, susiję su ibuprofeno vartojimu, pateikti pagal organų sistemų klases ir dažnį.</w:t>
      </w:r>
    </w:p>
    <w:p w14:paraId="50BA28B5" w14:textId="77777777" w:rsidR="00B932D0" w:rsidRDefault="00B932D0" w:rsidP="00B932D0">
      <w:pPr>
        <w:spacing w:after="0" w:line="240" w:lineRule="auto"/>
        <w:contextualSpacing/>
        <w:outlineLvl w:val="0"/>
        <w:rPr>
          <w:rFonts w:ascii="Times New Roman" w:eastAsia="Times New Roman" w:hAnsi="Times New Roman"/>
          <w:lang w:val="lt-LT"/>
        </w:rPr>
      </w:pPr>
    </w:p>
    <w:p w14:paraId="10B88305" w14:textId="77777777" w:rsidR="00B932D0" w:rsidRDefault="00B932D0" w:rsidP="00B932D0">
      <w:pPr>
        <w:autoSpaceDE w:val="0"/>
        <w:spacing w:after="0" w:line="240" w:lineRule="auto"/>
        <w:contextualSpacing/>
        <w:rPr>
          <w:rFonts w:ascii="Times New Roman" w:eastAsia="Times New Roman" w:hAnsi="Times New Roman"/>
          <w:lang w:val="lt-LT"/>
        </w:rPr>
      </w:pPr>
      <w:r>
        <w:rPr>
          <w:rFonts w:ascii="Times New Roman" w:eastAsia="Times New Roman" w:hAnsi="Times New Roman"/>
          <w:lang w:val="lt-LT"/>
        </w:rPr>
        <w:lastRenderedPageBreak/>
        <w:t>Nepageidaujamo poveikio dažnis apibūdinamas taip: labai dažnas (≥ 1/10), dažnas (nuo ≥ 1/100 iki &lt; 1/10), nedažnas (nuo ≥ 1/1000 iki &lt; 1/100), retas (nuo ≥ 1/10000 iki &lt; 1/1000), labai retas (&lt; 1/10000) ir nežinomas (negali būti apskaičiuotas pagal turimus duomenis).</w:t>
      </w:r>
    </w:p>
    <w:p w14:paraId="11871370" w14:textId="77777777" w:rsidR="00B932D0" w:rsidRDefault="00B932D0" w:rsidP="00B932D0">
      <w:pPr>
        <w:tabs>
          <w:tab w:val="left" w:pos="567"/>
        </w:tabs>
        <w:spacing w:after="0" w:line="240" w:lineRule="auto"/>
        <w:rPr>
          <w:rFonts w:ascii="Times New Roman" w:eastAsia="Times New Roman" w:hAnsi="Times New Roman"/>
          <w:position w:val="6"/>
          <w:lang w:val="lt-LT"/>
        </w:rPr>
      </w:pPr>
      <w:r>
        <w:rPr>
          <w:rFonts w:ascii="Times New Roman" w:eastAsia="Times New Roman" w:hAnsi="Times New Roman"/>
          <w:position w:val="6"/>
          <w:lang w:val="lt-LT"/>
        </w:rPr>
        <w:t>Kiekvienoje dažnio grupėje nepageidaujami poveikiai išdėstyti sunkumo mažėjimo linkme.</w:t>
      </w:r>
    </w:p>
    <w:p w14:paraId="06016125" w14:textId="77777777" w:rsidR="00B932D0" w:rsidRDefault="00B932D0" w:rsidP="00B932D0">
      <w:pPr>
        <w:spacing w:after="0" w:line="240" w:lineRule="auto"/>
        <w:rPr>
          <w:rFonts w:ascii="Times New Roman" w:eastAsia="Times New Roman" w:hAnsi="Times New Roman"/>
          <w:b/>
          <w:lang w:val="lt-LT"/>
        </w:rPr>
      </w:pPr>
    </w:p>
    <w:p w14:paraId="7DF8776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Dažniausias nepageidaujamas poveikis yra virškinimo trakto sutrikimai. Nepageidaujamas poveikis labiausiai priklauso nuo dozės, ypač kraujavimo iš virškinimo trakto rizika priklauso nuo dozavimo intervalų ir gydymo trukmės. </w:t>
      </w:r>
    </w:p>
    <w:p w14:paraId="400A3FCE" w14:textId="77777777" w:rsidR="00B932D0" w:rsidRDefault="00B932D0" w:rsidP="00B932D0">
      <w:pPr>
        <w:spacing w:after="0" w:line="240" w:lineRule="auto"/>
        <w:jc w:val="both"/>
        <w:rPr>
          <w:rFonts w:ascii="Times New Roman" w:eastAsia="Times New Roman" w:hAnsi="Times New Roman"/>
          <w:highlight w:val="yellow"/>
          <w:lang w:val="lt-LT"/>
        </w:rPr>
      </w:pPr>
    </w:p>
    <w:p w14:paraId="643E861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Kai paros dozė neviršija 1200 mg, nepageidaujamas poveikis pasireiškia rečiau.</w:t>
      </w:r>
    </w:p>
    <w:p w14:paraId="4DAB32C4" w14:textId="77777777" w:rsidR="00B932D0" w:rsidRDefault="00B932D0" w:rsidP="00B932D0">
      <w:pPr>
        <w:spacing w:after="0" w:line="240" w:lineRule="auto"/>
        <w:rPr>
          <w:rFonts w:ascii="Times New Roman" w:eastAsia="Times New Roman" w:hAnsi="Times New Roman"/>
          <w:b/>
          <w:lang w:val="lt-LT"/>
        </w:rPr>
      </w:pPr>
    </w:p>
    <w:p w14:paraId="3BC7603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Klinikiniais tyrimais nustatyta, kad ibuprofeno vartojimas, ypač didelėmis dozėmis (2400 mg per parą), gali būti susijęs su nedideliu arterijų trombozės reiškinių (pvz., miokardo infarkto arba insulto) rizikos padidėjimu (žr. 4.4 skyrių).</w:t>
      </w:r>
    </w:p>
    <w:p w14:paraId="6AC23394"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741B7AB" w14:textId="77777777" w:rsidR="00B932D0" w:rsidRDefault="00B932D0" w:rsidP="00B932D0">
      <w:pPr>
        <w:spacing w:after="0" w:line="240" w:lineRule="auto"/>
        <w:rPr>
          <w:rFonts w:ascii="Times New Roman" w:eastAsia="Times New Roman" w:hAnsi="Times New Roman"/>
          <w:iCs/>
          <w:lang w:val="lt-LT" w:eastAsia="lt-LT"/>
        </w:rPr>
      </w:pPr>
      <w:r>
        <w:rPr>
          <w:rFonts w:ascii="Times New Roman" w:eastAsia="Times New Roman" w:hAnsi="Times New Roman"/>
          <w:iCs/>
          <w:lang w:val="lt-LT" w:eastAsia="lt-LT"/>
        </w:rPr>
        <w:t>Nepageidaujamų reakcijų santrauka lentelėje</w:t>
      </w:r>
    </w:p>
    <w:p w14:paraId="6F2FDB1B" w14:textId="77777777" w:rsidR="00B932D0" w:rsidRDefault="00B932D0" w:rsidP="00B932D0">
      <w:pPr>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6"/>
        <w:gridCol w:w="1295"/>
        <w:gridCol w:w="4905"/>
      </w:tblGrid>
      <w:tr w:rsidR="00B932D0" w:rsidRPr="00BE3F2A" w14:paraId="5B4E711F" w14:textId="77777777" w:rsidTr="00347210">
        <w:trPr>
          <w:trHeight w:val="540"/>
        </w:trPr>
        <w:tc>
          <w:tcPr>
            <w:tcW w:w="3086" w:type="dxa"/>
            <w:tcBorders>
              <w:top w:val="single" w:sz="4" w:space="0" w:color="auto"/>
              <w:left w:val="single" w:sz="4" w:space="0" w:color="auto"/>
              <w:bottom w:val="single" w:sz="4" w:space="0" w:color="auto"/>
              <w:right w:val="single" w:sz="4" w:space="0" w:color="auto"/>
            </w:tcBorders>
            <w:hideMark/>
          </w:tcPr>
          <w:p w14:paraId="19F59FA9" w14:textId="77777777" w:rsidR="00B932D0" w:rsidRDefault="00B932D0" w:rsidP="0059317B">
            <w:pPr>
              <w:tabs>
                <w:tab w:val="left" w:pos="567"/>
              </w:tabs>
              <w:spacing w:after="0" w:line="240" w:lineRule="auto"/>
              <w:outlineLvl w:val="0"/>
              <w:rPr>
                <w:rFonts w:ascii="Times New Roman" w:eastAsia="Times New Roman" w:hAnsi="Times New Roman"/>
                <w:b/>
                <w:bCs/>
                <w:kern w:val="28"/>
                <w:lang w:val="lt-LT" w:eastAsia="lt-LT"/>
              </w:rPr>
            </w:pPr>
            <w:r>
              <w:rPr>
                <w:rFonts w:ascii="Times New Roman" w:eastAsia="Times New Roman" w:hAnsi="Times New Roman"/>
                <w:b/>
                <w:bCs/>
                <w:kern w:val="28"/>
                <w:lang w:val="lt-LT" w:eastAsia="lt-LT"/>
              </w:rPr>
              <w:t>Organų sistemų klasės</w:t>
            </w:r>
          </w:p>
        </w:tc>
        <w:tc>
          <w:tcPr>
            <w:tcW w:w="1295" w:type="dxa"/>
            <w:tcBorders>
              <w:top w:val="single" w:sz="4" w:space="0" w:color="auto"/>
              <w:left w:val="single" w:sz="4" w:space="0" w:color="auto"/>
              <w:bottom w:val="single" w:sz="4" w:space="0" w:color="auto"/>
              <w:right w:val="single" w:sz="4" w:space="0" w:color="auto"/>
            </w:tcBorders>
            <w:hideMark/>
          </w:tcPr>
          <w:p w14:paraId="7EFACBD1" w14:textId="77777777" w:rsidR="00B932D0" w:rsidRDefault="00B932D0" w:rsidP="0059317B">
            <w:pPr>
              <w:tabs>
                <w:tab w:val="left" w:pos="0"/>
                <w:tab w:val="left" w:pos="567"/>
              </w:tabs>
              <w:spacing w:after="0" w:line="240" w:lineRule="auto"/>
              <w:rPr>
                <w:rFonts w:ascii="Times New Roman" w:eastAsia="Times New Roman" w:hAnsi="Times New Roman"/>
                <w:b/>
                <w:lang w:val="lt-LT"/>
              </w:rPr>
            </w:pPr>
            <w:r>
              <w:rPr>
                <w:rFonts w:ascii="Times New Roman" w:eastAsia="Times New Roman" w:hAnsi="Times New Roman"/>
                <w:b/>
                <w:lang w:val="lt-LT"/>
              </w:rPr>
              <w:t>Dažnis</w:t>
            </w:r>
          </w:p>
        </w:tc>
        <w:tc>
          <w:tcPr>
            <w:tcW w:w="4905" w:type="dxa"/>
            <w:tcBorders>
              <w:top w:val="single" w:sz="4" w:space="0" w:color="auto"/>
              <w:left w:val="single" w:sz="4" w:space="0" w:color="auto"/>
              <w:bottom w:val="single" w:sz="4" w:space="0" w:color="auto"/>
              <w:right w:val="single" w:sz="4" w:space="0" w:color="auto"/>
            </w:tcBorders>
            <w:hideMark/>
          </w:tcPr>
          <w:p w14:paraId="7669FE51" w14:textId="77777777" w:rsidR="00B932D0" w:rsidRDefault="00B932D0" w:rsidP="0059317B">
            <w:pPr>
              <w:tabs>
                <w:tab w:val="left" w:pos="0"/>
                <w:tab w:val="left" w:pos="567"/>
              </w:tabs>
              <w:spacing w:after="0" w:line="240" w:lineRule="auto"/>
              <w:rPr>
                <w:rFonts w:ascii="Times New Roman" w:eastAsia="Times New Roman" w:hAnsi="Times New Roman"/>
                <w:b/>
                <w:lang w:val="lt-LT"/>
              </w:rPr>
            </w:pPr>
            <w:r>
              <w:rPr>
                <w:rFonts w:ascii="Times New Roman" w:eastAsia="Times New Roman" w:hAnsi="Times New Roman"/>
                <w:b/>
                <w:lang w:val="lt-LT"/>
              </w:rPr>
              <w:t>Nepageidaujamas poveikis</w:t>
            </w:r>
          </w:p>
        </w:tc>
      </w:tr>
      <w:tr w:rsidR="00B932D0" w:rsidRPr="002F3B5B" w14:paraId="5216A8B8" w14:textId="77777777" w:rsidTr="00347210">
        <w:trPr>
          <w:trHeight w:val="1440"/>
        </w:trPr>
        <w:tc>
          <w:tcPr>
            <w:tcW w:w="3086" w:type="dxa"/>
            <w:tcBorders>
              <w:top w:val="single" w:sz="4" w:space="0" w:color="auto"/>
              <w:left w:val="single" w:sz="4" w:space="0" w:color="auto"/>
              <w:bottom w:val="single" w:sz="4" w:space="0" w:color="auto"/>
              <w:right w:val="single" w:sz="4" w:space="0" w:color="auto"/>
            </w:tcBorders>
            <w:hideMark/>
          </w:tcPr>
          <w:p w14:paraId="6B568A4D"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Kraujo ir limfinės sistemos sutrikimai</w:t>
            </w:r>
          </w:p>
        </w:tc>
        <w:tc>
          <w:tcPr>
            <w:tcW w:w="1295" w:type="dxa"/>
            <w:tcBorders>
              <w:top w:val="single" w:sz="4" w:space="0" w:color="auto"/>
              <w:left w:val="single" w:sz="4" w:space="0" w:color="auto"/>
              <w:bottom w:val="single" w:sz="4" w:space="0" w:color="auto"/>
              <w:right w:val="single" w:sz="4" w:space="0" w:color="auto"/>
            </w:tcBorders>
            <w:hideMark/>
          </w:tcPr>
          <w:p w14:paraId="72049638"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hideMark/>
          </w:tcPr>
          <w:p w14:paraId="3503D210"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Sutrikusi kraujodara (anemija, hemolizinė anemija, aplastinė anemija, leukopenija, trombocitopenija, pancitopenija, agranulocitozė).</w:t>
            </w:r>
          </w:p>
          <w:p w14:paraId="6E9E830E"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Pirmieji požymiai yra karščiavimas, gerklės skausmas, burnos gleivinės opos, į gripą panašūs simptomai, sunkus išsekimas, kraujavimas iš nosies ir odos bei kraujosruvos.</w:t>
            </w:r>
          </w:p>
        </w:tc>
      </w:tr>
      <w:tr w:rsidR="00B932D0" w:rsidRPr="002F3B5B" w14:paraId="310FC1C5" w14:textId="77777777" w:rsidTr="00347210">
        <w:trPr>
          <w:trHeight w:val="315"/>
        </w:trPr>
        <w:tc>
          <w:tcPr>
            <w:tcW w:w="3086" w:type="dxa"/>
            <w:tcBorders>
              <w:top w:val="nil"/>
              <w:left w:val="single" w:sz="4" w:space="0" w:color="auto"/>
              <w:bottom w:val="nil"/>
              <w:right w:val="single" w:sz="4" w:space="0" w:color="auto"/>
            </w:tcBorders>
          </w:tcPr>
          <w:p w14:paraId="4A5385C4"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Imuninės sistemos sutrikimai</w:t>
            </w:r>
          </w:p>
          <w:p w14:paraId="013F91C4"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1295" w:type="dxa"/>
            <w:tcBorders>
              <w:top w:val="nil"/>
              <w:left w:val="single" w:sz="4" w:space="0" w:color="auto"/>
              <w:bottom w:val="nil"/>
              <w:right w:val="single" w:sz="4" w:space="0" w:color="auto"/>
            </w:tcBorders>
          </w:tcPr>
          <w:p w14:paraId="7EC7AC58"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Nedažnas</w:t>
            </w:r>
          </w:p>
          <w:p w14:paraId="4D2BA940"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4905" w:type="dxa"/>
            <w:tcBorders>
              <w:top w:val="nil"/>
              <w:left w:val="single" w:sz="4" w:space="0" w:color="auto"/>
              <w:bottom w:val="nil"/>
              <w:right w:val="single" w:sz="4" w:space="0" w:color="auto"/>
            </w:tcBorders>
            <w:hideMark/>
          </w:tcPr>
          <w:p w14:paraId="1F08D63E"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Padidėjusio jautrumo reakcijos</w:t>
            </w:r>
            <w:r>
              <w:rPr>
                <w:rFonts w:ascii="Times New Roman" w:eastAsia="Times New Roman" w:hAnsi="Times New Roman"/>
                <w:vertAlign w:val="superscript"/>
                <w:lang w:val="lt-LT"/>
              </w:rPr>
              <w:t>1</w:t>
            </w:r>
            <w:r>
              <w:rPr>
                <w:rFonts w:ascii="Times New Roman" w:eastAsia="Times New Roman" w:hAnsi="Times New Roman"/>
                <w:lang w:val="lt-LT"/>
              </w:rPr>
              <w:t xml:space="preserve">, pasireiškiančios dilgėline ir niežėjimu. </w:t>
            </w:r>
          </w:p>
        </w:tc>
      </w:tr>
      <w:tr w:rsidR="00B932D0" w:rsidRPr="002F3B5B" w14:paraId="4138EB38" w14:textId="77777777" w:rsidTr="00347210">
        <w:trPr>
          <w:trHeight w:val="315"/>
        </w:trPr>
        <w:tc>
          <w:tcPr>
            <w:tcW w:w="3086" w:type="dxa"/>
            <w:tcBorders>
              <w:top w:val="single" w:sz="4" w:space="0" w:color="auto"/>
              <w:left w:val="single" w:sz="4" w:space="0" w:color="auto"/>
              <w:bottom w:val="single" w:sz="4" w:space="0" w:color="auto"/>
              <w:right w:val="single" w:sz="4" w:space="0" w:color="auto"/>
            </w:tcBorders>
          </w:tcPr>
          <w:p w14:paraId="448973B7"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1295" w:type="dxa"/>
            <w:tcBorders>
              <w:top w:val="single" w:sz="4" w:space="0" w:color="auto"/>
              <w:left w:val="single" w:sz="4" w:space="0" w:color="auto"/>
              <w:bottom w:val="single" w:sz="4" w:space="0" w:color="auto"/>
              <w:right w:val="single" w:sz="4" w:space="0" w:color="auto"/>
            </w:tcBorders>
          </w:tcPr>
          <w:p w14:paraId="68290274"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Labai retas</w:t>
            </w:r>
          </w:p>
          <w:p w14:paraId="08500738"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4905" w:type="dxa"/>
            <w:tcBorders>
              <w:top w:val="single" w:sz="4" w:space="0" w:color="auto"/>
              <w:left w:val="single" w:sz="4" w:space="0" w:color="auto"/>
              <w:bottom w:val="single" w:sz="4" w:space="0" w:color="auto"/>
              <w:right w:val="single" w:sz="4" w:space="0" w:color="auto"/>
            </w:tcBorders>
          </w:tcPr>
          <w:p w14:paraId="0131921D"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Sunkios padidėjusio jautrumo reakcijos, kurių simptomai gali būti: veido, liežuvio ir gerklų paburkimas, dispnėja, tachikardija, hipotenzija (t.y. anafilaksija, angioneurozinė edema ar sunkus šokas). </w:t>
            </w:r>
          </w:p>
          <w:p w14:paraId="65BF20CC"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p w14:paraId="705A3023"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Kvėpavimo takų reaktyvumas, pasireiškiantis astma, paūmėjusia astma, bronchų spazmu ar dispnėja.</w:t>
            </w:r>
          </w:p>
          <w:p w14:paraId="4EF5A7F3"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r>
      <w:tr w:rsidR="00B932D0" w:rsidRPr="00BE3F2A" w14:paraId="6336ECF0" w14:textId="77777777" w:rsidTr="00347210">
        <w:trPr>
          <w:trHeight w:val="315"/>
        </w:trPr>
        <w:tc>
          <w:tcPr>
            <w:tcW w:w="3086" w:type="dxa"/>
            <w:tcBorders>
              <w:top w:val="single" w:sz="4" w:space="0" w:color="auto"/>
              <w:left w:val="single" w:sz="4" w:space="0" w:color="auto"/>
              <w:bottom w:val="single" w:sz="4" w:space="0" w:color="auto"/>
              <w:right w:val="single" w:sz="4" w:space="0" w:color="auto"/>
            </w:tcBorders>
          </w:tcPr>
          <w:p w14:paraId="3FA4AA4C"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Psichikos sutrikimai</w:t>
            </w:r>
          </w:p>
          <w:p w14:paraId="2B25EF1E"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1295" w:type="dxa"/>
            <w:tcBorders>
              <w:top w:val="single" w:sz="4" w:space="0" w:color="auto"/>
              <w:left w:val="single" w:sz="4" w:space="0" w:color="auto"/>
              <w:bottom w:val="single" w:sz="4" w:space="0" w:color="auto"/>
              <w:right w:val="single" w:sz="4" w:space="0" w:color="auto"/>
            </w:tcBorders>
          </w:tcPr>
          <w:p w14:paraId="69530CA4"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Labai retas</w:t>
            </w:r>
          </w:p>
          <w:p w14:paraId="3218D901"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p>
        </w:tc>
        <w:tc>
          <w:tcPr>
            <w:tcW w:w="4905" w:type="dxa"/>
            <w:tcBorders>
              <w:top w:val="single" w:sz="4" w:space="0" w:color="auto"/>
              <w:left w:val="single" w:sz="4" w:space="0" w:color="auto"/>
              <w:bottom w:val="single" w:sz="4" w:space="0" w:color="auto"/>
              <w:right w:val="single" w:sz="4" w:space="0" w:color="auto"/>
            </w:tcBorders>
          </w:tcPr>
          <w:p w14:paraId="7E49C4A4"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Psichozinis sutrikimas.</w:t>
            </w:r>
          </w:p>
          <w:p w14:paraId="6F09BA24"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r>
      <w:tr w:rsidR="00B932D0" w:rsidRPr="00BE3F2A" w14:paraId="6F4888F0" w14:textId="77777777" w:rsidTr="00347210">
        <w:trPr>
          <w:trHeight w:val="373"/>
        </w:trPr>
        <w:tc>
          <w:tcPr>
            <w:tcW w:w="3086" w:type="dxa"/>
            <w:vMerge w:val="restart"/>
            <w:tcBorders>
              <w:top w:val="single" w:sz="4" w:space="0" w:color="auto"/>
              <w:left w:val="single" w:sz="4" w:space="0" w:color="auto"/>
              <w:bottom w:val="single" w:sz="4" w:space="0" w:color="auto"/>
              <w:right w:val="single" w:sz="4" w:space="0" w:color="auto"/>
            </w:tcBorders>
            <w:hideMark/>
          </w:tcPr>
          <w:p w14:paraId="4D2CA8C0"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Nervų sistemos sutrikimai</w:t>
            </w:r>
          </w:p>
        </w:tc>
        <w:tc>
          <w:tcPr>
            <w:tcW w:w="1295" w:type="dxa"/>
            <w:tcBorders>
              <w:top w:val="single" w:sz="4" w:space="0" w:color="auto"/>
              <w:left w:val="single" w:sz="4" w:space="0" w:color="auto"/>
              <w:bottom w:val="single" w:sz="4" w:space="0" w:color="auto"/>
              <w:right w:val="single" w:sz="4" w:space="0" w:color="auto"/>
            </w:tcBorders>
            <w:hideMark/>
          </w:tcPr>
          <w:p w14:paraId="4552A75D"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Nedažnas</w:t>
            </w:r>
          </w:p>
        </w:tc>
        <w:tc>
          <w:tcPr>
            <w:tcW w:w="4905" w:type="dxa"/>
            <w:tcBorders>
              <w:top w:val="single" w:sz="4" w:space="0" w:color="auto"/>
              <w:left w:val="single" w:sz="4" w:space="0" w:color="auto"/>
              <w:bottom w:val="single" w:sz="4" w:space="0" w:color="auto"/>
              <w:right w:val="single" w:sz="4" w:space="0" w:color="auto"/>
            </w:tcBorders>
          </w:tcPr>
          <w:p w14:paraId="0EEB7DEB" w14:textId="77777777" w:rsidR="00B932D0" w:rsidRDefault="00B932D0" w:rsidP="0059317B">
            <w:pPr>
              <w:spacing w:after="0" w:line="240" w:lineRule="auto"/>
              <w:rPr>
                <w:rFonts w:ascii="Times New Roman" w:eastAsia="Times New Roman" w:hAnsi="Times New Roman"/>
                <w:lang w:val="lt-LT"/>
              </w:rPr>
            </w:pPr>
            <w:r>
              <w:rPr>
                <w:rFonts w:ascii="Times New Roman" w:eastAsia="Times New Roman" w:hAnsi="Times New Roman"/>
                <w:lang w:val="lt-LT"/>
              </w:rPr>
              <w:t>Galvos skausmas.</w:t>
            </w:r>
          </w:p>
          <w:p w14:paraId="7B4A5FC2"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r>
      <w:tr w:rsidR="00B932D0" w:rsidRPr="00BE3F2A" w14:paraId="11C308A5" w14:textId="77777777" w:rsidTr="00347210">
        <w:trPr>
          <w:trHeight w:val="33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BA5BF1" w14:textId="77777777" w:rsidR="00B932D0" w:rsidRDefault="00B932D0" w:rsidP="0059317B">
            <w:pPr>
              <w:spacing w:after="0" w:line="240" w:lineRule="auto"/>
              <w:rPr>
                <w:rFonts w:ascii="Times New Roman" w:eastAsia="Times New Roman" w:hAnsi="Times New Roman"/>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24661707"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tcPr>
          <w:p w14:paraId="7B8E1F49"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Svaigulys.</w:t>
            </w:r>
          </w:p>
          <w:p w14:paraId="1653391F"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r>
      <w:tr w:rsidR="00B932D0" w:rsidRPr="00BE3F2A" w14:paraId="268072FD" w14:textId="77777777" w:rsidTr="00347210">
        <w:trPr>
          <w:trHeight w:val="27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2F6621" w14:textId="77777777" w:rsidR="00B932D0" w:rsidRDefault="00B932D0" w:rsidP="0059317B">
            <w:pPr>
              <w:spacing w:after="0" w:line="240" w:lineRule="auto"/>
              <w:rPr>
                <w:rFonts w:ascii="Times New Roman" w:eastAsia="Times New Roman" w:hAnsi="Times New Roman"/>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6F6DBEB3"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hideMark/>
          </w:tcPr>
          <w:p w14:paraId="6039DA81"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Aseptinis meningitas</w:t>
            </w:r>
            <w:r>
              <w:rPr>
                <w:rFonts w:ascii="Times New Roman" w:eastAsia="Times New Roman" w:hAnsi="Times New Roman"/>
                <w:vertAlign w:val="superscript"/>
                <w:lang w:val="lt-LT"/>
              </w:rPr>
              <w:t>2</w:t>
            </w:r>
            <w:r>
              <w:rPr>
                <w:rFonts w:ascii="Times New Roman" w:eastAsia="Times New Roman" w:hAnsi="Times New Roman"/>
                <w:lang w:val="lt-LT"/>
              </w:rPr>
              <w:t>.</w:t>
            </w:r>
          </w:p>
        </w:tc>
      </w:tr>
      <w:tr w:rsidR="00B932D0" w:rsidRPr="00BE3F2A" w14:paraId="57D8F3AF" w14:textId="77777777" w:rsidTr="00347210">
        <w:trPr>
          <w:trHeight w:val="135"/>
        </w:trPr>
        <w:tc>
          <w:tcPr>
            <w:tcW w:w="3086" w:type="dxa"/>
            <w:tcBorders>
              <w:top w:val="single" w:sz="4" w:space="0" w:color="auto"/>
              <w:left w:val="single" w:sz="4" w:space="0" w:color="auto"/>
              <w:bottom w:val="single" w:sz="4" w:space="0" w:color="auto"/>
              <w:right w:val="single" w:sz="4" w:space="0" w:color="auto"/>
            </w:tcBorders>
            <w:hideMark/>
          </w:tcPr>
          <w:p w14:paraId="28C80B82"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r>
              <w:rPr>
                <w:rFonts w:ascii="Times New Roman" w:eastAsia="Times New Roman" w:hAnsi="Times New Roman"/>
                <w:lang w:val="lt-LT"/>
              </w:rPr>
              <w:t>Akių sutrikimai</w:t>
            </w:r>
          </w:p>
        </w:tc>
        <w:tc>
          <w:tcPr>
            <w:tcW w:w="1295" w:type="dxa"/>
            <w:tcBorders>
              <w:top w:val="single" w:sz="4" w:space="0" w:color="auto"/>
              <w:left w:val="single" w:sz="4" w:space="0" w:color="auto"/>
              <w:bottom w:val="single" w:sz="4" w:space="0" w:color="auto"/>
              <w:right w:val="single" w:sz="4" w:space="0" w:color="auto"/>
            </w:tcBorders>
            <w:hideMark/>
          </w:tcPr>
          <w:p w14:paraId="1D6E4B87"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hideMark/>
          </w:tcPr>
          <w:p w14:paraId="2B543098"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Regėjimo sutrikimai.</w:t>
            </w:r>
          </w:p>
        </w:tc>
      </w:tr>
      <w:tr w:rsidR="00B932D0" w:rsidRPr="00BE3F2A" w14:paraId="197E7C4D" w14:textId="77777777" w:rsidTr="00347210">
        <w:trPr>
          <w:trHeight w:val="240"/>
        </w:trPr>
        <w:tc>
          <w:tcPr>
            <w:tcW w:w="3086" w:type="dxa"/>
            <w:tcBorders>
              <w:top w:val="single" w:sz="4" w:space="0" w:color="auto"/>
              <w:left w:val="single" w:sz="4" w:space="0" w:color="auto"/>
              <w:bottom w:val="single" w:sz="4" w:space="0" w:color="auto"/>
              <w:right w:val="single" w:sz="4" w:space="0" w:color="auto"/>
            </w:tcBorders>
            <w:hideMark/>
          </w:tcPr>
          <w:p w14:paraId="390970D1" w14:textId="77777777" w:rsidR="00B932D0" w:rsidRDefault="00B932D0" w:rsidP="0059317B">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noProof/>
                <w:lang w:val="lt-LT"/>
              </w:rPr>
              <w:t>Ausų ir labirintų sutrikimai</w:t>
            </w:r>
          </w:p>
        </w:tc>
        <w:tc>
          <w:tcPr>
            <w:tcW w:w="1295" w:type="dxa"/>
            <w:tcBorders>
              <w:top w:val="single" w:sz="4" w:space="0" w:color="auto"/>
              <w:left w:val="single" w:sz="4" w:space="0" w:color="auto"/>
              <w:bottom w:val="single" w:sz="4" w:space="0" w:color="auto"/>
              <w:right w:val="single" w:sz="4" w:space="0" w:color="auto"/>
            </w:tcBorders>
            <w:hideMark/>
          </w:tcPr>
          <w:p w14:paraId="3A39DF83"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Nežinomas</w:t>
            </w:r>
          </w:p>
        </w:tc>
        <w:tc>
          <w:tcPr>
            <w:tcW w:w="4905" w:type="dxa"/>
            <w:tcBorders>
              <w:top w:val="single" w:sz="4" w:space="0" w:color="auto"/>
              <w:left w:val="single" w:sz="4" w:space="0" w:color="auto"/>
              <w:bottom w:val="single" w:sz="4" w:space="0" w:color="auto"/>
              <w:right w:val="single" w:sz="4" w:space="0" w:color="auto"/>
            </w:tcBorders>
            <w:hideMark/>
          </w:tcPr>
          <w:p w14:paraId="59407968"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 xml:space="preserve">Ūžesys. </w:t>
            </w:r>
          </w:p>
        </w:tc>
      </w:tr>
      <w:tr w:rsidR="00B932D0" w:rsidRPr="002F3B5B" w14:paraId="6A9076A3" w14:textId="77777777" w:rsidTr="00347210">
        <w:trPr>
          <w:trHeight w:val="366"/>
        </w:trPr>
        <w:tc>
          <w:tcPr>
            <w:tcW w:w="3086" w:type="dxa"/>
            <w:vMerge w:val="restart"/>
            <w:tcBorders>
              <w:top w:val="single" w:sz="4" w:space="0" w:color="auto"/>
              <w:left w:val="single" w:sz="4" w:space="0" w:color="auto"/>
              <w:bottom w:val="single" w:sz="4" w:space="0" w:color="auto"/>
              <w:right w:val="single" w:sz="4" w:space="0" w:color="auto"/>
            </w:tcBorders>
            <w:hideMark/>
          </w:tcPr>
          <w:p w14:paraId="24735092"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Širdies sutrikimai</w:t>
            </w:r>
          </w:p>
        </w:tc>
        <w:tc>
          <w:tcPr>
            <w:tcW w:w="1295" w:type="dxa"/>
            <w:tcBorders>
              <w:top w:val="single" w:sz="4" w:space="0" w:color="auto"/>
              <w:left w:val="single" w:sz="4" w:space="0" w:color="auto"/>
              <w:bottom w:val="single" w:sz="4" w:space="0" w:color="auto"/>
              <w:right w:val="single" w:sz="4" w:space="0" w:color="auto"/>
            </w:tcBorders>
            <w:hideMark/>
          </w:tcPr>
          <w:p w14:paraId="76E6A629"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tcPr>
          <w:p w14:paraId="09816AC9"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Miokardo infarktas, edema, periferinė edema.</w:t>
            </w:r>
          </w:p>
          <w:p w14:paraId="44EA461C"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p>
        </w:tc>
      </w:tr>
      <w:tr w:rsidR="00B932D0" w:rsidRPr="00BE3F2A" w14:paraId="20F9448B" w14:textId="77777777" w:rsidTr="00347210">
        <w:trPr>
          <w:trHeight w:val="38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243C95" w14:textId="77777777" w:rsidR="00B932D0" w:rsidRDefault="00B932D0" w:rsidP="0059317B">
            <w:pPr>
              <w:spacing w:after="0" w:line="240" w:lineRule="auto"/>
              <w:rPr>
                <w:rFonts w:ascii="Times New Roman" w:eastAsia="Times New Roman" w:hAnsi="Times New Roman"/>
                <w:noProof/>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6034F326"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Nežinomas</w:t>
            </w:r>
          </w:p>
        </w:tc>
        <w:tc>
          <w:tcPr>
            <w:tcW w:w="4905" w:type="dxa"/>
            <w:tcBorders>
              <w:top w:val="single" w:sz="4" w:space="0" w:color="auto"/>
              <w:left w:val="single" w:sz="4" w:space="0" w:color="auto"/>
              <w:bottom w:val="single" w:sz="4" w:space="0" w:color="auto"/>
              <w:right w:val="single" w:sz="4" w:space="0" w:color="auto"/>
            </w:tcBorders>
            <w:hideMark/>
          </w:tcPr>
          <w:p w14:paraId="6A60DC88"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r>
              <w:rPr>
                <w:rFonts w:ascii="Times New Roman" w:eastAsia="Times New Roman" w:hAnsi="Times New Roman"/>
                <w:bCs/>
                <w:kern w:val="28"/>
                <w:lang w:val="lt-LT" w:eastAsia="lt-LT"/>
              </w:rPr>
              <w:t>Širdies nepakankamumas.</w:t>
            </w:r>
          </w:p>
        </w:tc>
      </w:tr>
      <w:tr w:rsidR="00B932D0" w:rsidRPr="00BE3F2A" w14:paraId="5990A368" w14:textId="77777777" w:rsidTr="00347210">
        <w:trPr>
          <w:trHeight w:val="510"/>
        </w:trPr>
        <w:tc>
          <w:tcPr>
            <w:tcW w:w="3086" w:type="dxa"/>
            <w:tcBorders>
              <w:top w:val="nil"/>
              <w:left w:val="single" w:sz="4" w:space="0" w:color="auto"/>
              <w:bottom w:val="nil"/>
              <w:right w:val="single" w:sz="4" w:space="0" w:color="auto"/>
            </w:tcBorders>
            <w:hideMark/>
          </w:tcPr>
          <w:p w14:paraId="15C75AFF"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Kraujagyslių sutrikimai</w:t>
            </w:r>
          </w:p>
        </w:tc>
        <w:tc>
          <w:tcPr>
            <w:tcW w:w="1295" w:type="dxa"/>
            <w:tcBorders>
              <w:top w:val="nil"/>
              <w:left w:val="single" w:sz="4" w:space="0" w:color="auto"/>
              <w:bottom w:val="nil"/>
              <w:right w:val="single" w:sz="4" w:space="0" w:color="auto"/>
            </w:tcBorders>
            <w:hideMark/>
          </w:tcPr>
          <w:p w14:paraId="1BFA9B97"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nil"/>
              <w:left w:val="single" w:sz="4" w:space="0" w:color="auto"/>
              <w:bottom w:val="nil"/>
              <w:right w:val="single" w:sz="4" w:space="0" w:color="auto"/>
            </w:tcBorders>
            <w:hideMark/>
          </w:tcPr>
          <w:p w14:paraId="782FB71C"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Hipertenzija, vaskulitas.</w:t>
            </w:r>
          </w:p>
        </w:tc>
      </w:tr>
      <w:tr w:rsidR="00B932D0" w:rsidRPr="002F3B5B" w14:paraId="663C3666" w14:textId="77777777" w:rsidTr="00347210">
        <w:trPr>
          <w:trHeight w:val="345"/>
        </w:trPr>
        <w:tc>
          <w:tcPr>
            <w:tcW w:w="3086" w:type="dxa"/>
            <w:tcBorders>
              <w:top w:val="single" w:sz="4" w:space="0" w:color="auto"/>
              <w:left w:val="single" w:sz="4" w:space="0" w:color="auto"/>
              <w:bottom w:val="single" w:sz="4" w:space="0" w:color="auto"/>
              <w:right w:val="single" w:sz="4" w:space="0" w:color="auto"/>
            </w:tcBorders>
            <w:hideMark/>
          </w:tcPr>
          <w:p w14:paraId="1CD9BEE6"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Virškinimo trakto sutrikimai</w:t>
            </w:r>
          </w:p>
        </w:tc>
        <w:tc>
          <w:tcPr>
            <w:tcW w:w="1295" w:type="dxa"/>
            <w:tcBorders>
              <w:top w:val="single" w:sz="4" w:space="0" w:color="auto"/>
              <w:left w:val="single" w:sz="4" w:space="0" w:color="auto"/>
              <w:bottom w:val="single" w:sz="4" w:space="0" w:color="auto"/>
              <w:right w:val="single" w:sz="4" w:space="0" w:color="auto"/>
            </w:tcBorders>
            <w:hideMark/>
          </w:tcPr>
          <w:p w14:paraId="687D4988"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Nedažnas</w:t>
            </w:r>
          </w:p>
        </w:tc>
        <w:tc>
          <w:tcPr>
            <w:tcW w:w="4905" w:type="dxa"/>
            <w:tcBorders>
              <w:top w:val="single" w:sz="4" w:space="0" w:color="auto"/>
              <w:left w:val="single" w:sz="4" w:space="0" w:color="auto"/>
              <w:bottom w:val="single" w:sz="4" w:space="0" w:color="auto"/>
              <w:right w:val="single" w:sz="4" w:space="0" w:color="auto"/>
            </w:tcBorders>
            <w:hideMark/>
          </w:tcPr>
          <w:p w14:paraId="297AC74A"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Pilvo skausmas, pykinimas ir dispepsija.</w:t>
            </w:r>
          </w:p>
        </w:tc>
      </w:tr>
      <w:tr w:rsidR="00B932D0" w:rsidRPr="002F3B5B" w14:paraId="288CC489" w14:textId="77777777" w:rsidTr="00347210">
        <w:tc>
          <w:tcPr>
            <w:tcW w:w="3086" w:type="dxa"/>
            <w:tcBorders>
              <w:top w:val="single" w:sz="4" w:space="0" w:color="auto"/>
              <w:left w:val="single" w:sz="4" w:space="0" w:color="auto"/>
              <w:bottom w:val="single" w:sz="4" w:space="0" w:color="auto"/>
              <w:right w:val="single" w:sz="4" w:space="0" w:color="auto"/>
            </w:tcBorders>
          </w:tcPr>
          <w:p w14:paraId="2EFFE310"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29B6A7E4"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Retas</w:t>
            </w:r>
          </w:p>
        </w:tc>
        <w:tc>
          <w:tcPr>
            <w:tcW w:w="4905" w:type="dxa"/>
            <w:tcBorders>
              <w:top w:val="single" w:sz="4" w:space="0" w:color="auto"/>
              <w:left w:val="single" w:sz="4" w:space="0" w:color="auto"/>
              <w:bottom w:val="single" w:sz="4" w:space="0" w:color="auto"/>
              <w:right w:val="single" w:sz="4" w:space="0" w:color="auto"/>
            </w:tcBorders>
            <w:hideMark/>
          </w:tcPr>
          <w:p w14:paraId="5F53AFD1"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Viduriavimas, vidurių pūtimas, vidurių užkietėjimas ir vėmimas.</w:t>
            </w:r>
          </w:p>
        </w:tc>
      </w:tr>
      <w:tr w:rsidR="00B932D0" w:rsidRPr="002F3B5B" w14:paraId="4DA2B55B" w14:textId="77777777" w:rsidTr="00347210">
        <w:trPr>
          <w:trHeight w:val="2007"/>
        </w:trPr>
        <w:tc>
          <w:tcPr>
            <w:tcW w:w="3086" w:type="dxa"/>
            <w:tcBorders>
              <w:top w:val="single" w:sz="4" w:space="0" w:color="auto"/>
              <w:left w:val="single" w:sz="4" w:space="0" w:color="auto"/>
              <w:bottom w:val="single" w:sz="4" w:space="0" w:color="auto"/>
              <w:right w:val="single" w:sz="4" w:space="0" w:color="auto"/>
            </w:tcBorders>
          </w:tcPr>
          <w:p w14:paraId="3B5C8CEB"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6896E258"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single" w:sz="4" w:space="0" w:color="auto"/>
              <w:left w:val="single" w:sz="4" w:space="0" w:color="auto"/>
              <w:bottom w:val="single" w:sz="4" w:space="0" w:color="auto"/>
              <w:right w:val="single" w:sz="4" w:space="0" w:color="auto"/>
            </w:tcBorders>
          </w:tcPr>
          <w:p w14:paraId="7F76350A"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Pepsinė opa, virškinimo trakto perforacija ar kraujavimas iš jo, kraujas išmatose, vėmimas krauju kartais nulemiantys mirtį, ypač senyviems pacientams, opinis stomatitas, gastritas. </w:t>
            </w:r>
          </w:p>
          <w:p w14:paraId="74DDB020"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p w14:paraId="77BAA040"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Opinio kolito ir Krono ligos paūmėjimas (žr. 4.4 skyrių).</w:t>
            </w:r>
          </w:p>
        </w:tc>
      </w:tr>
      <w:tr w:rsidR="00B932D0" w:rsidRPr="002F3B5B" w14:paraId="4C364216" w14:textId="77777777" w:rsidTr="00347210">
        <w:trPr>
          <w:trHeight w:val="1140"/>
        </w:trPr>
        <w:tc>
          <w:tcPr>
            <w:tcW w:w="3086" w:type="dxa"/>
            <w:tcBorders>
              <w:top w:val="nil"/>
              <w:left w:val="single" w:sz="4" w:space="0" w:color="auto"/>
              <w:bottom w:val="nil"/>
              <w:right w:val="single" w:sz="4" w:space="0" w:color="auto"/>
            </w:tcBorders>
            <w:hideMark/>
          </w:tcPr>
          <w:p w14:paraId="76143281"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Kepenų, tulžies pūslės ir latakų sutrikimai</w:t>
            </w:r>
          </w:p>
        </w:tc>
        <w:tc>
          <w:tcPr>
            <w:tcW w:w="1295" w:type="dxa"/>
            <w:tcBorders>
              <w:top w:val="nil"/>
              <w:left w:val="single" w:sz="4" w:space="0" w:color="auto"/>
              <w:bottom w:val="nil"/>
              <w:right w:val="single" w:sz="4" w:space="0" w:color="auto"/>
            </w:tcBorders>
            <w:hideMark/>
          </w:tcPr>
          <w:p w14:paraId="7FE285E1"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Labai retas</w:t>
            </w:r>
          </w:p>
        </w:tc>
        <w:tc>
          <w:tcPr>
            <w:tcW w:w="4905" w:type="dxa"/>
            <w:tcBorders>
              <w:top w:val="nil"/>
              <w:left w:val="single" w:sz="4" w:space="0" w:color="auto"/>
              <w:bottom w:val="nil"/>
              <w:right w:val="single" w:sz="4" w:space="0" w:color="auto"/>
            </w:tcBorders>
            <w:hideMark/>
          </w:tcPr>
          <w:p w14:paraId="3037153B"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Kepenų nepakankamumas, hepatitas, gelta, k</w:t>
            </w:r>
            <w:r>
              <w:rPr>
                <w:rFonts w:ascii="Times New Roman" w:eastAsia="Times New Roman" w:hAnsi="Times New Roman"/>
                <w:noProof/>
                <w:lang w:val="lt-LT"/>
              </w:rPr>
              <w:t>epenų sutrikimai, sutrikusi kepenų funkcija, kepenų pakenkimai, ypatingai ilgai trunkančio gydymo metu.</w:t>
            </w:r>
          </w:p>
        </w:tc>
      </w:tr>
      <w:tr w:rsidR="00B932D0" w:rsidRPr="00BE3F2A" w14:paraId="6B5D1404" w14:textId="77777777" w:rsidTr="00347210">
        <w:trPr>
          <w:trHeight w:val="360"/>
        </w:trPr>
        <w:tc>
          <w:tcPr>
            <w:tcW w:w="3086" w:type="dxa"/>
            <w:tcBorders>
              <w:top w:val="single" w:sz="4" w:space="0" w:color="auto"/>
              <w:left w:val="single" w:sz="4" w:space="0" w:color="auto"/>
              <w:bottom w:val="single" w:sz="4" w:space="0" w:color="auto"/>
              <w:right w:val="single" w:sz="4" w:space="0" w:color="auto"/>
            </w:tcBorders>
            <w:hideMark/>
          </w:tcPr>
          <w:p w14:paraId="58923509" w14:textId="77777777" w:rsidR="00B932D0" w:rsidRDefault="00B932D0" w:rsidP="0059317B">
            <w:pPr>
              <w:tabs>
                <w:tab w:val="left" w:pos="567"/>
              </w:tabs>
              <w:spacing w:after="0" w:line="240" w:lineRule="auto"/>
              <w:outlineLvl w:val="0"/>
              <w:rPr>
                <w:rFonts w:ascii="Times New Roman" w:eastAsia="Times New Roman" w:hAnsi="Times New Roman"/>
                <w:bCs/>
                <w:i/>
                <w:kern w:val="28"/>
                <w:lang w:val="lt-LT" w:eastAsia="lt-LT"/>
              </w:rPr>
            </w:pPr>
            <w:r>
              <w:rPr>
                <w:rFonts w:ascii="Times New Roman" w:eastAsia="Times New Roman" w:hAnsi="Times New Roman"/>
                <w:bCs/>
                <w:kern w:val="28"/>
                <w:lang w:val="lt-LT" w:eastAsia="lt-LT"/>
              </w:rPr>
              <w:t>Odos ir poodinio audinio sutrikimai</w:t>
            </w:r>
          </w:p>
        </w:tc>
        <w:tc>
          <w:tcPr>
            <w:tcW w:w="1295" w:type="dxa"/>
            <w:tcBorders>
              <w:top w:val="single" w:sz="4" w:space="0" w:color="auto"/>
              <w:left w:val="single" w:sz="4" w:space="0" w:color="auto"/>
              <w:bottom w:val="single" w:sz="4" w:space="0" w:color="auto"/>
              <w:right w:val="single" w:sz="4" w:space="0" w:color="auto"/>
            </w:tcBorders>
          </w:tcPr>
          <w:p w14:paraId="7C097B73"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Nedažnas</w:t>
            </w:r>
          </w:p>
          <w:p w14:paraId="12D1DB2C"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4905" w:type="dxa"/>
            <w:tcBorders>
              <w:top w:val="single" w:sz="4" w:space="0" w:color="auto"/>
              <w:left w:val="single" w:sz="4" w:space="0" w:color="auto"/>
              <w:bottom w:val="single" w:sz="4" w:space="0" w:color="auto"/>
              <w:right w:val="single" w:sz="4" w:space="0" w:color="auto"/>
            </w:tcBorders>
            <w:hideMark/>
          </w:tcPr>
          <w:p w14:paraId="17D1EC25" w14:textId="77777777" w:rsidR="00B932D0" w:rsidRDefault="00B932D0" w:rsidP="0059317B">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Įvairūs odos išbėrimai.</w:t>
            </w:r>
          </w:p>
        </w:tc>
      </w:tr>
      <w:tr w:rsidR="00B932D0" w:rsidRPr="002F3B5B" w14:paraId="70D31C50" w14:textId="77777777" w:rsidTr="00347210">
        <w:trPr>
          <w:trHeight w:val="900"/>
        </w:trPr>
        <w:tc>
          <w:tcPr>
            <w:tcW w:w="3086" w:type="dxa"/>
            <w:tcBorders>
              <w:top w:val="single" w:sz="4" w:space="0" w:color="auto"/>
              <w:left w:val="single" w:sz="4" w:space="0" w:color="auto"/>
              <w:bottom w:val="single" w:sz="4" w:space="0" w:color="auto"/>
              <w:right w:val="single" w:sz="4" w:space="0" w:color="auto"/>
            </w:tcBorders>
          </w:tcPr>
          <w:p w14:paraId="6CD5CFB7"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p>
        </w:tc>
        <w:tc>
          <w:tcPr>
            <w:tcW w:w="1295" w:type="dxa"/>
            <w:tcBorders>
              <w:top w:val="single" w:sz="4" w:space="0" w:color="auto"/>
              <w:left w:val="single" w:sz="4" w:space="0" w:color="auto"/>
              <w:bottom w:val="single" w:sz="4" w:space="0" w:color="auto"/>
              <w:right w:val="single" w:sz="4" w:space="0" w:color="auto"/>
            </w:tcBorders>
          </w:tcPr>
          <w:p w14:paraId="618E9FD5"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Labai retas</w:t>
            </w:r>
          </w:p>
          <w:p w14:paraId="37968E10"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4905" w:type="dxa"/>
            <w:tcBorders>
              <w:top w:val="single" w:sz="4" w:space="0" w:color="auto"/>
              <w:left w:val="single" w:sz="4" w:space="0" w:color="auto"/>
              <w:bottom w:val="single" w:sz="4" w:space="0" w:color="auto"/>
              <w:right w:val="single" w:sz="4" w:space="0" w:color="auto"/>
            </w:tcBorders>
            <w:hideMark/>
          </w:tcPr>
          <w:p w14:paraId="25D4D3EE" w14:textId="77777777" w:rsidR="00B932D0" w:rsidRDefault="00B932D0" w:rsidP="0059317B">
            <w:pPr>
              <w:spacing w:after="0" w:line="240" w:lineRule="auto"/>
              <w:rPr>
                <w:rFonts w:ascii="Times New Roman" w:eastAsia="Times New Roman" w:hAnsi="Times New Roman"/>
                <w:lang w:val="lt-LT"/>
              </w:rPr>
            </w:pPr>
            <w:r>
              <w:rPr>
                <w:rFonts w:ascii="Times New Roman" w:eastAsia="Times New Roman" w:hAnsi="Times New Roman"/>
                <w:lang w:val="lt-LT"/>
              </w:rPr>
              <w:t>Sunkios odos reakcijos, pvz., pūslinės reakcijos, įskaitant Stivenso-Džonsono (</w:t>
            </w:r>
            <w:r>
              <w:rPr>
                <w:rFonts w:ascii="Times New Roman" w:eastAsia="Times New Roman" w:hAnsi="Times New Roman"/>
                <w:i/>
                <w:lang w:val="lt-LT"/>
              </w:rPr>
              <w:t>Stevens-Johnson)</w:t>
            </w:r>
            <w:r>
              <w:rPr>
                <w:rFonts w:ascii="Times New Roman" w:eastAsia="Times New Roman" w:hAnsi="Times New Roman"/>
                <w:lang w:val="lt-LT"/>
              </w:rPr>
              <w:t xml:space="preserve"> sindromą, daugiaformę eritemą, eksfoliacinį dermatitą ir toksinę epidermio nekrolizę.</w:t>
            </w:r>
          </w:p>
        </w:tc>
      </w:tr>
      <w:tr w:rsidR="00B932D0" w:rsidRPr="00BE3F2A" w14:paraId="75401CB4" w14:textId="77777777" w:rsidTr="00347210">
        <w:trPr>
          <w:trHeight w:val="528"/>
        </w:trPr>
        <w:tc>
          <w:tcPr>
            <w:tcW w:w="3086" w:type="dxa"/>
            <w:tcBorders>
              <w:top w:val="single" w:sz="4" w:space="0" w:color="auto"/>
              <w:left w:val="single" w:sz="4" w:space="0" w:color="auto"/>
              <w:bottom w:val="single" w:sz="4" w:space="0" w:color="auto"/>
              <w:right w:val="single" w:sz="4" w:space="0" w:color="auto"/>
            </w:tcBorders>
          </w:tcPr>
          <w:p w14:paraId="6DF21482"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7B09AB58"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bCs/>
                <w:lang w:val="lt-LT"/>
              </w:rPr>
              <w:t>Dažnis nežinomas</w:t>
            </w:r>
          </w:p>
        </w:tc>
        <w:tc>
          <w:tcPr>
            <w:tcW w:w="4905" w:type="dxa"/>
            <w:tcBorders>
              <w:top w:val="single" w:sz="4" w:space="0" w:color="auto"/>
              <w:left w:val="single" w:sz="4" w:space="0" w:color="auto"/>
              <w:bottom w:val="single" w:sz="4" w:space="0" w:color="auto"/>
              <w:right w:val="single" w:sz="4" w:space="0" w:color="auto"/>
            </w:tcBorders>
          </w:tcPr>
          <w:p w14:paraId="3CFF535E" w14:textId="77777777" w:rsidR="00B932D0" w:rsidRPr="00BE3F2A" w:rsidRDefault="00B932D0" w:rsidP="0059317B">
            <w:pPr>
              <w:spacing w:after="0" w:line="240" w:lineRule="auto"/>
              <w:rPr>
                <w:rFonts w:ascii="Times New Roman" w:hAnsi="Times New Roman"/>
                <w:bCs/>
                <w:lang w:val="lt-LT"/>
              </w:rPr>
            </w:pPr>
            <w:r w:rsidRPr="00BE3F2A">
              <w:rPr>
                <w:rFonts w:ascii="Times New Roman" w:hAnsi="Times New Roman"/>
                <w:bCs/>
                <w:lang w:val="lt-LT"/>
              </w:rPr>
              <w:t>Reakcija į vaistinį preparatą su eozinofilija ir sisteminiais simptomais (</w:t>
            </w:r>
            <w:r w:rsidRPr="00BE3F2A">
              <w:rPr>
                <w:rFonts w:ascii="Times New Roman" w:hAnsi="Times New Roman"/>
                <w:bCs/>
                <w:i/>
                <w:lang w:val="lt-LT"/>
              </w:rPr>
              <w:t>DRESS</w:t>
            </w:r>
            <w:r w:rsidRPr="00BE3F2A">
              <w:rPr>
                <w:rFonts w:ascii="Times New Roman" w:hAnsi="Times New Roman"/>
                <w:bCs/>
                <w:lang w:val="lt-LT"/>
              </w:rPr>
              <w:t xml:space="preserve"> sindromas).</w:t>
            </w:r>
          </w:p>
          <w:p w14:paraId="2A2E157E" w14:textId="77777777" w:rsidR="00B932D0" w:rsidRPr="00BE3F2A" w:rsidRDefault="00B932D0" w:rsidP="0059317B">
            <w:pPr>
              <w:spacing w:after="0" w:line="240" w:lineRule="auto"/>
              <w:rPr>
                <w:rFonts w:ascii="Times New Roman" w:hAnsi="Times New Roman"/>
                <w:lang w:val="lt-LT"/>
              </w:rPr>
            </w:pPr>
            <w:r w:rsidRPr="00BE3F2A">
              <w:rPr>
                <w:rFonts w:ascii="Times New Roman" w:hAnsi="Times New Roman"/>
                <w:lang w:val="lt-LT"/>
              </w:rPr>
              <w:t>Ūminė generalizuota egzanteminė pustuliozė (ŪGEP).</w:t>
            </w:r>
          </w:p>
          <w:p w14:paraId="44FB3C2B" w14:textId="77777777" w:rsidR="00DF45BA" w:rsidRDefault="00DF45BA" w:rsidP="0059317B">
            <w:pPr>
              <w:spacing w:after="0" w:line="240" w:lineRule="auto"/>
              <w:rPr>
                <w:rFonts w:ascii="Times New Roman" w:eastAsia="Times New Roman" w:hAnsi="Times New Roman"/>
                <w:lang w:val="lt-LT"/>
              </w:rPr>
            </w:pPr>
            <w:r w:rsidRPr="00BE3F2A">
              <w:rPr>
                <w:rFonts w:ascii="Times New Roman" w:hAnsi="Times New Roman"/>
                <w:bCs/>
                <w:lang w:val="lt-LT"/>
              </w:rPr>
              <w:t>Fotosensibilizacijos reakcijos.</w:t>
            </w:r>
          </w:p>
        </w:tc>
      </w:tr>
      <w:tr w:rsidR="00B932D0" w:rsidRPr="002F3B5B" w14:paraId="12229D74" w14:textId="77777777" w:rsidTr="00347210">
        <w:trPr>
          <w:trHeight w:val="900"/>
        </w:trPr>
        <w:tc>
          <w:tcPr>
            <w:tcW w:w="3086" w:type="dxa"/>
            <w:tcBorders>
              <w:top w:val="single" w:sz="4" w:space="0" w:color="auto"/>
              <w:left w:val="single" w:sz="4" w:space="0" w:color="auto"/>
              <w:bottom w:val="single" w:sz="4" w:space="0" w:color="auto"/>
              <w:right w:val="single" w:sz="4" w:space="0" w:color="auto"/>
            </w:tcBorders>
          </w:tcPr>
          <w:p w14:paraId="379A127D"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Inkstų ir šlapimo takų sutrikimai</w:t>
            </w:r>
          </w:p>
          <w:p w14:paraId="2CC40ADF" w14:textId="77777777" w:rsidR="00B932D0" w:rsidRDefault="00B932D0" w:rsidP="0059317B">
            <w:pPr>
              <w:tabs>
                <w:tab w:val="left" w:pos="0"/>
                <w:tab w:val="left" w:pos="567"/>
              </w:tabs>
              <w:spacing w:after="0" w:line="240" w:lineRule="auto"/>
              <w:rPr>
                <w:rFonts w:ascii="Times New Roman" w:eastAsia="Times New Roman" w:hAnsi="Times New Roman"/>
                <w:i/>
                <w:lang w:val="lt-LT"/>
              </w:rPr>
            </w:pPr>
          </w:p>
        </w:tc>
        <w:tc>
          <w:tcPr>
            <w:tcW w:w="1295" w:type="dxa"/>
            <w:tcBorders>
              <w:top w:val="single" w:sz="4" w:space="0" w:color="auto"/>
              <w:left w:val="single" w:sz="4" w:space="0" w:color="auto"/>
              <w:bottom w:val="single" w:sz="4" w:space="0" w:color="auto"/>
              <w:right w:val="single" w:sz="4" w:space="0" w:color="auto"/>
            </w:tcBorders>
            <w:hideMark/>
          </w:tcPr>
          <w:p w14:paraId="77E1CF18"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Labai retas</w:t>
            </w:r>
          </w:p>
        </w:tc>
        <w:tc>
          <w:tcPr>
            <w:tcW w:w="4905" w:type="dxa"/>
            <w:tcBorders>
              <w:top w:val="single" w:sz="4" w:space="0" w:color="auto"/>
              <w:left w:val="single" w:sz="4" w:space="0" w:color="auto"/>
              <w:bottom w:val="single" w:sz="4" w:space="0" w:color="auto"/>
              <w:right w:val="single" w:sz="4" w:space="0" w:color="auto"/>
            </w:tcBorders>
          </w:tcPr>
          <w:p w14:paraId="2CD2D3DD"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Ūminis inkstų nepakankamumas; inkstų spenelių  nekrozė (ypač vartojant ilgą laiką), siejama su padidėjusiu šlapalo kiekiu serume ir edema.</w:t>
            </w:r>
          </w:p>
          <w:p w14:paraId="2F16A0C6" w14:textId="77777777" w:rsidR="00B932D0" w:rsidRDefault="00B932D0" w:rsidP="0059317B">
            <w:pPr>
              <w:spacing w:after="0" w:line="240" w:lineRule="auto"/>
              <w:rPr>
                <w:rFonts w:ascii="Times New Roman" w:eastAsia="Times New Roman" w:hAnsi="Times New Roman"/>
                <w:lang w:val="lt-LT"/>
              </w:rPr>
            </w:pPr>
          </w:p>
        </w:tc>
      </w:tr>
      <w:tr w:rsidR="00B932D0" w:rsidRPr="002F3B5B" w14:paraId="553EF757" w14:textId="77777777" w:rsidTr="00347210">
        <w:trPr>
          <w:trHeight w:val="420"/>
        </w:trPr>
        <w:tc>
          <w:tcPr>
            <w:tcW w:w="3086" w:type="dxa"/>
            <w:tcBorders>
              <w:top w:val="single" w:sz="4" w:space="0" w:color="auto"/>
              <w:left w:val="single" w:sz="4" w:space="0" w:color="auto"/>
              <w:bottom w:val="single" w:sz="4" w:space="0" w:color="auto"/>
              <w:right w:val="single" w:sz="4" w:space="0" w:color="auto"/>
            </w:tcBorders>
            <w:hideMark/>
          </w:tcPr>
          <w:p w14:paraId="54FF3698" w14:textId="77777777" w:rsidR="00B932D0" w:rsidRDefault="00B932D0" w:rsidP="0059317B">
            <w:pPr>
              <w:tabs>
                <w:tab w:val="left" w:pos="567"/>
              </w:tabs>
              <w:spacing w:after="0" w:line="240" w:lineRule="auto"/>
              <w:outlineLvl w:val="0"/>
              <w:rPr>
                <w:rFonts w:ascii="Times New Roman" w:eastAsia="Times New Roman" w:hAnsi="Times New Roman"/>
                <w:bCs/>
                <w:i/>
                <w:kern w:val="28"/>
                <w:lang w:val="lt-LT" w:eastAsia="lt-LT"/>
              </w:rPr>
            </w:pPr>
            <w:r>
              <w:rPr>
                <w:rFonts w:ascii="Times New Roman" w:eastAsia="Times New Roman" w:hAnsi="Times New Roman"/>
                <w:bCs/>
                <w:kern w:val="28"/>
                <w:lang w:val="lt-LT" w:eastAsia="lt-LT"/>
              </w:rPr>
              <w:t>Tyrimai</w:t>
            </w:r>
          </w:p>
        </w:tc>
        <w:tc>
          <w:tcPr>
            <w:tcW w:w="1295" w:type="dxa"/>
            <w:tcBorders>
              <w:top w:val="single" w:sz="4" w:space="0" w:color="auto"/>
              <w:left w:val="single" w:sz="4" w:space="0" w:color="auto"/>
              <w:bottom w:val="single" w:sz="4" w:space="0" w:color="auto"/>
              <w:right w:val="single" w:sz="4" w:space="0" w:color="auto"/>
            </w:tcBorders>
          </w:tcPr>
          <w:p w14:paraId="5DDE3BAF" w14:textId="77777777" w:rsidR="00B932D0" w:rsidRDefault="00B932D0" w:rsidP="0059317B">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Labai retas</w:t>
            </w:r>
          </w:p>
          <w:p w14:paraId="31A499F1" w14:textId="77777777" w:rsidR="00B932D0" w:rsidRDefault="00B932D0" w:rsidP="0059317B">
            <w:pPr>
              <w:tabs>
                <w:tab w:val="left" w:pos="0"/>
                <w:tab w:val="left" w:pos="567"/>
              </w:tabs>
              <w:spacing w:after="0" w:line="240" w:lineRule="auto"/>
              <w:rPr>
                <w:rFonts w:ascii="Times New Roman" w:eastAsia="Times New Roman" w:hAnsi="Times New Roman"/>
                <w:lang w:val="lt-LT"/>
              </w:rPr>
            </w:pPr>
          </w:p>
        </w:tc>
        <w:tc>
          <w:tcPr>
            <w:tcW w:w="4905" w:type="dxa"/>
            <w:tcBorders>
              <w:top w:val="single" w:sz="4" w:space="0" w:color="auto"/>
              <w:left w:val="single" w:sz="4" w:space="0" w:color="auto"/>
              <w:bottom w:val="single" w:sz="4" w:space="0" w:color="auto"/>
              <w:right w:val="single" w:sz="4" w:space="0" w:color="auto"/>
            </w:tcBorders>
          </w:tcPr>
          <w:p w14:paraId="12B28593" w14:textId="77777777" w:rsidR="00B932D0" w:rsidRDefault="00B932D0" w:rsidP="0059317B">
            <w:pPr>
              <w:spacing w:after="0" w:line="240" w:lineRule="auto"/>
              <w:rPr>
                <w:rFonts w:ascii="Times New Roman" w:eastAsia="Times New Roman" w:hAnsi="Times New Roman"/>
                <w:lang w:val="lt-LT"/>
              </w:rPr>
            </w:pPr>
            <w:r>
              <w:rPr>
                <w:rFonts w:ascii="Times New Roman" w:eastAsia="Times New Roman" w:hAnsi="Times New Roman"/>
                <w:lang w:val="lt-LT"/>
              </w:rPr>
              <w:t xml:space="preserve">Sumažėjęs hematokritas, hemoglobino kiekis ir sumažėjęs šlapalo inkstų klirensas.  </w:t>
            </w:r>
          </w:p>
          <w:p w14:paraId="65BB15C4" w14:textId="77777777" w:rsidR="00B932D0" w:rsidRDefault="00B932D0" w:rsidP="0059317B">
            <w:pPr>
              <w:tabs>
                <w:tab w:val="left" w:pos="567"/>
              </w:tabs>
              <w:spacing w:after="0" w:line="240" w:lineRule="auto"/>
              <w:outlineLvl w:val="0"/>
              <w:rPr>
                <w:rFonts w:ascii="Times New Roman" w:eastAsia="Times New Roman" w:hAnsi="Times New Roman"/>
                <w:bCs/>
                <w:kern w:val="28"/>
                <w:lang w:val="lt-LT" w:eastAsia="lt-LT"/>
              </w:rPr>
            </w:pPr>
          </w:p>
        </w:tc>
      </w:tr>
    </w:tbl>
    <w:p w14:paraId="6BA3971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DE899C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vertAlign w:val="superscript"/>
          <w:lang w:val="lt-LT"/>
        </w:rPr>
        <w:t>1</w:t>
      </w:r>
      <w:r>
        <w:rPr>
          <w:rFonts w:ascii="Times New Roman" w:eastAsia="Times New Roman" w:hAnsi="Times New Roman"/>
          <w:noProof/>
          <w:lang w:val="lt-LT"/>
        </w:rPr>
        <w:t>Pranešta apie ibuprofeno sukeltas padidėjusio jautrumo reakcijas, kurios gali būti (a) nespecifinės alerginės reakcijos ir anafilaksija, (b) padidėjęs kvėpavimo takų reaktyvumas, pvz., astma, pasunkėjusi astma, bronchų spazmas ar dispnėja, ar (c) įvairios odos reakcijos, pvz., įvarių tipų išbėrimas, niežulys, dilgėlinė, purpura, angioneurozinė edema, rečiau eksfoliacinės ir pūslinės dermatozės (įskaitant toksinę epidermio nekrolizę, Stivenso - Džonsono sindromą ir daugiaformę raudonę (eritemą).</w:t>
      </w:r>
    </w:p>
    <w:p w14:paraId="5F5F951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 </w:t>
      </w:r>
    </w:p>
    <w:p w14:paraId="70E7B007" w14:textId="77777777" w:rsidR="00B932D0" w:rsidRDefault="00B932D0" w:rsidP="00B932D0">
      <w:pPr>
        <w:tabs>
          <w:tab w:val="left" w:pos="0"/>
          <w:tab w:val="left" w:pos="567"/>
        </w:tabs>
        <w:spacing w:after="0" w:line="240" w:lineRule="auto"/>
        <w:rPr>
          <w:rFonts w:ascii="Times New Roman" w:eastAsia="Times New Roman" w:hAnsi="Times New Roman"/>
          <w:lang w:val="lt-LT"/>
        </w:rPr>
      </w:pPr>
      <w:r>
        <w:rPr>
          <w:rFonts w:ascii="Times New Roman" w:eastAsia="Times New Roman" w:hAnsi="Times New Roman"/>
          <w:vertAlign w:val="superscript"/>
          <w:lang w:val="lt-LT"/>
        </w:rPr>
        <w:t>2</w:t>
      </w:r>
      <w:r>
        <w:rPr>
          <w:rFonts w:ascii="Times New Roman" w:eastAsia="Times New Roman" w:hAnsi="Times New Roman"/>
          <w:lang w:val="lt-LT"/>
        </w:rPr>
        <w:t>Vaistinio preparato sukelto aseptinio meningito patogeninis mechanizmas nėra visiškai išsiaiškintas. Tačiau turimi duomenys dėl aseptinio meningito, susijusio su NVPNU, rodo padidėjusio jautrumo reakciją (dėl vaistinio preparato vartojimo laiko, ir simptomų dingimo nutraukus vaistinio preparato vartojimą). Pažymėtina, kad pacientams su esamais autoimuniniais sutrikimais (kaip sisteminė raudonoji vilkligė, mišri jungiamojo audinio liga) gydymo ibuprofenu metu pasitaikė pavieniai aseptinio meningito simptomų, tokių kaip kaklo raumenų sąstingis, galvos skausmas, pykinimas, vėmimas, karščiavimas ar dezorientacija, atvejai.</w:t>
      </w:r>
    </w:p>
    <w:p w14:paraId="0358F57B"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
    <w:p w14:paraId="06CE29C2" w14:textId="77777777" w:rsidR="00B932D0" w:rsidRDefault="00B932D0" w:rsidP="00B932D0">
      <w:pPr>
        <w:autoSpaceDE w:val="0"/>
        <w:autoSpaceDN w:val="0"/>
        <w:adjustRightInd w:val="0"/>
        <w:spacing w:after="0" w:line="240" w:lineRule="auto"/>
        <w:rPr>
          <w:rFonts w:ascii="Times New Roman" w:eastAsia="Times New Roman" w:hAnsi="Times New Roman"/>
          <w:u w:val="single"/>
          <w:lang w:val="lt-LT"/>
        </w:rPr>
      </w:pPr>
      <w:r>
        <w:rPr>
          <w:rFonts w:ascii="Times New Roman" w:eastAsia="Times New Roman" w:hAnsi="Times New Roman"/>
          <w:noProof/>
          <w:u w:val="single"/>
          <w:lang w:val="lt-LT"/>
        </w:rPr>
        <w:t>Pranešimas apie įtariamas nepageidaujamas reakcijas</w:t>
      </w:r>
    </w:p>
    <w:p w14:paraId="79DB667C" w14:textId="0ACB5FE7" w:rsidR="00610E40" w:rsidRPr="002F3B5B" w:rsidRDefault="00B932D0" w:rsidP="00610E40">
      <w:pPr>
        <w:autoSpaceDE w:val="0"/>
        <w:autoSpaceDN w:val="0"/>
        <w:adjustRightInd w:val="0"/>
        <w:spacing w:after="0" w:line="240" w:lineRule="auto"/>
        <w:rPr>
          <w:rFonts w:ascii="Times New Roman" w:hAnsi="Times New Roman"/>
          <w:noProof/>
          <w:snapToGrid w:val="0"/>
          <w:lang w:val="lt-LT"/>
        </w:rPr>
      </w:pPr>
      <w:r>
        <w:rPr>
          <w:rFonts w:ascii="Times New Roman" w:eastAsia="Times New Roman" w:hAnsi="Times New Roman"/>
          <w:noProof/>
          <w:lang w:val="lt-LT"/>
        </w:rPr>
        <w:t>Svarbu pranešti apie įtariamas nepageidaujamas reakcijas, pastebėtas po vaistinio preparato registracijos, nes tai leidžia nuolat stebėti vaistinio preparato naudos ir rizikos santykį.</w:t>
      </w:r>
      <w:r>
        <w:rPr>
          <w:rFonts w:ascii="Times New Roman" w:eastAsia="Times New Roman" w:hAnsi="Times New Roman"/>
          <w:lang w:val="lt-LT"/>
        </w:rPr>
        <w:t xml:space="preserve"> </w:t>
      </w:r>
      <w:r w:rsidR="00610E40" w:rsidRPr="002F3B5B">
        <w:rPr>
          <w:rFonts w:ascii="Times New Roman" w:hAnsi="Times New Roman"/>
          <w:noProof/>
          <w:snapToGrid w:val="0"/>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6" w:history="1">
        <w:r w:rsidR="00610E40" w:rsidRPr="002F3B5B">
          <w:rPr>
            <w:rStyle w:val="Hipersaitas"/>
            <w:rFonts w:ascii="Times New Roman" w:hAnsi="Times New Roman"/>
            <w:noProof/>
            <w:snapToGrid w:val="0"/>
            <w:lang w:val="lt-LT"/>
          </w:rPr>
          <w:t>https://vapris.vvkt.lt/vvkt-web/public/nrvSpecialist</w:t>
        </w:r>
      </w:hyperlink>
      <w:r w:rsidR="00610E40" w:rsidRPr="002F3B5B">
        <w:rPr>
          <w:rFonts w:ascii="Times New Roman" w:hAnsi="Times New Roman"/>
          <w:noProof/>
          <w:snapToGrid w:val="0"/>
          <w:lang w:val="lt-LT"/>
        </w:rPr>
        <w:t xml:space="preserve"> arba užpildę Sveikatos priežiūros ar farmacijos specialisto pranešimo apie įtariamą nepageidaujamą reakciją (ĮNR) formą, kuri skelbiama </w:t>
      </w:r>
      <w:hyperlink r:id="rId7" w:history="1">
        <w:r w:rsidR="00610E40" w:rsidRPr="002F3B5B">
          <w:rPr>
            <w:rStyle w:val="Hipersaitas"/>
            <w:rFonts w:ascii="Times New Roman" w:hAnsi="Times New Roman"/>
            <w:noProof/>
            <w:snapToGrid w:val="0"/>
            <w:lang w:val="lt-LT"/>
          </w:rPr>
          <w:t>https://www.vvkt.lt/index.php?1399030386</w:t>
        </w:r>
      </w:hyperlink>
      <w:r w:rsidR="00610E40" w:rsidRPr="002F3B5B">
        <w:rPr>
          <w:rFonts w:ascii="Times New Roman" w:hAnsi="Times New Roman"/>
          <w:noProof/>
          <w:snapToGrid w:val="0"/>
          <w:lang w:val="lt-LT"/>
        </w:rPr>
        <w:t>, ir atsiųsti elektroniniu paštu (adresu NepageidaujamaR@vvkt.lt).</w:t>
      </w:r>
    </w:p>
    <w:p w14:paraId="4E6ED371" w14:textId="77777777" w:rsidR="00B932D0" w:rsidRPr="00610E4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CB2853F" w14:textId="77777777" w:rsidR="00B932D0" w:rsidRPr="00610E4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29" w:name="_Toc129243235"/>
      <w:bookmarkStart w:id="30" w:name="_Toc129243110"/>
      <w:r w:rsidRPr="00610E40">
        <w:rPr>
          <w:rFonts w:ascii="Times New Roman" w:eastAsia="Times New Roman" w:hAnsi="Times New Roman"/>
          <w:b/>
          <w:bCs/>
          <w:kern w:val="28"/>
          <w:lang w:val="lt-LT"/>
        </w:rPr>
        <w:t>4.9</w:t>
      </w:r>
      <w:r w:rsidRPr="00610E40">
        <w:rPr>
          <w:rFonts w:ascii="Times New Roman" w:eastAsia="Times New Roman" w:hAnsi="Times New Roman"/>
          <w:b/>
          <w:bCs/>
          <w:kern w:val="28"/>
          <w:lang w:val="lt-LT"/>
        </w:rPr>
        <w:tab/>
        <w:t>Perdozavimas</w:t>
      </w:r>
      <w:bookmarkEnd w:id="29"/>
      <w:bookmarkEnd w:id="30"/>
    </w:p>
    <w:p w14:paraId="37AE8AA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099DB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Vaikams pavartojus didesnę kaip 400 mg/kg vaistinio preparato dozę gali atsirasti perdozavimo  simptomų. Suaugusiems žmonėms ši dozė galutinai nėra aiški. Perdozavus pusinės eliminacijos trukmė - 1,5-3 valandos.</w:t>
      </w:r>
    </w:p>
    <w:p w14:paraId="11F4D4D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8962800"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Perdozavimo simptomai</w:t>
      </w:r>
    </w:p>
    <w:p w14:paraId="3389776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Daugumai pacientų, vartojusių klinikiniu požiūriu reikšmingas NVPNU dozes, mažiausiai gali atsirasti  pykinimas, vėmimas, pilvo skausmas, arba dar rečiau - viduriavimas.</w:t>
      </w:r>
    </w:p>
    <w:p w14:paraId="3BB7219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Spengimas ausyse, galvos skausmas ir kraujavimas iš virškinimo trakto - taip pat galimi.</w:t>
      </w:r>
    </w:p>
    <w:p w14:paraId="7B911A1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Žymiai rimtesniais apsinuodijimo atvejais toksiškumas pasireiškia nervų sistemos sutrikimais - galvos svaigimu, dar kitaip vadinamu </w:t>
      </w:r>
      <w:r>
        <w:rPr>
          <w:rFonts w:ascii="Times New Roman" w:eastAsia="Times New Roman" w:hAnsi="Times New Roman"/>
          <w:i/>
          <w:noProof/>
          <w:lang w:val="lt-LT"/>
        </w:rPr>
        <w:t>vertigo</w:t>
      </w:r>
      <w:r>
        <w:rPr>
          <w:rFonts w:ascii="Times New Roman" w:eastAsia="Times New Roman" w:hAnsi="Times New Roman"/>
          <w:noProof/>
          <w:lang w:val="lt-LT"/>
        </w:rPr>
        <w:t>, mieguistumu, retu susijaudinimu ir dezorientacija arba koma. Retkarčiais pacientams pasireiškia traukuliai. Sunkaus apsinuodijimo metu gali pasireikšti metabolinė acidozė ir pailgėti protrombino laikas - tikriausiai dėl cirkuliuojančių krešėjimo faktorių poveikio įtakos.</w:t>
      </w:r>
    </w:p>
    <w:p w14:paraId="08A1C11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Stebimas ūmus inkstų nepakankamumas ir kepenų pažaida, taip pat hipotenzija, kvėpavimo slopinimas bei cianozė.</w:t>
      </w:r>
    </w:p>
    <w:p w14:paraId="40794AC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Galimas astmos pablogėjimas astma sergantiesiems.</w:t>
      </w:r>
    </w:p>
    <w:p w14:paraId="0836695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Verdana" w:hAnsi="Times New Roman"/>
          <w:lang w:val="lt-LT" w:eastAsia="lt-LT"/>
        </w:rPr>
        <w:t>Stipraus apsinuodijimo atveju gali pasireikšti metabolinė acidozė.</w:t>
      </w:r>
    </w:p>
    <w:p w14:paraId="2A741F86"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p>
    <w:p w14:paraId="43EA2741"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Pr>
          <w:rFonts w:ascii="Times New Roman" w:eastAsia="Times New Roman" w:hAnsi="Times New Roman"/>
          <w:i/>
          <w:noProof/>
          <w:lang w:val="lt-LT"/>
        </w:rPr>
        <w:t>Perdozavimo gydymas</w:t>
      </w:r>
    </w:p>
    <w:p w14:paraId="08F0BEB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Perdozavimo gydymas turi būti simptominis ir palaikomasis. Jis remiasi kvėpavimo takų funkcijos palaikymu bei širdies ir kitų gyvybiškai svarbių funkcijų stebėjimu (monitoringu).</w:t>
      </w:r>
    </w:p>
    <w:p w14:paraId="16D0F44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Aktyvintosios anglies vartojimas ar skrandžio plovimas yra prasmingas tuomet, kai potencialiai toksišką vaistinio preparato kiekį pacientas yra nurijęs ne vėliau kaip prieš valandą laiko. Jeigu ibuprofenas jau  absorbuotas, galima skirti šarminių medžiagų ibuprofeno rūgšties išsiskyrimo su šlapimu skatinimui.</w:t>
      </w:r>
    </w:p>
    <w:p w14:paraId="69382F6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Dažnai pasikartojantys arba ilgai trunkantys traukuliai turėtų būti gydomi leidžiant į veną diazepamo ar lorazepamo. Astmos atvejais skiriami bronchus plečiantys vaistiniai preparatai.</w:t>
      </w:r>
    </w:p>
    <w:p w14:paraId="2B7FFDB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Specifinio priešnuodžio ibuprofenui nėra.</w:t>
      </w:r>
    </w:p>
    <w:p w14:paraId="6835AAF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DEC1912"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58ABDDB"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31" w:name="_Toc129243236"/>
      <w:bookmarkStart w:id="32" w:name="_Toc129243111"/>
      <w:r>
        <w:rPr>
          <w:rFonts w:ascii="Times New Roman" w:eastAsia="Times New Roman" w:hAnsi="Times New Roman"/>
          <w:b/>
          <w:lang w:val="lt-LT"/>
        </w:rPr>
        <w:t>5.</w:t>
      </w:r>
      <w:r>
        <w:rPr>
          <w:rFonts w:ascii="Times New Roman" w:eastAsia="Times New Roman" w:hAnsi="Times New Roman"/>
          <w:b/>
          <w:lang w:val="lt-LT"/>
        </w:rPr>
        <w:tab/>
        <w:t>FARMAKOLOGINĖS SAVYBĖS</w:t>
      </w:r>
      <w:bookmarkEnd w:id="31"/>
      <w:bookmarkEnd w:id="32"/>
    </w:p>
    <w:p w14:paraId="06A226D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5B8ED5C"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33" w:name="_Toc129243237"/>
      <w:bookmarkStart w:id="34" w:name="_Toc129243112"/>
      <w:r>
        <w:rPr>
          <w:rFonts w:ascii="Times New Roman" w:eastAsia="Times New Roman" w:hAnsi="Times New Roman"/>
          <w:b/>
          <w:bCs/>
          <w:kern w:val="28"/>
          <w:lang w:val="lt-LT"/>
        </w:rPr>
        <w:t>5.1</w:t>
      </w:r>
      <w:r>
        <w:rPr>
          <w:rFonts w:ascii="Times New Roman" w:eastAsia="Times New Roman" w:hAnsi="Times New Roman"/>
          <w:b/>
          <w:bCs/>
          <w:kern w:val="28"/>
          <w:lang w:val="lt-LT"/>
        </w:rPr>
        <w:tab/>
        <w:t>Farmakodinaminės savybės</w:t>
      </w:r>
      <w:bookmarkEnd w:id="33"/>
      <w:bookmarkEnd w:id="34"/>
    </w:p>
    <w:p w14:paraId="7276A16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C1C164F"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Farmakoterapinė grupė – nesteroidiniai priešuždegiminiai ir priešreumatiniai vaistai, propiono rūgšties dariniai; ATC kodas – M01AE01.</w:t>
      </w:r>
    </w:p>
    <w:p w14:paraId="6C90BF9F"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Veiklioji medžiaga ibuprofenas yra NVPNU fenilpropiono rūgšties derivatas, kuris slopina prostaglandinų sintezę. Tai parodė eksperimentai su gyvūnais, tiriant uždegimo modelį. Žmonėms ibuprofenas malšina uždegimo sukeltą skausmą, patinimą bei karščiavimą. Be to, ibuprofenas grįžtamai slopina kraujo plokštelių agregaciją.</w:t>
      </w:r>
    </w:p>
    <w:p w14:paraId="08141852" w14:textId="77777777" w:rsidR="00B932D0" w:rsidRPr="00654A39" w:rsidRDefault="00B932D0" w:rsidP="00B932D0">
      <w:pPr>
        <w:spacing w:after="0" w:line="240" w:lineRule="auto"/>
        <w:rPr>
          <w:rFonts w:ascii="Times New Roman" w:eastAsia="Times New Roman" w:hAnsi="Times New Roman"/>
          <w:lang w:val="x-none" w:eastAsia="x-none"/>
        </w:rPr>
      </w:pPr>
      <w:r>
        <w:rPr>
          <w:rFonts w:ascii="Times New Roman" w:eastAsia="Times New Roman" w:hAnsi="Times New Roman"/>
          <w:lang w:val="lt-LT" w:eastAsia="x-none"/>
        </w:rPr>
        <w:t>Eksperimentiniai duomenys rodo, kad vartojant ibuprofeno kartu su acetilsalicilo rūgštimi, jis gali konkurenciniu būdu slopinti mažų dozių acetilsalicilo rūgšties poveikį trombocitų agregacijai.</w:t>
      </w:r>
      <w:r>
        <w:rPr>
          <w:rFonts w:ascii="Times New Roman" w:eastAsia="Times New Roman" w:hAnsi="Times New Roman"/>
          <w:lang w:val="x-none" w:eastAsia="x-none"/>
        </w:rPr>
        <w:t xml:space="preserve"> </w:t>
      </w:r>
      <w:r>
        <w:rPr>
          <w:rFonts w:ascii="Times New Roman" w:eastAsia="Times New Roman" w:hAnsi="Times New Roman"/>
          <w:lang w:val="lt-LT" w:eastAsia="x-none"/>
        </w:rPr>
        <w:t>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w:t>
      </w:r>
      <w:r>
        <w:rPr>
          <w:rFonts w:ascii="Times New Roman" w:eastAsia="Times New Roman" w:hAnsi="Times New Roman"/>
          <w:lang w:val="x-none" w:eastAsia="x-none"/>
        </w:rPr>
        <w:t xml:space="preserve"> </w:t>
      </w:r>
      <w:r>
        <w:rPr>
          <w:rFonts w:ascii="Times New Roman" w:eastAsia="Times New Roman" w:hAnsi="Times New Roman"/>
          <w:lang w:val="lt-LT" w:eastAsia="x-none"/>
        </w:rPr>
        <w:t xml:space="preserve">Nors yra tam tikrų neaiškumų dėl šių duomenų ekstrapoliacijos klinikinėmis sąlygomis, negalima atmesti galimybės, kad nuolat ilgą laiką vartojant ibuprofeno gali </w:t>
      </w:r>
      <w:r w:rsidRPr="00654A39">
        <w:rPr>
          <w:rFonts w:ascii="Times New Roman" w:eastAsia="Times New Roman" w:hAnsi="Times New Roman"/>
          <w:lang w:val="lt-LT" w:eastAsia="x-none"/>
        </w:rPr>
        <w:lastRenderedPageBreak/>
        <w:t>sumažėti mažų dozių acetilsalicilo rūgšties kardioprotekcinis poveikis.</w:t>
      </w:r>
      <w:r w:rsidRPr="00654A39">
        <w:rPr>
          <w:rFonts w:ascii="Times New Roman" w:eastAsia="Times New Roman" w:hAnsi="Times New Roman"/>
          <w:lang w:val="x-none" w:eastAsia="x-none"/>
        </w:rPr>
        <w:t xml:space="preserve"> </w:t>
      </w:r>
      <w:r w:rsidRPr="00654A39">
        <w:rPr>
          <w:rFonts w:ascii="Times New Roman" w:eastAsia="Times New Roman" w:hAnsi="Times New Roman"/>
          <w:lang w:val="lt-LT" w:eastAsia="x-none"/>
        </w:rPr>
        <w:t>Manoma, kad retkarčiais vartojant ibuprofen</w:t>
      </w:r>
      <w:r>
        <w:rPr>
          <w:rFonts w:ascii="Times New Roman" w:eastAsia="Times New Roman" w:hAnsi="Times New Roman"/>
          <w:lang w:val="lt-LT" w:eastAsia="x-none"/>
        </w:rPr>
        <w:t>o</w:t>
      </w:r>
      <w:r w:rsidRPr="00654A39">
        <w:rPr>
          <w:rFonts w:ascii="Times New Roman" w:eastAsia="Times New Roman" w:hAnsi="Times New Roman"/>
          <w:lang w:val="lt-LT" w:eastAsia="x-none"/>
        </w:rPr>
        <w:t xml:space="preserve"> neturėtų pasireikšti jokio kliniškai reikšmingo poveikio (žr. 4.5 skyrių).</w:t>
      </w:r>
    </w:p>
    <w:p w14:paraId="05F5C873" w14:textId="77777777" w:rsidR="00B932D0" w:rsidRPr="000252DC" w:rsidRDefault="00B932D0" w:rsidP="00B932D0">
      <w:pPr>
        <w:spacing w:after="0"/>
        <w:rPr>
          <w:rFonts w:ascii="Times New Roman" w:hAnsi="Times New Roman"/>
          <w:lang w:val="lt-LT"/>
        </w:rPr>
      </w:pPr>
      <w:r w:rsidRPr="000252DC">
        <w:rPr>
          <w:rFonts w:ascii="Times New Roman" w:hAnsi="Times New Roman"/>
          <w:lang w:val="lt-LT"/>
        </w:rPr>
        <w:t>Klinikiniai tyrimai parodė iki 8 valandų trunkantį analgetinį ibuprofeno aktyvumą.</w:t>
      </w:r>
    </w:p>
    <w:p w14:paraId="4117A245" w14:textId="77777777" w:rsidR="00B932D0" w:rsidRPr="00654A39"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654A39">
        <w:rPr>
          <w:rFonts w:ascii="Times New Roman" w:eastAsia="Times New Roman" w:hAnsi="Times New Roman"/>
          <w:noProof/>
          <w:lang w:val="lt-LT"/>
        </w:rPr>
        <w:t xml:space="preserve">Vaistiniam preparatui būdingos farmakodinaminės savybės </w:t>
      </w:r>
    </w:p>
    <w:p w14:paraId="42B8F746"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Tyrimas, atliktas su pacientais, kuriems skaudėjo dantis, parodė, kad pacientams statistiškai reikšmingai labiau skausmas sumažėjo po 15 minučių nuo dviejų  ibuprofeno natrio druskos 256 mg tablečių (tai atitinka vieną NUROFEN FORTE EXPRESS 400 mg tabletę) pavartojimo, palyginti su placebu. Šio tyrimo metu statistiškai reikšmingai didesniam pacientų skaičiui skausmas palengvėjo pavartojus minėtą ibuprofeno natrio druskos dozę, palyginti su paracetamolio tabletėmis (96,3 % ir 67,9 %). Be to, šiems pacientams labiau susilpnėjo skausmo intensyvumas ir skausmas 6 valandų laikotarpiu buvo silpnesnis, palyginti su pacientais, vartojusiais paracetamolį. Naudojant išsiblaškymo nuo skausmo vertinimo rodiklius, ibuprofenas buvo reikšmingai veiksmingesnis už placebą. </w:t>
      </w:r>
    </w:p>
    <w:p w14:paraId="4CF319D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3305AE"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35" w:name="_Toc129243238"/>
      <w:bookmarkStart w:id="36" w:name="_Toc129243113"/>
      <w:r>
        <w:rPr>
          <w:rFonts w:ascii="Times New Roman" w:eastAsia="Times New Roman" w:hAnsi="Times New Roman"/>
          <w:b/>
          <w:bCs/>
          <w:kern w:val="28"/>
          <w:lang w:val="lt-LT"/>
        </w:rPr>
        <w:t>5.2</w:t>
      </w:r>
      <w:r>
        <w:rPr>
          <w:rFonts w:ascii="Times New Roman" w:eastAsia="Times New Roman" w:hAnsi="Times New Roman"/>
          <w:b/>
          <w:bCs/>
          <w:kern w:val="28"/>
          <w:lang w:val="lt-LT"/>
        </w:rPr>
        <w:tab/>
        <w:t>Farmakokinetinės savybės</w:t>
      </w:r>
      <w:bookmarkEnd w:id="35"/>
      <w:bookmarkEnd w:id="36"/>
    </w:p>
    <w:p w14:paraId="316D9D02"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552D236D" w14:textId="77777777" w:rsidR="00B932D0" w:rsidRPr="00CF5F1E" w:rsidRDefault="00B932D0" w:rsidP="00B932D0">
      <w:pPr>
        <w:keepNext/>
        <w:keepLines/>
        <w:tabs>
          <w:tab w:val="left" w:pos="0"/>
          <w:tab w:val="left" w:pos="540"/>
        </w:tabs>
        <w:spacing w:after="0" w:line="240" w:lineRule="auto"/>
        <w:outlineLvl w:val="2"/>
        <w:rPr>
          <w:rFonts w:ascii="Times New Roman" w:eastAsia="Times New Roman" w:hAnsi="Times New Roman"/>
          <w:kern w:val="28"/>
          <w:u w:val="single"/>
          <w:lang w:val="lt-LT"/>
        </w:rPr>
      </w:pPr>
      <w:r w:rsidRPr="00CF5F1E">
        <w:rPr>
          <w:rFonts w:ascii="Times New Roman" w:eastAsia="Times New Roman" w:hAnsi="Times New Roman"/>
          <w:kern w:val="28"/>
          <w:u w:val="single"/>
          <w:lang w:val="lt-LT"/>
        </w:rPr>
        <w:t xml:space="preserve">Absorbcija </w:t>
      </w:r>
    </w:p>
    <w:p w14:paraId="3FB4F44C"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Išgertas ibuprofenas gerai rezorbuojasi iš virškinimo trakto. Didžioji ibuprofeno dalis (apie 99 %) susijungia su plazmos baltymais. </w:t>
      </w:r>
    </w:p>
    <w:p w14:paraId="1C0CF070" w14:textId="77777777" w:rsidR="00B932D0" w:rsidRDefault="00B932D0" w:rsidP="00B932D0">
      <w:pPr>
        <w:spacing w:after="0" w:line="240" w:lineRule="auto"/>
        <w:rPr>
          <w:rFonts w:ascii="Times New Roman" w:eastAsia="Times New Roman" w:hAnsi="Times New Roman"/>
          <w:lang w:val="lt-LT"/>
        </w:rPr>
      </w:pPr>
    </w:p>
    <w:p w14:paraId="3770B096" w14:textId="77777777" w:rsidR="00B932D0" w:rsidRPr="00CF5F1E" w:rsidRDefault="00B932D0" w:rsidP="00B932D0">
      <w:pPr>
        <w:spacing w:after="0" w:line="240" w:lineRule="auto"/>
        <w:rPr>
          <w:rFonts w:ascii="Times New Roman" w:eastAsia="Times New Roman" w:hAnsi="Times New Roman"/>
          <w:u w:val="single"/>
          <w:lang w:val="lt-LT"/>
        </w:rPr>
      </w:pPr>
      <w:r w:rsidRPr="00CF5F1E">
        <w:rPr>
          <w:rFonts w:ascii="Times New Roman" w:eastAsia="Times New Roman" w:hAnsi="Times New Roman"/>
          <w:u w:val="single"/>
          <w:lang w:val="lt-LT"/>
        </w:rPr>
        <w:t>Pasiskirstymas</w:t>
      </w:r>
    </w:p>
    <w:p w14:paraId="7933314C"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Ibuprofenas patenka į sinovinį skystį ir greitai pasiskirsto visame organizme. </w:t>
      </w:r>
    </w:p>
    <w:p w14:paraId="3BF72366" w14:textId="77777777" w:rsidR="00B932D0" w:rsidRDefault="00B932D0" w:rsidP="00B932D0">
      <w:pPr>
        <w:spacing w:after="0" w:line="240" w:lineRule="auto"/>
        <w:rPr>
          <w:rFonts w:ascii="Times New Roman" w:eastAsia="Times New Roman" w:hAnsi="Times New Roman"/>
          <w:lang w:val="lt-LT"/>
        </w:rPr>
      </w:pPr>
    </w:p>
    <w:p w14:paraId="1315E463"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Didžiausia ibuprofeno koncentracija plazmoje susidaro po 1–2 valandų nuo ibuprofeno rūgšties vartojimo. Maistas gali mažinti absorbciją. Absorbcijos laikas gali skirtis priklausomai nuo skirtingų dozavimo formų.</w:t>
      </w:r>
    </w:p>
    <w:p w14:paraId="49E765C2" w14:textId="77777777" w:rsidR="00B932D0" w:rsidRDefault="00B932D0" w:rsidP="00B932D0">
      <w:pPr>
        <w:spacing w:after="0" w:line="240" w:lineRule="auto"/>
        <w:rPr>
          <w:rFonts w:ascii="Times New Roman" w:eastAsia="Times New Roman" w:hAnsi="Times New Roman"/>
          <w:lang w:val="lt-LT"/>
        </w:rPr>
      </w:pPr>
    </w:p>
    <w:p w14:paraId="4D379B5E" w14:textId="77777777" w:rsidR="00B932D0" w:rsidRPr="00CF5F1E" w:rsidRDefault="00B932D0" w:rsidP="00B932D0">
      <w:pPr>
        <w:spacing w:after="0" w:line="240" w:lineRule="auto"/>
        <w:rPr>
          <w:rFonts w:ascii="Times New Roman" w:eastAsia="Times New Roman" w:hAnsi="Times New Roman"/>
          <w:b/>
          <w:u w:val="single"/>
          <w:lang w:val="lt-LT"/>
        </w:rPr>
      </w:pPr>
      <w:r w:rsidRPr="00CF5F1E">
        <w:rPr>
          <w:rFonts w:ascii="Times New Roman" w:eastAsia="Times New Roman" w:hAnsi="Times New Roman"/>
          <w:u w:val="single"/>
          <w:lang w:val="lt-LT"/>
        </w:rPr>
        <w:t>Biotransformacija</w:t>
      </w:r>
    </w:p>
    <w:p w14:paraId="69504175"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Ibuprofenas kepenyse biotransformuojamas (hidroksilinimas, karboksilinimas, konjugacija) į du svarbiausius, farmakologiškai neaktyvius metabolitus: </w:t>
      </w:r>
      <w:r>
        <w:rPr>
          <w:rFonts w:ascii="Times New Roman" w:eastAsia="Times New Roman" w:hAnsi="Times New Roman"/>
          <w:lang w:val="lt-LT" w:eastAsia="en-GB"/>
        </w:rPr>
        <w:t>2-hidroksi-ibuprofeną ir 3-karboksi-ibuprofeną</w:t>
      </w:r>
      <w:r>
        <w:rPr>
          <w:rFonts w:ascii="Times New Roman" w:eastAsia="Times New Roman" w:hAnsi="Times New Roman"/>
          <w:lang w:val="lt-LT"/>
        </w:rPr>
        <w:t xml:space="preserve">. </w:t>
      </w:r>
    </w:p>
    <w:p w14:paraId="46EC1D50" w14:textId="77777777" w:rsidR="00B932D0" w:rsidRDefault="00B932D0" w:rsidP="00B932D0">
      <w:pPr>
        <w:spacing w:after="0" w:line="240" w:lineRule="auto"/>
        <w:rPr>
          <w:rFonts w:ascii="Times New Roman" w:eastAsia="Times New Roman" w:hAnsi="Times New Roman"/>
          <w:lang w:val="lt-LT"/>
        </w:rPr>
      </w:pPr>
    </w:p>
    <w:p w14:paraId="6B2D70E8" w14:textId="77777777" w:rsidR="00B932D0" w:rsidRPr="00CF5F1E" w:rsidRDefault="00B932D0" w:rsidP="00B932D0">
      <w:pPr>
        <w:spacing w:after="0" w:line="240" w:lineRule="auto"/>
        <w:rPr>
          <w:rFonts w:ascii="Times New Roman" w:eastAsia="Times New Roman" w:hAnsi="Times New Roman"/>
          <w:b/>
          <w:u w:val="single"/>
          <w:lang w:val="lt-LT"/>
        </w:rPr>
      </w:pPr>
      <w:r w:rsidRPr="00CF5F1E">
        <w:rPr>
          <w:rFonts w:ascii="Times New Roman" w:eastAsia="Times New Roman" w:hAnsi="Times New Roman"/>
          <w:u w:val="single"/>
          <w:lang w:val="lt-LT"/>
        </w:rPr>
        <w:t>Eliminacija</w:t>
      </w:r>
    </w:p>
    <w:p w14:paraId="4951753C"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Po biotransformacijos kepenyse vaistinis preparatas išskiriamas metabolitų pavidalu, tik nedidelį kiekį sudaro nepakitęs ibuprofenas. Metabolitai yra visiškai išskiriami, daugiausiai per inkstus (90 %), taip pat ir su tulžimi. Išskyrimas per inkstus yra greitas ir visiškas.</w:t>
      </w:r>
    </w:p>
    <w:p w14:paraId="550B4980" w14:textId="77777777" w:rsidR="00B932D0" w:rsidRDefault="00B932D0" w:rsidP="00B932D0">
      <w:pPr>
        <w:spacing w:after="0" w:line="240" w:lineRule="auto"/>
        <w:rPr>
          <w:rFonts w:ascii="Times New Roman" w:eastAsia="Times New Roman" w:hAnsi="Times New Roman"/>
          <w:lang w:val="lt-LT"/>
        </w:rPr>
      </w:pPr>
    </w:p>
    <w:p w14:paraId="2D0F9103"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Sveikų žmonių ir tų, kurie serga kepenų bei inkstų ligomis, pusinės eliminacijos laikas yra nuo 1,8 iki 3,5 valandos.</w:t>
      </w:r>
    </w:p>
    <w:p w14:paraId="493AEDF1" w14:textId="77777777" w:rsidR="00B932D0" w:rsidRDefault="00B932D0" w:rsidP="00B932D0">
      <w:pPr>
        <w:spacing w:after="0" w:line="240" w:lineRule="auto"/>
        <w:rPr>
          <w:rFonts w:ascii="Times New Roman" w:eastAsia="Times New Roman" w:hAnsi="Times New Roman"/>
          <w:lang w:val="lt-LT"/>
        </w:rPr>
      </w:pPr>
    </w:p>
    <w:p w14:paraId="74C705D2"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Senyviems pacientams reikšmingų farmakokinetikos pokyčių nebuvo pastebėta.</w:t>
      </w:r>
    </w:p>
    <w:p w14:paraId="1237503D"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Ibuprofeno pusinės eliminacijos laikas yra maždaug 2 valandos. </w:t>
      </w:r>
    </w:p>
    <w:p w14:paraId="6F0DECE1" w14:textId="77777777" w:rsidR="00B932D0" w:rsidRDefault="00B932D0" w:rsidP="00B932D0">
      <w:pPr>
        <w:spacing w:after="0" w:line="240" w:lineRule="auto"/>
        <w:rPr>
          <w:rFonts w:ascii="Times New Roman" w:eastAsia="Times New Roman" w:hAnsi="Times New Roman"/>
          <w:lang w:val="lt-LT"/>
        </w:rPr>
      </w:pPr>
    </w:p>
    <w:p w14:paraId="044560D6"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Ribotų tyrimų duomenimis ibuprofeno į motinos pieną patenka labai mažais kiekiais.</w:t>
      </w:r>
    </w:p>
    <w:p w14:paraId="74A0B733"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
    <w:p w14:paraId="54A107F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Pr>
          <w:rFonts w:ascii="Times New Roman" w:eastAsia="Times New Roman" w:hAnsi="Times New Roman"/>
          <w:noProof/>
          <w:u w:val="single"/>
          <w:lang w:val="lt-LT"/>
        </w:rPr>
        <w:t xml:space="preserve">Vaistiniam preparatui būdingos farmakokinetinės savybės </w:t>
      </w:r>
    </w:p>
    <w:p w14:paraId="40BBE3C0"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Pavartojus 2 ibuprofeno natrio druskos 256 mg tabletes (atitinka vieną NUROFEN FORTE EXPRESS 400 mg tabletę), didžiausia ibuprofeno koncentracija plazmoje susidaro maždaug po 35 minučių nuo vaistinio preparato vartojimo, lyginant su NUROFEN tabletėmis, kurių sudėtyje yra ibuprofeno rūgštis (po 90 min).</w:t>
      </w:r>
    </w:p>
    <w:p w14:paraId="031D261A"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04B75C3"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Cs/>
          <w:kern w:val="28"/>
          <w:lang w:val="lt-LT"/>
        </w:rPr>
      </w:pPr>
      <w:bookmarkStart w:id="37" w:name="_Toc129243239"/>
      <w:bookmarkStart w:id="38" w:name="_Toc129243114"/>
      <w:r>
        <w:rPr>
          <w:rFonts w:ascii="Times New Roman" w:eastAsia="Times New Roman" w:hAnsi="Times New Roman"/>
          <w:b/>
          <w:bCs/>
          <w:kern w:val="28"/>
          <w:lang w:val="lt-LT"/>
        </w:rPr>
        <w:t>5.3</w:t>
      </w:r>
      <w:r>
        <w:rPr>
          <w:rFonts w:ascii="Times New Roman" w:eastAsia="Times New Roman" w:hAnsi="Times New Roman"/>
          <w:b/>
          <w:bCs/>
          <w:kern w:val="28"/>
          <w:lang w:val="lt-LT"/>
        </w:rPr>
        <w:tab/>
        <w:t>Ikiklinikinių saugumo tyrimų duomenys</w:t>
      </w:r>
      <w:bookmarkEnd w:id="37"/>
      <w:bookmarkEnd w:id="38"/>
    </w:p>
    <w:p w14:paraId="39F163CD" w14:textId="77777777" w:rsidR="00B932D0" w:rsidRDefault="00B932D0" w:rsidP="00B932D0">
      <w:pPr>
        <w:spacing w:after="0" w:line="240" w:lineRule="auto"/>
        <w:rPr>
          <w:rFonts w:ascii="Times New Roman" w:eastAsia="Times New Roman" w:hAnsi="Times New Roman"/>
          <w:lang w:val="lt-LT"/>
        </w:rPr>
      </w:pPr>
    </w:p>
    <w:p w14:paraId="7C8E9586"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Įprastinių ikiklinikinių farmakologinių saugumo, toksinio kartotinių dozių poveikio, genotoksinio bei kancerogeninio poveikio ir toksinio poveikio dauginimosi funkcijai tyrimų duomenimis, specifinio pavojaus žmogui vaistinis preparatas nekelia.</w:t>
      </w:r>
    </w:p>
    <w:p w14:paraId="050B1EA8" w14:textId="77777777" w:rsidR="00B932D0" w:rsidRDefault="00B932D0" w:rsidP="00B932D0">
      <w:pPr>
        <w:spacing w:after="0" w:line="240" w:lineRule="auto"/>
        <w:rPr>
          <w:rFonts w:ascii="Times New Roman" w:eastAsia="Times New Roman" w:hAnsi="Times New Roman"/>
          <w:lang w:val="lt-LT"/>
        </w:rPr>
      </w:pPr>
    </w:p>
    <w:p w14:paraId="16A3D8F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bookmarkStart w:id="39" w:name="_Toc129243240"/>
      <w:bookmarkStart w:id="40" w:name="_Toc129243115"/>
    </w:p>
    <w:bookmarkEnd w:id="39"/>
    <w:bookmarkEnd w:id="40"/>
    <w:p w14:paraId="26C65B16" w14:textId="77777777" w:rsidR="00B932D0" w:rsidRDefault="00B932D0" w:rsidP="00B932D0">
      <w:pPr>
        <w:tabs>
          <w:tab w:val="left" w:pos="0"/>
          <w:tab w:val="left" w:pos="360"/>
          <w:tab w:val="left" w:pos="720"/>
        </w:tabs>
        <w:spacing w:after="0" w:line="240" w:lineRule="auto"/>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t>FARMACINĖ INFORMACIJA</w:t>
      </w:r>
    </w:p>
    <w:p w14:paraId="22A1240D"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bookmarkStart w:id="41" w:name="_Toc129243116"/>
      <w:bookmarkStart w:id="42" w:name="_Toc129243241"/>
    </w:p>
    <w:p w14:paraId="1AF0BE06"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r>
        <w:rPr>
          <w:rFonts w:ascii="Times New Roman" w:eastAsia="Times New Roman" w:hAnsi="Times New Roman"/>
          <w:b/>
          <w:kern w:val="28"/>
          <w:lang w:val="lt-LT"/>
        </w:rPr>
        <w:t>6.1</w:t>
      </w:r>
      <w:r>
        <w:rPr>
          <w:rFonts w:ascii="Times New Roman" w:eastAsia="Times New Roman" w:hAnsi="Times New Roman"/>
          <w:b/>
          <w:kern w:val="28"/>
          <w:lang w:val="lt-LT"/>
        </w:rPr>
        <w:tab/>
        <w:t>Pagalbinių medžiagų sąrašas</w:t>
      </w:r>
      <w:bookmarkEnd w:id="41"/>
      <w:bookmarkEnd w:id="42"/>
    </w:p>
    <w:p w14:paraId="20B6A19B"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19627E58"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Tabletės branduolys</w:t>
      </w:r>
    </w:p>
    <w:p w14:paraId="7295B0EF"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Kroskarmeliozės natrio druska</w:t>
      </w:r>
    </w:p>
    <w:p w14:paraId="73B1BF27"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Ksilitolis </w:t>
      </w:r>
    </w:p>
    <w:p w14:paraId="04FF1E9A"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Mikrokristalinė celiuliozė </w:t>
      </w:r>
    </w:p>
    <w:p w14:paraId="4A45AEEB"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Magnio stearatas </w:t>
      </w:r>
    </w:p>
    <w:p w14:paraId="6E545751"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Bevandenis koloidinis silicio dioksidas</w:t>
      </w:r>
    </w:p>
    <w:p w14:paraId="34A6B87C" w14:textId="77777777" w:rsidR="00B932D0" w:rsidRDefault="00B932D0" w:rsidP="00B932D0">
      <w:pPr>
        <w:spacing w:after="0" w:line="240" w:lineRule="auto"/>
        <w:rPr>
          <w:rFonts w:ascii="Times New Roman" w:eastAsia="Times New Roman" w:hAnsi="Times New Roman"/>
          <w:lang w:val="lt-LT"/>
        </w:rPr>
      </w:pPr>
    </w:p>
    <w:p w14:paraId="7B0042D6"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Tabletės dangalas</w:t>
      </w:r>
    </w:p>
    <w:p w14:paraId="54110B1F"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Karmeliozės natrio druska </w:t>
      </w:r>
    </w:p>
    <w:p w14:paraId="2CE47603"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Talkas </w:t>
      </w:r>
    </w:p>
    <w:p w14:paraId="53900B15"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Džiovintas purškiant gumiarabikas</w:t>
      </w:r>
    </w:p>
    <w:p w14:paraId="58061518"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Sacharozė</w:t>
      </w:r>
    </w:p>
    <w:p w14:paraId="7C642C35"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Titano dioksidas (E171)</w:t>
      </w:r>
    </w:p>
    <w:p w14:paraId="2A00DC13"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 xml:space="preserve">Makrogolis 6000 </w:t>
      </w:r>
    </w:p>
    <w:p w14:paraId="7E079140" w14:textId="77777777" w:rsidR="00B932D0" w:rsidRDefault="00B932D0" w:rsidP="00B932D0">
      <w:pPr>
        <w:spacing w:after="0" w:line="240" w:lineRule="auto"/>
        <w:rPr>
          <w:rFonts w:ascii="Times New Roman" w:eastAsia="Times New Roman" w:hAnsi="Times New Roman"/>
          <w:lang w:val="lt-LT"/>
        </w:rPr>
      </w:pPr>
    </w:p>
    <w:p w14:paraId="035C47FA"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i/>
          <w:lang w:val="lt-LT"/>
        </w:rPr>
        <w:t>Tabletės rašalas</w:t>
      </w:r>
    </w:p>
    <w:p w14:paraId="064201E3" w14:textId="77777777" w:rsidR="00B932D0" w:rsidRDefault="00B932D0" w:rsidP="00B932D0">
      <w:pPr>
        <w:spacing w:after="0" w:line="240" w:lineRule="auto"/>
        <w:rPr>
          <w:rFonts w:ascii="Times New Roman" w:eastAsia="Times New Roman" w:hAnsi="Times New Roman"/>
          <w:i/>
          <w:lang w:val="lt-LT"/>
        </w:rPr>
      </w:pPr>
      <w:r>
        <w:rPr>
          <w:rFonts w:ascii="Times New Roman" w:eastAsia="Times New Roman" w:hAnsi="Times New Roman"/>
          <w:lang w:val="lt-LT"/>
        </w:rPr>
        <w:t>Opacode S-1-15094 Red (sudėtyje yra šelako, raudonojo geležies oksido (E172), amonio hidroksido, simetikono)</w:t>
      </w:r>
    </w:p>
    <w:p w14:paraId="2D4F208E"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4FA0BF2D"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43" w:name="_Toc129243117"/>
      <w:bookmarkStart w:id="44" w:name="_Toc129243242"/>
      <w:r>
        <w:rPr>
          <w:rFonts w:ascii="Times New Roman" w:eastAsia="Times New Roman" w:hAnsi="Times New Roman"/>
          <w:b/>
          <w:kern w:val="28"/>
          <w:lang w:val="lt-LT"/>
        </w:rPr>
        <w:t>6.2</w:t>
      </w:r>
      <w:r>
        <w:rPr>
          <w:rFonts w:ascii="Times New Roman" w:eastAsia="Times New Roman" w:hAnsi="Times New Roman"/>
          <w:b/>
          <w:kern w:val="28"/>
          <w:lang w:val="lt-LT"/>
        </w:rPr>
        <w:tab/>
        <w:t>Nesuderinamumas</w:t>
      </w:r>
      <w:bookmarkEnd w:id="43"/>
      <w:bookmarkEnd w:id="44"/>
    </w:p>
    <w:p w14:paraId="64D3082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EEC7BB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Duomenys nebūtini.</w:t>
      </w:r>
    </w:p>
    <w:p w14:paraId="2153C4A6"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ABD69E"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45" w:name="_Toc129243118"/>
      <w:bookmarkStart w:id="46" w:name="_Toc129243243"/>
      <w:r>
        <w:rPr>
          <w:rFonts w:ascii="Times New Roman" w:eastAsia="Times New Roman" w:hAnsi="Times New Roman"/>
          <w:b/>
          <w:kern w:val="28"/>
          <w:lang w:val="lt-LT"/>
        </w:rPr>
        <w:t>6.3</w:t>
      </w:r>
      <w:r>
        <w:rPr>
          <w:rFonts w:ascii="Times New Roman" w:eastAsia="Times New Roman" w:hAnsi="Times New Roman"/>
          <w:b/>
          <w:kern w:val="28"/>
          <w:lang w:val="lt-LT"/>
        </w:rPr>
        <w:tab/>
        <w:t>Tinkamumo laikas</w:t>
      </w:r>
      <w:bookmarkEnd w:id="45"/>
      <w:bookmarkEnd w:id="46"/>
    </w:p>
    <w:p w14:paraId="4C553BB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CE0F74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2 metai.</w:t>
      </w:r>
    </w:p>
    <w:p w14:paraId="5D7A6AA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C5A7431"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47" w:name="_Toc129243119"/>
      <w:bookmarkStart w:id="48" w:name="_Toc129243244"/>
      <w:r>
        <w:rPr>
          <w:rFonts w:ascii="Times New Roman" w:eastAsia="Times New Roman" w:hAnsi="Times New Roman"/>
          <w:b/>
          <w:kern w:val="28"/>
          <w:lang w:val="lt-LT"/>
        </w:rPr>
        <w:t>6.4</w:t>
      </w:r>
      <w:r>
        <w:rPr>
          <w:rFonts w:ascii="Times New Roman" w:eastAsia="Times New Roman" w:hAnsi="Times New Roman"/>
          <w:b/>
          <w:kern w:val="28"/>
          <w:lang w:val="lt-LT"/>
        </w:rPr>
        <w:tab/>
        <w:t xml:space="preserve"> </w:t>
      </w:r>
      <w:bookmarkEnd w:id="47"/>
      <w:bookmarkEnd w:id="48"/>
      <w:r>
        <w:rPr>
          <w:rFonts w:ascii="Times New Roman" w:eastAsia="Times New Roman" w:hAnsi="Times New Roman"/>
          <w:b/>
          <w:kern w:val="28"/>
          <w:lang w:val="lt-LT"/>
        </w:rPr>
        <w:t>Specialios laikymo sąlygos</w:t>
      </w:r>
    </w:p>
    <w:p w14:paraId="75284860"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kern w:val="28"/>
          <w:lang w:val="lt-LT"/>
        </w:rPr>
      </w:pPr>
    </w:p>
    <w:p w14:paraId="256D7D2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Šiam vaistiniam preparatui specialių laikymo sąlygų nereikia.</w:t>
      </w:r>
    </w:p>
    <w:p w14:paraId="7466A81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4A73C9"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49" w:name="_Toc129243120"/>
      <w:bookmarkStart w:id="50" w:name="_Toc129243245"/>
      <w:r>
        <w:rPr>
          <w:rFonts w:ascii="Times New Roman" w:eastAsia="Times New Roman" w:hAnsi="Times New Roman"/>
          <w:b/>
          <w:kern w:val="28"/>
          <w:lang w:val="lt-LT"/>
        </w:rPr>
        <w:t>6.5</w:t>
      </w:r>
      <w:r>
        <w:rPr>
          <w:rFonts w:ascii="Times New Roman" w:eastAsia="Times New Roman" w:hAnsi="Times New Roman"/>
          <w:b/>
          <w:kern w:val="28"/>
          <w:lang w:val="lt-LT"/>
        </w:rPr>
        <w:tab/>
        <w:t>Talpyklės pobūdis ir jos turinys</w:t>
      </w:r>
      <w:bookmarkEnd w:id="49"/>
      <w:bookmarkEnd w:id="50"/>
    </w:p>
    <w:p w14:paraId="4048B72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0A7BB99"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PVC/PVdC/Al lizdinė plokštelė.</w:t>
      </w:r>
    </w:p>
    <w:p w14:paraId="7DD4A14A"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lang w:val="lt-LT"/>
        </w:rPr>
        <w:t>Vienoje kartoninėje arba plastikinėje dėžutėje yra 12 tablečių (1 lizdinė plokštelė).</w:t>
      </w:r>
    </w:p>
    <w:p w14:paraId="613C8360" w14:textId="77777777" w:rsidR="00B932D0" w:rsidRDefault="00B932D0" w:rsidP="00B932D0">
      <w:pPr>
        <w:tabs>
          <w:tab w:val="left" w:pos="0"/>
          <w:tab w:val="left" w:pos="360"/>
          <w:tab w:val="left" w:pos="720"/>
        </w:tabs>
        <w:spacing w:after="0" w:line="240" w:lineRule="auto"/>
        <w:rPr>
          <w:rFonts w:ascii="Times New Roman" w:eastAsia="Times New Roman" w:hAnsi="Times New Roman"/>
          <w:b/>
          <w:noProof/>
          <w:lang w:val="lt-LT"/>
        </w:rPr>
      </w:pPr>
    </w:p>
    <w:p w14:paraId="6988DE80" w14:textId="77777777" w:rsidR="00B932D0"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51" w:name="_Toc129243121"/>
      <w:bookmarkStart w:id="52" w:name="_Toc129243246"/>
      <w:r>
        <w:rPr>
          <w:rFonts w:ascii="Times New Roman" w:eastAsia="Times New Roman" w:hAnsi="Times New Roman"/>
          <w:b/>
          <w:kern w:val="28"/>
          <w:lang w:val="lt-LT"/>
        </w:rPr>
        <w:t>6.6</w:t>
      </w:r>
      <w:r>
        <w:rPr>
          <w:rFonts w:ascii="Times New Roman" w:eastAsia="Times New Roman" w:hAnsi="Times New Roman"/>
          <w:b/>
          <w:kern w:val="28"/>
          <w:lang w:val="lt-LT"/>
        </w:rPr>
        <w:tab/>
        <w:t xml:space="preserve">Specialūs reikalavimai atliekoms tvarkyti </w:t>
      </w:r>
      <w:bookmarkEnd w:id="51"/>
      <w:bookmarkEnd w:id="52"/>
    </w:p>
    <w:p w14:paraId="42CCD288"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6B572D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Specialių reikalavimų nėra.</w:t>
      </w:r>
    </w:p>
    <w:p w14:paraId="3A027360"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B10ED3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369FBF4"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53" w:name="_Toc129243122"/>
      <w:bookmarkStart w:id="54" w:name="_Toc129243247"/>
      <w:r>
        <w:rPr>
          <w:rFonts w:ascii="Times New Roman" w:eastAsia="Times New Roman" w:hAnsi="Times New Roman"/>
          <w:b/>
          <w:lang w:val="lt-LT"/>
        </w:rPr>
        <w:t>7.</w:t>
      </w:r>
      <w:r>
        <w:rPr>
          <w:rFonts w:ascii="Times New Roman" w:eastAsia="Times New Roman" w:hAnsi="Times New Roman"/>
          <w:b/>
          <w:lang w:val="lt-LT"/>
        </w:rPr>
        <w:tab/>
        <w:t>REGISTRUOTOJAS</w:t>
      </w:r>
      <w:bookmarkEnd w:id="53"/>
      <w:bookmarkEnd w:id="54"/>
    </w:p>
    <w:p w14:paraId="33F37B5C"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ED04959"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Reckitt Benckiser (Poland) S.A. </w:t>
      </w:r>
    </w:p>
    <w:p w14:paraId="379A9567"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lastRenderedPageBreak/>
        <w:t xml:space="preserve">Ul. Okunin 1 </w:t>
      </w:r>
    </w:p>
    <w:p w14:paraId="4062617E"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05-100 Nowy Dwor Mazowiecki </w:t>
      </w:r>
    </w:p>
    <w:p w14:paraId="1942E6C8"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Lenkija</w:t>
      </w:r>
    </w:p>
    <w:p w14:paraId="369C4F7D"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A2372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B2B2E68"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55" w:name="_Toc129243123"/>
      <w:bookmarkStart w:id="56" w:name="_Toc129243248"/>
      <w:r>
        <w:rPr>
          <w:rFonts w:ascii="Times New Roman" w:eastAsia="Times New Roman" w:hAnsi="Times New Roman"/>
          <w:b/>
          <w:lang w:val="lt-LT"/>
        </w:rPr>
        <w:t>8.</w:t>
      </w:r>
      <w:r>
        <w:rPr>
          <w:rFonts w:ascii="Times New Roman" w:eastAsia="Times New Roman" w:hAnsi="Times New Roman"/>
          <w:b/>
          <w:lang w:val="lt-LT"/>
        </w:rPr>
        <w:tab/>
        <w:t>REGISTRACIJOS PAŽYMĖJIMO NUMERIS</w:t>
      </w:r>
      <w:bookmarkEnd w:id="55"/>
      <w:bookmarkEnd w:id="56"/>
      <w:r>
        <w:rPr>
          <w:rFonts w:ascii="Times New Roman" w:eastAsia="Times New Roman" w:hAnsi="Times New Roman"/>
          <w:b/>
          <w:lang w:val="lt-LT"/>
        </w:rPr>
        <w:t xml:space="preserve"> (-IAI)</w:t>
      </w:r>
    </w:p>
    <w:p w14:paraId="22A0380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793369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Pr>
          <w:rFonts w:ascii="Times New Roman" w:eastAsia="Times New Roman" w:hAnsi="Times New Roman"/>
          <w:noProof/>
          <w:lang w:val="lt-LT"/>
        </w:rPr>
        <w:t>LT/1/97/0271/023</w:t>
      </w:r>
    </w:p>
    <w:p w14:paraId="65A33AD1"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21441A9"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E27D327"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57" w:name="_Toc129243124"/>
      <w:bookmarkStart w:id="58" w:name="_Toc129243249"/>
      <w:r>
        <w:rPr>
          <w:rFonts w:ascii="Times New Roman" w:eastAsia="Times New Roman" w:hAnsi="Times New Roman"/>
          <w:b/>
          <w:lang w:val="lt-LT"/>
        </w:rPr>
        <w:t>9.</w:t>
      </w:r>
      <w:r>
        <w:rPr>
          <w:rFonts w:ascii="Times New Roman" w:eastAsia="Times New Roman" w:hAnsi="Times New Roman"/>
          <w:b/>
          <w:lang w:val="lt-LT"/>
        </w:rPr>
        <w:tab/>
        <w:t>REGISTRAVIMO / PERREGISTRAVIMO  DATA</w:t>
      </w:r>
      <w:bookmarkEnd w:id="57"/>
      <w:bookmarkEnd w:id="58"/>
    </w:p>
    <w:p w14:paraId="78DC421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4DFDAF9" w14:textId="77777777" w:rsidR="00B932D0" w:rsidRDefault="00B932D0" w:rsidP="00B932D0">
      <w:pPr>
        <w:spacing w:after="0" w:line="240" w:lineRule="auto"/>
        <w:rPr>
          <w:rFonts w:ascii="Times New Roman" w:eastAsia="Times New Roman" w:hAnsi="Times New Roman"/>
          <w:lang w:val="lt-LT"/>
        </w:rPr>
      </w:pPr>
      <w:r>
        <w:rPr>
          <w:rFonts w:ascii="Times New Roman" w:eastAsia="Times New Roman" w:hAnsi="Times New Roman"/>
          <w:noProof/>
          <w:lang w:val="lt-LT"/>
        </w:rPr>
        <w:t>Registravimo data 2011 m. balandžio</w:t>
      </w:r>
      <w:r>
        <w:rPr>
          <w:rFonts w:ascii="Times New Roman" w:eastAsia="Times New Roman" w:hAnsi="Times New Roman"/>
          <w:lang w:val="lt-LT"/>
        </w:rPr>
        <w:t xml:space="preserve"> 13</w:t>
      </w:r>
      <w:r>
        <w:rPr>
          <w:rFonts w:ascii="Times New Roman" w:eastAsia="Times New Roman" w:hAnsi="Times New Roman"/>
          <w:noProof/>
          <w:lang w:val="lt-LT"/>
        </w:rPr>
        <w:t> d.</w:t>
      </w:r>
    </w:p>
    <w:p w14:paraId="0AE056E8" w14:textId="77777777" w:rsidR="00B932D0" w:rsidRDefault="00B932D0" w:rsidP="00B932D0">
      <w:pPr>
        <w:tabs>
          <w:tab w:val="left" w:pos="567"/>
        </w:tabs>
        <w:spacing w:after="0" w:line="240" w:lineRule="auto"/>
        <w:rPr>
          <w:rFonts w:ascii="Times New Roman" w:eastAsia="Times New Roman" w:hAnsi="Times New Roman"/>
          <w:lang w:val="lt-LT"/>
        </w:rPr>
      </w:pPr>
      <w:r>
        <w:rPr>
          <w:rFonts w:ascii="Times New Roman" w:eastAsia="Times New Roman" w:hAnsi="Times New Roman"/>
          <w:snapToGrid w:val="0"/>
          <w:lang w:val="lt-LT"/>
        </w:rPr>
        <w:t xml:space="preserve">Paskutinio perregistravimo data </w:t>
      </w:r>
      <w:r>
        <w:rPr>
          <w:rFonts w:ascii="Times New Roman" w:eastAsia="Times New Roman" w:hAnsi="Times New Roman"/>
          <w:lang w:val="lt-LT"/>
        </w:rPr>
        <w:t>2016 m. kovo 10 d.</w:t>
      </w:r>
    </w:p>
    <w:p w14:paraId="5B72AA97"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907586B"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9D7DA7D" w14:textId="77777777" w:rsidR="00B932D0"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59" w:name="_Toc129243125"/>
      <w:bookmarkStart w:id="60" w:name="_Toc129243250"/>
      <w:r>
        <w:rPr>
          <w:rFonts w:ascii="Times New Roman" w:eastAsia="Times New Roman" w:hAnsi="Times New Roman"/>
          <w:b/>
          <w:lang w:val="lt-LT"/>
        </w:rPr>
        <w:t>10.</w:t>
      </w:r>
      <w:r>
        <w:rPr>
          <w:rFonts w:ascii="Times New Roman" w:eastAsia="Times New Roman" w:hAnsi="Times New Roman"/>
          <w:b/>
          <w:lang w:val="lt-LT"/>
        </w:rPr>
        <w:tab/>
        <w:t>TEKSTO PERŽIŪROS DATA</w:t>
      </w:r>
      <w:bookmarkEnd w:id="59"/>
      <w:bookmarkEnd w:id="60"/>
    </w:p>
    <w:p w14:paraId="38E5AA2E"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EEE40A5" w14:textId="6A534C04" w:rsidR="00B932D0" w:rsidRDefault="00E55E4A" w:rsidP="00B932D0">
      <w:pPr>
        <w:tabs>
          <w:tab w:val="left" w:pos="5954"/>
          <w:tab w:val="left" w:pos="6237"/>
          <w:tab w:val="left" w:pos="6663"/>
          <w:tab w:val="left" w:pos="6946"/>
        </w:tabs>
        <w:spacing w:after="0" w:line="240" w:lineRule="auto"/>
        <w:rPr>
          <w:rFonts w:ascii="Times New Roman" w:eastAsia="SimSun" w:hAnsi="Times New Roman"/>
          <w:noProof/>
          <w:lang w:val="lt-LT"/>
        </w:rPr>
      </w:pPr>
      <w:r>
        <w:rPr>
          <w:rFonts w:ascii="Times New Roman" w:eastAsia="SimSun" w:hAnsi="Times New Roman"/>
          <w:noProof/>
          <w:lang w:val="lt-LT"/>
        </w:rPr>
        <w:t>202</w:t>
      </w:r>
      <w:r w:rsidR="00217330">
        <w:rPr>
          <w:rFonts w:ascii="Times New Roman" w:eastAsia="SimSun" w:hAnsi="Times New Roman"/>
          <w:noProof/>
          <w:lang w:val="lt-LT"/>
        </w:rPr>
        <w:t>3 m. sausio 5 d.</w:t>
      </w:r>
    </w:p>
    <w:p w14:paraId="6C5FC08B" w14:textId="77777777" w:rsidR="00E55E4A" w:rsidRDefault="00E55E4A" w:rsidP="00B932D0">
      <w:pPr>
        <w:tabs>
          <w:tab w:val="left" w:pos="5954"/>
          <w:tab w:val="left" w:pos="6237"/>
          <w:tab w:val="left" w:pos="6663"/>
          <w:tab w:val="left" w:pos="6946"/>
        </w:tabs>
        <w:spacing w:after="0" w:line="240" w:lineRule="auto"/>
        <w:rPr>
          <w:rFonts w:ascii="Times New Roman" w:eastAsia="SimSun" w:hAnsi="Times New Roman"/>
          <w:noProof/>
          <w:lang w:val="lt-LT"/>
        </w:rPr>
      </w:pPr>
    </w:p>
    <w:p w14:paraId="306A912E" w14:textId="77777777" w:rsidR="00B932D0" w:rsidRDefault="00B932D0" w:rsidP="00B932D0">
      <w:pPr>
        <w:tabs>
          <w:tab w:val="left" w:pos="5954"/>
          <w:tab w:val="left" w:pos="6237"/>
          <w:tab w:val="left" w:pos="6663"/>
          <w:tab w:val="left" w:pos="6946"/>
        </w:tabs>
        <w:spacing w:after="0" w:line="240" w:lineRule="auto"/>
        <w:rPr>
          <w:rFonts w:ascii="Times New Roman" w:eastAsia="SimSun" w:hAnsi="Times New Roman"/>
          <w:lang w:val="lt-LT"/>
        </w:rPr>
      </w:pPr>
      <w:r>
        <w:rPr>
          <w:rFonts w:ascii="Times New Roman" w:eastAsia="SimSun" w:hAnsi="Times New Roman"/>
          <w:noProof/>
          <w:lang w:val="lt-LT"/>
        </w:rPr>
        <w:t>Išsami informacija apie šį vaistinį preparatą</w:t>
      </w:r>
      <w:r>
        <w:rPr>
          <w:rFonts w:ascii="Times New Roman" w:eastAsia="SimSun" w:hAnsi="Times New Roman"/>
          <w:lang w:val="lt-LT"/>
        </w:rPr>
        <w:t xml:space="preserve"> pateikiama Valstybinės vaistų kontrolės tarnybos prie Lietuvos Respublikos </w:t>
      </w:r>
      <w:r>
        <w:rPr>
          <w:rFonts w:ascii="Times New Roman" w:eastAsia="SimSun" w:hAnsi="Times New Roman"/>
          <w:noProof/>
          <w:lang w:val="lt-LT"/>
        </w:rPr>
        <w:t xml:space="preserve"> </w:t>
      </w:r>
      <w:r>
        <w:rPr>
          <w:rFonts w:ascii="Times New Roman" w:eastAsia="SimSun" w:hAnsi="Times New Roman"/>
          <w:lang w:val="lt-LT"/>
        </w:rPr>
        <w:t xml:space="preserve">sveikatos apsaugos ministerijos </w:t>
      </w:r>
      <w:r>
        <w:rPr>
          <w:rFonts w:ascii="Times New Roman" w:eastAsia="SimSun" w:hAnsi="Times New Roman"/>
          <w:noProof/>
          <w:lang w:val="lt-LT"/>
        </w:rPr>
        <w:t xml:space="preserve">tinklalapyje </w:t>
      </w:r>
      <w:hyperlink r:id="rId8" w:history="1">
        <w:r w:rsidRPr="002F3B5B">
          <w:rPr>
            <w:rStyle w:val="Hipersaitas"/>
            <w:rFonts w:ascii="Times New Roman" w:hAnsi="Times New Roman"/>
            <w:color w:val="3333FF"/>
            <w:lang w:val="lt-LT"/>
          </w:rPr>
          <w:t>http://www.vvkt.lt</w:t>
        </w:r>
      </w:hyperlink>
      <w:r>
        <w:rPr>
          <w:rFonts w:ascii="Times New Roman" w:eastAsia="SimSun" w:hAnsi="Times New Roman"/>
          <w:i/>
          <w:lang w:val="lt-LT"/>
        </w:rPr>
        <w:t xml:space="preserve"> </w:t>
      </w:r>
      <w:r>
        <w:rPr>
          <w:rFonts w:ascii="Times New Roman" w:eastAsia="SimSun" w:hAnsi="Times New Roman"/>
          <w:lang w:val="lt-LT"/>
        </w:rPr>
        <w:t xml:space="preserve"> </w:t>
      </w:r>
    </w:p>
    <w:p w14:paraId="03504EC8" w14:textId="77777777" w:rsidR="00B932D0" w:rsidRPr="001D15C7" w:rsidRDefault="00B932D0" w:rsidP="00B932D0">
      <w:pPr>
        <w:tabs>
          <w:tab w:val="left" w:pos="0"/>
        </w:tabs>
        <w:spacing w:after="0" w:line="240" w:lineRule="auto"/>
        <w:outlineLvl w:val="0"/>
        <w:rPr>
          <w:rFonts w:ascii="Times New Roman" w:eastAsia="Times New Roman" w:hAnsi="Times New Roman"/>
          <w:noProof/>
          <w:lang w:val="lt-LT"/>
        </w:rPr>
      </w:pPr>
    </w:p>
    <w:p w14:paraId="3AEB038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4F4419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984468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291426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9ADB2E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B50BF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79866C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CABEA0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A3D496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C351BB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C749FD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124875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1681F9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28FE22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E3E24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56BF3F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97C0DF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730D3D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73C86E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810EA1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BF0825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4C425BB"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bookmarkStart w:id="61" w:name="_Toc129243253"/>
      <w:bookmarkStart w:id="62" w:name="_Toc129243128"/>
    </w:p>
    <w:p w14:paraId="33E85BA3"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74105AD9"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27A207B"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23CED05"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465DA698"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1CCDD87"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7B5B4261"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770E883C"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038D4F86"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5F30868B"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63A66B8B"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0278A6AA"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699E8233"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00F5D273"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719729D1"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4F2C1EED"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6AAB53F8"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49C1442F"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66198EB"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9341AAE"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EF05E9A"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066A082D"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2CC84BBD"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B0E5DA4"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112B171A"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D21EE9A"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59CB5F96"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6A1EEEEE"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FC120D0"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59416D7F" w14:textId="77777777" w:rsidR="00B932D0"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E12925B"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r w:rsidRPr="001D15C7">
        <w:rPr>
          <w:rFonts w:ascii="Times New Roman" w:eastAsia="Times New Roman" w:hAnsi="Times New Roman"/>
          <w:b/>
          <w:caps/>
          <w:lang w:val="lt-LT"/>
        </w:rPr>
        <w:t>II PRIEDAS</w:t>
      </w:r>
      <w:bookmarkEnd w:id="61"/>
      <w:bookmarkEnd w:id="62"/>
    </w:p>
    <w:p w14:paraId="69857224"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p>
    <w:p w14:paraId="3F78BB0D"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r w:rsidRPr="001D15C7">
        <w:rPr>
          <w:rFonts w:ascii="Times New Roman" w:eastAsia="Times New Roman" w:hAnsi="Times New Roman"/>
          <w:b/>
          <w:caps/>
          <w:lang w:val="lt-LT"/>
        </w:rPr>
        <w:t>REGISTRACIJOS SĄLYGOS</w:t>
      </w:r>
    </w:p>
    <w:p w14:paraId="15ACB1C0"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noProof/>
          <w:lang w:val="lt-LT"/>
        </w:rPr>
      </w:pPr>
    </w:p>
    <w:p w14:paraId="1D2BC5EE" w14:textId="77777777" w:rsidR="00B932D0" w:rsidRPr="001D15C7" w:rsidRDefault="00B932D0" w:rsidP="00B932D0">
      <w:pPr>
        <w:tabs>
          <w:tab w:val="left" w:pos="1701"/>
        </w:tabs>
        <w:spacing w:after="0" w:line="240" w:lineRule="auto"/>
        <w:ind w:left="1701" w:hanging="567"/>
        <w:rPr>
          <w:rFonts w:ascii="Times New Roman" w:eastAsia="Times New Roman" w:hAnsi="Times New Roman"/>
          <w:b/>
          <w:highlight w:val="yellow"/>
          <w:lang w:val="lt-LT"/>
        </w:rPr>
      </w:pPr>
      <w:r w:rsidRPr="001D15C7">
        <w:rPr>
          <w:rFonts w:ascii="Times New Roman" w:eastAsia="Times New Roman" w:hAnsi="Times New Roman"/>
          <w:b/>
          <w:lang w:val="lt-LT"/>
        </w:rPr>
        <w:t>A.</w:t>
      </w:r>
      <w:r w:rsidRPr="001D15C7">
        <w:rPr>
          <w:rFonts w:ascii="Times New Roman" w:eastAsia="Times New Roman" w:hAnsi="Times New Roman"/>
          <w:b/>
          <w:lang w:val="lt-LT"/>
        </w:rPr>
        <w:tab/>
        <w:t>GAMINTOJAS (-AI), ATSAKINGAS (-I) UŽ SERIJŲ IŠLEIDIMĄ</w:t>
      </w:r>
    </w:p>
    <w:p w14:paraId="3354F14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p>
    <w:p w14:paraId="5CB85AD9" w14:textId="77777777" w:rsidR="00B932D0" w:rsidRPr="001D15C7" w:rsidRDefault="00B932D0" w:rsidP="00B932D0">
      <w:pPr>
        <w:tabs>
          <w:tab w:val="left" w:pos="1701"/>
        </w:tabs>
        <w:spacing w:after="0" w:line="240" w:lineRule="auto"/>
        <w:ind w:left="1701" w:hanging="567"/>
        <w:rPr>
          <w:rFonts w:ascii="Times New Roman" w:eastAsia="Times New Roman" w:hAnsi="Times New Roman"/>
          <w:b/>
          <w:lang w:val="lt-LT"/>
        </w:rPr>
      </w:pPr>
      <w:r w:rsidRPr="001D15C7">
        <w:rPr>
          <w:rFonts w:ascii="Times New Roman" w:eastAsia="Times New Roman" w:hAnsi="Times New Roman"/>
          <w:b/>
          <w:lang w:val="lt-LT"/>
        </w:rPr>
        <w:t>B.</w:t>
      </w:r>
      <w:r w:rsidRPr="001D15C7">
        <w:rPr>
          <w:rFonts w:ascii="Times New Roman" w:eastAsia="Times New Roman" w:hAnsi="Times New Roman"/>
          <w:b/>
          <w:lang w:val="lt-LT"/>
        </w:rPr>
        <w:tab/>
        <w:t>TIEKIMO IR VARTOJIMO SĄLYGOS AR APRIBOJIMAI</w:t>
      </w:r>
    </w:p>
    <w:p w14:paraId="278229EC"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noProof/>
          <w:highlight w:val="yellow"/>
          <w:lang w:val="lt-LT"/>
        </w:rPr>
      </w:pPr>
    </w:p>
    <w:p w14:paraId="478F1C93"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r w:rsidRPr="001D15C7">
        <w:rPr>
          <w:rFonts w:ascii="Times New Roman" w:eastAsia="Times New Roman" w:hAnsi="Times New Roman"/>
          <w:lang w:val="lt-LT"/>
        </w:rPr>
        <w:br w:type="page"/>
      </w:r>
      <w:r w:rsidRPr="001D15C7">
        <w:rPr>
          <w:rFonts w:ascii="Times New Roman" w:eastAsia="Times New Roman" w:hAnsi="Times New Roman"/>
          <w:b/>
          <w:lang w:val="lt-LT"/>
        </w:rPr>
        <w:lastRenderedPageBreak/>
        <w:t>A.</w:t>
      </w:r>
      <w:r w:rsidRPr="001D15C7">
        <w:rPr>
          <w:rFonts w:ascii="Times New Roman" w:eastAsia="Times New Roman" w:hAnsi="Times New Roman"/>
          <w:b/>
          <w:lang w:val="lt-LT"/>
        </w:rPr>
        <w:tab/>
        <w:t xml:space="preserve">GAMINTOJAS (-AI), ATSAKINGAS (-I) UŽ SERIJŲ IŠLEIDIMĄ </w:t>
      </w:r>
    </w:p>
    <w:p w14:paraId="5848051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p>
    <w:p w14:paraId="5DF7834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u w:val="single"/>
          <w:lang w:val="lt-LT"/>
        </w:rPr>
      </w:pPr>
      <w:r w:rsidRPr="001D15C7">
        <w:rPr>
          <w:rFonts w:ascii="Times New Roman" w:eastAsia="Times New Roman" w:hAnsi="Times New Roman"/>
          <w:noProof/>
          <w:u w:val="single"/>
          <w:lang w:val="lt-LT"/>
        </w:rPr>
        <w:t xml:space="preserve">Gamintojo (-ų), atsakingo (-ų) už serijų išleidimą, pavadinimas (-ai) ir adresas (-ai) </w:t>
      </w:r>
    </w:p>
    <w:p w14:paraId="5802D97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SIA ELVIM</w:t>
      </w:r>
    </w:p>
    <w:p w14:paraId="005E2C7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Kurzemes prospekts 3-513</w:t>
      </w:r>
    </w:p>
    <w:p w14:paraId="37DB759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Riga LV-1067</w:t>
      </w:r>
    </w:p>
    <w:p w14:paraId="793BF95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Latvija</w:t>
      </w:r>
    </w:p>
    <w:p w14:paraId="0CD8E5F5"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7FAA4C5"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658FFF51" w14:textId="77777777" w:rsidR="00B932D0" w:rsidRDefault="00B932D0" w:rsidP="00B932D0">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6042BA0A"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7AE7F5E2"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2FD0E0A7" w14:textId="77777777" w:rsidR="00B932D0" w:rsidRPr="00D53C48"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7B4742C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p>
    <w:p w14:paraId="77D8C90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r w:rsidRPr="001D15C7">
        <w:rPr>
          <w:rFonts w:ascii="Times New Roman" w:eastAsia="Times New Roman" w:hAnsi="Times New Roman"/>
          <w:noProof/>
          <w:snapToGrid w:val="0"/>
          <w:lang w:val="lt-LT"/>
        </w:rPr>
        <w:t>Su pakuote pateikiamame lapelyje nurodomas gamintojo, atsakingo už konkrečios serijos išleidimą, pavadinimas ir adresas.</w:t>
      </w:r>
    </w:p>
    <w:p w14:paraId="52A495A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p>
    <w:p w14:paraId="0F0E744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highlight w:val="yellow"/>
          <w:lang w:val="lt-LT"/>
        </w:rPr>
      </w:pPr>
    </w:p>
    <w:p w14:paraId="389063C6" w14:textId="77777777" w:rsidR="00B932D0" w:rsidRPr="001D15C7" w:rsidRDefault="00B932D0" w:rsidP="00B932D0">
      <w:pPr>
        <w:keepNext/>
        <w:keepLines/>
        <w:tabs>
          <w:tab w:val="left" w:pos="0"/>
          <w:tab w:val="left" w:pos="540"/>
        </w:tabs>
        <w:spacing w:after="0" w:line="240" w:lineRule="auto"/>
        <w:outlineLvl w:val="2"/>
        <w:rPr>
          <w:rFonts w:ascii="Times New Roman" w:eastAsia="Times New Roman" w:hAnsi="Times New Roman"/>
          <w:b/>
          <w:kern w:val="28"/>
          <w:lang w:val="lt-LT"/>
        </w:rPr>
      </w:pPr>
      <w:bookmarkStart w:id="63" w:name="_Toc129243255"/>
      <w:bookmarkStart w:id="64" w:name="_Toc129243130"/>
      <w:bookmarkStart w:id="65" w:name="_Toc129243254"/>
      <w:bookmarkStart w:id="66" w:name="_Toc129243129"/>
      <w:r w:rsidRPr="001D15C7">
        <w:rPr>
          <w:rFonts w:ascii="Times New Roman" w:eastAsia="Times New Roman" w:hAnsi="Times New Roman"/>
          <w:b/>
          <w:kern w:val="28"/>
          <w:lang w:val="lt-LT"/>
        </w:rPr>
        <w:t>B.</w:t>
      </w:r>
      <w:r w:rsidRPr="001D15C7">
        <w:rPr>
          <w:rFonts w:ascii="Times New Roman" w:eastAsia="Times New Roman" w:hAnsi="Times New Roman"/>
          <w:b/>
          <w:kern w:val="28"/>
          <w:lang w:val="lt-LT"/>
        </w:rPr>
        <w:tab/>
      </w:r>
      <w:r w:rsidRPr="001D15C7">
        <w:rPr>
          <w:rFonts w:ascii="Times New Roman" w:eastAsia="Times New Roman" w:hAnsi="Times New Roman"/>
          <w:b/>
          <w:noProof/>
          <w:kern w:val="28"/>
          <w:lang w:val="lt-LT"/>
        </w:rPr>
        <w:t>TIEKIMO IR VARTOJIMO SĄLYGOS AR APRIBOJIMAI</w:t>
      </w:r>
      <w:bookmarkEnd w:id="63"/>
      <w:bookmarkEnd w:id="64"/>
      <w:r w:rsidRPr="001D15C7">
        <w:rPr>
          <w:rFonts w:ascii="Times New Roman" w:eastAsia="Times New Roman" w:hAnsi="Times New Roman"/>
          <w:b/>
          <w:kern w:val="28"/>
          <w:lang w:val="lt-LT"/>
        </w:rPr>
        <w:t xml:space="preserve"> </w:t>
      </w:r>
      <w:bookmarkEnd w:id="65"/>
      <w:bookmarkEnd w:id="66"/>
    </w:p>
    <w:p w14:paraId="1650667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76C9C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Nereceptinis vaistinis preparatas.</w:t>
      </w:r>
    </w:p>
    <w:p w14:paraId="5927B12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br w:type="page"/>
      </w:r>
    </w:p>
    <w:p w14:paraId="62C3370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622BA9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D5C414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740997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4BE97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F48F49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CDB333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047DAC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FA2025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54117A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D353D2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E77F90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B9A598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B69D9A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6D093D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AC3AE2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FFE4B8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9A4E0C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54EE3A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E7FE5C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B9E6C3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7AA55E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CAEED5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DD3FBD8"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bookmarkStart w:id="67" w:name="_Toc129243259"/>
      <w:bookmarkStart w:id="68" w:name="_Toc129243134"/>
      <w:r w:rsidRPr="001D15C7">
        <w:rPr>
          <w:rFonts w:ascii="Times New Roman" w:eastAsia="Times New Roman" w:hAnsi="Times New Roman"/>
          <w:b/>
          <w:caps/>
          <w:lang w:val="lt-LT"/>
        </w:rPr>
        <w:t>III PRIEDAS</w:t>
      </w:r>
      <w:bookmarkEnd w:id="67"/>
      <w:bookmarkEnd w:id="68"/>
    </w:p>
    <w:p w14:paraId="08717420"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noProof/>
          <w:lang w:val="lt-LT"/>
        </w:rPr>
      </w:pPr>
    </w:p>
    <w:p w14:paraId="03809D43"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bookmarkStart w:id="69" w:name="_Toc129243260"/>
      <w:bookmarkStart w:id="70" w:name="_Toc129243135"/>
      <w:r w:rsidRPr="001D15C7">
        <w:rPr>
          <w:rFonts w:ascii="Times New Roman" w:eastAsia="Times New Roman" w:hAnsi="Times New Roman"/>
          <w:b/>
          <w:caps/>
          <w:lang w:val="lt-LT"/>
        </w:rPr>
        <w:t>ŽENKLINIMAS IR PAKUOTĖS LAPELIS</w:t>
      </w:r>
      <w:bookmarkEnd w:id="69"/>
      <w:bookmarkEnd w:id="70"/>
    </w:p>
    <w:p w14:paraId="781DB83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br w:type="page"/>
      </w:r>
    </w:p>
    <w:p w14:paraId="27308AD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C4A4B5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93A2E0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804134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F63D9F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4ACBBE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1B1868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282BB5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C58D6D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736A37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628D56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78FC8D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21842E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CAB81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04F19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3B61B2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C3BADE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88C87B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23F1B7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A0CC57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6FF88E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32A06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540CE5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2388C3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E66EA4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D365B4B" w14:textId="77777777" w:rsidR="00B932D0" w:rsidRPr="001D15C7" w:rsidRDefault="00B932D0" w:rsidP="00B932D0">
      <w:pPr>
        <w:tabs>
          <w:tab w:val="left" w:pos="0"/>
        </w:tabs>
        <w:spacing w:after="0" w:line="240" w:lineRule="auto"/>
        <w:jc w:val="center"/>
        <w:outlineLvl w:val="0"/>
        <w:rPr>
          <w:rFonts w:ascii="Times New Roman" w:eastAsia="Times New Roman" w:hAnsi="Times New Roman"/>
          <w:b/>
          <w:caps/>
          <w:lang w:val="lt-LT"/>
        </w:rPr>
      </w:pPr>
      <w:bookmarkStart w:id="71" w:name="_Toc129243261"/>
      <w:bookmarkStart w:id="72" w:name="_Toc129243136"/>
      <w:r w:rsidRPr="001D15C7">
        <w:rPr>
          <w:rFonts w:ascii="Times New Roman" w:eastAsia="Times New Roman" w:hAnsi="Times New Roman"/>
          <w:b/>
          <w:caps/>
          <w:lang w:val="lt-LT"/>
        </w:rPr>
        <w:t>A. ŽENKLINIMAS</w:t>
      </w:r>
      <w:bookmarkEnd w:id="71"/>
      <w:bookmarkEnd w:id="72"/>
    </w:p>
    <w:p w14:paraId="19591A4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br w:type="page"/>
      </w:r>
    </w:p>
    <w:p w14:paraId="0A50C01A"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lastRenderedPageBreak/>
        <w:t>INFORMACIJA ANT IŠORINĖS PAKUOTĖS</w:t>
      </w:r>
    </w:p>
    <w:p w14:paraId="56E6576C"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p>
    <w:p w14:paraId="5DB4A9FE"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rPr>
      </w:pPr>
      <w:r w:rsidRPr="001D15C7">
        <w:rPr>
          <w:rFonts w:ascii="Times New Roman" w:eastAsia="Times New Roman" w:hAnsi="Times New Roman"/>
          <w:b/>
          <w:noProof/>
          <w:lang w:val="lt-LT"/>
        </w:rPr>
        <w:t>KARTONINĖ ARBA PLASTIKINĖ DĖŽUTĖ</w:t>
      </w:r>
    </w:p>
    <w:p w14:paraId="76EA545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6B3142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F1907FD"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w:t>
      </w:r>
      <w:r w:rsidRPr="001D15C7">
        <w:rPr>
          <w:rFonts w:ascii="Times New Roman" w:eastAsia="Times New Roman" w:hAnsi="Times New Roman"/>
          <w:b/>
          <w:noProof/>
          <w:lang w:val="lt-LT"/>
        </w:rPr>
        <w:tab/>
        <w:t>VAISTINIO PREPARATO PAVADINIMAS</w:t>
      </w:r>
    </w:p>
    <w:p w14:paraId="2E545D5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58E745A"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400 mg dengtos tabletės</w:t>
      </w:r>
    </w:p>
    <w:p w14:paraId="3532BAC1" w14:textId="4E4783F6"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Ibuprofenas</w:t>
      </w:r>
    </w:p>
    <w:p w14:paraId="6346B0D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9FA46A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17435E8"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2.</w:t>
      </w:r>
      <w:r w:rsidRPr="001D15C7">
        <w:rPr>
          <w:rFonts w:ascii="Times New Roman" w:eastAsia="Times New Roman" w:hAnsi="Times New Roman"/>
          <w:b/>
          <w:noProof/>
          <w:lang w:val="lt-LT"/>
        </w:rPr>
        <w:tab/>
        <w:t>VEIKLIOJI MEDŽIAGA IR JOS KIEKIS</w:t>
      </w:r>
    </w:p>
    <w:p w14:paraId="6244A73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ED01A6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Vienoje tabletėje yra 400 mg ibuprofeno (natrio druskos dihidrato pavidalu).</w:t>
      </w:r>
    </w:p>
    <w:p w14:paraId="1092183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FB8E42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315A003" w14:textId="77777777" w:rsidR="00B932D0" w:rsidRPr="00BE3F2A"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1D15C7">
        <w:rPr>
          <w:rFonts w:ascii="Times New Roman" w:eastAsia="Times New Roman" w:hAnsi="Times New Roman"/>
          <w:b/>
          <w:noProof/>
          <w:lang w:val="lt-LT"/>
        </w:rPr>
        <w:t>3.</w:t>
      </w:r>
      <w:r w:rsidRPr="001D15C7">
        <w:rPr>
          <w:rFonts w:ascii="Times New Roman" w:eastAsia="Times New Roman" w:hAnsi="Times New Roman"/>
          <w:b/>
          <w:noProof/>
          <w:lang w:val="lt-LT"/>
        </w:rPr>
        <w:tab/>
        <w:t>PAGALBINIŲ MEDŽIAGŲ SĄRAŠAS</w:t>
      </w:r>
    </w:p>
    <w:p w14:paraId="6FA83F8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499C68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Sudėtyje yra natrio ir sacharozės.</w:t>
      </w:r>
    </w:p>
    <w:p w14:paraId="3A61371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8AC98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D6293B7"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4.</w:t>
      </w:r>
      <w:r w:rsidRPr="001D15C7">
        <w:rPr>
          <w:rFonts w:ascii="Times New Roman" w:eastAsia="Times New Roman" w:hAnsi="Times New Roman"/>
          <w:b/>
          <w:noProof/>
          <w:lang w:val="lt-LT"/>
        </w:rPr>
        <w:tab/>
        <w:t>FARMACINĖ FORMA IR KIEKIS PAKUOTĖJE</w:t>
      </w:r>
    </w:p>
    <w:p w14:paraId="79C9B27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9D14B8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12 dengtų tablečių</w:t>
      </w:r>
    </w:p>
    <w:p w14:paraId="7D4BB6C9" w14:textId="77777777" w:rsidR="00B932D0" w:rsidRPr="00BE3F2A" w:rsidRDefault="00B932D0" w:rsidP="00B932D0">
      <w:pPr>
        <w:tabs>
          <w:tab w:val="left" w:pos="0"/>
          <w:tab w:val="left" w:pos="360"/>
          <w:tab w:val="left" w:pos="720"/>
        </w:tabs>
        <w:spacing w:after="0" w:line="240" w:lineRule="auto"/>
        <w:rPr>
          <w:rFonts w:ascii="Times New Roman" w:eastAsia="Times New Roman" w:hAnsi="Times New Roman"/>
          <w:noProof/>
          <w:highlight w:val="lightGray"/>
          <w:lang w:val="lt-LT"/>
        </w:rPr>
      </w:pPr>
    </w:p>
    <w:p w14:paraId="5CB02C1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D974324" w14:textId="77777777" w:rsidR="00B932D0" w:rsidRPr="00BE3F2A"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1D15C7">
        <w:rPr>
          <w:rFonts w:ascii="Times New Roman" w:eastAsia="Times New Roman" w:hAnsi="Times New Roman"/>
          <w:b/>
          <w:noProof/>
          <w:lang w:val="lt-LT"/>
        </w:rPr>
        <w:t>5.</w:t>
      </w:r>
      <w:r w:rsidRPr="001D15C7">
        <w:rPr>
          <w:rFonts w:ascii="Times New Roman" w:eastAsia="Times New Roman" w:hAnsi="Times New Roman"/>
          <w:b/>
          <w:noProof/>
          <w:lang w:val="lt-LT"/>
        </w:rPr>
        <w:tab/>
        <w:t>VARTOJIMO METODAS IR BŪDAS (-AI)</w:t>
      </w:r>
    </w:p>
    <w:p w14:paraId="5EF7BA6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0B70B3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Vartoti per burną.</w:t>
      </w:r>
    </w:p>
    <w:p w14:paraId="6935F1E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Prieš vartojimą perskaitykite pakuotės lapelį.</w:t>
      </w:r>
    </w:p>
    <w:p w14:paraId="558D27B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33995A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32F49BC"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rPr>
      </w:pPr>
      <w:r w:rsidRPr="001D15C7">
        <w:rPr>
          <w:rFonts w:ascii="Times New Roman" w:eastAsia="Times New Roman" w:hAnsi="Times New Roman"/>
          <w:b/>
          <w:noProof/>
          <w:lang w:val="lt-LT"/>
        </w:rPr>
        <w:t>6.</w:t>
      </w:r>
      <w:r w:rsidRPr="001D15C7">
        <w:rPr>
          <w:rFonts w:ascii="Times New Roman" w:eastAsia="Times New Roman" w:hAnsi="Times New Roman"/>
          <w:b/>
          <w:noProof/>
          <w:lang w:val="lt-LT"/>
        </w:rPr>
        <w:tab/>
        <w:t>SPECIALUS ĮSPĖJIMAS, KAD VAISTINĮ PREPARATĄ BŪTINA LAIKYTI VAIKAMS NEPASTEBIMOJE IR NEPASIEKIAMOJE VIETOJE</w:t>
      </w:r>
    </w:p>
    <w:p w14:paraId="782CAD3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4FE74B1" w14:textId="77777777" w:rsidR="00B932D0" w:rsidRPr="001D15C7" w:rsidRDefault="00B932D0" w:rsidP="00B932D0">
      <w:pPr>
        <w:spacing w:after="0" w:line="240" w:lineRule="auto"/>
        <w:rPr>
          <w:rFonts w:ascii="Times New Roman" w:eastAsia="Times New Roman" w:hAnsi="Times New Roman"/>
          <w:sz w:val="24"/>
          <w:lang w:val="lt-LT"/>
        </w:rPr>
      </w:pPr>
      <w:r w:rsidRPr="001D15C7">
        <w:rPr>
          <w:rFonts w:ascii="Times New Roman" w:eastAsia="Times New Roman" w:hAnsi="Times New Roman"/>
          <w:sz w:val="24"/>
          <w:lang w:val="lt-LT"/>
        </w:rPr>
        <w:t xml:space="preserve">Laikyti vaikams </w:t>
      </w:r>
      <w:r w:rsidRPr="001D15C7">
        <w:rPr>
          <w:rFonts w:ascii="Times New Roman" w:eastAsia="Times New Roman" w:hAnsi="Times New Roman"/>
          <w:noProof/>
          <w:sz w:val="24"/>
          <w:lang w:val="lt-LT"/>
        </w:rPr>
        <w:t xml:space="preserve">nepastebimoje ir </w:t>
      </w:r>
      <w:r w:rsidRPr="001D15C7">
        <w:rPr>
          <w:rFonts w:ascii="Times New Roman" w:eastAsia="Times New Roman" w:hAnsi="Times New Roman"/>
          <w:sz w:val="24"/>
          <w:lang w:val="lt-LT"/>
        </w:rPr>
        <w:t>nepasiekiamoje vietoje.</w:t>
      </w:r>
    </w:p>
    <w:p w14:paraId="10CF966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6CA8B3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34ACE77" w14:textId="77777777" w:rsidR="00B932D0" w:rsidRPr="00BE3F2A"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1D15C7">
        <w:rPr>
          <w:rFonts w:ascii="Times New Roman" w:eastAsia="Times New Roman" w:hAnsi="Times New Roman"/>
          <w:b/>
          <w:noProof/>
          <w:lang w:val="lt-LT"/>
        </w:rPr>
        <w:t>7.</w:t>
      </w:r>
      <w:r w:rsidRPr="001D15C7">
        <w:rPr>
          <w:rFonts w:ascii="Times New Roman" w:eastAsia="Times New Roman" w:hAnsi="Times New Roman"/>
          <w:b/>
          <w:noProof/>
          <w:lang w:val="lt-LT"/>
        </w:rPr>
        <w:tab/>
        <w:t>KITAS (-I) SPECIALUS (-ŪS) ĮSPĖJIMAS (-AI) (JEI REIKIA)</w:t>
      </w:r>
    </w:p>
    <w:p w14:paraId="07DF61C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FB6F22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8737F81" w14:textId="77777777" w:rsidR="00B932D0" w:rsidRPr="00BE3F2A"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1D15C7">
        <w:rPr>
          <w:rFonts w:ascii="Times New Roman" w:eastAsia="Times New Roman" w:hAnsi="Times New Roman"/>
          <w:b/>
          <w:noProof/>
          <w:lang w:val="lt-LT"/>
        </w:rPr>
        <w:t>8.</w:t>
      </w:r>
      <w:r w:rsidRPr="001D15C7">
        <w:rPr>
          <w:rFonts w:ascii="Times New Roman" w:eastAsia="Times New Roman" w:hAnsi="Times New Roman"/>
          <w:b/>
          <w:noProof/>
          <w:lang w:val="lt-LT"/>
        </w:rPr>
        <w:tab/>
        <w:t>TINKAMUMO LAIKAS</w:t>
      </w:r>
    </w:p>
    <w:p w14:paraId="11EF557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5ADF199" w14:textId="77777777" w:rsidR="00B932D0" w:rsidRPr="001D15C7" w:rsidRDefault="00B932D0" w:rsidP="00B932D0">
      <w:pPr>
        <w:spacing w:after="0" w:line="240" w:lineRule="auto"/>
        <w:rPr>
          <w:rFonts w:ascii="Times New Roman" w:eastAsia="Times New Roman" w:hAnsi="Times New Roman"/>
          <w:sz w:val="24"/>
          <w:lang w:val="lt-LT"/>
        </w:rPr>
      </w:pPr>
      <w:r w:rsidRPr="001D15C7">
        <w:rPr>
          <w:rFonts w:ascii="Times New Roman" w:eastAsia="Times New Roman" w:hAnsi="Times New Roman"/>
          <w:sz w:val="24"/>
          <w:lang w:val="lt-LT"/>
        </w:rPr>
        <w:t>Tinka iki {mm MMMM}</w:t>
      </w:r>
    </w:p>
    <w:p w14:paraId="1D1A45B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3F21E4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A7F7F1A"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9.</w:t>
      </w:r>
      <w:r w:rsidRPr="001D15C7">
        <w:rPr>
          <w:rFonts w:ascii="Times New Roman" w:eastAsia="Times New Roman" w:hAnsi="Times New Roman"/>
          <w:b/>
          <w:noProof/>
          <w:lang w:val="lt-LT"/>
        </w:rPr>
        <w:tab/>
        <w:t>SPECIALIOS LAIKYMO SĄLYGOS</w:t>
      </w:r>
    </w:p>
    <w:p w14:paraId="183BD9F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B25CA8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3D83355"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rPr>
      </w:pPr>
      <w:r w:rsidRPr="001D15C7">
        <w:rPr>
          <w:rFonts w:ascii="Times New Roman" w:eastAsia="Times New Roman" w:hAnsi="Times New Roman"/>
          <w:b/>
          <w:noProof/>
          <w:lang w:val="lt-LT"/>
        </w:rPr>
        <w:lastRenderedPageBreak/>
        <w:t>10.</w:t>
      </w:r>
      <w:r w:rsidRPr="001D15C7">
        <w:rPr>
          <w:rFonts w:ascii="Times New Roman" w:eastAsia="Times New Roman" w:hAnsi="Times New Roman"/>
          <w:b/>
          <w:noProof/>
          <w:lang w:val="lt-LT"/>
        </w:rPr>
        <w:tab/>
        <w:t xml:space="preserve">SPECIALIOS ATSARGUMO PRIEMONĖS DĖL NESUVARTOTO </w:t>
      </w:r>
      <w:r w:rsidRPr="001D15C7">
        <w:rPr>
          <w:rFonts w:ascii="Times New Roman" w:eastAsia="Times New Roman" w:hAnsi="Times New Roman"/>
          <w:b/>
          <w:bCs/>
          <w:noProof/>
          <w:lang w:val="lt-LT"/>
        </w:rPr>
        <w:t xml:space="preserve">VAISTINIO PREPARATO AR JO ATLIEKŲ </w:t>
      </w:r>
      <w:r w:rsidRPr="001D15C7">
        <w:rPr>
          <w:rFonts w:ascii="Times New Roman" w:eastAsia="Times New Roman" w:hAnsi="Times New Roman"/>
          <w:b/>
          <w:noProof/>
          <w:lang w:val="lt-LT"/>
        </w:rPr>
        <w:t>TVARKYMO (JEI REIKIA)</w:t>
      </w:r>
    </w:p>
    <w:p w14:paraId="1835E88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26095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9410BF9"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11.</w:t>
      </w:r>
      <w:r w:rsidRPr="001D15C7">
        <w:rPr>
          <w:rFonts w:ascii="Times New Roman" w:eastAsia="Times New Roman" w:hAnsi="Times New Roman"/>
          <w:b/>
          <w:noProof/>
          <w:lang w:val="lt-LT"/>
        </w:rPr>
        <w:tab/>
        <w:t>REGISTRUOTOJO PAVADINIMAS IR ADRESAS</w:t>
      </w:r>
    </w:p>
    <w:p w14:paraId="0F75203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B6249EF"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Reckitt Benckiser (Poland) S.A. </w:t>
      </w:r>
    </w:p>
    <w:p w14:paraId="24BB08C7"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Ul. Okunin 1 </w:t>
      </w:r>
    </w:p>
    <w:p w14:paraId="364C818D"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05-100 Nowy Dwor Mazowiecki </w:t>
      </w:r>
    </w:p>
    <w:p w14:paraId="3012CE19"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Lenkija</w:t>
      </w:r>
    </w:p>
    <w:p w14:paraId="5C7960A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77EFDF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DE248F2"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12.</w:t>
      </w:r>
      <w:r w:rsidRPr="001D15C7">
        <w:rPr>
          <w:rFonts w:ascii="Times New Roman" w:eastAsia="Times New Roman" w:hAnsi="Times New Roman"/>
          <w:b/>
          <w:noProof/>
          <w:lang w:val="lt-LT"/>
        </w:rPr>
        <w:tab/>
        <w:t xml:space="preserve">REGISTRACIJOS PAŽYMĖJIMO NUMERIS </w:t>
      </w:r>
    </w:p>
    <w:p w14:paraId="0D153FB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338F94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LT/1/97/0271/023</w:t>
      </w:r>
    </w:p>
    <w:p w14:paraId="3BBF4D4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503FFF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57EDA60"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13.</w:t>
      </w:r>
      <w:r w:rsidRPr="001D15C7">
        <w:rPr>
          <w:rFonts w:ascii="Times New Roman" w:eastAsia="Times New Roman" w:hAnsi="Times New Roman"/>
          <w:b/>
          <w:noProof/>
          <w:lang w:val="lt-LT"/>
        </w:rPr>
        <w:tab/>
        <w:t>SERIJOS NUMERIS</w:t>
      </w:r>
    </w:p>
    <w:p w14:paraId="1E8C918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1B8D80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Serija</w:t>
      </w:r>
    </w:p>
    <w:p w14:paraId="7B43ECB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7DD0B7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60D85C1"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14.</w:t>
      </w:r>
      <w:r w:rsidRPr="001D15C7">
        <w:rPr>
          <w:rFonts w:ascii="Times New Roman" w:eastAsia="Times New Roman" w:hAnsi="Times New Roman"/>
          <w:b/>
          <w:noProof/>
          <w:lang w:val="lt-LT"/>
        </w:rPr>
        <w:tab/>
        <w:t>PARDAVIMO (IŠDAVIMO) TVARKA</w:t>
      </w:r>
    </w:p>
    <w:p w14:paraId="7FD13FD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98BD9C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Nereceptinis vaistas.</w:t>
      </w:r>
    </w:p>
    <w:p w14:paraId="252E6EB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159A6D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624977"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15.</w:t>
      </w:r>
      <w:r w:rsidRPr="001D15C7">
        <w:rPr>
          <w:rFonts w:ascii="Times New Roman" w:eastAsia="Times New Roman" w:hAnsi="Times New Roman"/>
          <w:b/>
          <w:noProof/>
          <w:lang w:val="lt-LT"/>
        </w:rPr>
        <w:tab/>
        <w:t>VARTOJIMO INSTRUKCIJA</w:t>
      </w:r>
    </w:p>
    <w:p w14:paraId="40A93F6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7F1802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vartojamas trumpalaikiam silpno ar vidutinio stiprumo galvos, dantų, raumenų, sąnarių, pirminės dismenorėjos sukelto skausmo malšinimui, karščiavimo mažinimui.</w:t>
      </w:r>
    </w:p>
    <w:p w14:paraId="46CDFAB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17E7D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Dozavimas ir vartojimo metodas</w:t>
      </w:r>
    </w:p>
    <w:p w14:paraId="1B260723"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i/>
          <w:lang w:val="lt-LT"/>
        </w:rPr>
        <w:t xml:space="preserve">Suaugusiems žmonėms ir vyresniems kaip 12 metų </w:t>
      </w:r>
      <w:r>
        <w:rPr>
          <w:rFonts w:ascii="Times New Roman" w:eastAsia="Times New Roman" w:hAnsi="Times New Roman"/>
          <w:i/>
          <w:lang w:val="lt-LT"/>
        </w:rPr>
        <w:t>paaugliams</w:t>
      </w:r>
      <w:r w:rsidRPr="001D15C7">
        <w:rPr>
          <w:rFonts w:ascii="Times New Roman" w:eastAsia="Times New Roman" w:hAnsi="Times New Roman"/>
          <w:i/>
          <w:lang w:val="lt-LT"/>
        </w:rPr>
        <w:t>:</w:t>
      </w:r>
      <w:r w:rsidRPr="001D15C7">
        <w:rPr>
          <w:rFonts w:ascii="Times New Roman" w:eastAsia="Times New Roman" w:hAnsi="Times New Roman"/>
          <w:lang w:val="lt-LT"/>
        </w:rPr>
        <w:t xml:space="preserve"> po 1 dengtą tabletę 3 kartus per parą vartojant kas 8 valandas. Neviršyti didžiausios paros dozės 1200 mg ibuprofeno (3 dengtų tablečių). </w:t>
      </w:r>
    </w:p>
    <w:p w14:paraId="1CEC9000" w14:textId="77777777" w:rsidR="00B932D0" w:rsidRPr="001D15C7" w:rsidRDefault="00B932D0" w:rsidP="00B932D0">
      <w:pPr>
        <w:spacing w:after="0" w:line="240" w:lineRule="auto"/>
        <w:rPr>
          <w:rFonts w:ascii="Times New Roman" w:eastAsia="Times New Roman" w:hAnsi="Times New Roman"/>
          <w:lang w:val="lt-LT"/>
        </w:rPr>
      </w:pPr>
    </w:p>
    <w:p w14:paraId="3A5D120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F88D7E8"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16.</w:t>
      </w:r>
      <w:r w:rsidRPr="001D15C7">
        <w:rPr>
          <w:rFonts w:ascii="Times New Roman" w:eastAsia="Times New Roman" w:hAnsi="Times New Roman"/>
          <w:b/>
          <w:noProof/>
          <w:lang w:val="lt-LT"/>
        </w:rPr>
        <w:tab/>
        <w:t>INFORMACIJA BRAILIO RAŠTU</w:t>
      </w:r>
    </w:p>
    <w:p w14:paraId="5FCF987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A18645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nurofen forte express </w:t>
      </w:r>
    </w:p>
    <w:p w14:paraId="54CD70E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87078CC" w14:textId="77777777" w:rsidR="00B932D0" w:rsidRPr="001D15C7" w:rsidRDefault="00B932D0" w:rsidP="00B932D0">
      <w:pPr>
        <w:spacing w:after="0" w:line="240" w:lineRule="auto"/>
        <w:rPr>
          <w:rFonts w:ascii="Times New Roman" w:eastAsia="Times New Roman" w:hAnsi="Times New Roman"/>
          <w:b/>
          <w:lang w:val="lt-LT" w:eastAsia="lt-LT"/>
        </w:rPr>
      </w:pPr>
    </w:p>
    <w:p w14:paraId="3DD71D20" w14:textId="77777777" w:rsidR="00B932D0" w:rsidRPr="002F3B5B" w:rsidRDefault="00B932D0" w:rsidP="00B932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2F3B5B">
        <w:rPr>
          <w:rFonts w:ascii="Times New Roman" w:hAnsi="Times New Roman"/>
          <w:b/>
          <w:lang w:val="lt-LT"/>
        </w:rPr>
        <w:t>17.</w:t>
      </w:r>
      <w:r w:rsidRPr="002F3B5B">
        <w:rPr>
          <w:rFonts w:ascii="Times New Roman" w:hAnsi="Times New Roman"/>
          <w:b/>
          <w:lang w:val="lt-LT"/>
        </w:rPr>
        <w:tab/>
        <w:t>UNIKALUS IDENTIFIKATORIUS – 2D BRŪKŠNINIS KODAS</w:t>
      </w:r>
    </w:p>
    <w:p w14:paraId="00852780" w14:textId="77777777" w:rsidR="00B932D0" w:rsidRPr="002F3B5B" w:rsidRDefault="00B932D0" w:rsidP="00B932D0">
      <w:pPr>
        <w:tabs>
          <w:tab w:val="left" w:pos="567"/>
        </w:tabs>
        <w:spacing w:after="0" w:line="260" w:lineRule="exact"/>
        <w:rPr>
          <w:rFonts w:ascii="Times New Roman" w:hAnsi="Times New Roman"/>
          <w:lang w:val="lt-LT"/>
        </w:rPr>
      </w:pPr>
    </w:p>
    <w:p w14:paraId="0F4908EF" w14:textId="77777777" w:rsidR="00B932D0" w:rsidRPr="002F3B5B" w:rsidRDefault="00B932D0" w:rsidP="00B932D0">
      <w:pPr>
        <w:spacing w:after="0"/>
        <w:rPr>
          <w:rFonts w:ascii="Times New Roman" w:hAnsi="Times New Roman"/>
          <w:highlight w:val="lightGray"/>
          <w:lang w:val="lt-LT"/>
        </w:rPr>
      </w:pPr>
      <w:r w:rsidRPr="002F3B5B">
        <w:rPr>
          <w:rFonts w:ascii="Times New Roman" w:hAnsi="Times New Roman"/>
          <w:highlight w:val="lightGray"/>
          <w:lang w:val="lt-LT"/>
        </w:rPr>
        <w:t xml:space="preserve">Duomenys nebūtini. </w:t>
      </w:r>
    </w:p>
    <w:p w14:paraId="7FE86B79" w14:textId="77777777" w:rsidR="00B932D0" w:rsidRPr="002F3B5B" w:rsidRDefault="00B932D0" w:rsidP="00B932D0">
      <w:pPr>
        <w:tabs>
          <w:tab w:val="left" w:pos="567"/>
        </w:tabs>
        <w:spacing w:after="0" w:line="260" w:lineRule="exact"/>
        <w:rPr>
          <w:rFonts w:ascii="Times New Roman" w:hAnsi="Times New Roman"/>
          <w:shd w:val="clear" w:color="auto" w:fill="CCCCCC"/>
          <w:lang w:val="lt-LT"/>
        </w:rPr>
      </w:pPr>
    </w:p>
    <w:p w14:paraId="12700492" w14:textId="77777777" w:rsidR="00B932D0" w:rsidRPr="002F3B5B" w:rsidRDefault="00B932D0" w:rsidP="00B932D0">
      <w:pPr>
        <w:tabs>
          <w:tab w:val="left" w:pos="567"/>
        </w:tabs>
        <w:spacing w:after="0" w:line="260" w:lineRule="exact"/>
        <w:rPr>
          <w:rFonts w:ascii="Times New Roman" w:hAnsi="Times New Roman"/>
          <w:lang w:val="lt-LT"/>
        </w:rPr>
      </w:pPr>
    </w:p>
    <w:p w14:paraId="6E6C1DCB" w14:textId="77777777" w:rsidR="00B932D0" w:rsidRPr="002F3B5B" w:rsidRDefault="00B932D0" w:rsidP="00B932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2F3B5B">
        <w:rPr>
          <w:rFonts w:ascii="Times New Roman" w:hAnsi="Times New Roman"/>
          <w:b/>
          <w:lang w:val="lt-LT"/>
        </w:rPr>
        <w:t>18.</w:t>
      </w:r>
      <w:r w:rsidRPr="002F3B5B">
        <w:rPr>
          <w:rFonts w:ascii="Times New Roman" w:hAnsi="Times New Roman"/>
          <w:b/>
          <w:lang w:val="lt-LT"/>
        </w:rPr>
        <w:tab/>
        <w:t>UNIKALUS IDENTIFIKATORIUS – ŽMONĖMS SUPRANTAMI DUOMENYS</w:t>
      </w:r>
    </w:p>
    <w:p w14:paraId="44BFDCE5" w14:textId="77777777" w:rsidR="00B932D0" w:rsidRPr="002F3B5B" w:rsidRDefault="00B932D0" w:rsidP="00B932D0">
      <w:pPr>
        <w:tabs>
          <w:tab w:val="left" w:pos="567"/>
        </w:tabs>
        <w:spacing w:after="0" w:line="260" w:lineRule="exact"/>
        <w:rPr>
          <w:rFonts w:ascii="Times New Roman" w:hAnsi="Times New Roman"/>
          <w:lang w:val="lt-LT"/>
        </w:rPr>
      </w:pPr>
    </w:p>
    <w:p w14:paraId="0F8A299E" w14:textId="77777777" w:rsidR="00B932D0" w:rsidRPr="002F3B5B" w:rsidRDefault="00B932D0" w:rsidP="00B932D0">
      <w:pPr>
        <w:spacing w:after="0"/>
        <w:rPr>
          <w:rFonts w:ascii="Times New Roman" w:hAnsi="Times New Roman"/>
          <w:highlight w:val="lightGray"/>
          <w:lang w:val="lt-LT"/>
        </w:rPr>
      </w:pPr>
      <w:r w:rsidRPr="002F3B5B">
        <w:rPr>
          <w:rFonts w:ascii="Times New Roman" w:hAnsi="Times New Roman"/>
          <w:highlight w:val="lightGray"/>
          <w:lang w:val="lt-LT"/>
        </w:rPr>
        <w:t xml:space="preserve">Duomenys nebūtini. </w:t>
      </w:r>
    </w:p>
    <w:p w14:paraId="426B3F81" w14:textId="77777777" w:rsidR="00B932D0" w:rsidRPr="002F3B5B" w:rsidRDefault="00B932D0" w:rsidP="00B932D0">
      <w:pPr>
        <w:tabs>
          <w:tab w:val="left" w:pos="567"/>
        </w:tabs>
        <w:spacing w:after="0" w:line="260" w:lineRule="exact"/>
        <w:rPr>
          <w:rFonts w:ascii="Times New Roman" w:hAnsi="Times New Roman"/>
          <w:lang w:val="lt-LT"/>
        </w:rPr>
      </w:pPr>
    </w:p>
    <w:p w14:paraId="27701F0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363A10C"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 xml:space="preserve">MINIMALI </w:t>
      </w:r>
      <w:r w:rsidRPr="001D15C7">
        <w:rPr>
          <w:rFonts w:ascii="Times New Roman" w:eastAsia="Times New Roman" w:hAnsi="Times New Roman"/>
          <w:b/>
          <w:caps/>
          <w:noProof/>
          <w:lang w:val="lt-LT"/>
        </w:rPr>
        <w:t xml:space="preserve">informacija ant </w:t>
      </w:r>
      <w:r w:rsidRPr="001D15C7">
        <w:rPr>
          <w:rFonts w:ascii="Times New Roman" w:eastAsia="Times New Roman" w:hAnsi="Times New Roman"/>
          <w:b/>
          <w:noProof/>
          <w:lang w:val="lt-LT"/>
        </w:rPr>
        <w:t>LIZDINIŲ PLOKŠTELIŲ ARBA DVISLUOKSNIŲ JUOSTELĖ</w:t>
      </w:r>
    </w:p>
    <w:p w14:paraId="7025F7BD"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p>
    <w:p w14:paraId="7B9DF834"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LIZDINĖ PLOKŠTELĖ</w:t>
      </w:r>
    </w:p>
    <w:p w14:paraId="7647EE7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094CDC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7A8520C"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1.</w:t>
      </w:r>
      <w:r w:rsidRPr="001D15C7">
        <w:rPr>
          <w:rFonts w:ascii="Times New Roman" w:eastAsia="Times New Roman" w:hAnsi="Times New Roman"/>
          <w:b/>
          <w:noProof/>
          <w:lang w:val="lt-LT"/>
        </w:rPr>
        <w:tab/>
        <w:t>VAISTINIO PREPARATO PAVADINIMAS</w:t>
      </w:r>
    </w:p>
    <w:p w14:paraId="7F6053A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D75F779"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400 mg dengtos tabletės</w:t>
      </w:r>
    </w:p>
    <w:p w14:paraId="76335C85" w14:textId="3DD56681"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Ibuprofenum</w:t>
      </w:r>
    </w:p>
    <w:p w14:paraId="202FC73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FA4FA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CE0512"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2.</w:t>
      </w:r>
      <w:r w:rsidRPr="001D15C7">
        <w:rPr>
          <w:rFonts w:ascii="Times New Roman" w:eastAsia="Times New Roman" w:hAnsi="Times New Roman"/>
          <w:b/>
          <w:noProof/>
          <w:lang w:val="lt-LT"/>
        </w:rPr>
        <w:tab/>
        <w:t>REGISTRUOTOJO PAVADINIMAS</w:t>
      </w:r>
    </w:p>
    <w:p w14:paraId="3EA549B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60B05CB"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Reckitt Benckiser (Poland) S.A. </w:t>
      </w:r>
    </w:p>
    <w:p w14:paraId="4FEA1BA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34C15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9EB2736"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3.</w:t>
      </w:r>
      <w:r w:rsidRPr="001D15C7">
        <w:rPr>
          <w:rFonts w:ascii="Times New Roman" w:eastAsia="Times New Roman" w:hAnsi="Times New Roman"/>
          <w:b/>
          <w:noProof/>
          <w:lang w:val="lt-LT"/>
        </w:rPr>
        <w:tab/>
        <w:t>TINKAMUMO LAIKAS</w:t>
      </w:r>
    </w:p>
    <w:p w14:paraId="4D4C2A5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E004E3F"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EXP {mm MMMM}</w:t>
      </w:r>
    </w:p>
    <w:p w14:paraId="6CC6CB8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7A278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64C004C"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1D15C7">
        <w:rPr>
          <w:rFonts w:ascii="Times New Roman" w:eastAsia="Times New Roman" w:hAnsi="Times New Roman"/>
          <w:b/>
          <w:noProof/>
          <w:lang w:val="lt-LT"/>
        </w:rPr>
        <w:t>4.</w:t>
      </w:r>
      <w:r w:rsidRPr="001D15C7">
        <w:rPr>
          <w:rFonts w:ascii="Times New Roman" w:eastAsia="Times New Roman" w:hAnsi="Times New Roman"/>
          <w:b/>
          <w:noProof/>
          <w:lang w:val="lt-LT"/>
        </w:rPr>
        <w:tab/>
        <w:t>SERIJOS NUMERIS</w:t>
      </w:r>
    </w:p>
    <w:p w14:paraId="0CB446A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B07C68A" w14:textId="77777777" w:rsidR="00B932D0" w:rsidRPr="001D15C7"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Lot</w:t>
      </w:r>
    </w:p>
    <w:p w14:paraId="745893B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527CFC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5B390B" w14:textId="77777777" w:rsidR="00B932D0" w:rsidRPr="001D15C7" w:rsidRDefault="00B932D0" w:rsidP="00B932D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1D15C7">
        <w:rPr>
          <w:rFonts w:ascii="Times New Roman" w:eastAsia="Times New Roman" w:hAnsi="Times New Roman"/>
          <w:b/>
          <w:lang w:val="lt-LT"/>
        </w:rPr>
        <w:t>5.</w:t>
      </w:r>
      <w:r w:rsidRPr="001D15C7">
        <w:rPr>
          <w:rFonts w:ascii="Times New Roman" w:eastAsia="Times New Roman" w:hAnsi="Times New Roman"/>
          <w:b/>
          <w:lang w:val="lt-LT"/>
        </w:rPr>
        <w:tab/>
        <w:t>KITA</w:t>
      </w:r>
    </w:p>
    <w:p w14:paraId="3DA851D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br w:type="page"/>
      </w:r>
    </w:p>
    <w:p w14:paraId="7D58355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C041A9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47CB24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CF1F3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AED2BE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7BA8CE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ABCF63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3DF2C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9974D4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C7D65B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B479D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3B3354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D0EB3A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80F4B5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DC90BA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4D0424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48C9F4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1C8153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E249A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B2F61E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3CADE0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8B3FAD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BAC186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431D828" w14:textId="77777777" w:rsidR="00B932D0" w:rsidRPr="002F3B5B" w:rsidRDefault="00B932D0" w:rsidP="00B932D0">
      <w:pPr>
        <w:tabs>
          <w:tab w:val="left" w:pos="0"/>
        </w:tabs>
        <w:spacing w:after="0" w:line="240" w:lineRule="auto"/>
        <w:jc w:val="center"/>
        <w:outlineLvl w:val="0"/>
        <w:rPr>
          <w:rFonts w:ascii="Times New Roman" w:eastAsia="Times New Roman" w:hAnsi="Times New Roman"/>
          <w:b/>
          <w:caps/>
          <w:lang w:val="lt-LT"/>
        </w:rPr>
      </w:pPr>
      <w:bookmarkStart w:id="73" w:name="_Toc129243137"/>
      <w:bookmarkStart w:id="74" w:name="_Toc129243262"/>
      <w:r w:rsidRPr="002F3B5B">
        <w:rPr>
          <w:rFonts w:ascii="Times New Roman" w:eastAsia="Times New Roman" w:hAnsi="Times New Roman"/>
          <w:b/>
          <w:caps/>
          <w:lang w:val="lt-LT"/>
        </w:rPr>
        <w:t>B. PAKUOTĖS LAPELIS</w:t>
      </w:r>
      <w:bookmarkEnd w:id="73"/>
      <w:bookmarkEnd w:id="74"/>
    </w:p>
    <w:p w14:paraId="073E1FBF" w14:textId="77777777" w:rsidR="00B932D0" w:rsidRPr="00BE3F2A" w:rsidRDefault="00B932D0" w:rsidP="00B932D0">
      <w:pPr>
        <w:keepNext/>
        <w:keepLines/>
        <w:spacing w:after="0" w:line="240" w:lineRule="auto"/>
        <w:jc w:val="center"/>
        <w:outlineLvl w:val="1"/>
        <w:rPr>
          <w:rFonts w:ascii="Times New Roman" w:eastAsia="Times New Roman" w:hAnsi="Times New Roman"/>
          <w:b/>
          <w:bCs/>
          <w:lang w:val="lt-LT"/>
        </w:rPr>
      </w:pPr>
      <w:r w:rsidRPr="00BE3F2A">
        <w:rPr>
          <w:rFonts w:ascii="Times New Roman" w:eastAsia="Times New Roman" w:hAnsi="Times New Roman"/>
          <w:b/>
          <w:bCs/>
          <w:lang w:val="lt-LT"/>
        </w:rPr>
        <w:br w:type="page"/>
      </w:r>
      <w:bookmarkStart w:id="75" w:name="_Toc129243138"/>
      <w:bookmarkStart w:id="76" w:name="_Toc129243263"/>
      <w:r w:rsidRPr="00BE3F2A">
        <w:rPr>
          <w:rFonts w:ascii="Times New Roman" w:eastAsia="Times New Roman" w:hAnsi="Times New Roman"/>
          <w:b/>
          <w:bCs/>
          <w:lang w:val="lt-LT"/>
        </w:rPr>
        <w:lastRenderedPageBreak/>
        <w:t>Pakuotės lapelis:</w:t>
      </w:r>
      <w:r w:rsidRPr="00BE3F2A">
        <w:rPr>
          <w:rFonts w:ascii="Times New Roman" w:eastAsia="Times New Roman" w:hAnsi="Times New Roman"/>
          <w:b/>
          <w:iCs/>
          <w:lang w:val="lt-LT"/>
        </w:rPr>
        <w:t xml:space="preserve"> </w:t>
      </w:r>
      <w:r w:rsidRPr="00BE3F2A">
        <w:rPr>
          <w:rFonts w:ascii="Times New Roman" w:eastAsia="Times New Roman" w:hAnsi="Times New Roman"/>
          <w:b/>
          <w:bCs/>
          <w:lang w:val="lt-LT"/>
        </w:rPr>
        <w:t>informacija vartotojui</w:t>
      </w:r>
    </w:p>
    <w:bookmarkEnd w:id="75"/>
    <w:bookmarkEnd w:id="76"/>
    <w:p w14:paraId="7554921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876576C" w14:textId="77777777" w:rsidR="00B932D0" w:rsidRPr="001D15C7" w:rsidRDefault="00B932D0" w:rsidP="00B932D0">
      <w:pPr>
        <w:spacing w:after="0" w:line="240" w:lineRule="auto"/>
        <w:jc w:val="center"/>
        <w:rPr>
          <w:rFonts w:ascii="Times New Roman" w:eastAsia="Times New Roman" w:hAnsi="Times New Roman"/>
          <w:b/>
          <w:lang w:val="lt-LT"/>
        </w:rPr>
      </w:pPr>
      <w:r w:rsidRPr="001D15C7">
        <w:rPr>
          <w:rFonts w:ascii="Times New Roman" w:eastAsia="Times New Roman" w:hAnsi="Times New Roman"/>
          <w:b/>
          <w:lang w:val="lt-LT"/>
        </w:rPr>
        <w:t>NUROFEN FORTE EXPRESS</w:t>
      </w:r>
      <w:r w:rsidRPr="001D15C7">
        <w:rPr>
          <w:rFonts w:ascii="Times New Roman" w:eastAsia="Times New Roman" w:hAnsi="Times New Roman"/>
          <w:lang w:val="lt-LT"/>
        </w:rPr>
        <w:t xml:space="preserve"> </w:t>
      </w:r>
      <w:r w:rsidRPr="001D15C7">
        <w:rPr>
          <w:rFonts w:ascii="Times New Roman" w:eastAsia="Times New Roman" w:hAnsi="Times New Roman"/>
          <w:b/>
          <w:lang w:val="lt-LT"/>
        </w:rPr>
        <w:t>400 mg dengtos tabletės</w:t>
      </w:r>
    </w:p>
    <w:p w14:paraId="2B71556D" w14:textId="1575FA6E" w:rsidR="00B932D0" w:rsidRPr="001D15C7" w:rsidRDefault="00610E40" w:rsidP="00B932D0">
      <w:pPr>
        <w:tabs>
          <w:tab w:val="left" w:pos="0"/>
          <w:tab w:val="left" w:pos="360"/>
          <w:tab w:val="left" w:pos="720"/>
        </w:tabs>
        <w:spacing w:after="0" w:line="240" w:lineRule="auto"/>
        <w:jc w:val="center"/>
        <w:rPr>
          <w:rFonts w:ascii="Times New Roman" w:eastAsia="Times New Roman" w:hAnsi="Times New Roman"/>
          <w:noProof/>
          <w:lang w:val="lt-LT"/>
        </w:rPr>
      </w:pPr>
      <w:r>
        <w:rPr>
          <w:rFonts w:ascii="Times New Roman" w:eastAsia="Times New Roman" w:hAnsi="Times New Roman"/>
          <w:noProof/>
          <w:lang w:val="lt-LT"/>
        </w:rPr>
        <w:t>i</w:t>
      </w:r>
      <w:r w:rsidR="00B932D0" w:rsidRPr="001D15C7">
        <w:rPr>
          <w:rFonts w:ascii="Times New Roman" w:eastAsia="Times New Roman" w:hAnsi="Times New Roman"/>
          <w:noProof/>
          <w:lang w:val="lt-LT"/>
        </w:rPr>
        <w:t>buprofenas</w:t>
      </w:r>
    </w:p>
    <w:p w14:paraId="722826C7" w14:textId="77777777" w:rsidR="00B932D0" w:rsidRPr="001D15C7" w:rsidRDefault="00B932D0" w:rsidP="00B932D0">
      <w:pPr>
        <w:tabs>
          <w:tab w:val="left" w:pos="0"/>
          <w:tab w:val="left" w:pos="360"/>
          <w:tab w:val="left" w:pos="720"/>
        </w:tabs>
        <w:spacing w:after="0" w:line="240" w:lineRule="auto"/>
        <w:jc w:val="center"/>
        <w:rPr>
          <w:rFonts w:ascii="Times New Roman" w:eastAsia="Times New Roman" w:hAnsi="Times New Roman"/>
          <w:noProof/>
          <w:lang w:val="lt-LT"/>
        </w:rPr>
      </w:pPr>
    </w:p>
    <w:p w14:paraId="096482D4" w14:textId="77777777" w:rsidR="00B932D0" w:rsidRPr="001D15C7" w:rsidRDefault="00B932D0" w:rsidP="00B932D0">
      <w:pPr>
        <w:numPr>
          <w:ilvl w:val="12"/>
          <w:numId w:val="0"/>
        </w:numPr>
        <w:spacing w:after="0" w:line="240" w:lineRule="auto"/>
        <w:ind w:right="-2"/>
        <w:rPr>
          <w:rFonts w:ascii="Times New Roman" w:eastAsia="Times New Roman" w:hAnsi="Times New Roman"/>
          <w:b/>
          <w:lang w:val="lt-LT"/>
        </w:rPr>
      </w:pPr>
      <w:r w:rsidRPr="001D15C7">
        <w:rPr>
          <w:rFonts w:ascii="Times New Roman" w:eastAsia="Times New Roman" w:hAnsi="Times New Roman"/>
          <w:b/>
          <w:noProof/>
          <w:lang w:val="lt-LT"/>
        </w:rPr>
        <w:t>Atidžiai perskaitykite visą šį lapelį, prieš pradėdami vartoti šį vaistą, nes jame pateikiama Jums svarbi informacija.</w:t>
      </w:r>
    </w:p>
    <w:p w14:paraId="6FFBAD18" w14:textId="77777777" w:rsidR="00B932D0" w:rsidRPr="001D15C7" w:rsidRDefault="00B932D0" w:rsidP="00B932D0">
      <w:pPr>
        <w:numPr>
          <w:ilvl w:val="12"/>
          <w:numId w:val="0"/>
        </w:num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Visada vartokite šį vaistą tiksliai kaip aprašyta šiame lapelyje arba kaip nurodė gydytojas arba vaistininkas.</w:t>
      </w:r>
    </w:p>
    <w:p w14:paraId="252C66C2" w14:textId="77777777" w:rsidR="00B932D0" w:rsidRPr="001D15C7" w:rsidRDefault="00B932D0" w:rsidP="00B932D0">
      <w:pPr>
        <w:numPr>
          <w:ilvl w:val="0"/>
          <w:numId w:val="4"/>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Neišmeskite šio lapelio, nes vėl gali prireikti jį perskaityti.</w:t>
      </w:r>
      <w:r w:rsidRPr="001D15C7">
        <w:rPr>
          <w:rFonts w:ascii="Times New Roman" w:eastAsia="Times New Roman" w:hAnsi="Times New Roman"/>
          <w:lang w:val="lt-LT"/>
        </w:rPr>
        <w:t xml:space="preserve"> </w:t>
      </w:r>
    </w:p>
    <w:p w14:paraId="336EEFD4" w14:textId="77777777" w:rsidR="00B932D0" w:rsidRPr="001D15C7" w:rsidRDefault="00B932D0" w:rsidP="00B932D0">
      <w:pPr>
        <w:numPr>
          <w:ilvl w:val="0"/>
          <w:numId w:val="4"/>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Jeigu norite sužinoti daugiau arba pasitarti, kreipkitės į vaistininką.</w:t>
      </w:r>
    </w:p>
    <w:p w14:paraId="41F35934" w14:textId="77777777" w:rsidR="00B932D0" w:rsidRPr="001D15C7" w:rsidRDefault="00B932D0" w:rsidP="00B932D0">
      <w:pPr>
        <w:numPr>
          <w:ilvl w:val="0"/>
          <w:numId w:val="4"/>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 xml:space="preserve">Jeigu pasireiškė šalutinis poveikis (net jeigu jis šiame lapelyje </w:t>
      </w:r>
      <w:r w:rsidRPr="001D15C7">
        <w:rPr>
          <w:rFonts w:ascii="Times New Roman" w:eastAsia="Times New Roman" w:hAnsi="Times New Roman"/>
          <w:noProof/>
          <w:lang w:val="lt-LT"/>
        </w:rPr>
        <w:t>nenurodytas), kreipkitės į gydytoją</w:t>
      </w:r>
      <w:r w:rsidRPr="001D15C7">
        <w:rPr>
          <w:rFonts w:ascii="Times New Roman" w:eastAsia="Times New Roman" w:hAnsi="Times New Roman"/>
          <w:lang w:val="lt-LT"/>
        </w:rPr>
        <w:t xml:space="preserve"> arba </w:t>
      </w:r>
      <w:r w:rsidRPr="001D15C7">
        <w:rPr>
          <w:rFonts w:ascii="Times New Roman" w:eastAsia="Times New Roman" w:hAnsi="Times New Roman"/>
          <w:noProof/>
          <w:lang w:val="lt-LT"/>
        </w:rPr>
        <w:t>vaistininką. Žr. 4 skyrių</w:t>
      </w:r>
      <w:r w:rsidRPr="001D15C7">
        <w:rPr>
          <w:rFonts w:ascii="Times New Roman" w:eastAsia="Times New Roman" w:hAnsi="Times New Roman"/>
          <w:lang w:val="lt-LT"/>
        </w:rPr>
        <w:t>.</w:t>
      </w:r>
    </w:p>
    <w:p w14:paraId="2FB1FAC8" w14:textId="77777777" w:rsidR="00B932D0" w:rsidRPr="001D15C7" w:rsidRDefault="00B932D0" w:rsidP="00B932D0">
      <w:pPr>
        <w:numPr>
          <w:ilvl w:val="0"/>
          <w:numId w:val="4"/>
        </w:numPr>
        <w:tabs>
          <w:tab w:val="left" w:pos="567"/>
        </w:tabs>
        <w:spacing w:after="0" w:line="240" w:lineRule="auto"/>
        <w:ind w:left="567" w:hanging="567"/>
        <w:rPr>
          <w:rFonts w:ascii="Times New Roman" w:eastAsia="Times New Roman" w:hAnsi="Times New Roman"/>
          <w:lang w:val="lt-LT"/>
        </w:rPr>
      </w:pPr>
      <w:r w:rsidRPr="001D15C7">
        <w:rPr>
          <w:rFonts w:ascii="Times New Roman" w:eastAsia="Times New Roman" w:hAnsi="Times New Roman"/>
          <w:noProof/>
          <w:lang w:val="lt-LT"/>
        </w:rPr>
        <w:t>Jeigu per 3 dienas Jūsų savijauta nepagerėjo arba net pablogėjo, kreipkitės į gydytoją.</w:t>
      </w:r>
    </w:p>
    <w:p w14:paraId="59EE8AC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F4F7A2B" w14:textId="77777777" w:rsidR="00B932D0" w:rsidRPr="00BE3F2A" w:rsidRDefault="00B932D0" w:rsidP="00B932D0">
      <w:pPr>
        <w:keepNext/>
        <w:spacing w:after="0" w:line="240" w:lineRule="auto"/>
        <w:outlineLvl w:val="3"/>
        <w:rPr>
          <w:rFonts w:ascii="Times New Roman" w:eastAsia="Times New Roman" w:hAnsi="Times New Roman"/>
          <w:b/>
          <w:bCs/>
          <w:lang w:val="lt-LT"/>
        </w:rPr>
      </w:pPr>
      <w:r w:rsidRPr="00BE3F2A">
        <w:rPr>
          <w:rFonts w:ascii="Times New Roman" w:eastAsia="Times New Roman" w:hAnsi="Times New Roman"/>
          <w:b/>
          <w:bCs/>
          <w:lang w:val="lt-LT"/>
        </w:rPr>
        <w:t>Apie ką rašoma šiame lapelyje?</w:t>
      </w:r>
    </w:p>
    <w:p w14:paraId="170E9718" w14:textId="77777777" w:rsidR="00B932D0" w:rsidRPr="00BE3F2A" w:rsidRDefault="00B932D0" w:rsidP="00B932D0">
      <w:pPr>
        <w:keepNext/>
        <w:spacing w:after="0" w:line="240" w:lineRule="auto"/>
        <w:outlineLvl w:val="3"/>
        <w:rPr>
          <w:rFonts w:ascii="Times New Roman" w:eastAsia="Times New Roman" w:hAnsi="Times New Roman"/>
          <w:b/>
          <w:bCs/>
          <w:lang w:val="lt-LT"/>
        </w:rPr>
      </w:pPr>
    </w:p>
    <w:p w14:paraId="25C7348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1.           Kas yra NUROFEN FORTE EXPRESS ir kam jis vartojamas</w:t>
      </w:r>
    </w:p>
    <w:p w14:paraId="663723D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2.           Kas žinotina prieš vartojant NUROFEN FORTE EXPRESS </w:t>
      </w:r>
    </w:p>
    <w:p w14:paraId="6C65DDA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3.           Kaip vartoti NUROFEN FORTE EXPRESS </w:t>
      </w:r>
    </w:p>
    <w:p w14:paraId="1AF5D3A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4.           Galimas šalutinis poveikis</w:t>
      </w:r>
    </w:p>
    <w:p w14:paraId="63C62C5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5.           Kaip laikyti NUROFEN FORTE EXPRESS </w:t>
      </w:r>
    </w:p>
    <w:p w14:paraId="44A03B6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6.           Pakuotės turinys ir kita informacija</w:t>
      </w:r>
    </w:p>
    <w:p w14:paraId="5212EB6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ADDAF3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598119E"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77" w:name="_Toc129243139"/>
      <w:bookmarkStart w:id="78" w:name="_Toc129243264"/>
      <w:r w:rsidRPr="001D15C7">
        <w:rPr>
          <w:rFonts w:ascii="Times New Roman" w:eastAsia="Times New Roman" w:hAnsi="Times New Roman"/>
          <w:b/>
          <w:lang w:val="lt-LT"/>
        </w:rPr>
        <w:t>1.</w:t>
      </w:r>
      <w:r w:rsidRPr="001D15C7">
        <w:rPr>
          <w:rFonts w:ascii="Times New Roman" w:eastAsia="Times New Roman" w:hAnsi="Times New Roman"/>
          <w:b/>
          <w:lang w:val="lt-LT"/>
        </w:rPr>
        <w:tab/>
        <w:t>Kas yra NUROFEN FORTE EXPRESS ir kam jis vartojamas</w:t>
      </w:r>
      <w:bookmarkEnd w:id="77"/>
      <w:bookmarkEnd w:id="78"/>
    </w:p>
    <w:p w14:paraId="15E8DA8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1437C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tablečių sudėtyje yra veikliosios medžiagos ibuprofeno, priklausančio nesteroidinių vaistų nuo uždegimo grupei. Ibuprofenas malšina uždegimo sukeltą skausmą, patinimą ir karščiavimą.</w:t>
      </w:r>
    </w:p>
    <w:p w14:paraId="1FAB77E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tabletės vartojamas trumpalaikiam silpno ar vidutinio stiprumo  galvos, dantų, raumenų, sąnarių, pirminės dismenorėjos sukelto skausmo malšinimui, karščiavimo mažinimui.</w:t>
      </w:r>
    </w:p>
    <w:p w14:paraId="10238069" w14:textId="77777777" w:rsidR="00B932D0" w:rsidRPr="001D15C7" w:rsidRDefault="00B932D0" w:rsidP="00B932D0">
      <w:pPr>
        <w:tabs>
          <w:tab w:val="left" w:pos="567"/>
        </w:tabs>
        <w:spacing w:after="0" w:line="240" w:lineRule="auto"/>
        <w:rPr>
          <w:rFonts w:ascii="Times New Roman" w:hAnsi="Times New Roman"/>
          <w:lang w:val="lt-LT"/>
        </w:rPr>
      </w:pPr>
      <w:r w:rsidRPr="001D15C7">
        <w:rPr>
          <w:rFonts w:ascii="Times New Roman" w:hAnsi="Times New Roman"/>
          <w:noProof/>
          <w:szCs w:val="24"/>
          <w:lang w:val="lt-LT"/>
        </w:rPr>
        <w:t>Jeigu per 3 dienas Jūsų savijauta nepagerėjo arba net pablogėjo, kreipkitės į gydytoją.</w:t>
      </w:r>
    </w:p>
    <w:p w14:paraId="3D01E50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CBD2AA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01AC121"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79" w:name="_Toc129243140"/>
      <w:bookmarkStart w:id="80" w:name="_Toc129243265"/>
      <w:r w:rsidRPr="001D15C7">
        <w:rPr>
          <w:rFonts w:ascii="Times New Roman" w:eastAsia="Times New Roman" w:hAnsi="Times New Roman"/>
          <w:b/>
          <w:lang w:val="lt-LT"/>
        </w:rPr>
        <w:t>2.</w:t>
      </w:r>
      <w:r w:rsidRPr="001D15C7">
        <w:rPr>
          <w:rFonts w:ascii="Times New Roman" w:eastAsia="Times New Roman" w:hAnsi="Times New Roman"/>
          <w:b/>
          <w:lang w:val="lt-LT"/>
        </w:rPr>
        <w:tab/>
        <w:t xml:space="preserve">Kas žinotina prieš vartojant  </w:t>
      </w:r>
      <w:bookmarkEnd w:id="79"/>
      <w:bookmarkEnd w:id="80"/>
      <w:r w:rsidRPr="001D15C7">
        <w:rPr>
          <w:rFonts w:ascii="Times New Roman" w:eastAsia="Times New Roman" w:hAnsi="Times New Roman"/>
          <w:b/>
          <w:lang w:val="lt-LT"/>
        </w:rPr>
        <w:t>NUROFEN FORTE EXPRESS</w:t>
      </w:r>
    </w:p>
    <w:p w14:paraId="2D6FF51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B1B497B" w14:textId="6A151417" w:rsidR="00B932D0" w:rsidRPr="001D15C7" w:rsidRDefault="00B932D0" w:rsidP="00B932D0">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 xml:space="preserve">NUROFEN FORTE EXPRESS vartoti </w:t>
      </w:r>
      <w:r w:rsidR="001C2542">
        <w:rPr>
          <w:rFonts w:ascii="Times New Roman" w:eastAsia="Times New Roman" w:hAnsi="Times New Roman"/>
          <w:b/>
          <w:bCs/>
          <w:lang w:val="lt-LT"/>
        </w:rPr>
        <w:t>draudžiama</w:t>
      </w:r>
      <w:r w:rsidRPr="001D15C7">
        <w:rPr>
          <w:rFonts w:ascii="Times New Roman" w:eastAsia="Times New Roman" w:hAnsi="Times New Roman"/>
          <w:b/>
          <w:bCs/>
          <w:lang w:val="lt-LT"/>
        </w:rPr>
        <w:t>:</w:t>
      </w:r>
    </w:p>
    <w:p w14:paraId="20DEB566"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jeigu yra alergija </w:t>
      </w:r>
      <w:r>
        <w:rPr>
          <w:rFonts w:ascii="Times New Roman" w:eastAsia="Times New Roman" w:hAnsi="Times New Roman"/>
          <w:noProof/>
          <w:lang w:val="lt-LT"/>
        </w:rPr>
        <w:t>veikliajai</w:t>
      </w:r>
      <w:r w:rsidRPr="001D15C7">
        <w:rPr>
          <w:rFonts w:ascii="Times New Roman" w:eastAsia="Times New Roman" w:hAnsi="Times New Roman"/>
          <w:noProof/>
          <w:lang w:val="lt-LT"/>
        </w:rPr>
        <w:t xml:space="preserve"> arba bet kuriai pagalbinei šio vaisto medžiagai (jos išvardytos 6 skyriuje);</w:t>
      </w:r>
    </w:p>
    <w:p w14:paraId="1AE1C8FF"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 praeityje yra buvę padidėjusio jautrumo reakcijų (astma, rinitas, angioneurozinis pabrinkimas, dilgėlinė) vartojant kitą nesteroidinį vaistą nuo uždegimo (NVNU), įskaitant ir acetilsalicilo rūgšties darinius; </w:t>
      </w:r>
    </w:p>
    <w:p w14:paraId="62E8A84A"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kepenų nepakankamumas;</w:t>
      </w:r>
    </w:p>
    <w:p w14:paraId="128D0DEE"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inkstų nepakankamumas;</w:t>
      </w:r>
    </w:p>
    <w:p w14:paraId="485C1E48"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jeigu yra sunkus širdies nepakankamumas;</w:t>
      </w:r>
    </w:p>
    <w:p w14:paraId="11027A30"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paskutinių trijų nėštumo mėnesių laikotarpiu;</w:t>
      </w:r>
    </w:p>
    <w:p w14:paraId="27164899"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 yra ar buvo pepsinė opa (du ar daugiau atskirų įrodytų išopėjimo ar kraujavimo epizodų);</w:t>
      </w:r>
    </w:p>
    <w:p w14:paraId="1CEBE229"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 xml:space="preserve">jei buvo kraujavimas iš virškinimo trakto ar jo prakiurimas susijęs su ankstesniu NVNU vartojimu; </w:t>
      </w:r>
    </w:p>
    <w:p w14:paraId="20500ACD" w14:textId="77777777" w:rsidR="00B932D0" w:rsidRPr="001D15C7" w:rsidRDefault="00B932D0" w:rsidP="00B932D0">
      <w:pPr>
        <w:spacing w:after="0" w:line="240" w:lineRule="auto"/>
        <w:ind w:left="567" w:hanging="567"/>
        <w:rPr>
          <w:rFonts w:ascii="Times New Roman" w:eastAsia="Times New Roman" w:hAnsi="Times New Roman"/>
          <w:noProof/>
          <w:lang w:val="lt-LT"/>
        </w:rPr>
      </w:pPr>
      <w:r w:rsidRPr="001D15C7">
        <w:rPr>
          <w:rFonts w:ascii="Times New Roman" w:eastAsia="Times New Roman" w:hAnsi="Times New Roman"/>
          <w:noProof/>
          <w:lang w:val="lt-LT"/>
        </w:rPr>
        <w:t>-</w:t>
      </w:r>
      <w:r w:rsidRPr="001D15C7">
        <w:rPr>
          <w:rFonts w:ascii="Times New Roman" w:eastAsia="Times New Roman" w:hAnsi="Times New Roman"/>
          <w:noProof/>
          <w:lang w:val="lt-LT"/>
        </w:rPr>
        <w:tab/>
        <w:t>jei yra kraujavimas į smegenis, virškinimo traktą arba kitoks kraujavimas.</w:t>
      </w:r>
    </w:p>
    <w:p w14:paraId="39BB0E06" w14:textId="77777777" w:rsidR="00B932D0" w:rsidRPr="001D15C7" w:rsidRDefault="00B932D0" w:rsidP="00B932D0">
      <w:pPr>
        <w:spacing w:after="0" w:line="240" w:lineRule="auto"/>
        <w:ind w:left="567" w:hanging="567"/>
        <w:rPr>
          <w:rFonts w:ascii="Times New Roman" w:eastAsia="Times New Roman" w:hAnsi="Times New Roman"/>
          <w:noProof/>
          <w:lang w:val="lt-LT"/>
        </w:rPr>
      </w:pPr>
    </w:p>
    <w:p w14:paraId="5815D4D2" w14:textId="77777777" w:rsidR="00B932D0" w:rsidRPr="00BE3F2A" w:rsidRDefault="00B932D0" w:rsidP="00B932D0">
      <w:pPr>
        <w:keepNext/>
        <w:spacing w:after="60" w:line="240" w:lineRule="auto"/>
        <w:outlineLvl w:val="3"/>
        <w:rPr>
          <w:rFonts w:ascii="Times New Roman" w:eastAsia="Times New Roman" w:hAnsi="Times New Roman"/>
          <w:b/>
          <w:bCs/>
          <w:lang w:val="lt-LT"/>
        </w:rPr>
      </w:pPr>
      <w:r w:rsidRPr="00BE3F2A">
        <w:rPr>
          <w:rFonts w:ascii="Times New Roman" w:eastAsia="Times New Roman" w:hAnsi="Times New Roman"/>
          <w:b/>
          <w:bCs/>
          <w:lang w:val="lt-LT"/>
        </w:rPr>
        <w:t xml:space="preserve">Įspėjimai ir atsargumo priemonės </w:t>
      </w:r>
    </w:p>
    <w:p w14:paraId="5892518E" w14:textId="77777777" w:rsidR="00B932D0" w:rsidRPr="001D15C7" w:rsidRDefault="00B932D0" w:rsidP="00B932D0">
      <w:pPr>
        <w:numPr>
          <w:ilvl w:val="12"/>
          <w:numId w:val="0"/>
        </w:numPr>
        <w:spacing w:after="0" w:line="240" w:lineRule="auto"/>
        <w:ind w:right="-2"/>
        <w:rPr>
          <w:rFonts w:ascii="Times New Roman" w:eastAsia="Times New Roman" w:hAnsi="Times New Roman"/>
          <w:noProof/>
          <w:lang w:val="lt-LT"/>
        </w:rPr>
      </w:pPr>
      <w:r w:rsidRPr="001D15C7">
        <w:rPr>
          <w:rFonts w:ascii="Times New Roman" w:eastAsia="Times New Roman" w:hAnsi="Times New Roman"/>
          <w:noProof/>
          <w:lang w:val="lt-LT"/>
        </w:rPr>
        <w:t>Pasitarkite su gydytoju arba vaistininku, prieš pradėdami vartoti NUROFEN FORTE EXPRESS.</w:t>
      </w:r>
    </w:p>
    <w:p w14:paraId="004FA98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lastRenderedPageBreak/>
        <w:t>Nepageidaujamas poveikis gali sumažėti, vartojant mažiausią veiksmingą vaisto dozę trumpiausią laiką, būtiną simptomų kontrolei.</w:t>
      </w:r>
    </w:p>
    <w:p w14:paraId="0B284E75" w14:textId="77777777" w:rsidR="00B932D0" w:rsidRPr="001D15C7" w:rsidRDefault="00B932D0" w:rsidP="00B932D0">
      <w:pPr>
        <w:spacing w:after="0" w:line="240" w:lineRule="auto"/>
        <w:rPr>
          <w:rFonts w:ascii="Times New Roman" w:eastAsia="Times New Roman" w:hAnsi="Times New Roman"/>
          <w:i/>
          <w:lang w:val="lt-LT"/>
        </w:rPr>
      </w:pPr>
    </w:p>
    <w:p w14:paraId="245695E1" w14:textId="77777777" w:rsidR="00B932D0" w:rsidRPr="001D15C7" w:rsidRDefault="00B932D0" w:rsidP="00B932D0">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Senyvi pacientai</w:t>
      </w:r>
    </w:p>
    <w:p w14:paraId="28C0A38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Senyviems pacientams yra didesnis NVNU sunkaus nepageidaujamo poveikio pavojus, ypač virškinimo trakto kraujavimas ar prakiurimas, kurie gali būti mirtini. </w:t>
      </w:r>
    </w:p>
    <w:p w14:paraId="014D8776" w14:textId="77777777" w:rsidR="00B932D0" w:rsidRPr="001D15C7" w:rsidRDefault="00B932D0" w:rsidP="00B932D0">
      <w:pPr>
        <w:spacing w:after="0" w:line="240" w:lineRule="auto"/>
        <w:rPr>
          <w:rFonts w:ascii="Times New Roman" w:eastAsia="Times New Roman" w:hAnsi="Times New Roman"/>
          <w:lang w:val="lt-LT"/>
        </w:rPr>
      </w:pPr>
    </w:p>
    <w:p w14:paraId="165271CE" w14:textId="77777777" w:rsidR="00B932D0" w:rsidRPr="001D15C7" w:rsidRDefault="00B932D0" w:rsidP="00B932D0">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Poveikis kvėpavimo sistemai</w:t>
      </w:r>
    </w:p>
    <w:p w14:paraId="73E4A2F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sirgote praeityje ar sergate bronchų astma ar alerginėmis ligomis, gali išsivystyti bronchų spazmas. Vartojant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gali išsivystyti astmos priepuolis, ypač asmenims, kurie yra jautrūs acetilsalicilo rūgščiai ar NVNU.</w:t>
      </w:r>
    </w:p>
    <w:p w14:paraId="254C06F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0B3FEA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Pacientams, kuriems yra astma, susijusi su lėtiniu rinitu, lėtiniu sinusitu ir (arba) nosies polipais vartojantiems acetilsalicilo rūgštį ir (ar) NVNU yra alerginių reakcijų rizika.</w:t>
      </w:r>
    </w:p>
    <w:p w14:paraId="443E47F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45B477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Kitų NVNU vartojimas</w:t>
      </w:r>
    </w:p>
    <w:p w14:paraId="5CD1625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Reikia vengti vartoti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kartu su kitais NVNU, įskaitant selektyvius ciklooksigenazės 2 inhibitorius.</w:t>
      </w:r>
    </w:p>
    <w:p w14:paraId="67B59F35" w14:textId="77777777" w:rsidR="00B932D0" w:rsidRPr="001D15C7" w:rsidRDefault="00B932D0" w:rsidP="00B932D0">
      <w:pPr>
        <w:spacing w:after="0" w:line="240" w:lineRule="auto"/>
        <w:rPr>
          <w:rFonts w:ascii="Times New Roman" w:eastAsia="Times New Roman" w:hAnsi="Times New Roman"/>
          <w:lang w:val="lt-LT"/>
        </w:rPr>
      </w:pPr>
    </w:p>
    <w:p w14:paraId="3DA98FA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Sisteminė raudonoji vilkligė (SRV) ir mišri jungiamojo audinio liga</w:t>
      </w:r>
    </w:p>
    <w:p w14:paraId="2CF95DA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Dėl aseptinio meningito pavojaus, pacientai, sergantys sistemine raudonąja vilklige ir jungiamojo audinio ligomis, ibuprofeno turėtų vartoti atsargiai.</w:t>
      </w:r>
    </w:p>
    <w:p w14:paraId="758B856B" w14:textId="77777777" w:rsidR="00B932D0" w:rsidRPr="001D15C7" w:rsidRDefault="00B932D0" w:rsidP="00B932D0">
      <w:pPr>
        <w:spacing w:after="0" w:line="240" w:lineRule="auto"/>
        <w:rPr>
          <w:rFonts w:ascii="Times New Roman" w:eastAsia="Times New Roman" w:hAnsi="Times New Roman"/>
          <w:i/>
          <w:lang w:val="lt-LT"/>
        </w:rPr>
      </w:pPr>
    </w:p>
    <w:p w14:paraId="048A5655" w14:textId="77777777" w:rsidR="00B932D0" w:rsidRPr="001D15C7" w:rsidRDefault="00B932D0" w:rsidP="00B932D0">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Poveikis širdies kraujagyslėms bei galvos smegenų kraujagyslėms</w:t>
      </w:r>
    </w:p>
    <w:p w14:paraId="4A1EA31D" w14:textId="77777777" w:rsidR="00B932D0" w:rsidRPr="001D15C7" w:rsidRDefault="00B932D0" w:rsidP="00B932D0">
      <w:pPr>
        <w:spacing w:after="0" w:line="240" w:lineRule="auto"/>
        <w:rPr>
          <w:rFonts w:ascii="Times New Roman" w:eastAsia="Times New Roman" w:hAnsi="Times New Roman"/>
          <w:lang w:val="lt-LT" w:eastAsia="x-none"/>
        </w:rPr>
      </w:pPr>
      <w:r w:rsidRPr="001D15C7">
        <w:rPr>
          <w:rFonts w:ascii="Times New Roman" w:eastAsia="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1D15C7">
        <w:rPr>
          <w:rFonts w:ascii="Times New Roman" w:eastAsia="Times New Roman" w:hAnsi="Times New Roman"/>
          <w:lang w:val="x-none" w:eastAsia="x-none"/>
        </w:rPr>
        <w:t xml:space="preserve"> </w:t>
      </w:r>
      <w:r w:rsidRPr="001D15C7">
        <w:rPr>
          <w:rFonts w:ascii="Times New Roman" w:eastAsia="Times New Roman" w:hAnsi="Times New Roman"/>
          <w:lang w:val="lt-LT" w:eastAsia="x-none"/>
        </w:rPr>
        <w:t>Neviršykite rekomenduojamos dozės ir gydymo trukmės.</w:t>
      </w:r>
    </w:p>
    <w:p w14:paraId="14647E22" w14:textId="77777777" w:rsidR="00B932D0" w:rsidRPr="001D15C7" w:rsidRDefault="00B932D0" w:rsidP="00B932D0">
      <w:pPr>
        <w:spacing w:after="0" w:line="240" w:lineRule="auto"/>
        <w:rPr>
          <w:rFonts w:ascii="Times New Roman" w:eastAsia="Times New Roman" w:hAnsi="Times New Roman"/>
          <w:lang w:eastAsia="x-none"/>
        </w:rPr>
      </w:pPr>
    </w:p>
    <w:p w14:paraId="6E4795B9" w14:textId="77777777" w:rsidR="00B932D0" w:rsidRPr="001D15C7" w:rsidRDefault="00B932D0" w:rsidP="00B932D0">
      <w:pPr>
        <w:spacing w:after="0" w:line="240" w:lineRule="auto"/>
        <w:rPr>
          <w:rFonts w:ascii="Times New Roman" w:eastAsia="Times New Roman" w:hAnsi="Times New Roman"/>
          <w:lang w:val="x-none" w:eastAsia="x-none"/>
        </w:rPr>
      </w:pPr>
      <w:r w:rsidRPr="001D15C7">
        <w:rPr>
          <w:rFonts w:ascii="Times New Roman" w:eastAsia="Times New Roman" w:hAnsi="Times New Roman"/>
          <w:lang w:val="lt-LT" w:eastAsia="x-none"/>
        </w:rPr>
        <w:t>Prieš pradėdami vartoti NUROFEN EXPRESS dėl gydymo pasitarkite su gydytoju arba vaistininku, jeigu:</w:t>
      </w:r>
    </w:p>
    <w:p w14:paraId="4B47BCF6" w14:textId="45B0B728" w:rsidR="00B932D0" w:rsidRPr="001D15C7" w:rsidRDefault="00B932D0" w:rsidP="00B932D0">
      <w:pPr>
        <w:numPr>
          <w:ilvl w:val="0"/>
          <w:numId w:val="6"/>
        </w:numPr>
        <w:spacing w:after="0" w:line="240" w:lineRule="auto"/>
        <w:ind w:left="567" w:hanging="567"/>
        <w:rPr>
          <w:rFonts w:ascii="Times New Roman" w:eastAsia="Times New Roman" w:hAnsi="Times New Roman"/>
          <w:lang w:val="x-none" w:eastAsia="x-none"/>
        </w:rPr>
      </w:pPr>
      <w:r w:rsidRPr="001D15C7">
        <w:rPr>
          <w:rFonts w:ascii="Times New Roman" w:eastAsia="Times New Roman" w:hAnsi="Times New Roman"/>
          <w:lang w:val="lt-LT" w:eastAsia="x-none"/>
        </w:rPr>
        <w:t xml:space="preserve">Jums pasireiškia širdies problemų, įskaitant širdies nepakankamumą, krūtinės anginą (jaučiate skausmą krūtinėje) arba jeigu </w:t>
      </w:r>
      <w:r w:rsidR="00230545">
        <w:rPr>
          <w:rFonts w:ascii="Times New Roman" w:eastAsia="Times New Roman" w:hAnsi="Times New Roman"/>
          <w:lang w:val="lt-LT" w:eastAsia="x-none"/>
        </w:rPr>
        <w:t>J</w:t>
      </w:r>
      <w:r w:rsidRPr="001D15C7">
        <w:rPr>
          <w:rFonts w:ascii="Times New Roman" w:eastAsia="Times New Roman" w:hAnsi="Times New Roman"/>
          <w:lang w:val="lt-LT" w:eastAsia="x-none"/>
        </w:rPr>
        <w:t>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1A2912CB" w14:textId="77777777" w:rsidR="00B932D0" w:rsidRPr="001D15C7" w:rsidRDefault="00B932D0" w:rsidP="00B932D0">
      <w:pPr>
        <w:numPr>
          <w:ilvl w:val="0"/>
          <w:numId w:val="6"/>
        </w:numPr>
        <w:spacing w:after="0" w:line="240" w:lineRule="auto"/>
        <w:ind w:left="567" w:hanging="567"/>
        <w:rPr>
          <w:rFonts w:ascii="Times New Roman" w:eastAsia="Times New Roman" w:hAnsi="Times New Roman"/>
          <w:lang w:val="x-none" w:eastAsia="x-none"/>
        </w:rPr>
      </w:pPr>
      <w:r w:rsidRPr="001D15C7">
        <w:rPr>
          <w:rFonts w:ascii="Times New Roman" w:eastAsia="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14:paraId="34C2BF0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E273BB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inkstams</w:t>
      </w:r>
    </w:p>
    <w:p w14:paraId="322BDDD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 yra nesunkus inkstų pakenkimas ar inkstų funkcijos pablogėjimas, NUROFEN FORTE EXPRESS vartoti reikia atsargiai.</w:t>
      </w:r>
    </w:p>
    <w:p w14:paraId="57E93CB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9CB359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kepenims</w:t>
      </w:r>
    </w:p>
    <w:p w14:paraId="73D4888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 yra kepenų</w:t>
      </w:r>
      <w:r w:rsidRPr="001D15C7">
        <w:rPr>
          <w:rFonts w:ascii="Times New Roman" w:eastAsia="Times New Roman" w:hAnsi="Times New Roman"/>
          <w:b/>
          <w:noProof/>
          <w:lang w:val="lt-LT"/>
        </w:rPr>
        <w:t xml:space="preserve"> </w:t>
      </w:r>
      <w:r w:rsidRPr="001D15C7">
        <w:rPr>
          <w:rFonts w:ascii="Times New Roman" w:eastAsia="Times New Roman" w:hAnsi="Times New Roman"/>
          <w:noProof/>
          <w:lang w:val="lt-LT"/>
        </w:rPr>
        <w:t>funkcijos sutrikimai, NUROFEN FORTE EXPRESS vartoti reikia atsargiai.</w:t>
      </w:r>
    </w:p>
    <w:p w14:paraId="3B874BC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07236B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moterų vaisingumui</w:t>
      </w:r>
    </w:p>
    <w:p w14:paraId="48A9807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Yra duomenų, kad vaistų, slopinančių ciklooksigenazę ar prostaglandinų sintezę, vartojimas gali mažinti moters vaisingumą dėl poveikio ovuliacijai. Nutraukus vaisto vartojimą, vaisingumas atsistato.</w:t>
      </w:r>
    </w:p>
    <w:p w14:paraId="29B13BD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F51FB0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Poveikis virškinimo traktui</w:t>
      </w:r>
    </w:p>
    <w:p w14:paraId="571722E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Gali paūmėti virškinimo trakto sutrikimai ir lėtinės uždegiminės žarnyno ligos (opinis kolitas, Krono liga).</w:t>
      </w:r>
    </w:p>
    <w:p w14:paraId="2DA344C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w:t>
      </w:r>
      <w:r w:rsidRPr="001D15C7">
        <w:rPr>
          <w:rFonts w:ascii="Times New Roman" w:eastAsia="Times New Roman" w:hAnsi="Times New Roman"/>
          <w:noProof/>
          <w:lang w:val="lt-LT"/>
        </w:rPr>
        <w:lastRenderedPageBreak/>
        <w:t>kraujavimo ir prakiurimo rizika. Jei iš virškinimo trakto kraujuoja arba jis prakiūra, vaisto reikia nebevartoti.</w:t>
      </w:r>
    </w:p>
    <w:p w14:paraId="6B922AA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17A665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Skrandžio ir žarnyno kraujavimas, opėjimas arba prakiurimas gali ištikti be jokių įspėjamųjų požymių, net jeigu anksčiau tokių problemų nebuvo. Be to, šie simptomai gali būti mirtini.</w:t>
      </w:r>
    </w:p>
    <w:p w14:paraId="2FB5CBA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C51FB7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Didinant NVNU dozę, pacientams, kuriems praeityje buvo opa, ypač komplikuota kraujavimu arba prakiurimu, o taip pat senyviems žmonėms, kraujavimo iš virškinimo trakto, virškinimo trakto išopėjimo ar prakiurimo rizika didesnė. Tokius pacientus reikia pradėti gydyti mažiausia vaisto doze. </w:t>
      </w:r>
    </w:p>
    <w:p w14:paraId="2029CAF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E5D515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Pacientai, kuriems praeityje pasireiškė toksinis poveikis virškinimo traktui, ypač senyvi, turi pasakyti, jeigu atsiranda, ypač gydymo pradžioje, kokių nors neįprastų virškinimo sutrikimų (ypač kraujavimas iš virškinimo trakto).</w:t>
      </w:r>
    </w:p>
    <w:p w14:paraId="5D06FD2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02AACF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14:paraId="303B4E5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E3A015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Tokiems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vartojantiems pacientams, kuriems atsirado virškinimo trakto kraujavimas ar išopėjimas, gydymas turi būti nutraukiamas nedelsiant.</w:t>
      </w:r>
    </w:p>
    <w:p w14:paraId="4252C30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C1165D1" w14:textId="77777777" w:rsidR="00B932D0" w:rsidRPr="00BD3043" w:rsidRDefault="00B932D0" w:rsidP="00B932D0">
      <w:pPr>
        <w:widowControl w:val="0"/>
        <w:tabs>
          <w:tab w:val="left" w:pos="540"/>
          <w:tab w:val="left" w:pos="1440"/>
        </w:tabs>
        <w:spacing w:after="0" w:line="240" w:lineRule="auto"/>
        <w:rPr>
          <w:rFonts w:ascii="Times New Roman" w:eastAsia="Times New Roman" w:hAnsi="Times New Roman"/>
          <w:bCs/>
          <w:i/>
          <w:lang w:val="lt-LT"/>
        </w:rPr>
      </w:pPr>
      <w:r w:rsidRPr="007372C6">
        <w:rPr>
          <w:rFonts w:ascii="Times New Roman" w:eastAsia="Times New Roman" w:hAnsi="Times New Roman"/>
          <w:bCs/>
          <w:i/>
          <w:lang w:val="lt-LT"/>
        </w:rPr>
        <w:t xml:space="preserve">Odos reakcijos </w:t>
      </w:r>
    </w:p>
    <w:p w14:paraId="427C078D" w14:textId="77777777" w:rsidR="00B932D0" w:rsidRPr="007372C6" w:rsidRDefault="00B932D0" w:rsidP="00B932D0">
      <w:pPr>
        <w:widowControl w:val="0"/>
        <w:tabs>
          <w:tab w:val="left" w:pos="540"/>
          <w:tab w:val="left" w:pos="1440"/>
        </w:tabs>
        <w:spacing w:after="0" w:line="240" w:lineRule="auto"/>
        <w:rPr>
          <w:rFonts w:ascii="Times New Roman" w:eastAsia="Times New Roman" w:hAnsi="Times New Roman"/>
          <w:bCs/>
          <w:lang w:val="lt-LT"/>
        </w:rPr>
      </w:pPr>
      <w:r w:rsidRPr="007372C6">
        <w:rPr>
          <w:rFonts w:ascii="Times New Roman" w:hAnsi="Times New Roman"/>
          <w:lang w:val="lt-LT"/>
        </w:rPr>
        <w:t xml:space="preserve">Vartojant NUROFEN </w:t>
      </w:r>
      <w:r>
        <w:rPr>
          <w:rFonts w:ascii="Times New Roman" w:hAnsi="Times New Roman"/>
          <w:lang w:val="lt-LT"/>
        </w:rPr>
        <w:t xml:space="preserve">FORTE </w:t>
      </w:r>
      <w:r w:rsidRPr="007372C6">
        <w:rPr>
          <w:rFonts w:ascii="Times New Roman" w:hAnsi="Times New Roman"/>
          <w:lang w:val="lt-LT"/>
        </w:rPr>
        <w:t xml:space="preserve">EXPRESS buvo pranešta apie sunkias odos reakcijas. Jei jums pasireikštų odos išbėrimas, gleivinių pažeidimas, pūslės ar kitų alergijos požymių, NUROFEN </w:t>
      </w:r>
      <w:r>
        <w:rPr>
          <w:rFonts w:ascii="Times New Roman" w:hAnsi="Times New Roman"/>
          <w:lang w:val="lt-LT"/>
        </w:rPr>
        <w:t xml:space="preserve">FORTE </w:t>
      </w:r>
      <w:r w:rsidRPr="007372C6">
        <w:rPr>
          <w:rFonts w:ascii="Times New Roman" w:hAnsi="Times New Roman"/>
          <w:lang w:val="lt-LT"/>
        </w:rPr>
        <w:t>EXPRESS vartojimą nutraukite ir nedelsdami kreipkitės medicininės pagalbos, nes tai gali būti pirmieji labai sunkios odos reakcijos požymiai. Žr. 4 skyrių.</w:t>
      </w:r>
    </w:p>
    <w:p w14:paraId="2B3A732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C61861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Poveikis akims</w:t>
      </w:r>
    </w:p>
    <w:p w14:paraId="446162F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atsiranda regos sutrikimų, vaisto vartojimą reikia nutraukti ir kreiptis į gydytoją, nes rekomenduojama atlikti pilną akių būklės ištyrimą.</w:t>
      </w:r>
    </w:p>
    <w:p w14:paraId="671F66E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ABB10A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Ilgai vartojant ibuprofen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rekomenduojama sekti kraujo ląstelių formulę, inkstų ir kepenų funkcijos rodiklius.</w:t>
      </w:r>
    </w:p>
    <w:p w14:paraId="357A5F4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2A64917" w14:textId="77777777" w:rsidR="00B932D0" w:rsidRPr="009B0229" w:rsidRDefault="00B932D0" w:rsidP="00B932D0">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14:paraId="304EBB77" w14:textId="77777777" w:rsidR="00B932D0" w:rsidRPr="009B0229" w:rsidRDefault="00B932D0" w:rsidP="00B932D0">
      <w:pPr>
        <w:autoSpaceDE w:val="0"/>
        <w:autoSpaceDN w:val="0"/>
        <w:adjustRightInd w:val="0"/>
        <w:spacing w:after="0" w:line="240" w:lineRule="auto"/>
        <w:rPr>
          <w:rFonts w:ascii="Times New Roman" w:hAnsi="Times New Roman"/>
          <w:color w:val="000000"/>
          <w:lang w:val="lt-LT"/>
        </w:rPr>
      </w:pPr>
    </w:p>
    <w:p w14:paraId="577AA257" w14:textId="77777777" w:rsidR="00B932D0" w:rsidRPr="009B0229" w:rsidRDefault="00B932D0" w:rsidP="00B932D0">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14:paraId="16B2C2D8" w14:textId="77777777" w:rsidR="00B932D0" w:rsidRPr="009B0229" w:rsidRDefault="00B932D0" w:rsidP="00B932D0">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FORTE EXPRESS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FORTE EXPRESS</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62E986C6" w14:textId="77777777" w:rsidR="00B932D0" w:rsidRDefault="00B932D0" w:rsidP="00B932D0">
      <w:pPr>
        <w:tabs>
          <w:tab w:val="left" w:pos="0"/>
          <w:tab w:val="left" w:pos="360"/>
          <w:tab w:val="left" w:pos="720"/>
        </w:tabs>
        <w:spacing w:after="0" w:line="240" w:lineRule="auto"/>
        <w:rPr>
          <w:rFonts w:ascii="Times New Roman" w:eastAsia="Times New Roman" w:hAnsi="Times New Roman"/>
          <w:i/>
          <w:noProof/>
          <w:lang w:val="lt-LT"/>
        </w:rPr>
      </w:pPr>
    </w:p>
    <w:p w14:paraId="33E43D8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Vaikai ir paaugliai</w:t>
      </w:r>
    </w:p>
    <w:p w14:paraId="56188D6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Skysčių netekusiems vaikams ir paaugliams yra inkstų sutrikimo rizika.</w:t>
      </w:r>
    </w:p>
    <w:p w14:paraId="06F6695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633E0C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simptomai pasunkėjo arba nepalengvėjo, arba pasireiškė naujų simptomų, kreipkitės į gydytoją.</w:t>
      </w:r>
    </w:p>
    <w:p w14:paraId="7F44337F" w14:textId="77777777" w:rsidR="00B932D0" w:rsidRPr="00BE3F2A" w:rsidRDefault="00B932D0" w:rsidP="00B932D0">
      <w:pPr>
        <w:keepNext/>
        <w:spacing w:before="240" w:after="60" w:line="240" w:lineRule="auto"/>
        <w:outlineLvl w:val="3"/>
        <w:rPr>
          <w:rFonts w:ascii="Times New Roman" w:eastAsia="Times New Roman" w:hAnsi="Times New Roman"/>
          <w:b/>
          <w:bCs/>
          <w:szCs w:val="28"/>
          <w:lang w:val="lt-LT"/>
        </w:rPr>
      </w:pPr>
      <w:r w:rsidRPr="00BE3F2A">
        <w:rPr>
          <w:rFonts w:ascii="Times New Roman" w:eastAsia="Times New Roman" w:hAnsi="Times New Roman"/>
          <w:b/>
          <w:bCs/>
          <w:szCs w:val="28"/>
          <w:lang w:val="lt-LT"/>
        </w:rPr>
        <w:t>Vaikams ir paaugliams</w:t>
      </w:r>
    </w:p>
    <w:p w14:paraId="7678883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Šis vaistas nėra skirtas jaunesniems kaip 12 metų vaikams</w:t>
      </w:r>
      <w:r>
        <w:rPr>
          <w:rFonts w:ascii="Times New Roman" w:eastAsia="Times New Roman" w:hAnsi="Times New Roman"/>
          <w:noProof/>
          <w:lang w:val="lt-LT"/>
        </w:rPr>
        <w:t xml:space="preserve"> ir paaugliams</w:t>
      </w:r>
      <w:r w:rsidRPr="001D15C7">
        <w:rPr>
          <w:rFonts w:ascii="Times New Roman" w:eastAsia="Times New Roman" w:hAnsi="Times New Roman"/>
          <w:noProof/>
          <w:lang w:val="lt-LT"/>
        </w:rPr>
        <w:t>.</w:t>
      </w:r>
    </w:p>
    <w:p w14:paraId="090EBA91" w14:textId="77777777" w:rsidR="00B932D0" w:rsidRPr="001D15C7" w:rsidRDefault="00B932D0" w:rsidP="00B932D0">
      <w:pPr>
        <w:spacing w:after="0" w:line="240" w:lineRule="auto"/>
        <w:rPr>
          <w:rFonts w:ascii="Times New Roman" w:eastAsia="Times New Roman" w:hAnsi="Times New Roman"/>
          <w:b/>
          <w:bCs/>
          <w:lang w:val="lt-LT"/>
        </w:rPr>
      </w:pPr>
    </w:p>
    <w:p w14:paraId="151807A6" w14:textId="77777777" w:rsidR="00B932D0" w:rsidRPr="001D15C7" w:rsidRDefault="00B932D0" w:rsidP="00B932D0">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Kiti vaistai ir NUROFEN FORTE EXPRESS</w:t>
      </w:r>
    </w:p>
    <w:p w14:paraId="55EA1CE8" w14:textId="77777777" w:rsidR="00B932D0" w:rsidRPr="001D15C7" w:rsidRDefault="00B932D0" w:rsidP="00B932D0">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lang w:val="lt-LT"/>
        </w:rPr>
        <w:t xml:space="preserve">Jeigu vartojate </w:t>
      </w:r>
      <w:r w:rsidRPr="001D15C7">
        <w:rPr>
          <w:rFonts w:ascii="Times New Roman" w:eastAsia="Times New Roman" w:hAnsi="Times New Roman"/>
          <w:noProof/>
          <w:lang w:val="lt-LT"/>
        </w:rPr>
        <w:t>ar</w:t>
      </w:r>
      <w:r w:rsidRPr="001D15C7">
        <w:rPr>
          <w:rFonts w:ascii="Times New Roman" w:eastAsia="Times New Roman" w:hAnsi="Times New Roman"/>
          <w:lang w:val="lt-LT"/>
        </w:rPr>
        <w:t xml:space="preserve"> neseniai vartojote kitų vaistų</w:t>
      </w:r>
      <w:r w:rsidRPr="001D15C7">
        <w:rPr>
          <w:rFonts w:ascii="Times New Roman" w:eastAsia="Times New Roman" w:hAnsi="Times New Roman"/>
          <w:noProof/>
          <w:lang w:val="lt-LT"/>
        </w:rPr>
        <w:t xml:space="preserve"> arba dėl to nesate tikri, apie tai</w:t>
      </w:r>
      <w:r w:rsidRPr="001D15C7">
        <w:rPr>
          <w:rFonts w:ascii="Times New Roman" w:eastAsia="Times New Roman" w:hAnsi="Times New Roman"/>
          <w:lang w:val="lt-LT"/>
        </w:rPr>
        <w:t xml:space="preserve"> pasakykite gydytojui arba vaistininkui.</w:t>
      </w:r>
    </w:p>
    <w:p w14:paraId="1163D390" w14:textId="77777777" w:rsidR="00B932D0" w:rsidRPr="001D15C7" w:rsidRDefault="00B932D0" w:rsidP="00B932D0">
      <w:pPr>
        <w:spacing w:after="140" w:line="280" w:lineRule="atLeast"/>
        <w:rPr>
          <w:rFonts w:ascii="Times New Roman" w:eastAsia="Times New Roman" w:hAnsi="Times New Roman"/>
          <w:lang w:val="x-none" w:eastAsia="x-none"/>
        </w:rPr>
      </w:pPr>
      <w:r w:rsidRPr="001D15C7">
        <w:rPr>
          <w:rFonts w:ascii="Times New Roman" w:eastAsia="Times New Roman" w:hAnsi="Times New Roman"/>
          <w:lang w:val="lt-LT" w:eastAsia="x-none"/>
        </w:rPr>
        <w:t>NUROFEN FORTE EXPRESS gali turėti įtakos kai kuriems kitiems vaistams arba gali būti jų veikiamas.</w:t>
      </w:r>
      <w:r w:rsidRPr="001D15C7">
        <w:rPr>
          <w:rFonts w:ascii="Times New Roman" w:eastAsia="Times New Roman" w:hAnsi="Times New Roman"/>
          <w:lang w:val="x-none" w:eastAsia="x-none"/>
        </w:rPr>
        <w:t xml:space="preserve"> </w:t>
      </w:r>
    </w:p>
    <w:p w14:paraId="3DB808A4"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i/>
          <w:lang w:val="lt-LT"/>
        </w:rPr>
        <w:t xml:space="preserve">Acetilsalicilo rūgštis (aspirinas). </w:t>
      </w:r>
      <w:r w:rsidRPr="001D15C7">
        <w:rPr>
          <w:rFonts w:ascii="Times New Roman" w:eastAsia="Times New Roman" w:hAnsi="Times New Roman"/>
          <w:lang w:val="lt-LT"/>
        </w:rPr>
        <w:t>Kaip ir kitus NVNU, kartu vartoti acetilsalicilo rūgšt</w:t>
      </w:r>
      <w:r>
        <w:rPr>
          <w:rFonts w:ascii="Times New Roman" w:eastAsia="Times New Roman" w:hAnsi="Times New Roman"/>
          <w:lang w:val="lt-LT"/>
        </w:rPr>
        <w:t>ies</w:t>
      </w:r>
      <w:r w:rsidRPr="001D15C7">
        <w:rPr>
          <w:rFonts w:ascii="Times New Roman" w:eastAsia="Times New Roman" w:hAnsi="Times New Roman"/>
          <w:lang w:val="lt-LT"/>
        </w:rPr>
        <w:t xml:space="preserve"> ir ibuprofen</w:t>
      </w:r>
      <w:r>
        <w:rPr>
          <w:rFonts w:ascii="Times New Roman" w:eastAsia="Times New Roman" w:hAnsi="Times New Roman"/>
          <w:lang w:val="lt-LT"/>
        </w:rPr>
        <w:t>o</w:t>
      </w:r>
      <w:r w:rsidRPr="001D15C7">
        <w:rPr>
          <w:rFonts w:ascii="Times New Roman" w:eastAsia="Times New Roman" w:hAnsi="Times New Roman"/>
          <w:lang w:val="lt-LT"/>
        </w:rPr>
        <w:t xml:space="preserve"> nerekomenduojama, dėl didesnio nepageidaujamo poveikio rizikos, nebent vartojant mažas aspirino dozes (ne daugiau 75 mg per parą), kurias paskyrė gydytojas.</w:t>
      </w:r>
    </w:p>
    <w:p w14:paraId="5830407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E24DFC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Kiti NVNU, įskaitant selektyvius ciklooksigenazės 2 inhibitorius.</w:t>
      </w:r>
      <w:r w:rsidRPr="001D15C7">
        <w:rPr>
          <w:rFonts w:ascii="Times New Roman" w:eastAsia="Times New Roman" w:hAnsi="Times New Roman"/>
          <w:noProof/>
          <w:lang w:val="lt-LT"/>
        </w:rPr>
        <w:t xml:space="preserve"> Gali padidinti nepageidaujamo poveikio riziką.</w:t>
      </w:r>
    </w:p>
    <w:p w14:paraId="77A8CB7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93C5E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eastAsia="x-none"/>
        </w:rPr>
      </w:pPr>
      <w:r w:rsidRPr="001D15C7">
        <w:rPr>
          <w:rFonts w:ascii="Times New Roman" w:eastAsia="Times New Roman" w:hAnsi="Times New Roman"/>
          <w:i/>
          <w:noProof/>
          <w:lang w:val="lt-LT"/>
        </w:rPr>
        <w:t xml:space="preserve">Vaistai, kurie mažina didelį kraujospūdį </w:t>
      </w:r>
      <w:r w:rsidRPr="001D15C7">
        <w:rPr>
          <w:rFonts w:ascii="Times New Roman" w:eastAsia="Times New Roman" w:hAnsi="Times New Roman"/>
          <w:noProof/>
          <w:lang w:val="lt-LT" w:eastAsia="x-none"/>
        </w:rPr>
        <w:t xml:space="preserve">(AKF inhibitoriai, pvz., kaptoprilis, beta receptorius blokuojantys vaistai, pvz., atenololis, angiotenzino II receptorių blokatoriai, pvz., losartanas). </w:t>
      </w:r>
    </w:p>
    <w:p w14:paraId="3D1C88B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AB66F4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Širdį veikiantys glikozidai</w:t>
      </w:r>
      <w:r w:rsidRPr="001D15C7">
        <w:rPr>
          <w:rFonts w:ascii="Times New Roman" w:eastAsia="Times New Roman" w:hAnsi="Times New Roman"/>
          <w:noProof/>
          <w:lang w:val="lt-LT"/>
        </w:rPr>
        <w:t>. NVNU gali pasunkinti širdies nepakankamumo reiškinius, sumažinti glomerulų filtracijos greitį  ir padidinti glikozidų kiekį kraujo plazmoje.</w:t>
      </w:r>
    </w:p>
    <w:p w14:paraId="13D7247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F9E11B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Litis</w:t>
      </w:r>
      <w:r w:rsidRPr="001D15C7">
        <w:rPr>
          <w:rFonts w:ascii="Times New Roman" w:eastAsia="Times New Roman" w:hAnsi="Times New Roman"/>
          <w:noProof/>
          <w:lang w:val="lt-LT"/>
        </w:rPr>
        <w:t>. Padidina ličio kiekį kraujo plazmoje ir sumažėja ličio eliminacija.</w:t>
      </w:r>
    </w:p>
    <w:p w14:paraId="2E1A6D5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6E0ECC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Metotreksatas</w:t>
      </w:r>
      <w:r w:rsidRPr="001D15C7">
        <w:rPr>
          <w:rFonts w:ascii="Times New Roman" w:eastAsia="Times New Roman" w:hAnsi="Times New Roman"/>
          <w:noProof/>
          <w:lang w:val="lt-LT"/>
        </w:rPr>
        <w:t>. Padidina metotreksato kiekį kraujo plazmoje ir sumažėja metotreksato eliminacija.</w:t>
      </w:r>
    </w:p>
    <w:p w14:paraId="3DE98B0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3867BF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Mifepristonas</w:t>
      </w:r>
      <w:r w:rsidRPr="001D15C7">
        <w:rPr>
          <w:rFonts w:ascii="Times New Roman" w:eastAsia="Times New Roman" w:hAnsi="Times New Roman"/>
          <w:noProof/>
          <w:lang w:val="lt-LT"/>
        </w:rPr>
        <w:t>. NVNU neturi būti vartojami 8-12 dienų po mifepristono paskyrimo, nes NVNU gali mažinti mifepristono poveikį.</w:t>
      </w:r>
    </w:p>
    <w:p w14:paraId="194F252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C50076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Ciklosporinas.</w:t>
      </w:r>
      <w:r w:rsidRPr="001D15C7">
        <w:rPr>
          <w:rFonts w:ascii="Times New Roman" w:eastAsia="Times New Roman" w:hAnsi="Times New Roman"/>
          <w:noProof/>
          <w:lang w:val="lt-LT"/>
        </w:rPr>
        <w:t xml:space="preserve"> Padidina nefrotoksinio poveikio riziką.</w:t>
      </w:r>
    </w:p>
    <w:p w14:paraId="7538DEE5"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1CBE74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Kortikosteroidai</w:t>
      </w:r>
      <w:r w:rsidRPr="001D15C7">
        <w:rPr>
          <w:rFonts w:ascii="Times New Roman" w:eastAsia="Times New Roman" w:hAnsi="Times New Roman"/>
          <w:noProof/>
          <w:lang w:val="lt-LT"/>
        </w:rPr>
        <w:t>. Gali padidinti NVNU nepageidaujamo poveikio riziką, ypatingai virškinimo trakto išopėjimą ar kraujavimą.</w:t>
      </w:r>
    </w:p>
    <w:p w14:paraId="2674AB2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4D76DA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Krešėjimą mažinantys vaistai</w:t>
      </w:r>
      <w:r w:rsidRPr="001D15C7">
        <w:rPr>
          <w:rFonts w:ascii="Times New Roman" w:eastAsia="Times New Roman" w:hAnsi="Times New Roman"/>
          <w:noProof/>
          <w:lang w:val="lt-LT"/>
        </w:rPr>
        <w:t>. NVNU gali sustiprinti antikoaguliantų (pvz.,varfarino) poveikį.</w:t>
      </w:r>
    </w:p>
    <w:p w14:paraId="37979CF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E6E0AD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Vaistai, mažinantys trombocitų agregaciją (pvz., acetilsalicilo rūgštis) ir selektyvūs serotonino reabsorbcijos inhibitoriai.</w:t>
      </w:r>
      <w:r w:rsidRPr="001D15C7">
        <w:rPr>
          <w:rFonts w:ascii="Times New Roman" w:eastAsia="Times New Roman" w:hAnsi="Times New Roman"/>
          <w:noProof/>
          <w:lang w:val="lt-LT"/>
        </w:rPr>
        <w:t xml:space="preserve"> Gali didinti virškinimo trakto kraujavimo riziką.</w:t>
      </w:r>
    </w:p>
    <w:p w14:paraId="6EA1F89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6CBDFE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Chinolonų grupės antimikrobiniai vaistai</w:t>
      </w:r>
      <w:r w:rsidRPr="001D15C7">
        <w:rPr>
          <w:rFonts w:ascii="Times New Roman" w:eastAsia="Times New Roman" w:hAnsi="Times New Roman"/>
          <w:noProof/>
          <w:lang w:val="lt-LT"/>
        </w:rPr>
        <w:t>. Tyrimai su gyvūnais rodo, kad NVNU gali padidinti mėšlungio riziką, susijusią su chinolonų grupės antimikrobiniais vaistais. Pacientai, vartojantys NVNU ir chinolonų grupės antimikrobini</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vaist</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turi didesnį rizikos pavojų atsirasti mėšlungiui.  </w:t>
      </w:r>
    </w:p>
    <w:p w14:paraId="6659695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F2C542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Takrolimuzas</w:t>
      </w:r>
      <w:r w:rsidRPr="001D15C7">
        <w:rPr>
          <w:rFonts w:ascii="Times New Roman" w:eastAsia="Times New Roman" w:hAnsi="Times New Roman"/>
          <w:noProof/>
          <w:lang w:val="lt-LT"/>
        </w:rPr>
        <w:t>. Su takrolimuzu kartu vartojant NVNU, gali padidėti nefrotoksinio pavojaus rizika.</w:t>
      </w:r>
    </w:p>
    <w:p w14:paraId="32A5329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691825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Zidovudinas</w:t>
      </w:r>
      <w:r w:rsidRPr="001D15C7">
        <w:rPr>
          <w:rFonts w:ascii="Times New Roman" w:eastAsia="Times New Roman" w:hAnsi="Times New Roman"/>
          <w:noProof/>
          <w:lang w:val="lt-LT"/>
        </w:rPr>
        <w:t>. Kartu vartojant NVNU ir zidovudin</w:t>
      </w:r>
      <w:r>
        <w:rPr>
          <w:rFonts w:ascii="Times New Roman" w:eastAsia="Times New Roman" w:hAnsi="Times New Roman"/>
          <w:noProof/>
          <w:lang w:val="lt-LT"/>
        </w:rPr>
        <w:t>o</w:t>
      </w:r>
      <w:r w:rsidRPr="001D15C7">
        <w:rPr>
          <w:rFonts w:ascii="Times New Roman" w:eastAsia="Times New Roman" w:hAnsi="Times New Roman"/>
          <w:noProof/>
          <w:lang w:val="lt-LT"/>
        </w:rPr>
        <w:t xml:space="preserve"> padidėja hematologinio toksiškumo pavojus. ŽIV teigiamiems ir hemofilija sergantiems asmenims, kartu gydomiems zidovudinu ir NVNU, padidėja hematomų ir kraujo išsiliejimo į sąnarinę ertmę pavojus. </w:t>
      </w:r>
    </w:p>
    <w:p w14:paraId="1742677A" w14:textId="77777777" w:rsidR="00B932D0" w:rsidRPr="001D15C7" w:rsidRDefault="00B932D0" w:rsidP="00B932D0">
      <w:pPr>
        <w:tabs>
          <w:tab w:val="left" w:pos="0"/>
        </w:tabs>
        <w:spacing w:after="0" w:line="240" w:lineRule="auto"/>
        <w:jc w:val="both"/>
        <w:rPr>
          <w:rFonts w:ascii="Times New Roman" w:eastAsia="Times New Roman" w:hAnsi="Times New Roman"/>
          <w:i/>
          <w:lang w:val="lt-LT"/>
        </w:rPr>
      </w:pPr>
    </w:p>
    <w:p w14:paraId="6988704F" w14:textId="77777777" w:rsidR="00B932D0" w:rsidRPr="001D15C7" w:rsidRDefault="00B932D0" w:rsidP="00B932D0">
      <w:pPr>
        <w:tabs>
          <w:tab w:val="left" w:pos="0"/>
        </w:tabs>
        <w:spacing w:after="0" w:line="240" w:lineRule="auto"/>
        <w:jc w:val="both"/>
        <w:rPr>
          <w:rFonts w:ascii="Times New Roman" w:eastAsia="Times New Roman" w:hAnsi="Times New Roman"/>
          <w:lang w:val="lt-LT"/>
        </w:rPr>
      </w:pPr>
      <w:r w:rsidRPr="001D15C7">
        <w:rPr>
          <w:rFonts w:ascii="Times New Roman" w:eastAsia="Times New Roman" w:hAnsi="Times New Roman"/>
          <w:i/>
          <w:lang w:val="lt-LT"/>
        </w:rPr>
        <w:t>Aminoglikozidai</w:t>
      </w:r>
      <w:r w:rsidRPr="001D15C7">
        <w:rPr>
          <w:rFonts w:ascii="Times New Roman" w:eastAsia="Times New Roman" w:hAnsi="Times New Roman"/>
          <w:lang w:val="lt-LT"/>
        </w:rPr>
        <w:t>. NVNU gali sumažinti aminoglikozidų išsiskyrimą iš organizmo.</w:t>
      </w:r>
    </w:p>
    <w:p w14:paraId="3249815C" w14:textId="77777777" w:rsidR="00B932D0" w:rsidRPr="001D15C7" w:rsidRDefault="00B932D0" w:rsidP="00B932D0">
      <w:pPr>
        <w:tabs>
          <w:tab w:val="left" w:pos="0"/>
        </w:tabs>
        <w:spacing w:after="0" w:line="240" w:lineRule="auto"/>
        <w:jc w:val="both"/>
        <w:rPr>
          <w:rFonts w:ascii="Times New Roman" w:eastAsia="Times New Roman" w:hAnsi="Times New Roman"/>
          <w:i/>
          <w:lang w:val="lt-LT"/>
        </w:rPr>
      </w:pPr>
    </w:p>
    <w:p w14:paraId="48F46729" w14:textId="77777777" w:rsidR="00B932D0" w:rsidRPr="001D15C7" w:rsidRDefault="00B932D0" w:rsidP="00B932D0">
      <w:pPr>
        <w:tabs>
          <w:tab w:val="left" w:pos="0"/>
        </w:tabs>
        <w:spacing w:after="0" w:line="240" w:lineRule="auto"/>
        <w:jc w:val="both"/>
        <w:rPr>
          <w:rFonts w:ascii="Times New Roman" w:eastAsia="Times New Roman" w:hAnsi="Times New Roman"/>
          <w:lang w:val="lt-LT"/>
        </w:rPr>
      </w:pPr>
      <w:r w:rsidRPr="001D15C7">
        <w:rPr>
          <w:rFonts w:ascii="Times New Roman" w:eastAsia="Times New Roman" w:hAnsi="Times New Roman"/>
          <w:i/>
          <w:lang w:val="lt-LT"/>
        </w:rPr>
        <w:t>Augaliniai vaistai</w:t>
      </w:r>
      <w:r w:rsidRPr="001D15C7">
        <w:rPr>
          <w:rFonts w:ascii="Times New Roman" w:eastAsia="Times New Roman" w:hAnsi="Times New Roman"/>
          <w:lang w:val="lt-LT"/>
        </w:rPr>
        <w:t>. Ginkmedžio vaistai,</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vartojant kartu su NVNU,</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gali padidinti kraujavimo rizikos pavojų.</w:t>
      </w:r>
    </w:p>
    <w:p w14:paraId="6326675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357271B" w14:textId="77777777" w:rsidR="00B932D0" w:rsidRPr="001D15C7" w:rsidRDefault="00B932D0" w:rsidP="00B932D0">
      <w:pPr>
        <w:tabs>
          <w:tab w:val="left" w:pos="0"/>
        </w:tabs>
        <w:spacing w:after="0" w:line="280" w:lineRule="atLeast"/>
        <w:contextualSpacing/>
        <w:rPr>
          <w:rFonts w:ascii="Times New Roman" w:eastAsia="Times New Roman" w:hAnsi="Times New Roman"/>
          <w:lang w:val="x-none" w:eastAsia="x-none"/>
        </w:rPr>
      </w:pPr>
      <w:r w:rsidRPr="001D15C7">
        <w:rPr>
          <w:rFonts w:ascii="Times New Roman" w:eastAsia="Times New Roman" w:hAnsi="Times New Roman"/>
          <w:lang w:val="lt-LT" w:eastAsia="x-none"/>
        </w:rPr>
        <w:t>Kai kurie kiti vaistai gali taip pat turėti įtakos gydymui NUROFEN FORTE EXPRESS arba gali būti jo veikiami.</w:t>
      </w:r>
      <w:r w:rsidRPr="001D15C7">
        <w:rPr>
          <w:rFonts w:ascii="Times New Roman" w:eastAsia="Times New Roman" w:hAnsi="Times New Roman"/>
          <w:lang w:val="x-none" w:eastAsia="x-none"/>
        </w:rPr>
        <w:t xml:space="preserve"> </w:t>
      </w:r>
      <w:r w:rsidRPr="001D15C7">
        <w:rPr>
          <w:rFonts w:ascii="Times New Roman" w:eastAsia="Times New Roman" w:hAnsi="Times New Roman"/>
          <w:lang w:val="lt-LT" w:eastAsia="x-none"/>
        </w:rPr>
        <w:t>Todėl prieš vartodami NUROFEN FORTE EXPRESS su kitais vaistais visada pasitarkite su gydytoju arba vaistininku.</w:t>
      </w:r>
    </w:p>
    <w:p w14:paraId="518420FB" w14:textId="77777777" w:rsidR="00B932D0" w:rsidRPr="001D15C7" w:rsidRDefault="00B932D0" w:rsidP="00B932D0">
      <w:pPr>
        <w:spacing w:after="0" w:line="240" w:lineRule="auto"/>
        <w:rPr>
          <w:rFonts w:ascii="Times New Roman" w:eastAsia="Times New Roman" w:hAnsi="Times New Roman"/>
          <w:b/>
          <w:bCs/>
          <w:lang w:val="lt-LT"/>
        </w:rPr>
      </w:pPr>
    </w:p>
    <w:p w14:paraId="54F225C8" w14:textId="77777777" w:rsidR="00B932D0" w:rsidRPr="001D15C7" w:rsidRDefault="00B932D0" w:rsidP="00B932D0">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Nėštumas, žindymo laikotarpis ir vaisingumas</w:t>
      </w:r>
    </w:p>
    <w:p w14:paraId="68A0595F" w14:textId="77777777" w:rsidR="00B932D0" w:rsidRPr="001D15C7" w:rsidRDefault="00B932D0" w:rsidP="00B932D0">
      <w:pPr>
        <w:numPr>
          <w:ilvl w:val="12"/>
          <w:numId w:val="0"/>
        </w:num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Jeigu esate nėščia, žindote kūdikį, manote, kad galbūt esate nėščia, arba planuojate pastoti, tai prieš vartodama šį</w:t>
      </w:r>
      <w:r w:rsidRPr="001D15C7">
        <w:rPr>
          <w:rFonts w:ascii="Times New Roman" w:eastAsia="Times New Roman" w:hAnsi="Times New Roman"/>
          <w:lang w:val="lt-LT"/>
        </w:rPr>
        <w:t xml:space="preserve"> vaistą, </w:t>
      </w:r>
      <w:r w:rsidRPr="001D15C7">
        <w:rPr>
          <w:rFonts w:ascii="Times New Roman" w:eastAsia="Times New Roman" w:hAnsi="Times New Roman"/>
          <w:noProof/>
          <w:lang w:val="lt-LT"/>
        </w:rPr>
        <w:t>pasitarkite</w:t>
      </w:r>
      <w:r w:rsidRPr="001D15C7">
        <w:rPr>
          <w:rFonts w:ascii="Times New Roman" w:eastAsia="Times New Roman" w:hAnsi="Times New Roman"/>
          <w:lang w:val="lt-LT"/>
        </w:rPr>
        <w:t xml:space="preserve"> su gydytoju arba vaistininku. </w:t>
      </w:r>
    </w:p>
    <w:p w14:paraId="6A918B0B"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C9016A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Nėštumas</w:t>
      </w:r>
    </w:p>
    <w:p w14:paraId="6EC2404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Prostaglandinų sintezės slopinimas gali neigiamai veikti nėštumo eigą ir (arba) embriono arba vaisiaus vystymąsi. Epidemiologinių tyrimų duomenys rodo, kad vartojant prostaglandinų sintezės inhibitori</w:t>
      </w:r>
      <w:r>
        <w:rPr>
          <w:rFonts w:ascii="Times New Roman" w:eastAsia="Times New Roman" w:hAnsi="Times New Roman"/>
          <w:noProof/>
          <w:lang w:val="lt-LT"/>
        </w:rPr>
        <w:t>ų</w:t>
      </w:r>
      <w:r w:rsidRPr="001D15C7">
        <w:rPr>
          <w:rFonts w:ascii="Times New Roman" w:eastAsia="Times New Roman" w:hAnsi="Times New Roman"/>
          <w:noProof/>
          <w:lang w:val="lt-LT"/>
        </w:rPr>
        <w:t xml:space="preserve"> ankstyvuoju nėštumo laikotarpiu padidėja persileidimo, širdies vystymosi sutrikimų ir pilvo priekinės sienos nesuaugimo pavojus. </w:t>
      </w:r>
    </w:p>
    <w:p w14:paraId="3F058CC5" w14:textId="276F5C97" w:rsidR="005C3FEE" w:rsidRPr="002F3B5B" w:rsidRDefault="00536A8B" w:rsidP="002F3B5B">
      <w:pPr>
        <w:tabs>
          <w:tab w:val="left" w:pos="567"/>
        </w:tabs>
        <w:spacing w:after="0" w:line="240" w:lineRule="auto"/>
        <w:rPr>
          <w:rFonts w:asciiTheme="majorBidi" w:hAnsiTheme="majorBidi"/>
          <w:lang w:val="lt-LT"/>
        </w:rPr>
      </w:pPr>
      <w:r w:rsidRPr="00D53C48">
        <w:rPr>
          <w:rFonts w:ascii="Times New Roman" w:hAnsi="Times New Roman"/>
          <w:lang w:val="lt-LT"/>
        </w:rPr>
        <w:t xml:space="preserve">Paskutiniaisiais trimis nėštumo mėnesiais </w:t>
      </w:r>
      <w:r>
        <w:rPr>
          <w:rFonts w:ascii="Times New Roman" w:hAnsi="Times New Roman"/>
          <w:lang w:val="lt-LT"/>
        </w:rPr>
        <w:t>ibuprofeno</w:t>
      </w:r>
      <w:r w:rsidRPr="00D53C48">
        <w:rPr>
          <w:rFonts w:ascii="Times New Roman" w:hAnsi="Times New Roman"/>
          <w:lang w:val="lt-LT"/>
        </w:rPr>
        <w:t xml:space="preserve"> vartoti draudžiama</w:t>
      </w:r>
      <w:r>
        <w:rPr>
          <w:rFonts w:ascii="Times New Roman" w:hAnsi="Times New Roman"/>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 xml:space="preserve">ūsų negimusiam vaikui arba sukelti problemų gimdymo metu. Tai gali sukelti inkstų ir širdies problemų </w:t>
      </w:r>
      <w:r w:rsidR="00E93D8A">
        <w:rPr>
          <w:rFonts w:asciiTheme="majorBidi" w:hAnsiTheme="majorBidi" w:cstheme="majorBidi"/>
          <w:lang w:val="lt-LT"/>
        </w:rPr>
        <w:t>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ūsų kūdikio polinkiui kraujuoti ir sukelti vėlesnį arba ilgesnį gimdymą nei tikėtasi.</w:t>
      </w:r>
      <w:r>
        <w:rPr>
          <w:rFonts w:asciiTheme="majorBidi" w:hAnsiTheme="majorBidi" w:cstheme="majorBidi"/>
          <w:lang w:val="lt-LT"/>
        </w:rPr>
        <w:t xml:space="preserve"> </w:t>
      </w:r>
      <w:r w:rsidR="00B932D0" w:rsidRPr="001D15C7">
        <w:rPr>
          <w:rFonts w:ascii="Times New Roman" w:eastAsia="Times New Roman" w:hAnsi="Times New Roman"/>
          <w:noProof/>
          <w:lang w:val="lt-LT"/>
        </w:rPr>
        <w:t>Ibuprofeno negalima vartoti pirmuosius šešis nėštumo mėnesius, nebent tai būtina</w:t>
      </w:r>
      <w:r w:rsidR="00EE31B3">
        <w:rPr>
          <w:rFonts w:ascii="Times New Roman" w:eastAsia="Times New Roman" w:hAnsi="Times New Roman"/>
          <w:noProof/>
          <w:lang w:val="lt-LT"/>
        </w:rPr>
        <w:t xml:space="preserve"> ir rekomendavo Jūsų gydytojas</w:t>
      </w:r>
      <w:r w:rsidR="00B932D0" w:rsidRPr="001D15C7">
        <w:rPr>
          <w:rFonts w:ascii="Times New Roman" w:eastAsia="Times New Roman" w:hAnsi="Times New Roman"/>
          <w:noProof/>
          <w:lang w:val="lt-LT"/>
        </w:rPr>
        <w:t>. Jei ibuprofeno</w:t>
      </w:r>
      <w:r w:rsidR="00B932D0" w:rsidRPr="001D15C7" w:rsidDel="00E215DE">
        <w:rPr>
          <w:rFonts w:ascii="Times New Roman" w:eastAsia="Times New Roman" w:hAnsi="Times New Roman"/>
          <w:noProof/>
          <w:lang w:val="lt-LT"/>
        </w:rPr>
        <w:t xml:space="preserve"> </w:t>
      </w:r>
      <w:r w:rsidR="00B932D0" w:rsidRPr="001D15C7">
        <w:rPr>
          <w:rFonts w:ascii="Times New Roman" w:eastAsia="Times New Roman" w:hAnsi="Times New Roman"/>
          <w:noProof/>
          <w:lang w:val="lt-LT"/>
        </w:rPr>
        <w:t xml:space="preserve">skiriama vartoti planuojančioms pastoti moterims arba per pirmuosius šešis nėštumo mėnesius, reikia vartoti galimai mažiausią dozę ir trumpiausią laiką. </w:t>
      </w:r>
      <w:r w:rsidR="005C3FEE" w:rsidRPr="00AC6516">
        <w:rPr>
          <w:rFonts w:asciiTheme="majorBidi" w:hAnsiTheme="majorBidi" w:cstheme="majorBidi"/>
          <w:lang w:val="lt-LT"/>
        </w:rPr>
        <w:t xml:space="preserve">Jei vartojama ilgiau nei kelias dienas nuo 20 nėštumo savaitės, </w:t>
      </w:r>
      <w:r w:rsidR="005C3FEE">
        <w:rPr>
          <w:rFonts w:asciiTheme="majorBidi" w:hAnsiTheme="majorBidi" w:cstheme="majorBidi"/>
          <w:lang w:val="lt-LT"/>
        </w:rPr>
        <w:t>ibuprofenas</w:t>
      </w:r>
      <w:r w:rsidR="005C3FEE" w:rsidRPr="00AC6516">
        <w:rPr>
          <w:rFonts w:asciiTheme="majorBidi" w:hAnsiTheme="majorBidi" w:cstheme="majorBidi"/>
          <w:lang w:val="lt-LT"/>
        </w:rPr>
        <w:t xml:space="preserve"> gali sukelti inkstų sutrikimų </w:t>
      </w:r>
      <w:r w:rsidR="005C3FEE">
        <w:rPr>
          <w:rFonts w:asciiTheme="majorBidi" w:hAnsiTheme="majorBidi" w:cstheme="majorBidi"/>
          <w:lang w:val="lt-LT"/>
        </w:rPr>
        <w:t>J</w:t>
      </w:r>
      <w:r w:rsidR="005C3FEE"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sidR="005C3FEE">
        <w:rPr>
          <w:rFonts w:asciiTheme="majorBidi" w:hAnsiTheme="majorBidi" w:cstheme="majorBidi"/>
          <w:lang w:val="lt-LT"/>
        </w:rPr>
        <w:t>J</w:t>
      </w:r>
      <w:r w:rsidR="005C3FEE" w:rsidRPr="00AC6516">
        <w:rPr>
          <w:rFonts w:asciiTheme="majorBidi" w:hAnsiTheme="majorBidi" w:cstheme="majorBidi"/>
          <w:lang w:val="lt-LT"/>
        </w:rPr>
        <w:t>ums reikia gydymo ilgiau nei kelias dienas, gydytojas gali rekomenduoti papildomą stebėjimą.</w:t>
      </w:r>
    </w:p>
    <w:p w14:paraId="48AA92F8" w14:textId="77777777" w:rsidR="00B932D0" w:rsidRPr="001D15C7" w:rsidRDefault="00B932D0" w:rsidP="00B932D0">
      <w:pPr>
        <w:spacing w:after="0" w:line="240" w:lineRule="auto"/>
        <w:rPr>
          <w:rFonts w:ascii="Times New Roman" w:eastAsia="Times New Roman" w:hAnsi="Times New Roman"/>
          <w:lang w:val="lt-LT"/>
        </w:rPr>
      </w:pPr>
    </w:p>
    <w:p w14:paraId="52D515A6" w14:textId="77777777" w:rsidR="00B932D0" w:rsidRPr="001D15C7" w:rsidRDefault="00B932D0" w:rsidP="00B932D0">
      <w:pPr>
        <w:spacing w:after="0" w:line="240" w:lineRule="auto"/>
        <w:rPr>
          <w:rFonts w:ascii="Times New Roman" w:eastAsia="Times New Roman" w:hAnsi="Times New Roman"/>
          <w:i/>
          <w:lang w:val="lt-LT"/>
        </w:rPr>
      </w:pPr>
      <w:r w:rsidRPr="001D15C7">
        <w:rPr>
          <w:rFonts w:ascii="Times New Roman" w:eastAsia="Times New Roman" w:hAnsi="Times New Roman"/>
          <w:i/>
          <w:lang w:val="lt-LT"/>
        </w:rPr>
        <w:t>Žindymo laikotarpis</w:t>
      </w:r>
    </w:p>
    <w:p w14:paraId="53AC6E2D"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Nors į žindyvės pieną </w:t>
      </w:r>
      <w:r>
        <w:rPr>
          <w:rFonts w:ascii="Times New Roman" w:eastAsia="Times New Roman" w:hAnsi="Times New Roman"/>
          <w:lang w:val="lt-LT"/>
        </w:rPr>
        <w:t>vaisto</w:t>
      </w:r>
      <w:r w:rsidRPr="001D15C7">
        <w:rPr>
          <w:rFonts w:ascii="Times New Roman" w:eastAsia="Times New Roman" w:hAnsi="Times New Roman"/>
          <w:lang w:val="lt-LT"/>
        </w:rPr>
        <w:t xml:space="preserve"> patenka labai mažas kiekis, ibuprofeno nerekomenduojama vartoti, jei tai nebūtina.</w:t>
      </w:r>
    </w:p>
    <w:p w14:paraId="190B8B4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 </w:t>
      </w:r>
    </w:p>
    <w:p w14:paraId="6AEA7E2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i/>
          <w:noProof/>
          <w:lang w:val="lt-LT"/>
        </w:rPr>
      </w:pPr>
      <w:r w:rsidRPr="001D15C7">
        <w:rPr>
          <w:rFonts w:ascii="Times New Roman" w:eastAsia="Times New Roman" w:hAnsi="Times New Roman"/>
          <w:i/>
          <w:noProof/>
          <w:lang w:val="lt-LT"/>
        </w:rPr>
        <w:t>Vaisingumas</w:t>
      </w:r>
    </w:p>
    <w:p w14:paraId="40F67ED3"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Yra duomenų, kad  vaistų, slopinančių ciklooksigenazę/prostaglandinų sintezę, vartojimas gali mažinti moters vaisingumą dėl poveikio ovuliacijai. Nutraukus vaisto vartojimą, vaisingumas atsistato.</w:t>
      </w:r>
    </w:p>
    <w:p w14:paraId="4B6C4AC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7DA43D" w14:textId="77777777" w:rsidR="00B932D0" w:rsidRPr="001D15C7" w:rsidRDefault="00B932D0" w:rsidP="00B932D0">
      <w:pPr>
        <w:spacing w:after="0" w:line="240" w:lineRule="auto"/>
        <w:rPr>
          <w:rFonts w:ascii="Times New Roman" w:eastAsia="Times New Roman" w:hAnsi="Times New Roman"/>
          <w:b/>
          <w:bCs/>
          <w:lang w:val="lt-LT"/>
        </w:rPr>
      </w:pPr>
      <w:r w:rsidRPr="001D15C7">
        <w:rPr>
          <w:rFonts w:ascii="Times New Roman" w:eastAsia="Times New Roman" w:hAnsi="Times New Roman"/>
          <w:b/>
          <w:bCs/>
          <w:lang w:val="lt-LT"/>
        </w:rPr>
        <w:t>Vairavimas ir mechanizmų valdymas</w:t>
      </w:r>
    </w:p>
    <w:p w14:paraId="331279E0"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gebėjimo vairuoti ir valdyti mechanizmus neveikia arba veikia nereikšmingai.</w:t>
      </w:r>
    </w:p>
    <w:p w14:paraId="66DA455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Ibuprofenas vartojamas didelėmis dozėmis gali sukelti nepageidaujamų poveikių, tokių kaip nuovargis, mieguistumas, galvos svaigimas (dažnas poveikis) ir regos sutrikimai (nedažnas poveikis), todėl pavieniais atvejais gali sutrikti gebėjimas vairuoti automobilį ir valdyti mechanizmus. Šis poveikis būna stipresnis, jei kartu vartojama alkoholio.</w:t>
      </w:r>
    </w:p>
    <w:p w14:paraId="5EA1FE1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79D345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b/>
          <w:noProof/>
          <w:lang w:val="lt-LT"/>
        </w:rPr>
        <w:t>NUROFEN FORTE EXPRESS sudėtyje yra sacharozės ir natrio</w:t>
      </w:r>
      <w:r w:rsidRPr="001D15C7">
        <w:rPr>
          <w:rFonts w:ascii="Times New Roman" w:eastAsia="Times New Roman" w:hAnsi="Times New Roman"/>
          <w:noProof/>
          <w:lang w:val="lt-LT"/>
        </w:rPr>
        <w:t>.</w:t>
      </w:r>
    </w:p>
    <w:p w14:paraId="34EC9BE2"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gydytojas Jums yra sakęs, kad netoleruojate kokių nors angliavandenių, kreipkitės į jį prieš pradėdami vartoti šį vaistą.</w:t>
      </w:r>
    </w:p>
    <w:p w14:paraId="7424F721" w14:textId="77777777" w:rsidR="00B932D0" w:rsidRPr="00C21D49" w:rsidRDefault="00B932D0" w:rsidP="00B932D0">
      <w:pPr>
        <w:autoSpaceDE w:val="0"/>
        <w:autoSpaceDN w:val="0"/>
        <w:adjustRightInd w:val="0"/>
        <w:spacing w:after="0" w:line="240" w:lineRule="auto"/>
        <w:rPr>
          <w:rFonts w:ascii="Times New Roman" w:hAnsi="Times New Roman"/>
          <w:color w:val="000000"/>
          <w:lang w:val="lt-LT"/>
        </w:rPr>
      </w:pPr>
      <w:r w:rsidRPr="00C21D49">
        <w:rPr>
          <w:rFonts w:ascii="Times New Roman" w:hAnsi="Times New Roman"/>
          <w:color w:val="000000"/>
          <w:lang w:val="lt-LT"/>
        </w:rPr>
        <w:t xml:space="preserve">Kiekvienoje šio vaisto </w:t>
      </w:r>
      <w:r>
        <w:rPr>
          <w:rFonts w:ascii="Times New Roman" w:hAnsi="Times New Roman"/>
          <w:color w:val="000000"/>
          <w:lang w:val="lt-LT"/>
        </w:rPr>
        <w:t>tabletėje</w:t>
      </w:r>
      <w:r w:rsidRPr="00C21D49">
        <w:rPr>
          <w:rFonts w:ascii="Times New Roman" w:hAnsi="Times New Roman"/>
          <w:color w:val="000000"/>
          <w:lang w:val="lt-LT"/>
        </w:rPr>
        <w:t xml:space="preserve"> yra</w:t>
      </w:r>
      <w:r>
        <w:rPr>
          <w:rFonts w:ascii="Times New Roman" w:hAnsi="Times New Roman"/>
          <w:color w:val="000000"/>
          <w:lang w:val="lt-LT"/>
        </w:rPr>
        <w:t xml:space="preserve"> 55,89</w:t>
      </w:r>
      <w:r w:rsidRPr="00C21D49">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2,79</w:t>
      </w:r>
      <w:r w:rsidRPr="00C21D49">
        <w:rPr>
          <w:rFonts w:ascii="Times New Roman" w:hAnsi="Times New Roman"/>
          <w:color w:val="000000"/>
          <w:lang w:val="lt-LT"/>
        </w:rPr>
        <w:t xml:space="preserve"> % didžiausios rekomenduojamos natrio paros normos suaugusiesiems.</w:t>
      </w:r>
    </w:p>
    <w:p w14:paraId="49299883" w14:textId="77777777" w:rsidR="00B932D0"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BCCA63D"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5126B65"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81" w:name="_Toc129243141"/>
      <w:bookmarkStart w:id="82" w:name="_Toc129243266"/>
      <w:r w:rsidRPr="001D15C7">
        <w:rPr>
          <w:rFonts w:ascii="Times New Roman" w:eastAsia="Times New Roman" w:hAnsi="Times New Roman"/>
          <w:b/>
          <w:lang w:val="lt-LT"/>
        </w:rPr>
        <w:t>3.</w:t>
      </w:r>
      <w:r w:rsidRPr="001D15C7">
        <w:rPr>
          <w:rFonts w:ascii="Times New Roman" w:eastAsia="Times New Roman" w:hAnsi="Times New Roman"/>
          <w:b/>
          <w:lang w:val="lt-LT"/>
        </w:rPr>
        <w:tab/>
        <w:t xml:space="preserve">Kaip vartoti </w:t>
      </w:r>
      <w:bookmarkEnd w:id="81"/>
      <w:bookmarkEnd w:id="82"/>
      <w:r w:rsidRPr="001D15C7">
        <w:rPr>
          <w:rFonts w:ascii="Times New Roman" w:eastAsia="Times New Roman" w:hAnsi="Times New Roman"/>
          <w:b/>
          <w:lang w:val="lt-LT"/>
        </w:rPr>
        <w:t>NUROFEN FORTE EXPRESS</w:t>
      </w:r>
    </w:p>
    <w:p w14:paraId="3EAED77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48D8910" w14:textId="77777777" w:rsidR="00B932D0" w:rsidRPr="001D15C7" w:rsidRDefault="00B932D0" w:rsidP="00B932D0">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noProof/>
          <w:lang w:val="lt-LT"/>
        </w:rPr>
        <w:t>Visada</w:t>
      </w:r>
      <w:r w:rsidRPr="001D15C7">
        <w:rPr>
          <w:rFonts w:ascii="Times New Roman" w:eastAsia="Times New Roman" w:hAnsi="Times New Roman"/>
          <w:lang w:val="lt-LT"/>
        </w:rPr>
        <w:t xml:space="preserve"> vartokite </w:t>
      </w:r>
      <w:r w:rsidRPr="001D15C7">
        <w:rPr>
          <w:rFonts w:ascii="Times New Roman" w:eastAsia="Times New Roman" w:hAnsi="Times New Roman"/>
          <w:noProof/>
          <w:lang w:val="lt-LT"/>
        </w:rPr>
        <w:t xml:space="preserve">šį vaistą </w:t>
      </w:r>
      <w:r w:rsidRPr="001D15C7">
        <w:rPr>
          <w:rFonts w:ascii="Times New Roman" w:eastAsia="Times New Roman" w:hAnsi="Times New Roman"/>
          <w:lang w:val="lt-LT"/>
        </w:rPr>
        <w:t>tiksliai kaip nurodė gydytojas</w:t>
      </w:r>
      <w:r w:rsidRPr="001D15C7">
        <w:rPr>
          <w:rFonts w:ascii="Times New Roman" w:eastAsia="Times New Roman" w:hAnsi="Times New Roman"/>
          <w:noProof/>
          <w:lang w:val="lt-LT"/>
        </w:rPr>
        <w:t xml:space="preserve"> arba vaistininkas.</w:t>
      </w:r>
      <w:r w:rsidRPr="001D15C7">
        <w:rPr>
          <w:rFonts w:ascii="Times New Roman" w:eastAsia="Times New Roman" w:hAnsi="Times New Roman"/>
          <w:lang w:val="lt-LT"/>
        </w:rPr>
        <w:t xml:space="preserve"> Jeigu abejojate, kreipkitės į </w:t>
      </w:r>
      <w:r w:rsidRPr="001D15C7">
        <w:rPr>
          <w:rFonts w:ascii="Times New Roman" w:eastAsia="Times New Roman" w:hAnsi="Times New Roman"/>
          <w:noProof/>
          <w:lang w:val="lt-LT"/>
        </w:rPr>
        <w:t xml:space="preserve"> </w:t>
      </w:r>
      <w:r w:rsidRPr="001D15C7">
        <w:rPr>
          <w:rFonts w:ascii="Times New Roman" w:eastAsia="Times New Roman" w:hAnsi="Times New Roman"/>
          <w:lang w:val="lt-LT"/>
        </w:rPr>
        <w:t xml:space="preserve">gydytoją arba vaistininką. </w:t>
      </w:r>
    </w:p>
    <w:p w14:paraId="54CFFC8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A18DA4F"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i/>
          <w:lang w:val="lt-LT"/>
        </w:rPr>
        <w:t xml:space="preserve">Suaugusiems ir vyresniems kaip 12 metų </w:t>
      </w:r>
      <w:r>
        <w:rPr>
          <w:rFonts w:ascii="Times New Roman" w:eastAsia="Times New Roman" w:hAnsi="Times New Roman"/>
          <w:i/>
          <w:lang w:val="lt-LT"/>
        </w:rPr>
        <w:t>paaugliams</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 xml:space="preserve">po 1 dengtą tabletę 3 kartus per parą, vartojant kas aštuonias valandas. Nereikėtų viršyti didžiausios ibuprofeno paros dozės - 1200 mg (3 dengtų tablečių). </w:t>
      </w:r>
    </w:p>
    <w:p w14:paraId="367BD2CE"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752F4F7"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lastRenderedPageBreak/>
        <w:t>Tabletes reikia nuryti valgio metu arba pavalgius, užsigeriant pakankamu skysčio kiekiu.</w:t>
      </w:r>
    </w:p>
    <w:p w14:paraId="548C702F"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Jei vyresniems kaip 12 metų </w:t>
      </w:r>
      <w:r>
        <w:rPr>
          <w:rFonts w:ascii="Times New Roman" w:eastAsia="Times New Roman" w:hAnsi="Times New Roman"/>
          <w:lang w:val="lt-LT"/>
        </w:rPr>
        <w:t>paaugliams</w:t>
      </w:r>
      <w:r w:rsidRPr="001D15C7">
        <w:rPr>
          <w:rFonts w:ascii="Times New Roman" w:eastAsia="Times New Roman" w:hAnsi="Times New Roman"/>
          <w:lang w:val="lt-LT"/>
        </w:rPr>
        <w:t xml:space="preserve"> šio vaisto vartoti reikia ilgiau nei 3 paras ar simptomai pasunkėja, reikia pasitarti su gydytoju.</w:t>
      </w:r>
    </w:p>
    <w:p w14:paraId="2AB8ADB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9ED1BE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i/>
          <w:noProof/>
          <w:lang w:val="lt-LT"/>
        </w:rPr>
        <w:t>Senyviems žmonėms, pacientams, kurių inkstų ar kepenų funkcija sutrikusi:</w:t>
      </w:r>
      <w:r w:rsidRPr="001D15C7">
        <w:rPr>
          <w:rFonts w:ascii="Times New Roman" w:eastAsia="Times New Roman" w:hAnsi="Times New Roman"/>
          <w:noProof/>
          <w:lang w:val="lt-LT"/>
        </w:rPr>
        <w:t xml:space="preserve"> specialaus dozavimo nereikia, tačiau vaistą reikia vartoti atsargiai. </w:t>
      </w:r>
    </w:p>
    <w:p w14:paraId="68532468"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Esant sunkiam inkstų arba kepenų nepakankamumui, vaisto vartoti negalima.</w:t>
      </w:r>
    </w:p>
    <w:p w14:paraId="58A8A74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9267EE0" w14:textId="77777777" w:rsidR="00B932D0" w:rsidRPr="009B2430" w:rsidRDefault="00B932D0" w:rsidP="00B932D0">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4DE2BAC"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 xml:space="preserve">Jei simptomai per tris paras išlieka ar blogėja, reikalinga gydytojo konsultacija, dėl NUROFEN FORTE EXPRESS 400 mg dengtos tabletės vartojimo. </w:t>
      </w:r>
    </w:p>
    <w:p w14:paraId="4A3E263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D4D3026" w14:textId="1B2A5546" w:rsidR="00B932D0" w:rsidRPr="001D15C7" w:rsidRDefault="00B932D0" w:rsidP="00B932D0">
      <w:pPr>
        <w:tabs>
          <w:tab w:val="left" w:pos="567"/>
        </w:tabs>
        <w:spacing w:after="0" w:line="220" w:lineRule="exact"/>
        <w:rPr>
          <w:rFonts w:ascii="Times New Roman" w:eastAsia="Times New Roman" w:hAnsi="Times New Roman"/>
          <w:lang w:val="lt-LT"/>
        </w:rPr>
      </w:pPr>
      <w:r w:rsidRPr="001D15C7">
        <w:rPr>
          <w:rFonts w:ascii="Times New Roman" w:eastAsia="Times New Roman" w:hAnsi="Times New Roman"/>
          <w:b/>
          <w:bCs/>
          <w:lang w:val="lt-LT"/>
        </w:rPr>
        <w:t>Ką daryti pavartojus</w:t>
      </w:r>
      <w:r w:rsidRPr="001D15C7">
        <w:rPr>
          <w:rFonts w:ascii="Times New Roman" w:eastAsia="Times New Roman" w:hAnsi="Times New Roman"/>
          <w:b/>
          <w:lang w:val="lt-LT"/>
        </w:rPr>
        <w:t xml:space="preserve"> per didelę NUROFEN FORTE EXPRESS dozę</w:t>
      </w:r>
    </w:p>
    <w:p w14:paraId="253CFAAC"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Pavartojus per didelę NUROFEN FORTE EXPRESS dozę, reikia nedelsiant kreiptis į gydytoją. </w:t>
      </w:r>
    </w:p>
    <w:p w14:paraId="2F695C4C" w14:textId="77777777" w:rsidR="00B932D0" w:rsidRPr="001D15C7" w:rsidRDefault="00B932D0" w:rsidP="00B932D0">
      <w:pPr>
        <w:tabs>
          <w:tab w:val="left" w:pos="567"/>
        </w:tabs>
        <w:spacing w:after="0" w:line="240" w:lineRule="auto"/>
        <w:rPr>
          <w:rFonts w:ascii="Times New Roman" w:hAnsi="Times New Roman"/>
          <w:i/>
          <w:lang w:val="lt-LT"/>
        </w:rPr>
      </w:pPr>
    </w:p>
    <w:p w14:paraId="780691D8" w14:textId="77777777" w:rsidR="00B932D0" w:rsidRPr="001D15C7" w:rsidRDefault="00B932D0" w:rsidP="00B932D0">
      <w:pPr>
        <w:tabs>
          <w:tab w:val="left" w:pos="567"/>
        </w:tabs>
        <w:spacing w:after="0" w:line="240" w:lineRule="auto"/>
        <w:rPr>
          <w:rFonts w:ascii="Times New Roman" w:hAnsi="Times New Roman"/>
          <w:i/>
          <w:lang w:val="lt-LT"/>
        </w:rPr>
      </w:pPr>
      <w:r w:rsidRPr="001D15C7">
        <w:rPr>
          <w:rFonts w:ascii="Times New Roman" w:hAnsi="Times New Roman"/>
          <w:i/>
          <w:lang w:val="lt-LT"/>
        </w:rPr>
        <w:t>Metabolinės acidozės simptomai</w:t>
      </w:r>
    </w:p>
    <w:p w14:paraId="2F15FB30" w14:textId="77777777" w:rsidR="00B932D0" w:rsidRPr="001D15C7" w:rsidRDefault="00B932D0" w:rsidP="00B932D0">
      <w:pPr>
        <w:spacing w:after="0" w:line="240" w:lineRule="auto"/>
        <w:rPr>
          <w:rFonts w:ascii="Times New Roman" w:eastAsia="SimSun" w:hAnsi="Times New Roman"/>
          <w:lang w:val="lt-LT" w:eastAsia="lt-LT"/>
        </w:rPr>
      </w:pPr>
      <w:r w:rsidRPr="001D15C7">
        <w:rPr>
          <w:rFonts w:ascii="Times New Roman" w:eastAsia="SimSun" w:hAnsi="Times New Roman"/>
          <w:lang w:val="lt-LT" w:eastAsia="lt-LT"/>
        </w:rPr>
        <w:t xml:space="preserve">Jei suvartojote per didelę </w:t>
      </w:r>
      <w:r w:rsidRPr="001D15C7">
        <w:rPr>
          <w:rFonts w:ascii="Times New Roman" w:hAnsi="Times New Roman"/>
          <w:lang w:val="lt-LT"/>
        </w:rPr>
        <w:t>NUROFEN</w:t>
      </w:r>
      <w:r w:rsidRPr="001D15C7">
        <w:rPr>
          <w:rFonts w:ascii="Times New Roman" w:eastAsia="SimSun" w:hAnsi="Times New Roman"/>
          <w:lang w:val="lt-LT" w:eastAsia="lt-LT"/>
        </w:rPr>
        <w:t xml:space="preserve"> FORTE dozę arba jei vaikai atsitiktinai suvartojo šio vaisto, visada kreipkitės į gydytoją ar artimiausią ligoninę, kad jie išreikštų savo nuomonę dėl galimos rizikos ir patartų, kokių veiksmų reikia imtis.</w:t>
      </w:r>
    </w:p>
    <w:p w14:paraId="795233AE"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SimSun" w:hAnsi="Times New Roman" w:cs="Verdana"/>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14:paraId="619592D8" w14:textId="77777777" w:rsidR="00B932D0" w:rsidRPr="001D15C7" w:rsidRDefault="00B932D0" w:rsidP="00B932D0">
      <w:pPr>
        <w:tabs>
          <w:tab w:val="left" w:pos="567"/>
        </w:tabs>
        <w:spacing w:after="0" w:line="240" w:lineRule="auto"/>
        <w:rPr>
          <w:rFonts w:ascii="Times New Roman" w:eastAsia="Times New Roman" w:hAnsi="Times New Roman"/>
          <w:lang w:val="lt-LT"/>
        </w:rPr>
      </w:pPr>
    </w:p>
    <w:p w14:paraId="422F5364" w14:textId="77777777" w:rsidR="00B932D0" w:rsidRPr="001D15C7" w:rsidRDefault="00B932D0" w:rsidP="00B932D0">
      <w:pPr>
        <w:tabs>
          <w:tab w:val="left" w:pos="567"/>
        </w:tabs>
        <w:spacing w:after="0" w:line="220" w:lineRule="exact"/>
        <w:rPr>
          <w:rFonts w:ascii="Times New Roman" w:eastAsia="Times New Roman" w:hAnsi="Times New Roman"/>
          <w:lang w:val="lt-LT"/>
        </w:rPr>
      </w:pPr>
      <w:r w:rsidRPr="001D15C7">
        <w:rPr>
          <w:rFonts w:ascii="Times New Roman" w:eastAsia="Times New Roman" w:hAnsi="Times New Roman"/>
          <w:b/>
          <w:lang w:val="lt-LT"/>
        </w:rPr>
        <w:t>Pamiršus pavartoti NUROFEN FORTE EXPRESS</w:t>
      </w:r>
    </w:p>
    <w:p w14:paraId="2C9F04E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Negalima vartoti dvigubos dozės norint kompensuoti praleistą dozę.</w:t>
      </w:r>
    </w:p>
    <w:p w14:paraId="6B8B3EF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57FBAD5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6D370A53"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r w:rsidRPr="001D15C7">
        <w:rPr>
          <w:rFonts w:ascii="Times New Roman" w:eastAsia="Times New Roman" w:hAnsi="Times New Roman"/>
          <w:b/>
          <w:lang w:val="lt-LT"/>
        </w:rPr>
        <w:t>4.</w:t>
      </w:r>
      <w:r w:rsidRPr="001D15C7">
        <w:rPr>
          <w:rFonts w:ascii="Times New Roman" w:eastAsia="Times New Roman" w:hAnsi="Times New Roman"/>
          <w:b/>
          <w:lang w:val="lt-LT"/>
        </w:rPr>
        <w:tab/>
        <w:t>Galimas šalutinis poveikis</w:t>
      </w:r>
    </w:p>
    <w:p w14:paraId="7393F2C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DD6D554"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noProof/>
          <w:lang w:val="lt-LT"/>
        </w:rPr>
        <w:t>Šis vaistas</w:t>
      </w:r>
      <w:r w:rsidRPr="001D15C7">
        <w:rPr>
          <w:rFonts w:ascii="Times New Roman" w:eastAsia="Times New Roman" w:hAnsi="Times New Roman"/>
          <w:lang w:val="lt-LT"/>
        </w:rPr>
        <w:t>, kaip ir visi kiti, gali sukelti šalutinį poveikį, nors jis pasireiškia ne visiems žmonėms.</w:t>
      </w:r>
    </w:p>
    <w:p w14:paraId="05C2C12D" w14:textId="77777777" w:rsidR="00B932D0" w:rsidRPr="001D15C7" w:rsidRDefault="00B932D0" w:rsidP="00B932D0">
      <w:pPr>
        <w:spacing w:after="0" w:line="240" w:lineRule="auto"/>
        <w:rPr>
          <w:rFonts w:ascii="Times New Roman" w:eastAsia="Times New Roman" w:hAnsi="Times New Roman"/>
          <w:lang w:val="lt-LT"/>
        </w:rPr>
      </w:pPr>
    </w:p>
    <w:p w14:paraId="1B797DAB"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Tokie vaistai, kaip NUROFEN FORTE EXPRESS, gali būti susiję su širdies priepuolio („miokardo infarkto“) ar insulto pavojaus nedideliu padidėjimu.</w:t>
      </w:r>
    </w:p>
    <w:p w14:paraId="1ED6C3F1" w14:textId="77777777" w:rsidR="00B932D0" w:rsidRPr="001D15C7" w:rsidRDefault="00B932D0" w:rsidP="00B932D0">
      <w:pPr>
        <w:spacing w:after="0" w:line="240" w:lineRule="auto"/>
        <w:rPr>
          <w:rFonts w:ascii="Times New Roman" w:eastAsia="Times New Roman" w:hAnsi="Times New Roman"/>
          <w:lang w:val="lt-LT"/>
        </w:rPr>
      </w:pPr>
    </w:p>
    <w:p w14:paraId="43DF8997" w14:textId="17BBCDE4" w:rsidR="00EA023B" w:rsidRPr="002F3B5B" w:rsidRDefault="00EA023B" w:rsidP="002F3B5B">
      <w:pPr>
        <w:numPr>
          <w:ilvl w:val="12"/>
          <w:numId w:val="0"/>
        </w:numPr>
        <w:spacing w:after="0" w:line="259" w:lineRule="auto"/>
        <w:rPr>
          <w:rFonts w:asciiTheme="majorBidi" w:hAnsiTheme="majorBidi"/>
          <w:b/>
          <w:bCs/>
          <w:i/>
          <w:lang w:val="lt-LT"/>
        </w:rPr>
      </w:pPr>
      <w:r w:rsidRPr="002F3B5B">
        <w:rPr>
          <w:rFonts w:asciiTheme="majorBidi" w:hAnsiTheme="majorBidi" w:cstheme="majorBidi"/>
          <w:b/>
          <w:bCs/>
          <w:noProof/>
          <w:snapToGrid w:val="0"/>
          <w:lang w:val="lt-LT"/>
        </w:rPr>
        <w:t>Nedažni šalutinio poveikio reiškiniai</w:t>
      </w:r>
      <w:r w:rsidRPr="002F3B5B">
        <w:rPr>
          <w:rFonts w:asciiTheme="majorBidi" w:hAnsiTheme="majorBidi"/>
          <w:b/>
          <w:bCs/>
          <w:lang w:val="lt-LT"/>
        </w:rPr>
        <w:t xml:space="preserve"> (gali pasireikšti </w:t>
      </w:r>
      <w:r w:rsidRPr="002F3B5B">
        <w:rPr>
          <w:rFonts w:asciiTheme="majorBidi" w:hAnsiTheme="majorBidi" w:cstheme="majorBidi"/>
          <w:b/>
          <w:bCs/>
          <w:noProof/>
          <w:snapToGrid w:val="0"/>
          <w:lang w:val="lt-LT"/>
        </w:rPr>
        <w:t>rečiau kaip</w:t>
      </w:r>
      <w:r w:rsidRPr="002F3B5B">
        <w:rPr>
          <w:rFonts w:asciiTheme="majorBidi" w:hAnsiTheme="majorBidi"/>
          <w:b/>
          <w:bCs/>
          <w:lang w:val="lt-LT"/>
        </w:rPr>
        <w:t xml:space="preserve"> 1 iš 100 </w:t>
      </w:r>
      <w:r w:rsidRPr="002F3B5B">
        <w:rPr>
          <w:rFonts w:asciiTheme="majorBidi" w:hAnsiTheme="majorBidi" w:cstheme="majorBidi"/>
          <w:b/>
          <w:bCs/>
          <w:noProof/>
          <w:snapToGrid w:val="0"/>
          <w:lang w:val="lt-LT"/>
        </w:rPr>
        <w:t>asmenų):</w:t>
      </w:r>
    </w:p>
    <w:p w14:paraId="7FC71F49" w14:textId="77777777" w:rsidR="00B932D0" w:rsidRPr="001D15C7" w:rsidRDefault="00B932D0" w:rsidP="00B932D0">
      <w:pPr>
        <w:numPr>
          <w:ilvl w:val="0"/>
          <w:numId w:val="10"/>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Padidėjusio jautrumo reakcijos, pasireiškiančios dilgėline (staigus </w:t>
      </w:r>
      <w:r w:rsidRPr="001D15C7">
        <w:rPr>
          <w:rFonts w:ascii="Times New Roman" w:eastAsia="Times New Roman" w:hAnsi="Times New Roman"/>
          <w:shd w:val="clear" w:color="auto" w:fill="FFFFFF"/>
          <w:lang w:val="lt-LT"/>
        </w:rPr>
        <w:t>odos ir gleivinės išbėrimas niežtinčiomis pūkšlėmis)</w:t>
      </w:r>
      <w:r w:rsidRPr="001D15C7">
        <w:rPr>
          <w:rFonts w:ascii="Times New Roman" w:eastAsia="Times New Roman" w:hAnsi="Times New Roman"/>
          <w:lang w:val="lt-LT"/>
        </w:rPr>
        <w:t xml:space="preserve"> ir niežėjimu.</w:t>
      </w:r>
    </w:p>
    <w:p w14:paraId="15082676" w14:textId="77777777" w:rsidR="00B932D0" w:rsidRPr="001D15C7" w:rsidRDefault="00B932D0" w:rsidP="00B932D0">
      <w:pPr>
        <w:numPr>
          <w:ilvl w:val="0"/>
          <w:numId w:val="10"/>
        </w:numPr>
        <w:spacing w:after="0" w:line="240" w:lineRule="auto"/>
        <w:rPr>
          <w:rFonts w:ascii="Times New Roman" w:eastAsia="Times New Roman" w:hAnsi="Times New Roman"/>
          <w:lang w:val="lt-LT"/>
        </w:rPr>
      </w:pPr>
      <w:r w:rsidRPr="001D15C7">
        <w:rPr>
          <w:rFonts w:ascii="Times New Roman" w:eastAsia="Times New Roman" w:hAnsi="Times New Roman"/>
          <w:lang w:val="lt-LT"/>
        </w:rPr>
        <w:t>Galvos skausmas.</w:t>
      </w:r>
    </w:p>
    <w:p w14:paraId="74B848EB" w14:textId="77777777" w:rsidR="00B932D0" w:rsidRPr="001D15C7" w:rsidRDefault="00B932D0" w:rsidP="00B932D0">
      <w:pPr>
        <w:numPr>
          <w:ilvl w:val="0"/>
          <w:numId w:val="10"/>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Pilvo skausmas, pykinimas ir dispepsija.</w:t>
      </w:r>
    </w:p>
    <w:p w14:paraId="5CD24738" w14:textId="77777777" w:rsidR="00B932D0" w:rsidRPr="001D15C7" w:rsidRDefault="00B932D0" w:rsidP="00B932D0">
      <w:pPr>
        <w:numPr>
          <w:ilvl w:val="0"/>
          <w:numId w:val="10"/>
        </w:numPr>
        <w:spacing w:after="0" w:line="240" w:lineRule="auto"/>
        <w:rPr>
          <w:rFonts w:ascii="Times New Roman" w:eastAsia="Times New Roman" w:hAnsi="Times New Roman"/>
          <w:lang w:val="lt-LT"/>
        </w:rPr>
      </w:pPr>
      <w:r w:rsidRPr="001D15C7">
        <w:rPr>
          <w:rFonts w:ascii="Times New Roman" w:eastAsia="Times New Roman" w:hAnsi="Times New Roman"/>
          <w:lang w:val="lt-LT"/>
        </w:rPr>
        <w:t>Įvairūs odos išbėrimai.</w:t>
      </w:r>
    </w:p>
    <w:p w14:paraId="0A032642" w14:textId="77777777" w:rsidR="00B932D0" w:rsidRPr="001D15C7" w:rsidRDefault="00B932D0" w:rsidP="00B932D0">
      <w:pPr>
        <w:spacing w:after="0" w:line="240" w:lineRule="auto"/>
        <w:rPr>
          <w:rFonts w:ascii="Times New Roman" w:eastAsia="Times New Roman" w:hAnsi="Times New Roman"/>
          <w:lang w:val="lt-LT"/>
        </w:rPr>
      </w:pPr>
    </w:p>
    <w:p w14:paraId="11EE5870" w14:textId="16410C11" w:rsidR="00C8313E" w:rsidRPr="00127E05" w:rsidRDefault="00C8313E" w:rsidP="002F3B5B">
      <w:pPr>
        <w:numPr>
          <w:ilvl w:val="12"/>
          <w:numId w:val="0"/>
        </w:numPr>
        <w:spacing w:after="0" w:line="259" w:lineRule="auto"/>
        <w:rPr>
          <w:rFonts w:ascii="Times New Roman" w:hAnsi="Times New Roman"/>
          <w:i/>
          <w:lang w:val="lt-LT"/>
        </w:rPr>
      </w:pPr>
      <w:r w:rsidRPr="002F3B5B">
        <w:rPr>
          <w:rFonts w:ascii="Times New Roman" w:hAnsi="Times New Roman"/>
          <w:b/>
          <w:bCs/>
          <w:noProof/>
          <w:snapToGrid w:val="0"/>
          <w:lang w:val="lt-LT"/>
        </w:rPr>
        <w:t>Reti šalutinio poveikio reiškiniai</w:t>
      </w:r>
      <w:r w:rsidRPr="002F3B5B">
        <w:rPr>
          <w:rFonts w:ascii="Times New Roman" w:hAnsi="Times New Roman"/>
          <w:b/>
          <w:bCs/>
          <w:lang w:val="lt-LT"/>
        </w:rPr>
        <w:t xml:space="preserve"> (gali pasireikšti </w:t>
      </w:r>
      <w:r w:rsidRPr="002F3B5B">
        <w:rPr>
          <w:rFonts w:ascii="Times New Roman" w:hAnsi="Times New Roman"/>
          <w:b/>
          <w:bCs/>
          <w:noProof/>
          <w:snapToGrid w:val="0"/>
          <w:lang w:val="lt-LT"/>
        </w:rPr>
        <w:t>rečiau kaip</w:t>
      </w:r>
      <w:r w:rsidRPr="002F3B5B">
        <w:rPr>
          <w:rFonts w:ascii="Times New Roman" w:hAnsi="Times New Roman"/>
          <w:b/>
          <w:bCs/>
          <w:lang w:val="lt-LT"/>
        </w:rPr>
        <w:t xml:space="preserve"> 1 iš </w:t>
      </w:r>
      <w:r w:rsidRPr="002F3B5B">
        <w:rPr>
          <w:rFonts w:ascii="Times New Roman" w:hAnsi="Times New Roman"/>
          <w:b/>
          <w:bCs/>
          <w:noProof/>
          <w:snapToGrid w:val="0"/>
          <w:lang w:val="lt-LT"/>
        </w:rPr>
        <w:t>1 000 asmenų)</w:t>
      </w:r>
      <w:r w:rsidRPr="00DF089E">
        <w:rPr>
          <w:rFonts w:ascii="Times New Roman" w:hAnsi="Times New Roman"/>
          <w:noProof/>
          <w:snapToGrid w:val="0"/>
          <w:lang w:val="lt-LT"/>
        </w:rPr>
        <w:t>:</w:t>
      </w:r>
    </w:p>
    <w:p w14:paraId="57C7F35A" w14:textId="77777777" w:rsidR="00B932D0" w:rsidRPr="001D15C7" w:rsidRDefault="00B932D0" w:rsidP="00B932D0">
      <w:pPr>
        <w:numPr>
          <w:ilvl w:val="0"/>
          <w:numId w:val="11"/>
        </w:numPr>
        <w:spacing w:after="0" w:line="240" w:lineRule="auto"/>
        <w:rPr>
          <w:rFonts w:ascii="Times New Roman" w:eastAsia="Times New Roman" w:hAnsi="Times New Roman"/>
          <w:lang w:val="lt-LT"/>
        </w:rPr>
      </w:pPr>
      <w:r w:rsidRPr="001D15C7">
        <w:rPr>
          <w:rFonts w:ascii="Times New Roman" w:eastAsia="Times New Roman" w:hAnsi="Times New Roman"/>
          <w:lang w:val="lt-LT"/>
        </w:rPr>
        <w:t>Viduriavimas, vidurių pūtimas, vidurių užkietėjimas ir vėmimas.</w:t>
      </w:r>
    </w:p>
    <w:p w14:paraId="2CCFB031" w14:textId="77777777" w:rsidR="00B932D0" w:rsidRPr="001D15C7" w:rsidRDefault="00B932D0" w:rsidP="00B932D0">
      <w:pPr>
        <w:spacing w:after="0" w:line="240" w:lineRule="auto"/>
        <w:rPr>
          <w:rFonts w:ascii="Times New Roman" w:eastAsia="Times New Roman" w:hAnsi="Times New Roman"/>
          <w:lang w:val="lt-LT"/>
        </w:rPr>
      </w:pPr>
    </w:p>
    <w:p w14:paraId="54E3CAC6" w14:textId="66BBDD79" w:rsidR="005D2E82" w:rsidRPr="002F3B5B" w:rsidRDefault="005D2E82" w:rsidP="002F3B5B">
      <w:pPr>
        <w:spacing w:after="0" w:line="259" w:lineRule="auto"/>
        <w:rPr>
          <w:rFonts w:ascii="Times New Roman" w:eastAsia="Times New Roman" w:hAnsi="Times New Roman"/>
          <w:b/>
          <w:bCs/>
          <w:i/>
          <w:lang w:val="lt-LT"/>
        </w:rPr>
      </w:pPr>
      <w:r w:rsidRPr="002F3B5B">
        <w:rPr>
          <w:rFonts w:ascii="Times New Roman" w:hAnsi="Times New Roman"/>
          <w:b/>
          <w:bCs/>
          <w:lang w:val="lt-LT"/>
        </w:rPr>
        <w:t xml:space="preserve">Labai </w:t>
      </w:r>
      <w:r w:rsidRPr="002F3B5B">
        <w:rPr>
          <w:rFonts w:ascii="Times New Roman" w:hAnsi="Times New Roman"/>
          <w:b/>
          <w:bCs/>
          <w:noProof/>
          <w:snapToGrid w:val="0"/>
          <w:lang w:val="lt-LT"/>
        </w:rPr>
        <w:t>reti šalutinio poveikio reiškiniai</w:t>
      </w:r>
      <w:r w:rsidRPr="002F3B5B">
        <w:rPr>
          <w:rFonts w:ascii="Times New Roman" w:hAnsi="Times New Roman"/>
          <w:b/>
          <w:bCs/>
          <w:lang w:val="lt-LT"/>
        </w:rPr>
        <w:t xml:space="preserve"> (gali pasireikšti </w:t>
      </w:r>
      <w:r w:rsidRPr="002F3B5B">
        <w:rPr>
          <w:rFonts w:ascii="Times New Roman" w:hAnsi="Times New Roman"/>
          <w:b/>
          <w:bCs/>
          <w:noProof/>
          <w:snapToGrid w:val="0"/>
          <w:lang w:val="lt-LT"/>
        </w:rPr>
        <w:t>rečiau kaip</w:t>
      </w:r>
      <w:r w:rsidRPr="002F3B5B">
        <w:rPr>
          <w:rFonts w:ascii="Times New Roman" w:hAnsi="Times New Roman"/>
          <w:b/>
          <w:bCs/>
          <w:lang w:val="lt-LT"/>
        </w:rPr>
        <w:t xml:space="preserve"> 1 iš </w:t>
      </w:r>
      <w:r w:rsidRPr="002F3B5B">
        <w:rPr>
          <w:rFonts w:ascii="Times New Roman" w:hAnsi="Times New Roman"/>
          <w:b/>
          <w:bCs/>
          <w:noProof/>
          <w:snapToGrid w:val="0"/>
          <w:lang w:val="lt-LT"/>
        </w:rPr>
        <w:t>10 000 asmenų):</w:t>
      </w:r>
    </w:p>
    <w:p w14:paraId="44D96137"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Sutrikusi kraujodara (mažakraujystė, mažakraujystė, sukelta raudonųjų kraujo ląstelių irimo), mažakraujsytė, sukelta kaulų čiulpų funkcijos sutrikimo, kuomet nustojama gaminti visų trijų kraujo ląstelių (aplastinė anemija), leukopenija (baltųjų kraujo ląstelių kiekio sumažėjimas), trombocitopenija (kraujo krešėjimo ląstelių kiekio sumažėjimas), pancitopenija (visų kraujo </w:t>
      </w:r>
      <w:r w:rsidRPr="001D15C7">
        <w:rPr>
          <w:rFonts w:ascii="Times New Roman" w:eastAsia="Times New Roman" w:hAnsi="Times New Roman"/>
          <w:lang w:val="lt-LT"/>
        </w:rPr>
        <w:lastRenderedPageBreak/>
        <w:t>ląstelių kiekio sumažėjimas), agranulocitozė (grūdėtųjų baltųjų kraujo ląstelių sumažėjimas). Pirmieji požymiai yra karščiavimas, gerklės skausmas, burnos gleivinės opos, į gripą panašūs simptomai, sunkus išsekimas, kraujavimas iš nosies ir odos kraujosruvos.</w:t>
      </w:r>
    </w:p>
    <w:p w14:paraId="627359C3"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Sunkios padidėjusio jautrumo reakcijos, kurių simptomai gali būti: veido, liežuvio ir gerklų paburkimas, dusulys, padidėjęs širdies susitraukimų dažnis, sumažėjęs kraujospūdis (t.y., anafilaksija</w:t>
      </w:r>
      <w:r w:rsidRPr="001D15C7">
        <w:rPr>
          <w:rFonts w:ascii="Times New Roman" w:eastAsia="Times New Roman" w:hAnsi="Times New Roman"/>
          <w:i/>
          <w:lang w:val="lt-LT"/>
        </w:rPr>
        <w:t xml:space="preserve"> </w:t>
      </w:r>
      <w:r w:rsidRPr="001D15C7">
        <w:rPr>
          <w:rFonts w:ascii="Times New Roman" w:eastAsia="Times New Roman" w:hAnsi="Times New Roman"/>
          <w:lang w:val="lt-LT"/>
        </w:rPr>
        <w:t>(</w:t>
      </w:r>
      <w:r w:rsidRPr="001D15C7">
        <w:rPr>
          <w:rFonts w:ascii="Times New Roman" w:eastAsia="Times New Roman" w:hAnsi="Times New Roman"/>
          <w:shd w:val="clear" w:color="auto" w:fill="FFFFFF"/>
          <w:lang w:val="lt-LT"/>
        </w:rPr>
        <w:t xml:space="preserve">staigi </w:t>
      </w:r>
      <w:r w:rsidRPr="001D15C7">
        <w:rPr>
          <w:rFonts w:ascii="Times New Roman" w:eastAsia="Times New Roman" w:hAnsi="Times New Roman"/>
          <w:lang w:val="lt-LT"/>
        </w:rPr>
        <w:t>alerginė </w:t>
      </w:r>
      <w:hyperlink r:id="rId9" w:tooltip="reakcija" w:history="1">
        <w:r w:rsidRPr="001D15C7">
          <w:rPr>
            <w:rFonts w:ascii="Times New Roman" w:eastAsia="Times New Roman" w:hAnsi="Times New Roman"/>
            <w:lang w:val="lt-LT"/>
          </w:rPr>
          <w:t>reakcija</w:t>
        </w:r>
      </w:hyperlink>
      <w:r w:rsidRPr="001D15C7">
        <w:rPr>
          <w:rFonts w:ascii="Times New Roman" w:eastAsia="Times New Roman" w:hAnsi="Times New Roman"/>
          <w:lang w:val="lt-LT"/>
        </w:rPr>
        <w:t>, </w:t>
      </w:r>
      <w:hyperlink r:id="rId10" w:tooltip="kuri" w:history="1">
        <w:r w:rsidRPr="001D15C7">
          <w:rPr>
            <w:rFonts w:ascii="Times New Roman" w:eastAsia="Times New Roman" w:hAnsi="Times New Roman"/>
            <w:lang w:val="lt-LT"/>
          </w:rPr>
          <w:t>kuri</w:t>
        </w:r>
      </w:hyperlink>
      <w:r w:rsidRPr="001D15C7">
        <w:rPr>
          <w:rFonts w:ascii="Times New Roman" w:eastAsia="Times New Roman" w:hAnsi="Times New Roman"/>
          <w:lang w:val="lt-LT"/>
        </w:rPr>
        <w:t> atsiranda suleidus į organizmą alergeno), angioneurozinė edema (alerginis audinių patinimas) ar sunkus šokas).</w:t>
      </w:r>
    </w:p>
    <w:p w14:paraId="7E47856C"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Kvėpavimo takų reaktyvumas, pasireiškiantis astma, paūmėjusia astma, bronchų spazmu ar dusuliu.</w:t>
      </w:r>
    </w:p>
    <w:p w14:paraId="18D67C8B"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Psichozė.</w:t>
      </w:r>
    </w:p>
    <w:p w14:paraId="7774A128"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Svaigulys, aseptinis meningitas.</w:t>
      </w:r>
    </w:p>
    <w:p w14:paraId="5057725E"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Regėjimo sutrikimai.</w:t>
      </w:r>
    </w:p>
    <w:p w14:paraId="45CB5D49" w14:textId="77777777" w:rsidR="00B932D0" w:rsidRPr="001D15C7" w:rsidRDefault="00B932D0" w:rsidP="00B932D0">
      <w:pPr>
        <w:numPr>
          <w:ilvl w:val="0"/>
          <w:numId w:val="12"/>
        </w:numPr>
        <w:spacing w:after="0" w:line="240" w:lineRule="auto"/>
        <w:rPr>
          <w:rFonts w:ascii="Times New Roman" w:eastAsia="Times New Roman" w:hAnsi="Times New Roman"/>
          <w:lang w:val="lt-LT"/>
        </w:rPr>
      </w:pPr>
      <w:r w:rsidRPr="001D15C7">
        <w:rPr>
          <w:rFonts w:ascii="Times New Roman" w:eastAsia="Times New Roman" w:hAnsi="Times New Roman"/>
          <w:lang w:val="lt-LT"/>
        </w:rPr>
        <w:t>Miokardo infarktas (širdies priepuolis), kūno patinimas.</w:t>
      </w:r>
    </w:p>
    <w:p w14:paraId="25C68AE5"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Padidėjęs kraujospūdis (hipertenzija), kraujagyslių uždegimas (vaskulitas).</w:t>
      </w:r>
    </w:p>
    <w:p w14:paraId="4CCB30B5" w14:textId="502C5A73"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14:paraId="2A186E77"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Opinio kolito (storosios žarnos uždegimas) ir Krono ligos (lėtinės uždegiminės žarnyno ligos, pažeidžiančios paviršinius ir giliuosius žarnų sluoksnius) paūmėjimas.</w:t>
      </w:r>
    </w:p>
    <w:p w14:paraId="0652957D"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Kepenų nepakankamumas, kepenų uždegimas (hepatitas), gelta, k</w:t>
      </w:r>
      <w:r w:rsidRPr="001D15C7">
        <w:rPr>
          <w:rFonts w:ascii="Times New Roman" w:eastAsia="Times New Roman" w:hAnsi="Times New Roman"/>
          <w:noProof/>
          <w:lang w:val="lt-LT"/>
        </w:rPr>
        <w:t>epenų funkcijos sutrikimai,  kepenų pažeidimas, ypatingai ilgai trunkančio gydymo metu.</w:t>
      </w:r>
    </w:p>
    <w:p w14:paraId="293D901D"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Sunkios odos reakcijos, pvz., pūslinės reakcijos, įskaitant Stivenso-Džonsono sindromą (</w:t>
      </w:r>
      <w:r w:rsidRPr="001D15C7">
        <w:rPr>
          <w:rFonts w:ascii="Times New Roman" w:eastAsia="Times New Roman" w:hAnsi="Times New Roman"/>
          <w:shd w:val="clear" w:color="auto" w:fill="FFFFFF"/>
          <w:lang w:val="lt-LT"/>
        </w:rPr>
        <w:t>labai sunki vaistų sukelta liga, kuriai būdingas ypač sunkus gleivinių pažeidimas)</w:t>
      </w:r>
      <w:r w:rsidRPr="001D15C7">
        <w:rPr>
          <w:rFonts w:ascii="Times New Roman" w:eastAsia="Times New Roman" w:hAnsi="Times New Roman"/>
          <w:lang w:val="lt-LT"/>
        </w:rPr>
        <w:t>, daugiaformę eritemą (</w:t>
      </w:r>
      <w:r w:rsidRPr="001D15C7">
        <w:rPr>
          <w:rFonts w:ascii="Times New Roman" w:eastAsia="Times New Roman" w:hAnsi="Times New Roman"/>
          <w:shd w:val="clear" w:color="auto" w:fill="FFFFFF"/>
          <w:lang w:val="lt-LT"/>
        </w:rPr>
        <w:t>odos liga, pasireiškianti simetriškai, raudonai, iškeltomis odos vietomis visame kūne)</w:t>
      </w:r>
      <w:r w:rsidRPr="001D15C7">
        <w:rPr>
          <w:rFonts w:ascii="Times New Roman" w:eastAsia="Times New Roman" w:hAnsi="Times New Roman"/>
          <w:lang w:val="lt-LT"/>
        </w:rPr>
        <w:t>, eksfoliacinį dermatitą (</w:t>
      </w:r>
      <w:r w:rsidRPr="001D15C7">
        <w:rPr>
          <w:rFonts w:ascii="Times New Roman" w:eastAsia="Times New Roman" w:hAnsi="Times New Roman"/>
          <w:shd w:val="clear" w:color="auto" w:fill="FFFFFF"/>
          <w:lang w:val="lt-LT"/>
        </w:rPr>
        <w:t>uždegiminė odos liga, kuriai būdingas paraudimas ir pleiskanojimas odos paviršiaus</w:t>
      </w:r>
      <w:r w:rsidRPr="001D15C7">
        <w:rPr>
          <w:rFonts w:ascii="Times New Roman" w:eastAsia="Times New Roman" w:hAnsi="Times New Roman"/>
          <w:lang w:val="lt-LT"/>
        </w:rPr>
        <w:t>) ir toksinę epidermio nekrolizę (odos paviršinio sluoksnio žūtis).</w:t>
      </w:r>
    </w:p>
    <w:p w14:paraId="39CE68C0"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Ūminis inkstų nepakankamumas; inkstų spenelių nekrozė (žuvimas) (ypač vartojant ilgą laiką), siejama su padidėjusiu šlapalo kiekiu serume ir edema (patinimu).</w:t>
      </w:r>
    </w:p>
    <w:p w14:paraId="3E955AC7" w14:textId="77777777" w:rsidR="00B932D0" w:rsidRPr="001D15C7" w:rsidRDefault="00B932D0" w:rsidP="00B932D0">
      <w:pPr>
        <w:numPr>
          <w:ilvl w:val="0"/>
          <w:numId w:val="13"/>
        </w:numPr>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Sumažėjęs hematokritas, hemoglobino kiekis ir sumažėjęs šlapalo klirensas.  </w:t>
      </w:r>
    </w:p>
    <w:p w14:paraId="02C853A5" w14:textId="77777777" w:rsidR="00B932D0" w:rsidRPr="001D15C7" w:rsidRDefault="00B932D0" w:rsidP="00B932D0">
      <w:pPr>
        <w:spacing w:after="0" w:line="240" w:lineRule="auto"/>
        <w:rPr>
          <w:rFonts w:ascii="Times New Roman" w:eastAsia="Times New Roman" w:hAnsi="Times New Roman"/>
          <w:lang w:val="lt-LT"/>
        </w:rPr>
      </w:pPr>
    </w:p>
    <w:p w14:paraId="074966D1" w14:textId="4512B773" w:rsidR="001717F4" w:rsidRPr="002F3B5B" w:rsidRDefault="001717F4" w:rsidP="002F3B5B">
      <w:pPr>
        <w:spacing w:after="0" w:line="259" w:lineRule="auto"/>
        <w:rPr>
          <w:rFonts w:ascii="Times New Roman" w:hAnsi="Times New Roman"/>
          <w:b/>
          <w:bCs/>
          <w:i/>
          <w:lang w:val="lt-LT"/>
        </w:rPr>
      </w:pPr>
      <w:r w:rsidRPr="002F3B5B">
        <w:rPr>
          <w:rFonts w:asciiTheme="majorBidi" w:hAnsiTheme="majorBidi" w:cstheme="majorBidi"/>
          <w:b/>
          <w:bCs/>
          <w:noProof/>
          <w:snapToGrid w:val="0"/>
          <w:lang w:val="lt-LT"/>
        </w:rPr>
        <w:t>Šalutinio poveikio reiškiniai, kurių dažnis</w:t>
      </w:r>
      <w:r w:rsidRPr="002F3B5B">
        <w:rPr>
          <w:rFonts w:asciiTheme="majorBidi" w:hAnsiTheme="majorBidi"/>
          <w:b/>
          <w:bCs/>
          <w:lang w:val="lt-LT"/>
        </w:rPr>
        <w:t xml:space="preserve"> nežinomas (negali būti apskaičiuotas pagal turimus duomenis</w:t>
      </w:r>
      <w:r w:rsidRPr="002F3B5B">
        <w:rPr>
          <w:rFonts w:asciiTheme="majorBidi" w:hAnsiTheme="majorBidi" w:cstheme="majorBidi"/>
          <w:b/>
          <w:bCs/>
          <w:noProof/>
          <w:snapToGrid w:val="0"/>
          <w:lang w:val="lt-LT"/>
        </w:rPr>
        <w:t>):</w:t>
      </w:r>
    </w:p>
    <w:p w14:paraId="0981A6E2" w14:textId="77777777" w:rsidR="00B932D0" w:rsidRPr="001D15C7" w:rsidRDefault="00B932D0" w:rsidP="00B932D0">
      <w:pPr>
        <w:numPr>
          <w:ilvl w:val="0"/>
          <w:numId w:val="14"/>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Ūžesys ausyse.</w:t>
      </w:r>
    </w:p>
    <w:p w14:paraId="4DEBDCE1" w14:textId="77777777" w:rsidR="00B932D0" w:rsidRPr="001D15C7" w:rsidRDefault="00B932D0" w:rsidP="00B932D0">
      <w:pPr>
        <w:numPr>
          <w:ilvl w:val="0"/>
          <w:numId w:val="14"/>
        </w:numPr>
        <w:spacing w:after="0" w:line="240" w:lineRule="auto"/>
        <w:rPr>
          <w:rFonts w:ascii="Times New Roman" w:eastAsia="Times New Roman" w:hAnsi="Times New Roman"/>
          <w:lang w:val="lt-LT"/>
        </w:rPr>
      </w:pPr>
      <w:r w:rsidRPr="001D15C7">
        <w:rPr>
          <w:rFonts w:ascii="Times New Roman" w:eastAsia="Times New Roman" w:hAnsi="Times New Roman"/>
          <w:lang w:val="lt-LT"/>
        </w:rPr>
        <w:t>Širdies nepakankamumas.</w:t>
      </w:r>
    </w:p>
    <w:p w14:paraId="6C858717" w14:textId="77777777" w:rsidR="00B932D0" w:rsidRPr="002F3B5B" w:rsidRDefault="00B932D0" w:rsidP="00B932D0">
      <w:pPr>
        <w:numPr>
          <w:ilvl w:val="0"/>
          <w:numId w:val="14"/>
        </w:numPr>
        <w:spacing w:after="0" w:line="240" w:lineRule="auto"/>
        <w:rPr>
          <w:rFonts w:ascii="Times New Roman" w:eastAsia="Times New Roman" w:hAnsi="Times New Roman"/>
          <w:b/>
          <w:bCs/>
          <w:lang w:val="lt-LT"/>
        </w:rPr>
      </w:pPr>
      <w:r w:rsidRPr="002F3B5B">
        <w:rPr>
          <w:rFonts w:ascii="Times New Roman" w:hAnsi="Times New Roman"/>
          <w:b/>
          <w:bCs/>
          <w:lang w:val="lt-LT" w:eastAsia="lt-LT"/>
        </w:rPr>
        <w:t xml:space="preserve">Gali pasireikšti stipri odos reakcija, vadinama </w:t>
      </w:r>
      <w:r w:rsidRPr="002F3B5B">
        <w:rPr>
          <w:rFonts w:ascii="Times New Roman" w:hAnsi="Times New Roman"/>
          <w:b/>
          <w:bCs/>
          <w:i/>
          <w:lang w:val="lt-LT" w:eastAsia="lt-LT"/>
        </w:rPr>
        <w:t>DRESS</w:t>
      </w:r>
      <w:r w:rsidRPr="002F3B5B">
        <w:rPr>
          <w:rFonts w:ascii="Times New Roman" w:hAnsi="Times New Roman"/>
          <w:b/>
          <w:bCs/>
          <w:lang w:val="lt-LT" w:eastAsia="lt-LT"/>
        </w:rPr>
        <w:t xml:space="preserve"> sindromu. </w:t>
      </w:r>
      <w:r w:rsidRPr="002F3B5B">
        <w:rPr>
          <w:rFonts w:ascii="Times New Roman" w:hAnsi="Times New Roman"/>
          <w:b/>
          <w:bCs/>
          <w:i/>
          <w:lang w:val="lt-LT" w:eastAsia="lt-LT"/>
        </w:rPr>
        <w:t>DRESS</w:t>
      </w:r>
      <w:r w:rsidRPr="002F3B5B">
        <w:rPr>
          <w:rFonts w:ascii="Times New Roman" w:hAnsi="Times New Roman"/>
          <w:b/>
          <w:bCs/>
          <w:lang w:val="lt-LT" w:eastAsia="lt-LT"/>
        </w:rPr>
        <w:t xml:space="preserve"> simptomai gali būti tokie: odos išbėrimas, karščiavimas, padidėję limfmazgiai ir padidėjęs eozinofilų (baltųjų kraujo kūnelių rūšis) skaičius.</w:t>
      </w:r>
    </w:p>
    <w:p w14:paraId="599C7803" w14:textId="77777777" w:rsidR="00B932D0" w:rsidRPr="00E029EB" w:rsidRDefault="00B932D0" w:rsidP="00B932D0">
      <w:pPr>
        <w:numPr>
          <w:ilvl w:val="0"/>
          <w:numId w:val="14"/>
        </w:numPr>
        <w:spacing w:after="0" w:line="240" w:lineRule="auto"/>
        <w:rPr>
          <w:rFonts w:ascii="Times New Roman" w:eastAsia="Times New Roman" w:hAnsi="Times New Roman"/>
          <w:lang w:val="lt-LT"/>
        </w:rPr>
      </w:pPr>
      <w:r w:rsidRPr="00F81A67">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NUROFEN </w:t>
      </w:r>
      <w:r>
        <w:rPr>
          <w:rFonts w:ascii="Times New Roman" w:hAnsi="Times New Roman"/>
          <w:lang w:val="lt-LT"/>
        </w:rPr>
        <w:t xml:space="preserve">FORTE </w:t>
      </w:r>
      <w:r w:rsidRPr="00F81A67">
        <w:rPr>
          <w:rFonts w:ascii="Times New Roman" w:hAnsi="Times New Roman"/>
          <w:lang w:val="lt-LT"/>
        </w:rPr>
        <w:t>EXPRESS vartojimą ir nedelsdami kreipkitės medicininės pagalbos. Taip pat žr. 2 skyrių.</w:t>
      </w:r>
    </w:p>
    <w:p w14:paraId="62B4F244" w14:textId="77777777" w:rsidR="002870CC" w:rsidRPr="00F81A67" w:rsidRDefault="002870CC" w:rsidP="002870CC">
      <w:pPr>
        <w:numPr>
          <w:ilvl w:val="0"/>
          <w:numId w:val="14"/>
        </w:numPr>
        <w:spacing w:after="0" w:line="240" w:lineRule="auto"/>
        <w:ind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14:paraId="52BEF91D" w14:textId="77777777" w:rsidR="002870CC" w:rsidRPr="001D15C7" w:rsidRDefault="002870CC" w:rsidP="002870CC">
      <w:pPr>
        <w:spacing w:after="0" w:line="240" w:lineRule="auto"/>
        <w:ind w:left="720"/>
        <w:rPr>
          <w:rFonts w:ascii="Times New Roman" w:eastAsia="Times New Roman" w:hAnsi="Times New Roman"/>
          <w:lang w:val="lt-LT"/>
        </w:rPr>
      </w:pPr>
    </w:p>
    <w:p w14:paraId="0367A24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9C96857" w14:textId="77777777" w:rsidR="00B932D0" w:rsidRPr="001D15C7" w:rsidRDefault="00B932D0" w:rsidP="00B932D0">
      <w:pPr>
        <w:spacing w:after="0" w:line="240" w:lineRule="auto"/>
        <w:rPr>
          <w:rFonts w:ascii="Times New Roman" w:eastAsia="Times New Roman" w:hAnsi="Times New Roman"/>
          <w:b/>
          <w:lang w:val="lt-LT"/>
        </w:rPr>
      </w:pPr>
      <w:r w:rsidRPr="001D15C7">
        <w:rPr>
          <w:rFonts w:ascii="Times New Roman" w:eastAsia="Times New Roman" w:hAnsi="Times New Roman"/>
          <w:b/>
          <w:noProof/>
          <w:lang w:val="lt-LT"/>
        </w:rPr>
        <w:t>Pranešimas apie šalutinį poveikį</w:t>
      </w:r>
    </w:p>
    <w:p w14:paraId="7B01B8FB" w14:textId="090388CE" w:rsidR="00B45E0D" w:rsidRPr="00610E40" w:rsidRDefault="00B932D0" w:rsidP="00B45E0D">
      <w:pPr>
        <w:spacing w:after="0" w:line="240" w:lineRule="auto"/>
        <w:ind w:right="-449"/>
        <w:rPr>
          <w:rFonts w:ascii="Times New Roman" w:hAnsi="Times New Roman"/>
          <w:lang w:val="lt-LT"/>
        </w:rPr>
      </w:pPr>
      <w:r w:rsidRPr="001D15C7">
        <w:rPr>
          <w:rFonts w:ascii="Times New Roman" w:eastAsia="Times New Roman" w:hAnsi="Times New Roman"/>
          <w:lang w:val="lt-LT"/>
        </w:rPr>
        <w:t xml:space="preserve">Jeigu pasireiškė šalutinis poveikis, įskaitant šiame lapelyje nenurodytą, pasakykite gydytojui arba vaistininkui. </w:t>
      </w:r>
      <w:r w:rsidR="00610E40" w:rsidRPr="002F3B5B">
        <w:rPr>
          <w:rFonts w:ascii="Times New Roman" w:hAnsi="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610E40" w:rsidRPr="002F3B5B">
          <w:rPr>
            <w:rStyle w:val="Hipersaitas"/>
            <w:rFonts w:ascii="Times New Roman" w:hAnsi="Times New Roman"/>
            <w:snapToGrid w:val="0"/>
            <w:lang w:val="lt-LT"/>
          </w:rPr>
          <w:t>https://vapris.vvkt.lt/vvkt-web/public/nrv</w:t>
        </w:r>
      </w:hyperlink>
      <w:r w:rsidR="00610E40" w:rsidRPr="002F3B5B">
        <w:rPr>
          <w:rFonts w:ascii="Times New Roman" w:hAnsi="Times New Roman"/>
          <w:snapToGrid w:val="0"/>
          <w:lang w:val="lt-LT"/>
        </w:rPr>
        <w:t xml:space="preserve"> arba užpildant Paciento pranešimo apie įtariamą nepageidaujamą reakciją (ĮNR) formą, kuri skelbiama </w:t>
      </w:r>
      <w:hyperlink r:id="rId12" w:history="1">
        <w:r w:rsidR="00610E40" w:rsidRPr="002F3B5B">
          <w:rPr>
            <w:rStyle w:val="Hipersaitas"/>
            <w:rFonts w:ascii="Times New Roman" w:hAnsi="Times New Roman"/>
            <w:snapToGrid w:val="0"/>
            <w:lang w:val="lt-LT"/>
          </w:rPr>
          <w:t>https://www.vvkt.lt/index.php?4004286486</w:t>
        </w:r>
      </w:hyperlink>
      <w:r w:rsidR="00610E40" w:rsidRPr="002F3B5B">
        <w:rPr>
          <w:rFonts w:ascii="Times New Roman" w:hAnsi="Times New Roman"/>
          <w:snapToGrid w:val="0"/>
          <w:lang w:val="lt-LT"/>
        </w:rPr>
        <w:t xml:space="preserve">, ir </w:t>
      </w:r>
      <w:r w:rsidR="00610E40" w:rsidRPr="002F3B5B">
        <w:rPr>
          <w:rFonts w:ascii="Times New Roman" w:hAnsi="Times New Roman"/>
          <w:snapToGrid w:val="0"/>
          <w:lang w:val="lt-LT"/>
        </w:rPr>
        <w:lastRenderedPageBreak/>
        <w:t xml:space="preserve">atsiunčiant elektroniniu paštu (adresu </w:t>
      </w:r>
      <w:hyperlink r:id="rId13" w:history="1">
        <w:r w:rsidR="00610E40" w:rsidRPr="002F3B5B">
          <w:rPr>
            <w:rStyle w:val="Hipersaitas"/>
            <w:rFonts w:ascii="Times New Roman" w:hAnsi="Times New Roman"/>
            <w:snapToGrid w:val="0"/>
            <w:lang w:val="lt-LT"/>
          </w:rPr>
          <w:t>NepageidaujamaR@vvkt.lt</w:t>
        </w:r>
      </w:hyperlink>
      <w:r w:rsidR="00610E40" w:rsidRPr="002F3B5B">
        <w:rPr>
          <w:rFonts w:ascii="Times New Roman" w:hAnsi="Times New Roman"/>
          <w:snapToGrid w:val="0"/>
          <w:lang w:val="lt-LT"/>
        </w:rPr>
        <w:t>) arba nemokamu telefonu 8 800 73 568. Pranešdami apie šalutinį poveikį galite mums padėti gauti daugiau informacijos apie šio vaisto saugumą.</w:t>
      </w:r>
    </w:p>
    <w:p w14:paraId="75D132A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5925EF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B52A352"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83" w:name="_Toc129243143"/>
      <w:bookmarkStart w:id="84" w:name="_Toc129243268"/>
      <w:r w:rsidRPr="001D15C7">
        <w:rPr>
          <w:rFonts w:ascii="Times New Roman" w:eastAsia="Times New Roman" w:hAnsi="Times New Roman"/>
          <w:b/>
          <w:lang w:val="lt-LT"/>
        </w:rPr>
        <w:t>5.</w:t>
      </w:r>
      <w:r w:rsidRPr="001D15C7">
        <w:rPr>
          <w:rFonts w:ascii="Times New Roman" w:eastAsia="Times New Roman" w:hAnsi="Times New Roman"/>
          <w:b/>
          <w:lang w:val="lt-LT"/>
        </w:rPr>
        <w:tab/>
        <w:t xml:space="preserve">Kaip laikyti </w:t>
      </w:r>
      <w:bookmarkEnd w:id="83"/>
      <w:bookmarkEnd w:id="84"/>
      <w:r w:rsidRPr="001D15C7">
        <w:rPr>
          <w:rFonts w:ascii="Times New Roman" w:eastAsia="Times New Roman" w:hAnsi="Times New Roman"/>
          <w:b/>
          <w:lang w:val="lt-LT"/>
        </w:rPr>
        <w:t>NUROFEN FORTE EXPRESS</w:t>
      </w:r>
    </w:p>
    <w:p w14:paraId="7C50360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C36E346" w14:textId="77777777" w:rsidR="00B932D0" w:rsidRPr="001D15C7" w:rsidRDefault="00B932D0" w:rsidP="00B932D0">
      <w:pPr>
        <w:numPr>
          <w:ilvl w:val="12"/>
          <w:numId w:val="0"/>
        </w:numPr>
        <w:spacing w:after="0" w:line="240" w:lineRule="auto"/>
        <w:ind w:right="-2"/>
        <w:rPr>
          <w:rFonts w:ascii="Times New Roman" w:eastAsia="Times New Roman" w:hAnsi="Times New Roman"/>
          <w:sz w:val="24"/>
          <w:lang w:val="lt-LT"/>
        </w:rPr>
      </w:pPr>
      <w:r w:rsidRPr="001D15C7">
        <w:rPr>
          <w:rFonts w:ascii="Times New Roman" w:eastAsia="Times New Roman" w:hAnsi="Times New Roman"/>
          <w:noProof/>
          <w:sz w:val="24"/>
          <w:lang w:val="lt-LT"/>
        </w:rPr>
        <w:t>Šį vaistą laikykite</w:t>
      </w:r>
      <w:r w:rsidRPr="001D15C7">
        <w:rPr>
          <w:rFonts w:ascii="Times New Roman" w:eastAsia="Times New Roman" w:hAnsi="Times New Roman"/>
          <w:sz w:val="24"/>
          <w:lang w:val="lt-LT"/>
        </w:rPr>
        <w:t xml:space="preserve"> vaikams </w:t>
      </w:r>
      <w:r w:rsidRPr="001D15C7">
        <w:rPr>
          <w:rFonts w:ascii="Times New Roman" w:eastAsia="Times New Roman" w:hAnsi="Times New Roman"/>
          <w:noProof/>
          <w:sz w:val="24"/>
          <w:lang w:val="lt-LT"/>
        </w:rPr>
        <w:t xml:space="preserve">nepastebimoje ir </w:t>
      </w:r>
      <w:r w:rsidRPr="001D15C7">
        <w:rPr>
          <w:rFonts w:ascii="Times New Roman" w:eastAsia="Times New Roman" w:hAnsi="Times New Roman"/>
          <w:sz w:val="24"/>
          <w:lang w:val="lt-LT"/>
        </w:rPr>
        <w:t>nepasiekiamoje vietoje.</w:t>
      </w:r>
    </w:p>
    <w:p w14:paraId="50B9B7CA"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FCCA588" w14:textId="77777777" w:rsidR="00B932D0" w:rsidRPr="00BE3F2A" w:rsidRDefault="00B932D0" w:rsidP="00B932D0">
      <w:pPr>
        <w:tabs>
          <w:tab w:val="left" w:pos="0"/>
          <w:tab w:val="left" w:pos="360"/>
          <w:tab w:val="left" w:pos="720"/>
        </w:tabs>
        <w:spacing w:after="0" w:line="240" w:lineRule="auto"/>
        <w:rPr>
          <w:rFonts w:ascii="Times New Roman" w:eastAsia="Times New Roman" w:hAnsi="Times New Roman"/>
          <w:noProof/>
          <w:sz w:val="18"/>
          <w:lang w:val="lt-LT"/>
        </w:rPr>
      </w:pPr>
      <w:r w:rsidRPr="001D15C7">
        <w:rPr>
          <w:rFonts w:ascii="Times New Roman" w:eastAsia="Times New Roman" w:hAnsi="Times New Roman"/>
          <w:noProof/>
          <w:lang w:val="lt-LT"/>
        </w:rPr>
        <w:t>Šiam vaistui specialių laikymo sąlygų nereikia.</w:t>
      </w:r>
      <w:r w:rsidRPr="00BE3F2A">
        <w:rPr>
          <w:rFonts w:ascii="Times New Roman" w:eastAsia="Times New Roman" w:hAnsi="Times New Roman"/>
          <w:noProof/>
          <w:sz w:val="18"/>
          <w:lang w:val="lt-LT"/>
        </w:rPr>
        <w:t xml:space="preserve"> </w:t>
      </w:r>
    </w:p>
    <w:p w14:paraId="68F75AD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4652E31"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Ant dėžutės po „Tinka iki“ ir lizdinės plokštelės po „EXP“ nurodytam tinkamumo laikui pasibaigus, šio vaisto vartoti negalima. Vaistas tinkamas vartoti iki paskutinės nurodyto mėnesio dienos.</w:t>
      </w:r>
    </w:p>
    <w:p w14:paraId="68A9F53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Vaistų negalima išmesti į kanalizaciją arba su buitinėmis atliekomis. Kaip išmesti nereikalingus vaistus, klauskite vaistininko. Šios priemonės padės apsaugoti aplinką.</w:t>
      </w:r>
    </w:p>
    <w:p w14:paraId="5B3098D7"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72645ED9"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0F979682" w14:textId="77777777" w:rsidR="00B932D0" w:rsidRPr="001D15C7" w:rsidRDefault="00B932D0" w:rsidP="00B932D0">
      <w:pPr>
        <w:keepNext/>
        <w:tabs>
          <w:tab w:val="left" w:pos="567"/>
        </w:tabs>
        <w:spacing w:after="0" w:line="240" w:lineRule="auto"/>
        <w:ind w:left="567" w:hanging="567"/>
        <w:outlineLvl w:val="1"/>
        <w:rPr>
          <w:rFonts w:ascii="Times New Roman" w:eastAsia="Times New Roman" w:hAnsi="Times New Roman"/>
          <w:b/>
          <w:lang w:val="lt-LT"/>
        </w:rPr>
      </w:pPr>
      <w:bookmarkStart w:id="85" w:name="_Toc129243269"/>
      <w:bookmarkStart w:id="86" w:name="_Toc129243144"/>
      <w:r w:rsidRPr="001D15C7">
        <w:rPr>
          <w:rFonts w:ascii="Times New Roman" w:eastAsia="Times New Roman" w:hAnsi="Times New Roman"/>
          <w:b/>
          <w:lang w:val="lt-LT"/>
        </w:rPr>
        <w:t>6.</w:t>
      </w:r>
      <w:r w:rsidRPr="001D15C7">
        <w:rPr>
          <w:rFonts w:ascii="Times New Roman" w:eastAsia="Times New Roman" w:hAnsi="Times New Roman"/>
          <w:b/>
          <w:lang w:val="lt-LT"/>
        </w:rPr>
        <w:tab/>
        <w:t>Pakuotės turinys ir kita informacija</w:t>
      </w:r>
      <w:bookmarkEnd w:id="85"/>
      <w:bookmarkEnd w:id="86"/>
    </w:p>
    <w:p w14:paraId="4575AD74"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E8C05C5" w14:textId="77777777" w:rsidR="00B932D0" w:rsidRPr="001D15C7" w:rsidRDefault="00B932D0" w:rsidP="00B932D0">
      <w:pPr>
        <w:spacing w:after="0" w:line="220" w:lineRule="exact"/>
        <w:rPr>
          <w:rFonts w:ascii="Times New Roman" w:eastAsia="Times New Roman" w:hAnsi="Times New Roman"/>
          <w:noProof/>
          <w:lang w:val="lt-LT"/>
        </w:rPr>
      </w:pPr>
      <w:r w:rsidRPr="001D15C7">
        <w:rPr>
          <w:rFonts w:ascii="Times New Roman" w:eastAsia="Times New Roman" w:hAnsi="Times New Roman"/>
          <w:b/>
          <w:bCs/>
          <w:lang w:val="lt-LT"/>
        </w:rPr>
        <w:t>NUROFEN FORTE EXPRESS sudėtis</w:t>
      </w:r>
    </w:p>
    <w:p w14:paraId="6CC62D1B" w14:textId="77777777" w:rsidR="00B932D0" w:rsidRPr="001D15C7" w:rsidRDefault="00B932D0" w:rsidP="00B932D0">
      <w:pPr>
        <w:tabs>
          <w:tab w:val="left" w:pos="567"/>
        </w:tabs>
        <w:spacing w:after="0" w:line="240" w:lineRule="auto"/>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r>
      <w:r w:rsidRPr="001D15C7">
        <w:rPr>
          <w:rFonts w:ascii="Times New Roman" w:eastAsia="Times New Roman" w:hAnsi="Times New Roman"/>
          <w:noProof/>
          <w:lang w:val="lt-LT"/>
        </w:rPr>
        <w:t xml:space="preserve">Veiklioji medžiaga yra ibuprofenas (natrio druskos dihidrato pavidalu). Vienoje </w:t>
      </w:r>
      <w:r>
        <w:rPr>
          <w:rFonts w:ascii="Times New Roman" w:eastAsia="Times New Roman" w:hAnsi="Times New Roman"/>
          <w:noProof/>
          <w:lang w:val="lt-LT"/>
        </w:rPr>
        <w:t xml:space="preserve">dengtoje </w:t>
      </w:r>
      <w:r w:rsidRPr="001D15C7">
        <w:rPr>
          <w:rFonts w:ascii="Times New Roman" w:eastAsia="Times New Roman" w:hAnsi="Times New Roman"/>
          <w:noProof/>
          <w:lang w:val="lt-LT"/>
        </w:rPr>
        <w:t xml:space="preserve">tabletėje </w:t>
      </w:r>
      <w:r>
        <w:rPr>
          <w:rFonts w:ascii="Times New Roman" w:eastAsia="Times New Roman" w:hAnsi="Times New Roman"/>
          <w:noProof/>
          <w:lang w:val="lt-LT"/>
        </w:rPr>
        <w:tab/>
      </w:r>
      <w:r w:rsidRPr="001D15C7">
        <w:rPr>
          <w:rFonts w:ascii="Times New Roman" w:eastAsia="Times New Roman" w:hAnsi="Times New Roman"/>
          <w:noProof/>
          <w:lang w:val="lt-LT"/>
        </w:rPr>
        <w:t>yra 400 mg ibuprofeno.</w:t>
      </w:r>
    </w:p>
    <w:p w14:paraId="09BD5D26" w14:textId="77777777" w:rsidR="00B932D0" w:rsidRPr="001D15C7"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sz w:val="24"/>
          <w:lang w:val="lt-LT"/>
        </w:rPr>
        <w:t xml:space="preserve">- </w:t>
      </w:r>
      <w:r w:rsidRPr="001D15C7">
        <w:rPr>
          <w:rFonts w:ascii="Times New Roman" w:eastAsia="Times New Roman" w:hAnsi="Times New Roman"/>
          <w:sz w:val="24"/>
          <w:lang w:val="lt-LT"/>
        </w:rPr>
        <w:tab/>
      </w:r>
      <w:r w:rsidRPr="001D15C7">
        <w:rPr>
          <w:rFonts w:ascii="Times New Roman" w:eastAsia="Times New Roman" w:hAnsi="Times New Roman"/>
          <w:lang w:val="lt-LT"/>
        </w:rPr>
        <w:t>Pagalbinės medžiagos yra kroskarmeliozės natrio druska, ksilitolis, mikrokristalinė celiuliozė, magnio stearatas, bevandenis koloidinis silicio dioksidas, karmeliozės natrio druska, talkas, džiovintas purškiant gumiarabikas, sacharozė, titano dioksidas (E171), makrogolis 6000, rašalas Opacode S-1-15094 Red (jo sudėtyje yra šelako, raudonojo geležies oksido (E172), amonio hidroksido, simetikono).</w:t>
      </w:r>
    </w:p>
    <w:p w14:paraId="40AB237E" w14:textId="77777777" w:rsidR="00B932D0" w:rsidRPr="001D15C7" w:rsidRDefault="00B932D0" w:rsidP="00B932D0">
      <w:pPr>
        <w:tabs>
          <w:tab w:val="left" w:pos="540"/>
          <w:tab w:val="left" w:pos="720"/>
        </w:tabs>
        <w:spacing w:after="0" w:line="240" w:lineRule="auto"/>
        <w:ind w:left="540" w:hanging="540"/>
        <w:rPr>
          <w:rFonts w:ascii="Times New Roman" w:eastAsia="Times New Roman" w:hAnsi="Times New Roman"/>
          <w:sz w:val="24"/>
          <w:lang w:val="lt-LT"/>
        </w:rPr>
      </w:pPr>
    </w:p>
    <w:p w14:paraId="007D6475" w14:textId="77777777" w:rsidR="00B932D0" w:rsidRPr="001D15C7" w:rsidRDefault="00B932D0" w:rsidP="00B932D0">
      <w:pPr>
        <w:spacing w:after="0" w:line="220" w:lineRule="exact"/>
        <w:rPr>
          <w:rFonts w:ascii="Times New Roman" w:eastAsia="Times New Roman" w:hAnsi="Times New Roman"/>
          <w:b/>
          <w:bCs/>
          <w:lang w:val="lt-LT"/>
        </w:rPr>
      </w:pPr>
      <w:r w:rsidRPr="001D15C7">
        <w:rPr>
          <w:rFonts w:ascii="Times New Roman" w:eastAsia="Times New Roman" w:hAnsi="Times New Roman"/>
          <w:b/>
          <w:bCs/>
          <w:lang w:val="lt-LT"/>
        </w:rPr>
        <w:t>NUROFEN FORTE EXPRESS išvaizda ir kiekis pakuotėje</w:t>
      </w:r>
    </w:p>
    <w:p w14:paraId="65837B2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NUROFEN FORTE EXPRESS yra baltos, abipus išgaubtos, apvalios, dengtos cukrumi tabletės. Vienoje tabletės pusėje yra raudonas užrašas „NUROFEN“.</w:t>
      </w:r>
    </w:p>
    <w:p w14:paraId="001845D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3E3AF5CF" w14:textId="77777777" w:rsidR="00B932D0" w:rsidRPr="001D15C7" w:rsidRDefault="00B932D0" w:rsidP="00B932D0">
      <w:pPr>
        <w:spacing w:after="0" w:line="240" w:lineRule="auto"/>
        <w:rPr>
          <w:rFonts w:ascii="Times New Roman" w:eastAsia="Times New Roman" w:hAnsi="Times New Roman"/>
          <w:lang w:val="lt-LT"/>
        </w:rPr>
      </w:pPr>
      <w:r w:rsidRPr="001D15C7">
        <w:rPr>
          <w:rFonts w:ascii="Times New Roman" w:eastAsia="Times New Roman" w:hAnsi="Times New Roman"/>
          <w:lang w:val="lt-LT"/>
        </w:rPr>
        <w:t>NUROFEN FORTE EXPRESS tiekiamas lizdinėse plokštelėse po 12 tablečių (1 lizdinė plokštelė).</w:t>
      </w:r>
    </w:p>
    <w:p w14:paraId="76F4D758"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29F64DF2" w14:textId="77777777" w:rsidR="00B932D0" w:rsidRPr="001D15C7" w:rsidRDefault="00B932D0" w:rsidP="00B932D0">
      <w:pPr>
        <w:spacing w:after="0" w:line="220" w:lineRule="exact"/>
        <w:rPr>
          <w:rFonts w:ascii="Times New Roman" w:eastAsia="Times New Roman" w:hAnsi="Times New Roman"/>
          <w:bCs/>
          <w:lang w:val="lt-LT"/>
        </w:rPr>
      </w:pPr>
      <w:r w:rsidRPr="001D15C7">
        <w:rPr>
          <w:rFonts w:ascii="Times New Roman" w:eastAsia="Times New Roman" w:hAnsi="Times New Roman"/>
          <w:b/>
          <w:bCs/>
          <w:lang w:val="lt-LT"/>
        </w:rPr>
        <w:t>Registruotojas ir gamintojas</w:t>
      </w:r>
    </w:p>
    <w:p w14:paraId="691903DE" w14:textId="77777777" w:rsidR="00B932D0" w:rsidRPr="00CF5F1E" w:rsidRDefault="00B932D0" w:rsidP="00B932D0">
      <w:pPr>
        <w:spacing w:after="0" w:line="220" w:lineRule="exact"/>
        <w:rPr>
          <w:rFonts w:ascii="Times New Roman" w:eastAsia="Times New Roman" w:hAnsi="Times New Roman"/>
          <w:bCs/>
          <w:lang w:val="lt-LT"/>
        </w:rPr>
      </w:pPr>
      <w:r w:rsidRPr="00CF5F1E">
        <w:rPr>
          <w:rFonts w:ascii="Times New Roman" w:eastAsia="Times New Roman" w:hAnsi="Times New Roman"/>
          <w:bCs/>
          <w:lang w:val="lt-LT"/>
        </w:rPr>
        <w:t>Registruotojas</w:t>
      </w:r>
    </w:p>
    <w:p w14:paraId="7FB65C5F"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Reckitt Benckiser (Poland) S.A. </w:t>
      </w:r>
    </w:p>
    <w:p w14:paraId="1202AAF7"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Ul. Okunin 1 </w:t>
      </w:r>
    </w:p>
    <w:p w14:paraId="0B65825A"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05-100 Nowy Dwor Mazowiecki </w:t>
      </w:r>
    </w:p>
    <w:p w14:paraId="50466826"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Lenkija</w:t>
      </w:r>
    </w:p>
    <w:p w14:paraId="38164F26"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4AE73A5F" w14:textId="77777777" w:rsidR="00B932D0" w:rsidRPr="00CF5F1E" w:rsidRDefault="00B932D0" w:rsidP="00B932D0">
      <w:pPr>
        <w:spacing w:after="0" w:line="240" w:lineRule="auto"/>
        <w:rPr>
          <w:rFonts w:ascii="Times New Roman" w:eastAsia="Times New Roman" w:hAnsi="Times New Roman"/>
          <w:lang w:val="lt-LT"/>
        </w:rPr>
      </w:pPr>
      <w:r w:rsidRPr="00CF5F1E">
        <w:rPr>
          <w:rFonts w:ascii="Times New Roman" w:eastAsia="Times New Roman" w:hAnsi="Times New Roman"/>
          <w:lang w:val="lt-LT"/>
        </w:rPr>
        <w:t>Gamintojai</w:t>
      </w:r>
    </w:p>
    <w:p w14:paraId="64429B31" w14:textId="77777777" w:rsidR="00B932D0" w:rsidRPr="001D15C7"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SIA ELVIM</w:t>
      </w:r>
    </w:p>
    <w:p w14:paraId="6A48A19B" w14:textId="77777777" w:rsidR="00B932D0" w:rsidRPr="001D15C7"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Kurzemes prospekts 3-513</w:t>
      </w:r>
    </w:p>
    <w:p w14:paraId="7F6CAC58" w14:textId="77777777" w:rsidR="00B932D0" w:rsidRPr="001D15C7"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Riga LV-1067</w:t>
      </w:r>
    </w:p>
    <w:p w14:paraId="071CA189" w14:textId="77777777" w:rsidR="00B932D0" w:rsidRDefault="00B932D0" w:rsidP="00B932D0">
      <w:pPr>
        <w:spacing w:after="0" w:line="240" w:lineRule="auto"/>
        <w:ind w:left="567" w:hanging="567"/>
        <w:rPr>
          <w:rFonts w:ascii="Times New Roman" w:eastAsia="Times New Roman" w:hAnsi="Times New Roman"/>
          <w:lang w:val="lt-LT"/>
        </w:rPr>
      </w:pPr>
      <w:r w:rsidRPr="001D15C7">
        <w:rPr>
          <w:rFonts w:ascii="Times New Roman" w:eastAsia="Times New Roman" w:hAnsi="Times New Roman"/>
          <w:lang w:val="lt-LT"/>
        </w:rPr>
        <w:t>Latvija</w:t>
      </w:r>
    </w:p>
    <w:p w14:paraId="706DB818" w14:textId="77777777" w:rsidR="00B932D0" w:rsidRDefault="00B932D0" w:rsidP="00B932D0">
      <w:pPr>
        <w:spacing w:after="0" w:line="240" w:lineRule="auto"/>
        <w:ind w:left="567" w:hanging="567"/>
        <w:rPr>
          <w:rFonts w:ascii="Times New Roman" w:eastAsia="Times New Roman" w:hAnsi="Times New Roman"/>
          <w:lang w:val="lt-LT"/>
        </w:rPr>
      </w:pPr>
    </w:p>
    <w:p w14:paraId="3C3C5AD1"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7274E58E" w14:textId="77777777" w:rsidR="00B932D0" w:rsidRDefault="00B932D0" w:rsidP="00B932D0">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09976C6E"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1127648C" w14:textId="77777777" w:rsidR="00B932D0"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2F490542" w14:textId="77777777" w:rsidR="00B932D0" w:rsidRPr="00D53C48" w:rsidRDefault="00B932D0" w:rsidP="00B932D0">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1F5B89DF"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5C50223"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Jeigu apie šį vaistą norite sužinoti daugiau, kreipkitės į vietinį registruotojo atstovą.</w:t>
      </w:r>
    </w:p>
    <w:p w14:paraId="41EFAF30" w14:textId="77777777" w:rsidR="00B932D0" w:rsidRPr="001D15C7" w:rsidRDefault="00B932D0" w:rsidP="00B932D0">
      <w:pPr>
        <w:spacing w:after="0" w:line="240" w:lineRule="auto"/>
        <w:rPr>
          <w:rFonts w:ascii="Times New Roman" w:eastAsia="Times New Roman" w:hAnsi="Times New Roman"/>
          <w:lang w:val="lt-LT"/>
        </w:rPr>
      </w:pPr>
    </w:p>
    <w:p w14:paraId="2320A04D"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UAB “Baltijos Bitė”</w:t>
      </w:r>
    </w:p>
    <w:p w14:paraId="35B277F9" w14:textId="67A3EC5F"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Vytauto pr. 2</w:t>
      </w:r>
      <w:r w:rsidR="00B45E0D">
        <w:rPr>
          <w:rFonts w:ascii="Times New Roman" w:eastAsia="Times New Roman" w:hAnsi="Times New Roman"/>
          <w:lang w:val="lt-LT"/>
        </w:rPr>
        <w:t>7</w:t>
      </w:r>
      <w:r w:rsidRPr="001D15C7">
        <w:rPr>
          <w:rFonts w:ascii="Times New Roman" w:eastAsia="Times New Roman" w:hAnsi="Times New Roman"/>
          <w:lang w:val="lt-LT"/>
        </w:rPr>
        <w:t>-</w:t>
      </w:r>
      <w:r w:rsidR="00B45E0D">
        <w:rPr>
          <w:rFonts w:ascii="Times New Roman" w:eastAsia="Times New Roman" w:hAnsi="Times New Roman"/>
          <w:lang w:val="lt-LT"/>
        </w:rPr>
        <w:t>203</w:t>
      </w:r>
    </w:p>
    <w:p w14:paraId="1AB168AC" w14:textId="77777777" w:rsidR="00B932D0" w:rsidRPr="001D15C7" w:rsidRDefault="00B932D0" w:rsidP="00B932D0">
      <w:pPr>
        <w:tabs>
          <w:tab w:val="left" w:pos="567"/>
        </w:tabs>
        <w:spacing w:after="0" w:line="240" w:lineRule="auto"/>
        <w:rPr>
          <w:rFonts w:ascii="Times New Roman" w:eastAsia="Times New Roman" w:hAnsi="Times New Roman"/>
          <w:lang w:val="lt-LT"/>
        </w:rPr>
      </w:pPr>
      <w:r w:rsidRPr="001D15C7">
        <w:rPr>
          <w:rFonts w:ascii="Times New Roman" w:eastAsia="Times New Roman" w:hAnsi="Times New Roman"/>
          <w:lang w:val="lt-LT"/>
        </w:rPr>
        <w:t xml:space="preserve">LT-44352 Kaunas </w:t>
      </w:r>
    </w:p>
    <w:p w14:paraId="23094077" w14:textId="16AFF8CB"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r w:rsidRPr="001D15C7">
        <w:rPr>
          <w:rFonts w:ascii="Times New Roman" w:eastAsia="Times New Roman" w:hAnsi="Times New Roman"/>
          <w:noProof/>
          <w:lang w:val="lt-LT"/>
        </w:rPr>
        <w:t>Tel. +370 37 204896</w:t>
      </w:r>
    </w:p>
    <w:p w14:paraId="34FACEA0" w14:textId="77777777" w:rsidR="00B932D0" w:rsidRPr="001D15C7" w:rsidRDefault="00B932D0" w:rsidP="00B932D0">
      <w:pPr>
        <w:tabs>
          <w:tab w:val="left" w:pos="0"/>
          <w:tab w:val="left" w:pos="360"/>
          <w:tab w:val="left" w:pos="720"/>
        </w:tabs>
        <w:spacing w:after="0" w:line="240" w:lineRule="auto"/>
        <w:rPr>
          <w:rFonts w:ascii="Times New Roman" w:eastAsia="Times New Roman" w:hAnsi="Times New Roman"/>
          <w:noProof/>
          <w:lang w:val="lt-LT"/>
        </w:rPr>
      </w:pPr>
    </w:p>
    <w:p w14:paraId="14D5AF36" w14:textId="61EE24D2" w:rsidR="00B932D0" w:rsidRPr="001D15C7" w:rsidRDefault="00B932D0" w:rsidP="00B932D0">
      <w:pPr>
        <w:numPr>
          <w:ilvl w:val="12"/>
          <w:numId w:val="0"/>
        </w:numPr>
        <w:spacing w:after="0" w:line="240" w:lineRule="auto"/>
        <w:ind w:right="-2"/>
        <w:rPr>
          <w:rFonts w:ascii="Times New Roman" w:eastAsia="Times New Roman" w:hAnsi="Times New Roman"/>
          <w:b/>
          <w:lang w:val="lt-LT"/>
        </w:rPr>
      </w:pPr>
      <w:r w:rsidRPr="001D15C7">
        <w:rPr>
          <w:rFonts w:ascii="Times New Roman" w:eastAsia="Times New Roman" w:hAnsi="Times New Roman"/>
          <w:b/>
          <w:lang w:val="lt-LT"/>
        </w:rPr>
        <w:t>Šis pakuotės lapelis paskutinį kartą peržiūrėtas</w:t>
      </w:r>
      <w:r w:rsidR="00A13F05">
        <w:rPr>
          <w:rFonts w:ascii="Times New Roman" w:eastAsia="Times New Roman" w:hAnsi="Times New Roman"/>
          <w:b/>
          <w:lang w:val="lt-LT"/>
        </w:rPr>
        <w:t xml:space="preserve"> 202</w:t>
      </w:r>
      <w:r w:rsidR="00217330">
        <w:rPr>
          <w:rFonts w:ascii="Times New Roman" w:eastAsia="Times New Roman" w:hAnsi="Times New Roman"/>
          <w:b/>
          <w:lang w:val="lt-LT"/>
        </w:rPr>
        <w:t>3-01-05.</w:t>
      </w:r>
    </w:p>
    <w:p w14:paraId="64AF7159" w14:textId="77777777" w:rsidR="00B932D0" w:rsidRPr="001D15C7" w:rsidRDefault="00B932D0" w:rsidP="00B932D0">
      <w:pPr>
        <w:numPr>
          <w:ilvl w:val="12"/>
          <w:numId w:val="0"/>
        </w:numPr>
        <w:spacing w:after="0" w:line="240" w:lineRule="auto"/>
        <w:ind w:right="-2"/>
        <w:rPr>
          <w:rFonts w:ascii="Times New Roman" w:eastAsia="Times New Roman" w:hAnsi="Times New Roman"/>
          <w:lang w:val="lt-LT"/>
        </w:rPr>
      </w:pPr>
    </w:p>
    <w:p w14:paraId="399C4F28" w14:textId="77777777" w:rsidR="00B932D0" w:rsidRPr="001D15C7" w:rsidRDefault="00B932D0" w:rsidP="00B932D0">
      <w:pPr>
        <w:numPr>
          <w:ilvl w:val="12"/>
          <w:numId w:val="0"/>
        </w:numPr>
        <w:spacing w:after="0" w:line="240" w:lineRule="auto"/>
        <w:ind w:right="-2"/>
        <w:rPr>
          <w:rFonts w:ascii="Times New Roman" w:eastAsia="Times New Roman" w:hAnsi="Times New Roman"/>
          <w:lang w:val="lt-LT"/>
        </w:rPr>
      </w:pPr>
      <w:r w:rsidRPr="001D15C7">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1D15C7">
        <w:rPr>
          <w:rFonts w:ascii="Times New Roman" w:eastAsia="Times New Roman" w:hAnsi="Times New Roman"/>
          <w:i/>
          <w:lang w:val="lt-LT"/>
        </w:rPr>
        <w:t xml:space="preserve"> </w:t>
      </w:r>
      <w:hyperlink r:id="rId14" w:history="1">
        <w:r w:rsidRPr="00AC175F">
          <w:rPr>
            <w:rFonts w:ascii="Times New Roman" w:eastAsia="SimSun" w:hAnsi="Times New Roman"/>
            <w:color w:val="3333FF"/>
            <w:u w:val="single"/>
            <w:lang w:val="lt-LT"/>
          </w:rPr>
          <w:t>http://www.vvkt.lt/</w:t>
        </w:r>
      </w:hyperlink>
      <w:r w:rsidRPr="00AC175F">
        <w:rPr>
          <w:rFonts w:ascii="Times New Roman" w:eastAsia="Times New Roman" w:hAnsi="Times New Roman"/>
          <w:color w:val="3333FF"/>
          <w:lang w:val="lt-LT"/>
        </w:rPr>
        <w:t>.</w:t>
      </w:r>
    </w:p>
    <w:p w14:paraId="3C95739E" w14:textId="77777777" w:rsidR="00B932D0" w:rsidRPr="002F3B5B" w:rsidRDefault="00B932D0" w:rsidP="00B932D0">
      <w:pPr>
        <w:rPr>
          <w:lang w:val="lt-LT"/>
        </w:rPr>
      </w:pPr>
    </w:p>
    <w:p w14:paraId="4C81562E" w14:textId="77777777" w:rsidR="00B932D0" w:rsidRPr="002F3B5B" w:rsidRDefault="00B932D0" w:rsidP="00B932D0">
      <w:pPr>
        <w:rPr>
          <w:lang w:val="lt-LT"/>
        </w:rPr>
      </w:pPr>
    </w:p>
    <w:p w14:paraId="18D3FE20" w14:textId="77777777" w:rsidR="00B932D0" w:rsidRPr="002F3B5B" w:rsidRDefault="00B932D0" w:rsidP="00B932D0">
      <w:pPr>
        <w:rPr>
          <w:lang w:val="lt-LT"/>
        </w:rPr>
      </w:pPr>
    </w:p>
    <w:p w14:paraId="17C8DC2E" w14:textId="77777777" w:rsidR="008F2F9D" w:rsidRPr="002F3B5B" w:rsidRDefault="008F2F9D">
      <w:pPr>
        <w:rPr>
          <w:lang w:val="lt-LT"/>
        </w:rPr>
      </w:pPr>
    </w:p>
    <w:sectPr w:rsidR="008F2F9D" w:rsidRPr="002F3B5B" w:rsidSect="0059317B">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7C3152"/>
    <w:multiLevelType w:val="hybridMultilevel"/>
    <w:tmpl w:val="28BAC4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D62D41"/>
    <w:multiLevelType w:val="hybridMultilevel"/>
    <w:tmpl w:val="C36C77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BEE4D15"/>
    <w:multiLevelType w:val="hybridMultilevel"/>
    <w:tmpl w:val="B15223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5B0FD7"/>
    <w:multiLevelType w:val="hybridMultilevel"/>
    <w:tmpl w:val="D44A9D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47B5CC9"/>
    <w:multiLevelType w:val="multilevel"/>
    <w:tmpl w:val="7C64992E"/>
    <w:lvl w:ilvl="0">
      <w:start w:val="4"/>
      <w:numFmt w:val="decimal"/>
      <w:lvlText w:val="%1"/>
      <w:lvlJc w:val="left"/>
      <w:pPr>
        <w:tabs>
          <w:tab w:val="num" w:pos="540"/>
        </w:tabs>
        <w:ind w:left="540" w:hanging="540"/>
      </w:pPr>
      <w:rPr>
        <w:rFonts w:cs="Times New Roman" w:hint="default"/>
      </w:rPr>
    </w:lvl>
    <w:lvl w:ilvl="1">
      <w:start w:val="2"/>
      <w:numFmt w:val="decimal"/>
      <w:lvlText w:val="%1.%2"/>
      <w:lvlJc w:val="left"/>
      <w:pPr>
        <w:tabs>
          <w:tab w:val="num" w:pos="540"/>
        </w:tabs>
        <w:ind w:left="540" w:hanging="54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7" w15:restartNumberingAfterBreak="0">
    <w:nsid w:val="177C304F"/>
    <w:multiLevelType w:val="hybridMultilevel"/>
    <w:tmpl w:val="0AB4E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F371B1"/>
    <w:multiLevelType w:val="hybridMultilevel"/>
    <w:tmpl w:val="B96035D8"/>
    <w:lvl w:ilvl="0" w:tplc="0409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C2067"/>
    <w:multiLevelType w:val="hybridMultilevel"/>
    <w:tmpl w:val="89F2882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143501A"/>
    <w:multiLevelType w:val="hybridMultilevel"/>
    <w:tmpl w:val="66BA45F4"/>
    <w:lvl w:ilvl="0" w:tplc="0409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2" w15:restartNumberingAfterBreak="0">
    <w:nsid w:val="4F6D48C3"/>
    <w:multiLevelType w:val="hybridMultilevel"/>
    <w:tmpl w:val="64740C36"/>
    <w:lvl w:ilvl="0" w:tplc="0409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52D03548"/>
    <w:multiLevelType w:val="hybridMultilevel"/>
    <w:tmpl w:val="725220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F227918"/>
    <w:multiLevelType w:val="hybridMultilevel"/>
    <w:tmpl w:val="C7405F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65F0C0F"/>
    <w:multiLevelType w:val="hybridMultilevel"/>
    <w:tmpl w:val="AA0ABA5E"/>
    <w:lvl w:ilvl="0" w:tplc="532ACC50">
      <w:start w:val="1"/>
      <w:numFmt w:val="bullet"/>
      <w:pStyle w:val="BT-EMEASMCA"/>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9960052"/>
    <w:multiLevelType w:val="multilevel"/>
    <w:tmpl w:val="4482AC90"/>
    <w:lvl w:ilvl="0">
      <w:start w:val="4"/>
      <w:numFmt w:val="decimal"/>
      <w:lvlText w:val="%1"/>
      <w:lvlJc w:val="left"/>
      <w:pPr>
        <w:tabs>
          <w:tab w:val="num" w:pos="540"/>
        </w:tabs>
        <w:ind w:left="540" w:hanging="540"/>
      </w:pPr>
      <w:rPr>
        <w:rFonts w:cs="Times New Roman" w:hint="default"/>
      </w:rPr>
    </w:lvl>
    <w:lvl w:ilvl="1">
      <w:start w:val="6"/>
      <w:numFmt w:val="decimal"/>
      <w:lvlText w:val="%1.%2"/>
      <w:lvlJc w:val="left"/>
      <w:pPr>
        <w:tabs>
          <w:tab w:val="num" w:pos="540"/>
        </w:tabs>
        <w:ind w:left="540" w:hanging="54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num w:numId="1">
    <w:abstractNumId w:val="6"/>
  </w:num>
  <w:num w:numId="2">
    <w:abstractNumId w:val="16"/>
  </w:num>
  <w:num w:numId="3">
    <w:abstractNumId w:val="7"/>
  </w:num>
  <w:num w:numId="4">
    <w:abstractNumId w:val="0"/>
    <w:lvlOverride w:ilvl="0">
      <w:lvl w:ilvl="0">
        <w:start w:val="1"/>
        <w:numFmt w:val="bullet"/>
        <w:lvlText w:val="-"/>
        <w:lvlJc w:val="left"/>
        <w:pPr>
          <w:ind w:left="360" w:hanging="360"/>
        </w:pPr>
      </w:lvl>
    </w:lvlOverride>
  </w:num>
  <w:num w:numId="5">
    <w:abstractNumId w:val="1"/>
  </w:num>
  <w:num w:numId="6">
    <w:abstractNumId w:val="4"/>
  </w:num>
  <w:num w:numId="7">
    <w:abstractNumId w:val="8"/>
  </w:num>
  <w:num w:numId="8">
    <w:abstractNumId w:val="12"/>
  </w:num>
  <w:num w:numId="9">
    <w:abstractNumId w:val="11"/>
  </w:num>
  <w:num w:numId="10">
    <w:abstractNumId w:val="13"/>
  </w:num>
  <w:num w:numId="11">
    <w:abstractNumId w:val="5"/>
  </w:num>
  <w:num w:numId="12">
    <w:abstractNumId w:val="14"/>
  </w:num>
  <w:num w:numId="13">
    <w:abstractNumId w:val="3"/>
  </w:num>
  <w:num w:numId="14">
    <w:abstractNumId w:val="2"/>
  </w:num>
  <w:num w:numId="15">
    <w:abstractNumId w:val="10"/>
  </w:num>
  <w:num w:numId="16">
    <w:abstractNumId w:val="15"/>
  </w:num>
  <w:num w:numId="17">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2D0"/>
    <w:rsid w:val="0008259D"/>
    <w:rsid w:val="001717F4"/>
    <w:rsid w:val="001C2542"/>
    <w:rsid w:val="00217330"/>
    <w:rsid w:val="00230545"/>
    <w:rsid w:val="00247F20"/>
    <w:rsid w:val="002870CC"/>
    <w:rsid w:val="002F3B5B"/>
    <w:rsid w:val="003228B5"/>
    <w:rsid w:val="00347210"/>
    <w:rsid w:val="00390585"/>
    <w:rsid w:val="00396304"/>
    <w:rsid w:val="003D6099"/>
    <w:rsid w:val="004012BB"/>
    <w:rsid w:val="004154BA"/>
    <w:rsid w:val="004625A0"/>
    <w:rsid w:val="0047198E"/>
    <w:rsid w:val="00474430"/>
    <w:rsid w:val="004D5ED8"/>
    <w:rsid w:val="00536A8B"/>
    <w:rsid w:val="00546BC5"/>
    <w:rsid w:val="00567E23"/>
    <w:rsid w:val="0059317B"/>
    <w:rsid w:val="005C3FEE"/>
    <w:rsid w:val="005D2E82"/>
    <w:rsid w:val="005F3CF6"/>
    <w:rsid w:val="005F76F3"/>
    <w:rsid w:val="00610E40"/>
    <w:rsid w:val="00622A5E"/>
    <w:rsid w:val="00713894"/>
    <w:rsid w:val="007D5F7F"/>
    <w:rsid w:val="007F1909"/>
    <w:rsid w:val="008A5906"/>
    <w:rsid w:val="008F2F9D"/>
    <w:rsid w:val="00A13F05"/>
    <w:rsid w:val="00AD7A63"/>
    <w:rsid w:val="00B07D60"/>
    <w:rsid w:val="00B42064"/>
    <w:rsid w:val="00B45E0D"/>
    <w:rsid w:val="00B932D0"/>
    <w:rsid w:val="00BE3F2A"/>
    <w:rsid w:val="00C008B8"/>
    <w:rsid w:val="00C8313E"/>
    <w:rsid w:val="00D8098F"/>
    <w:rsid w:val="00D96EDF"/>
    <w:rsid w:val="00DF45BA"/>
    <w:rsid w:val="00E029EB"/>
    <w:rsid w:val="00E26BE7"/>
    <w:rsid w:val="00E52455"/>
    <w:rsid w:val="00E55E4A"/>
    <w:rsid w:val="00E93D8A"/>
    <w:rsid w:val="00EA023B"/>
    <w:rsid w:val="00EE31B3"/>
    <w:rsid w:val="00EF466D"/>
    <w:rsid w:val="00FB4BB2"/>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F0BD6"/>
  <w15:docId w15:val="{09CBD831-3D8C-4C2F-8D7D-C3DD369D3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32D0"/>
    <w:pPr>
      <w:spacing w:after="200" w:line="276" w:lineRule="auto"/>
    </w:pPr>
    <w:rPr>
      <w:sz w:val="22"/>
      <w:szCs w:val="22"/>
      <w:lang w:val="en-US" w:eastAsia="en-US"/>
    </w:rPr>
  </w:style>
  <w:style w:type="paragraph" w:styleId="Antrat1">
    <w:name w:val="heading 1"/>
    <w:basedOn w:val="prastasis"/>
    <w:next w:val="prastasis"/>
    <w:link w:val="Antrat1Diagrama"/>
    <w:uiPriority w:val="9"/>
    <w:qFormat/>
    <w:rsid w:val="00B932D0"/>
    <w:pPr>
      <w:keepNext/>
      <w:keepLines/>
      <w:spacing w:before="480" w:after="0" w:line="240" w:lineRule="auto"/>
      <w:outlineLvl w:val="0"/>
    </w:pPr>
    <w:rPr>
      <w:rFonts w:ascii="Cambria" w:eastAsia="Times New Roman" w:hAnsi="Cambria"/>
      <w:b/>
      <w:bCs/>
      <w:color w:val="365F91"/>
      <w:sz w:val="28"/>
      <w:szCs w:val="28"/>
      <w:lang w:val="lt-LT"/>
    </w:rPr>
  </w:style>
  <w:style w:type="paragraph" w:styleId="Antrat2">
    <w:name w:val="heading 2"/>
    <w:basedOn w:val="prastasis"/>
    <w:next w:val="prastasis"/>
    <w:link w:val="Antrat2Diagrama"/>
    <w:uiPriority w:val="9"/>
    <w:semiHidden/>
    <w:unhideWhenUsed/>
    <w:qFormat/>
    <w:rsid w:val="00B932D0"/>
    <w:pPr>
      <w:keepNext/>
      <w:keepLines/>
      <w:spacing w:before="200" w:after="0" w:line="240" w:lineRule="auto"/>
      <w:outlineLvl w:val="1"/>
    </w:pPr>
    <w:rPr>
      <w:rFonts w:ascii="Cambria" w:eastAsia="Times New Roman" w:hAnsi="Cambria"/>
      <w:b/>
      <w:bCs/>
      <w:color w:val="4F81BD"/>
      <w:sz w:val="26"/>
      <w:szCs w:val="26"/>
      <w:lang w:val="lt-LT"/>
    </w:rPr>
  </w:style>
  <w:style w:type="paragraph" w:styleId="Antrat3">
    <w:name w:val="heading 3"/>
    <w:basedOn w:val="prastasis"/>
    <w:next w:val="prastasis"/>
    <w:link w:val="Antrat3Diagrama"/>
    <w:uiPriority w:val="9"/>
    <w:semiHidden/>
    <w:unhideWhenUsed/>
    <w:qFormat/>
    <w:rsid w:val="00B932D0"/>
    <w:pPr>
      <w:keepNext/>
      <w:keepLines/>
      <w:spacing w:before="200" w:after="0" w:line="240" w:lineRule="auto"/>
      <w:outlineLvl w:val="2"/>
    </w:pPr>
    <w:rPr>
      <w:rFonts w:ascii="Cambria" w:eastAsia="Times New Roman" w:hAnsi="Cambria"/>
      <w:b/>
      <w:bCs/>
      <w:color w:val="4F81BD"/>
      <w:sz w:val="24"/>
      <w:szCs w:val="24"/>
      <w:lang w:val="lt-LT"/>
    </w:rPr>
  </w:style>
  <w:style w:type="paragraph" w:styleId="Antrat4">
    <w:name w:val="heading 4"/>
    <w:basedOn w:val="prastasis"/>
    <w:next w:val="prastasis"/>
    <w:link w:val="Antrat4Diagrama"/>
    <w:semiHidden/>
    <w:unhideWhenUsed/>
    <w:qFormat/>
    <w:rsid w:val="00B932D0"/>
    <w:pPr>
      <w:keepNext/>
      <w:spacing w:before="240" w:after="60" w:line="240" w:lineRule="auto"/>
      <w:outlineLvl w:val="3"/>
    </w:pPr>
    <w:rPr>
      <w:rFonts w:eastAsia="Times New Roman"/>
      <w:b/>
      <w:bCs/>
      <w:sz w:val="28"/>
      <w:szCs w:val="2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B932D0"/>
    <w:rPr>
      <w:rFonts w:ascii="Cambria" w:eastAsia="Times New Roman" w:hAnsi="Cambria" w:cs="Times New Roman"/>
      <w:b/>
      <w:bCs/>
      <w:color w:val="365F91"/>
      <w:sz w:val="28"/>
      <w:szCs w:val="28"/>
    </w:rPr>
  </w:style>
  <w:style w:type="character" w:customStyle="1" w:styleId="Antrat2Diagrama">
    <w:name w:val="Antraštė 2 Diagrama"/>
    <w:link w:val="Antrat2"/>
    <w:uiPriority w:val="9"/>
    <w:semiHidden/>
    <w:rsid w:val="00B932D0"/>
    <w:rPr>
      <w:rFonts w:ascii="Cambria" w:eastAsia="Times New Roman" w:hAnsi="Cambria" w:cs="Times New Roman"/>
      <w:b/>
      <w:bCs/>
      <w:color w:val="4F81BD"/>
      <w:sz w:val="26"/>
      <w:szCs w:val="26"/>
    </w:rPr>
  </w:style>
  <w:style w:type="character" w:customStyle="1" w:styleId="Antrat3Diagrama">
    <w:name w:val="Antraštė 3 Diagrama"/>
    <w:link w:val="Antrat3"/>
    <w:uiPriority w:val="9"/>
    <w:semiHidden/>
    <w:rsid w:val="00B932D0"/>
    <w:rPr>
      <w:rFonts w:ascii="Cambria" w:eastAsia="Times New Roman" w:hAnsi="Cambria" w:cs="Times New Roman"/>
      <w:b/>
      <w:bCs/>
      <w:color w:val="4F81BD"/>
      <w:sz w:val="24"/>
      <w:szCs w:val="24"/>
    </w:rPr>
  </w:style>
  <w:style w:type="character" w:customStyle="1" w:styleId="Antrat4Diagrama">
    <w:name w:val="Antraštė 4 Diagrama"/>
    <w:link w:val="Antrat4"/>
    <w:semiHidden/>
    <w:rsid w:val="00B932D0"/>
    <w:rPr>
      <w:rFonts w:eastAsia="Times New Roman"/>
      <w:b/>
      <w:bCs/>
      <w:sz w:val="28"/>
      <w:szCs w:val="28"/>
    </w:rPr>
  </w:style>
  <w:style w:type="numbering" w:customStyle="1" w:styleId="NoList1">
    <w:name w:val="No List1"/>
    <w:next w:val="Sraonra"/>
    <w:uiPriority w:val="99"/>
    <w:semiHidden/>
    <w:unhideWhenUsed/>
    <w:rsid w:val="00B932D0"/>
  </w:style>
  <w:style w:type="character" w:styleId="Hipersaitas">
    <w:name w:val="Hyperlink"/>
    <w:rsid w:val="00B932D0"/>
    <w:rPr>
      <w:color w:val="0000FF"/>
      <w:u w:val="single"/>
    </w:rPr>
  </w:style>
  <w:style w:type="paragraph" w:customStyle="1" w:styleId="PI-1EMEASMCA">
    <w:name w:val="PI-1 EMEA_SMCA"/>
    <w:basedOn w:val="Antrat2"/>
    <w:autoRedefine/>
    <w:rsid w:val="00B932D0"/>
    <w:pPr>
      <w:keepLines w:val="0"/>
      <w:tabs>
        <w:tab w:val="left" w:pos="567"/>
      </w:tabs>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link w:val="PI-1labEMEASMCAChar"/>
    <w:autoRedefine/>
    <w:rsid w:val="00B932D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character" w:customStyle="1" w:styleId="PI-1labEMEASMCAChar">
    <w:name w:val="PI-1_lab EMEA_SMCA Char"/>
    <w:link w:val="PI-1labEMEASMCA"/>
    <w:locked/>
    <w:rsid w:val="00B932D0"/>
    <w:rPr>
      <w:rFonts w:ascii="Times New Roman" w:eastAsia="Times New Roman" w:hAnsi="Times New Roman" w:cs="Times New Roman"/>
      <w:b/>
      <w:noProof/>
    </w:rPr>
  </w:style>
  <w:style w:type="paragraph" w:customStyle="1" w:styleId="PI-2EMEASMCA">
    <w:name w:val="PI-2 EMEA_SMCA"/>
    <w:basedOn w:val="Antrat3"/>
    <w:autoRedefine/>
    <w:rsid w:val="00B932D0"/>
    <w:pPr>
      <w:tabs>
        <w:tab w:val="left" w:pos="0"/>
        <w:tab w:val="left" w:pos="540"/>
      </w:tabs>
      <w:spacing w:before="0"/>
    </w:pPr>
    <w:rPr>
      <w:rFonts w:ascii="Times New Roman" w:hAnsi="Times New Roman"/>
      <w:b w:val="0"/>
      <w:bCs w:val="0"/>
      <w:color w:val="auto"/>
      <w:kern w:val="28"/>
      <w:sz w:val="22"/>
      <w:szCs w:val="22"/>
    </w:rPr>
  </w:style>
  <w:style w:type="paragraph" w:customStyle="1" w:styleId="BTEMEASMCA">
    <w:name w:val="BT EMEA_SMCA"/>
    <w:basedOn w:val="prastasis"/>
    <w:link w:val="BTEMEASMCAChar"/>
    <w:autoRedefine/>
    <w:uiPriority w:val="99"/>
    <w:rsid w:val="00B932D0"/>
    <w:pPr>
      <w:tabs>
        <w:tab w:val="left" w:pos="0"/>
        <w:tab w:val="left" w:pos="360"/>
        <w:tab w:val="left" w:pos="720"/>
      </w:tabs>
      <w:spacing w:after="0" w:line="240" w:lineRule="auto"/>
    </w:pPr>
    <w:rPr>
      <w:rFonts w:ascii="Times New Roman" w:eastAsia="Times New Roman" w:hAnsi="Times New Roman"/>
      <w:noProof/>
      <w:lang w:val="lt-LT"/>
    </w:rPr>
  </w:style>
  <w:style w:type="paragraph" w:customStyle="1" w:styleId="TTEMEASMCA">
    <w:name w:val="TT EMEA_SMCA"/>
    <w:basedOn w:val="Antrat1"/>
    <w:link w:val="TTEMEASMCAChar"/>
    <w:autoRedefine/>
    <w:rsid w:val="00B932D0"/>
    <w:pPr>
      <w:keepNext w:val="0"/>
      <w:keepLines w:val="0"/>
      <w:tabs>
        <w:tab w:val="left" w:pos="0"/>
      </w:tabs>
      <w:spacing w:before="0"/>
    </w:pPr>
    <w:rPr>
      <w:rFonts w:ascii="Times New Roman" w:hAnsi="Times New Roman"/>
      <w:bCs w:val="0"/>
      <w:caps/>
      <w:color w:val="auto"/>
      <w:sz w:val="22"/>
      <w:szCs w:val="22"/>
      <w:lang w:val="en-US"/>
    </w:rPr>
  </w:style>
  <w:style w:type="character" w:customStyle="1" w:styleId="TTEMEASMCAChar">
    <w:name w:val="TT EMEA_SMCA Char"/>
    <w:link w:val="TTEMEASMCA"/>
    <w:locked/>
    <w:rsid w:val="00B932D0"/>
    <w:rPr>
      <w:rFonts w:ascii="Times New Roman" w:eastAsia="Times New Roman" w:hAnsi="Times New Roman" w:cs="Times New Roman"/>
      <w:b/>
      <w:caps/>
      <w:lang w:val="en-US"/>
    </w:rPr>
  </w:style>
  <w:style w:type="paragraph" w:customStyle="1" w:styleId="BTAnIIEMEASMCA">
    <w:name w:val="BT(AnII) EMEA_SMCA"/>
    <w:basedOn w:val="Debesliotekstas"/>
    <w:autoRedefine/>
    <w:rsid w:val="00B932D0"/>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B932D0"/>
    <w:pPr>
      <w:numPr>
        <w:numId w:val="16"/>
      </w:numPr>
      <w:tabs>
        <w:tab w:val="clear" w:pos="0"/>
        <w:tab w:val="clear" w:pos="360"/>
        <w:tab w:val="clear" w:pos="720"/>
      </w:tabs>
      <w:ind w:left="567" w:hanging="567"/>
    </w:pPr>
  </w:style>
  <w:style w:type="paragraph" w:customStyle="1" w:styleId="PI-3EMEASMCA">
    <w:name w:val="PI-3 EMEA_SMCA"/>
    <w:basedOn w:val="prastasis"/>
    <w:autoRedefine/>
    <w:rsid w:val="00B932D0"/>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rsid w:val="00B932D0"/>
    <w:rPr>
      <w:b/>
    </w:rPr>
  </w:style>
  <w:style w:type="paragraph" w:customStyle="1" w:styleId="BTeEMEASMCA">
    <w:name w:val="BT(e) EMEA_SMCA"/>
    <w:basedOn w:val="BTEMEASMCA"/>
    <w:autoRedefine/>
    <w:rsid w:val="00B932D0"/>
    <w:pPr>
      <w:jc w:val="center"/>
    </w:pPr>
  </w:style>
  <w:style w:type="character" w:customStyle="1" w:styleId="BTEMEASMCAChar">
    <w:name w:val="BT EMEA_SMCA Char"/>
    <w:link w:val="BTEMEASMCA"/>
    <w:uiPriority w:val="99"/>
    <w:locked/>
    <w:rsid w:val="00B932D0"/>
    <w:rPr>
      <w:rFonts w:ascii="Times New Roman" w:eastAsia="Times New Roman" w:hAnsi="Times New Roman" w:cs="Times New Roman"/>
      <w:noProof/>
    </w:rPr>
  </w:style>
  <w:style w:type="paragraph" w:customStyle="1" w:styleId="BTuEMEASMCA">
    <w:name w:val="BT(u) EMEA_SMCA"/>
    <w:basedOn w:val="BTEMEASMCA"/>
    <w:autoRedefine/>
    <w:rsid w:val="00B932D0"/>
    <w:rPr>
      <w:u w:val="single"/>
    </w:rPr>
  </w:style>
  <w:style w:type="paragraph" w:styleId="Pagrindinistekstas">
    <w:name w:val="Body Text"/>
    <w:basedOn w:val="prastasis"/>
    <w:link w:val="PagrindinistekstasDiagrama"/>
    <w:rsid w:val="00B932D0"/>
    <w:pPr>
      <w:spacing w:after="120" w:line="240" w:lineRule="auto"/>
    </w:pPr>
    <w:rPr>
      <w:rFonts w:ascii="Times New Roman" w:eastAsia="Times New Roman" w:hAnsi="Times New Roman"/>
      <w:sz w:val="24"/>
      <w:szCs w:val="24"/>
      <w:lang w:val="lt-LT"/>
    </w:rPr>
  </w:style>
  <w:style w:type="character" w:customStyle="1" w:styleId="PagrindinistekstasDiagrama">
    <w:name w:val="Pagrindinis tekstas Diagrama"/>
    <w:link w:val="Pagrindinistekstas"/>
    <w:rsid w:val="00B932D0"/>
    <w:rPr>
      <w:rFonts w:ascii="Times New Roman" w:eastAsia="Times New Roman" w:hAnsi="Times New Roman" w:cs="Times New Roman"/>
      <w:sz w:val="24"/>
      <w:szCs w:val="24"/>
    </w:rPr>
  </w:style>
  <w:style w:type="paragraph" w:styleId="Komentarotekstas">
    <w:name w:val="annotation text"/>
    <w:basedOn w:val="prastasis"/>
    <w:link w:val="KomentarotekstasDiagrama"/>
    <w:semiHidden/>
    <w:rsid w:val="00B932D0"/>
    <w:pPr>
      <w:spacing w:after="0" w:line="240" w:lineRule="auto"/>
    </w:pPr>
    <w:rPr>
      <w:rFonts w:ascii="Times New Roman" w:eastAsia="Times New Roman" w:hAnsi="Times New Roman"/>
      <w:sz w:val="20"/>
      <w:szCs w:val="20"/>
      <w:lang w:val="lt-LT"/>
    </w:rPr>
  </w:style>
  <w:style w:type="character" w:customStyle="1" w:styleId="KomentarotekstasDiagrama">
    <w:name w:val="Komentaro tekstas Diagrama"/>
    <w:link w:val="Komentarotekstas"/>
    <w:semiHidden/>
    <w:rsid w:val="00B932D0"/>
    <w:rPr>
      <w:rFonts w:ascii="Times New Roman" w:eastAsia="Times New Roman" w:hAnsi="Times New Roman" w:cs="Times New Roman"/>
      <w:sz w:val="20"/>
      <w:szCs w:val="20"/>
    </w:rPr>
  </w:style>
  <w:style w:type="paragraph" w:customStyle="1" w:styleId="BodyTextAfter0">
    <w:name w:val="Body Text + After 0"/>
    <w:basedOn w:val="Pagrindinistekstas"/>
    <w:rsid w:val="00B932D0"/>
    <w:pPr>
      <w:spacing w:after="0"/>
    </w:pPr>
    <w:rPr>
      <w:sz w:val="22"/>
      <w:szCs w:val="22"/>
    </w:rPr>
  </w:style>
  <w:style w:type="character" w:styleId="Komentaronuoroda">
    <w:name w:val="annotation reference"/>
    <w:uiPriority w:val="99"/>
    <w:semiHidden/>
    <w:rsid w:val="00B932D0"/>
    <w:rPr>
      <w:sz w:val="18"/>
    </w:rPr>
  </w:style>
  <w:style w:type="paragraph" w:styleId="Porat">
    <w:name w:val="footer"/>
    <w:basedOn w:val="prastasis"/>
    <w:link w:val="PoratDiagrama"/>
    <w:rsid w:val="00B932D0"/>
    <w:pPr>
      <w:tabs>
        <w:tab w:val="center" w:pos="4819"/>
        <w:tab w:val="right" w:pos="9638"/>
      </w:tabs>
      <w:spacing w:after="0" w:line="240" w:lineRule="auto"/>
    </w:pPr>
    <w:rPr>
      <w:rFonts w:ascii="Times New Roman" w:eastAsia="Times New Roman" w:hAnsi="Times New Roman"/>
      <w:sz w:val="24"/>
      <w:szCs w:val="24"/>
      <w:lang w:val="lt-LT"/>
    </w:rPr>
  </w:style>
  <w:style w:type="character" w:customStyle="1" w:styleId="PoratDiagrama">
    <w:name w:val="Poraštė Diagrama"/>
    <w:link w:val="Porat"/>
    <w:rsid w:val="00B932D0"/>
    <w:rPr>
      <w:rFonts w:ascii="Times New Roman" w:eastAsia="Times New Roman" w:hAnsi="Times New Roman" w:cs="Times New Roman"/>
      <w:sz w:val="24"/>
      <w:szCs w:val="24"/>
    </w:rPr>
  </w:style>
  <w:style w:type="character" w:styleId="Puslapionumeris">
    <w:name w:val="page number"/>
    <w:rsid w:val="00B932D0"/>
    <w:rPr>
      <w:rFonts w:cs="Times New Roman"/>
    </w:rPr>
  </w:style>
  <w:style w:type="paragraph" w:styleId="Debesliotekstas">
    <w:name w:val="Balloon Text"/>
    <w:basedOn w:val="prastasis"/>
    <w:link w:val="DebesliotekstasDiagrama"/>
    <w:uiPriority w:val="99"/>
    <w:semiHidden/>
    <w:unhideWhenUsed/>
    <w:rsid w:val="00B932D0"/>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link w:val="Debesliotekstas"/>
    <w:uiPriority w:val="99"/>
    <w:semiHidden/>
    <w:rsid w:val="00B932D0"/>
    <w:rPr>
      <w:rFonts w:ascii="Tahoma" w:eastAsia="Times New Roman" w:hAnsi="Tahoma" w:cs="Tahoma"/>
      <w:sz w:val="16"/>
      <w:szCs w:val="16"/>
    </w:rPr>
  </w:style>
  <w:style w:type="paragraph" w:styleId="Sraopastraipa">
    <w:name w:val="List Paragraph"/>
    <w:basedOn w:val="prastasis"/>
    <w:uiPriority w:val="99"/>
    <w:qFormat/>
    <w:rsid w:val="00B932D0"/>
    <w:pPr>
      <w:spacing w:after="0" w:line="240" w:lineRule="auto"/>
      <w:ind w:left="720"/>
      <w:contextualSpacing/>
    </w:pPr>
    <w:rPr>
      <w:rFonts w:ascii="Times New Roman" w:eastAsia="Times New Roman" w:hAnsi="Times New Roman"/>
      <w:sz w:val="24"/>
      <w:szCs w:val="24"/>
      <w:lang w:val="lt-LT"/>
    </w:rPr>
  </w:style>
  <w:style w:type="character" w:customStyle="1" w:styleId="hps">
    <w:name w:val="hps"/>
    <w:rsid w:val="00B932D0"/>
    <w:rPr>
      <w:rFonts w:cs="Times New Roman"/>
    </w:rPr>
  </w:style>
  <w:style w:type="paragraph" w:styleId="Pavadinimas">
    <w:name w:val="Title"/>
    <w:basedOn w:val="prastasis"/>
    <w:link w:val="PavadinimasDiagrama"/>
    <w:autoRedefine/>
    <w:uiPriority w:val="99"/>
    <w:qFormat/>
    <w:rsid w:val="00B932D0"/>
    <w:pPr>
      <w:tabs>
        <w:tab w:val="left" w:pos="567"/>
      </w:tabs>
      <w:spacing w:after="0" w:line="240" w:lineRule="auto"/>
      <w:outlineLvl w:val="0"/>
    </w:pPr>
    <w:rPr>
      <w:rFonts w:ascii="Times New Roman" w:eastAsia="Times New Roman" w:hAnsi="Times New Roman"/>
      <w:bCs/>
      <w:kern w:val="28"/>
      <w:lang w:val="lt-LT" w:eastAsia="lt-LT"/>
    </w:rPr>
  </w:style>
  <w:style w:type="character" w:customStyle="1" w:styleId="PavadinimasDiagrama">
    <w:name w:val="Pavadinimas Diagrama"/>
    <w:link w:val="Pavadinimas"/>
    <w:uiPriority w:val="99"/>
    <w:rsid w:val="00B932D0"/>
    <w:rPr>
      <w:rFonts w:ascii="Times New Roman" w:eastAsia="Times New Roman" w:hAnsi="Times New Roman" w:cs="Times New Roman"/>
      <w:bCs/>
      <w:kern w:val="28"/>
      <w:lang w:eastAsia="lt-LT"/>
    </w:rPr>
  </w:style>
  <w:style w:type="character" w:customStyle="1" w:styleId="shorttext">
    <w:name w:val="short_text"/>
    <w:uiPriority w:val="99"/>
    <w:rsid w:val="00B932D0"/>
    <w:rPr>
      <w:rFonts w:cs="Times New Roman"/>
    </w:rPr>
  </w:style>
  <w:style w:type="paragraph" w:styleId="Paprastasistekstas">
    <w:name w:val="Plain Text"/>
    <w:basedOn w:val="prastasis"/>
    <w:link w:val="PaprastasistekstasDiagrama"/>
    <w:uiPriority w:val="99"/>
    <w:rsid w:val="00B932D0"/>
    <w:pPr>
      <w:spacing w:after="0" w:line="240" w:lineRule="auto"/>
    </w:pPr>
    <w:rPr>
      <w:rFonts w:ascii="Courier New" w:eastAsia="SimSun" w:hAnsi="Courier New"/>
      <w:sz w:val="20"/>
      <w:szCs w:val="20"/>
    </w:rPr>
  </w:style>
  <w:style w:type="character" w:customStyle="1" w:styleId="PaprastasistekstasDiagrama">
    <w:name w:val="Paprastasis tekstas Diagrama"/>
    <w:link w:val="Paprastasistekstas"/>
    <w:uiPriority w:val="99"/>
    <w:rsid w:val="00B932D0"/>
    <w:rPr>
      <w:rFonts w:ascii="Courier New" w:eastAsia="SimSun" w:hAnsi="Courier New" w:cs="Times New Roman"/>
      <w:sz w:val="20"/>
      <w:szCs w:val="20"/>
      <w:lang w:val="en-US"/>
    </w:rPr>
  </w:style>
  <w:style w:type="character" w:customStyle="1" w:styleId="st">
    <w:name w:val="st"/>
    <w:rsid w:val="00B932D0"/>
  </w:style>
  <w:style w:type="paragraph" w:styleId="Antrats">
    <w:name w:val="header"/>
    <w:basedOn w:val="prastasis"/>
    <w:link w:val="AntratsDiagrama"/>
    <w:uiPriority w:val="99"/>
    <w:unhideWhenUsed/>
    <w:rsid w:val="00B932D0"/>
    <w:pPr>
      <w:tabs>
        <w:tab w:val="center" w:pos="4819"/>
        <w:tab w:val="right" w:pos="9638"/>
      </w:tabs>
      <w:spacing w:after="0" w:line="240" w:lineRule="auto"/>
    </w:pPr>
    <w:rPr>
      <w:rFonts w:ascii="Times New Roman" w:eastAsia="Times New Roman" w:hAnsi="Times New Roman"/>
      <w:sz w:val="24"/>
      <w:szCs w:val="24"/>
      <w:lang w:val="lt-LT"/>
    </w:rPr>
  </w:style>
  <w:style w:type="character" w:customStyle="1" w:styleId="AntratsDiagrama">
    <w:name w:val="Antraštės Diagrama"/>
    <w:link w:val="Antrats"/>
    <w:uiPriority w:val="99"/>
    <w:rsid w:val="00B932D0"/>
    <w:rPr>
      <w:rFonts w:ascii="Times New Roman" w:eastAsia="Times New Roman" w:hAnsi="Times New Roman" w:cs="Times New Roman"/>
      <w:sz w:val="24"/>
      <w:szCs w:val="24"/>
    </w:rPr>
  </w:style>
  <w:style w:type="paragraph" w:styleId="Komentarotema">
    <w:name w:val="annotation subject"/>
    <w:basedOn w:val="Komentarotekstas"/>
    <w:next w:val="Komentarotekstas"/>
    <w:link w:val="KomentarotemaDiagrama"/>
    <w:uiPriority w:val="99"/>
    <w:semiHidden/>
    <w:unhideWhenUsed/>
    <w:rsid w:val="00B932D0"/>
    <w:rPr>
      <w:b/>
      <w:bCs/>
    </w:rPr>
  </w:style>
  <w:style w:type="character" w:customStyle="1" w:styleId="KomentarotemaDiagrama">
    <w:name w:val="Komentaro tema Diagrama"/>
    <w:link w:val="Komentarotema"/>
    <w:uiPriority w:val="99"/>
    <w:semiHidden/>
    <w:rsid w:val="00B932D0"/>
    <w:rPr>
      <w:rFonts w:ascii="Times New Roman" w:eastAsia="Times New Roman" w:hAnsi="Times New Roman" w:cs="Times New Roman"/>
      <w:b/>
      <w:bCs/>
      <w:sz w:val="20"/>
      <w:szCs w:val="20"/>
    </w:rPr>
  </w:style>
  <w:style w:type="paragraph" w:styleId="Pataisymai">
    <w:name w:val="Revision"/>
    <w:hidden/>
    <w:uiPriority w:val="99"/>
    <w:semiHidden/>
    <w:rsid w:val="00B932D0"/>
    <w:rPr>
      <w:rFonts w:ascii="Times New Roman" w:eastAsia="Times New Roman" w:hAnsi="Times New Roman"/>
      <w:sz w:val="24"/>
      <w:szCs w:val="24"/>
      <w:lang w:eastAsia="en-US"/>
    </w:rPr>
  </w:style>
  <w:style w:type="character" w:styleId="Grietas">
    <w:name w:val="Strong"/>
    <w:uiPriority w:val="22"/>
    <w:qFormat/>
    <w:rsid w:val="00B932D0"/>
    <w:rPr>
      <w:b/>
      <w:bCs/>
    </w:rPr>
  </w:style>
  <w:style w:type="paragraph" w:styleId="Pagrindiniotekstotrauka2">
    <w:name w:val="Body Text Indent 2"/>
    <w:basedOn w:val="prastasis"/>
    <w:link w:val="Pagrindiniotekstotrauka2Diagrama"/>
    <w:uiPriority w:val="99"/>
    <w:rsid w:val="00B932D0"/>
    <w:pPr>
      <w:spacing w:after="120" w:line="480" w:lineRule="auto"/>
      <w:ind w:left="283"/>
    </w:pPr>
    <w:rPr>
      <w:rFonts w:ascii="Times New Roman" w:eastAsia="Times New Roman" w:hAnsi="Times New Roman"/>
      <w:szCs w:val="20"/>
      <w:lang w:val="lt-LT" w:eastAsia="lt-LT"/>
    </w:rPr>
  </w:style>
  <w:style w:type="character" w:customStyle="1" w:styleId="Pagrindiniotekstotrauka2Diagrama">
    <w:name w:val="Pagrindinio teksto įtrauka 2 Diagrama"/>
    <w:link w:val="Pagrindiniotekstotrauka2"/>
    <w:uiPriority w:val="99"/>
    <w:rsid w:val="00B932D0"/>
    <w:rPr>
      <w:rFonts w:ascii="Times New Roman" w:eastAsia="Times New Roman" w:hAnsi="Times New Roman" w:cs="Times New Roman"/>
      <w:szCs w:val="20"/>
      <w:lang w:eastAsia="lt-LT"/>
    </w:rPr>
  </w:style>
  <w:style w:type="numbering" w:customStyle="1" w:styleId="NoList11">
    <w:name w:val="No List11"/>
    <w:next w:val="Sraonra"/>
    <w:semiHidden/>
    <w:rsid w:val="00B932D0"/>
  </w:style>
  <w:style w:type="paragraph" w:styleId="Betarp">
    <w:name w:val="No Spacing"/>
    <w:uiPriority w:val="1"/>
    <w:qFormat/>
    <w:rsid w:val="00B932D0"/>
    <w:rPr>
      <w:rFonts w:ascii="Times New Roman" w:eastAsia="Times New Roman" w:hAnsi="Times New Roman"/>
      <w:sz w:val="24"/>
      <w:szCs w:val="24"/>
      <w:lang w:eastAsia="en-US"/>
    </w:rPr>
  </w:style>
  <w:style w:type="paragraph" w:customStyle="1" w:styleId="Default">
    <w:name w:val="Default"/>
    <w:rsid w:val="00B932D0"/>
    <w:pPr>
      <w:autoSpaceDE w:val="0"/>
      <w:autoSpaceDN w:val="0"/>
      <w:adjustRightInd w:val="0"/>
    </w:pPr>
    <w:rPr>
      <w:rFonts w:ascii="Times New Roman" w:hAnsi="Times New Roman"/>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6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zodynas.lt/terminu-zodynas/K/kuri" TargetMode="External"/><Relationship Id="rId4" Type="http://schemas.openxmlformats.org/officeDocument/2006/relationships/settings" Target="settings.xml"/><Relationship Id="rId9" Type="http://schemas.openxmlformats.org/officeDocument/2006/relationships/hyperlink" Target="http://www.zodynas.lt/terminu-zodynas/R/reakcija"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E8AA0D-8BCB-4181-89E3-20442CF6B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36671</Words>
  <Characters>20904</Characters>
  <Application>Microsoft Office Word</Application>
  <DocSecurity>4</DocSecurity>
  <Lines>174</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57461</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4915222</vt:i4>
      </vt:variant>
      <vt:variant>
        <vt:i4>12</vt:i4>
      </vt:variant>
      <vt:variant>
        <vt:i4>0</vt:i4>
      </vt:variant>
      <vt:variant>
        <vt:i4>5</vt:i4>
      </vt:variant>
      <vt:variant>
        <vt:lpwstr>http://www.zodynas.lt/terminu-zodynas/K/kuri</vt:lpwstr>
      </vt:variant>
      <vt:variant>
        <vt:lpwstr/>
      </vt:variant>
      <vt:variant>
        <vt:i4>5308428</vt:i4>
      </vt:variant>
      <vt:variant>
        <vt:i4>9</vt:i4>
      </vt:variant>
      <vt:variant>
        <vt:i4>0</vt:i4>
      </vt:variant>
      <vt:variant>
        <vt:i4>5</vt:i4>
      </vt:variant>
      <vt:variant>
        <vt:lpwstr>http://www.zodynas.lt/terminu-zodynas/R/reakcija</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2</cp:revision>
  <dcterms:created xsi:type="dcterms:W3CDTF">2023-01-10T09:10:00Z</dcterms:created>
  <dcterms:modified xsi:type="dcterms:W3CDTF">2023-01-10T09:10:00Z</dcterms:modified>
</cp:coreProperties>
</file>