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21C" w:rsidRPr="006F50A5" w:rsidRDefault="000E521C" w:rsidP="000E521C">
      <w:pPr>
        <w:jc w:val="center"/>
        <w:outlineLvl w:val="0"/>
        <w:rPr>
          <w:b/>
          <w:szCs w:val="22"/>
          <w:lang w:val="lt-LT"/>
        </w:rPr>
      </w:pPr>
      <w:r w:rsidRPr="006F50A5">
        <w:rPr>
          <w:b/>
          <w:szCs w:val="22"/>
          <w:lang w:val="lt-LT"/>
        </w:rPr>
        <w:t>Pakuotės lapelis:</w:t>
      </w:r>
      <w:r w:rsidRPr="006F50A5">
        <w:rPr>
          <w:b/>
          <w:bCs/>
          <w:iCs/>
          <w:szCs w:val="22"/>
          <w:lang w:val="lt-LT"/>
        </w:rPr>
        <w:t xml:space="preserve"> </w:t>
      </w:r>
      <w:r w:rsidRPr="006F50A5">
        <w:rPr>
          <w:b/>
          <w:szCs w:val="22"/>
          <w:lang w:val="lt-LT"/>
        </w:rPr>
        <w:t>informacija vartotojui</w:t>
      </w:r>
    </w:p>
    <w:p w:rsidR="000E521C" w:rsidRPr="006F50A5" w:rsidRDefault="000E521C" w:rsidP="000E521C">
      <w:pPr>
        <w:numPr>
          <w:ilvl w:val="12"/>
          <w:numId w:val="0"/>
        </w:numPr>
        <w:jc w:val="center"/>
        <w:rPr>
          <w:b/>
          <w:bCs/>
          <w:szCs w:val="22"/>
          <w:lang w:val="lt-LT"/>
        </w:rPr>
      </w:pPr>
    </w:p>
    <w:p w:rsidR="000E521C" w:rsidRPr="006F50A5" w:rsidRDefault="000E521C" w:rsidP="000E521C">
      <w:pPr>
        <w:pStyle w:val="BTEMEASMCA"/>
        <w:jc w:val="center"/>
        <w:rPr>
          <w:b/>
        </w:rPr>
      </w:pPr>
      <w:r w:rsidRPr="006F50A5">
        <w:rPr>
          <w:b/>
        </w:rPr>
        <w:t>Canephron dengtos tabletės</w:t>
      </w:r>
    </w:p>
    <w:p w:rsidR="000E521C" w:rsidRPr="006F50A5" w:rsidRDefault="000E521C" w:rsidP="000E521C">
      <w:pPr>
        <w:ind w:right="-2"/>
        <w:jc w:val="center"/>
        <w:rPr>
          <w:bCs/>
          <w:szCs w:val="22"/>
          <w:lang w:val="lt-LT"/>
        </w:rPr>
      </w:pPr>
      <w:r w:rsidRPr="006F50A5">
        <w:rPr>
          <w:szCs w:val="22"/>
          <w:lang w:val="lt-LT"/>
        </w:rPr>
        <w:t>Širdažolių žolė, gelsvių šaknys, rozmarinų lapai</w:t>
      </w:r>
    </w:p>
    <w:p w:rsidR="000E521C" w:rsidRPr="006F50A5" w:rsidRDefault="000E521C" w:rsidP="000E521C">
      <w:pPr>
        <w:ind w:left="567" w:hanging="567"/>
        <w:rPr>
          <w:b/>
          <w:szCs w:val="22"/>
          <w:lang w:val="lt-LT"/>
        </w:rPr>
      </w:pPr>
    </w:p>
    <w:p w:rsidR="000E521C" w:rsidRPr="006F50A5" w:rsidRDefault="000E521C" w:rsidP="000E521C">
      <w:pPr>
        <w:numPr>
          <w:ilvl w:val="12"/>
          <w:numId w:val="0"/>
        </w:numPr>
        <w:tabs>
          <w:tab w:val="clear" w:pos="567"/>
          <w:tab w:val="left" w:pos="720"/>
        </w:tabs>
        <w:spacing w:line="240" w:lineRule="auto"/>
        <w:ind w:right="-2"/>
        <w:rPr>
          <w:b/>
          <w:szCs w:val="22"/>
          <w:lang w:val="lt-LT"/>
        </w:rPr>
      </w:pPr>
      <w:r w:rsidRPr="006F50A5">
        <w:rPr>
          <w:b/>
          <w:noProof/>
          <w:szCs w:val="22"/>
          <w:lang w:val="lt-LT"/>
        </w:rPr>
        <w:t>Atidžiai perskaitykite visą šį lapelį, prieš pradėdami vartoti šį vaistą, nes jame pateikiama Jums svarbi informacija.</w:t>
      </w:r>
    </w:p>
    <w:p w:rsidR="000E521C" w:rsidRPr="006F50A5" w:rsidRDefault="000E521C" w:rsidP="000E521C">
      <w:pPr>
        <w:numPr>
          <w:ilvl w:val="12"/>
          <w:numId w:val="0"/>
        </w:numPr>
        <w:tabs>
          <w:tab w:val="clear" w:pos="567"/>
          <w:tab w:val="left" w:pos="720"/>
        </w:tabs>
        <w:spacing w:line="240" w:lineRule="auto"/>
        <w:rPr>
          <w:szCs w:val="22"/>
          <w:lang w:val="lt-LT"/>
        </w:rPr>
      </w:pPr>
      <w:r w:rsidRPr="006F50A5">
        <w:rPr>
          <w:noProof/>
          <w:szCs w:val="22"/>
          <w:lang w:val="lt-LT"/>
        </w:rPr>
        <w:t>Visada vartokite šį vaistą tiksliai kaip aprašyta šiame lapelyje arba kaip nurodė gydytojas arba vaistininkas.</w:t>
      </w:r>
    </w:p>
    <w:p w:rsidR="000E521C" w:rsidRPr="006F50A5" w:rsidRDefault="000E521C" w:rsidP="000E521C">
      <w:pPr>
        <w:numPr>
          <w:ilvl w:val="0"/>
          <w:numId w:val="1"/>
        </w:numPr>
        <w:snapToGrid w:val="0"/>
        <w:spacing w:line="240" w:lineRule="auto"/>
        <w:ind w:left="567" w:hanging="567"/>
        <w:rPr>
          <w:szCs w:val="22"/>
          <w:lang w:val="lt-LT"/>
        </w:rPr>
      </w:pPr>
      <w:r w:rsidRPr="006F50A5">
        <w:rPr>
          <w:noProof/>
          <w:szCs w:val="22"/>
          <w:lang w:val="lt-LT"/>
        </w:rPr>
        <w:t>Neišmeskite šio lapelio, nes vėl gali prireikti jį perskaityti.</w:t>
      </w:r>
      <w:r w:rsidRPr="006F50A5">
        <w:rPr>
          <w:szCs w:val="22"/>
          <w:lang w:val="lt-LT"/>
        </w:rPr>
        <w:t xml:space="preserve"> </w:t>
      </w:r>
    </w:p>
    <w:p w:rsidR="000E521C" w:rsidRPr="006F50A5" w:rsidRDefault="000E521C" w:rsidP="000E521C">
      <w:pPr>
        <w:numPr>
          <w:ilvl w:val="0"/>
          <w:numId w:val="1"/>
        </w:numPr>
        <w:snapToGrid w:val="0"/>
        <w:spacing w:line="240" w:lineRule="auto"/>
        <w:ind w:left="567" w:hanging="567"/>
        <w:rPr>
          <w:szCs w:val="22"/>
          <w:lang w:val="lt-LT"/>
        </w:rPr>
      </w:pPr>
      <w:r w:rsidRPr="006F50A5">
        <w:rPr>
          <w:noProof/>
          <w:szCs w:val="22"/>
          <w:lang w:val="lt-LT"/>
        </w:rPr>
        <w:t>Jeigu norite sužinoti daugiau arba pasitarti, kreipkitės į vaistininką.</w:t>
      </w:r>
    </w:p>
    <w:p w:rsidR="000E521C" w:rsidRPr="006F50A5" w:rsidRDefault="000E521C" w:rsidP="000E521C">
      <w:pPr>
        <w:numPr>
          <w:ilvl w:val="0"/>
          <w:numId w:val="1"/>
        </w:numPr>
        <w:snapToGrid w:val="0"/>
        <w:spacing w:line="240" w:lineRule="auto"/>
        <w:ind w:left="567" w:hanging="567"/>
        <w:rPr>
          <w:szCs w:val="22"/>
          <w:lang w:val="lt-LT"/>
        </w:rPr>
      </w:pPr>
      <w:r w:rsidRPr="006F50A5">
        <w:rPr>
          <w:noProof/>
          <w:szCs w:val="22"/>
          <w:lang w:val="lt-LT"/>
        </w:rPr>
        <w:t>Jeigu pasireiškė šalutinis poveikis (net jeigu jis šiame lapelyje nenurodytas), kreipkitės į gydytoją arba vaistininką. Žr. 4 skyrių.</w:t>
      </w:r>
    </w:p>
    <w:p w:rsidR="000E521C" w:rsidRPr="006F50A5" w:rsidRDefault="000E521C" w:rsidP="000E521C">
      <w:pPr>
        <w:numPr>
          <w:ilvl w:val="0"/>
          <w:numId w:val="1"/>
        </w:numPr>
        <w:snapToGrid w:val="0"/>
        <w:spacing w:line="240" w:lineRule="auto"/>
        <w:ind w:left="567" w:hanging="567"/>
        <w:rPr>
          <w:szCs w:val="22"/>
          <w:lang w:val="lt-LT"/>
        </w:rPr>
      </w:pPr>
      <w:r w:rsidRPr="006F50A5">
        <w:rPr>
          <w:noProof/>
          <w:szCs w:val="22"/>
          <w:lang w:val="lt-LT"/>
        </w:rPr>
        <w:t>Jeigu per 7 dienas Jūsų savijauta nepagerėjo arba net pablogėjo, kreipkitės į gydytoją.</w:t>
      </w:r>
    </w:p>
    <w:p w:rsidR="000E521C" w:rsidRPr="006F50A5" w:rsidRDefault="000E521C" w:rsidP="000E521C">
      <w:pPr>
        <w:numPr>
          <w:ilvl w:val="12"/>
          <w:numId w:val="0"/>
        </w:numPr>
        <w:ind w:right="-2"/>
        <w:outlineLvl w:val="0"/>
        <w:rPr>
          <w:b/>
          <w:szCs w:val="22"/>
          <w:lang w:val="lt-LT"/>
        </w:rPr>
      </w:pPr>
    </w:p>
    <w:p w:rsidR="000E521C" w:rsidRPr="006F50A5" w:rsidRDefault="000E521C" w:rsidP="000E521C">
      <w:pPr>
        <w:numPr>
          <w:ilvl w:val="12"/>
          <w:numId w:val="0"/>
        </w:numPr>
        <w:ind w:right="-2"/>
        <w:outlineLvl w:val="0"/>
        <w:rPr>
          <w:b/>
          <w:szCs w:val="22"/>
          <w:lang w:val="lt-LT"/>
        </w:rPr>
      </w:pPr>
    </w:p>
    <w:p w:rsidR="000E521C" w:rsidRPr="006F50A5" w:rsidRDefault="000E521C" w:rsidP="000E521C">
      <w:pPr>
        <w:pStyle w:val="Antrat4"/>
        <w:spacing w:before="0" w:after="0" w:line="240" w:lineRule="auto"/>
        <w:rPr>
          <w:sz w:val="22"/>
          <w:szCs w:val="22"/>
          <w:lang w:val="lt-LT"/>
        </w:rPr>
      </w:pPr>
      <w:r w:rsidRPr="006F50A5">
        <w:rPr>
          <w:sz w:val="22"/>
          <w:szCs w:val="22"/>
          <w:lang w:val="lt-LT"/>
        </w:rPr>
        <w:t>Apie ką rašoma šiame lapelyje?</w:t>
      </w:r>
    </w:p>
    <w:p w:rsidR="000E521C" w:rsidRPr="006F50A5" w:rsidRDefault="000E521C" w:rsidP="000E521C">
      <w:pPr>
        <w:rPr>
          <w:szCs w:val="22"/>
          <w:lang w:val="lt-LT"/>
        </w:rPr>
      </w:pPr>
    </w:p>
    <w:p w:rsidR="000E521C" w:rsidRPr="006F50A5" w:rsidRDefault="000E521C" w:rsidP="000E521C">
      <w:pPr>
        <w:spacing w:line="240" w:lineRule="auto"/>
        <w:ind w:left="1134" w:hanging="1134"/>
        <w:rPr>
          <w:szCs w:val="22"/>
          <w:lang w:val="lt-LT"/>
        </w:rPr>
      </w:pPr>
      <w:r w:rsidRPr="006F50A5">
        <w:rPr>
          <w:szCs w:val="22"/>
          <w:lang w:val="lt-LT"/>
        </w:rPr>
        <w:t>1.</w:t>
      </w:r>
      <w:r w:rsidRPr="006F50A5">
        <w:rPr>
          <w:szCs w:val="22"/>
          <w:lang w:val="lt-LT"/>
        </w:rPr>
        <w:tab/>
        <w:t>Kas yra Canephron ir kam jis vartojamas</w:t>
      </w:r>
    </w:p>
    <w:p w:rsidR="000E521C" w:rsidRPr="006F50A5" w:rsidRDefault="000E521C" w:rsidP="000E521C">
      <w:pPr>
        <w:spacing w:line="240" w:lineRule="auto"/>
        <w:ind w:left="1134" w:hanging="1134"/>
        <w:rPr>
          <w:szCs w:val="22"/>
          <w:lang w:val="lt-LT"/>
        </w:rPr>
      </w:pPr>
      <w:r w:rsidRPr="006F50A5">
        <w:rPr>
          <w:szCs w:val="22"/>
          <w:lang w:val="lt-LT"/>
        </w:rPr>
        <w:t>2.</w:t>
      </w:r>
      <w:r w:rsidRPr="006F50A5">
        <w:rPr>
          <w:szCs w:val="22"/>
          <w:lang w:val="lt-LT"/>
        </w:rPr>
        <w:tab/>
        <w:t>Kas žinotina prieš vartojant Canephron</w:t>
      </w:r>
    </w:p>
    <w:p w:rsidR="000E521C" w:rsidRPr="006F50A5" w:rsidRDefault="000E521C" w:rsidP="000E521C">
      <w:pPr>
        <w:spacing w:line="240" w:lineRule="auto"/>
        <w:ind w:left="1134" w:hanging="1134"/>
        <w:rPr>
          <w:szCs w:val="22"/>
          <w:lang w:val="lt-LT"/>
        </w:rPr>
      </w:pPr>
      <w:r w:rsidRPr="006F50A5">
        <w:rPr>
          <w:szCs w:val="22"/>
          <w:lang w:val="lt-LT"/>
        </w:rPr>
        <w:t>3.</w:t>
      </w:r>
      <w:r w:rsidRPr="006F50A5">
        <w:rPr>
          <w:szCs w:val="22"/>
          <w:lang w:val="lt-LT"/>
        </w:rPr>
        <w:tab/>
        <w:t>Kaip vartoti Canephron</w:t>
      </w:r>
    </w:p>
    <w:p w:rsidR="000E521C" w:rsidRPr="006F50A5" w:rsidRDefault="000E521C" w:rsidP="000E521C">
      <w:pPr>
        <w:spacing w:line="240" w:lineRule="auto"/>
        <w:ind w:left="1134" w:hanging="1134"/>
        <w:rPr>
          <w:szCs w:val="22"/>
          <w:lang w:val="lt-LT"/>
        </w:rPr>
      </w:pPr>
      <w:r w:rsidRPr="006F50A5">
        <w:rPr>
          <w:szCs w:val="22"/>
          <w:lang w:val="lt-LT"/>
        </w:rPr>
        <w:t>4.</w:t>
      </w:r>
      <w:r w:rsidRPr="006F50A5">
        <w:rPr>
          <w:szCs w:val="22"/>
          <w:lang w:val="lt-LT"/>
        </w:rPr>
        <w:tab/>
        <w:t>Galimas šalutinis poveikis</w:t>
      </w:r>
    </w:p>
    <w:p w:rsidR="000E521C" w:rsidRPr="006F50A5" w:rsidRDefault="000E521C" w:rsidP="000E521C">
      <w:pPr>
        <w:spacing w:line="240" w:lineRule="auto"/>
        <w:ind w:left="1134" w:hanging="1134"/>
        <w:rPr>
          <w:szCs w:val="22"/>
          <w:lang w:val="lt-LT"/>
        </w:rPr>
      </w:pPr>
      <w:r w:rsidRPr="006F50A5">
        <w:rPr>
          <w:szCs w:val="22"/>
          <w:lang w:val="lt-LT"/>
        </w:rPr>
        <w:t>5.</w:t>
      </w:r>
      <w:r w:rsidRPr="006F50A5">
        <w:rPr>
          <w:szCs w:val="22"/>
          <w:lang w:val="lt-LT"/>
        </w:rPr>
        <w:tab/>
        <w:t>Kaip laikyti Canephron</w:t>
      </w:r>
    </w:p>
    <w:p w:rsidR="000E521C" w:rsidRPr="006F50A5" w:rsidRDefault="000E521C" w:rsidP="000E521C">
      <w:pPr>
        <w:spacing w:line="240" w:lineRule="auto"/>
        <w:ind w:left="1134" w:hanging="1134"/>
        <w:rPr>
          <w:szCs w:val="22"/>
          <w:lang w:val="lt-LT"/>
        </w:rPr>
      </w:pPr>
      <w:r w:rsidRPr="006F50A5">
        <w:rPr>
          <w:szCs w:val="22"/>
          <w:lang w:val="lt-LT"/>
        </w:rPr>
        <w:t>6.</w:t>
      </w:r>
      <w:r w:rsidRPr="006F50A5">
        <w:rPr>
          <w:szCs w:val="22"/>
          <w:lang w:val="lt-LT"/>
        </w:rPr>
        <w:tab/>
      </w:r>
      <w:r w:rsidRPr="006F50A5">
        <w:rPr>
          <w:noProof/>
          <w:snapToGrid w:val="0"/>
          <w:szCs w:val="22"/>
          <w:lang w:val="lt-LT"/>
        </w:rPr>
        <w:t>Pakuotės turinys ir kita informacija</w:t>
      </w:r>
    </w:p>
    <w:p w:rsidR="000E521C" w:rsidRPr="006F50A5" w:rsidRDefault="000E521C" w:rsidP="000E521C">
      <w:pPr>
        <w:rPr>
          <w:i/>
          <w:iCs/>
          <w:color w:val="000000"/>
          <w:szCs w:val="22"/>
          <w:lang w:val="lt-LT"/>
        </w:rPr>
      </w:pPr>
    </w:p>
    <w:p w:rsidR="000E521C" w:rsidRPr="006F50A5" w:rsidRDefault="000E521C" w:rsidP="000E521C">
      <w:pPr>
        <w:rPr>
          <w:szCs w:val="22"/>
          <w:lang w:val="lt-LT"/>
        </w:rPr>
      </w:pPr>
    </w:p>
    <w:p w:rsidR="000E521C" w:rsidRPr="006F50A5" w:rsidRDefault="000E521C" w:rsidP="000E521C">
      <w:pPr>
        <w:rPr>
          <w:b/>
          <w:szCs w:val="22"/>
          <w:lang w:val="lt-LT"/>
        </w:rPr>
      </w:pPr>
      <w:r w:rsidRPr="006F50A5">
        <w:rPr>
          <w:b/>
          <w:color w:val="000000"/>
          <w:szCs w:val="22"/>
          <w:lang w:val="lt-LT"/>
        </w:rPr>
        <w:t>1.</w:t>
      </w:r>
      <w:r w:rsidRPr="006F50A5">
        <w:rPr>
          <w:b/>
          <w:color w:val="000000"/>
          <w:szCs w:val="22"/>
          <w:lang w:val="lt-LT"/>
        </w:rPr>
        <w:tab/>
      </w:r>
      <w:r w:rsidRPr="006F50A5">
        <w:rPr>
          <w:b/>
          <w:snapToGrid w:val="0"/>
          <w:szCs w:val="22"/>
          <w:lang w:val="lt-LT"/>
        </w:rPr>
        <w:t>Kas yra Canephron ir kam jis vartojamas</w:t>
      </w:r>
    </w:p>
    <w:p w:rsidR="000E521C" w:rsidRPr="006F50A5" w:rsidRDefault="000E521C" w:rsidP="000E521C">
      <w:pPr>
        <w:rPr>
          <w:color w:val="000000"/>
          <w:szCs w:val="22"/>
          <w:lang w:val="lt-LT"/>
        </w:rPr>
      </w:pPr>
    </w:p>
    <w:p w:rsidR="000E521C" w:rsidRPr="006F50A5" w:rsidRDefault="000E521C" w:rsidP="000E521C">
      <w:pPr>
        <w:rPr>
          <w:szCs w:val="22"/>
          <w:lang w:val="lt-LT"/>
        </w:rPr>
      </w:pPr>
      <w:r w:rsidRPr="006F50A5">
        <w:rPr>
          <w:szCs w:val="22"/>
          <w:lang w:val="lt-LT"/>
        </w:rPr>
        <w:t>Canephron dengtos tabletės yra tradicinis augalinis vaistas.</w:t>
      </w:r>
    </w:p>
    <w:p w:rsidR="000E521C" w:rsidRPr="006F50A5" w:rsidRDefault="000E521C" w:rsidP="000E521C">
      <w:pPr>
        <w:rPr>
          <w:color w:val="000000"/>
          <w:szCs w:val="22"/>
          <w:lang w:val="lt-LT"/>
        </w:rPr>
      </w:pPr>
    </w:p>
    <w:p w:rsidR="000E521C" w:rsidRPr="006F50A5" w:rsidRDefault="000E521C" w:rsidP="000E521C">
      <w:pPr>
        <w:autoSpaceDE w:val="0"/>
        <w:autoSpaceDN w:val="0"/>
        <w:adjustRightInd w:val="0"/>
        <w:rPr>
          <w:szCs w:val="22"/>
          <w:lang w:val="lt-LT"/>
        </w:rPr>
      </w:pPr>
      <w:r w:rsidRPr="006F50A5">
        <w:rPr>
          <w:szCs w:val="22"/>
          <w:lang w:val="lt-LT"/>
        </w:rPr>
        <w:t xml:space="preserve">Canephron yra skirtas apatinių šlapimo takų uždegimo sukeltiems lengviems negalavimams gydyti bei inkstų akmenų susidarymo profilaktikai. </w:t>
      </w:r>
    </w:p>
    <w:p w:rsidR="000E521C" w:rsidRPr="006F50A5" w:rsidRDefault="000E521C" w:rsidP="000E521C">
      <w:pPr>
        <w:autoSpaceDE w:val="0"/>
        <w:autoSpaceDN w:val="0"/>
        <w:adjustRightInd w:val="0"/>
        <w:rPr>
          <w:szCs w:val="22"/>
          <w:lang w:val="lt-LT"/>
        </w:rPr>
      </w:pPr>
    </w:p>
    <w:p w:rsidR="000E521C" w:rsidRPr="006F50A5" w:rsidRDefault="000E521C" w:rsidP="000E521C">
      <w:pPr>
        <w:autoSpaceDE w:val="0"/>
        <w:autoSpaceDN w:val="0"/>
        <w:adjustRightInd w:val="0"/>
        <w:rPr>
          <w:szCs w:val="22"/>
          <w:lang w:val="lt-LT"/>
        </w:rPr>
      </w:pPr>
      <w:r w:rsidRPr="006F50A5">
        <w:rPr>
          <w:szCs w:val="22"/>
          <w:lang w:val="lt-LT"/>
        </w:rPr>
        <w:t>Canephron turėtų būti vartojamas palaikomajam gydymui kartu su gydytojo paskirtomis specifinėmis gydymo priemonėmis.</w:t>
      </w:r>
    </w:p>
    <w:p w:rsidR="000E521C" w:rsidRPr="006F50A5" w:rsidRDefault="000E521C" w:rsidP="000E521C">
      <w:pPr>
        <w:rPr>
          <w:szCs w:val="22"/>
          <w:lang w:val="lt-LT"/>
        </w:rPr>
      </w:pPr>
    </w:p>
    <w:p w:rsidR="000E521C" w:rsidRPr="006F50A5" w:rsidRDefault="000E521C" w:rsidP="000E521C">
      <w:pPr>
        <w:tabs>
          <w:tab w:val="clear" w:pos="567"/>
        </w:tabs>
        <w:spacing w:line="240" w:lineRule="auto"/>
        <w:rPr>
          <w:szCs w:val="22"/>
          <w:lang w:val="lt-LT"/>
        </w:rPr>
      </w:pPr>
      <w:r w:rsidRPr="006F50A5">
        <w:rPr>
          <w:szCs w:val="22"/>
          <w:lang w:val="lt-LT"/>
        </w:rPr>
        <w:t>Tradicinis augalinis vaistas, kurio indikacijos pagrįstos tik ilgalaikiu vartojimu.</w:t>
      </w:r>
    </w:p>
    <w:p w:rsidR="000E521C" w:rsidRPr="006F50A5" w:rsidRDefault="000E521C" w:rsidP="000E521C">
      <w:pPr>
        <w:rPr>
          <w:color w:val="000000"/>
          <w:szCs w:val="22"/>
          <w:lang w:val="lt-LT"/>
        </w:rPr>
      </w:pPr>
    </w:p>
    <w:p w:rsidR="000E521C" w:rsidRPr="006F50A5" w:rsidRDefault="000E521C" w:rsidP="000E521C">
      <w:pPr>
        <w:rPr>
          <w:color w:val="000000"/>
          <w:szCs w:val="22"/>
          <w:lang w:val="lt-LT"/>
        </w:rPr>
      </w:pPr>
    </w:p>
    <w:p w:rsidR="000E521C" w:rsidRPr="006F50A5" w:rsidRDefault="000E521C" w:rsidP="000E521C">
      <w:pPr>
        <w:rPr>
          <w:b/>
          <w:szCs w:val="22"/>
          <w:lang w:val="lt-LT"/>
        </w:rPr>
      </w:pPr>
      <w:r w:rsidRPr="006F50A5">
        <w:rPr>
          <w:b/>
          <w:color w:val="000000"/>
          <w:szCs w:val="22"/>
          <w:lang w:val="lt-LT"/>
        </w:rPr>
        <w:t>2.</w:t>
      </w:r>
      <w:r w:rsidRPr="006F50A5">
        <w:rPr>
          <w:b/>
          <w:color w:val="000000"/>
          <w:szCs w:val="22"/>
          <w:lang w:val="lt-LT"/>
        </w:rPr>
        <w:tab/>
      </w:r>
      <w:r w:rsidRPr="006F50A5">
        <w:rPr>
          <w:b/>
          <w:snapToGrid w:val="0"/>
          <w:szCs w:val="22"/>
          <w:lang w:val="lt-LT"/>
        </w:rPr>
        <w:t>Kas žinotina prieš vartojant Canephron</w:t>
      </w:r>
      <w:r w:rsidRPr="006F50A5">
        <w:rPr>
          <w:snapToGrid w:val="0"/>
          <w:szCs w:val="22"/>
          <w:lang w:val="lt-LT"/>
        </w:rPr>
        <w:t xml:space="preserve"> </w:t>
      </w:r>
    </w:p>
    <w:p w:rsidR="000E521C" w:rsidRPr="006F50A5" w:rsidRDefault="000E521C" w:rsidP="000E521C">
      <w:pPr>
        <w:rPr>
          <w:color w:val="000000"/>
          <w:szCs w:val="22"/>
          <w:lang w:val="lt-LT"/>
        </w:rPr>
      </w:pPr>
    </w:p>
    <w:p w:rsidR="000E521C" w:rsidRPr="006F50A5" w:rsidRDefault="000E521C" w:rsidP="000E521C">
      <w:pPr>
        <w:rPr>
          <w:b/>
          <w:szCs w:val="22"/>
          <w:lang w:val="lt-LT"/>
        </w:rPr>
      </w:pPr>
      <w:r w:rsidRPr="006F50A5">
        <w:rPr>
          <w:b/>
          <w:color w:val="000000"/>
          <w:szCs w:val="22"/>
          <w:lang w:val="lt-LT"/>
        </w:rPr>
        <w:t xml:space="preserve">Canephron vartoti </w:t>
      </w:r>
      <w:r>
        <w:rPr>
          <w:b/>
          <w:color w:val="000000"/>
          <w:szCs w:val="22"/>
          <w:lang w:val="lt-LT"/>
        </w:rPr>
        <w:t>draudžiama</w:t>
      </w:r>
      <w:r w:rsidRPr="006F50A5">
        <w:rPr>
          <w:b/>
          <w:color w:val="000000"/>
          <w:szCs w:val="22"/>
          <w:lang w:val="lt-LT"/>
        </w:rPr>
        <w:t>:</w:t>
      </w:r>
      <w:r w:rsidRPr="006F50A5">
        <w:rPr>
          <w:b/>
          <w:szCs w:val="22"/>
          <w:lang w:val="lt-LT"/>
        </w:rPr>
        <w:t xml:space="preserve"> </w:t>
      </w:r>
    </w:p>
    <w:p w:rsidR="000E521C" w:rsidRPr="006F50A5" w:rsidRDefault="000E521C" w:rsidP="000E521C">
      <w:pPr>
        <w:numPr>
          <w:ilvl w:val="0"/>
          <w:numId w:val="2"/>
        </w:numPr>
        <w:tabs>
          <w:tab w:val="clear" w:pos="567"/>
          <w:tab w:val="left" w:pos="720"/>
        </w:tabs>
        <w:ind w:hanging="720"/>
        <w:rPr>
          <w:szCs w:val="22"/>
          <w:lang w:val="lt-LT"/>
        </w:rPr>
      </w:pPr>
      <w:r w:rsidRPr="006F50A5">
        <w:rPr>
          <w:szCs w:val="22"/>
          <w:lang w:val="lt-LT"/>
        </w:rPr>
        <w:t xml:space="preserve">jeigu skrandyje yra aktyvių pepsinių opų ar padidėjęs jautrumas širdažolių žolei, gelsvių šaknims, rozmarinų lapams, kitiems skėtinių (lot. </w:t>
      </w:r>
      <w:r w:rsidRPr="006F50A5">
        <w:rPr>
          <w:i/>
          <w:szCs w:val="22"/>
          <w:lang w:val="lt-LT"/>
        </w:rPr>
        <w:t>Apiaceae</w:t>
      </w:r>
      <w:r w:rsidRPr="006F50A5">
        <w:rPr>
          <w:szCs w:val="22"/>
          <w:lang w:val="lt-LT"/>
        </w:rPr>
        <w:t>) šeimos augalams (pvz., anyžius, krapai), anetoliui (t.</w:t>
      </w:r>
      <w:r>
        <w:rPr>
          <w:szCs w:val="22"/>
          <w:lang w:val="lt-LT"/>
        </w:rPr>
        <w:t xml:space="preserve"> </w:t>
      </w:r>
      <w:r w:rsidRPr="006F50A5">
        <w:rPr>
          <w:szCs w:val="22"/>
          <w:lang w:val="lt-LT"/>
        </w:rPr>
        <w:t xml:space="preserve">y. tokių augalų, kaip anyžius, krapai, eterinių aliejų komponentas) arba bet kuriai pagalbinei šio vaisto medžiagai </w:t>
      </w:r>
      <w:r w:rsidRPr="006F50A5">
        <w:rPr>
          <w:noProof/>
          <w:szCs w:val="22"/>
          <w:lang w:val="lt-LT"/>
        </w:rPr>
        <w:t>(jos išvardytos 6 skyriuje)</w:t>
      </w:r>
      <w:r w:rsidRPr="006F50A5">
        <w:rPr>
          <w:szCs w:val="22"/>
          <w:lang w:val="lt-LT"/>
        </w:rPr>
        <w:t xml:space="preserve">; </w:t>
      </w:r>
    </w:p>
    <w:p w:rsidR="000E521C" w:rsidRPr="006F50A5" w:rsidRDefault="000E521C" w:rsidP="000E521C">
      <w:pPr>
        <w:numPr>
          <w:ilvl w:val="0"/>
          <w:numId w:val="2"/>
        </w:numPr>
        <w:tabs>
          <w:tab w:val="clear" w:pos="567"/>
          <w:tab w:val="left" w:pos="720"/>
        </w:tabs>
        <w:ind w:hanging="720"/>
        <w:rPr>
          <w:szCs w:val="22"/>
          <w:lang w:val="lt-LT"/>
        </w:rPr>
      </w:pPr>
      <w:r w:rsidRPr="006F50A5">
        <w:rPr>
          <w:szCs w:val="22"/>
          <w:lang w:val="lt-LT"/>
        </w:rPr>
        <w:t>jeigu sutrikusi inkstų funkcija;</w:t>
      </w:r>
    </w:p>
    <w:p w:rsidR="000E521C" w:rsidRPr="006F50A5" w:rsidRDefault="000E521C" w:rsidP="000E521C">
      <w:pPr>
        <w:numPr>
          <w:ilvl w:val="0"/>
          <w:numId w:val="2"/>
        </w:numPr>
        <w:tabs>
          <w:tab w:val="clear" w:pos="567"/>
          <w:tab w:val="left" w:pos="720"/>
        </w:tabs>
        <w:ind w:hanging="720"/>
        <w:rPr>
          <w:szCs w:val="22"/>
          <w:lang w:val="lt-LT"/>
        </w:rPr>
      </w:pPr>
      <w:r w:rsidRPr="006F50A5">
        <w:rPr>
          <w:szCs w:val="22"/>
          <w:lang w:val="lt-LT"/>
        </w:rPr>
        <w:t>sergant uždegimine inkstų liga;</w:t>
      </w:r>
    </w:p>
    <w:p w:rsidR="000E521C" w:rsidRPr="006F50A5" w:rsidRDefault="000E521C" w:rsidP="000E521C">
      <w:pPr>
        <w:numPr>
          <w:ilvl w:val="0"/>
          <w:numId w:val="2"/>
        </w:numPr>
        <w:tabs>
          <w:tab w:val="clear" w:pos="567"/>
          <w:tab w:val="left" w:pos="720"/>
        </w:tabs>
        <w:ind w:hanging="720"/>
        <w:rPr>
          <w:szCs w:val="22"/>
          <w:lang w:val="lt-LT"/>
        </w:rPr>
      </w:pPr>
      <w:r w:rsidRPr="006F50A5">
        <w:rPr>
          <w:szCs w:val="22"/>
          <w:lang w:val="lt-LT"/>
        </w:rPr>
        <w:t>esant edemai dėl sutrikusios širdies funkcijos.</w:t>
      </w:r>
    </w:p>
    <w:p w:rsidR="000E521C" w:rsidRDefault="000E521C" w:rsidP="000E521C">
      <w:pPr>
        <w:pStyle w:val="Antrat4"/>
        <w:spacing w:before="0" w:after="0" w:line="240" w:lineRule="auto"/>
        <w:rPr>
          <w:sz w:val="22"/>
          <w:szCs w:val="22"/>
          <w:lang w:val="lt-LT"/>
        </w:rPr>
      </w:pPr>
    </w:p>
    <w:p w:rsidR="000E521C" w:rsidRPr="006F50A5" w:rsidRDefault="000E521C" w:rsidP="000E521C">
      <w:pPr>
        <w:pStyle w:val="Antrat4"/>
        <w:spacing w:before="0" w:after="0" w:line="240" w:lineRule="auto"/>
        <w:rPr>
          <w:sz w:val="22"/>
          <w:szCs w:val="22"/>
          <w:lang w:val="lt-LT"/>
        </w:rPr>
      </w:pPr>
      <w:r w:rsidRPr="006F50A5">
        <w:rPr>
          <w:sz w:val="22"/>
          <w:szCs w:val="22"/>
          <w:lang w:val="lt-LT"/>
        </w:rPr>
        <w:t xml:space="preserve">Įspėjimai ir atsargumo priemonės </w:t>
      </w:r>
    </w:p>
    <w:p w:rsidR="000E521C" w:rsidRPr="006F50A5" w:rsidRDefault="000E521C" w:rsidP="000E521C">
      <w:pPr>
        <w:spacing w:line="240" w:lineRule="auto"/>
        <w:rPr>
          <w:szCs w:val="22"/>
          <w:lang w:val="lt-LT"/>
        </w:rPr>
      </w:pPr>
      <w:r w:rsidRPr="006F50A5">
        <w:rPr>
          <w:noProof/>
          <w:szCs w:val="22"/>
          <w:lang w:val="lt-LT"/>
        </w:rPr>
        <w:t>Pasitarkite su gydytoju arba vaistininku, prieš pradėdami vartoti Canephron.</w:t>
      </w:r>
    </w:p>
    <w:p w:rsidR="000E521C" w:rsidRPr="006F50A5" w:rsidRDefault="000E521C" w:rsidP="000E521C">
      <w:pPr>
        <w:spacing w:line="240" w:lineRule="auto"/>
        <w:rPr>
          <w:szCs w:val="22"/>
          <w:lang w:val="lt-LT"/>
        </w:rPr>
      </w:pPr>
      <w:r w:rsidRPr="006F50A5">
        <w:rPr>
          <w:szCs w:val="22"/>
          <w:lang w:val="lt-LT"/>
        </w:rPr>
        <w:t>Pastebėjus kraujo šlapime, tęsiantis karščiavimui, pasireiškus spazmams, atsiradus šlapinimosi sutrikimų ar ūmiam šlapimo susilaikymui, reikia nedelsiant pasitarti su gydytoju.</w:t>
      </w:r>
    </w:p>
    <w:p w:rsidR="000E521C" w:rsidRPr="006F50A5" w:rsidRDefault="000E521C" w:rsidP="000E521C">
      <w:pPr>
        <w:pStyle w:val="Antrat4"/>
        <w:rPr>
          <w:sz w:val="22"/>
          <w:szCs w:val="22"/>
          <w:lang w:val="lt-LT"/>
        </w:rPr>
      </w:pPr>
      <w:r w:rsidRPr="006F50A5">
        <w:rPr>
          <w:sz w:val="22"/>
          <w:szCs w:val="22"/>
          <w:lang w:val="lt-LT"/>
        </w:rPr>
        <w:lastRenderedPageBreak/>
        <w:t>Vaikams ir paaugliams</w:t>
      </w:r>
    </w:p>
    <w:p w:rsidR="000E521C" w:rsidRPr="006F50A5" w:rsidRDefault="000E521C" w:rsidP="000E521C">
      <w:pPr>
        <w:rPr>
          <w:szCs w:val="22"/>
          <w:lang w:val="lt-LT"/>
        </w:rPr>
      </w:pPr>
      <w:r w:rsidRPr="006F50A5">
        <w:rPr>
          <w:szCs w:val="22"/>
          <w:lang w:val="lt-LT"/>
        </w:rPr>
        <w:t>Nerekomenduojama vaistą vartoti jaunesniems kaip 12 metų vaikams.</w:t>
      </w:r>
    </w:p>
    <w:p w:rsidR="000E521C" w:rsidRPr="006F50A5" w:rsidRDefault="000E521C" w:rsidP="000E521C">
      <w:pPr>
        <w:rPr>
          <w:szCs w:val="22"/>
          <w:lang w:val="lt-LT"/>
        </w:rPr>
      </w:pPr>
    </w:p>
    <w:p w:rsidR="000E521C" w:rsidRPr="006F50A5" w:rsidRDefault="000E521C" w:rsidP="000E521C">
      <w:pPr>
        <w:rPr>
          <w:b/>
          <w:color w:val="000000"/>
          <w:szCs w:val="22"/>
          <w:lang w:val="lt-LT"/>
        </w:rPr>
      </w:pPr>
      <w:r w:rsidRPr="006F50A5">
        <w:rPr>
          <w:b/>
          <w:color w:val="000000"/>
          <w:szCs w:val="22"/>
          <w:lang w:val="lt-LT"/>
        </w:rPr>
        <w:t xml:space="preserve">Kiti vaistai ir Canephron </w:t>
      </w:r>
    </w:p>
    <w:p w:rsidR="000E521C" w:rsidRPr="006F50A5" w:rsidRDefault="000E521C" w:rsidP="000E521C">
      <w:pPr>
        <w:rPr>
          <w:szCs w:val="22"/>
          <w:lang w:val="lt-LT"/>
        </w:rPr>
      </w:pPr>
      <w:r w:rsidRPr="006F50A5">
        <w:rPr>
          <w:szCs w:val="22"/>
          <w:lang w:val="lt-LT"/>
        </w:rPr>
        <w:t>Kol kas nežinoma apie sąveiką su kitais vaistais.</w:t>
      </w:r>
    </w:p>
    <w:p w:rsidR="000E521C" w:rsidRPr="006F50A5" w:rsidRDefault="000E521C" w:rsidP="000E521C">
      <w:pPr>
        <w:rPr>
          <w:color w:val="000000"/>
          <w:szCs w:val="22"/>
          <w:lang w:val="lt-LT"/>
        </w:rPr>
      </w:pPr>
    </w:p>
    <w:p w:rsidR="000E521C" w:rsidRPr="006F50A5" w:rsidRDefault="000E521C" w:rsidP="000E521C">
      <w:pPr>
        <w:numPr>
          <w:ilvl w:val="12"/>
          <w:numId w:val="0"/>
        </w:numPr>
        <w:tabs>
          <w:tab w:val="clear" w:pos="567"/>
          <w:tab w:val="left" w:pos="720"/>
        </w:tabs>
        <w:spacing w:line="240" w:lineRule="auto"/>
        <w:ind w:right="-2"/>
        <w:rPr>
          <w:noProof/>
          <w:szCs w:val="22"/>
          <w:lang w:val="lt-LT"/>
        </w:rPr>
      </w:pPr>
      <w:r w:rsidRPr="006F50A5">
        <w:rPr>
          <w:noProof/>
          <w:szCs w:val="22"/>
          <w:lang w:val="lt-LT"/>
        </w:rPr>
        <w:t>Jeigu vartojate ar neseniai vartojote kitų vaistų arba dėl to nesate tikri, apie tai pasakykite gydytojui arba vaistininkui.</w:t>
      </w:r>
    </w:p>
    <w:p w:rsidR="000E521C" w:rsidRPr="006F50A5" w:rsidRDefault="000E521C" w:rsidP="000E521C">
      <w:pPr>
        <w:numPr>
          <w:ilvl w:val="12"/>
          <w:numId w:val="0"/>
        </w:numPr>
        <w:tabs>
          <w:tab w:val="clear" w:pos="567"/>
          <w:tab w:val="left" w:pos="720"/>
        </w:tabs>
        <w:spacing w:line="240" w:lineRule="auto"/>
        <w:ind w:right="-2"/>
        <w:rPr>
          <w:szCs w:val="22"/>
          <w:lang w:val="lt-LT"/>
        </w:rPr>
      </w:pPr>
    </w:p>
    <w:p w:rsidR="000E521C" w:rsidRPr="006F50A5" w:rsidRDefault="000E521C" w:rsidP="000E521C">
      <w:pPr>
        <w:pStyle w:val="Antrat4"/>
        <w:spacing w:before="0" w:after="0" w:line="240" w:lineRule="auto"/>
        <w:rPr>
          <w:sz w:val="22"/>
          <w:szCs w:val="22"/>
          <w:lang w:val="lt-LT"/>
        </w:rPr>
      </w:pPr>
      <w:r w:rsidRPr="006F50A5">
        <w:rPr>
          <w:sz w:val="22"/>
          <w:szCs w:val="22"/>
          <w:lang w:val="lt-LT"/>
        </w:rPr>
        <w:t>Canephron vartojimas su maistu</w:t>
      </w:r>
    </w:p>
    <w:p w:rsidR="000E521C" w:rsidRPr="006F50A5" w:rsidRDefault="000E521C" w:rsidP="000E521C">
      <w:pPr>
        <w:spacing w:line="240" w:lineRule="auto"/>
        <w:rPr>
          <w:szCs w:val="22"/>
          <w:lang w:val="lt-LT"/>
        </w:rPr>
      </w:pPr>
      <w:r w:rsidRPr="006F50A5">
        <w:rPr>
          <w:szCs w:val="22"/>
          <w:lang w:val="lt-LT"/>
        </w:rPr>
        <w:t>Vaisto galima vartoti neatsižvelgiant į valgymo laiką.</w:t>
      </w:r>
    </w:p>
    <w:p w:rsidR="000E521C" w:rsidRPr="006F50A5" w:rsidRDefault="000E521C" w:rsidP="000E521C">
      <w:pPr>
        <w:rPr>
          <w:szCs w:val="22"/>
          <w:lang w:val="lt-LT"/>
        </w:rPr>
      </w:pPr>
    </w:p>
    <w:p w:rsidR="000E521C" w:rsidRPr="006F50A5" w:rsidRDefault="000E521C" w:rsidP="000E521C">
      <w:pPr>
        <w:rPr>
          <w:b/>
          <w:szCs w:val="22"/>
          <w:lang w:val="lt-LT"/>
        </w:rPr>
      </w:pPr>
      <w:r w:rsidRPr="006F50A5">
        <w:rPr>
          <w:b/>
          <w:szCs w:val="22"/>
          <w:lang w:val="lt-LT"/>
        </w:rPr>
        <w:t>Nėštumas, žindymo laikotarpis ir vaisingumas</w:t>
      </w:r>
    </w:p>
    <w:p w:rsidR="000E521C" w:rsidRPr="006F50A5" w:rsidRDefault="000E521C" w:rsidP="000E521C">
      <w:pPr>
        <w:numPr>
          <w:ilvl w:val="12"/>
          <w:numId w:val="0"/>
        </w:numPr>
        <w:tabs>
          <w:tab w:val="clear" w:pos="567"/>
        </w:tabs>
        <w:spacing w:line="240" w:lineRule="auto"/>
        <w:rPr>
          <w:szCs w:val="22"/>
          <w:lang w:val="lt-LT"/>
        </w:rPr>
      </w:pPr>
      <w:r w:rsidRPr="006F50A5">
        <w:rPr>
          <w:noProof/>
          <w:szCs w:val="22"/>
          <w:lang w:val="lt-LT"/>
        </w:rPr>
        <w:t>Jeigu esate nėščia, žindote kūdikį, manote, kad galbūt esate nėščia, arba planuojate pastoti, tai prieš vartodama šį vaistą, pasitarkite su vaistininku.</w:t>
      </w:r>
      <w:r w:rsidRPr="006F50A5">
        <w:rPr>
          <w:szCs w:val="22"/>
          <w:lang w:val="lt-LT"/>
        </w:rPr>
        <w:t xml:space="preserve"> </w:t>
      </w:r>
    </w:p>
    <w:p w:rsidR="000E521C" w:rsidRPr="006F50A5" w:rsidRDefault="000E521C" w:rsidP="000E521C">
      <w:pPr>
        <w:rPr>
          <w:szCs w:val="22"/>
          <w:lang w:val="lt-LT"/>
        </w:rPr>
      </w:pPr>
      <w:r w:rsidRPr="006F50A5">
        <w:rPr>
          <w:szCs w:val="22"/>
          <w:lang w:val="lt-LT"/>
        </w:rPr>
        <w:t>Nėštumo metu Canephron dengtų tablečių geriau nevartoti. Nežinoma, ar veikliosios medžiagos ar metabolitų išsiskiria į motinos pieną. Pavojaus žindomam vaikui negalima atmesti. Canephron dengtos tabletės neturi būti vartojamos žindymo metu.</w:t>
      </w:r>
    </w:p>
    <w:p w:rsidR="000E521C" w:rsidRPr="006F50A5" w:rsidRDefault="000E521C" w:rsidP="000E521C">
      <w:pPr>
        <w:rPr>
          <w:b/>
          <w:szCs w:val="22"/>
          <w:lang w:val="lt-LT"/>
        </w:rPr>
      </w:pPr>
    </w:p>
    <w:p w:rsidR="000E521C" w:rsidRPr="006F50A5" w:rsidRDefault="000E521C" w:rsidP="000E521C">
      <w:pPr>
        <w:rPr>
          <w:b/>
          <w:color w:val="000000"/>
          <w:szCs w:val="22"/>
          <w:lang w:val="lt-LT"/>
        </w:rPr>
      </w:pPr>
      <w:r w:rsidRPr="006F50A5">
        <w:rPr>
          <w:b/>
          <w:szCs w:val="22"/>
          <w:lang w:val="lt-LT"/>
        </w:rPr>
        <w:t>Vairavimas ir mechanizmų valdymas</w:t>
      </w:r>
      <w:r w:rsidRPr="006F50A5">
        <w:rPr>
          <w:b/>
          <w:color w:val="000000"/>
          <w:szCs w:val="22"/>
          <w:lang w:val="lt-LT"/>
        </w:rPr>
        <w:t xml:space="preserve"> </w:t>
      </w:r>
    </w:p>
    <w:p w:rsidR="000E521C" w:rsidRPr="006F50A5" w:rsidRDefault="000E521C" w:rsidP="000E521C">
      <w:pPr>
        <w:rPr>
          <w:szCs w:val="22"/>
          <w:lang w:val="lt-LT"/>
        </w:rPr>
      </w:pPr>
      <w:r w:rsidRPr="006F50A5">
        <w:rPr>
          <w:szCs w:val="22"/>
          <w:lang w:val="lt-LT"/>
        </w:rPr>
        <w:t>Canephron gebėjimo vairuoti ir valdyti mechanizmus neveikia.</w:t>
      </w:r>
    </w:p>
    <w:p w:rsidR="000E521C" w:rsidRPr="006F50A5" w:rsidRDefault="000E521C" w:rsidP="000E521C">
      <w:pPr>
        <w:rPr>
          <w:b/>
          <w:color w:val="000000"/>
          <w:szCs w:val="22"/>
          <w:lang w:val="lt-LT"/>
        </w:rPr>
      </w:pPr>
    </w:p>
    <w:p w:rsidR="000E521C" w:rsidRPr="006F50A5" w:rsidRDefault="000E521C" w:rsidP="000E521C">
      <w:pPr>
        <w:rPr>
          <w:szCs w:val="22"/>
          <w:lang w:val="lt-LT"/>
        </w:rPr>
      </w:pPr>
      <w:r w:rsidRPr="006F50A5">
        <w:rPr>
          <w:b/>
          <w:szCs w:val="22"/>
          <w:lang w:val="lt-LT"/>
        </w:rPr>
        <w:t>Canephron sudėtyje yra gliukozės, sacharozės ir laktozės</w:t>
      </w:r>
    </w:p>
    <w:p w:rsidR="000E521C" w:rsidRPr="006F50A5" w:rsidRDefault="000E521C" w:rsidP="000E521C">
      <w:pPr>
        <w:rPr>
          <w:szCs w:val="22"/>
          <w:lang w:val="lt-LT"/>
        </w:rPr>
      </w:pPr>
      <w:r w:rsidRPr="006F50A5">
        <w:rPr>
          <w:szCs w:val="22"/>
          <w:lang w:val="lt-LT"/>
        </w:rPr>
        <w:t>Jeigu gydytojas Jums yra sakęs, kad netoleruojate kokių nors angliavandenių, kreipkitės į jį prieš pradėdami vartoti šį vaistą.</w:t>
      </w:r>
    </w:p>
    <w:p w:rsidR="000E521C" w:rsidRPr="006F50A5" w:rsidRDefault="000E521C" w:rsidP="000E521C">
      <w:pPr>
        <w:rPr>
          <w:szCs w:val="22"/>
          <w:lang w:val="lt-LT"/>
        </w:rPr>
      </w:pPr>
    </w:p>
    <w:p w:rsidR="000E521C" w:rsidRPr="006F50A5" w:rsidRDefault="000E521C" w:rsidP="000E521C">
      <w:pPr>
        <w:rPr>
          <w:szCs w:val="22"/>
          <w:lang w:val="lt-LT"/>
        </w:rPr>
      </w:pPr>
    </w:p>
    <w:p w:rsidR="000E521C" w:rsidRPr="006F50A5" w:rsidRDefault="000E521C" w:rsidP="000E521C">
      <w:pPr>
        <w:rPr>
          <w:b/>
          <w:color w:val="000000"/>
          <w:szCs w:val="22"/>
          <w:lang w:val="lt-LT"/>
        </w:rPr>
      </w:pPr>
      <w:r w:rsidRPr="006F50A5">
        <w:rPr>
          <w:b/>
          <w:color w:val="000000"/>
          <w:szCs w:val="22"/>
          <w:lang w:val="lt-LT"/>
        </w:rPr>
        <w:t>3.</w:t>
      </w:r>
      <w:r w:rsidRPr="006F50A5">
        <w:rPr>
          <w:b/>
          <w:color w:val="000000"/>
          <w:szCs w:val="22"/>
          <w:lang w:val="lt-LT"/>
        </w:rPr>
        <w:tab/>
      </w:r>
      <w:r w:rsidRPr="006F50A5">
        <w:rPr>
          <w:b/>
          <w:snapToGrid w:val="0"/>
          <w:szCs w:val="22"/>
          <w:lang w:val="lt-LT"/>
        </w:rPr>
        <w:t>Kaip vartoti Canephron</w:t>
      </w:r>
    </w:p>
    <w:p w:rsidR="000E521C" w:rsidRPr="006F50A5" w:rsidRDefault="000E521C" w:rsidP="000E521C">
      <w:pPr>
        <w:rPr>
          <w:color w:val="000000"/>
          <w:szCs w:val="22"/>
          <w:lang w:val="lt-LT"/>
        </w:rPr>
      </w:pPr>
    </w:p>
    <w:p w:rsidR="000E521C" w:rsidRPr="006F50A5" w:rsidRDefault="000E521C" w:rsidP="000E521C">
      <w:pPr>
        <w:rPr>
          <w:szCs w:val="22"/>
          <w:lang w:val="lt-LT"/>
        </w:rPr>
      </w:pPr>
      <w:r w:rsidRPr="006F50A5">
        <w:rPr>
          <w:noProof/>
          <w:snapToGrid w:val="0"/>
          <w:szCs w:val="22"/>
          <w:lang w:val="lt-LT"/>
        </w:rPr>
        <w:t>Visada vartokite šį vaistą tiksliai</w:t>
      </w:r>
      <w:r>
        <w:rPr>
          <w:noProof/>
          <w:snapToGrid w:val="0"/>
          <w:szCs w:val="22"/>
          <w:lang w:val="lt-LT"/>
        </w:rPr>
        <w:t>,</w:t>
      </w:r>
      <w:r w:rsidRPr="006F50A5">
        <w:rPr>
          <w:noProof/>
          <w:snapToGrid w:val="0"/>
          <w:szCs w:val="22"/>
          <w:lang w:val="lt-LT"/>
        </w:rPr>
        <w:t xml:space="preserve"> kaip aprašyta šiame lapelyje arba kaip nurodė gydytojas arba vaistininkas.</w:t>
      </w:r>
      <w:r w:rsidRPr="006F50A5">
        <w:rPr>
          <w:snapToGrid w:val="0"/>
          <w:szCs w:val="22"/>
          <w:lang w:val="lt-LT"/>
        </w:rPr>
        <w:t xml:space="preserve"> </w:t>
      </w:r>
      <w:r w:rsidRPr="006F50A5">
        <w:rPr>
          <w:szCs w:val="22"/>
          <w:lang w:val="lt-LT"/>
        </w:rPr>
        <w:t>Jeigu abejojate, kreipkitės į gydytoją arba vaistininką.</w:t>
      </w:r>
    </w:p>
    <w:p w:rsidR="000E521C" w:rsidRPr="006F50A5" w:rsidRDefault="000E521C" w:rsidP="000E521C">
      <w:pPr>
        <w:rPr>
          <w:color w:val="000000"/>
          <w:szCs w:val="22"/>
          <w:lang w:val="lt-LT"/>
        </w:rPr>
      </w:pPr>
      <w:r w:rsidRPr="006F50A5">
        <w:rPr>
          <w:color w:val="000000"/>
          <w:szCs w:val="22"/>
          <w:lang w:val="lt-LT"/>
        </w:rPr>
        <w:t>Jei nenurodyta kitaip, rekomenduojama dozė yra nurodyta lentelėje žemiau.</w:t>
      </w:r>
    </w:p>
    <w:p w:rsidR="000E521C" w:rsidRPr="006F50A5" w:rsidRDefault="000E521C" w:rsidP="000E521C">
      <w:pPr>
        <w:rPr>
          <w:i/>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2639"/>
        <w:gridCol w:w="2725"/>
      </w:tblGrid>
      <w:tr w:rsidR="000E521C" w:rsidRPr="006F50A5" w:rsidTr="001305C7">
        <w:tc>
          <w:tcPr>
            <w:tcW w:w="3686" w:type="dxa"/>
          </w:tcPr>
          <w:p w:rsidR="000E521C" w:rsidRPr="006F50A5" w:rsidRDefault="000E521C" w:rsidP="001305C7">
            <w:pPr>
              <w:tabs>
                <w:tab w:val="clear" w:pos="567"/>
              </w:tabs>
              <w:spacing w:line="240" w:lineRule="auto"/>
              <w:rPr>
                <w:b/>
                <w:szCs w:val="22"/>
                <w:lang w:val="lt-LT"/>
              </w:rPr>
            </w:pPr>
            <w:r w:rsidRPr="006F50A5">
              <w:rPr>
                <w:b/>
                <w:szCs w:val="22"/>
                <w:lang w:val="lt-LT"/>
              </w:rPr>
              <w:t>Pacientai</w:t>
            </w:r>
          </w:p>
        </w:tc>
        <w:tc>
          <w:tcPr>
            <w:tcW w:w="2693" w:type="dxa"/>
          </w:tcPr>
          <w:p w:rsidR="000E521C" w:rsidRPr="006F50A5" w:rsidRDefault="000E521C" w:rsidP="001305C7">
            <w:pPr>
              <w:tabs>
                <w:tab w:val="clear" w:pos="567"/>
              </w:tabs>
              <w:spacing w:line="240" w:lineRule="auto"/>
              <w:rPr>
                <w:b/>
                <w:szCs w:val="22"/>
                <w:lang w:val="lt-LT"/>
              </w:rPr>
            </w:pPr>
            <w:r w:rsidRPr="006F50A5">
              <w:rPr>
                <w:b/>
                <w:szCs w:val="22"/>
                <w:lang w:val="lt-LT"/>
              </w:rPr>
              <w:t>Vienkartinė dozė</w:t>
            </w:r>
          </w:p>
        </w:tc>
        <w:tc>
          <w:tcPr>
            <w:tcW w:w="2800" w:type="dxa"/>
          </w:tcPr>
          <w:p w:rsidR="000E521C" w:rsidRPr="006F50A5" w:rsidRDefault="000E521C" w:rsidP="001305C7">
            <w:pPr>
              <w:tabs>
                <w:tab w:val="clear" w:pos="567"/>
              </w:tabs>
              <w:spacing w:line="240" w:lineRule="auto"/>
              <w:rPr>
                <w:b/>
                <w:szCs w:val="22"/>
                <w:lang w:val="lt-LT"/>
              </w:rPr>
            </w:pPr>
            <w:r w:rsidRPr="006F50A5">
              <w:rPr>
                <w:b/>
                <w:szCs w:val="22"/>
                <w:lang w:val="lt-LT"/>
              </w:rPr>
              <w:t>Paros dozė</w:t>
            </w:r>
          </w:p>
        </w:tc>
      </w:tr>
      <w:tr w:rsidR="000E521C" w:rsidRPr="006F50A5" w:rsidTr="001305C7">
        <w:tc>
          <w:tcPr>
            <w:tcW w:w="3686" w:type="dxa"/>
          </w:tcPr>
          <w:p w:rsidR="000E521C" w:rsidRPr="006F50A5" w:rsidRDefault="000E521C" w:rsidP="001305C7">
            <w:pPr>
              <w:tabs>
                <w:tab w:val="clear" w:pos="567"/>
              </w:tabs>
              <w:spacing w:line="240" w:lineRule="auto"/>
              <w:rPr>
                <w:szCs w:val="22"/>
                <w:lang w:val="lt-LT"/>
              </w:rPr>
            </w:pPr>
            <w:r w:rsidRPr="006F50A5">
              <w:rPr>
                <w:szCs w:val="22"/>
                <w:lang w:val="lt-LT"/>
              </w:rPr>
              <w:t>Paaugliai nuo 12 metų ir suaugusieji</w:t>
            </w:r>
          </w:p>
        </w:tc>
        <w:tc>
          <w:tcPr>
            <w:tcW w:w="2693" w:type="dxa"/>
          </w:tcPr>
          <w:p w:rsidR="000E521C" w:rsidRPr="006F50A5" w:rsidRDefault="000E521C" w:rsidP="001305C7">
            <w:pPr>
              <w:tabs>
                <w:tab w:val="clear" w:pos="567"/>
              </w:tabs>
              <w:spacing w:line="240" w:lineRule="auto"/>
              <w:rPr>
                <w:szCs w:val="22"/>
                <w:lang w:val="lt-LT"/>
              </w:rPr>
            </w:pPr>
            <w:r w:rsidRPr="006F50A5">
              <w:rPr>
                <w:szCs w:val="22"/>
                <w:lang w:val="lt-LT"/>
              </w:rPr>
              <w:t>2 dengtos tabletės</w:t>
            </w:r>
          </w:p>
        </w:tc>
        <w:tc>
          <w:tcPr>
            <w:tcW w:w="2800" w:type="dxa"/>
          </w:tcPr>
          <w:p w:rsidR="000E521C" w:rsidRPr="006F50A5" w:rsidRDefault="000E521C" w:rsidP="001305C7">
            <w:pPr>
              <w:tabs>
                <w:tab w:val="clear" w:pos="567"/>
              </w:tabs>
              <w:spacing w:line="240" w:lineRule="auto"/>
              <w:rPr>
                <w:szCs w:val="22"/>
                <w:lang w:val="lt-LT"/>
              </w:rPr>
            </w:pPr>
            <w:r w:rsidRPr="006F50A5">
              <w:rPr>
                <w:szCs w:val="22"/>
                <w:lang w:val="lt-LT"/>
              </w:rPr>
              <w:t>6 dengtos tabletės</w:t>
            </w:r>
          </w:p>
        </w:tc>
      </w:tr>
    </w:tbl>
    <w:p w:rsidR="000E521C" w:rsidRPr="006F50A5" w:rsidRDefault="000E521C" w:rsidP="000E521C">
      <w:pPr>
        <w:rPr>
          <w:szCs w:val="22"/>
          <w:lang w:val="lt-LT"/>
        </w:rPr>
      </w:pPr>
    </w:p>
    <w:p w:rsidR="000E521C" w:rsidRPr="006F50A5" w:rsidRDefault="000E521C" w:rsidP="000E521C">
      <w:pPr>
        <w:rPr>
          <w:szCs w:val="22"/>
          <w:lang w:val="lt-LT"/>
        </w:rPr>
      </w:pPr>
      <w:r w:rsidRPr="006F50A5">
        <w:rPr>
          <w:szCs w:val="22"/>
          <w:lang w:val="lt-LT"/>
        </w:rPr>
        <w:t>Išgerkite vienkartinę dozę ryte, per pietus ir vakare.</w:t>
      </w:r>
    </w:p>
    <w:p w:rsidR="000E521C" w:rsidRPr="006F50A5" w:rsidRDefault="000E521C" w:rsidP="000E521C">
      <w:pPr>
        <w:rPr>
          <w:szCs w:val="22"/>
          <w:lang w:val="lt-LT"/>
        </w:rPr>
      </w:pPr>
      <w:r w:rsidRPr="006F50A5">
        <w:rPr>
          <w:szCs w:val="22"/>
          <w:lang w:val="lt-LT"/>
        </w:rPr>
        <w:t>Tabletę išgerkite nesukramtytą, užgerdami trupučiu skysčio (pvz., stikline vandens).</w:t>
      </w:r>
    </w:p>
    <w:p w:rsidR="000E521C" w:rsidRPr="006F50A5" w:rsidRDefault="000E521C" w:rsidP="000E521C">
      <w:pPr>
        <w:rPr>
          <w:szCs w:val="22"/>
          <w:lang w:val="lt-LT"/>
        </w:rPr>
      </w:pPr>
      <w:r w:rsidRPr="006F50A5">
        <w:rPr>
          <w:szCs w:val="22"/>
          <w:lang w:val="lt-LT"/>
        </w:rPr>
        <w:t>Reikia vartoti pakankamai skysčių gydymo metu.</w:t>
      </w:r>
    </w:p>
    <w:p w:rsidR="000E521C" w:rsidRPr="006F50A5" w:rsidRDefault="000E521C" w:rsidP="000E521C">
      <w:pPr>
        <w:rPr>
          <w:szCs w:val="22"/>
          <w:highlight w:val="cyan"/>
          <w:lang w:val="lt-LT"/>
        </w:rPr>
      </w:pPr>
    </w:p>
    <w:p w:rsidR="000E521C" w:rsidRPr="006F50A5" w:rsidRDefault="000E521C" w:rsidP="000E521C">
      <w:pPr>
        <w:rPr>
          <w:iCs/>
          <w:noProof/>
          <w:szCs w:val="22"/>
          <w:lang w:val="lt-LT"/>
        </w:rPr>
      </w:pPr>
      <w:r w:rsidRPr="006F50A5">
        <w:rPr>
          <w:iCs/>
          <w:noProof/>
          <w:szCs w:val="22"/>
          <w:lang w:val="lt-LT"/>
        </w:rPr>
        <w:t>Duomenų, kuriais remiantis būtų galima pateikti specifines dozavimo rekomendacijas esant inkstų ar kepenų funkcijos sutrikimui, nepakanka.</w:t>
      </w:r>
    </w:p>
    <w:p w:rsidR="000E521C" w:rsidRPr="006F50A5" w:rsidRDefault="000E521C" w:rsidP="000E521C">
      <w:pPr>
        <w:rPr>
          <w:szCs w:val="22"/>
          <w:highlight w:val="cyan"/>
          <w:lang w:val="lt-LT"/>
        </w:rPr>
      </w:pPr>
    </w:p>
    <w:p w:rsidR="000E521C" w:rsidRPr="006F50A5" w:rsidRDefault="000E521C" w:rsidP="000E521C">
      <w:pPr>
        <w:rPr>
          <w:szCs w:val="22"/>
          <w:lang w:val="lt-LT"/>
        </w:rPr>
      </w:pPr>
      <w:r w:rsidRPr="006F50A5">
        <w:rPr>
          <w:szCs w:val="22"/>
          <w:lang w:val="lt-LT"/>
        </w:rPr>
        <w:t>Gydymo trukmė nėra iš esmės ribojama, tačiau, vartodami vaisto, atkreipkite dėmesį į informaciją 2 skyriuje „Kas žinotina prieš vartojant Canephron“.</w:t>
      </w:r>
    </w:p>
    <w:p w:rsidR="000E521C" w:rsidRPr="006F50A5" w:rsidRDefault="000E521C" w:rsidP="000E521C">
      <w:pPr>
        <w:rPr>
          <w:szCs w:val="22"/>
          <w:highlight w:val="cyan"/>
          <w:lang w:val="lt-LT"/>
        </w:rPr>
      </w:pPr>
    </w:p>
    <w:p w:rsidR="000E521C" w:rsidRPr="006F50A5" w:rsidRDefault="000E521C" w:rsidP="000E521C">
      <w:pPr>
        <w:rPr>
          <w:color w:val="000000"/>
          <w:szCs w:val="22"/>
          <w:lang w:val="lt-LT"/>
        </w:rPr>
      </w:pPr>
      <w:r w:rsidRPr="006F50A5">
        <w:rPr>
          <w:color w:val="000000"/>
          <w:szCs w:val="22"/>
          <w:lang w:val="lt-LT"/>
        </w:rPr>
        <w:t xml:space="preserve">Prašome pasitarti su gydytoju arba vaistininku, jei Jums atrodo, kad Canephron poveikis yra per stiprus ar per silpnas. </w:t>
      </w:r>
    </w:p>
    <w:p w:rsidR="000E521C" w:rsidRPr="006F50A5" w:rsidRDefault="000E521C" w:rsidP="000E521C">
      <w:pPr>
        <w:rPr>
          <w:color w:val="000000"/>
          <w:szCs w:val="22"/>
          <w:lang w:val="lt-LT"/>
        </w:rPr>
      </w:pPr>
    </w:p>
    <w:p w:rsidR="000E521C" w:rsidRPr="006F50A5" w:rsidRDefault="000E521C" w:rsidP="000E521C">
      <w:pPr>
        <w:tabs>
          <w:tab w:val="clear" w:pos="567"/>
        </w:tabs>
        <w:spacing w:line="240" w:lineRule="auto"/>
        <w:rPr>
          <w:szCs w:val="22"/>
          <w:lang w:val="lt-LT"/>
        </w:rPr>
      </w:pPr>
      <w:r w:rsidRPr="006F50A5">
        <w:rPr>
          <w:szCs w:val="22"/>
          <w:lang w:val="lt-LT"/>
        </w:rPr>
        <w:t>Jei vaistas neveiksmingas arba sukelia šalutinį poveikį, nepaminėtą pakuotės ženklinime ar lapelyje, būtina pasitarti su gydytoju arba vaistininku.</w:t>
      </w:r>
    </w:p>
    <w:p w:rsidR="000E521C" w:rsidRPr="006F50A5" w:rsidRDefault="000E521C" w:rsidP="000E521C">
      <w:pPr>
        <w:rPr>
          <w:color w:val="000000"/>
          <w:szCs w:val="22"/>
          <w:lang w:val="lt-LT"/>
        </w:rPr>
      </w:pPr>
    </w:p>
    <w:p w:rsidR="000E521C" w:rsidRPr="006F50A5" w:rsidRDefault="000E521C" w:rsidP="000E521C">
      <w:pPr>
        <w:keepNext/>
        <w:rPr>
          <w:b/>
          <w:snapToGrid w:val="0"/>
          <w:szCs w:val="22"/>
          <w:lang w:val="lt-LT"/>
        </w:rPr>
      </w:pPr>
      <w:r w:rsidRPr="006F50A5">
        <w:rPr>
          <w:b/>
          <w:snapToGrid w:val="0"/>
          <w:szCs w:val="22"/>
          <w:lang w:val="lt-LT"/>
        </w:rPr>
        <w:t>Ką daryti pavartojus per didelę Canephron dozę</w:t>
      </w:r>
    </w:p>
    <w:p w:rsidR="000E521C" w:rsidRPr="006F50A5" w:rsidRDefault="000E521C" w:rsidP="000E521C">
      <w:pPr>
        <w:rPr>
          <w:szCs w:val="22"/>
          <w:lang w:val="lt-LT"/>
        </w:rPr>
      </w:pPr>
      <w:r w:rsidRPr="006F50A5">
        <w:rPr>
          <w:szCs w:val="22"/>
          <w:lang w:val="lt-LT"/>
        </w:rPr>
        <w:t>Iki šiol žinomų apsinuodijimo atvejų nebuvo.</w:t>
      </w:r>
    </w:p>
    <w:p w:rsidR="000E521C" w:rsidRPr="006F50A5" w:rsidRDefault="000E521C" w:rsidP="000E521C">
      <w:pPr>
        <w:tabs>
          <w:tab w:val="clear" w:pos="567"/>
          <w:tab w:val="center" w:pos="4535"/>
        </w:tabs>
        <w:rPr>
          <w:szCs w:val="22"/>
          <w:lang w:val="lt-LT"/>
        </w:rPr>
      </w:pPr>
      <w:r w:rsidRPr="006F50A5">
        <w:rPr>
          <w:szCs w:val="22"/>
          <w:lang w:val="lt-LT"/>
        </w:rPr>
        <w:lastRenderedPageBreak/>
        <w:t>Kreipkitės į gydytoją, jeigu pavartojote per didelę šio vaisto dozę. Jūsų gydytojas nuspręs dėl tinkamo gydymo.</w:t>
      </w:r>
    </w:p>
    <w:p w:rsidR="000E521C" w:rsidRPr="006F50A5" w:rsidRDefault="000E521C" w:rsidP="000E521C">
      <w:pPr>
        <w:tabs>
          <w:tab w:val="clear" w:pos="567"/>
          <w:tab w:val="center" w:pos="4535"/>
        </w:tabs>
        <w:rPr>
          <w:szCs w:val="22"/>
          <w:lang w:val="lt-LT"/>
        </w:rPr>
      </w:pPr>
    </w:p>
    <w:p w:rsidR="000E521C" w:rsidRPr="006F50A5" w:rsidRDefault="000E521C" w:rsidP="000E521C">
      <w:pPr>
        <w:rPr>
          <w:b/>
          <w:color w:val="000000"/>
          <w:szCs w:val="22"/>
          <w:lang w:val="lt-LT"/>
        </w:rPr>
      </w:pPr>
      <w:r w:rsidRPr="006F50A5">
        <w:rPr>
          <w:b/>
          <w:color w:val="000000"/>
          <w:szCs w:val="22"/>
          <w:lang w:val="lt-LT"/>
        </w:rPr>
        <w:t>Pamiršus pavartoti Canephron</w:t>
      </w:r>
    </w:p>
    <w:p w:rsidR="000E521C" w:rsidRPr="006F50A5" w:rsidRDefault="000E521C" w:rsidP="000E521C">
      <w:pPr>
        <w:rPr>
          <w:color w:val="000000"/>
          <w:szCs w:val="22"/>
          <w:lang w:val="lt-LT"/>
        </w:rPr>
      </w:pPr>
      <w:r w:rsidRPr="006F50A5">
        <w:rPr>
          <w:color w:val="000000"/>
          <w:szCs w:val="22"/>
          <w:lang w:val="lt-LT"/>
        </w:rPr>
        <w:t>Negalima vartoti dvigubos dozės norint kompensuoti praleistą dozę.</w:t>
      </w:r>
    </w:p>
    <w:p w:rsidR="000E521C" w:rsidRPr="006F50A5" w:rsidRDefault="000E521C" w:rsidP="000E521C">
      <w:pPr>
        <w:rPr>
          <w:color w:val="000000"/>
          <w:szCs w:val="22"/>
          <w:lang w:val="lt-LT"/>
        </w:rPr>
      </w:pPr>
    </w:p>
    <w:p w:rsidR="000E521C" w:rsidRPr="006F50A5" w:rsidRDefault="000E521C" w:rsidP="000E521C">
      <w:pPr>
        <w:rPr>
          <w:b/>
          <w:snapToGrid w:val="0"/>
          <w:szCs w:val="22"/>
          <w:lang w:val="lt-LT"/>
        </w:rPr>
      </w:pPr>
      <w:r w:rsidRPr="006F50A5">
        <w:rPr>
          <w:b/>
          <w:snapToGrid w:val="0"/>
          <w:szCs w:val="22"/>
          <w:lang w:val="lt-LT"/>
        </w:rPr>
        <w:t>Nustojus vartoti Canephron</w:t>
      </w:r>
    </w:p>
    <w:p w:rsidR="000E521C" w:rsidRPr="006F50A5" w:rsidRDefault="000E521C" w:rsidP="000E521C">
      <w:pPr>
        <w:rPr>
          <w:noProof/>
          <w:snapToGrid w:val="0"/>
          <w:szCs w:val="22"/>
          <w:lang w:val="lt-LT"/>
        </w:rPr>
      </w:pPr>
      <w:r w:rsidRPr="006F50A5">
        <w:rPr>
          <w:noProof/>
          <w:snapToGrid w:val="0"/>
          <w:szCs w:val="22"/>
          <w:lang w:val="lt-LT"/>
        </w:rPr>
        <w:t>Nutraukus gydymą Cenephron, paprastai sutrikimų neatsiranda.</w:t>
      </w:r>
    </w:p>
    <w:p w:rsidR="000E521C" w:rsidRPr="006F50A5" w:rsidRDefault="000E521C" w:rsidP="000E521C">
      <w:pPr>
        <w:rPr>
          <w:noProof/>
          <w:snapToGrid w:val="0"/>
          <w:szCs w:val="22"/>
          <w:lang w:val="lt-LT"/>
        </w:rPr>
      </w:pPr>
      <w:r w:rsidRPr="006F50A5">
        <w:rPr>
          <w:noProof/>
          <w:snapToGrid w:val="0"/>
          <w:szCs w:val="22"/>
          <w:lang w:val="lt-LT"/>
        </w:rPr>
        <w:t>Jeigu kiltų daugiau klausimų dėl šio vaisto vartojimo, kreipkitės į gydytoją arba vaistininką.</w:t>
      </w:r>
    </w:p>
    <w:p w:rsidR="000E521C" w:rsidRPr="006F50A5" w:rsidRDefault="000E521C" w:rsidP="000E521C">
      <w:pPr>
        <w:rPr>
          <w:color w:val="000000"/>
          <w:szCs w:val="22"/>
          <w:lang w:val="lt-LT"/>
        </w:rPr>
      </w:pPr>
    </w:p>
    <w:p w:rsidR="000E521C" w:rsidRPr="006F50A5" w:rsidRDefault="000E521C" w:rsidP="000E521C">
      <w:pPr>
        <w:rPr>
          <w:color w:val="000000"/>
          <w:szCs w:val="22"/>
          <w:lang w:val="lt-LT"/>
        </w:rPr>
      </w:pPr>
    </w:p>
    <w:p w:rsidR="000E521C" w:rsidRPr="006F50A5" w:rsidRDefault="000E521C" w:rsidP="000E521C">
      <w:pPr>
        <w:rPr>
          <w:b/>
          <w:caps/>
          <w:color w:val="000000"/>
          <w:szCs w:val="22"/>
          <w:lang w:val="lt-LT"/>
        </w:rPr>
      </w:pPr>
      <w:r w:rsidRPr="006F50A5">
        <w:rPr>
          <w:b/>
          <w:caps/>
          <w:color w:val="000000"/>
          <w:szCs w:val="22"/>
          <w:lang w:val="lt-LT"/>
        </w:rPr>
        <w:t>4.</w:t>
      </w:r>
      <w:r w:rsidRPr="006F50A5">
        <w:rPr>
          <w:b/>
          <w:caps/>
          <w:color w:val="000000"/>
          <w:szCs w:val="22"/>
          <w:lang w:val="lt-LT"/>
        </w:rPr>
        <w:tab/>
      </w:r>
      <w:r w:rsidRPr="006F50A5">
        <w:rPr>
          <w:b/>
          <w:snapToGrid w:val="0"/>
          <w:szCs w:val="22"/>
          <w:lang w:val="lt-LT"/>
        </w:rPr>
        <w:t>Galimas šalutinis poveikis</w:t>
      </w:r>
    </w:p>
    <w:p w:rsidR="000E521C" w:rsidRPr="006F50A5" w:rsidRDefault="000E521C" w:rsidP="000E521C">
      <w:pPr>
        <w:rPr>
          <w:color w:val="000000"/>
          <w:szCs w:val="22"/>
          <w:lang w:val="lt-LT"/>
        </w:rPr>
      </w:pPr>
    </w:p>
    <w:p w:rsidR="000E521C" w:rsidRPr="006F50A5" w:rsidRDefault="000E521C" w:rsidP="000E521C">
      <w:pPr>
        <w:numPr>
          <w:ilvl w:val="12"/>
          <w:numId w:val="0"/>
        </w:numPr>
        <w:tabs>
          <w:tab w:val="clear" w:pos="567"/>
          <w:tab w:val="left" w:pos="720"/>
        </w:tabs>
        <w:spacing w:line="240" w:lineRule="auto"/>
        <w:ind w:right="-29"/>
        <w:rPr>
          <w:szCs w:val="22"/>
          <w:lang w:val="lt-LT"/>
        </w:rPr>
      </w:pPr>
      <w:r w:rsidRPr="006F50A5">
        <w:rPr>
          <w:noProof/>
          <w:szCs w:val="22"/>
          <w:lang w:val="lt-LT"/>
        </w:rPr>
        <w:t>Šis vaistas, kaip ir visi kiti, gali sukelti šalutinį poveikį, nors jis pasireiškia ne visiems žmonėms.</w:t>
      </w:r>
    </w:p>
    <w:p w:rsidR="000E521C" w:rsidRPr="006F50A5" w:rsidRDefault="000E521C" w:rsidP="000E521C">
      <w:pPr>
        <w:rPr>
          <w:color w:val="000000"/>
          <w:szCs w:val="22"/>
          <w:lang w:val="lt-LT"/>
        </w:rPr>
      </w:pPr>
    </w:p>
    <w:p w:rsidR="000E521C" w:rsidRPr="006F50A5" w:rsidRDefault="000E521C" w:rsidP="000E521C">
      <w:pPr>
        <w:rPr>
          <w:color w:val="000000"/>
          <w:szCs w:val="22"/>
          <w:lang w:val="lt-LT"/>
        </w:rPr>
      </w:pPr>
      <w:r w:rsidRPr="006F50A5">
        <w:rPr>
          <w:szCs w:val="22"/>
          <w:lang w:val="lt-LT"/>
        </w:rPr>
        <w:t>Nepageidaujamam poveikiui apibūdinti naudojamos šios dažnio kategorijos</w:t>
      </w:r>
      <w:r w:rsidRPr="006F50A5">
        <w:rPr>
          <w:color w:val="000000"/>
          <w:szCs w:val="22"/>
          <w:lang w:val="lt-LT"/>
        </w:rPr>
        <w:t>:</w:t>
      </w:r>
    </w:p>
    <w:p w:rsidR="000E521C" w:rsidRPr="006F50A5" w:rsidRDefault="000E521C" w:rsidP="000E521C">
      <w:pPr>
        <w:rPr>
          <w:color w:val="000000"/>
          <w:szCs w:val="22"/>
          <w:lang w:val="lt-LT"/>
        </w:rPr>
      </w:pPr>
    </w:p>
    <w:p w:rsidR="000E521C" w:rsidRPr="006F50A5" w:rsidRDefault="000E521C" w:rsidP="000E521C">
      <w:pPr>
        <w:pStyle w:val="Pavadinimas"/>
        <w:rPr>
          <w:b/>
          <w:i/>
          <w:szCs w:val="22"/>
          <w:lang w:val="lt-LT"/>
        </w:rPr>
      </w:pPr>
      <w:r w:rsidRPr="006F50A5">
        <w:rPr>
          <w:i/>
          <w:szCs w:val="22"/>
          <w:lang w:val="lt-LT"/>
        </w:rPr>
        <w:t>Dažni šalutinio poveikio reiškiniai (gali pasireikšti rečiau kaip 1 iš 10 asmenų):</w:t>
      </w:r>
    </w:p>
    <w:p w:rsidR="000E521C" w:rsidRPr="006F50A5" w:rsidRDefault="000E521C" w:rsidP="000E521C">
      <w:pPr>
        <w:pStyle w:val="Pavadinimas"/>
        <w:rPr>
          <w:b/>
          <w:szCs w:val="22"/>
          <w:lang w:val="lt-LT"/>
        </w:rPr>
      </w:pPr>
      <w:r w:rsidRPr="006F50A5">
        <w:rPr>
          <w:szCs w:val="22"/>
          <w:lang w:val="lt-LT"/>
        </w:rPr>
        <w:t>Virškinimo trakto sutrikimai (pykinimas, vėmimas, viduriavimas).</w:t>
      </w:r>
    </w:p>
    <w:p w:rsidR="000E521C" w:rsidRPr="006F50A5" w:rsidRDefault="000E521C" w:rsidP="000E521C">
      <w:pPr>
        <w:rPr>
          <w:szCs w:val="22"/>
          <w:lang w:val="lt-LT"/>
        </w:rPr>
      </w:pPr>
    </w:p>
    <w:p w:rsidR="000E521C" w:rsidRPr="006F50A5" w:rsidRDefault="000E521C" w:rsidP="000E521C">
      <w:pPr>
        <w:rPr>
          <w:i/>
          <w:szCs w:val="22"/>
          <w:lang w:val="lt-LT"/>
        </w:rPr>
      </w:pPr>
      <w:r w:rsidRPr="006F50A5">
        <w:rPr>
          <w:i/>
          <w:szCs w:val="22"/>
          <w:lang w:val="lt-LT"/>
        </w:rPr>
        <w:t>Šalutinio poveikio reiškiniai, kurių</w:t>
      </w:r>
      <w:r>
        <w:rPr>
          <w:i/>
          <w:szCs w:val="22"/>
          <w:lang w:val="lt-LT"/>
        </w:rPr>
        <w:t xml:space="preserve"> </w:t>
      </w:r>
      <w:r w:rsidRPr="006F50A5">
        <w:rPr>
          <w:i/>
          <w:szCs w:val="22"/>
          <w:lang w:val="lt-LT"/>
        </w:rPr>
        <w:t>dažnis nežinomas (negali būti apskaičiuotas pagal turimus duomenis</w:t>
      </w:r>
      <w:r>
        <w:rPr>
          <w:i/>
          <w:szCs w:val="22"/>
          <w:lang w:val="lt-LT"/>
        </w:rPr>
        <w:t>):</w:t>
      </w:r>
    </w:p>
    <w:p w:rsidR="000E521C" w:rsidRPr="006F50A5" w:rsidRDefault="000E521C" w:rsidP="000E521C">
      <w:pPr>
        <w:rPr>
          <w:szCs w:val="22"/>
          <w:lang w:val="lt-LT"/>
        </w:rPr>
      </w:pPr>
      <w:r w:rsidRPr="006F50A5">
        <w:rPr>
          <w:szCs w:val="22"/>
          <w:lang w:val="lt-LT"/>
        </w:rPr>
        <w:t xml:space="preserve">Alerginės reakcijos. </w:t>
      </w:r>
    </w:p>
    <w:p w:rsidR="000E521C" w:rsidRDefault="000E521C" w:rsidP="000E521C">
      <w:pPr>
        <w:rPr>
          <w:szCs w:val="22"/>
          <w:lang w:val="lt-LT"/>
        </w:rPr>
      </w:pPr>
    </w:p>
    <w:p w:rsidR="000E521C" w:rsidRPr="006F50A5" w:rsidRDefault="000E521C" w:rsidP="000E521C">
      <w:pPr>
        <w:rPr>
          <w:szCs w:val="22"/>
          <w:lang w:val="lt-LT"/>
        </w:rPr>
      </w:pPr>
      <w:r w:rsidRPr="006F50A5">
        <w:rPr>
          <w:szCs w:val="22"/>
          <w:lang w:val="lt-LT"/>
        </w:rPr>
        <w:t xml:space="preserve">Pasireiškus pirmiems padidėjusio jautrumo ir alerginių reakcijų simptomams, Canephron vartoti </w:t>
      </w:r>
      <w:r>
        <w:rPr>
          <w:szCs w:val="22"/>
          <w:lang w:val="lt-LT"/>
        </w:rPr>
        <w:t>draudžiama</w:t>
      </w:r>
      <w:r w:rsidRPr="006F50A5">
        <w:rPr>
          <w:szCs w:val="22"/>
          <w:lang w:val="lt-LT"/>
        </w:rPr>
        <w:t>.</w:t>
      </w:r>
    </w:p>
    <w:p w:rsidR="000E521C" w:rsidRPr="006F50A5" w:rsidRDefault="000E521C" w:rsidP="000E521C">
      <w:pPr>
        <w:rPr>
          <w:szCs w:val="22"/>
          <w:lang w:val="lt-LT"/>
        </w:rPr>
      </w:pPr>
    </w:p>
    <w:p w:rsidR="000E521C" w:rsidRPr="006F50A5" w:rsidRDefault="000E521C" w:rsidP="000E521C">
      <w:pPr>
        <w:spacing w:line="240" w:lineRule="auto"/>
        <w:rPr>
          <w:b/>
          <w:szCs w:val="22"/>
          <w:lang w:val="lt-LT"/>
        </w:rPr>
      </w:pPr>
      <w:r w:rsidRPr="006F50A5">
        <w:rPr>
          <w:b/>
          <w:noProof/>
          <w:szCs w:val="22"/>
          <w:lang w:val="lt-LT"/>
        </w:rPr>
        <w:t>Pranešimas apie šalutinį poveikį</w:t>
      </w:r>
    </w:p>
    <w:p w:rsidR="000E521C" w:rsidRPr="006F50A5" w:rsidRDefault="000E521C" w:rsidP="000E521C">
      <w:pPr>
        <w:spacing w:line="240" w:lineRule="auto"/>
        <w:rPr>
          <w:color w:val="000000"/>
          <w:szCs w:val="22"/>
          <w:lang w:val="lt-LT"/>
        </w:rPr>
      </w:pPr>
      <w:r w:rsidRPr="006F50A5">
        <w:rPr>
          <w:szCs w:val="22"/>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0E521C" w:rsidRDefault="000E521C" w:rsidP="000E521C">
      <w:pPr>
        <w:rPr>
          <w:color w:val="000000"/>
          <w:szCs w:val="22"/>
          <w:lang w:val="lt-LT"/>
        </w:rPr>
      </w:pPr>
    </w:p>
    <w:p w:rsidR="000E521C" w:rsidRPr="006F50A5" w:rsidRDefault="000E521C" w:rsidP="000E521C">
      <w:pPr>
        <w:rPr>
          <w:color w:val="000000"/>
          <w:szCs w:val="22"/>
          <w:lang w:val="lt-LT"/>
        </w:rPr>
      </w:pPr>
    </w:p>
    <w:p w:rsidR="000E521C" w:rsidRPr="006F50A5" w:rsidRDefault="000E521C" w:rsidP="000E521C">
      <w:pPr>
        <w:rPr>
          <w:b/>
          <w:color w:val="000000"/>
          <w:szCs w:val="22"/>
          <w:lang w:val="lt-LT"/>
        </w:rPr>
      </w:pPr>
      <w:r w:rsidRPr="006F50A5">
        <w:rPr>
          <w:b/>
          <w:color w:val="000000"/>
          <w:szCs w:val="22"/>
          <w:lang w:val="lt-LT"/>
        </w:rPr>
        <w:t>5</w:t>
      </w:r>
      <w:r w:rsidRPr="006F50A5">
        <w:rPr>
          <w:b/>
          <w:caps/>
          <w:color w:val="000000"/>
          <w:szCs w:val="22"/>
          <w:lang w:val="lt-LT"/>
        </w:rPr>
        <w:t>.</w:t>
      </w:r>
      <w:r w:rsidRPr="006F50A5">
        <w:rPr>
          <w:b/>
          <w:color w:val="000000"/>
          <w:szCs w:val="22"/>
          <w:lang w:val="lt-LT"/>
        </w:rPr>
        <w:tab/>
      </w:r>
      <w:r w:rsidRPr="006F50A5">
        <w:rPr>
          <w:b/>
          <w:snapToGrid w:val="0"/>
          <w:szCs w:val="22"/>
          <w:lang w:val="lt-LT"/>
        </w:rPr>
        <w:t>Kaip laikyti Canephron</w:t>
      </w:r>
    </w:p>
    <w:p w:rsidR="000E521C" w:rsidRPr="006F50A5" w:rsidRDefault="000E521C" w:rsidP="000E521C">
      <w:pPr>
        <w:rPr>
          <w:color w:val="000000"/>
          <w:szCs w:val="22"/>
          <w:lang w:val="lt-LT"/>
        </w:rPr>
      </w:pPr>
    </w:p>
    <w:p w:rsidR="000E521C" w:rsidRPr="006F50A5" w:rsidRDefault="000E521C" w:rsidP="000E521C">
      <w:pPr>
        <w:spacing w:line="240" w:lineRule="auto"/>
        <w:rPr>
          <w:color w:val="000000"/>
          <w:szCs w:val="22"/>
          <w:lang w:val="lt-LT"/>
        </w:rPr>
      </w:pPr>
      <w:r w:rsidRPr="006F50A5">
        <w:rPr>
          <w:color w:val="000000"/>
          <w:szCs w:val="22"/>
          <w:lang w:val="lt-LT"/>
        </w:rPr>
        <w:t>Šį vaistą laikykite vaikams nepastebimoje ir nepasiekiamoje vietoje.</w:t>
      </w:r>
    </w:p>
    <w:p w:rsidR="000E521C" w:rsidRPr="006F50A5" w:rsidRDefault="000E521C" w:rsidP="000E521C">
      <w:pPr>
        <w:spacing w:line="240" w:lineRule="auto"/>
        <w:rPr>
          <w:color w:val="000000"/>
          <w:szCs w:val="22"/>
          <w:lang w:val="lt-LT"/>
        </w:rPr>
      </w:pPr>
    </w:p>
    <w:p w:rsidR="000E521C" w:rsidRPr="006F50A5" w:rsidRDefault="000E521C" w:rsidP="000E521C">
      <w:pPr>
        <w:spacing w:line="240" w:lineRule="auto"/>
        <w:rPr>
          <w:color w:val="000000"/>
          <w:szCs w:val="22"/>
          <w:lang w:val="lt-LT"/>
        </w:rPr>
      </w:pPr>
      <w:r w:rsidRPr="006F50A5">
        <w:rPr>
          <w:color w:val="000000"/>
          <w:szCs w:val="22"/>
          <w:lang w:val="lt-LT"/>
        </w:rPr>
        <w:t>Laikyti ne aukštesnėje kaip 30</w:t>
      </w:r>
      <w:r w:rsidRPr="006F50A5">
        <w:rPr>
          <w:szCs w:val="22"/>
          <w:lang w:val="lt-LT"/>
        </w:rPr>
        <w:t> </w:t>
      </w:r>
      <w:r w:rsidRPr="006F50A5">
        <w:rPr>
          <w:color w:val="000000"/>
          <w:szCs w:val="22"/>
          <w:lang w:val="lt-LT"/>
        </w:rPr>
        <w:t>°C temperatūroje.</w:t>
      </w:r>
    </w:p>
    <w:p w:rsidR="000E521C" w:rsidRPr="006F50A5" w:rsidRDefault="000E521C" w:rsidP="000E521C">
      <w:pPr>
        <w:spacing w:line="240" w:lineRule="auto"/>
        <w:rPr>
          <w:color w:val="000000"/>
          <w:szCs w:val="22"/>
          <w:lang w:val="lt-LT"/>
        </w:rPr>
      </w:pPr>
    </w:p>
    <w:p w:rsidR="000E521C" w:rsidRPr="006F50A5" w:rsidRDefault="000E521C" w:rsidP="000E521C">
      <w:pPr>
        <w:spacing w:line="240" w:lineRule="auto"/>
        <w:outlineLvl w:val="0"/>
        <w:rPr>
          <w:color w:val="000000"/>
          <w:szCs w:val="22"/>
          <w:lang w:val="lt-LT"/>
        </w:rPr>
      </w:pPr>
      <w:r w:rsidRPr="006F50A5">
        <w:rPr>
          <w:color w:val="000000"/>
          <w:szCs w:val="22"/>
          <w:lang w:val="lt-LT"/>
        </w:rPr>
        <w:t xml:space="preserve">Ant dėžutės </w:t>
      </w:r>
      <w:r w:rsidRPr="006F50A5">
        <w:rPr>
          <w:szCs w:val="22"/>
          <w:lang w:val="lt-LT"/>
        </w:rPr>
        <w:t>ir</w:t>
      </w:r>
      <w:r w:rsidRPr="006F50A5">
        <w:rPr>
          <w:color w:val="000000"/>
          <w:szCs w:val="22"/>
          <w:lang w:val="lt-LT"/>
        </w:rPr>
        <w:t xml:space="preserve"> lizdinės plokštelės po „EXP“ nurodytam tinkamumo laikui pasibaigus, šio vaisto vartoti negalima. Vaistas tinkamas vartoti iki paskutinės nurodyto mėnesio dienos.</w:t>
      </w:r>
    </w:p>
    <w:p w:rsidR="000E521C" w:rsidRPr="006F50A5" w:rsidRDefault="000E521C" w:rsidP="000E521C">
      <w:pPr>
        <w:rPr>
          <w:szCs w:val="22"/>
          <w:lang w:val="lt-LT"/>
        </w:rPr>
      </w:pPr>
    </w:p>
    <w:p w:rsidR="000E521C" w:rsidRPr="006F50A5" w:rsidRDefault="000E521C" w:rsidP="000E521C">
      <w:pPr>
        <w:rPr>
          <w:color w:val="000000"/>
          <w:szCs w:val="22"/>
          <w:lang w:val="lt-LT"/>
        </w:rPr>
      </w:pPr>
      <w:r w:rsidRPr="006F50A5">
        <w:rPr>
          <w:noProof/>
          <w:snapToGrid w:val="0"/>
          <w:szCs w:val="22"/>
          <w:lang w:val="lt-LT"/>
        </w:rPr>
        <w:t>Vaistų negalima išmesti į kanalizaciją arba su buitinėmis atliekomis.</w:t>
      </w:r>
      <w:r w:rsidRPr="006F50A5">
        <w:rPr>
          <w:snapToGrid w:val="0"/>
          <w:szCs w:val="22"/>
          <w:lang w:val="lt-LT"/>
        </w:rPr>
        <w:t xml:space="preserve"> </w:t>
      </w:r>
      <w:r w:rsidRPr="006F50A5">
        <w:rPr>
          <w:noProof/>
          <w:snapToGrid w:val="0"/>
          <w:szCs w:val="22"/>
          <w:lang w:val="lt-LT"/>
        </w:rPr>
        <w:t>Kaip išmesti nereikalingus vaistus, klauskite vaistininko.</w:t>
      </w:r>
      <w:r w:rsidRPr="006F50A5">
        <w:rPr>
          <w:snapToGrid w:val="0"/>
          <w:szCs w:val="22"/>
          <w:lang w:val="lt-LT"/>
        </w:rPr>
        <w:t xml:space="preserve"> </w:t>
      </w:r>
      <w:r w:rsidRPr="006F50A5">
        <w:rPr>
          <w:noProof/>
          <w:snapToGrid w:val="0"/>
          <w:szCs w:val="22"/>
          <w:lang w:val="lt-LT"/>
        </w:rPr>
        <w:t>Šios priemonės padės apsaugoti aplinką.</w:t>
      </w:r>
    </w:p>
    <w:p w:rsidR="000E521C" w:rsidRPr="006F50A5" w:rsidRDefault="000E521C" w:rsidP="000E521C">
      <w:pPr>
        <w:rPr>
          <w:color w:val="000000"/>
          <w:szCs w:val="22"/>
          <w:lang w:val="lt-LT"/>
        </w:rPr>
      </w:pPr>
    </w:p>
    <w:p w:rsidR="000E521C" w:rsidRPr="006F50A5" w:rsidRDefault="000E521C" w:rsidP="000E521C">
      <w:pPr>
        <w:tabs>
          <w:tab w:val="clear" w:pos="567"/>
        </w:tabs>
        <w:spacing w:line="240" w:lineRule="auto"/>
        <w:rPr>
          <w:b/>
          <w:szCs w:val="22"/>
          <w:lang w:val="lt-LT"/>
        </w:rPr>
      </w:pPr>
    </w:p>
    <w:p w:rsidR="000E521C" w:rsidRPr="006F50A5" w:rsidRDefault="000E521C" w:rsidP="000E521C">
      <w:pPr>
        <w:keepNext/>
        <w:rPr>
          <w:b/>
          <w:szCs w:val="22"/>
          <w:lang w:val="lt-LT"/>
        </w:rPr>
      </w:pPr>
      <w:r w:rsidRPr="006F50A5">
        <w:rPr>
          <w:b/>
          <w:szCs w:val="22"/>
          <w:lang w:val="lt-LT"/>
        </w:rPr>
        <w:t>6.</w:t>
      </w:r>
      <w:r w:rsidRPr="006F50A5">
        <w:rPr>
          <w:b/>
          <w:szCs w:val="22"/>
          <w:lang w:val="lt-LT"/>
        </w:rPr>
        <w:tab/>
        <w:t>Pakuotės turinys ir kita informacija</w:t>
      </w:r>
    </w:p>
    <w:p w:rsidR="000E521C" w:rsidRPr="006F50A5" w:rsidRDefault="000E521C" w:rsidP="000E521C">
      <w:pPr>
        <w:keepNext/>
        <w:rPr>
          <w:szCs w:val="22"/>
          <w:lang w:val="lt-LT"/>
        </w:rPr>
      </w:pPr>
    </w:p>
    <w:p w:rsidR="000E521C" w:rsidRPr="006F50A5" w:rsidRDefault="000E521C" w:rsidP="000E521C">
      <w:pPr>
        <w:keepNext/>
        <w:rPr>
          <w:szCs w:val="22"/>
          <w:lang w:val="lt-LT"/>
        </w:rPr>
      </w:pPr>
      <w:r w:rsidRPr="006F50A5">
        <w:rPr>
          <w:b/>
          <w:szCs w:val="22"/>
          <w:lang w:val="lt-LT"/>
        </w:rPr>
        <w:t>Canephron sudėtis</w:t>
      </w:r>
    </w:p>
    <w:p w:rsidR="000E521C" w:rsidRPr="006F50A5" w:rsidRDefault="000E521C" w:rsidP="000E521C">
      <w:pPr>
        <w:ind w:left="567" w:hanging="567"/>
        <w:rPr>
          <w:szCs w:val="22"/>
          <w:lang w:val="lt-LT"/>
        </w:rPr>
      </w:pPr>
      <w:r w:rsidRPr="006F50A5">
        <w:rPr>
          <w:szCs w:val="22"/>
          <w:lang w:val="lt-LT"/>
        </w:rPr>
        <w:t>-</w:t>
      </w:r>
      <w:r w:rsidRPr="006F50A5">
        <w:rPr>
          <w:szCs w:val="22"/>
          <w:lang w:val="lt-LT"/>
        </w:rPr>
        <w:tab/>
        <w:t xml:space="preserve">Veikliosios medžiagos yra širdažolių žolė, gelsvių šaknys, rozmarinų lapai. Vienoje dengtoje tabletėje yra 18 mg </w:t>
      </w:r>
      <w:r w:rsidRPr="006F50A5">
        <w:rPr>
          <w:rStyle w:val="s1"/>
          <w:i/>
          <w:iCs/>
          <w:szCs w:val="22"/>
          <w:lang w:val="lt-LT"/>
        </w:rPr>
        <w:t>Centaurium erythraea</w:t>
      </w:r>
      <w:r w:rsidRPr="006F50A5">
        <w:rPr>
          <w:rStyle w:val="s1"/>
          <w:szCs w:val="22"/>
          <w:lang w:val="lt-LT"/>
        </w:rPr>
        <w:t xml:space="preserve"> Rafn s. l.,</w:t>
      </w:r>
      <w:r w:rsidRPr="006F50A5">
        <w:rPr>
          <w:szCs w:val="22"/>
          <w:lang w:val="lt-LT"/>
        </w:rPr>
        <w:t xml:space="preserve"> </w:t>
      </w:r>
      <w:r w:rsidRPr="006F50A5">
        <w:rPr>
          <w:i/>
          <w:szCs w:val="22"/>
          <w:lang w:val="lt-LT"/>
        </w:rPr>
        <w:t>herba</w:t>
      </w:r>
      <w:r w:rsidRPr="006F50A5">
        <w:rPr>
          <w:szCs w:val="22"/>
          <w:lang w:val="lt-LT"/>
        </w:rPr>
        <w:t xml:space="preserve"> (skėtinių širdažolių žolės), 18 mg </w:t>
      </w:r>
      <w:r w:rsidRPr="006F50A5">
        <w:rPr>
          <w:i/>
          <w:iCs/>
          <w:szCs w:val="22"/>
          <w:lang w:val="lt-LT"/>
        </w:rPr>
        <w:t xml:space="preserve">Levisticum officinale </w:t>
      </w:r>
      <w:r w:rsidRPr="006F50A5">
        <w:rPr>
          <w:szCs w:val="22"/>
          <w:lang w:val="lt-LT"/>
        </w:rPr>
        <w:t xml:space="preserve">Koch., </w:t>
      </w:r>
      <w:r w:rsidRPr="006F50A5">
        <w:rPr>
          <w:i/>
          <w:szCs w:val="22"/>
          <w:lang w:val="lt-LT"/>
        </w:rPr>
        <w:t>radix</w:t>
      </w:r>
      <w:r w:rsidRPr="006F50A5">
        <w:rPr>
          <w:szCs w:val="22"/>
          <w:lang w:val="lt-LT"/>
        </w:rPr>
        <w:t xml:space="preserve"> (vaistinių gelsvių šaknų)</w:t>
      </w:r>
      <w:r w:rsidRPr="006F50A5">
        <w:rPr>
          <w:i/>
          <w:szCs w:val="22"/>
          <w:lang w:val="lt-LT"/>
        </w:rPr>
        <w:t xml:space="preserve">, </w:t>
      </w:r>
      <w:r w:rsidRPr="006F50A5">
        <w:rPr>
          <w:szCs w:val="22"/>
          <w:lang w:val="lt-LT"/>
        </w:rPr>
        <w:t xml:space="preserve">18 mg </w:t>
      </w:r>
      <w:r w:rsidRPr="006F50A5">
        <w:rPr>
          <w:rStyle w:val="Emfaz"/>
          <w:szCs w:val="22"/>
          <w:lang w:val="lt-LT"/>
        </w:rPr>
        <w:t>Rosmarinus officinalis</w:t>
      </w:r>
      <w:r w:rsidRPr="006F50A5">
        <w:rPr>
          <w:szCs w:val="22"/>
          <w:lang w:val="lt-LT"/>
        </w:rPr>
        <w:t xml:space="preserve"> L., </w:t>
      </w:r>
      <w:r w:rsidRPr="006F50A5">
        <w:rPr>
          <w:i/>
          <w:szCs w:val="22"/>
          <w:lang w:val="lt-LT"/>
        </w:rPr>
        <w:t>folium</w:t>
      </w:r>
      <w:r w:rsidRPr="006F50A5">
        <w:rPr>
          <w:szCs w:val="22"/>
          <w:lang w:val="lt-LT"/>
        </w:rPr>
        <w:t xml:space="preserve"> (kvapiųjų rozmarinų lapų)</w:t>
      </w:r>
      <w:r w:rsidRPr="006F50A5">
        <w:rPr>
          <w:i/>
          <w:szCs w:val="22"/>
          <w:lang w:val="lt-LT"/>
        </w:rPr>
        <w:t>.</w:t>
      </w:r>
    </w:p>
    <w:p w:rsidR="000E521C" w:rsidRPr="006F50A5" w:rsidRDefault="000E521C" w:rsidP="000E521C">
      <w:pPr>
        <w:pStyle w:val="BT-EMEASMCA"/>
        <w:ind w:left="567" w:hanging="567"/>
        <w:rPr>
          <w:rFonts w:cs="Times New Roman"/>
        </w:rPr>
      </w:pPr>
      <w:r w:rsidRPr="006F50A5">
        <w:rPr>
          <w:rFonts w:cs="Times New Roman"/>
        </w:rPr>
        <w:lastRenderedPageBreak/>
        <w:t>-</w:t>
      </w:r>
      <w:r w:rsidRPr="006F50A5">
        <w:rPr>
          <w:rFonts w:cs="Times New Roman"/>
        </w:rPr>
        <w:tab/>
        <w:t xml:space="preserve">Pagalbinės medžiagos. </w:t>
      </w:r>
      <w:r w:rsidRPr="009553D5">
        <w:rPr>
          <w:rFonts w:cs="Times New Roman"/>
          <w:i/>
          <w:iCs/>
        </w:rPr>
        <w:t>Tabletės šerdis:</w:t>
      </w:r>
      <w:r w:rsidRPr="006F50A5">
        <w:rPr>
          <w:rFonts w:cs="Times New Roman"/>
        </w:rPr>
        <w:t xml:space="preserve"> laktozė monohidratas, magnio stearatas, kukurūzų krakmolas, povidonas K</w:t>
      </w:r>
      <w:r>
        <w:rPr>
          <w:rFonts w:cs="Times New Roman"/>
        </w:rPr>
        <w:t>30</w:t>
      </w:r>
      <w:r w:rsidRPr="006F50A5">
        <w:rPr>
          <w:rFonts w:cs="Times New Roman"/>
        </w:rPr>
        <w:t xml:space="preserve">, bevandenis koloidinis silicio dioksidas. </w:t>
      </w:r>
      <w:r w:rsidRPr="009553D5">
        <w:rPr>
          <w:rFonts w:cs="Times New Roman"/>
          <w:i/>
          <w:iCs/>
        </w:rPr>
        <w:t>Tabletės dangalas:</w:t>
      </w:r>
      <w:r w:rsidRPr="006F50A5">
        <w:rPr>
          <w:rFonts w:cs="Times New Roman"/>
        </w:rPr>
        <w:t xml:space="preserve"> skystoji gliukozė, kalcio karbonatas, kukurūzų krakmolas, dekstrinas, montanglikolio vaškas, povidonas K30, natūralusis ricinų aliejus, sacharozė, šelakas, talkas, raudonasis geležies oksidas (E172), riboflavinas (E101), titano dioksidas (E171).</w:t>
      </w:r>
    </w:p>
    <w:p w:rsidR="000E521C" w:rsidRPr="006F50A5" w:rsidRDefault="000E521C" w:rsidP="000E521C">
      <w:pPr>
        <w:rPr>
          <w:szCs w:val="22"/>
          <w:lang w:val="lt-LT"/>
        </w:rPr>
      </w:pPr>
    </w:p>
    <w:p w:rsidR="000E521C" w:rsidRPr="006F50A5" w:rsidRDefault="000E521C" w:rsidP="000E521C">
      <w:pPr>
        <w:rPr>
          <w:szCs w:val="22"/>
          <w:lang w:val="lt-LT"/>
        </w:rPr>
      </w:pPr>
      <w:r w:rsidRPr="006F50A5">
        <w:rPr>
          <w:b/>
          <w:szCs w:val="22"/>
          <w:lang w:val="lt-LT"/>
        </w:rPr>
        <w:t xml:space="preserve">Canephron išvaizda ir kiekis pakuotėje </w:t>
      </w:r>
    </w:p>
    <w:p w:rsidR="000E521C" w:rsidRPr="006F50A5" w:rsidRDefault="000E521C" w:rsidP="000E521C">
      <w:pPr>
        <w:rPr>
          <w:szCs w:val="22"/>
          <w:lang w:val="lt-LT"/>
        </w:rPr>
      </w:pPr>
      <w:r w:rsidRPr="006F50A5">
        <w:rPr>
          <w:szCs w:val="22"/>
          <w:lang w:val="lt-LT"/>
        </w:rPr>
        <w:t>Canephron yra oranžinės spalvos, apvalios, abipus išgaubtos, lygiu paviršiumi, dengtos tabletės.</w:t>
      </w:r>
    </w:p>
    <w:p w:rsidR="000E521C" w:rsidRPr="006F50A5" w:rsidRDefault="000E521C" w:rsidP="000E521C">
      <w:pPr>
        <w:rPr>
          <w:szCs w:val="22"/>
          <w:lang w:val="lt-LT"/>
        </w:rPr>
      </w:pPr>
    </w:p>
    <w:p w:rsidR="000E521C" w:rsidRPr="006F50A5" w:rsidRDefault="000E521C" w:rsidP="000E521C">
      <w:pPr>
        <w:rPr>
          <w:szCs w:val="22"/>
          <w:lang w:val="lt-LT"/>
        </w:rPr>
      </w:pPr>
      <w:r w:rsidRPr="006F50A5">
        <w:rPr>
          <w:szCs w:val="22"/>
          <w:lang w:val="lt-LT"/>
        </w:rPr>
        <w:t xml:space="preserve">Tiekiamos kartono dėžutėse po 60 arba 120 tablečių. </w:t>
      </w:r>
    </w:p>
    <w:p w:rsidR="000E521C" w:rsidRPr="006F50A5" w:rsidRDefault="000E521C" w:rsidP="000E521C">
      <w:pPr>
        <w:tabs>
          <w:tab w:val="clear" w:pos="567"/>
        </w:tabs>
        <w:spacing w:line="240" w:lineRule="auto"/>
        <w:ind w:left="567" w:hanging="567"/>
        <w:outlineLvl w:val="0"/>
        <w:rPr>
          <w:szCs w:val="22"/>
          <w:lang w:val="lt-LT"/>
        </w:rPr>
      </w:pPr>
      <w:r w:rsidRPr="006F50A5">
        <w:rPr>
          <w:szCs w:val="22"/>
          <w:lang w:val="lt-LT"/>
        </w:rPr>
        <w:t>Gali būti tiekiamos ne visų dydžių pakuotės.</w:t>
      </w:r>
    </w:p>
    <w:p w:rsidR="000E521C" w:rsidRPr="006F50A5" w:rsidRDefault="000E521C" w:rsidP="000E521C">
      <w:pPr>
        <w:rPr>
          <w:szCs w:val="22"/>
          <w:lang w:val="lt-LT"/>
        </w:rPr>
      </w:pPr>
    </w:p>
    <w:p w:rsidR="000E521C" w:rsidRPr="006F50A5" w:rsidRDefault="000E521C" w:rsidP="000E521C">
      <w:pPr>
        <w:rPr>
          <w:b/>
          <w:szCs w:val="22"/>
          <w:lang w:val="lt-LT"/>
        </w:rPr>
      </w:pPr>
      <w:r w:rsidRPr="006F50A5">
        <w:rPr>
          <w:b/>
          <w:szCs w:val="22"/>
          <w:lang w:val="lt-LT"/>
        </w:rPr>
        <w:t>Registruotojas</w:t>
      </w:r>
      <w:r w:rsidRPr="006F50A5" w:rsidDel="00C11054">
        <w:rPr>
          <w:b/>
          <w:szCs w:val="22"/>
          <w:lang w:val="lt-LT"/>
        </w:rPr>
        <w:t xml:space="preserve"> </w:t>
      </w:r>
      <w:r w:rsidRPr="006F50A5">
        <w:rPr>
          <w:b/>
          <w:szCs w:val="22"/>
          <w:lang w:val="lt-LT"/>
        </w:rPr>
        <w:t>ir gamintojas</w:t>
      </w:r>
    </w:p>
    <w:p w:rsidR="000E521C" w:rsidRPr="006F50A5" w:rsidRDefault="000E521C" w:rsidP="000E521C">
      <w:pPr>
        <w:rPr>
          <w:szCs w:val="22"/>
          <w:lang w:val="lt-LT"/>
        </w:rPr>
      </w:pPr>
      <w:r w:rsidRPr="006F50A5">
        <w:rPr>
          <w:szCs w:val="22"/>
          <w:lang w:val="lt-LT"/>
        </w:rPr>
        <w:t>BIONORICA SE</w:t>
      </w:r>
    </w:p>
    <w:p w:rsidR="000E521C" w:rsidRPr="006F50A5" w:rsidRDefault="000E521C" w:rsidP="000E521C">
      <w:pPr>
        <w:rPr>
          <w:szCs w:val="22"/>
          <w:lang w:val="lt-LT"/>
        </w:rPr>
      </w:pPr>
      <w:r w:rsidRPr="006F50A5">
        <w:rPr>
          <w:szCs w:val="22"/>
          <w:lang w:val="lt-LT"/>
        </w:rPr>
        <w:t>Kerschensteinerstrasse 11-15</w:t>
      </w:r>
    </w:p>
    <w:p w:rsidR="000E521C" w:rsidRPr="006F50A5" w:rsidRDefault="000E521C" w:rsidP="000E521C">
      <w:pPr>
        <w:rPr>
          <w:szCs w:val="22"/>
          <w:lang w:val="lt-LT"/>
        </w:rPr>
      </w:pPr>
      <w:r w:rsidRPr="006F50A5">
        <w:rPr>
          <w:szCs w:val="22"/>
          <w:lang w:val="lt-LT"/>
        </w:rPr>
        <w:t xml:space="preserve">92318 Neumarkt i.d.Opf. </w:t>
      </w:r>
    </w:p>
    <w:p w:rsidR="000E521C" w:rsidRPr="006F50A5" w:rsidRDefault="000E521C" w:rsidP="000E521C">
      <w:pPr>
        <w:rPr>
          <w:color w:val="000000"/>
          <w:szCs w:val="22"/>
          <w:lang w:val="lt-LT"/>
        </w:rPr>
      </w:pPr>
      <w:r w:rsidRPr="006F50A5">
        <w:rPr>
          <w:szCs w:val="22"/>
          <w:lang w:val="lt-LT"/>
        </w:rPr>
        <w:t>Vokietija</w:t>
      </w:r>
    </w:p>
    <w:p w:rsidR="000E521C" w:rsidRPr="006F50A5" w:rsidRDefault="000E521C" w:rsidP="000E521C">
      <w:pPr>
        <w:rPr>
          <w:color w:val="000000"/>
          <w:szCs w:val="22"/>
          <w:lang w:val="lt-LT"/>
        </w:rPr>
      </w:pPr>
      <w:r w:rsidRPr="006F50A5">
        <w:rPr>
          <w:color w:val="000000"/>
          <w:szCs w:val="22"/>
          <w:lang w:val="lt-LT"/>
        </w:rPr>
        <w:t xml:space="preserve">El. paštas: </w:t>
      </w:r>
      <w:r w:rsidRPr="006F50A5">
        <w:rPr>
          <w:rStyle w:val="Hipersaitas"/>
          <w:rFonts w:eastAsiaTheme="majorEastAsia"/>
          <w:szCs w:val="22"/>
          <w:lang w:val="lt-LT"/>
        </w:rPr>
        <w:t>info@bionorica.de</w:t>
      </w:r>
    </w:p>
    <w:p w:rsidR="000E521C" w:rsidRPr="006F50A5" w:rsidRDefault="000E521C" w:rsidP="000E521C">
      <w:pPr>
        <w:rPr>
          <w:szCs w:val="22"/>
          <w:lang w:val="lt-LT"/>
        </w:rPr>
      </w:pPr>
    </w:p>
    <w:p w:rsidR="000E521C" w:rsidRPr="006F50A5" w:rsidRDefault="000E521C" w:rsidP="000E521C">
      <w:pPr>
        <w:pStyle w:val="BTEMEASMCA"/>
      </w:pPr>
      <w:r w:rsidRPr="006F50A5">
        <w:t>Jeigu apie šį vaistą norite sužinoti daugiau, kreipkitės į vietinį registruotojo</w:t>
      </w:r>
      <w:r w:rsidRPr="006F50A5" w:rsidDel="00C11054">
        <w:t xml:space="preserve"> </w:t>
      </w:r>
      <w:r w:rsidRPr="006F50A5">
        <w:t>atstovą.</w:t>
      </w:r>
    </w:p>
    <w:p w:rsidR="000E521C" w:rsidRPr="006F50A5" w:rsidRDefault="000E521C" w:rsidP="000E521C">
      <w:pPr>
        <w:rPr>
          <w:szCs w:val="22"/>
          <w:lang w:val="lt-LT"/>
        </w:rPr>
      </w:pPr>
    </w:p>
    <w:p w:rsidR="000E521C" w:rsidRPr="006F50A5" w:rsidRDefault="000E521C" w:rsidP="000E521C">
      <w:pPr>
        <w:rPr>
          <w:szCs w:val="22"/>
          <w:lang w:val="lt-LT"/>
        </w:rPr>
      </w:pPr>
      <w:r w:rsidRPr="006F50A5">
        <w:rPr>
          <w:szCs w:val="22"/>
          <w:lang w:val="lt-LT"/>
        </w:rPr>
        <w:t>Bionorica Lithuania</w:t>
      </w:r>
    </w:p>
    <w:p w:rsidR="000E521C" w:rsidRPr="006F50A5" w:rsidRDefault="000E521C" w:rsidP="000E521C">
      <w:pPr>
        <w:rPr>
          <w:szCs w:val="22"/>
          <w:lang w:val="lt-LT"/>
        </w:rPr>
      </w:pPr>
      <w:r w:rsidRPr="006F50A5">
        <w:rPr>
          <w:szCs w:val="22"/>
          <w:lang w:val="lt-LT"/>
        </w:rPr>
        <w:t>Šiaulių g. 10-57</w:t>
      </w:r>
    </w:p>
    <w:p w:rsidR="000E521C" w:rsidRPr="006F50A5" w:rsidRDefault="000E521C" w:rsidP="000E521C">
      <w:pPr>
        <w:rPr>
          <w:szCs w:val="22"/>
          <w:lang w:val="lt-LT"/>
        </w:rPr>
      </w:pPr>
      <w:r w:rsidRPr="006F50A5">
        <w:rPr>
          <w:szCs w:val="22"/>
          <w:lang w:val="lt-LT"/>
        </w:rPr>
        <w:t>LT-01134 Vilnius</w:t>
      </w:r>
    </w:p>
    <w:p w:rsidR="000E521C" w:rsidRPr="006F50A5" w:rsidRDefault="000E521C" w:rsidP="000E521C">
      <w:pPr>
        <w:rPr>
          <w:szCs w:val="22"/>
          <w:lang w:val="lt-LT"/>
        </w:rPr>
      </w:pPr>
      <w:r w:rsidRPr="006F50A5">
        <w:rPr>
          <w:szCs w:val="22"/>
          <w:lang w:val="lt-LT"/>
        </w:rPr>
        <w:t>Lietuva</w:t>
      </w:r>
    </w:p>
    <w:p w:rsidR="000E521C" w:rsidRPr="006F50A5" w:rsidRDefault="000E521C" w:rsidP="000E521C">
      <w:pPr>
        <w:rPr>
          <w:szCs w:val="22"/>
          <w:lang w:val="lt-LT"/>
        </w:rPr>
      </w:pPr>
      <w:r w:rsidRPr="006F50A5">
        <w:rPr>
          <w:szCs w:val="22"/>
          <w:lang w:val="lt-LT"/>
        </w:rPr>
        <w:t>Tel.: +370 5 2157481</w:t>
      </w:r>
    </w:p>
    <w:p w:rsidR="000E521C" w:rsidRPr="006F50A5" w:rsidRDefault="000E521C" w:rsidP="000E521C">
      <w:pPr>
        <w:rPr>
          <w:szCs w:val="22"/>
          <w:lang w:val="lt-LT"/>
        </w:rPr>
      </w:pPr>
      <w:r w:rsidRPr="006F50A5">
        <w:rPr>
          <w:szCs w:val="22"/>
          <w:lang w:val="lt-LT"/>
        </w:rPr>
        <w:t xml:space="preserve">El. paštas: </w:t>
      </w:r>
      <w:hyperlink r:id="rId5" w:history="1">
        <w:r w:rsidRPr="006F50A5">
          <w:rPr>
            <w:rStyle w:val="Hipersaitas"/>
            <w:rFonts w:eastAsiaTheme="majorEastAsia"/>
            <w:szCs w:val="22"/>
            <w:lang w:val="lt-LT"/>
          </w:rPr>
          <w:t>info@bionorica.lt</w:t>
        </w:r>
      </w:hyperlink>
    </w:p>
    <w:p w:rsidR="000E521C" w:rsidRPr="006F50A5" w:rsidRDefault="000E521C" w:rsidP="000E521C">
      <w:pPr>
        <w:numPr>
          <w:ilvl w:val="12"/>
          <w:numId w:val="0"/>
        </w:numPr>
        <w:ind w:right="-2"/>
        <w:rPr>
          <w:szCs w:val="22"/>
          <w:lang w:val="lt-LT"/>
        </w:rPr>
      </w:pPr>
    </w:p>
    <w:p w:rsidR="000E521C" w:rsidRPr="006F50A5" w:rsidRDefault="000E521C" w:rsidP="000E521C">
      <w:pPr>
        <w:numPr>
          <w:ilvl w:val="12"/>
          <w:numId w:val="0"/>
        </w:numPr>
        <w:ind w:right="-2"/>
        <w:outlineLvl w:val="0"/>
        <w:rPr>
          <w:b/>
          <w:szCs w:val="22"/>
          <w:lang w:val="lt-LT"/>
        </w:rPr>
      </w:pPr>
      <w:r w:rsidRPr="006F50A5">
        <w:rPr>
          <w:b/>
          <w:snapToGrid w:val="0"/>
          <w:szCs w:val="22"/>
          <w:lang w:val="lt-LT"/>
        </w:rPr>
        <w:t xml:space="preserve">Šis pakuotės lapelis paskutinį kartą peržiūrėtas </w:t>
      </w:r>
      <w:r>
        <w:rPr>
          <w:b/>
          <w:snapToGrid w:val="0"/>
          <w:szCs w:val="22"/>
          <w:lang w:val="lt-LT"/>
        </w:rPr>
        <w:t>2025-06-12.</w:t>
      </w:r>
    </w:p>
    <w:p w:rsidR="000E521C" w:rsidRPr="006F50A5" w:rsidRDefault="000E521C" w:rsidP="000E521C">
      <w:pPr>
        <w:numPr>
          <w:ilvl w:val="12"/>
          <w:numId w:val="0"/>
        </w:numPr>
        <w:ind w:right="-2"/>
        <w:outlineLvl w:val="0"/>
        <w:rPr>
          <w:b/>
          <w:szCs w:val="22"/>
          <w:lang w:val="lt-LT"/>
        </w:rPr>
      </w:pPr>
    </w:p>
    <w:p w:rsidR="000E521C" w:rsidRPr="006F50A5" w:rsidRDefault="000E521C" w:rsidP="000E521C">
      <w:pPr>
        <w:numPr>
          <w:ilvl w:val="12"/>
          <w:numId w:val="0"/>
        </w:numPr>
        <w:spacing w:line="240" w:lineRule="auto"/>
        <w:ind w:right="-2"/>
        <w:rPr>
          <w:szCs w:val="22"/>
          <w:lang w:val="lt-LT"/>
        </w:rPr>
      </w:pPr>
      <w:r w:rsidRPr="006F50A5">
        <w:rPr>
          <w:szCs w:val="22"/>
          <w:lang w:val="lt-LT"/>
        </w:rPr>
        <w:t>Išsami informacija apie šį vaistą pateikiama Valstybinės vaistų kontrolės tarnybos prie Lietuvos Respublikos sveikatos apsaugos ministerijos tinklalapyje</w:t>
      </w:r>
      <w:r w:rsidRPr="006F50A5">
        <w:rPr>
          <w:i/>
          <w:szCs w:val="22"/>
          <w:lang w:val="lt-LT"/>
        </w:rPr>
        <w:t xml:space="preserve"> </w:t>
      </w:r>
      <w:hyperlink r:id="rId6" w:history="1">
        <w:r w:rsidRPr="001446AE">
          <w:rPr>
            <w:rStyle w:val="Hipersaitas"/>
            <w:rFonts w:eastAsiaTheme="majorEastAsia"/>
            <w:szCs w:val="22"/>
            <w:lang w:val="lt-LT"/>
          </w:rPr>
          <w:t>https://vvkt.lrv.lt/lt/</w:t>
        </w:r>
      </w:hyperlink>
      <w:r>
        <w:rPr>
          <w:szCs w:val="22"/>
          <w:lang w:val="lt-LT"/>
        </w:rPr>
        <w:t xml:space="preserve"> </w:t>
      </w:r>
      <w:r w:rsidRPr="006F50A5">
        <w:rPr>
          <w:szCs w:val="22"/>
          <w:lang w:val="lt-LT"/>
        </w:rPr>
        <w:t>.</w:t>
      </w:r>
    </w:p>
    <w:p w:rsidR="000E521C" w:rsidRPr="006F50A5" w:rsidRDefault="000E521C" w:rsidP="000E521C">
      <w:pPr>
        <w:rPr>
          <w:szCs w:val="22"/>
          <w:lang w:val="lt-LT"/>
        </w:rPr>
      </w:pPr>
    </w:p>
    <w:p w:rsidR="00BA6577" w:rsidRDefault="00BA6577">
      <w:bookmarkStart w:id="0" w:name="_GoBack"/>
      <w:bookmarkEnd w:id="0"/>
    </w:p>
    <w:sectPr w:rsidR="00BA6577" w:rsidSect="00F8724F">
      <w:footerReference w:type="default" r:id="rId7"/>
      <w:footerReference w:type="first" r:id="rId8"/>
      <w:pgSz w:w="11906" w:h="16838" w:code="9"/>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876884"/>
      <w:docPartObj>
        <w:docPartGallery w:val="Page Numbers (Bottom of Page)"/>
        <w:docPartUnique/>
      </w:docPartObj>
    </w:sdtPr>
    <w:sdtEndPr/>
    <w:sdtContent>
      <w:p w:rsidR="00D5120F" w:rsidRDefault="000E521C">
        <w:pPr>
          <w:pStyle w:val="Porat"/>
          <w:jc w:val="center"/>
        </w:pPr>
        <w:r>
          <w:fldChar w:fldCharType="begin"/>
        </w:r>
        <w:r>
          <w:instrText>PAGE   \* MERGEFORMAT</w:instrText>
        </w:r>
        <w:r>
          <w:fldChar w:fldCharType="separate"/>
        </w:r>
        <w:r w:rsidRPr="000E521C">
          <w:rPr>
            <w:noProof/>
            <w:lang w:val="lt-LT"/>
          </w:rPr>
          <w:t>4</w:t>
        </w:r>
        <w:r>
          <w:fldChar w:fldCharType="end"/>
        </w:r>
      </w:p>
    </w:sdtContent>
  </w:sdt>
  <w:p w:rsidR="00D5120F" w:rsidRDefault="000E52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402502"/>
      <w:docPartObj>
        <w:docPartGallery w:val="Page Numbers (Bottom of Page)"/>
        <w:docPartUnique/>
      </w:docPartObj>
    </w:sdtPr>
    <w:sdtEndPr/>
    <w:sdtContent>
      <w:p w:rsidR="00D5120F" w:rsidRDefault="000E521C">
        <w:pPr>
          <w:pStyle w:val="Porat"/>
          <w:jc w:val="center"/>
        </w:pPr>
        <w:r>
          <w:fldChar w:fldCharType="begin"/>
        </w:r>
        <w:r>
          <w:instrText>PAGE   \* MERGEFORMAT</w:instrText>
        </w:r>
        <w:r>
          <w:fldChar w:fldCharType="separate"/>
        </w:r>
        <w:r w:rsidRPr="000E521C">
          <w:rPr>
            <w:noProof/>
            <w:lang w:val="lt-LT"/>
          </w:rPr>
          <w:t>1</w:t>
        </w:r>
        <w:r>
          <w:fldChar w:fldCharType="end"/>
        </w:r>
      </w:p>
    </w:sdtContent>
  </w:sdt>
  <w:p w:rsidR="00D5120F" w:rsidRDefault="000E521C">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17E0B"/>
    <w:multiLevelType w:val="hybridMultilevel"/>
    <w:tmpl w:val="73AADE22"/>
    <w:lvl w:ilvl="0" w:tplc="1E7039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1C"/>
    <w:rsid w:val="00070BFA"/>
    <w:rsid w:val="00072F85"/>
    <w:rsid w:val="000A5E72"/>
    <w:rsid w:val="000A7B60"/>
    <w:rsid w:val="000E521C"/>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72758-DAA3-48D8-A970-B20D8A39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521C"/>
    <w:pPr>
      <w:tabs>
        <w:tab w:val="left" w:pos="567"/>
      </w:tabs>
      <w:spacing w:after="0" w:line="260" w:lineRule="exact"/>
    </w:pPr>
    <w:rPr>
      <w:rFonts w:ascii="Times New Roman" w:hAnsi="Times New Roman" w:cs="Times New Roman"/>
      <w:szCs w:val="20"/>
      <w:lang w:val="en-GB"/>
    </w:rPr>
  </w:style>
  <w:style w:type="paragraph" w:styleId="Antrat4">
    <w:name w:val="heading 4"/>
    <w:basedOn w:val="prastasis"/>
    <w:next w:val="prastasis"/>
    <w:link w:val="Antrat4Diagrama"/>
    <w:qFormat/>
    <w:rsid w:val="000E521C"/>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99"/>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99"/>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4Diagrama">
    <w:name w:val="Antraštė 4 Diagrama"/>
    <w:basedOn w:val="Numatytasispastraiposriftas"/>
    <w:link w:val="Antrat4"/>
    <w:rsid w:val="000E521C"/>
    <w:rPr>
      <w:rFonts w:ascii="Times New Roman" w:hAnsi="Times New Roman" w:cs="Times New Roman"/>
      <w:b/>
      <w:bCs/>
      <w:sz w:val="28"/>
      <w:szCs w:val="28"/>
      <w:lang w:val="en-GB"/>
    </w:rPr>
  </w:style>
  <w:style w:type="character" w:styleId="Hipersaitas">
    <w:name w:val="Hyperlink"/>
    <w:uiPriority w:val="99"/>
    <w:rsid w:val="000E521C"/>
    <w:rPr>
      <w:color w:val="0000FF"/>
      <w:u w:val="single"/>
    </w:rPr>
  </w:style>
  <w:style w:type="paragraph" w:customStyle="1" w:styleId="BTEMEASMCA">
    <w:name w:val="BT EMEA_SMCA"/>
    <w:basedOn w:val="prastasis"/>
    <w:link w:val="BTEMEASMCAChar"/>
    <w:autoRedefine/>
    <w:rsid w:val="000E521C"/>
    <w:pPr>
      <w:tabs>
        <w:tab w:val="clear" w:pos="567"/>
      </w:tabs>
      <w:spacing w:line="240" w:lineRule="auto"/>
    </w:pPr>
    <w:rPr>
      <w:szCs w:val="22"/>
      <w:lang w:val="lt-LT"/>
    </w:rPr>
  </w:style>
  <w:style w:type="character" w:customStyle="1" w:styleId="BTEMEASMCAChar">
    <w:name w:val="BT EMEA_SMCA Char"/>
    <w:link w:val="BTEMEASMCA"/>
    <w:rsid w:val="000E521C"/>
    <w:rPr>
      <w:rFonts w:ascii="Times New Roman" w:hAnsi="Times New Roman" w:cs="Times New Roman"/>
    </w:rPr>
  </w:style>
  <w:style w:type="character" w:styleId="Emfaz">
    <w:name w:val="Emphasis"/>
    <w:qFormat/>
    <w:rsid w:val="000E521C"/>
    <w:rPr>
      <w:i/>
      <w:iCs/>
    </w:rPr>
  </w:style>
  <w:style w:type="character" w:customStyle="1" w:styleId="s1">
    <w:name w:val="s1"/>
    <w:rsid w:val="000E521C"/>
    <w:rPr>
      <w:rFonts w:ascii="Arial" w:hAnsi="Arial" w:cs="Arial" w:hint="default"/>
    </w:rPr>
  </w:style>
  <w:style w:type="paragraph" w:customStyle="1" w:styleId="BT-EMEASMCA">
    <w:name w:val="BT- EMEA_SMCA"/>
    <w:basedOn w:val="BTEMEASMCA"/>
    <w:autoRedefine/>
    <w:rsid w:val="000E521C"/>
    <w:pPr>
      <w:tabs>
        <w:tab w:val="left" w:pos="567"/>
      </w:tabs>
    </w:pPr>
    <w:rPr>
      <w:rFonts w:cs="Arial"/>
    </w:rPr>
  </w:style>
  <w:style w:type="paragraph" w:styleId="Porat">
    <w:name w:val="footer"/>
    <w:basedOn w:val="prastasis"/>
    <w:link w:val="PoratDiagrama"/>
    <w:uiPriority w:val="99"/>
    <w:unhideWhenUsed/>
    <w:rsid w:val="000E521C"/>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0E521C"/>
    <w:rPr>
      <w:rFonts w:ascii="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info@bionoric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5265</Words>
  <Characters>3002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2025-06-12T06:29:00Z</dcterms:created>
  <dcterms:modified xsi:type="dcterms:W3CDTF">2025-06-12T06:30:00Z</dcterms:modified>
</cp:coreProperties>
</file>