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EF97" w14:textId="77777777" w:rsidR="00342445" w:rsidRPr="002E3D7D" w:rsidRDefault="00342445" w:rsidP="00342445">
      <w:pPr>
        <w:spacing w:after="0" w:line="240" w:lineRule="auto"/>
        <w:jc w:val="center"/>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Pakuotės lapelis: informacija vartotojui</w:t>
      </w:r>
    </w:p>
    <w:p w14:paraId="75DB5CFA" w14:textId="77777777" w:rsidR="00342445" w:rsidRPr="002E3D7D" w:rsidRDefault="00342445" w:rsidP="00342445">
      <w:pPr>
        <w:spacing w:after="0" w:line="240" w:lineRule="auto"/>
        <w:jc w:val="center"/>
        <w:rPr>
          <w:rFonts w:ascii="Times New Roman" w:hAnsi="Times New Roman"/>
          <w:kern w:val="0"/>
          <w:sz w:val="22"/>
          <w:lang w:val="lt-LT"/>
          <w14:ligatures w14:val="none"/>
        </w:rPr>
      </w:pPr>
    </w:p>
    <w:p w14:paraId="7B8ADD06" w14:textId="77777777" w:rsidR="00342445" w:rsidRPr="002E3D7D" w:rsidRDefault="00342445" w:rsidP="00342445">
      <w:pPr>
        <w:spacing w:after="0" w:line="240" w:lineRule="auto"/>
        <w:jc w:val="center"/>
        <w:rPr>
          <w:rFonts w:ascii="Times New Roman" w:hAnsi="Times New Roman"/>
          <w:b/>
          <w:kern w:val="0"/>
          <w:sz w:val="22"/>
          <w:lang w:val="lt-LT"/>
          <w14:ligatures w14:val="none"/>
        </w:rPr>
      </w:pP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5 mg/ml akių lašai (tirpalas)</w:t>
      </w:r>
    </w:p>
    <w:p w14:paraId="194E3946" w14:textId="77777777" w:rsidR="00342445" w:rsidRPr="002E3D7D" w:rsidRDefault="00342445" w:rsidP="00342445">
      <w:pPr>
        <w:spacing w:after="0" w:line="240" w:lineRule="auto"/>
        <w:jc w:val="center"/>
        <w:rPr>
          <w:rFonts w:ascii="Times New Roman" w:hAnsi="Times New Roman"/>
          <w:i/>
          <w:kern w:val="0"/>
          <w:sz w:val="22"/>
          <w:lang w:val="lt-LT"/>
          <w14:ligatures w14:val="none"/>
        </w:rPr>
      </w:pP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w:t>
      </w:r>
      <w:r w:rsidRPr="002E3D7D">
        <w:rPr>
          <w:rFonts w:ascii="Times New Roman" w:hAnsi="Times New Roman"/>
          <w:i/>
          <w:kern w:val="0"/>
          <w:sz w:val="22"/>
          <w:lang w:val="lt-LT"/>
          <w14:ligatures w14:val="none"/>
        </w:rPr>
        <w:t>(</w:t>
      </w:r>
      <w:proofErr w:type="spellStart"/>
      <w:r w:rsidRPr="002E3D7D">
        <w:rPr>
          <w:rFonts w:ascii="Times New Roman" w:hAnsi="Times New Roman"/>
          <w:i/>
          <w:kern w:val="0"/>
          <w:sz w:val="22"/>
          <w:lang w:val="lt-LT"/>
          <w14:ligatures w14:val="none"/>
        </w:rPr>
        <w:t>moxifloxacinum</w:t>
      </w:r>
      <w:proofErr w:type="spellEnd"/>
      <w:r w:rsidRPr="002E3D7D">
        <w:rPr>
          <w:rFonts w:ascii="Times New Roman" w:hAnsi="Times New Roman"/>
          <w:i/>
          <w:kern w:val="0"/>
          <w:sz w:val="22"/>
          <w:lang w:val="lt-LT"/>
          <w14:ligatures w14:val="none"/>
        </w:rPr>
        <w:t>)</w:t>
      </w:r>
    </w:p>
    <w:p w14:paraId="68F80346" w14:textId="77777777" w:rsidR="00342445" w:rsidRPr="002E3D7D" w:rsidRDefault="00342445" w:rsidP="00342445">
      <w:pPr>
        <w:spacing w:after="0" w:line="240" w:lineRule="auto"/>
        <w:jc w:val="center"/>
        <w:rPr>
          <w:rFonts w:ascii="Times New Roman" w:hAnsi="Times New Roman"/>
          <w:i/>
          <w:kern w:val="0"/>
          <w:sz w:val="22"/>
          <w:lang w:val="lt-LT"/>
          <w14:ligatures w14:val="none"/>
        </w:rPr>
      </w:pPr>
    </w:p>
    <w:p w14:paraId="0DA29443" w14:textId="77777777" w:rsidR="00342445" w:rsidRPr="002E3D7D" w:rsidRDefault="00342445" w:rsidP="00342445">
      <w:pPr>
        <w:spacing w:after="0" w:line="240" w:lineRule="auto"/>
        <w:rPr>
          <w:rFonts w:ascii="Times New Roman" w:hAnsi="Times New Roman"/>
          <w:i/>
          <w:kern w:val="0"/>
          <w:sz w:val="22"/>
          <w:lang w:val="lt-LT"/>
          <w14:ligatures w14:val="none"/>
        </w:rPr>
      </w:pPr>
    </w:p>
    <w:p w14:paraId="311E7D2C" w14:textId="77777777" w:rsidR="00342445" w:rsidRPr="002E3D7D" w:rsidRDefault="00342445" w:rsidP="00342445">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Atidžiai perskaitykite visą šį lapelį, prieš pradėdami vartoti vaistą, nes jame pateikiama Jums svarbi informacija.</w:t>
      </w:r>
    </w:p>
    <w:p w14:paraId="79B4C89D" w14:textId="77777777" w:rsidR="00342445" w:rsidRPr="002E3D7D" w:rsidRDefault="00342445" w:rsidP="00342445">
      <w:pPr>
        <w:numPr>
          <w:ilvl w:val="0"/>
          <w:numId w:val="5"/>
        </w:numPr>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Neišmeskite šio lapelio, nes vėl gali prireikti jį perskaityti.</w:t>
      </w:r>
    </w:p>
    <w:p w14:paraId="278121C1" w14:textId="77777777" w:rsidR="00342445" w:rsidRPr="002E3D7D" w:rsidRDefault="00342445" w:rsidP="00342445">
      <w:pPr>
        <w:numPr>
          <w:ilvl w:val="0"/>
          <w:numId w:val="5"/>
        </w:numPr>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Jeigu kiltų daugiau klausimų, kreipkitės į gydytoją arba vaistininką.</w:t>
      </w:r>
    </w:p>
    <w:p w14:paraId="1FF8A030" w14:textId="77777777" w:rsidR="00342445" w:rsidRPr="002E3D7D" w:rsidRDefault="00342445" w:rsidP="00342445">
      <w:pPr>
        <w:numPr>
          <w:ilvl w:val="0"/>
          <w:numId w:val="5"/>
        </w:numPr>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20261852" w14:textId="77777777" w:rsidR="00342445" w:rsidRPr="002E3D7D" w:rsidRDefault="00342445" w:rsidP="00342445">
      <w:pPr>
        <w:numPr>
          <w:ilvl w:val="0"/>
          <w:numId w:val="5"/>
        </w:numPr>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Jeigu pasireiškė šalutinis poveikis (net jeigu jis šiame lapelyje nenurodytas), kreipkitės į gydytoją arba vaistininką. Žr. 4 skyrių.</w:t>
      </w:r>
    </w:p>
    <w:p w14:paraId="707FD52E" w14:textId="77777777" w:rsidR="00342445" w:rsidRPr="002E3D7D" w:rsidRDefault="00342445" w:rsidP="00342445">
      <w:pPr>
        <w:spacing w:after="0" w:line="240" w:lineRule="auto"/>
        <w:rPr>
          <w:rFonts w:ascii="Times New Roman" w:hAnsi="Times New Roman"/>
          <w:b/>
          <w:kern w:val="0"/>
          <w:sz w:val="22"/>
          <w:u w:val="single"/>
          <w:lang w:val="lt-LT"/>
          <w14:ligatures w14:val="none"/>
        </w:rPr>
      </w:pPr>
    </w:p>
    <w:p w14:paraId="73224C48"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Apie ką rašoma šiame lapelyje?</w:t>
      </w:r>
    </w:p>
    <w:p w14:paraId="05D548B1"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62525C61"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1.</w:t>
      </w:r>
      <w:r w:rsidRPr="002E3D7D">
        <w:rPr>
          <w:rFonts w:ascii="Times New Roman" w:hAnsi="Times New Roman"/>
          <w:kern w:val="0"/>
          <w:sz w:val="22"/>
          <w:lang w:val="lt-LT"/>
          <w14:ligatures w14:val="none"/>
        </w:rPr>
        <w:tab/>
        <w:t xml:space="preserve">Kas yra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ir kam jis vartojamas</w:t>
      </w:r>
    </w:p>
    <w:p w14:paraId="0CAEEA48"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2.</w:t>
      </w:r>
      <w:r w:rsidRPr="002E3D7D">
        <w:rPr>
          <w:rFonts w:ascii="Times New Roman" w:hAnsi="Times New Roman"/>
          <w:kern w:val="0"/>
          <w:sz w:val="22"/>
          <w:lang w:val="lt-LT"/>
          <w14:ligatures w14:val="none"/>
        </w:rPr>
        <w:tab/>
        <w:t xml:space="preserve">Kas žinotina prieš vartojant </w:t>
      </w:r>
      <w:proofErr w:type="spellStart"/>
      <w:r w:rsidRPr="002E3D7D">
        <w:rPr>
          <w:rFonts w:ascii="Times New Roman" w:hAnsi="Times New Roman"/>
          <w:kern w:val="0"/>
          <w:sz w:val="22"/>
          <w:lang w:val="lt-LT"/>
          <w14:ligatures w14:val="none"/>
        </w:rPr>
        <w:t>Vigamox</w:t>
      </w:r>
      <w:proofErr w:type="spellEnd"/>
    </w:p>
    <w:p w14:paraId="2D5E74FE"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3.</w:t>
      </w:r>
      <w:r w:rsidRPr="002E3D7D">
        <w:rPr>
          <w:rFonts w:ascii="Times New Roman" w:hAnsi="Times New Roman"/>
          <w:kern w:val="0"/>
          <w:sz w:val="22"/>
          <w:lang w:val="lt-LT"/>
          <w14:ligatures w14:val="none"/>
        </w:rPr>
        <w:tab/>
        <w:t xml:space="preserve">Kaip vartoti </w:t>
      </w:r>
      <w:proofErr w:type="spellStart"/>
      <w:r w:rsidRPr="002E3D7D">
        <w:rPr>
          <w:rFonts w:ascii="Times New Roman" w:hAnsi="Times New Roman"/>
          <w:kern w:val="0"/>
          <w:sz w:val="22"/>
          <w:lang w:val="lt-LT"/>
          <w14:ligatures w14:val="none"/>
        </w:rPr>
        <w:t>Vigamox</w:t>
      </w:r>
      <w:proofErr w:type="spellEnd"/>
    </w:p>
    <w:p w14:paraId="1BBB0DE4"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4.</w:t>
      </w:r>
      <w:r w:rsidRPr="002E3D7D">
        <w:rPr>
          <w:rFonts w:ascii="Times New Roman" w:hAnsi="Times New Roman"/>
          <w:kern w:val="0"/>
          <w:sz w:val="22"/>
          <w:lang w:val="lt-LT"/>
          <w14:ligatures w14:val="none"/>
        </w:rPr>
        <w:tab/>
        <w:t>Galimas šalutinis poveikis</w:t>
      </w:r>
    </w:p>
    <w:p w14:paraId="7210A098"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5.</w:t>
      </w:r>
      <w:r w:rsidRPr="002E3D7D">
        <w:rPr>
          <w:rFonts w:ascii="Times New Roman" w:hAnsi="Times New Roman"/>
          <w:kern w:val="0"/>
          <w:sz w:val="22"/>
          <w:lang w:val="lt-LT"/>
          <w14:ligatures w14:val="none"/>
        </w:rPr>
        <w:tab/>
        <w:t xml:space="preserve">Kaip laikyti </w:t>
      </w:r>
      <w:proofErr w:type="spellStart"/>
      <w:r w:rsidRPr="002E3D7D">
        <w:rPr>
          <w:rFonts w:ascii="Times New Roman" w:hAnsi="Times New Roman"/>
          <w:kern w:val="0"/>
          <w:sz w:val="22"/>
          <w:lang w:val="lt-LT"/>
          <w14:ligatures w14:val="none"/>
        </w:rPr>
        <w:t>Vigamox</w:t>
      </w:r>
      <w:proofErr w:type="spellEnd"/>
    </w:p>
    <w:p w14:paraId="02EDCCFA"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6.</w:t>
      </w:r>
      <w:r w:rsidRPr="002E3D7D">
        <w:rPr>
          <w:rFonts w:ascii="Times New Roman" w:hAnsi="Times New Roman"/>
          <w:kern w:val="0"/>
          <w:sz w:val="22"/>
          <w:lang w:val="lt-LT"/>
          <w14:ligatures w14:val="none"/>
        </w:rPr>
        <w:tab/>
        <w:t>Pakuotės turinys ir kita informacija</w:t>
      </w:r>
    </w:p>
    <w:p w14:paraId="77DD39B4" w14:textId="77777777" w:rsidR="00342445" w:rsidRPr="002E3D7D" w:rsidRDefault="00342445" w:rsidP="00342445">
      <w:pPr>
        <w:spacing w:after="0" w:line="240" w:lineRule="auto"/>
        <w:rPr>
          <w:rFonts w:ascii="Times New Roman" w:hAnsi="Times New Roman"/>
          <w:b/>
          <w:kern w:val="0"/>
          <w:sz w:val="22"/>
          <w:lang w:val="lt-LT"/>
          <w14:ligatures w14:val="none"/>
        </w:rPr>
      </w:pPr>
    </w:p>
    <w:p w14:paraId="7CFBB902" w14:textId="77777777" w:rsidR="00342445" w:rsidRPr="002E3D7D" w:rsidRDefault="00342445" w:rsidP="00342445">
      <w:pPr>
        <w:spacing w:after="0" w:line="240" w:lineRule="auto"/>
        <w:rPr>
          <w:rFonts w:ascii="Times New Roman" w:hAnsi="Times New Roman"/>
          <w:b/>
          <w:kern w:val="0"/>
          <w:sz w:val="22"/>
          <w:lang w:val="lt-LT"/>
          <w14:ligatures w14:val="none"/>
        </w:rPr>
      </w:pPr>
    </w:p>
    <w:p w14:paraId="5FF573FE"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1.</w:t>
      </w:r>
      <w:r w:rsidRPr="002E3D7D">
        <w:rPr>
          <w:rFonts w:ascii="Times New Roman" w:hAnsi="Times New Roman"/>
          <w:b/>
          <w:kern w:val="0"/>
          <w:sz w:val="22"/>
          <w:lang w:val="lt-LT"/>
          <w14:ligatures w14:val="none"/>
        </w:rPr>
        <w:tab/>
        <w:t xml:space="preserve">Kas yra </w:t>
      </w: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ir kam jis vartojamas</w:t>
      </w:r>
    </w:p>
    <w:p w14:paraId="666FB143" w14:textId="77777777" w:rsidR="00342445" w:rsidRPr="002E3D7D" w:rsidRDefault="00342445" w:rsidP="00342445">
      <w:pPr>
        <w:spacing w:after="0" w:line="240" w:lineRule="auto"/>
        <w:rPr>
          <w:rFonts w:ascii="Times New Roman" w:hAnsi="Times New Roman"/>
          <w:kern w:val="0"/>
          <w:sz w:val="22"/>
          <w:lang w:val="lt-LT"/>
          <w14:ligatures w14:val="none"/>
        </w:rPr>
      </w:pPr>
    </w:p>
    <w:p w14:paraId="65F036F2" w14:textId="77777777" w:rsidR="00342445" w:rsidRPr="002E3D7D" w:rsidRDefault="00342445" w:rsidP="00342445">
      <w:pPr>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sudėtyje yra veikliosios medžiagos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priklauso antibiotikų, vadinamų </w:t>
      </w:r>
      <w:proofErr w:type="spellStart"/>
      <w:r w:rsidRPr="002E3D7D">
        <w:rPr>
          <w:rFonts w:ascii="Times New Roman" w:hAnsi="Times New Roman"/>
          <w:kern w:val="0"/>
          <w:sz w:val="22"/>
          <w:lang w:val="lt-LT"/>
          <w14:ligatures w14:val="none"/>
        </w:rPr>
        <w:t>fluorochinolonais</w:t>
      </w:r>
      <w:proofErr w:type="spellEnd"/>
      <w:r w:rsidRPr="002E3D7D">
        <w:rPr>
          <w:rFonts w:ascii="Times New Roman" w:hAnsi="Times New Roman"/>
          <w:kern w:val="0"/>
          <w:sz w:val="22"/>
          <w:lang w:val="lt-LT"/>
          <w14:ligatures w14:val="none"/>
        </w:rPr>
        <w:t>, vartojamiems bakterinėms akies infekcijoms gydyti, grupei.</w:t>
      </w:r>
    </w:p>
    <w:p w14:paraId="4B78D96D" w14:textId="77777777" w:rsidR="00342445" w:rsidRPr="002E3D7D" w:rsidRDefault="00342445" w:rsidP="00342445">
      <w:pPr>
        <w:spacing w:after="0" w:line="240" w:lineRule="auto"/>
        <w:rPr>
          <w:rFonts w:ascii="Times New Roman" w:hAnsi="Times New Roman"/>
          <w:kern w:val="0"/>
          <w:sz w:val="22"/>
          <w:lang w:val="lt-LT"/>
          <w14:ligatures w14:val="none"/>
        </w:rPr>
      </w:pPr>
    </w:p>
    <w:p w14:paraId="7639F992" w14:textId="77777777" w:rsidR="00342445" w:rsidRPr="002E3D7D" w:rsidRDefault="00342445" w:rsidP="00342445">
      <w:pPr>
        <w:tabs>
          <w:tab w:val="left" w:pos="900"/>
          <w:tab w:val="left" w:pos="5400"/>
          <w:tab w:val="left" w:pos="6660"/>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Akių lašai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vartojami bakterijų sukeltoms akių infekcijoms (konjunktyvitui) gydyti.</w:t>
      </w:r>
    </w:p>
    <w:p w14:paraId="2928411D" w14:textId="77777777" w:rsidR="00342445" w:rsidRPr="002E3D7D" w:rsidRDefault="00342445" w:rsidP="00342445">
      <w:pPr>
        <w:spacing w:after="0" w:line="240" w:lineRule="auto"/>
        <w:rPr>
          <w:rFonts w:ascii="Times New Roman" w:hAnsi="Times New Roman"/>
          <w:b/>
          <w:kern w:val="0"/>
          <w:sz w:val="22"/>
          <w:lang w:val="lt-LT"/>
          <w14:ligatures w14:val="none"/>
        </w:rPr>
      </w:pPr>
    </w:p>
    <w:p w14:paraId="0856BEBE" w14:textId="77777777" w:rsidR="00342445" w:rsidRPr="002E3D7D" w:rsidRDefault="00342445" w:rsidP="00342445">
      <w:pPr>
        <w:spacing w:after="0" w:line="240" w:lineRule="auto"/>
        <w:rPr>
          <w:rFonts w:ascii="Times New Roman" w:hAnsi="Times New Roman"/>
          <w:b/>
          <w:kern w:val="0"/>
          <w:sz w:val="22"/>
          <w:lang w:val="lt-LT"/>
          <w14:ligatures w14:val="none"/>
        </w:rPr>
      </w:pPr>
    </w:p>
    <w:p w14:paraId="02E04443"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2.</w:t>
      </w:r>
      <w:r w:rsidRPr="002E3D7D">
        <w:rPr>
          <w:rFonts w:ascii="Times New Roman" w:hAnsi="Times New Roman"/>
          <w:b/>
          <w:kern w:val="0"/>
          <w:sz w:val="22"/>
          <w:lang w:val="lt-LT"/>
          <w14:ligatures w14:val="none"/>
        </w:rPr>
        <w:tab/>
        <w:t xml:space="preserve">Kas žinotina prieš vartojant </w:t>
      </w:r>
      <w:proofErr w:type="spellStart"/>
      <w:r w:rsidRPr="002E3D7D">
        <w:rPr>
          <w:rFonts w:ascii="Times New Roman" w:hAnsi="Times New Roman"/>
          <w:b/>
          <w:kern w:val="0"/>
          <w:sz w:val="22"/>
          <w:lang w:val="lt-LT"/>
          <w14:ligatures w14:val="none"/>
        </w:rPr>
        <w:t>Vigamox</w:t>
      </w:r>
      <w:proofErr w:type="spellEnd"/>
    </w:p>
    <w:p w14:paraId="70A76B85" w14:textId="77777777" w:rsidR="00342445" w:rsidRPr="002E3D7D" w:rsidRDefault="00342445" w:rsidP="00342445">
      <w:pPr>
        <w:spacing w:after="0" w:line="240" w:lineRule="auto"/>
        <w:rPr>
          <w:rFonts w:ascii="Times New Roman" w:hAnsi="Times New Roman"/>
          <w:kern w:val="0"/>
          <w:sz w:val="22"/>
          <w:lang w:val="lt-LT"/>
          <w14:ligatures w14:val="none"/>
        </w:rPr>
      </w:pPr>
    </w:p>
    <w:p w14:paraId="61D4BB76" w14:textId="77777777" w:rsidR="00342445" w:rsidRPr="002E3D7D" w:rsidRDefault="00342445" w:rsidP="00342445">
      <w:pPr>
        <w:tabs>
          <w:tab w:val="left" w:pos="900"/>
          <w:tab w:val="left" w:pos="5400"/>
          <w:tab w:val="left" w:pos="6660"/>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kern w:val="0"/>
          <w:sz w:val="22"/>
          <w:lang w:val="lt-LT"/>
          <w14:ligatures w14:val="none"/>
        </w:rPr>
        <w:t xml:space="preserve"> </w:t>
      </w:r>
      <w:r w:rsidRPr="002E3D7D">
        <w:rPr>
          <w:rFonts w:ascii="Times New Roman" w:hAnsi="Times New Roman"/>
          <w:b/>
          <w:kern w:val="0"/>
          <w:sz w:val="22"/>
          <w:lang w:val="lt-LT"/>
          <w14:ligatures w14:val="none"/>
        </w:rPr>
        <w:t>vartoti draudžiama</w:t>
      </w:r>
    </w:p>
    <w:p w14:paraId="39288F3C" w14:textId="77777777" w:rsidR="00342445" w:rsidRPr="002E3D7D" w:rsidRDefault="00342445" w:rsidP="00342445">
      <w:pPr>
        <w:numPr>
          <w:ilvl w:val="0"/>
          <w:numId w:val="1"/>
        </w:num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jeigu yra alergija </w:t>
      </w:r>
      <w:proofErr w:type="spellStart"/>
      <w:r w:rsidRPr="002E3D7D">
        <w:rPr>
          <w:rFonts w:ascii="Times New Roman" w:hAnsi="Times New Roman"/>
          <w:kern w:val="0"/>
          <w:sz w:val="22"/>
          <w:lang w:val="lt-LT"/>
          <w14:ligatures w14:val="none"/>
        </w:rPr>
        <w:t>moksifloksacinui</w:t>
      </w:r>
      <w:proofErr w:type="spellEnd"/>
      <w:r w:rsidRPr="002E3D7D">
        <w:rPr>
          <w:rFonts w:ascii="Times New Roman" w:hAnsi="Times New Roman"/>
          <w:kern w:val="0"/>
          <w:sz w:val="22"/>
          <w:lang w:val="lt-LT"/>
          <w14:ligatures w14:val="none"/>
        </w:rPr>
        <w:t xml:space="preserve">, kitiems </w:t>
      </w:r>
      <w:proofErr w:type="spellStart"/>
      <w:r w:rsidRPr="002E3D7D">
        <w:rPr>
          <w:rFonts w:ascii="Times New Roman" w:hAnsi="Times New Roman"/>
          <w:kern w:val="0"/>
          <w:sz w:val="22"/>
          <w:lang w:val="lt-LT"/>
          <w14:ligatures w14:val="none"/>
        </w:rPr>
        <w:t>chinolonams</w:t>
      </w:r>
      <w:proofErr w:type="spellEnd"/>
      <w:r w:rsidRPr="002E3D7D">
        <w:rPr>
          <w:rFonts w:ascii="Times New Roman" w:hAnsi="Times New Roman"/>
          <w:kern w:val="0"/>
          <w:sz w:val="22"/>
          <w:lang w:val="lt-LT"/>
          <w14:ligatures w14:val="none"/>
        </w:rPr>
        <w:t xml:space="preserve"> arba bet kuriai pagalbinei šio vaisto medžiagai (jos išvardytos 6 skyriuje). </w:t>
      </w:r>
    </w:p>
    <w:p w14:paraId="640BC3D1" w14:textId="77777777" w:rsidR="00342445" w:rsidRPr="002E3D7D" w:rsidRDefault="00342445" w:rsidP="00342445">
      <w:pPr>
        <w:tabs>
          <w:tab w:val="left" w:pos="567"/>
          <w:tab w:val="left" w:pos="5400"/>
          <w:tab w:val="left" w:pos="6660"/>
        </w:tabs>
        <w:spacing w:after="0" w:line="240" w:lineRule="auto"/>
        <w:ind w:left="567" w:hanging="567"/>
        <w:rPr>
          <w:rFonts w:ascii="Times New Roman" w:hAnsi="Times New Roman"/>
          <w:b/>
          <w:kern w:val="0"/>
          <w:sz w:val="22"/>
          <w:lang w:val="lt-LT"/>
          <w14:ligatures w14:val="none"/>
        </w:rPr>
      </w:pPr>
    </w:p>
    <w:p w14:paraId="32640CA8" w14:textId="77777777" w:rsidR="00342445" w:rsidRPr="002E3D7D" w:rsidRDefault="00342445" w:rsidP="00342445">
      <w:pPr>
        <w:tabs>
          <w:tab w:val="left" w:pos="567"/>
          <w:tab w:val="left" w:pos="5400"/>
          <w:tab w:val="left" w:pos="6660"/>
        </w:tabs>
        <w:spacing w:after="0" w:line="240" w:lineRule="auto"/>
        <w:ind w:lef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Įspėjimai ir atsargumo priemonės</w:t>
      </w:r>
    </w:p>
    <w:p w14:paraId="434659CE" w14:textId="77777777" w:rsidR="00342445" w:rsidRPr="002E3D7D" w:rsidRDefault="00342445" w:rsidP="00342445">
      <w:p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Pasitarkite su gydytoju arba vaistininku:</w:t>
      </w:r>
    </w:p>
    <w:p w14:paraId="7CF00654" w14:textId="77777777" w:rsidR="00342445" w:rsidRPr="002E3D7D" w:rsidRDefault="00342445" w:rsidP="00342445">
      <w:pPr>
        <w:numPr>
          <w:ilvl w:val="0"/>
          <w:numId w:val="2"/>
        </w:num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Jeigu Jūs patiriate alerginę reakciją į </w:t>
      </w: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kern w:val="0"/>
          <w:sz w:val="22"/>
          <w:lang w:val="lt-LT"/>
          <w14:ligatures w14:val="none"/>
        </w:rPr>
        <w:t>. Alerginės reakcijos pasireiškia nedažnai, o sunkios reakcijos – retai.</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Jei patiriate bet kokią alerginę (padidėjusio jautrumo) reakciją arba bet kokį šalutinį poveikį, žr. 4 skyrių.</w:t>
      </w:r>
    </w:p>
    <w:p w14:paraId="1F2FC432" w14:textId="77777777" w:rsidR="00342445" w:rsidRPr="002E3D7D" w:rsidRDefault="00342445" w:rsidP="00342445">
      <w:pPr>
        <w:numPr>
          <w:ilvl w:val="0"/>
          <w:numId w:val="2"/>
        </w:num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b/>
          <w:kern w:val="0"/>
          <w:sz w:val="22"/>
          <w:lang w:val="lt-LT"/>
          <w14:ligatures w14:val="none"/>
        </w:rPr>
        <w:t>Jeigu nešiojate kontaktinius lęšius</w:t>
      </w:r>
      <w:r w:rsidRPr="002E3D7D">
        <w:rPr>
          <w:rFonts w:ascii="Times New Roman" w:hAnsi="Times New Roman"/>
          <w:kern w:val="0"/>
          <w:sz w:val="22"/>
          <w:lang w:val="lt-LT"/>
          <w14:ligatures w14:val="none"/>
        </w:rPr>
        <w:t xml:space="preserve"> – pajutę bet kokius akių infekcijos požymius arba simptomus, lęšių nebenešiokite. Vietoje jų nešiokite akinius. Lęšius galima pradėti vėl nešioti tik praėjus infekcijos požymiams ir simptomams ir baigus vartoti vaistą.</w:t>
      </w:r>
    </w:p>
    <w:p w14:paraId="0686796D" w14:textId="77777777" w:rsidR="00342445" w:rsidRPr="002E3D7D" w:rsidRDefault="00342445" w:rsidP="00342445">
      <w:pPr>
        <w:numPr>
          <w:ilvl w:val="0"/>
          <w:numId w:val="2"/>
        </w:numPr>
        <w:tabs>
          <w:tab w:val="num"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Pacientams, vartojantiems geriamuosius arba į veną leidžiamus </w:t>
      </w:r>
      <w:proofErr w:type="spellStart"/>
      <w:r w:rsidRPr="002E3D7D">
        <w:rPr>
          <w:rFonts w:ascii="Times New Roman" w:hAnsi="Times New Roman"/>
          <w:kern w:val="0"/>
          <w:sz w:val="22"/>
          <w:lang w:val="lt-LT"/>
          <w14:ligatures w14:val="none"/>
        </w:rPr>
        <w:t>fluorochinolonus</w:t>
      </w:r>
      <w:proofErr w:type="spellEnd"/>
      <w:r w:rsidRPr="002E3D7D">
        <w:rPr>
          <w:rFonts w:ascii="Times New Roman" w:hAnsi="Times New Roman"/>
          <w:kern w:val="0"/>
          <w:sz w:val="22"/>
          <w:lang w:val="lt-LT"/>
          <w14:ligatures w14:val="none"/>
        </w:rPr>
        <w:t xml:space="preserve">, ypač senyviems ir tuo pat metu vartojantiems kortikosteroidų, pasireiškė sausgyslių uždegimo ir sausgyslių plyšimo atvejų. Nutraukite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vartojimą, jeigu pasireiškia sausgyslių skausmas arba patinimas (</w:t>
      </w:r>
      <w:proofErr w:type="spellStart"/>
      <w:r w:rsidRPr="002E3D7D">
        <w:rPr>
          <w:rFonts w:ascii="Times New Roman" w:hAnsi="Times New Roman"/>
          <w:kern w:val="0"/>
          <w:sz w:val="22"/>
          <w:lang w:val="lt-LT"/>
          <w14:ligatures w14:val="none"/>
        </w:rPr>
        <w:t>tendinitas</w:t>
      </w:r>
      <w:proofErr w:type="spellEnd"/>
      <w:r w:rsidRPr="002E3D7D">
        <w:rPr>
          <w:rFonts w:ascii="Times New Roman" w:hAnsi="Times New Roman"/>
          <w:kern w:val="0"/>
          <w:sz w:val="22"/>
          <w:lang w:val="lt-LT"/>
          <w14:ligatures w14:val="none"/>
        </w:rPr>
        <w:t>).</w:t>
      </w:r>
    </w:p>
    <w:p w14:paraId="6FECF41B" w14:textId="77777777" w:rsidR="00342445" w:rsidRPr="002E3D7D" w:rsidRDefault="00342445" w:rsidP="00342445">
      <w:pPr>
        <w:tabs>
          <w:tab w:val="left" w:pos="567"/>
          <w:tab w:val="left" w:pos="5400"/>
          <w:tab w:val="left" w:pos="6660"/>
        </w:tabs>
        <w:spacing w:after="0" w:line="240" w:lineRule="auto"/>
        <w:ind w:left="567" w:hanging="567"/>
        <w:rPr>
          <w:rFonts w:ascii="Times New Roman" w:hAnsi="Times New Roman"/>
          <w:kern w:val="0"/>
          <w:sz w:val="22"/>
          <w:lang w:val="lt-LT"/>
          <w14:ligatures w14:val="none"/>
        </w:rPr>
      </w:pPr>
      <w:r w:rsidRPr="002E3D7D">
        <w:rPr>
          <w:rFonts w:ascii="Times New Roman" w:hAnsi="Times New Roman"/>
          <w:kern w:val="0"/>
          <w:sz w:val="22"/>
          <w:lang w:val="lt-LT"/>
          <w14:ligatures w14:val="none"/>
        </w:rPr>
        <w:tab/>
        <w:t xml:space="preserve">Kaip ir vartojant kitus antibiotikus, ilgą laiką vartojant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gali atsirasti kitų infekcijų.</w:t>
      </w:r>
    </w:p>
    <w:p w14:paraId="705DA1C6" w14:textId="77777777" w:rsidR="00342445" w:rsidRPr="002E3D7D" w:rsidRDefault="00342445" w:rsidP="00342445">
      <w:pPr>
        <w:tabs>
          <w:tab w:val="left" w:pos="5400"/>
        </w:tabs>
        <w:spacing w:after="0" w:line="240" w:lineRule="auto"/>
        <w:rPr>
          <w:rFonts w:ascii="Times New Roman" w:hAnsi="Times New Roman"/>
          <w:b/>
          <w:kern w:val="0"/>
          <w:sz w:val="22"/>
          <w:lang w:val="lt-LT"/>
          <w14:ligatures w14:val="none"/>
        </w:rPr>
      </w:pPr>
    </w:p>
    <w:p w14:paraId="53140D68" w14:textId="77777777" w:rsidR="00342445" w:rsidRPr="002E3D7D" w:rsidRDefault="00342445" w:rsidP="00342445">
      <w:pPr>
        <w:numPr>
          <w:ilvl w:val="12"/>
          <w:numId w:val="0"/>
        </w:numPr>
        <w:spacing w:after="0" w:line="240" w:lineRule="auto"/>
        <w:ind w:right="-2"/>
        <w:rPr>
          <w:rFonts w:ascii="Times New Roman" w:hAnsi="Times New Roman"/>
          <w:kern w:val="0"/>
          <w:sz w:val="22"/>
          <w:lang w:val="lt-LT"/>
          <w14:ligatures w14:val="none"/>
        </w:rPr>
      </w:pPr>
      <w:r w:rsidRPr="002E3D7D">
        <w:rPr>
          <w:rFonts w:ascii="Times New Roman" w:hAnsi="Times New Roman"/>
          <w:b/>
          <w:kern w:val="0"/>
          <w:sz w:val="22"/>
          <w:lang w:val="lt-LT"/>
          <w14:ligatures w14:val="none"/>
        </w:rPr>
        <w:lastRenderedPageBreak/>
        <w:t xml:space="preserve">Kiti vaistai ir </w:t>
      </w:r>
      <w:proofErr w:type="spellStart"/>
      <w:r w:rsidRPr="002E3D7D">
        <w:rPr>
          <w:rFonts w:ascii="Times New Roman" w:hAnsi="Times New Roman"/>
          <w:b/>
          <w:kern w:val="0"/>
          <w:sz w:val="22"/>
          <w:lang w:val="lt-LT"/>
          <w14:ligatures w14:val="none"/>
        </w:rPr>
        <w:t>Vigamox</w:t>
      </w:r>
      <w:proofErr w:type="spellEnd"/>
    </w:p>
    <w:p w14:paraId="43533EF3" w14:textId="77777777" w:rsidR="00342445" w:rsidRPr="002E3D7D" w:rsidRDefault="00342445" w:rsidP="00342445">
      <w:pPr>
        <w:numPr>
          <w:ilvl w:val="12"/>
          <w:numId w:val="0"/>
        </w:numPr>
        <w:spacing w:after="0" w:line="240" w:lineRule="auto"/>
        <w:ind w:right="-2"/>
        <w:rPr>
          <w:rFonts w:ascii="Times New Roman" w:hAnsi="Times New Roman"/>
          <w:b/>
          <w:kern w:val="0"/>
          <w:sz w:val="22"/>
          <w:lang w:val="lt-LT"/>
          <w14:ligatures w14:val="none"/>
        </w:rPr>
      </w:pPr>
      <w:r w:rsidRPr="002E3D7D">
        <w:rPr>
          <w:rFonts w:ascii="Times New Roman" w:hAnsi="Times New Roman"/>
          <w:kern w:val="0"/>
          <w:sz w:val="22"/>
          <w:lang w:val="lt-LT"/>
          <w14:ligatures w14:val="none"/>
        </w:rPr>
        <w:t>Jeigu vartojate ar neseniai vartojote kitų vaistų arba dėl to nesate tikri, apie tai pasakykite gydytojui arba vaistininkui.</w:t>
      </w:r>
    </w:p>
    <w:p w14:paraId="6BA2C6E4" w14:textId="77777777" w:rsidR="00342445" w:rsidRPr="002E3D7D" w:rsidRDefault="00342445" w:rsidP="00342445">
      <w:pPr>
        <w:tabs>
          <w:tab w:val="left" w:pos="900"/>
          <w:tab w:val="left" w:pos="5400"/>
          <w:tab w:val="left" w:pos="6660"/>
        </w:tabs>
        <w:spacing w:after="0" w:line="240" w:lineRule="auto"/>
        <w:rPr>
          <w:rFonts w:ascii="Times New Roman" w:hAnsi="Times New Roman"/>
          <w:b/>
          <w:kern w:val="0"/>
          <w:sz w:val="22"/>
          <w:lang w:val="lt-LT"/>
          <w14:ligatures w14:val="none"/>
        </w:rPr>
      </w:pPr>
    </w:p>
    <w:p w14:paraId="5EB51821" w14:textId="77777777" w:rsidR="00342445" w:rsidRPr="002E3D7D" w:rsidRDefault="00342445" w:rsidP="00342445">
      <w:pPr>
        <w:tabs>
          <w:tab w:val="left" w:pos="900"/>
          <w:tab w:val="left" w:pos="5400"/>
          <w:tab w:val="left" w:pos="6660"/>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Nėštumas, žindymo laikotarpis ir vaisingumas</w:t>
      </w:r>
    </w:p>
    <w:p w14:paraId="646B9B34" w14:textId="77777777" w:rsidR="00342445" w:rsidRPr="002E3D7D" w:rsidRDefault="00342445" w:rsidP="00342445">
      <w:pPr>
        <w:tabs>
          <w:tab w:val="left" w:pos="900"/>
          <w:tab w:val="left" w:pos="5400"/>
          <w:tab w:val="left" w:pos="6660"/>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Jeigu esate nėščia, žindote kūdikį, manote, kad galbūt esate nėščia arba planuojate pastoti, tai prieš vartodama šį vaistą, pasitarkite su gydytoju arba vaistininku.</w:t>
      </w:r>
    </w:p>
    <w:p w14:paraId="0F2E0557" w14:textId="77777777" w:rsidR="00342445" w:rsidRPr="002E3D7D" w:rsidRDefault="00342445" w:rsidP="00342445">
      <w:pPr>
        <w:tabs>
          <w:tab w:val="left" w:pos="900"/>
          <w:tab w:val="left" w:pos="5400"/>
          <w:tab w:val="left" w:pos="6660"/>
        </w:tabs>
        <w:spacing w:after="0" w:line="240" w:lineRule="auto"/>
        <w:rPr>
          <w:rFonts w:ascii="Times New Roman" w:hAnsi="Times New Roman"/>
          <w:kern w:val="0"/>
          <w:sz w:val="22"/>
          <w:lang w:val="lt-LT"/>
          <w14:ligatures w14:val="none"/>
        </w:rPr>
      </w:pPr>
    </w:p>
    <w:p w14:paraId="738FA036" w14:textId="77777777" w:rsidR="00342445" w:rsidRPr="002E3D7D" w:rsidRDefault="00342445" w:rsidP="00342445">
      <w:pPr>
        <w:tabs>
          <w:tab w:val="left" w:pos="900"/>
          <w:tab w:val="left" w:pos="5400"/>
          <w:tab w:val="left" w:pos="6660"/>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Vairavimas ir mechanizmų valdymas</w:t>
      </w:r>
    </w:p>
    <w:p w14:paraId="68022E00"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Trumpą laiką po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susilašinimo regėjimas gali būti neryškus. Nevairuokite ir nevaldykite mechanizmų, kol šis poveikis praeis.</w:t>
      </w:r>
    </w:p>
    <w:p w14:paraId="36ABB5E7"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746E3B14"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43DD5824"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3.</w:t>
      </w:r>
      <w:r w:rsidRPr="002E3D7D">
        <w:rPr>
          <w:rFonts w:ascii="Times New Roman" w:hAnsi="Times New Roman"/>
          <w:b/>
          <w:kern w:val="0"/>
          <w:sz w:val="22"/>
          <w:lang w:val="lt-LT"/>
          <w14:ligatures w14:val="none"/>
        </w:rPr>
        <w:tab/>
        <w:t xml:space="preserve">Kaip vartoti </w:t>
      </w:r>
      <w:proofErr w:type="spellStart"/>
      <w:r w:rsidRPr="002E3D7D">
        <w:rPr>
          <w:rFonts w:ascii="Times New Roman" w:hAnsi="Times New Roman"/>
          <w:b/>
          <w:kern w:val="0"/>
          <w:sz w:val="22"/>
          <w:lang w:val="lt-LT"/>
          <w14:ligatures w14:val="none"/>
        </w:rPr>
        <w:t>Vigamox</w:t>
      </w:r>
      <w:proofErr w:type="spellEnd"/>
    </w:p>
    <w:p w14:paraId="1D8B29E2"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7ED27D8B"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Visada vartokite šį vaistą tiksliai, kaip nurodė gydytojas arba vaistininkas. Jeigu abejojate, kreipkitės į gydytoją arba vaistininką.</w:t>
      </w:r>
    </w:p>
    <w:p w14:paraId="6C273168"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369F62FC"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Rekomenduojama dozė yra:</w:t>
      </w:r>
    </w:p>
    <w:p w14:paraId="1BA52F4C"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p>
    <w:p w14:paraId="2B14309B"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Suaugusieji, įskaitant senyvo amžiaus pacientus ir vaikus:</w:t>
      </w:r>
      <w:r w:rsidRPr="002E3D7D">
        <w:rPr>
          <w:rFonts w:ascii="Times New Roman" w:hAnsi="Times New Roman"/>
          <w:kern w:val="0"/>
          <w:sz w:val="22"/>
          <w:lang w:val="lt-LT"/>
          <w14:ligatures w14:val="none"/>
        </w:rPr>
        <w:t xml:space="preserve"> vartoti po </w:t>
      </w:r>
      <w:r w:rsidRPr="002E3D7D">
        <w:rPr>
          <w:rFonts w:ascii="Times New Roman" w:hAnsi="Times New Roman"/>
          <w:b/>
          <w:kern w:val="0"/>
          <w:sz w:val="22"/>
          <w:lang w:val="lt-LT"/>
          <w14:ligatures w14:val="none"/>
        </w:rPr>
        <w:t>vieną lašą</w:t>
      </w:r>
      <w:r w:rsidRPr="002E3D7D">
        <w:rPr>
          <w:rFonts w:ascii="Times New Roman" w:hAnsi="Times New Roman"/>
          <w:kern w:val="0"/>
          <w:sz w:val="22"/>
          <w:lang w:val="lt-LT"/>
          <w14:ligatures w14:val="none"/>
        </w:rPr>
        <w:t xml:space="preserve"> į pažeistą akį ar pažeistas akis </w:t>
      </w:r>
      <w:r w:rsidRPr="002E3D7D">
        <w:rPr>
          <w:rFonts w:ascii="Times New Roman" w:hAnsi="Times New Roman"/>
          <w:b/>
          <w:kern w:val="0"/>
          <w:sz w:val="22"/>
          <w:lang w:val="lt-LT"/>
          <w14:ligatures w14:val="none"/>
        </w:rPr>
        <w:t>3 kartus per parą</w:t>
      </w:r>
      <w:r w:rsidRPr="002E3D7D">
        <w:rPr>
          <w:rFonts w:ascii="Times New Roman" w:hAnsi="Times New Roman"/>
          <w:kern w:val="0"/>
          <w:sz w:val="22"/>
          <w:lang w:val="lt-LT"/>
          <w14:ligatures w14:val="none"/>
        </w:rPr>
        <w:t xml:space="preserve"> (ryte, vidudienį ir vakare).</w:t>
      </w:r>
    </w:p>
    <w:p w14:paraId="4099746A"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5A13D2A2"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tinka vartoti vaikams, vyresniems kaip 65 metų pacientams ir inkstų ar kepenų sutrikimų turintiems pacientams. Tačiau yra labai mažai informacijos apie šio vaisto vartojimą naujagimiams, todėl naujagimiams jo vartoti nerekomenduojama.</w:t>
      </w:r>
    </w:p>
    <w:p w14:paraId="45847FAC"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0722B5C4"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Vaistą į abi akis lašinkite tik jei taip nurodė gydytojas.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galima lašinti </w:t>
      </w:r>
      <w:r w:rsidRPr="002E3D7D">
        <w:rPr>
          <w:rFonts w:ascii="Times New Roman" w:hAnsi="Times New Roman"/>
          <w:b/>
          <w:kern w:val="0"/>
          <w:sz w:val="22"/>
          <w:lang w:val="lt-LT"/>
          <w14:ligatures w14:val="none"/>
        </w:rPr>
        <w:t>tik</w:t>
      </w:r>
      <w:r w:rsidRPr="002E3D7D">
        <w:rPr>
          <w:rFonts w:ascii="Times New Roman" w:hAnsi="Times New Roman"/>
          <w:kern w:val="0"/>
          <w:sz w:val="22"/>
          <w:lang w:val="lt-LT"/>
          <w14:ligatures w14:val="none"/>
        </w:rPr>
        <w:t xml:space="preserve"> į akis.</w:t>
      </w:r>
    </w:p>
    <w:p w14:paraId="59A3D03B"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7C7851D4"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Infekcija dažniausiai sumažėja per 5 paras. Jei būklė nepagerėja, kreipkitės į gydytoją. Vaisto lašinkite dar 2–3 paras arba gydytojo nurodytą laikotarpį.</w:t>
      </w:r>
    </w:p>
    <w:p w14:paraId="2EE82F86" w14:textId="77777777" w:rsidR="00342445" w:rsidRPr="002E3D7D" w:rsidRDefault="00342445" w:rsidP="00342445">
      <w:pPr>
        <w:tabs>
          <w:tab w:val="left" w:pos="567"/>
          <w:tab w:val="left" w:pos="1134"/>
          <w:tab w:val="left" w:pos="1560"/>
          <w:tab w:val="left" w:pos="3544"/>
          <w:tab w:val="left" w:pos="5387"/>
          <w:tab w:val="left" w:pos="6096"/>
          <w:tab w:val="left" w:pos="8364"/>
        </w:tabs>
        <w:spacing w:after="0" w:line="240" w:lineRule="auto"/>
        <w:ind w:firstLine="720"/>
        <w:rPr>
          <w:rFonts w:ascii="Times New Roman" w:hAnsi="Times New Roman"/>
          <w:kern w:val="0"/>
          <w:sz w:val="22"/>
          <w:lang w:val="lt-LT"/>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tblGrid>
      <w:tr w:rsidR="00342445" w14:paraId="01830197" w14:textId="77777777" w:rsidTr="009B63E6">
        <w:tc>
          <w:tcPr>
            <w:tcW w:w="2263" w:type="dxa"/>
          </w:tcPr>
          <w:p w14:paraId="1C73E4C0" w14:textId="77777777" w:rsidR="00342445" w:rsidRDefault="00342445" w:rsidP="009B63E6">
            <w:pPr>
              <w:tabs>
                <w:tab w:val="left" w:pos="567"/>
              </w:tabs>
              <w:rPr>
                <w:sz w:val="22"/>
              </w:rPr>
            </w:pPr>
            <w:r>
              <w:rPr>
                <w:noProof/>
                <w:sz w:val="22"/>
              </w:rPr>
              <w:drawing>
                <wp:inline distT="0" distB="0" distL="0" distR="0" wp14:anchorId="709DC112" wp14:editId="6F04BD9B">
                  <wp:extent cx="1268095" cy="1183005"/>
                  <wp:effectExtent l="0" t="0" r="8255" b="0"/>
                  <wp:docPr id="1181085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8095" cy="1183005"/>
                          </a:xfrm>
                          <a:prstGeom prst="rect">
                            <a:avLst/>
                          </a:prstGeom>
                          <a:noFill/>
                        </pic:spPr>
                      </pic:pic>
                    </a:graphicData>
                  </a:graphic>
                </wp:inline>
              </w:drawing>
            </w:r>
          </w:p>
        </w:tc>
        <w:tc>
          <w:tcPr>
            <w:tcW w:w="2410" w:type="dxa"/>
          </w:tcPr>
          <w:p w14:paraId="251B4EA7" w14:textId="77777777" w:rsidR="00342445" w:rsidRDefault="00342445" w:rsidP="009B63E6">
            <w:pPr>
              <w:tabs>
                <w:tab w:val="left" w:pos="567"/>
              </w:tabs>
              <w:rPr>
                <w:sz w:val="22"/>
              </w:rPr>
            </w:pPr>
            <w:r w:rsidRPr="001C11FA">
              <w:rPr>
                <w:rFonts w:eastAsia="SimSun"/>
                <w:noProof/>
                <w:sz w:val="22"/>
                <w:szCs w:val="22"/>
              </w:rPr>
              <w:drawing>
                <wp:inline distT="0" distB="0" distL="0" distR="0" wp14:anchorId="23EADD12" wp14:editId="042FB576">
                  <wp:extent cx="1323975" cy="1206526"/>
                  <wp:effectExtent l="0" t="0" r="0" b="0"/>
                  <wp:docPr id="1025194030" name="Picture 1025194030" descr="A hand hold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dropp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5826" cy="1208213"/>
                          </a:xfrm>
                          <a:prstGeom prst="rect">
                            <a:avLst/>
                          </a:prstGeom>
                          <a:noFill/>
                          <a:ln>
                            <a:noFill/>
                          </a:ln>
                        </pic:spPr>
                      </pic:pic>
                    </a:graphicData>
                  </a:graphic>
                </wp:inline>
              </w:drawing>
            </w:r>
          </w:p>
        </w:tc>
        <w:tc>
          <w:tcPr>
            <w:tcW w:w="1843" w:type="dxa"/>
          </w:tcPr>
          <w:p w14:paraId="23A51949" w14:textId="77777777" w:rsidR="00342445" w:rsidRDefault="00342445" w:rsidP="009B63E6">
            <w:pPr>
              <w:tabs>
                <w:tab w:val="left" w:pos="567"/>
              </w:tabs>
              <w:rPr>
                <w:rFonts w:eastAsia="SimSun"/>
                <w:noProof/>
                <w:sz w:val="22"/>
                <w:szCs w:val="22"/>
              </w:rPr>
            </w:pPr>
          </w:p>
          <w:p w14:paraId="0FC7DD57" w14:textId="77777777" w:rsidR="00342445" w:rsidRDefault="00342445" w:rsidP="009B63E6">
            <w:pPr>
              <w:tabs>
                <w:tab w:val="left" w:pos="567"/>
              </w:tabs>
              <w:rPr>
                <w:sz w:val="22"/>
              </w:rPr>
            </w:pPr>
            <w:r w:rsidRPr="001C11FA">
              <w:rPr>
                <w:rFonts w:eastAsia="SimSun"/>
                <w:noProof/>
                <w:sz w:val="22"/>
                <w:szCs w:val="22"/>
              </w:rPr>
              <w:drawing>
                <wp:inline distT="0" distB="0" distL="0" distR="0" wp14:anchorId="35513301" wp14:editId="071E7D9E">
                  <wp:extent cx="929148" cy="1028700"/>
                  <wp:effectExtent l="0" t="0" r="4445" b="0"/>
                  <wp:docPr id="1073450654"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up of a person's fac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8044" cy="1038550"/>
                          </a:xfrm>
                          <a:prstGeom prst="rect">
                            <a:avLst/>
                          </a:prstGeom>
                          <a:noFill/>
                          <a:ln>
                            <a:noFill/>
                          </a:ln>
                        </pic:spPr>
                      </pic:pic>
                    </a:graphicData>
                  </a:graphic>
                </wp:inline>
              </w:drawing>
            </w:r>
          </w:p>
        </w:tc>
      </w:tr>
      <w:tr w:rsidR="00342445" w14:paraId="4CE57AD0" w14:textId="77777777" w:rsidTr="009B63E6">
        <w:tc>
          <w:tcPr>
            <w:tcW w:w="2263" w:type="dxa"/>
          </w:tcPr>
          <w:p w14:paraId="19E0AD10" w14:textId="77777777" w:rsidR="00342445" w:rsidRDefault="00342445" w:rsidP="009B63E6">
            <w:pPr>
              <w:tabs>
                <w:tab w:val="left" w:pos="567"/>
              </w:tabs>
              <w:jc w:val="center"/>
              <w:rPr>
                <w:sz w:val="22"/>
              </w:rPr>
            </w:pPr>
            <w:r>
              <w:rPr>
                <w:sz w:val="22"/>
              </w:rPr>
              <w:t>1</w:t>
            </w:r>
          </w:p>
        </w:tc>
        <w:tc>
          <w:tcPr>
            <w:tcW w:w="2410" w:type="dxa"/>
          </w:tcPr>
          <w:p w14:paraId="5B5C02EC" w14:textId="77777777" w:rsidR="00342445" w:rsidRDefault="00342445" w:rsidP="009B63E6">
            <w:pPr>
              <w:tabs>
                <w:tab w:val="left" w:pos="567"/>
              </w:tabs>
              <w:jc w:val="center"/>
              <w:rPr>
                <w:sz w:val="22"/>
              </w:rPr>
            </w:pPr>
            <w:r>
              <w:rPr>
                <w:sz w:val="22"/>
              </w:rPr>
              <w:t>2</w:t>
            </w:r>
          </w:p>
        </w:tc>
        <w:tc>
          <w:tcPr>
            <w:tcW w:w="1843" w:type="dxa"/>
          </w:tcPr>
          <w:p w14:paraId="73E90158" w14:textId="77777777" w:rsidR="00342445" w:rsidRDefault="00342445" w:rsidP="009B63E6">
            <w:pPr>
              <w:tabs>
                <w:tab w:val="left" w:pos="567"/>
              </w:tabs>
              <w:jc w:val="center"/>
              <w:rPr>
                <w:sz w:val="22"/>
              </w:rPr>
            </w:pPr>
            <w:r>
              <w:rPr>
                <w:sz w:val="22"/>
              </w:rPr>
              <w:t>3</w:t>
            </w:r>
          </w:p>
        </w:tc>
      </w:tr>
    </w:tbl>
    <w:p w14:paraId="1AA5627E"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55C048F3"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Paimkite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buteliuką ir atsistokite priešais veidrodį.</w:t>
      </w:r>
    </w:p>
    <w:p w14:paraId="4CBB6F90"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Nusiplaukite rankas</w:t>
      </w:r>
      <w:r w:rsidRPr="002E3D7D">
        <w:rPr>
          <w:rFonts w:ascii="Times New Roman" w:hAnsi="Times New Roman"/>
          <w:kern w:val="0"/>
          <w:sz w:val="22"/>
          <w:lang w:val="lt-LT"/>
          <w14:ligatures w14:val="none"/>
        </w:rPr>
        <w:t>.</w:t>
      </w:r>
    </w:p>
    <w:p w14:paraId="4DB3C69F"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Atsukite dangtelį.</w:t>
      </w:r>
    </w:p>
    <w:p w14:paraId="04D79D67"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Jei nuėmus dangtelį pirmąjį atidarymą rodantis nulaužiamas žiedas yra laisvas, jį prieš vaisto vartojimą reikia nuimti.</w:t>
      </w:r>
    </w:p>
    <w:p w14:paraId="5EBE3183"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Laikykite žemyn nukreiptą buteliuką tarp nykščio ir kitų pirštų.</w:t>
      </w:r>
    </w:p>
    <w:p w14:paraId="417E582A"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Atloškite galvą. Švariu pirštu atitraukite voką taip, kad tarp jo ir akies susidarytų „griovelis“. Į jį pateks lašas (</w:t>
      </w:r>
      <w:r w:rsidRPr="002E3D7D">
        <w:rPr>
          <w:rFonts w:ascii="Times New Roman" w:hAnsi="Times New Roman"/>
          <w:b/>
          <w:kern w:val="0"/>
          <w:sz w:val="22"/>
          <w:lang w:val="lt-LT"/>
          <w14:ligatures w14:val="none"/>
        </w:rPr>
        <w:t>1 paveikslas</w:t>
      </w:r>
      <w:r w:rsidRPr="002E3D7D">
        <w:rPr>
          <w:rFonts w:ascii="Times New Roman" w:hAnsi="Times New Roman"/>
          <w:kern w:val="0"/>
          <w:sz w:val="22"/>
          <w:lang w:val="lt-LT"/>
          <w14:ligatures w14:val="none"/>
        </w:rPr>
        <w:t>).</w:t>
      </w:r>
    </w:p>
    <w:p w14:paraId="27091A7A"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Priartinkite buteliuko antgalį prie akies. Galima naudotis veidrodžiu, jei jis padeda.</w:t>
      </w:r>
    </w:p>
    <w:p w14:paraId="23497E48"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lastRenderedPageBreak/>
        <w:t>Nelieskite antgaliu akies, voko, odos aplinkui akį ir kitų paviršių.</w:t>
      </w:r>
      <w:r w:rsidRPr="002E3D7D">
        <w:rPr>
          <w:rFonts w:ascii="Times New Roman" w:hAnsi="Times New Roman"/>
          <w:kern w:val="0"/>
          <w:sz w:val="22"/>
          <w:lang w:val="lt-LT"/>
          <w14:ligatures w14:val="none"/>
        </w:rPr>
        <w:t xml:space="preserve"> Nuo jų į lašus gali patekti infekcija.</w:t>
      </w:r>
    </w:p>
    <w:p w14:paraId="557E6054"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Švelniai spausdami buteliuko </w:t>
      </w:r>
      <w:r w:rsidRPr="002E3D7D">
        <w:rPr>
          <w:rFonts w:ascii="Times New Roman" w:hAnsi="Times New Roman"/>
          <w:kern w:val="0"/>
          <w:sz w:val="22"/>
          <w:u w:val="single"/>
          <w:lang w:val="lt-LT"/>
          <w14:ligatures w14:val="none"/>
        </w:rPr>
        <w:t>dugną</w:t>
      </w:r>
      <w:r w:rsidRPr="002E3D7D">
        <w:rPr>
          <w:rFonts w:ascii="Times New Roman" w:hAnsi="Times New Roman"/>
          <w:kern w:val="0"/>
          <w:sz w:val="22"/>
          <w:lang w:val="lt-LT"/>
          <w14:ligatures w14:val="none"/>
        </w:rPr>
        <w:t xml:space="preserve">, išlašinkite vieną vaisto lašą </w:t>
      </w:r>
      <w:r w:rsidRPr="002E3D7D">
        <w:rPr>
          <w:rFonts w:ascii="Times New Roman" w:hAnsi="Times New Roman"/>
          <w:b/>
          <w:kern w:val="0"/>
          <w:sz w:val="22"/>
          <w:lang w:val="lt-LT"/>
          <w14:ligatures w14:val="none"/>
        </w:rPr>
        <w:t>(2 paveikslas)</w:t>
      </w:r>
      <w:r w:rsidRPr="002E3D7D">
        <w:rPr>
          <w:rFonts w:ascii="Times New Roman" w:hAnsi="Times New Roman"/>
          <w:kern w:val="0"/>
          <w:sz w:val="22"/>
          <w:lang w:val="lt-LT"/>
          <w14:ligatures w14:val="none"/>
        </w:rPr>
        <w:t>.</w:t>
      </w:r>
    </w:p>
    <w:p w14:paraId="6C425DFD"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Sulašinę</w:t>
      </w:r>
      <w:r w:rsidRPr="002E3D7D">
        <w:rPr>
          <w:rFonts w:ascii="Times New Roman" w:hAnsi="Times New Roman"/>
          <w:b/>
          <w:kern w:val="0"/>
          <w:sz w:val="22"/>
          <w:lang w:val="lt-LT"/>
          <w14:ligatures w14:val="none"/>
        </w:rPr>
        <w:t xml:space="preserve">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 xml:space="preserve">akies kampą prie nosies prispauskite pirštu ir palaikykite 2–3 minutes </w:t>
      </w:r>
      <w:r w:rsidRPr="002E3D7D">
        <w:rPr>
          <w:rFonts w:ascii="Times New Roman" w:hAnsi="Times New Roman"/>
          <w:b/>
          <w:kern w:val="0"/>
          <w:sz w:val="22"/>
          <w:lang w:val="lt-LT"/>
          <w14:ligatures w14:val="none"/>
        </w:rPr>
        <w:t>(3 paveikslas)</w:t>
      </w:r>
      <w:r w:rsidRPr="002E3D7D">
        <w:rPr>
          <w:rFonts w:ascii="Times New Roman" w:hAnsi="Times New Roman"/>
          <w:kern w:val="0"/>
          <w:sz w:val="22"/>
          <w:lang w:val="lt-LT"/>
          <w14:ligatures w14:val="none"/>
        </w:rPr>
        <w:t>. Tai padeda išvengti vaisto patekimo į kitas organizmo dalis ir yra svarbu, vaisto duodant mažiems vaikams.</w:t>
      </w:r>
    </w:p>
    <w:p w14:paraId="491CAD31"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Jei turite lašinti į abi akis, </w:t>
      </w:r>
      <w:r w:rsidRPr="002E3D7D">
        <w:rPr>
          <w:rFonts w:ascii="Times New Roman" w:hAnsi="Times New Roman"/>
          <w:b/>
          <w:kern w:val="0"/>
          <w:sz w:val="22"/>
          <w:lang w:val="lt-LT"/>
          <w14:ligatures w14:val="none"/>
        </w:rPr>
        <w:t>prieš kartodami tą pačią procedūrą su kita akimi nusiplaukite rankas.</w:t>
      </w:r>
      <w:r w:rsidRPr="002E3D7D">
        <w:rPr>
          <w:rFonts w:ascii="Times New Roman" w:hAnsi="Times New Roman"/>
          <w:kern w:val="0"/>
          <w:sz w:val="22"/>
          <w:lang w:val="lt-LT"/>
          <w14:ligatures w14:val="none"/>
        </w:rPr>
        <w:t xml:space="preserve"> Taip infekcija negalės patekti iš vienos akies į kitą.</w:t>
      </w:r>
    </w:p>
    <w:p w14:paraId="6C2D1B6C" w14:textId="77777777" w:rsidR="00342445" w:rsidRPr="002E3D7D" w:rsidRDefault="00342445" w:rsidP="00342445">
      <w:pPr>
        <w:numPr>
          <w:ilvl w:val="0"/>
          <w:numId w:val="3"/>
        </w:num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Po naudojimo iš karto sandariai uždarykite buteliuką dangteliu.</w:t>
      </w:r>
    </w:p>
    <w:p w14:paraId="1981EA49"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2805A34D"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Jei lašas nepateko į akį</w:t>
      </w:r>
      <w:r w:rsidRPr="002E3D7D">
        <w:rPr>
          <w:rFonts w:ascii="Times New Roman" w:hAnsi="Times New Roman"/>
          <w:kern w:val="0"/>
          <w:sz w:val="22"/>
          <w:lang w:val="lt-LT"/>
          <w14:ligatures w14:val="none"/>
        </w:rPr>
        <w:t>, pabandykite dar kartą.</w:t>
      </w:r>
    </w:p>
    <w:p w14:paraId="7B567DF6"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402B4106"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Jeigu pavartojote per didelę</w:t>
      </w:r>
      <w:r w:rsidRPr="002E3D7D">
        <w:rPr>
          <w:rFonts w:ascii="Times New Roman" w:hAnsi="Times New Roman"/>
          <w:kern w:val="0"/>
          <w:sz w:val="22"/>
          <w:lang w:val="lt-LT"/>
          <w14:ligatures w14:val="none"/>
        </w:rPr>
        <w:t xml:space="preserve"> vaisto </w:t>
      </w:r>
      <w:r w:rsidRPr="002E3D7D">
        <w:rPr>
          <w:rFonts w:ascii="Times New Roman" w:hAnsi="Times New Roman"/>
          <w:b/>
          <w:kern w:val="0"/>
          <w:sz w:val="22"/>
          <w:lang w:val="lt-LT"/>
          <w14:ligatures w14:val="none"/>
        </w:rPr>
        <w:t>dozę</w:t>
      </w:r>
      <w:r w:rsidRPr="002E3D7D">
        <w:rPr>
          <w:rFonts w:ascii="Times New Roman" w:hAnsi="Times New Roman"/>
          <w:kern w:val="0"/>
          <w:sz w:val="22"/>
          <w:lang w:val="lt-LT"/>
          <w14:ligatures w14:val="none"/>
        </w:rPr>
        <w:t>, išskalaukite akį šiltu vandeniu. Nelašinkite daugiau iki kito įprastinio lašinimo laiko.</w:t>
      </w:r>
    </w:p>
    <w:p w14:paraId="566A6A5B"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4B7F0378"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Jei netyčia nurijote </w:t>
      </w: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kern w:val="0"/>
          <w:sz w:val="22"/>
          <w:lang w:val="lt-LT"/>
          <w14:ligatures w14:val="none"/>
        </w:rPr>
        <w:t xml:space="preserve">, kreipkitės į gydytoją arba vaistininką. </w:t>
      </w:r>
    </w:p>
    <w:p w14:paraId="62B4E756"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p>
    <w:p w14:paraId="511BB8CA" w14:textId="77777777" w:rsidR="00342445" w:rsidRPr="002E3D7D" w:rsidRDefault="00342445" w:rsidP="00342445">
      <w:pPr>
        <w:tabs>
          <w:tab w:val="left" w:pos="567"/>
          <w:tab w:val="left" w:pos="6663"/>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Pamiršus susilašinti</w:t>
      </w:r>
      <w:r w:rsidRPr="002E3D7D">
        <w:rPr>
          <w:rFonts w:ascii="Times New Roman" w:hAnsi="Times New Roman"/>
          <w:kern w:val="0"/>
          <w:sz w:val="22"/>
          <w:lang w:val="lt-LT"/>
          <w14:ligatures w14:val="none"/>
        </w:rPr>
        <w:t xml:space="preserve"> vaisto, susilašinkite kitą dozę kaip suplanuota. </w:t>
      </w:r>
      <w:r w:rsidRPr="002E3D7D">
        <w:rPr>
          <w:rFonts w:ascii="Times New Roman" w:hAnsi="Times New Roman"/>
          <w:b/>
          <w:kern w:val="0"/>
          <w:sz w:val="22"/>
          <w:lang w:val="lt-LT"/>
          <w14:ligatures w14:val="none"/>
        </w:rPr>
        <w:t>Negalima vartoti</w:t>
      </w:r>
      <w:r w:rsidRPr="002E3D7D">
        <w:rPr>
          <w:rFonts w:ascii="Times New Roman" w:hAnsi="Times New Roman"/>
          <w:kern w:val="0"/>
          <w:sz w:val="22"/>
          <w:lang w:val="lt-LT"/>
          <w14:ligatures w14:val="none"/>
        </w:rPr>
        <w:t xml:space="preserve"> dvigubos dozės norint kompensuoti praleistą dozę. </w:t>
      </w:r>
    </w:p>
    <w:p w14:paraId="2F8D0276" w14:textId="77777777" w:rsidR="00342445" w:rsidRPr="002E3D7D" w:rsidRDefault="00342445" w:rsidP="00342445">
      <w:pPr>
        <w:tabs>
          <w:tab w:val="left" w:pos="567"/>
          <w:tab w:val="left" w:pos="6663"/>
        </w:tabs>
        <w:spacing w:after="0" w:line="240" w:lineRule="auto"/>
        <w:rPr>
          <w:rFonts w:ascii="Times New Roman" w:hAnsi="Times New Roman"/>
          <w:kern w:val="0"/>
          <w:sz w:val="22"/>
          <w:lang w:val="lt-LT"/>
          <w14:ligatures w14:val="none"/>
        </w:rPr>
      </w:pPr>
    </w:p>
    <w:p w14:paraId="4FA443FB" w14:textId="77777777" w:rsidR="00342445" w:rsidRPr="002E3D7D" w:rsidRDefault="00342445" w:rsidP="00342445">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Jei lašinatės ir kitus akių lašus</w:t>
      </w:r>
      <w:r w:rsidRPr="002E3D7D">
        <w:rPr>
          <w:rFonts w:ascii="Times New Roman" w:hAnsi="Times New Roman"/>
          <w:kern w:val="0"/>
          <w:sz w:val="22"/>
          <w:lang w:val="lt-LT"/>
          <w14:ligatures w14:val="none"/>
        </w:rPr>
        <w:t xml:space="preserve">, tarp </w:t>
      </w:r>
      <w:proofErr w:type="spellStart"/>
      <w:r w:rsidRPr="002E3D7D">
        <w:rPr>
          <w:rFonts w:ascii="Times New Roman" w:hAnsi="Times New Roman"/>
          <w:kern w:val="0"/>
          <w:sz w:val="22"/>
          <w:lang w:val="lt-LT"/>
          <w14:ligatures w14:val="none"/>
        </w:rPr>
        <w:t>Vigamox</w:t>
      </w:r>
      <w:proofErr w:type="spellEnd"/>
      <w:r w:rsidRPr="002E3D7D">
        <w:rPr>
          <w:rFonts w:ascii="Times New Roman" w:hAnsi="Times New Roman"/>
          <w:kern w:val="0"/>
          <w:sz w:val="22"/>
          <w:lang w:val="lt-LT"/>
          <w14:ligatures w14:val="none"/>
        </w:rPr>
        <w:t xml:space="preserve"> ir kitų lašų lašinimo turi praeiti ne mažiau kaip 5 minutės.</w:t>
      </w:r>
    </w:p>
    <w:p w14:paraId="6BD0C93A" w14:textId="77777777" w:rsidR="00342445" w:rsidRPr="002E3D7D" w:rsidRDefault="00342445" w:rsidP="00342445">
      <w:pPr>
        <w:tabs>
          <w:tab w:val="left" w:pos="567"/>
          <w:tab w:val="left" w:pos="6663"/>
        </w:tabs>
        <w:spacing w:after="0" w:line="240" w:lineRule="auto"/>
        <w:rPr>
          <w:rFonts w:ascii="Times New Roman" w:hAnsi="Times New Roman"/>
          <w:kern w:val="0"/>
          <w:sz w:val="22"/>
          <w:lang w:val="lt-LT"/>
          <w14:ligatures w14:val="none"/>
        </w:rPr>
      </w:pPr>
    </w:p>
    <w:p w14:paraId="43C49621"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Jeigu kiltų daugiau klausimų dėl šio vaisto vartojimo, kreipkitės į gydytoją arba vaistininką.</w:t>
      </w:r>
    </w:p>
    <w:p w14:paraId="67C044BB"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p>
    <w:p w14:paraId="5619A47B"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p>
    <w:p w14:paraId="30C7E7C3"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4.</w:t>
      </w:r>
      <w:r w:rsidRPr="002E3D7D">
        <w:rPr>
          <w:rFonts w:ascii="Times New Roman" w:hAnsi="Times New Roman"/>
          <w:b/>
          <w:kern w:val="0"/>
          <w:sz w:val="22"/>
          <w:lang w:val="lt-LT"/>
          <w14:ligatures w14:val="none"/>
        </w:rPr>
        <w:tab/>
        <w:t>Galimas šalutinis poveikis</w:t>
      </w:r>
    </w:p>
    <w:p w14:paraId="0012FEF5"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p>
    <w:p w14:paraId="73CBABAE"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Šis vaistas, kaip ir visi kiti, gali sukelti šalutinį poveikį, nors jie pasireiškia ne visiems žmonėms.</w:t>
      </w:r>
    </w:p>
    <w:p w14:paraId="678638A2"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2337813C" w14:textId="77777777" w:rsidR="00342445" w:rsidRPr="002E3D7D" w:rsidRDefault="00342445" w:rsidP="00342445">
      <w:pPr>
        <w:tabs>
          <w:tab w:val="left" w:pos="900"/>
          <w:tab w:val="left" w:pos="5400"/>
          <w:tab w:val="left" w:pos="6660"/>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Šiuos lašus dažniausiai galima ir toliau vartoti</w:t>
      </w:r>
      <w:r w:rsidRPr="002E3D7D">
        <w:rPr>
          <w:rFonts w:ascii="Times New Roman" w:hAnsi="Times New Roman"/>
          <w:kern w:val="0"/>
          <w:sz w:val="22"/>
          <w:lang w:val="lt-LT"/>
          <w14:ligatures w14:val="none"/>
        </w:rPr>
        <w:t>, jei poveikis nėra stiprus ir nepatiriate sunkios alerginės reakcijos.</w:t>
      </w:r>
    </w:p>
    <w:p w14:paraId="2365A13B" w14:textId="77777777" w:rsidR="00342445" w:rsidRPr="002E3D7D" w:rsidRDefault="00342445" w:rsidP="00342445">
      <w:pPr>
        <w:tabs>
          <w:tab w:val="left" w:pos="567"/>
          <w:tab w:val="left" w:pos="6663"/>
        </w:tabs>
        <w:spacing w:after="0" w:line="240" w:lineRule="auto"/>
        <w:rPr>
          <w:rFonts w:ascii="Times New Roman" w:hAnsi="Times New Roman"/>
          <w:b/>
          <w:kern w:val="0"/>
          <w:sz w:val="22"/>
          <w:lang w:val="lt-LT"/>
          <w14:ligatures w14:val="none"/>
        </w:rPr>
      </w:pPr>
    </w:p>
    <w:p w14:paraId="0CE72463" w14:textId="77777777" w:rsidR="00342445" w:rsidRPr="002E3D7D" w:rsidRDefault="00342445" w:rsidP="00342445">
      <w:pPr>
        <w:tabs>
          <w:tab w:val="left" w:pos="567"/>
          <w:tab w:val="left" w:pos="6663"/>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Jeigu pasireiškė sunki alerginė reakcija arba patiriate bet kurį iš toliau išvardytų reiškinių, nedelsdami nustokite vartoti </w:t>
      </w: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ir nedelsdami pasakykite gydytojui:</w:t>
      </w:r>
      <w:r w:rsidRPr="002E3D7D">
        <w:rPr>
          <w:rFonts w:ascii="Times New Roman" w:hAnsi="Times New Roman"/>
          <w:kern w:val="0"/>
          <w:sz w:val="22"/>
          <w:lang w:val="lt-LT"/>
          <w14:ligatures w14:val="none"/>
        </w:rPr>
        <w:t xml:space="preserve"> plaštakų, pėdų, kulkšnių, veido, lūpų, burnos ar gerklės patinimas, dėl kurio gali būti sunku ryti arba kvėpuoti, išbėrimas arba dilgėlinė, stambios, skysčio pripildytos pūslės, opos arba išopėjimas.</w:t>
      </w:r>
    </w:p>
    <w:p w14:paraId="1A6B962D" w14:textId="77777777" w:rsidR="00342445" w:rsidRPr="002E3D7D" w:rsidRDefault="00342445" w:rsidP="00342445">
      <w:pPr>
        <w:tabs>
          <w:tab w:val="left" w:pos="900"/>
          <w:tab w:val="left" w:pos="5400"/>
          <w:tab w:val="left" w:pos="6660"/>
        </w:tabs>
        <w:spacing w:after="0" w:line="240" w:lineRule="auto"/>
        <w:rPr>
          <w:rFonts w:ascii="Times New Roman" w:hAnsi="Times New Roman"/>
          <w:kern w:val="0"/>
          <w:sz w:val="22"/>
          <w:lang w:val="lt-LT"/>
          <w14:ligatures w14:val="none"/>
        </w:rPr>
      </w:pPr>
    </w:p>
    <w:p w14:paraId="2C6CF645" w14:textId="77777777" w:rsidR="00342445" w:rsidRPr="002E3D7D" w:rsidRDefault="00342445" w:rsidP="00342445">
      <w:pPr>
        <w:spacing w:after="0" w:line="240" w:lineRule="auto"/>
        <w:rPr>
          <w:rFonts w:ascii="Times New Roman" w:hAnsi="Times New Roman"/>
          <w:i/>
          <w:kern w:val="0"/>
          <w:sz w:val="22"/>
          <w:lang w:val="lt-LT"/>
          <w14:ligatures w14:val="none"/>
        </w:rPr>
      </w:pPr>
      <w:r w:rsidRPr="002E3D7D">
        <w:rPr>
          <w:rFonts w:ascii="Times New Roman" w:hAnsi="Times New Roman"/>
          <w:b/>
          <w:kern w:val="0"/>
          <w:sz w:val="22"/>
          <w:lang w:val="lt-LT"/>
          <w14:ligatures w14:val="none"/>
        </w:rPr>
        <w:t>Dažni šalutinio poveikio reiškiniai</w:t>
      </w:r>
      <w:r w:rsidRPr="002E3D7D">
        <w:rPr>
          <w:rFonts w:ascii="Times New Roman" w:hAnsi="Times New Roman"/>
          <w:i/>
          <w:kern w:val="0"/>
          <w:sz w:val="22"/>
          <w:lang w:val="lt-LT"/>
          <w14:ligatures w14:val="none"/>
        </w:rPr>
        <w:t xml:space="preserve"> </w:t>
      </w:r>
      <w:r w:rsidRPr="002E3D7D">
        <w:rPr>
          <w:rFonts w:ascii="Times New Roman" w:hAnsi="Times New Roman"/>
          <w:b/>
          <w:kern w:val="0"/>
          <w:sz w:val="22"/>
          <w:lang w:val="lt-LT"/>
          <w14:ligatures w14:val="none"/>
        </w:rPr>
        <w:t>(gali pasireikšti rečiau kaip 1 iš 10 asmenų)</w:t>
      </w:r>
    </w:p>
    <w:p w14:paraId="6B307833" w14:textId="77777777" w:rsidR="00342445" w:rsidRPr="002E3D7D" w:rsidRDefault="00342445" w:rsidP="00342445">
      <w:pPr>
        <w:spacing w:after="0" w:line="240" w:lineRule="auto"/>
        <w:rPr>
          <w:rFonts w:ascii="Times New Roman" w:hAnsi="Times New Roman"/>
          <w:kern w:val="0"/>
          <w:sz w:val="22"/>
          <w:lang w:val="lt-LT"/>
          <w14:ligatures w14:val="none"/>
        </w:rPr>
      </w:pPr>
    </w:p>
    <w:p w14:paraId="3D803324"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Poveikis akims</w:t>
      </w:r>
      <w:r w:rsidRPr="002E3D7D">
        <w:rPr>
          <w:rFonts w:ascii="Times New Roman" w:hAnsi="Times New Roman"/>
          <w:kern w:val="0"/>
          <w:sz w:val="22"/>
          <w:lang w:val="lt-LT"/>
          <w14:ligatures w14:val="none"/>
        </w:rPr>
        <w:t>: akių skausmas, akių dirginimas.</w:t>
      </w:r>
    </w:p>
    <w:p w14:paraId="7A36B43B" w14:textId="77777777" w:rsidR="00342445" w:rsidRPr="002E3D7D" w:rsidRDefault="00342445" w:rsidP="00342445">
      <w:pPr>
        <w:spacing w:after="0" w:line="240" w:lineRule="auto"/>
        <w:rPr>
          <w:rFonts w:ascii="Times New Roman" w:hAnsi="Times New Roman"/>
          <w:kern w:val="0"/>
          <w:sz w:val="22"/>
          <w:lang w:val="lt-LT"/>
          <w14:ligatures w14:val="none"/>
        </w:rPr>
      </w:pPr>
    </w:p>
    <w:p w14:paraId="1FAD3891" w14:textId="77777777" w:rsidR="00342445" w:rsidRPr="002E3D7D" w:rsidRDefault="00342445" w:rsidP="00342445">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Nedažni šalutinio poveikio reiškiniai (gali pasireikšti rečiau kaip 1 iš 100 asmenų)</w:t>
      </w:r>
    </w:p>
    <w:p w14:paraId="535FD357" w14:textId="77777777" w:rsidR="00342445" w:rsidRPr="002E3D7D" w:rsidRDefault="00342445" w:rsidP="00342445">
      <w:pPr>
        <w:spacing w:after="0" w:line="240" w:lineRule="auto"/>
        <w:rPr>
          <w:rFonts w:ascii="Times New Roman" w:hAnsi="Times New Roman"/>
          <w:kern w:val="0"/>
          <w:sz w:val="22"/>
          <w:lang w:val="lt-LT"/>
          <w14:ligatures w14:val="none"/>
        </w:rPr>
      </w:pPr>
    </w:p>
    <w:p w14:paraId="1E3B8115"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Poveikis akims</w:t>
      </w:r>
      <w:r w:rsidRPr="002E3D7D">
        <w:rPr>
          <w:rFonts w:ascii="Times New Roman" w:hAnsi="Times New Roman"/>
          <w:kern w:val="0"/>
          <w:sz w:val="22"/>
          <w:lang w:val="lt-LT"/>
          <w14:ligatures w14:val="none"/>
        </w:rPr>
        <w:t>: akių sausumas, akių niežėjimas, akių paraudimas, akių paviršiaus uždegimas arba randėjimas, plyšusi akies kraujagyslė, neįprastas pojūtis akyje, vokų pažaida, niežėjimas, paraudimas arba patinimas.</w:t>
      </w:r>
    </w:p>
    <w:p w14:paraId="6BD3B940" w14:textId="77777777" w:rsidR="00342445" w:rsidRPr="002E3D7D" w:rsidRDefault="00342445" w:rsidP="00342445">
      <w:pPr>
        <w:spacing w:after="0" w:line="240" w:lineRule="auto"/>
        <w:rPr>
          <w:rFonts w:ascii="Times New Roman" w:hAnsi="Times New Roman"/>
          <w:kern w:val="0"/>
          <w:sz w:val="22"/>
          <w:lang w:val="lt-LT"/>
          <w14:ligatures w14:val="none"/>
        </w:rPr>
      </w:pPr>
    </w:p>
    <w:p w14:paraId="3476B60D"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Bendri šalutinio poveikio reiškiniai</w:t>
      </w:r>
      <w:r w:rsidRPr="002E3D7D">
        <w:rPr>
          <w:rFonts w:ascii="Times New Roman" w:hAnsi="Times New Roman"/>
          <w:kern w:val="0"/>
          <w:sz w:val="22"/>
          <w:lang w:val="lt-LT"/>
          <w14:ligatures w14:val="none"/>
        </w:rPr>
        <w:t>: galvos skausmas, nemalonus skonis.</w:t>
      </w:r>
    </w:p>
    <w:p w14:paraId="4932D67B" w14:textId="77777777" w:rsidR="00342445" w:rsidRPr="002E3D7D" w:rsidRDefault="00342445" w:rsidP="00342445">
      <w:pPr>
        <w:spacing w:after="0" w:line="240" w:lineRule="auto"/>
        <w:rPr>
          <w:rFonts w:ascii="Times New Roman" w:hAnsi="Times New Roman"/>
          <w:kern w:val="0"/>
          <w:sz w:val="22"/>
          <w:lang w:val="lt-LT"/>
          <w14:ligatures w14:val="none"/>
        </w:rPr>
      </w:pPr>
    </w:p>
    <w:p w14:paraId="3E5B0AA5" w14:textId="77777777" w:rsidR="00342445" w:rsidRPr="002E3D7D" w:rsidRDefault="00342445" w:rsidP="00342445">
      <w:pPr>
        <w:spacing w:after="0" w:line="240" w:lineRule="auto"/>
        <w:rPr>
          <w:rFonts w:ascii="Times New Roman" w:hAnsi="Times New Roman"/>
          <w:i/>
          <w:kern w:val="0"/>
          <w:sz w:val="22"/>
          <w:lang w:val="lt-LT"/>
          <w14:ligatures w14:val="none"/>
        </w:rPr>
      </w:pPr>
      <w:r w:rsidRPr="002E3D7D">
        <w:rPr>
          <w:rFonts w:ascii="Times New Roman" w:hAnsi="Times New Roman"/>
          <w:b/>
          <w:kern w:val="0"/>
          <w:sz w:val="22"/>
          <w:lang w:val="lt-LT"/>
          <w14:ligatures w14:val="none"/>
        </w:rPr>
        <w:t>Reti šalutinio poveikio reiškiniai</w:t>
      </w:r>
      <w:r w:rsidRPr="002E3D7D">
        <w:rPr>
          <w:rFonts w:ascii="Times New Roman" w:hAnsi="Times New Roman"/>
          <w:i/>
          <w:kern w:val="0"/>
          <w:sz w:val="22"/>
          <w:lang w:val="lt-LT"/>
          <w14:ligatures w14:val="none"/>
        </w:rPr>
        <w:t xml:space="preserve"> </w:t>
      </w:r>
      <w:r w:rsidRPr="002E3D7D">
        <w:rPr>
          <w:rFonts w:ascii="Times New Roman" w:hAnsi="Times New Roman"/>
          <w:b/>
          <w:kern w:val="0"/>
          <w:sz w:val="22"/>
          <w:lang w:val="lt-LT"/>
          <w14:ligatures w14:val="none"/>
        </w:rPr>
        <w:t>(gali pasireikšti rečiau kaip 1 iš 1 000 asmenų)</w:t>
      </w:r>
    </w:p>
    <w:p w14:paraId="45B42D3D" w14:textId="77777777" w:rsidR="00342445" w:rsidRPr="002E3D7D" w:rsidRDefault="00342445" w:rsidP="00342445">
      <w:pPr>
        <w:spacing w:after="0" w:line="240" w:lineRule="auto"/>
        <w:rPr>
          <w:rFonts w:ascii="Times New Roman" w:hAnsi="Times New Roman"/>
          <w:kern w:val="0"/>
          <w:sz w:val="22"/>
          <w:lang w:val="lt-LT"/>
          <w14:ligatures w14:val="none"/>
        </w:rPr>
      </w:pPr>
    </w:p>
    <w:p w14:paraId="2C385A13"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lastRenderedPageBreak/>
        <w:t xml:space="preserve">Poveikis akims: </w:t>
      </w:r>
      <w:r w:rsidRPr="002E3D7D">
        <w:rPr>
          <w:rFonts w:ascii="Times New Roman" w:hAnsi="Times New Roman"/>
          <w:kern w:val="0"/>
          <w:sz w:val="22"/>
          <w:lang w:val="lt-LT"/>
          <w14:ligatures w14:val="none"/>
        </w:rPr>
        <w:t>ragenos sutrikimai,</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neryškus arba susilpnėjęs regėjimas,</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junginės uždegimas arba infekcija, akies įsitempimas, akies paburkimas.</w:t>
      </w:r>
    </w:p>
    <w:p w14:paraId="08E44760"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Bendri šalutinio poveikio reiškiniai</w:t>
      </w:r>
      <w:r w:rsidRPr="002E3D7D">
        <w:rPr>
          <w:rFonts w:ascii="Times New Roman" w:hAnsi="Times New Roman"/>
          <w:kern w:val="0"/>
          <w:sz w:val="22"/>
          <w:lang w:val="lt-LT"/>
          <w14:ligatures w14:val="none"/>
        </w:rPr>
        <w:t>: vėmimas, nemalonus pojūtis nosyje, gumulo gerklėje pojūtis, sumažėjęs geležies kiekis kraujyje, normos neatitinkantys kepenų veiklos rodikliai, neįprasti odos pojūčiai, skausmas, gerklės dirginimas.</w:t>
      </w:r>
    </w:p>
    <w:p w14:paraId="3892D164" w14:textId="77777777" w:rsidR="00342445" w:rsidRPr="002E3D7D" w:rsidRDefault="00342445" w:rsidP="00342445">
      <w:pPr>
        <w:spacing w:after="0" w:line="240" w:lineRule="auto"/>
        <w:rPr>
          <w:rFonts w:ascii="Times New Roman" w:hAnsi="Times New Roman"/>
          <w:kern w:val="0"/>
          <w:sz w:val="22"/>
          <w:lang w:val="lt-LT"/>
          <w14:ligatures w14:val="none"/>
        </w:rPr>
      </w:pPr>
    </w:p>
    <w:p w14:paraId="7377C6E9" w14:textId="77777777" w:rsidR="00342445" w:rsidRPr="002E3D7D" w:rsidRDefault="00342445" w:rsidP="00342445">
      <w:p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 xml:space="preserve">Šalutinio poveikio reiškiniai, kurių dažnis nežinomas (negali būti apskaičiuotas pagal turimus duomenis): </w:t>
      </w:r>
    </w:p>
    <w:p w14:paraId="5516D3D3" w14:textId="77777777" w:rsidR="00342445" w:rsidRPr="002E3D7D" w:rsidRDefault="00342445" w:rsidP="00342445">
      <w:pPr>
        <w:spacing w:after="0" w:line="240" w:lineRule="auto"/>
        <w:rPr>
          <w:rFonts w:ascii="Times New Roman" w:hAnsi="Times New Roman"/>
          <w:b/>
          <w:kern w:val="0"/>
          <w:sz w:val="22"/>
          <w:lang w:val="lt-LT"/>
          <w14:ligatures w14:val="none"/>
        </w:rPr>
      </w:pPr>
    </w:p>
    <w:p w14:paraId="67C9372B"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Poveikis akims:</w:t>
      </w:r>
      <w:r w:rsidRPr="002E3D7D">
        <w:rPr>
          <w:rFonts w:ascii="Times New Roman" w:hAnsi="Times New Roman"/>
          <w:kern w:val="0"/>
          <w:sz w:val="22"/>
          <w:lang w:val="lt-LT"/>
          <w14:ligatures w14:val="none"/>
        </w:rPr>
        <w:t xml:space="preserve"> akies infekcija, akies paviršiaus drumstėjimas, ragenos patinimas, nuosėdos akies paviršiuje, padidėjęs akispūdis, akies paviršiaus įbrėžimas, akių alergija, išskyros iš akių, sustiprėjęs ašarojimas, jautrumas šviesai.</w:t>
      </w:r>
    </w:p>
    <w:p w14:paraId="2D564D94" w14:textId="77777777" w:rsidR="00342445" w:rsidRPr="002E3D7D" w:rsidRDefault="00342445" w:rsidP="00342445">
      <w:pPr>
        <w:spacing w:after="0" w:line="240" w:lineRule="auto"/>
        <w:rPr>
          <w:rFonts w:ascii="Times New Roman" w:hAnsi="Times New Roman"/>
          <w:kern w:val="0"/>
          <w:sz w:val="22"/>
          <w:lang w:val="lt-LT"/>
          <w14:ligatures w14:val="none"/>
        </w:rPr>
      </w:pPr>
    </w:p>
    <w:p w14:paraId="62EB0240"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Bendri šalutinio poveikio reiškiniai</w:t>
      </w:r>
      <w:r w:rsidRPr="002E3D7D">
        <w:rPr>
          <w:rFonts w:ascii="Times New Roman" w:hAnsi="Times New Roman"/>
          <w:kern w:val="0"/>
          <w:sz w:val="22"/>
          <w:lang w:val="lt-LT"/>
          <w14:ligatures w14:val="none"/>
        </w:rPr>
        <w:t>: dusulys, nereguliarus širdies ritmas, svaigulys, sustiprėję alergijos simptomai, niežėjimas, išbėrimas, odos paraudimas, pykinimas, dilgėlinė.</w:t>
      </w:r>
    </w:p>
    <w:p w14:paraId="6CC24922"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747C8F2A"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Pranešimas apie šalutinį poveikį</w:t>
      </w:r>
    </w:p>
    <w:p w14:paraId="698D3B29" w14:textId="77777777" w:rsidR="00342445" w:rsidRPr="002E3D7D" w:rsidRDefault="00342445" w:rsidP="00342445">
      <w:pPr>
        <w:tabs>
          <w:tab w:val="left" w:pos="567"/>
        </w:tabs>
        <w:spacing w:after="0" w:line="260" w:lineRule="exact"/>
        <w:ind w:right="-94"/>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kern w:val="0"/>
          <w:sz w:val="22"/>
          <w:lang w:val="lt-LT"/>
          <w14:ligatures w14:val="none"/>
        </w:rPr>
        <w:t>+370</w:t>
      </w:r>
      <w:r w:rsidRPr="002E3D7D">
        <w:rPr>
          <w:rFonts w:ascii="Times New Roman" w:hAnsi="Times New Roman"/>
          <w:kern w:val="0"/>
          <w:sz w:val="22"/>
          <w:lang w:val="lt-LT"/>
          <w14:ligatures w14:val="none"/>
        </w:rPr>
        <w:t xml:space="preserve"> 800 73 568. Pranešdami apie šalutinį poveikį galite mums padėti gauti daugiau informacijos apie šio vaisto saugumą.</w:t>
      </w:r>
    </w:p>
    <w:p w14:paraId="6A238C4D" w14:textId="77777777" w:rsidR="00342445" w:rsidRPr="002E3D7D" w:rsidRDefault="00342445" w:rsidP="00342445">
      <w:pPr>
        <w:tabs>
          <w:tab w:val="left" w:pos="567"/>
        </w:tabs>
        <w:spacing w:after="0" w:line="260" w:lineRule="exact"/>
        <w:ind w:right="-449"/>
        <w:rPr>
          <w:rFonts w:ascii="Times New Roman" w:hAnsi="Times New Roman"/>
          <w:kern w:val="0"/>
          <w:sz w:val="22"/>
          <w:lang w:val="lt-LT"/>
          <w14:ligatures w14:val="none"/>
        </w:rPr>
      </w:pPr>
    </w:p>
    <w:p w14:paraId="70CA6233"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1F2644E0" w14:textId="77777777" w:rsidR="00342445" w:rsidRPr="002E3D7D" w:rsidRDefault="00342445" w:rsidP="00342445">
      <w:pPr>
        <w:keepNext/>
        <w:keepLines/>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5.</w:t>
      </w:r>
      <w:r w:rsidRPr="002E3D7D">
        <w:rPr>
          <w:rFonts w:ascii="Times New Roman" w:hAnsi="Times New Roman"/>
          <w:b/>
          <w:kern w:val="0"/>
          <w:sz w:val="22"/>
          <w:lang w:val="lt-LT"/>
          <w14:ligatures w14:val="none"/>
        </w:rPr>
        <w:tab/>
        <w:t xml:space="preserve">Kaip laikyti </w:t>
      </w:r>
      <w:proofErr w:type="spellStart"/>
      <w:r w:rsidRPr="002E3D7D">
        <w:rPr>
          <w:rFonts w:ascii="Times New Roman" w:hAnsi="Times New Roman"/>
          <w:b/>
          <w:kern w:val="0"/>
          <w:sz w:val="22"/>
          <w:lang w:val="lt-LT"/>
          <w14:ligatures w14:val="none"/>
        </w:rPr>
        <w:t>Vigamox</w:t>
      </w:r>
      <w:proofErr w:type="spellEnd"/>
    </w:p>
    <w:p w14:paraId="1A2D1314"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4E41A79A" w14:textId="77777777" w:rsidR="00342445" w:rsidRPr="002E3D7D" w:rsidRDefault="00342445" w:rsidP="00342445">
      <w:pPr>
        <w:numPr>
          <w:ilvl w:val="12"/>
          <w:numId w:val="0"/>
        </w:numPr>
        <w:spacing w:after="0" w:line="240" w:lineRule="auto"/>
        <w:ind w:right="-2"/>
        <w:rPr>
          <w:rFonts w:ascii="Times New Roman" w:hAnsi="Times New Roman"/>
          <w:kern w:val="0"/>
          <w:sz w:val="22"/>
          <w:lang w:val="lt-LT"/>
          <w14:ligatures w14:val="none"/>
        </w:rPr>
      </w:pPr>
      <w:r w:rsidRPr="002E3D7D">
        <w:rPr>
          <w:rFonts w:ascii="Times New Roman" w:hAnsi="Times New Roman"/>
          <w:kern w:val="0"/>
          <w:sz w:val="22"/>
          <w:lang w:val="lt-LT"/>
          <w14:ligatures w14:val="none"/>
        </w:rPr>
        <w:t>Šį vaistą laikykite vaikams nepastebimoje ir nepasiekiamoje vietoje.</w:t>
      </w:r>
    </w:p>
    <w:p w14:paraId="47C7A7C5"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517C0ED3"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Ant buteliuko ir dėžutės po „EXP“ nurodytam tinkamumo laikui pasibaigus, šio vaisto vartoti negalima. Vaistas tinkamas vartoti iki paskutinės nurodyto mėnesio dienos.</w:t>
      </w:r>
    </w:p>
    <w:p w14:paraId="1F51A1D3"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19B9E815"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Šiam vaistui specialių laikymo sąlygų nereikia. </w:t>
      </w:r>
    </w:p>
    <w:p w14:paraId="0C092B99"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56DA4860"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b/>
          <w:kern w:val="0"/>
          <w:sz w:val="22"/>
          <w:lang w:val="lt-LT"/>
          <w14:ligatures w14:val="none"/>
        </w:rPr>
        <w:t xml:space="preserve">Praėjus 4 savaitėms po pirmojo buteliuko atidarymo, vaisto vartoti negalima, </w:t>
      </w:r>
      <w:r w:rsidRPr="002E3D7D">
        <w:rPr>
          <w:rFonts w:ascii="Times New Roman" w:hAnsi="Times New Roman"/>
          <w:kern w:val="0"/>
          <w:sz w:val="22"/>
          <w:lang w:val="lt-LT"/>
          <w14:ligatures w14:val="none"/>
        </w:rPr>
        <w:t xml:space="preserve">kad būtų išvengta infekcijos. </w:t>
      </w:r>
    </w:p>
    <w:p w14:paraId="0F1762C5"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0F34D585"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78EFFA66"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296605E7"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p>
    <w:p w14:paraId="49FD49A8" w14:textId="77777777" w:rsidR="00342445" w:rsidRPr="002E3D7D" w:rsidRDefault="00342445" w:rsidP="00342445">
      <w:pPr>
        <w:keepNext/>
        <w:keepLines/>
        <w:numPr>
          <w:ilvl w:val="0"/>
          <w:numId w:val="4"/>
        </w:numPr>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Pakuotės turinys ir kita informacija</w:t>
      </w:r>
    </w:p>
    <w:p w14:paraId="14FF8A99" w14:textId="77777777" w:rsidR="00342445" w:rsidRPr="002E3D7D" w:rsidRDefault="00342445" w:rsidP="00342445">
      <w:pPr>
        <w:tabs>
          <w:tab w:val="left" w:pos="567"/>
        </w:tabs>
        <w:spacing w:after="0" w:line="240" w:lineRule="auto"/>
        <w:rPr>
          <w:rFonts w:ascii="Times New Roman" w:hAnsi="Times New Roman"/>
          <w:b/>
          <w:kern w:val="0"/>
          <w:sz w:val="22"/>
          <w:lang w:val="lt-LT"/>
          <w14:ligatures w14:val="none"/>
        </w:rPr>
      </w:pPr>
    </w:p>
    <w:p w14:paraId="2A74DDE2" w14:textId="77777777" w:rsidR="00342445" w:rsidRPr="002E3D7D" w:rsidRDefault="00342445" w:rsidP="00342445">
      <w:pPr>
        <w:tabs>
          <w:tab w:val="left" w:pos="567"/>
        </w:tabs>
        <w:spacing w:after="0" w:line="240" w:lineRule="auto"/>
        <w:ind w:right="-2"/>
        <w:rPr>
          <w:rFonts w:ascii="Times New Roman" w:hAnsi="Times New Roman"/>
          <w:b/>
          <w:kern w:val="0"/>
          <w:sz w:val="22"/>
          <w:lang w:val="lt-LT"/>
          <w14:ligatures w14:val="none"/>
        </w:rPr>
      </w:pP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sudėtis</w:t>
      </w:r>
    </w:p>
    <w:p w14:paraId="6070F9D2" w14:textId="77777777" w:rsidR="00342445" w:rsidRPr="002E3D7D" w:rsidRDefault="00342445" w:rsidP="00342445">
      <w:pPr>
        <w:numPr>
          <w:ilvl w:val="0"/>
          <w:numId w:val="5"/>
        </w:numPr>
        <w:tabs>
          <w:tab w:val="left" w:pos="567"/>
        </w:tabs>
        <w:spacing w:after="0" w:line="240" w:lineRule="auto"/>
        <w:ind w:right="-2"/>
        <w:contextualSpacing/>
        <w:rPr>
          <w:rFonts w:ascii="Times New Roman" w:hAnsi="Times New Roman"/>
          <w:kern w:val="0"/>
          <w:sz w:val="22"/>
          <w:lang w:val="lt-LT"/>
          <w14:ligatures w14:val="none"/>
        </w:rPr>
      </w:pPr>
      <w:r w:rsidRPr="002E3D7D">
        <w:rPr>
          <w:rFonts w:ascii="Times New Roman" w:hAnsi="Times New Roman"/>
          <w:kern w:val="0"/>
          <w:sz w:val="22"/>
          <w:lang w:val="lt-LT"/>
          <w14:ligatures w14:val="none"/>
        </w:rPr>
        <w:t>Veiklioji medžiaga</w:t>
      </w:r>
      <w:r w:rsidRPr="002E3D7D">
        <w:rPr>
          <w:rFonts w:ascii="Times New Roman" w:hAnsi="Times New Roman"/>
          <w:b/>
          <w:kern w:val="0"/>
          <w:sz w:val="22"/>
          <w:lang w:val="lt-LT"/>
          <w14:ligatures w14:val="none"/>
        </w:rPr>
        <w:t xml:space="preserve"> </w:t>
      </w:r>
      <w:r w:rsidRPr="002E3D7D">
        <w:rPr>
          <w:rFonts w:ascii="Times New Roman" w:hAnsi="Times New Roman"/>
          <w:kern w:val="0"/>
          <w:sz w:val="22"/>
          <w:lang w:val="lt-LT"/>
          <w14:ligatures w14:val="none"/>
        </w:rPr>
        <w:t xml:space="preserve">yra </w:t>
      </w:r>
      <w:proofErr w:type="spellStart"/>
      <w:r w:rsidRPr="002E3D7D">
        <w:rPr>
          <w:rFonts w:ascii="Times New Roman" w:hAnsi="Times New Roman"/>
          <w:kern w:val="0"/>
          <w:sz w:val="22"/>
          <w:lang w:val="lt-LT"/>
          <w14:ligatures w14:val="none"/>
        </w:rPr>
        <w:t>moksifloksacinas</w:t>
      </w:r>
      <w:proofErr w:type="spellEnd"/>
      <w:r w:rsidRPr="002E3D7D">
        <w:rPr>
          <w:rFonts w:ascii="Times New Roman" w:hAnsi="Times New Roman"/>
          <w:kern w:val="0"/>
          <w:sz w:val="22"/>
          <w:lang w:val="lt-LT"/>
          <w14:ligatures w14:val="none"/>
        </w:rPr>
        <w:t xml:space="preserve">. 1 ml akių lašų yra 5 mg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(5,45 mg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 xml:space="preserve"> hidrochlorido pavidalu). Viename akių laše yra 190 </w:t>
      </w:r>
      <w:proofErr w:type="spellStart"/>
      <w:r w:rsidRPr="002E3D7D">
        <w:rPr>
          <w:rFonts w:ascii="Times New Roman" w:hAnsi="Times New Roman"/>
          <w:kern w:val="0"/>
          <w:sz w:val="22"/>
          <w:lang w:val="lt-LT"/>
          <w14:ligatures w14:val="none"/>
        </w:rPr>
        <w:t>mikrogramų</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moksifloksacino</w:t>
      </w:r>
      <w:proofErr w:type="spellEnd"/>
      <w:r w:rsidRPr="002E3D7D">
        <w:rPr>
          <w:rFonts w:ascii="Times New Roman" w:hAnsi="Times New Roman"/>
          <w:kern w:val="0"/>
          <w:sz w:val="22"/>
          <w:lang w:val="lt-LT"/>
          <w14:ligatures w14:val="none"/>
        </w:rPr>
        <w:t>.</w:t>
      </w:r>
    </w:p>
    <w:p w14:paraId="692CDB82" w14:textId="77777777" w:rsidR="00342445" w:rsidRPr="002E3D7D" w:rsidRDefault="00342445" w:rsidP="00342445">
      <w:pPr>
        <w:tabs>
          <w:tab w:val="left" w:pos="567"/>
        </w:tabs>
        <w:spacing w:after="0" w:line="240" w:lineRule="auto"/>
        <w:ind w:right="-2"/>
        <w:rPr>
          <w:rFonts w:ascii="Times New Roman" w:hAnsi="Times New Roman"/>
          <w:kern w:val="0"/>
          <w:sz w:val="22"/>
          <w:lang w:val="lt-LT"/>
          <w14:ligatures w14:val="none"/>
        </w:rPr>
      </w:pPr>
    </w:p>
    <w:p w14:paraId="78EDEB7B" w14:textId="77777777" w:rsidR="00342445" w:rsidRPr="002E3D7D" w:rsidRDefault="00342445" w:rsidP="00342445">
      <w:pPr>
        <w:numPr>
          <w:ilvl w:val="0"/>
          <w:numId w:val="5"/>
        </w:numPr>
        <w:tabs>
          <w:tab w:val="left" w:pos="567"/>
        </w:tabs>
        <w:spacing w:after="0" w:line="240" w:lineRule="auto"/>
        <w:contextualSpacing/>
        <w:rPr>
          <w:rFonts w:ascii="Times New Roman" w:hAnsi="Times New Roman"/>
          <w:kern w:val="0"/>
          <w:sz w:val="22"/>
          <w:lang w:val="lt-LT"/>
          <w14:ligatures w14:val="none"/>
        </w:rPr>
      </w:pPr>
      <w:r w:rsidRPr="002E3D7D">
        <w:rPr>
          <w:rFonts w:ascii="Times New Roman" w:hAnsi="Times New Roman"/>
          <w:kern w:val="0"/>
          <w:sz w:val="22"/>
          <w:lang w:val="lt-LT"/>
          <w14:ligatures w14:val="none"/>
        </w:rPr>
        <w:t>Pagalbinės medžiagos yra natrio chloridas, boro rūgštis, išgrynintas vanduo. Normaliam rūgštingumui (pH lygiui) palaikyti gali būti naudojamas labai mažas natrio hidroksido ir vandenilio chlorido rūgšties kiekis.</w:t>
      </w:r>
    </w:p>
    <w:p w14:paraId="5A6FC50B" w14:textId="77777777" w:rsidR="00342445" w:rsidRPr="002E3D7D" w:rsidRDefault="00342445" w:rsidP="00342445">
      <w:pPr>
        <w:tabs>
          <w:tab w:val="left" w:pos="567"/>
        </w:tabs>
        <w:spacing w:after="0" w:line="240" w:lineRule="auto"/>
        <w:ind w:right="-2"/>
        <w:rPr>
          <w:rFonts w:ascii="Times New Roman" w:hAnsi="Times New Roman"/>
          <w:kern w:val="0"/>
          <w:sz w:val="22"/>
          <w:lang w:val="lt-LT"/>
          <w14:ligatures w14:val="none"/>
        </w:rPr>
      </w:pPr>
    </w:p>
    <w:p w14:paraId="0CE71E7A" w14:textId="77777777" w:rsidR="00342445" w:rsidRPr="002E3D7D" w:rsidRDefault="00342445" w:rsidP="00342445">
      <w:pPr>
        <w:tabs>
          <w:tab w:val="left" w:pos="567"/>
        </w:tabs>
        <w:spacing w:after="0" w:line="240" w:lineRule="auto"/>
        <w:ind w:right="-2"/>
        <w:rPr>
          <w:rFonts w:ascii="Times New Roman" w:hAnsi="Times New Roman"/>
          <w:b/>
          <w:kern w:val="0"/>
          <w:sz w:val="22"/>
          <w:lang w:val="lt-LT"/>
          <w14:ligatures w14:val="none"/>
        </w:rPr>
      </w:pPr>
      <w:proofErr w:type="spellStart"/>
      <w:r w:rsidRPr="002E3D7D">
        <w:rPr>
          <w:rFonts w:ascii="Times New Roman" w:hAnsi="Times New Roman"/>
          <w:b/>
          <w:kern w:val="0"/>
          <w:sz w:val="22"/>
          <w:lang w:val="lt-LT"/>
          <w14:ligatures w14:val="none"/>
        </w:rPr>
        <w:t>Vigamox</w:t>
      </w:r>
      <w:proofErr w:type="spellEnd"/>
      <w:r w:rsidRPr="002E3D7D">
        <w:rPr>
          <w:rFonts w:ascii="Times New Roman" w:hAnsi="Times New Roman"/>
          <w:b/>
          <w:kern w:val="0"/>
          <w:sz w:val="22"/>
          <w:lang w:val="lt-LT"/>
          <w14:ligatures w14:val="none"/>
        </w:rPr>
        <w:t xml:space="preserve"> išvaizda ir kiekis pakuotėje</w:t>
      </w:r>
    </w:p>
    <w:p w14:paraId="1988DBE1"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Vaistas yra skystis (skaidrus, žalsvai geltonas tirpalas). Pakuotėje yra vienas 5 ml plastiko buteliukas su užsukamuoju dangteliu. </w:t>
      </w:r>
    </w:p>
    <w:p w14:paraId="32680B00" w14:textId="77777777" w:rsidR="00342445" w:rsidRPr="002E3D7D" w:rsidRDefault="00342445" w:rsidP="00342445">
      <w:pPr>
        <w:tabs>
          <w:tab w:val="left" w:pos="567"/>
        </w:tabs>
        <w:spacing w:after="0" w:line="240" w:lineRule="auto"/>
        <w:ind w:right="-2"/>
        <w:rPr>
          <w:rFonts w:ascii="Times New Roman" w:hAnsi="Times New Roman"/>
          <w:kern w:val="0"/>
          <w:sz w:val="22"/>
          <w:lang w:val="lt-LT"/>
          <w14:ligatures w14:val="none"/>
        </w:rPr>
      </w:pPr>
    </w:p>
    <w:p w14:paraId="5C7AC4AF" w14:textId="77777777" w:rsidR="00342445" w:rsidRPr="002E3D7D" w:rsidRDefault="00342445" w:rsidP="00342445">
      <w:pPr>
        <w:spacing w:after="0" w:line="240" w:lineRule="auto"/>
        <w:ind w:left="567" w:hanging="567"/>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Registruotojas</w:t>
      </w:r>
    </w:p>
    <w:p w14:paraId="6CD84490" w14:textId="77777777" w:rsidR="00342445" w:rsidRPr="002E3D7D" w:rsidRDefault="00342445" w:rsidP="00342445">
      <w:pPr>
        <w:spacing w:after="0" w:line="240" w:lineRule="auto"/>
        <w:jc w:val="both"/>
        <w:rPr>
          <w:rFonts w:ascii="Times New Roman" w:hAnsi="Times New Roman"/>
          <w:kern w:val="0"/>
          <w:sz w:val="22"/>
          <w:lang w:val="it-IT"/>
          <w14:ligatures w14:val="none"/>
        </w:rPr>
      </w:pPr>
      <w:r w:rsidRPr="002E3D7D">
        <w:rPr>
          <w:rFonts w:ascii="Times New Roman" w:hAnsi="Times New Roman"/>
          <w:kern w:val="0"/>
          <w:sz w:val="22"/>
          <w:lang w:val="it-IT"/>
          <w14:ligatures w14:val="none"/>
        </w:rPr>
        <w:t xml:space="preserve">SIA </w:t>
      </w:r>
      <w:r w:rsidRPr="002E3D7D">
        <w:rPr>
          <w:rFonts w:ascii="Times New Roman" w:hAnsi="Times New Roman"/>
          <w:kern w:val="0"/>
          <w:sz w:val="22"/>
          <w:lang w:val="et-EE"/>
          <w14:ligatures w14:val="none"/>
        </w:rPr>
        <w:t>Novartis Baltics</w:t>
      </w:r>
    </w:p>
    <w:p w14:paraId="3FCB4418" w14:textId="77777777" w:rsidR="00342445" w:rsidRPr="002E3D7D" w:rsidRDefault="00342445" w:rsidP="00342445">
      <w:pPr>
        <w:spacing w:after="0" w:line="240" w:lineRule="auto"/>
        <w:jc w:val="both"/>
        <w:rPr>
          <w:rFonts w:ascii="Times New Roman" w:hAnsi="Times New Roman"/>
          <w:kern w:val="0"/>
          <w:sz w:val="22"/>
          <w:lang w:val="it-IT"/>
          <w14:ligatures w14:val="none"/>
        </w:rPr>
      </w:pPr>
      <w:r w:rsidRPr="002E3D7D">
        <w:rPr>
          <w:rFonts w:ascii="Times New Roman" w:hAnsi="Times New Roman"/>
          <w:kern w:val="0"/>
          <w:sz w:val="22"/>
          <w:lang w:val="it-IT"/>
          <w14:ligatures w14:val="none"/>
        </w:rPr>
        <w:t>Skanstes iela 25</w:t>
      </w:r>
    </w:p>
    <w:p w14:paraId="74002941" w14:textId="77777777" w:rsidR="00342445" w:rsidRPr="002E3D7D" w:rsidRDefault="00342445" w:rsidP="00342445">
      <w:pPr>
        <w:widowControl w:val="0"/>
        <w:suppressLineNumbers/>
        <w:suppressAutoHyphens/>
        <w:spacing w:after="0" w:line="240" w:lineRule="auto"/>
        <w:rPr>
          <w:rFonts w:ascii="Times New Roman" w:hAnsi="Times New Roman"/>
          <w:kern w:val="0"/>
          <w:sz w:val="22"/>
          <w:lang w:val="es-ES"/>
          <w14:ligatures w14:val="none"/>
        </w:rPr>
      </w:pPr>
      <w:r w:rsidRPr="002E3D7D">
        <w:rPr>
          <w:rFonts w:ascii="Times New Roman" w:hAnsi="Times New Roman"/>
          <w:kern w:val="0"/>
          <w:sz w:val="22"/>
          <w:lang w:val="es-ES"/>
          <w14:ligatures w14:val="none"/>
        </w:rPr>
        <w:t>LV</w:t>
      </w:r>
      <w:r w:rsidRPr="002E3D7D">
        <w:rPr>
          <w:rFonts w:ascii="Times New Roman" w:hAnsi="Times New Roman"/>
          <w:kern w:val="0"/>
          <w:sz w:val="22"/>
          <w:lang w:val="es-ES"/>
          <w14:ligatures w14:val="none"/>
        </w:rPr>
        <w:noBreakHyphen/>
        <w:t>1013, Rīga</w:t>
      </w:r>
    </w:p>
    <w:p w14:paraId="453B88F7"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es-ES"/>
          <w14:ligatures w14:val="none"/>
        </w:rPr>
        <w:t>Latvija</w:t>
      </w:r>
    </w:p>
    <w:p w14:paraId="18024A5E" w14:textId="77777777" w:rsidR="00342445" w:rsidRPr="002E3D7D" w:rsidRDefault="00342445" w:rsidP="00342445">
      <w:pPr>
        <w:tabs>
          <w:tab w:val="left" w:pos="3119"/>
          <w:tab w:val="left" w:pos="5954"/>
        </w:tabs>
        <w:spacing w:after="0" w:line="240" w:lineRule="auto"/>
        <w:rPr>
          <w:rFonts w:ascii="Times New Roman" w:hAnsi="Times New Roman"/>
          <w:b/>
          <w:kern w:val="0"/>
          <w:sz w:val="22"/>
          <w:lang w:val="lt-LT"/>
          <w14:ligatures w14:val="none"/>
        </w:rPr>
      </w:pPr>
    </w:p>
    <w:p w14:paraId="2AEBBB70" w14:textId="77777777" w:rsidR="00342445" w:rsidRPr="002E3D7D" w:rsidRDefault="00342445" w:rsidP="00342445">
      <w:pPr>
        <w:tabs>
          <w:tab w:val="left" w:pos="3119"/>
          <w:tab w:val="left" w:pos="5954"/>
        </w:tabs>
        <w:spacing w:after="0" w:line="240" w:lineRule="auto"/>
        <w:rPr>
          <w:rFonts w:ascii="Times New Roman" w:hAnsi="Times New Roman"/>
          <w:b/>
          <w:kern w:val="0"/>
          <w:sz w:val="22"/>
          <w:lang w:val="lt-LT"/>
          <w14:ligatures w14:val="none"/>
        </w:rPr>
      </w:pPr>
      <w:r w:rsidRPr="002E3D7D" w:rsidDel="00561A37">
        <w:rPr>
          <w:rFonts w:ascii="Times New Roman" w:hAnsi="Times New Roman"/>
          <w:b/>
          <w:kern w:val="0"/>
          <w:sz w:val="22"/>
          <w:lang w:val="lt-LT"/>
          <w14:ligatures w14:val="none"/>
        </w:rPr>
        <w:t>Gamintojas</w:t>
      </w:r>
    </w:p>
    <w:p w14:paraId="30826F83" w14:textId="77777777" w:rsidR="00342445" w:rsidRPr="002E3D7D" w:rsidRDefault="00342445" w:rsidP="00342445">
      <w:pPr>
        <w:tabs>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Novartis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Farmacéutica</w:t>
      </w:r>
      <w:proofErr w:type="spellEnd"/>
      <w:r w:rsidRPr="002E3D7D">
        <w:rPr>
          <w:rFonts w:ascii="Times New Roman" w:hAnsi="Times New Roman"/>
          <w:kern w:val="0"/>
          <w:sz w:val="22"/>
          <w:lang w:val="lt-LT"/>
          <w14:ligatures w14:val="none"/>
        </w:rPr>
        <w:t>, S.A.</w:t>
      </w:r>
    </w:p>
    <w:p w14:paraId="16FCB46E" w14:textId="77777777" w:rsidR="00342445" w:rsidRPr="002E3D7D" w:rsidRDefault="00342445" w:rsidP="00342445">
      <w:pPr>
        <w:tabs>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Gran</w:t>
      </w:r>
      <w:proofErr w:type="spellEnd"/>
      <w:r w:rsidRPr="002E3D7D">
        <w:rPr>
          <w:rFonts w:ascii="Times New Roman" w:hAnsi="Times New Roman"/>
          <w:kern w:val="0"/>
          <w:sz w:val="22"/>
          <w:lang w:val="lt-LT"/>
          <w14:ligatures w14:val="none"/>
        </w:rPr>
        <w:t xml:space="preserve"> Via de les </w:t>
      </w:r>
      <w:proofErr w:type="spellStart"/>
      <w:r w:rsidRPr="002E3D7D">
        <w:rPr>
          <w:rFonts w:ascii="Times New Roman" w:hAnsi="Times New Roman"/>
          <w:kern w:val="0"/>
          <w:sz w:val="22"/>
          <w:lang w:val="lt-LT"/>
          <w14:ligatures w14:val="none"/>
        </w:rPr>
        <w:t>Corts</w:t>
      </w:r>
      <w:proofErr w:type="spellEnd"/>
      <w:r w:rsidRPr="002E3D7D">
        <w:rPr>
          <w:rFonts w:ascii="Times New Roman" w:hAnsi="Times New Roman"/>
          <w:kern w:val="0"/>
          <w:sz w:val="22"/>
          <w:lang w:val="lt-LT"/>
          <w14:ligatures w14:val="none"/>
        </w:rPr>
        <w:t xml:space="preserve"> </w:t>
      </w:r>
      <w:proofErr w:type="spellStart"/>
      <w:r w:rsidRPr="002E3D7D">
        <w:rPr>
          <w:rFonts w:ascii="Times New Roman" w:hAnsi="Times New Roman"/>
          <w:kern w:val="0"/>
          <w:sz w:val="22"/>
          <w:lang w:val="lt-LT"/>
          <w14:ligatures w14:val="none"/>
        </w:rPr>
        <w:t>Catalanes</w:t>
      </w:r>
      <w:proofErr w:type="spellEnd"/>
      <w:r w:rsidRPr="002E3D7D">
        <w:rPr>
          <w:rFonts w:ascii="Times New Roman" w:hAnsi="Times New Roman"/>
          <w:kern w:val="0"/>
          <w:sz w:val="22"/>
          <w:lang w:val="lt-LT"/>
          <w14:ligatures w14:val="none"/>
        </w:rPr>
        <w:t>, 764</w:t>
      </w:r>
    </w:p>
    <w:p w14:paraId="77A2B081" w14:textId="77777777" w:rsidR="00342445" w:rsidRPr="002E3D7D" w:rsidRDefault="00342445" w:rsidP="00342445">
      <w:pPr>
        <w:tabs>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08013 </w:t>
      </w:r>
      <w:proofErr w:type="spellStart"/>
      <w:r w:rsidRPr="002E3D7D">
        <w:rPr>
          <w:rFonts w:ascii="Times New Roman" w:hAnsi="Times New Roman"/>
          <w:kern w:val="0"/>
          <w:sz w:val="22"/>
          <w:lang w:val="lt-LT"/>
          <w14:ligatures w14:val="none"/>
        </w:rPr>
        <w:t>Barcelona</w:t>
      </w:r>
      <w:proofErr w:type="spellEnd"/>
    </w:p>
    <w:p w14:paraId="375A4F2F" w14:textId="77777777" w:rsidR="00342445" w:rsidRPr="002E3D7D" w:rsidRDefault="00342445" w:rsidP="00342445">
      <w:pPr>
        <w:tabs>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Ispanija</w:t>
      </w:r>
    </w:p>
    <w:p w14:paraId="1E9C7D8A" w14:textId="77777777" w:rsidR="00342445" w:rsidRPr="002E3D7D" w:rsidRDefault="00342445" w:rsidP="00342445">
      <w:pPr>
        <w:tabs>
          <w:tab w:val="left" w:pos="3119"/>
          <w:tab w:val="left" w:pos="5954"/>
        </w:tabs>
        <w:spacing w:after="0" w:line="240" w:lineRule="auto"/>
        <w:rPr>
          <w:rFonts w:ascii="Times New Roman" w:hAnsi="Times New Roman"/>
          <w:kern w:val="0"/>
          <w:sz w:val="22"/>
          <w:lang w:val="lt-LT"/>
          <w14:ligatures w14:val="none"/>
        </w:rPr>
      </w:pPr>
    </w:p>
    <w:p w14:paraId="7488EB33" w14:textId="77777777" w:rsidR="00342445" w:rsidRPr="002E3D7D" w:rsidRDefault="00342445" w:rsidP="00342445">
      <w:pPr>
        <w:tabs>
          <w:tab w:val="left" w:pos="3119"/>
          <w:tab w:val="left" w:pos="5954"/>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arba</w:t>
      </w:r>
    </w:p>
    <w:p w14:paraId="43B3FC16" w14:textId="77777777" w:rsidR="00342445" w:rsidRPr="002E3D7D" w:rsidRDefault="00342445" w:rsidP="00342445">
      <w:pPr>
        <w:tabs>
          <w:tab w:val="left" w:pos="3119"/>
          <w:tab w:val="left" w:pos="5954"/>
        </w:tabs>
        <w:spacing w:after="0" w:line="240" w:lineRule="auto"/>
        <w:rPr>
          <w:rFonts w:ascii="Times New Roman" w:hAnsi="Times New Roman"/>
          <w:kern w:val="0"/>
          <w:sz w:val="22"/>
          <w:highlight w:val="lightGray"/>
          <w:lang w:val="lt-LT"/>
          <w14:ligatures w14:val="none"/>
        </w:rPr>
      </w:pPr>
    </w:p>
    <w:p w14:paraId="6ADABBDF" w14:textId="77777777" w:rsidR="00342445" w:rsidRPr="002E3D7D" w:rsidRDefault="00342445" w:rsidP="00342445">
      <w:pPr>
        <w:tabs>
          <w:tab w:val="left" w:pos="3119"/>
          <w:tab w:val="left" w:pos="5954"/>
        </w:tabs>
        <w:spacing w:after="0" w:line="240" w:lineRule="auto"/>
        <w:rPr>
          <w:rFonts w:ascii="Times New Roman" w:hAnsi="Times New Roman"/>
          <w:kern w:val="0"/>
          <w:sz w:val="22"/>
          <w:highlight w:val="lightGray"/>
          <w:lang w:val="lt-LT"/>
          <w14:ligatures w14:val="none"/>
        </w:rPr>
      </w:pPr>
      <w:proofErr w:type="spellStart"/>
      <w:r w:rsidRPr="002E3D7D">
        <w:rPr>
          <w:rFonts w:ascii="Times New Roman" w:hAnsi="Times New Roman"/>
          <w:kern w:val="0"/>
          <w:sz w:val="22"/>
          <w:shd w:val="clear" w:color="auto" w:fill="D9D9D9" w:themeFill="background1" w:themeFillShade="D9"/>
          <w:lang w:val="lt-LT"/>
          <w14:ligatures w14:val="none"/>
        </w:rPr>
        <w:t>Novartis</w:t>
      </w:r>
      <w:proofErr w:type="spellEnd"/>
      <w:r w:rsidRPr="002E3D7D">
        <w:rPr>
          <w:rFonts w:ascii="Times New Roman" w:hAnsi="Times New Roman"/>
          <w:kern w:val="0"/>
          <w:sz w:val="22"/>
          <w:shd w:val="clear" w:color="auto" w:fill="D9D9D9" w:themeFill="background1" w:themeFillShade="D9"/>
          <w:lang w:val="lt-LT"/>
          <w14:ligatures w14:val="none"/>
        </w:rPr>
        <w:t xml:space="preserve"> Manufacturing NV</w:t>
      </w:r>
    </w:p>
    <w:p w14:paraId="646638B8" w14:textId="77777777" w:rsidR="00342445" w:rsidRPr="002E3D7D" w:rsidRDefault="00342445" w:rsidP="00342445">
      <w:pPr>
        <w:tabs>
          <w:tab w:val="left" w:pos="3119"/>
          <w:tab w:val="left" w:pos="5954"/>
        </w:tabs>
        <w:spacing w:after="0" w:line="240" w:lineRule="auto"/>
        <w:rPr>
          <w:rFonts w:ascii="Times New Roman" w:hAnsi="Times New Roman"/>
          <w:kern w:val="0"/>
          <w:sz w:val="22"/>
          <w:highlight w:val="lightGray"/>
          <w:lang w:val="lt-LT"/>
          <w14:ligatures w14:val="none"/>
        </w:rPr>
      </w:pPr>
      <w:proofErr w:type="spellStart"/>
      <w:r w:rsidRPr="002E3D7D">
        <w:rPr>
          <w:rFonts w:ascii="Times New Roman" w:hAnsi="Times New Roman"/>
          <w:kern w:val="0"/>
          <w:sz w:val="22"/>
          <w:highlight w:val="lightGray"/>
          <w:lang w:val="lt-LT"/>
          <w14:ligatures w14:val="none"/>
        </w:rPr>
        <w:t>Rijksweg</w:t>
      </w:r>
      <w:proofErr w:type="spellEnd"/>
      <w:r w:rsidRPr="002E3D7D">
        <w:rPr>
          <w:rFonts w:ascii="Times New Roman" w:hAnsi="Times New Roman"/>
          <w:kern w:val="0"/>
          <w:sz w:val="22"/>
          <w:highlight w:val="lightGray"/>
          <w:lang w:val="lt-LT"/>
          <w14:ligatures w14:val="none"/>
        </w:rPr>
        <w:t xml:space="preserve"> 14</w:t>
      </w:r>
    </w:p>
    <w:p w14:paraId="409ADB76" w14:textId="77777777" w:rsidR="00342445" w:rsidRPr="002E3D7D" w:rsidRDefault="00342445" w:rsidP="00342445">
      <w:pPr>
        <w:tabs>
          <w:tab w:val="left" w:pos="3119"/>
          <w:tab w:val="left" w:pos="5954"/>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 xml:space="preserve">2870 </w:t>
      </w:r>
      <w:proofErr w:type="spellStart"/>
      <w:r w:rsidRPr="002E3D7D">
        <w:rPr>
          <w:rFonts w:ascii="Times New Roman" w:hAnsi="Times New Roman"/>
          <w:kern w:val="0"/>
          <w:sz w:val="22"/>
          <w:highlight w:val="lightGray"/>
          <w:lang w:val="lt-LT"/>
          <w14:ligatures w14:val="none"/>
        </w:rPr>
        <w:t>Puurs-Sint-Amands</w:t>
      </w:r>
      <w:proofErr w:type="spellEnd"/>
    </w:p>
    <w:p w14:paraId="0FE217EF" w14:textId="77777777" w:rsidR="00342445" w:rsidRPr="002E3D7D" w:rsidRDefault="00342445" w:rsidP="00342445">
      <w:pPr>
        <w:tabs>
          <w:tab w:val="left" w:pos="3119"/>
          <w:tab w:val="left" w:pos="5954"/>
        </w:tabs>
        <w:spacing w:after="0" w:line="240" w:lineRule="auto"/>
        <w:rPr>
          <w:rFonts w:ascii="Times New Roman" w:hAnsi="Times New Roman"/>
          <w:kern w:val="0"/>
          <w:sz w:val="22"/>
          <w:highlight w:val="lightGray"/>
          <w:lang w:val="lt-LT"/>
          <w14:ligatures w14:val="none"/>
        </w:rPr>
      </w:pPr>
      <w:r w:rsidRPr="002E3D7D">
        <w:rPr>
          <w:rFonts w:ascii="Times New Roman" w:hAnsi="Times New Roman"/>
          <w:kern w:val="0"/>
          <w:sz w:val="22"/>
          <w:highlight w:val="lightGray"/>
          <w:lang w:val="lt-LT"/>
          <w14:ligatures w14:val="none"/>
        </w:rPr>
        <w:t>Belgija</w:t>
      </w:r>
    </w:p>
    <w:p w14:paraId="6FBCEC09" w14:textId="77777777" w:rsidR="00342445" w:rsidRPr="002E3D7D" w:rsidRDefault="00342445" w:rsidP="00342445">
      <w:pPr>
        <w:numPr>
          <w:ilvl w:val="12"/>
          <w:numId w:val="0"/>
        </w:numPr>
        <w:tabs>
          <w:tab w:val="left" w:pos="567"/>
        </w:tabs>
        <w:spacing w:after="0" w:line="240" w:lineRule="auto"/>
        <w:ind w:right="-2"/>
        <w:rPr>
          <w:rFonts w:ascii="Times New Roman" w:hAnsi="Times New Roman"/>
          <w:kern w:val="0"/>
          <w:sz w:val="22"/>
          <w:lang w:val="lt-LT"/>
          <w14:ligatures w14:val="none"/>
        </w:rPr>
      </w:pPr>
    </w:p>
    <w:p w14:paraId="3DB808A9" w14:textId="77777777" w:rsidR="00342445" w:rsidRPr="002E3D7D" w:rsidRDefault="00342445" w:rsidP="00342445">
      <w:pPr>
        <w:numPr>
          <w:ilvl w:val="12"/>
          <w:numId w:val="0"/>
        </w:numPr>
        <w:tabs>
          <w:tab w:val="left" w:pos="567"/>
        </w:tabs>
        <w:spacing w:after="0" w:line="240" w:lineRule="auto"/>
        <w:ind w:right="-2"/>
        <w:rPr>
          <w:rFonts w:ascii="Times New Roman" w:hAnsi="Times New Roman"/>
          <w:kern w:val="0"/>
          <w:sz w:val="22"/>
          <w:lang w:val="lt-LT"/>
          <w14:ligatures w14:val="none"/>
        </w:rPr>
      </w:pPr>
      <w:r w:rsidRPr="002E3D7D">
        <w:rPr>
          <w:rFonts w:ascii="Times New Roman" w:hAnsi="Times New Roman"/>
          <w:kern w:val="0"/>
          <w:sz w:val="22"/>
          <w:lang w:val="lt-LT"/>
          <w14:ligatures w14:val="none"/>
        </w:rPr>
        <w:t>Jeigu apie šį vaistą norite sužinoti daugiau, kreipkitės į vietinį registruotojo atstovą:</w:t>
      </w:r>
    </w:p>
    <w:p w14:paraId="58310ABE"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p>
    <w:p w14:paraId="6C760292"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 xml:space="preserve">SIA </w:t>
      </w:r>
      <w:r w:rsidRPr="002E3D7D">
        <w:rPr>
          <w:rFonts w:ascii="Times New Roman" w:hAnsi="Times New Roman"/>
          <w:kern w:val="0"/>
          <w:sz w:val="22"/>
          <w:lang w:val="et-EE"/>
          <w14:ligatures w14:val="none"/>
        </w:rPr>
        <w:t>Novartis Baltics</w:t>
      </w:r>
      <w:r w:rsidRPr="002E3D7D">
        <w:rPr>
          <w:rFonts w:ascii="Times New Roman" w:hAnsi="Times New Roman"/>
          <w:kern w:val="0"/>
          <w:sz w:val="22"/>
          <w:lang w:val="lt-LT"/>
          <w14:ligatures w14:val="none"/>
        </w:rPr>
        <w:t xml:space="preserve"> Lietuvos filialas</w:t>
      </w:r>
    </w:p>
    <w:p w14:paraId="064D9C4B"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Upės g. 19</w:t>
      </w:r>
      <w:r w:rsidRPr="002E3D7D">
        <w:rPr>
          <w:rFonts w:ascii="Times New Roman" w:hAnsi="Times New Roman"/>
          <w:kern w:val="0"/>
          <w:sz w:val="22"/>
          <w14:ligatures w14:val="none"/>
        </w:rPr>
        <w:t>-1</w:t>
      </w:r>
    </w:p>
    <w:p w14:paraId="6A71A975" w14:textId="77777777" w:rsidR="00342445" w:rsidRPr="002E3D7D" w:rsidRDefault="00342445" w:rsidP="00342445">
      <w:pPr>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LT</w:t>
      </w:r>
      <w:r w:rsidRPr="002E3D7D">
        <w:rPr>
          <w:rFonts w:ascii="Times New Roman" w:hAnsi="Times New Roman"/>
          <w:kern w:val="0"/>
          <w:sz w:val="22"/>
          <w:lang w:val="lt-LT"/>
          <w14:ligatures w14:val="none"/>
        </w:rPr>
        <w:noBreakHyphen/>
        <w:t>08128 Vilnius</w:t>
      </w:r>
    </w:p>
    <w:p w14:paraId="257EE0E5" w14:textId="77777777" w:rsidR="00342445" w:rsidRPr="002E3D7D" w:rsidRDefault="00342445" w:rsidP="00342445">
      <w:pPr>
        <w:tabs>
          <w:tab w:val="left" w:pos="567"/>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Tel. +370 5 269 1650</w:t>
      </w:r>
    </w:p>
    <w:p w14:paraId="0F86808B" w14:textId="77777777" w:rsidR="00342445" w:rsidRPr="002E3D7D" w:rsidRDefault="00342445" w:rsidP="00342445">
      <w:pPr>
        <w:tabs>
          <w:tab w:val="left" w:pos="567"/>
          <w:tab w:val="left" w:pos="5103"/>
        </w:tabs>
        <w:spacing w:after="0" w:line="240" w:lineRule="auto"/>
        <w:rPr>
          <w:rFonts w:ascii="Times New Roman" w:hAnsi="Times New Roman"/>
          <w:kern w:val="0"/>
          <w:sz w:val="22"/>
          <w:lang w:val="lt-LT"/>
          <w14:ligatures w14:val="none"/>
        </w:rPr>
      </w:pPr>
    </w:p>
    <w:p w14:paraId="35FE15AF" w14:textId="77777777" w:rsidR="00342445" w:rsidRPr="002E3D7D" w:rsidRDefault="00342445" w:rsidP="00342445">
      <w:pPr>
        <w:tabs>
          <w:tab w:val="left" w:pos="567"/>
          <w:tab w:val="left" w:pos="5103"/>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Šis vaistas Europos ekonominės erdvės valstybėse narėse ir Jungtinėje Karalystėje (Šiaurės Airijoje) registruotas tokiais pavadinimais:</w:t>
      </w:r>
    </w:p>
    <w:p w14:paraId="6F92B576" w14:textId="77777777" w:rsidR="00342445" w:rsidRPr="002E3D7D" w:rsidRDefault="00342445" w:rsidP="00342445">
      <w:pPr>
        <w:tabs>
          <w:tab w:val="left" w:pos="567"/>
          <w:tab w:val="left" w:pos="3119"/>
          <w:tab w:val="left" w:pos="5954"/>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78"/>
      </w:tblGrid>
      <w:tr w:rsidR="00342445" w:rsidRPr="001C11FA" w14:paraId="7A87F482" w14:textId="77777777" w:rsidTr="009B63E6">
        <w:tc>
          <w:tcPr>
            <w:tcW w:w="6516" w:type="dxa"/>
          </w:tcPr>
          <w:p w14:paraId="6A48565E"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14:ligatures w14:val="none"/>
              </w:rPr>
              <w:t>Valstybės</w:t>
            </w:r>
            <w:proofErr w:type="spellEnd"/>
            <w:r w:rsidRPr="002E3D7D">
              <w:rPr>
                <w:rFonts w:ascii="Times New Roman" w:hAnsi="Times New Roman"/>
                <w:kern w:val="0"/>
                <w:sz w:val="22"/>
                <w14:ligatures w14:val="none"/>
              </w:rPr>
              <w:t xml:space="preserve"> </w:t>
            </w:r>
            <w:proofErr w:type="spellStart"/>
            <w:r w:rsidRPr="002E3D7D">
              <w:rPr>
                <w:rFonts w:ascii="Times New Roman" w:hAnsi="Times New Roman"/>
                <w:kern w:val="0"/>
                <w:sz w:val="22"/>
                <w14:ligatures w14:val="none"/>
              </w:rPr>
              <w:t>narės</w:t>
            </w:r>
            <w:proofErr w:type="spellEnd"/>
            <w:r w:rsidRPr="002E3D7D">
              <w:rPr>
                <w:rFonts w:ascii="Times New Roman" w:hAnsi="Times New Roman"/>
                <w:kern w:val="0"/>
                <w:sz w:val="22"/>
                <w14:ligatures w14:val="none"/>
              </w:rPr>
              <w:t xml:space="preserve"> </w:t>
            </w:r>
            <w:proofErr w:type="spellStart"/>
            <w:r w:rsidRPr="002E3D7D">
              <w:rPr>
                <w:rFonts w:ascii="Times New Roman" w:hAnsi="Times New Roman"/>
                <w:kern w:val="0"/>
                <w:sz w:val="22"/>
                <w14:ligatures w14:val="none"/>
              </w:rPr>
              <w:t>pavadinimas</w:t>
            </w:r>
            <w:proofErr w:type="spellEnd"/>
          </w:p>
        </w:tc>
        <w:tc>
          <w:tcPr>
            <w:tcW w:w="2878" w:type="dxa"/>
          </w:tcPr>
          <w:p w14:paraId="74264091"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14:ligatures w14:val="none"/>
              </w:rPr>
              <w:t>Vaisto</w:t>
            </w:r>
            <w:proofErr w:type="spellEnd"/>
            <w:r w:rsidRPr="002E3D7D">
              <w:rPr>
                <w:rFonts w:ascii="Times New Roman" w:hAnsi="Times New Roman"/>
                <w:kern w:val="0"/>
                <w:sz w:val="22"/>
                <w14:ligatures w14:val="none"/>
              </w:rPr>
              <w:t xml:space="preserve"> </w:t>
            </w:r>
            <w:proofErr w:type="spellStart"/>
            <w:r w:rsidRPr="002E3D7D">
              <w:rPr>
                <w:rFonts w:ascii="Times New Roman" w:hAnsi="Times New Roman"/>
                <w:kern w:val="0"/>
                <w:sz w:val="22"/>
                <w14:ligatures w14:val="none"/>
              </w:rPr>
              <w:t>pavadinimas</w:t>
            </w:r>
            <w:proofErr w:type="spellEnd"/>
          </w:p>
        </w:tc>
      </w:tr>
      <w:tr w:rsidR="00342445" w:rsidRPr="001C11FA" w14:paraId="0E80FC6A" w14:textId="77777777" w:rsidTr="009B63E6">
        <w:tc>
          <w:tcPr>
            <w:tcW w:w="6516" w:type="dxa"/>
          </w:tcPr>
          <w:p w14:paraId="4CBC068D"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Vokietijoje</w:t>
            </w:r>
          </w:p>
        </w:tc>
        <w:tc>
          <w:tcPr>
            <w:tcW w:w="2878" w:type="dxa"/>
          </w:tcPr>
          <w:p w14:paraId="64543BA4"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MOXIFLOXACIN ALCON</w:t>
            </w:r>
          </w:p>
        </w:tc>
      </w:tr>
      <w:tr w:rsidR="00342445" w:rsidRPr="001C11FA" w14:paraId="7B5FE845" w14:textId="77777777" w:rsidTr="009B63E6">
        <w:tc>
          <w:tcPr>
            <w:tcW w:w="6516" w:type="dxa"/>
          </w:tcPr>
          <w:p w14:paraId="05602F53"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Belgijoje,Liuksemburge</w:t>
            </w:r>
            <w:proofErr w:type="spellEnd"/>
          </w:p>
        </w:tc>
        <w:tc>
          <w:tcPr>
            <w:tcW w:w="2878" w:type="dxa"/>
          </w:tcPr>
          <w:p w14:paraId="56043B33"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KANAVIG</w:t>
            </w:r>
          </w:p>
        </w:tc>
      </w:tr>
      <w:tr w:rsidR="00342445" w:rsidRPr="001C11FA" w14:paraId="5CB8C063" w14:textId="77777777" w:rsidTr="009B63E6">
        <w:tc>
          <w:tcPr>
            <w:tcW w:w="6516" w:type="dxa"/>
          </w:tcPr>
          <w:p w14:paraId="295E899E"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Bulgarijoje, Kipre, Čekijoje, Danijoje, Estijoje, Suomijoje, Graikijoje, Vengrijoje Islandijoje, Italijoje, Latvijoje, Lietuvoje, Maltoje, Nyderlanduose, Lenkijoje, Portugalijoje, Rumunijoje, Slovakijoje, Slovėnijoje, Ispanijoje, Švedijoje</w:t>
            </w:r>
          </w:p>
        </w:tc>
        <w:tc>
          <w:tcPr>
            <w:tcW w:w="2878" w:type="dxa"/>
          </w:tcPr>
          <w:p w14:paraId="2AD23144"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proofErr w:type="spellStart"/>
            <w:r w:rsidRPr="002E3D7D">
              <w:rPr>
                <w:rFonts w:ascii="Times New Roman" w:hAnsi="Times New Roman"/>
                <w:kern w:val="0"/>
                <w:sz w:val="22"/>
                <w:lang w:val="lt-LT"/>
                <w14:ligatures w14:val="none"/>
              </w:rPr>
              <w:t>Vigamox</w:t>
            </w:r>
            <w:proofErr w:type="spellEnd"/>
          </w:p>
        </w:tc>
      </w:tr>
      <w:tr w:rsidR="00342445" w:rsidRPr="001C11FA" w14:paraId="3EA23AA9" w14:textId="77777777" w:rsidTr="009B63E6">
        <w:tc>
          <w:tcPr>
            <w:tcW w:w="6516" w:type="dxa"/>
          </w:tcPr>
          <w:p w14:paraId="36B98921"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Jungtinėje Karalystėje (Šiaurės Airijoje)</w:t>
            </w:r>
          </w:p>
        </w:tc>
        <w:tc>
          <w:tcPr>
            <w:tcW w:w="2878" w:type="dxa"/>
          </w:tcPr>
          <w:p w14:paraId="06CE97CD" w14:textId="77777777" w:rsidR="00342445" w:rsidRPr="002E3D7D" w:rsidRDefault="00342445" w:rsidP="009B63E6">
            <w:pPr>
              <w:tabs>
                <w:tab w:val="left" w:pos="567"/>
                <w:tab w:val="left" w:pos="3119"/>
                <w:tab w:val="left" w:pos="5954"/>
              </w:tabs>
              <w:spacing w:after="0" w:line="240" w:lineRule="auto"/>
              <w:rPr>
                <w:rFonts w:ascii="Times New Roman" w:hAnsi="Times New Roman"/>
                <w:kern w:val="0"/>
                <w:sz w:val="22"/>
                <w:lang w:val="lt-LT"/>
                <w14:ligatures w14:val="none"/>
              </w:rPr>
            </w:pPr>
            <w:r w:rsidRPr="002E3D7D">
              <w:rPr>
                <w:rFonts w:ascii="Times New Roman" w:hAnsi="Times New Roman"/>
                <w:kern w:val="0"/>
                <w:sz w:val="22"/>
                <w:lang w:val="lt-LT"/>
                <w14:ligatures w14:val="none"/>
              </w:rPr>
              <w:t>MOXIVIG</w:t>
            </w:r>
          </w:p>
        </w:tc>
      </w:tr>
    </w:tbl>
    <w:p w14:paraId="70B13F28" w14:textId="77777777" w:rsidR="00342445" w:rsidRPr="002E3D7D" w:rsidRDefault="00342445" w:rsidP="00342445">
      <w:pPr>
        <w:tabs>
          <w:tab w:val="left" w:pos="567"/>
          <w:tab w:val="left" w:pos="3119"/>
          <w:tab w:val="left" w:pos="5954"/>
        </w:tabs>
        <w:spacing w:after="0" w:line="240" w:lineRule="auto"/>
        <w:rPr>
          <w:rFonts w:ascii="Times New Roman" w:hAnsi="Times New Roman"/>
          <w:kern w:val="0"/>
          <w:sz w:val="22"/>
          <w:lang w:val="lt-LT"/>
          <w14:ligatures w14:val="none"/>
        </w:rPr>
      </w:pPr>
    </w:p>
    <w:p w14:paraId="5AD0D299" w14:textId="77777777" w:rsidR="00342445" w:rsidRPr="002E3D7D" w:rsidRDefault="00342445" w:rsidP="00342445">
      <w:pPr>
        <w:tabs>
          <w:tab w:val="left" w:pos="567"/>
          <w:tab w:val="left" w:pos="5954"/>
        </w:tabs>
        <w:spacing w:after="0" w:line="240" w:lineRule="auto"/>
        <w:rPr>
          <w:rFonts w:ascii="Times New Roman" w:hAnsi="Times New Roman"/>
          <w:kern w:val="0"/>
          <w:sz w:val="22"/>
          <w:lang w:val="lt-LT"/>
          <w14:ligatures w14:val="none"/>
        </w:rPr>
      </w:pPr>
    </w:p>
    <w:p w14:paraId="182C152C" w14:textId="77777777" w:rsidR="00342445" w:rsidRPr="002E3D7D" w:rsidRDefault="00342445" w:rsidP="00342445">
      <w:pPr>
        <w:tabs>
          <w:tab w:val="left" w:pos="567"/>
          <w:tab w:val="left" w:pos="5954"/>
        </w:tabs>
        <w:spacing w:after="0" w:line="240" w:lineRule="auto"/>
        <w:rPr>
          <w:rFonts w:ascii="Times New Roman" w:hAnsi="Times New Roman"/>
          <w:kern w:val="0"/>
          <w:sz w:val="22"/>
          <w:lang w:val="lt-LT"/>
          <w14:ligatures w14:val="none"/>
        </w:rPr>
      </w:pPr>
    </w:p>
    <w:p w14:paraId="6E34E770" w14:textId="77777777" w:rsidR="00342445" w:rsidRPr="002E3D7D" w:rsidRDefault="00342445" w:rsidP="00342445">
      <w:pPr>
        <w:tabs>
          <w:tab w:val="left" w:pos="1620"/>
        </w:tabs>
        <w:spacing w:after="0" w:line="240" w:lineRule="auto"/>
        <w:rPr>
          <w:rFonts w:ascii="Times New Roman" w:hAnsi="Times New Roman"/>
          <w:b/>
          <w:kern w:val="0"/>
          <w:sz w:val="22"/>
          <w:lang w:val="lt-LT"/>
          <w14:ligatures w14:val="none"/>
        </w:rPr>
      </w:pPr>
      <w:r w:rsidRPr="002E3D7D">
        <w:rPr>
          <w:rFonts w:ascii="Times New Roman" w:hAnsi="Times New Roman"/>
          <w:b/>
          <w:kern w:val="0"/>
          <w:sz w:val="22"/>
          <w:lang w:val="lt-LT"/>
          <w14:ligatures w14:val="none"/>
        </w:rPr>
        <w:t xml:space="preserve">Šis pakuotės lapelis paskutinį kartą peržiūrėtas </w:t>
      </w:r>
      <w:r>
        <w:rPr>
          <w:rFonts w:ascii="Times New Roman" w:eastAsia="MS Mincho" w:hAnsi="Times New Roman" w:cs="Times New Roman"/>
          <w:b/>
          <w:bCs/>
          <w:kern w:val="0"/>
          <w:sz w:val="22"/>
          <w:szCs w:val="22"/>
          <w:lang w:val="lt-LT" w:bidi="he-IL"/>
          <w14:ligatures w14:val="none"/>
        </w:rPr>
        <w:t>2025-10-23</w:t>
      </w:r>
      <w:r w:rsidRPr="002E3D7D">
        <w:rPr>
          <w:rFonts w:ascii="Times New Roman" w:hAnsi="Times New Roman"/>
          <w:b/>
          <w:kern w:val="0"/>
          <w:sz w:val="22"/>
          <w:lang w:val="lt-LT"/>
          <w14:ligatures w14:val="none"/>
        </w:rPr>
        <w:t>.</w:t>
      </w:r>
    </w:p>
    <w:p w14:paraId="7E9FA533" w14:textId="77777777" w:rsidR="00342445" w:rsidRPr="002E3D7D" w:rsidRDefault="00342445" w:rsidP="00342445">
      <w:pPr>
        <w:spacing w:after="0" w:line="240" w:lineRule="auto"/>
        <w:rPr>
          <w:rFonts w:ascii="Times New Roman" w:hAnsi="Times New Roman"/>
          <w:kern w:val="0"/>
          <w:sz w:val="22"/>
          <w:lang w:val="lt-LT"/>
          <w14:ligatures w14:val="none"/>
        </w:rPr>
      </w:pPr>
    </w:p>
    <w:p w14:paraId="4D919CEC" w14:textId="77777777" w:rsidR="00342445" w:rsidRPr="002E3D7D" w:rsidRDefault="00342445" w:rsidP="00342445">
      <w:pPr>
        <w:spacing w:after="0" w:line="240" w:lineRule="auto"/>
        <w:rPr>
          <w:rFonts w:ascii="Times New Roman" w:hAnsi="Times New Roman"/>
          <w:kern w:val="0"/>
          <w:sz w:val="22"/>
          <w:lang w:val="lt-LT"/>
          <w14:ligatures w14:val="none"/>
        </w:rPr>
      </w:pPr>
    </w:p>
    <w:p w14:paraId="663DEC43" w14:textId="77777777" w:rsidR="00342445" w:rsidRPr="002E3D7D" w:rsidRDefault="00342445" w:rsidP="00342445">
      <w:pPr>
        <w:spacing w:after="0" w:line="240" w:lineRule="auto"/>
      </w:pPr>
      <w:r w:rsidRPr="002E3D7D">
        <w:rPr>
          <w:rFonts w:ascii="Times New Roman" w:hAnsi="Times New Roman"/>
          <w:kern w:val="0"/>
          <w:sz w:val="22"/>
          <w:lang w:val="lt-LT"/>
          <w14:ligatures w14:val="none"/>
        </w:rPr>
        <w:t xml:space="preserve">Išsami informacija apie šį vaistą pateikiama Valstybinės vaistų kontrolės tarnybos prie Lietuvos Respublikos sveikatos apsaugos ministerijos tinklalapyje </w:t>
      </w:r>
      <w:r w:rsidRPr="002E3D7D">
        <w:rPr>
          <w:rFonts w:ascii="Times New Roman" w:hAnsi="Times New Roman"/>
          <w:color w:val="0000FF"/>
          <w:kern w:val="0"/>
          <w:sz w:val="22"/>
          <w:u w:val="single"/>
          <w:lang w:val="lt-LT"/>
          <w14:ligatures w14:val="none"/>
        </w:rPr>
        <w:t>https://vvkt.lrv.lt/lt/.</w:t>
      </w:r>
    </w:p>
    <w:p w14:paraId="565E3868" w14:textId="77777777" w:rsidR="00222FED" w:rsidRDefault="00222FED"/>
    <w:sectPr w:rsidR="00222FED" w:rsidSect="00342445">
      <w:headerReference w:type="default" r:id="rId8"/>
      <w:footerReference w:type="even" r:id="rId9"/>
      <w:footerReference w:type="default" r:id="rId10"/>
      <w:pgSz w:w="12240" w:h="15840" w:code="1"/>
      <w:pgMar w:top="1134" w:right="1418" w:bottom="1134" w:left="1418" w:header="737" w:footer="737" w:gutter="0"/>
      <w:pgNumType w:start="1"/>
      <w:cols w:space="1296"/>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65AA" w14:textId="77777777" w:rsidR="00342445" w:rsidRDefault="00342445" w:rsidP="0000359F">
    <w:pPr>
      <w:pStyle w:val="Porat"/>
      <w:rPr>
        <w:rStyle w:val="Puslapionumeris"/>
        <w:szCs w:val="24"/>
        <w:lang w:bidi="he-IL"/>
      </w:rPr>
    </w:pPr>
    <w:r>
      <w:rPr>
        <w:rStyle w:val="Puslapionumeris"/>
        <w:szCs w:val="24"/>
        <w:lang w:bidi="he-IL"/>
      </w:rPr>
      <w:fldChar w:fldCharType="begin"/>
    </w:r>
    <w:r>
      <w:rPr>
        <w:rStyle w:val="Puslapionumeris"/>
        <w:szCs w:val="24"/>
        <w:lang w:bidi="he-IL"/>
      </w:rPr>
      <w:instrText xml:space="preserve">PAGE  </w:instrText>
    </w:r>
    <w:r>
      <w:rPr>
        <w:rStyle w:val="Puslapionumeris"/>
        <w:szCs w:val="24"/>
        <w:lang w:bidi="he-IL"/>
      </w:rPr>
      <w:fldChar w:fldCharType="separate"/>
    </w:r>
    <w:r>
      <w:rPr>
        <w:rStyle w:val="Puslapionumeris"/>
        <w:szCs w:val="24"/>
        <w:lang w:bidi="he-IL"/>
      </w:rPr>
      <w:t>1</w:t>
    </w:r>
    <w:r>
      <w:rPr>
        <w:rStyle w:val="Puslapionumeris"/>
        <w:szCs w:val="24"/>
        <w:lang w:bidi="he-IL"/>
      </w:rPr>
      <w:t>3</w:t>
    </w:r>
    <w:r>
      <w:rPr>
        <w:rStyle w:val="Puslapionumeris"/>
        <w:szCs w:val="24"/>
        <w:lang w:bidi="he-IL"/>
      </w:rPr>
      <w:fldChar w:fldCharType="end"/>
    </w:r>
  </w:p>
  <w:p w14:paraId="48BAECEB" w14:textId="77777777" w:rsidR="00342445" w:rsidRDefault="00342445" w:rsidP="0000359F">
    <w:pPr>
      <w:pStyle w:val="Pora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688D" w14:textId="77777777" w:rsidR="00342445" w:rsidRDefault="0034244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B81E" w14:textId="77777777" w:rsidR="00342445" w:rsidRDefault="003424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6B"/>
    <w:multiLevelType w:val="hybridMultilevel"/>
    <w:tmpl w:val="F516E1E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4A448C"/>
    <w:multiLevelType w:val="hybridMultilevel"/>
    <w:tmpl w:val="E92CE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05424"/>
    <w:multiLevelType w:val="hybridMultilevel"/>
    <w:tmpl w:val="59E88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7B2979"/>
    <w:multiLevelType w:val="multilevel"/>
    <w:tmpl w:val="A5982292"/>
    <w:lvl w:ilvl="0">
      <w:start w:val="1"/>
      <w:numFmt w:val="bullet"/>
      <w:lvlText w:val=""/>
      <w:lvlJc w:val="left"/>
      <w:pPr>
        <w:tabs>
          <w:tab w:val="num" w:pos="567"/>
        </w:tabs>
        <w:ind w:left="567" w:hanging="567"/>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A9447C"/>
    <w:multiLevelType w:val="singleLevel"/>
    <w:tmpl w:val="FFB67FD6"/>
    <w:lvl w:ilvl="0">
      <w:start w:val="6"/>
      <w:numFmt w:val="decimal"/>
      <w:lvlText w:val="%1."/>
      <w:lvlJc w:val="left"/>
      <w:pPr>
        <w:tabs>
          <w:tab w:val="num" w:pos="570"/>
        </w:tabs>
        <w:ind w:left="570" w:hanging="570"/>
      </w:pPr>
      <w:rPr>
        <w:rFonts w:cs="Times New Roman" w:hint="default"/>
      </w:rPr>
    </w:lvl>
  </w:abstractNum>
  <w:num w:numId="1" w16cid:durableId="253518281">
    <w:abstractNumId w:val="2"/>
  </w:num>
  <w:num w:numId="2" w16cid:durableId="691608013">
    <w:abstractNumId w:val="1"/>
  </w:num>
  <w:num w:numId="3" w16cid:durableId="918364849">
    <w:abstractNumId w:val="3"/>
  </w:num>
  <w:num w:numId="4" w16cid:durableId="801464053">
    <w:abstractNumId w:val="4"/>
  </w:num>
  <w:num w:numId="5" w16cid:durableId="134265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45"/>
    <w:rsid w:val="00101AF3"/>
    <w:rsid w:val="00222FED"/>
    <w:rsid w:val="00342445"/>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DBE2"/>
  <w15:chartTrackingRefBased/>
  <w15:docId w15:val="{F44535A8-28F7-46F7-B11B-3BD83E91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2445"/>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34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24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24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244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424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244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4244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244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4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24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244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244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244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4244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244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4244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244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4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24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24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244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24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2445"/>
    <w:rPr>
      <w:i/>
      <w:iCs/>
      <w:color w:val="404040" w:themeColor="text1" w:themeTint="BF"/>
    </w:rPr>
  </w:style>
  <w:style w:type="paragraph" w:styleId="Sraopastraipa">
    <w:name w:val="List Paragraph"/>
    <w:basedOn w:val="prastasis"/>
    <w:uiPriority w:val="34"/>
    <w:qFormat/>
    <w:rsid w:val="00342445"/>
    <w:pPr>
      <w:ind w:left="720"/>
      <w:contextualSpacing/>
    </w:pPr>
  </w:style>
  <w:style w:type="character" w:styleId="Rykuspabraukimas">
    <w:name w:val="Intense Emphasis"/>
    <w:basedOn w:val="Numatytasispastraiposriftas"/>
    <w:uiPriority w:val="21"/>
    <w:qFormat/>
    <w:rsid w:val="00342445"/>
    <w:rPr>
      <w:i/>
      <w:iCs/>
      <w:color w:val="0F4761" w:themeColor="accent1" w:themeShade="BF"/>
    </w:rPr>
  </w:style>
  <w:style w:type="paragraph" w:styleId="Iskirtacitata">
    <w:name w:val="Intense Quote"/>
    <w:basedOn w:val="prastasis"/>
    <w:next w:val="prastasis"/>
    <w:link w:val="IskirtacitataDiagrama"/>
    <w:uiPriority w:val="30"/>
    <w:qFormat/>
    <w:rsid w:val="0034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2445"/>
    <w:rPr>
      <w:i/>
      <w:iCs/>
      <w:color w:val="0F4761" w:themeColor="accent1" w:themeShade="BF"/>
    </w:rPr>
  </w:style>
  <w:style w:type="character" w:styleId="Rykinuoroda">
    <w:name w:val="Intense Reference"/>
    <w:basedOn w:val="Numatytasispastraiposriftas"/>
    <w:uiPriority w:val="32"/>
    <w:qFormat/>
    <w:rsid w:val="00342445"/>
    <w:rPr>
      <w:b/>
      <w:bCs/>
      <w:smallCaps/>
      <w:color w:val="0F4761" w:themeColor="accent1" w:themeShade="BF"/>
      <w:spacing w:val="5"/>
    </w:rPr>
  </w:style>
  <w:style w:type="paragraph" w:styleId="Porat">
    <w:name w:val="footer"/>
    <w:basedOn w:val="prastasis"/>
    <w:link w:val="PoratDiagrama"/>
    <w:autoRedefine/>
    <w:rsid w:val="00342445"/>
    <w:pPr>
      <w:tabs>
        <w:tab w:val="center" w:pos="4320"/>
        <w:tab w:val="right" w:pos="8640"/>
      </w:tabs>
      <w:spacing w:after="0" w:line="240" w:lineRule="auto"/>
      <w:jc w:val="center"/>
    </w:pPr>
    <w:rPr>
      <w:rFonts w:ascii="Times New Roman" w:eastAsia="Times New Roman" w:hAnsi="Times New Roman"/>
      <w:noProof/>
      <w:kern w:val="0"/>
      <w:lang w:val="es-ES" w:eastAsia="zh-CN"/>
      <w14:ligatures w14:val="none"/>
    </w:rPr>
  </w:style>
  <w:style w:type="character" w:customStyle="1" w:styleId="PoratDiagrama">
    <w:name w:val="Poraštė Diagrama"/>
    <w:basedOn w:val="Numatytasispastraiposriftas"/>
    <w:link w:val="Porat"/>
    <w:rsid w:val="00342445"/>
    <w:rPr>
      <w:rFonts w:eastAsia="Times New Roman" w:cs="Arial"/>
      <w:noProof/>
      <w:kern w:val="0"/>
      <w:sz w:val="20"/>
      <w:szCs w:val="20"/>
      <w:lang w:val="es-ES" w:eastAsia="zh-CN"/>
      <w14:ligatures w14:val="none"/>
    </w:rPr>
  </w:style>
  <w:style w:type="character" w:styleId="Puslapionumeris">
    <w:name w:val="page number"/>
    <w:rsid w:val="00342445"/>
    <w:rPr>
      <w:rFonts w:cs="Times New Roman"/>
    </w:rPr>
  </w:style>
  <w:style w:type="paragraph" w:styleId="Antrats">
    <w:name w:val="header"/>
    <w:basedOn w:val="prastasis"/>
    <w:link w:val="AntratsDiagrama"/>
    <w:rsid w:val="00342445"/>
    <w:pPr>
      <w:tabs>
        <w:tab w:val="center" w:pos="4819"/>
        <w:tab w:val="right" w:pos="9638"/>
      </w:tabs>
      <w:spacing w:after="0" w:line="240" w:lineRule="auto"/>
    </w:pPr>
    <w:rPr>
      <w:rFonts w:ascii="Times New Roman" w:eastAsia="SimSun" w:hAnsi="Times New Roman" w:cs="Times New Roman"/>
      <w:snapToGrid w:val="0"/>
      <w:kern w:val="0"/>
      <w:sz w:val="24"/>
      <w:szCs w:val="24"/>
      <w:lang w:val="es-ES" w:eastAsia="zh-CN"/>
      <w14:ligatures w14:val="none"/>
    </w:rPr>
  </w:style>
  <w:style w:type="character" w:customStyle="1" w:styleId="AntratsDiagrama">
    <w:name w:val="Antraštės Diagrama"/>
    <w:basedOn w:val="Numatytasispastraiposriftas"/>
    <w:link w:val="Antrats"/>
    <w:rsid w:val="00342445"/>
    <w:rPr>
      <w:rFonts w:eastAsia="SimSun"/>
      <w:snapToGrid w:val="0"/>
      <w:kern w:val="0"/>
      <w:sz w:val="24"/>
      <w:szCs w:val="24"/>
      <w:lang w:val="es-ES" w:eastAsia="zh-CN"/>
      <w14:ligatures w14:val="none"/>
    </w:rPr>
  </w:style>
  <w:style w:type="table" w:styleId="Lentelstinklelis">
    <w:name w:val="Table Grid"/>
    <w:basedOn w:val="prastojilentel"/>
    <w:uiPriority w:val="59"/>
    <w:rsid w:val="00342445"/>
    <w:pPr>
      <w:spacing w:after="0" w:line="240" w:lineRule="auto"/>
    </w:pPr>
    <w:rPr>
      <w:rFonts w:eastAsia="MS Mincho"/>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6747</Words>
  <Characters>3847</Characters>
  <Application>Microsoft Office Word</Application>
  <DocSecurity>0</DocSecurity>
  <Lines>32</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2026-04-22T05:48:00Z</dcterms:created>
  <dcterms:modified xsi:type="dcterms:W3CDTF">2026-04-22T05:49:00Z</dcterms:modified>
</cp:coreProperties>
</file>