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787" w:rsidRPr="005D2023" w:rsidRDefault="000E1787" w:rsidP="000E1787">
      <w:pPr>
        <w:pStyle w:val="Heading2"/>
        <w:spacing w:before="0"/>
        <w:jc w:val="center"/>
        <w:rPr>
          <w:rFonts w:ascii="Times New Roman" w:hAnsi="Times New Roman"/>
          <w:bCs w:val="0"/>
          <w:iCs/>
          <w:sz w:val="22"/>
          <w:szCs w:val="22"/>
        </w:rPr>
      </w:pPr>
      <w:bookmarkStart w:id="0" w:name="_Toc129243138"/>
      <w:bookmarkStart w:id="1" w:name="_Toc129243263"/>
      <w:bookmarkStart w:id="2" w:name="_GoBack"/>
      <w:bookmarkEnd w:id="2"/>
      <w:r w:rsidRPr="005D2023">
        <w:rPr>
          <w:rFonts w:ascii="Times New Roman" w:hAnsi="Times New Roman"/>
          <w:color w:val="auto"/>
          <w:sz w:val="22"/>
          <w:szCs w:val="22"/>
        </w:rPr>
        <w:t>Pakuotės lapelis:</w:t>
      </w:r>
      <w:r w:rsidRPr="005D2023">
        <w:rPr>
          <w:rFonts w:ascii="Times New Roman" w:hAnsi="Times New Roman"/>
          <w:bCs w:val="0"/>
          <w:iCs/>
          <w:color w:val="auto"/>
          <w:sz w:val="22"/>
          <w:szCs w:val="22"/>
        </w:rPr>
        <w:t xml:space="preserve"> </w:t>
      </w:r>
      <w:r w:rsidRPr="005D2023">
        <w:rPr>
          <w:rFonts w:ascii="Times New Roman" w:hAnsi="Times New Roman"/>
          <w:color w:val="auto"/>
          <w:sz w:val="22"/>
          <w:szCs w:val="22"/>
        </w:rPr>
        <w:t>informacija vartotojui</w:t>
      </w:r>
    </w:p>
    <w:bookmarkEnd w:id="0"/>
    <w:bookmarkEnd w:id="1"/>
    <w:p w:rsidR="000E1787" w:rsidRPr="005D2023" w:rsidRDefault="000E1787" w:rsidP="006D7A5A">
      <w:pPr>
        <w:pStyle w:val="BTEMEASMCA"/>
        <w:rPr>
          <w:lang w:val="lt-LT"/>
        </w:rPr>
      </w:pPr>
    </w:p>
    <w:p w:rsidR="000E1787" w:rsidRPr="005434B0" w:rsidRDefault="000E1787" w:rsidP="005434B0">
      <w:pPr>
        <w:pStyle w:val="BTEMEASMCA"/>
        <w:jc w:val="center"/>
        <w:rPr>
          <w:b/>
          <w:lang w:val="lt-LT"/>
        </w:rPr>
      </w:pPr>
      <w:r w:rsidRPr="005434B0">
        <w:rPr>
          <w:b/>
          <w:lang w:val="lt-LT"/>
        </w:rPr>
        <w:t>Dettol Med 0,20 % odos purškalas (tirpalas)</w:t>
      </w:r>
    </w:p>
    <w:p w:rsidR="000E1787" w:rsidRPr="005D2023" w:rsidRDefault="000E1787" w:rsidP="005D2023">
      <w:pPr>
        <w:pStyle w:val="BTeEMEASMCA"/>
        <w:rPr>
          <w:lang w:val="lt-LT"/>
        </w:rPr>
      </w:pPr>
      <w:r w:rsidRPr="005D2023">
        <w:rPr>
          <w:lang w:val="lt-LT"/>
        </w:rPr>
        <w:t>Benzalkonio chloridas</w:t>
      </w:r>
    </w:p>
    <w:p w:rsidR="000E1787" w:rsidRPr="005D2023" w:rsidRDefault="000E1787" w:rsidP="005D2023">
      <w:pPr>
        <w:pStyle w:val="BTEMEASMCA"/>
        <w:rPr>
          <w:lang w:val="lt-LT"/>
        </w:rPr>
      </w:pPr>
    </w:p>
    <w:p w:rsidR="000E1787" w:rsidRPr="005D2023" w:rsidRDefault="000E1787" w:rsidP="000E1787">
      <w:pPr>
        <w:rPr>
          <w:b/>
          <w:sz w:val="22"/>
          <w:szCs w:val="22"/>
        </w:rPr>
      </w:pPr>
      <w:r w:rsidRPr="005D2023">
        <w:rPr>
          <w:b/>
          <w:sz w:val="22"/>
          <w:szCs w:val="22"/>
        </w:rPr>
        <w:t xml:space="preserve">Atidžiai perskaitykite visą šį lapelį, </w:t>
      </w:r>
      <w:r w:rsidRPr="005D2023">
        <w:rPr>
          <w:b/>
          <w:noProof/>
          <w:sz w:val="22"/>
          <w:szCs w:val="22"/>
        </w:rPr>
        <w:t xml:space="preserve">prieš pradėdami vartoti šį vaistą, </w:t>
      </w:r>
      <w:r w:rsidRPr="005D2023">
        <w:rPr>
          <w:b/>
          <w:sz w:val="22"/>
          <w:szCs w:val="22"/>
        </w:rPr>
        <w:t>nes jame pateikiama Jums svarbi informacija.</w:t>
      </w:r>
    </w:p>
    <w:p w:rsidR="000E1787" w:rsidRPr="005D2023" w:rsidRDefault="000E1787" w:rsidP="000E1787">
      <w:pPr>
        <w:numPr>
          <w:ilvl w:val="12"/>
          <w:numId w:val="0"/>
        </w:numPr>
        <w:rPr>
          <w:sz w:val="22"/>
          <w:szCs w:val="22"/>
        </w:rPr>
      </w:pPr>
      <w:r w:rsidRPr="005D2023">
        <w:rPr>
          <w:noProof/>
          <w:sz w:val="22"/>
          <w:szCs w:val="22"/>
        </w:rPr>
        <w:t>Visada vartokite šį vaistą tiksliai kaip aprašyta šiame lapelyje arba kaip nurodė gydytojas arba vaistininkas.</w:t>
      </w:r>
    </w:p>
    <w:p w:rsidR="000E1787" w:rsidRPr="005D2023" w:rsidRDefault="000E1787" w:rsidP="006D7A5A">
      <w:pPr>
        <w:pStyle w:val="BT-EMEASMCA"/>
        <w:rPr>
          <w:lang w:val="lt-LT"/>
        </w:rPr>
      </w:pPr>
      <w:r w:rsidRPr="005D2023">
        <w:rPr>
          <w:lang w:val="lt-LT"/>
        </w:rPr>
        <w:t>Neišmeskite šio lapelio, nes vėl gali prireikti jį perskaityti.</w:t>
      </w:r>
    </w:p>
    <w:p w:rsidR="000E1787" w:rsidRPr="005D2023" w:rsidRDefault="000E1787" w:rsidP="005D2023">
      <w:pPr>
        <w:pStyle w:val="BT-EMEASMCA"/>
        <w:rPr>
          <w:lang w:val="lt-LT"/>
        </w:rPr>
      </w:pPr>
      <w:r w:rsidRPr="005D2023">
        <w:rPr>
          <w:lang w:val="lt-LT"/>
        </w:rPr>
        <w:t>Jeigu norite sužinoti daugiau arba pasitarti, kreipkitės į vaistininką.</w:t>
      </w:r>
    </w:p>
    <w:p w:rsidR="000E1787" w:rsidRPr="005D2023" w:rsidRDefault="000E1787" w:rsidP="005D2023">
      <w:pPr>
        <w:pStyle w:val="BT-EMEASMCA"/>
        <w:rPr>
          <w:lang w:val="lt-LT"/>
        </w:rPr>
      </w:pPr>
      <w:r w:rsidRPr="005D2023">
        <w:rPr>
          <w:noProof/>
          <w:lang w:val="lt-LT"/>
        </w:rPr>
        <w:t>Jeigu pasireiškė šalutinis poveikis (net jeigu jis šiame lapelyje nenurodytas), kreipkitės į gydytoją arba vaistininką. Žr. 4 skyrių.</w:t>
      </w:r>
    </w:p>
    <w:p w:rsidR="000E1787" w:rsidRPr="005D2023" w:rsidRDefault="000E1787" w:rsidP="005D2023">
      <w:pPr>
        <w:pStyle w:val="BT-EMEASMCA"/>
        <w:rPr>
          <w:lang w:val="lt-LT"/>
        </w:rPr>
      </w:pPr>
      <w:r w:rsidRPr="005D2023">
        <w:rPr>
          <w:lang w:val="lt-LT"/>
        </w:rPr>
        <w:t xml:space="preserve">Jeigu per 5 dienas </w:t>
      </w:r>
      <w:r w:rsidRPr="005D2023">
        <w:rPr>
          <w:noProof/>
          <w:lang w:val="lt-LT"/>
        </w:rPr>
        <w:t>Jūsų savijauta nepagerėjo arba net pablogėjo</w:t>
      </w:r>
      <w:r w:rsidRPr="005D2023">
        <w:rPr>
          <w:lang w:val="lt-LT"/>
        </w:rPr>
        <w:t>, kreipkitės į gydytoją.</w:t>
      </w:r>
    </w:p>
    <w:p w:rsidR="000E1787" w:rsidRPr="005D2023" w:rsidRDefault="000E1787" w:rsidP="005D2023">
      <w:pPr>
        <w:pStyle w:val="BTEMEASMCA"/>
        <w:rPr>
          <w:lang w:val="lt-LT"/>
        </w:rPr>
      </w:pPr>
    </w:p>
    <w:p w:rsidR="000E1787" w:rsidRPr="005D2023" w:rsidRDefault="000E1787" w:rsidP="000E1787">
      <w:pPr>
        <w:rPr>
          <w:b/>
          <w:sz w:val="22"/>
          <w:szCs w:val="22"/>
        </w:rPr>
      </w:pPr>
      <w:r w:rsidRPr="005D2023">
        <w:rPr>
          <w:b/>
          <w:sz w:val="22"/>
          <w:szCs w:val="22"/>
        </w:rPr>
        <w:t>Apie ką rašoma šiame lapelyje?</w:t>
      </w:r>
    </w:p>
    <w:p w:rsidR="004059F6" w:rsidRPr="005D2023" w:rsidRDefault="004059F6" w:rsidP="000E1787">
      <w:pPr>
        <w:rPr>
          <w:b/>
          <w:sz w:val="22"/>
          <w:szCs w:val="22"/>
        </w:rPr>
      </w:pPr>
    </w:p>
    <w:p w:rsidR="000E1787" w:rsidRPr="005D2023" w:rsidRDefault="000E1787" w:rsidP="006D7A5A">
      <w:pPr>
        <w:pStyle w:val="BTEMEASMCA"/>
        <w:rPr>
          <w:lang w:val="lt-LT"/>
        </w:rPr>
      </w:pPr>
      <w:r w:rsidRPr="005D2023">
        <w:rPr>
          <w:lang w:val="lt-LT"/>
        </w:rPr>
        <w:t>1.</w:t>
      </w:r>
      <w:r w:rsidRPr="005D2023">
        <w:rPr>
          <w:lang w:val="lt-LT"/>
        </w:rPr>
        <w:tab/>
        <w:t>Kas yra Dettol Med ir kam jis vartojamas</w:t>
      </w:r>
    </w:p>
    <w:p w:rsidR="000E1787" w:rsidRPr="005D2023" w:rsidRDefault="000E1787" w:rsidP="005D2023">
      <w:pPr>
        <w:pStyle w:val="BTEMEASMCA"/>
        <w:rPr>
          <w:lang w:val="lt-LT"/>
        </w:rPr>
      </w:pPr>
      <w:r w:rsidRPr="005D2023">
        <w:rPr>
          <w:lang w:val="lt-LT"/>
        </w:rPr>
        <w:t>2.</w:t>
      </w:r>
      <w:r w:rsidRPr="005D2023">
        <w:rPr>
          <w:lang w:val="lt-LT"/>
        </w:rPr>
        <w:tab/>
        <w:t>Kas žinotina prieš vartojant Dettol Med</w:t>
      </w:r>
    </w:p>
    <w:p w:rsidR="000E1787" w:rsidRPr="005D2023" w:rsidRDefault="000E1787" w:rsidP="005D2023">
      <w:pPr>
        <w:pStyle w:val="BTEMEASMCA"/>
        <w:rPr>
          <w:lang w:val="lt-LT"/>
        </w:rPr>
      </w:pPr>
      <w:r w:rsidRPr="005D2023">
        <w:rPr>
          <w:lang w:val="lt-LT"/>
        </w:rPr>
        <w:t>3.</w:t>
      </w:r>
      <w:r w:rsidRPr="005D2023">
        <w:rPr>
          <w:lang w:val="lt-LT"/>
        </w:rPr>
        <w:tab/>
        <w:t>Kaip vartoti Dettol Med</w:t>
      </w:r>
    </w:p>
    <w:p w:rsidR="000E1787" w:rsidRPr="005D2023" w:rsidRDefault="000E1787" w:rsidP="005D2023">
      <w:pPr>
        <w:pStyle w:val="BTEMEASMCA"/>
        <w:rPr>
          <w:lang w:val="lt-LT"/>
        </w:rPr>
      </w:pPr>
      <w:r w:rsidRPr="005D2023">
        <w:rPr>
          <w:lang w:val="lt-LT"/>
        </w:rPr>
        <w:t>4.</w:t>
      </w:r>
      <w:r w:rsidRPr="005D2023">
        <w:rPr>
          <w:lang w:val="lt-LT"/>
        </w:rPr>
        <w:tab/>
        <w:t>Galimas šalutinis poveikis</w:t>
      </w:r>
    </w:p>
    <w:p w:rsidR="000E1787" w:rsidRPr="005D2023" w:rsidRDefault="000E1787" w:rsidP="005D2023">
      <w:pPr>
        <w:pStyle w:val="BTEMEASMCA"/>
        <w:rPr>
          <w:lang w:val="lt-LT"/>
        </w:rPr>
      </w:pPr>
      <w:r w:rsidRPr="005D2023">
        <w:rPr>
          <w:lang w:val="lt-LT"/>
        </w:rPr>
        <w:t>5.</w:t>
      </w:r>
      <w:r w:rsidRPr="005D2023">
        <w:rPr>
          <w:lang w:val="lt-LT"/>
        </w:rPr>
        <w:tab/>
        <w:t>Kaip laikyti Dettol Med</w:t>
      </w:r>
    </w:p>
    <w:p w:rsidR="000E1787" w:rsidRPr="005D2023" w:rsidRDefault="000E1787" w:rsidP="005D2023">
      <w:pPr>
        <w:pStyle w:val="BTEMEASMCA"/>
        <w:rPr>
          <w:lang w:val="lt-LT"/>
        </w:rPr>
      </w:pPr>
      <w:r w:rsidRPr="005D2023">
        <w:rPr>
          <w:lang w:val="lt-LT"/>
        </w:rPr>
        <w:t>6.</w:t>
      </w:r>
      <w:r w:rsidRPr="005D2023">
        <w:rPr>
          <w:lang w:val="lt-LT"/>
        </w:rPr>
        <w:tab/>
      </w:r>
      <w:r w:rsidRPr="005D2023">
        <w:rPr>
          <w:noProof/>
          <w:lang w:val="lt-LT"/>
        </w:rPr>
        <w:t>Pakuotės turinys ir k</w:t>
      </w:r>
      <w:r w:rsidRPr="005D2023">
        <w:rPr>
          <w:lang w:val="lt-LT"/>
        </w:rPr>
        <w:t>ita informacija</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EMEASMCA"/>
      </w:pPr>
      <w:bookmarkStart w:id="3" w:name="_Toc129243139"/>
      <w:bookmarkStart w:id="4" w:name="_Toc129243264"/>
      <w:r w:rsidRPr="005D2023">
        <w:t>1.</w:t>
      </w:r>
      <w:r w:rsidRPr="005D2023">
        <w:tab/>
        <w:t>Kas yra Dettol Med ir kam jis vartojamas</w:t>
      </w:r>
      <w:bookmarkEnd w:id="3"/>
      <w:bookmarkEnd w:id="4"/>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 xml:space="preserve">Dettol Med odos purškalas vartojamas smulkių žaizdų valymui ir siekiant sunaikinti bakterijas, susijusias su smulkiais sužeidimais. </w:t>
      </w:r>
      <w:r w:rsidR="006D7A5A" w:rsidRPr="005D2023">
        <w:rPr>
          <w:lang w:val="lt-LT"/>
        </w:rPr>
        <w:t>Vaistas</w:t>
      </w:r>
      <w:r w:rsidRPr="005D2023">
        <w:rPr>
          <w:lang w:val="lt-LT"/>
        </w:rPr>
        <w:t xml:space="preserve"> nėra skirtas žaizdų gydymui ir negali būti vartojamas žaizdų gijimui skatinti. </w:t>
      </w:r>
    </w:p>
    <w:p w:rsidR="000E1787" w:rsidRPr="005D2023" w:rsidRDefault="006D7A5A" w:rsidP="005D2023">
      <w:pPr>
        <w:pStyle w:val="BTEMEASMCA"/>
        <w:rPr>
          <w:lang w:val="lt-LT"/>
        </w:rPr>
      </w:pPr>
      <w:r w:rsidRPr="005D2023">
        <w:rPr>
          <w:lang w:val="lt-LT"/>
        </w:rPr>
        <w:t>Vaistas</w:t>
      </w:r>
      <w:r w:rsidR="000E1787" w:rsidRPr="005D2023">
        <w:rPr>
          <w:lang w:val="lt-LT"/>
        </w:rPr>
        <w:t xml:space="preserve"> negali būti vartojamas didelių, sunkaus pobūdžio žaizdų valymui. </w:t>
      </w:r>
      <w:r w:rsidRPr="005D2023">
        <w:rPr>
          <w:lang w:val="lt-LT"/>
        </w:rPr>
        <w:t>Vaistas</w:t>
      </w:r>
      <w:r w:rsidR="000E1787" w:rsidRPr="005D2023">
        <w:rPr>
          <w:lang w:val="lt-LT"/>
        </w:rPr>
        <w:t xml:space="preserve"> skirtas susižeidus lokaliam, trumpalaikiam vartojimui. </w:t>
      </w:r>
      <w:r w:rsidRPr="005D2023">
        <w:rPr>
          <w:lang w:val="lt-LT"/>
        </w:rPr>
        <w:t>Vaistas</w:t>
      </w:r>
      <w:r w:rsidR="000E1787" w:rsidRPr="005D2023">
        <w:rPr>
          <w:lang w:val="lt-LT"/>
        </w:rPr>
        <w:t xml:space="preserve"> gali būti vartojamas vieną kartą per parą.</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Tirpalo nereikia skiesti, jis vartojamas toks, koks yra buteliuke.</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EMEASMCA"/>
      </w:pPr>
      <w:bookmarkStart w:id="5" w:name="_Toc129243140"/>
      <w:bookmarkStart w:id="6" w:name="_Toc129243265"/>
      <w:r w:rsidRPr="005D2023">
        <w:t>2.</w:t>
      </w:r>
      <w:r w:rsidRPr="005D2023">
        <w:tab/>
        <w:t>Kas žinotina prieš vartojant Dettol Med</w:t>
      </w:r>
      <w:bookmarkEnd w:id="5"/>
      <w:bookmarkEnd w:id="6"/>
    </w:p>
    <w:p w:rsidR="000E1787" w:rsidRPr="005D2023" w:rsidRDefault="000E1787" w:rsidP="006D7A5A">
      <w:pPr>
        <w:pStyle w:val="BTEMEASMCA"/>
        <w:rPr>
          <w:lang w:val="lt-LT"/>
        </w:rPr>
      </w:pPr>
    </w:p>
    <w:p w:rsidR="000E1787" w:rsidRPr="005D2023" w:rsidRDefault="000E1787" w:rsidP="000E1787">
      <w:pPr>
        <w:pStyle w:val="PI-3EMEASMCA"/>
      </w:pPr>
      <w:r w:rsidRPr="005D2023">
        <w:t>Dettol Med vartoti negalima:</w:t>
      </w:r>
    </w:p>
    <w:p w:rsidR="00423538" w:rsidRPr="005D2023" w:rsidRDefault="00423538" w:rsidP="00423538">
      <w:pPr>
        <w:pStyle w:val="BT-EMEASMCA"/>
        <w:rPr>
          <w:lang w:val="lt-LT"/>
        </w:rPr>
      </w:pPr>
      <w:r>
        <w:rPr>
          <w:lang w:val="lt-LT"/>
        </w:rPr>
        <w:t xml:space="preserve">jaunesniems </w:t>
      </w:r>
      <w:r w:rsidR="003649B2">
        <w:rPr>
          <w:lang w:val="lt-LT"/>
        </w:rPr>
        <w:t>kaip</w:t>
      </w:r>
      <w:r>
        <w:rPr>
          <w:lang w:val="lt-LT"/>
        </w:rPr>
        <w:t xml:space="preserve"> 12 mėn</w:t>
      </w:r>
      <w:r w:rsidR="003649B2">
        <w:rPr>
          <w:lang w:val="lt-LT"/>
        </w:rPr>
        <w:t xml:space="preserve">esių </w:t>
      </w:r>
      <w:r w:rsidRPr="005D2023">
        <w:rPr>
          <w:lang w:val="lt-LT"/>
        </w:rPr>
        <w:t>kūdikiams</w:t>
      </w:r>
      <w:r>
        <w:rPr>
          <w:lang w:val="lt-LT"/>
        </w:rPr>
        <w:t>;</w:t>
      </w:r>
    </w:p>
    <w:p w:rsidR="000E1787" w:rsidRPr="005D2023" w:rsidRDefault="000E1787" w:rsidP="006D7A5A">
      <w:pPr>
        <w:pStyle w:val="BT-EMEASMCA"/>
        <w:rPr>
          <w:lang w:val="lt-LT"/>
        </w:rPr>
      </w:pPr>
      <w:r w:rsidRPr="005D2023">
        <w:rPr>
          <w:lang w:val="lt-LT"/>
        </w:rPr>
        <w:t>jeigu yra alergija benzalkonio chloridui arba bet kuriai pagalbinei šio vaisto medžiagai;</w:t>
      </w:r>
    </w:p>
    <w:p w:rsidR="000E1787" w:rsidRPr="005D2023" w:rsidRDefault="000E1787" w:rsidP="005D2023">
      <w:pPr>
        <w:pStyle w:val="BT-EMEASMCA"/>
        <w:rPr>
          <w:lang w:val="lt-LT"/>
        </w:rPr>
      </w:pPr>
      <w:r w:rsidRPr="005D2023">
        <w:rPr>
          <w:lang w:val="lt-LT"/>
        </w:rPr>
        <w:t>tęstiniam gydymui arba vartoti daugiau negu vieną kartą per parą.</w:t>
      </w:r>
    </w:p>
    <w:p w:rsidR="000E1787" w:rsidRPr="005D2023" w:rsidRDefault="000E1787" w:rsidP="000E1787">
      <w:pPr>
        <w:pStyle w:val="Heading4"/>
        <w:rPr>
          <w:rFonts w:ascii="Times New Roman" w:hAnsi="Times New Roman"/>
          <w:sz w:val="22"/>
          <w:szCs w:val="22"/>
        </w:rPr>
      </w:pPr>
      <w:r w:rsidRPr="005D2023">
        <w:rPr>
          <w:rFonts w:ascii="Times New Roman" w:hAnsi="Times New Roman"/>
          <w:sz w:val="22"/>
          <w:szCs w:val="22"/>
        </w:rPr>
        <w:t xml:space="preserve">Įspėjimai ir atsargumo priemonės </w:t>
      </w:r>
    </w:p>
    <w:p w:rsidR="000E1787" w:rsidRPr="005D2023" w:rsidRDefault="000E1787" w:rsidP="005434B0">
      <w:pPr>
        <w:pStyle w:val="BT-EMEASMCA"/>
        <w:numPr>
          <w:ilvl w:val="0"/>
          <w:numId w:val="0"/>
        </w:numPr>
        <w:tabs>
          <w:tab w:val="clear" w:pos="540"/>
          <w:tab w:val="left" w:pos="0"/>
        </w:tabs>
        <w:rPr>
          <w:lang w:val="lt-LT"/>
        </w:rPr>
      </w:pPr>
      <w:r w:rsidRPr="005D2023">
        <w:rPr>
          <w:lang w:val="lt-LT"/>
        </w:rPr>
        <w:t>Specialių atsargumo priemonių reikia:</w:t>
      </w:r>
    </w:p>
    <w:p w:rsidR="000E1787" w:rsidRPr="005D2023" w:rsidRDefault="000E1787" w:rsidP="000E1787">
      <w:pPr>
        <w:pStyle w:val="PI-3EMEASMCA"/>
        <w:numPr>
          <w:ilvl w:val="0"/>
          <w:numId w:val="2"/>
        </w:numPr>
        <w:rPr>
          <w:b w:val="0"/>
        </w:rPr>
      </w:pPr>
      <w:r w:rsidRPr="005D2023">
        <w:rPr>
          <w:b w:val="0"/>
        </w:rPr>
        <w:t>aplink akis, ausis ar lytinius organus į burną arba dideliems kūno plotams nevartoti. Esant atsitiktiniam kontaktui su akimi, akis turi būti plaunama gausiu kiekiu šalto vandens;</w:t>
      </w:r>
    </w:p>
    <w:p w:rsidR="000E1787" w:rsidRPr="005D2023" w:rsidRDefault="000E1787" w:rsidP="000E1787">
      <w:pPr>
        <w:pStyle w:val="PI-3EMEASMCA"/>
        <w:numPr>
          <w:ilvl w:val="0"/>
          <w:numId w:val="2"/>
        </w:numPr>
        <w:rPr>
          <w:b w:val="0"/>
        </w:rPr>
      </w:pPr>
      <w:r w:rsidRPr="005D2023">
        <w:rPr>
          <w:b w:val="0"/>
        </w:rPr>
        <w:t>neįkvėpti, tik išoriniam vartojimui;</w:t>
      </w:r>
    </w:p>
    <w:p w:rsidR="000E1787" w:rsidRPr="005D2023" w:rsidRDefault="006D7A5A" w:rsidP="000E1787">
      <w:pPr>
        <w:pStyle w:val="PI-3EMEASMCA"/>
        <w:numPr>
          <w:ilvl w:val="0"/>
          <w:numId w:val="2"/>
        </w:numPr>
        <w:rPr>
          <w:b w:val="0"/>
        </w:rPr>
      </w:pPr>
      <w:r w:rsidRPr="005D2023">
        <w:rPr>
          <w:b w:val="0"/>
        </w:rPr>
        <w:t>vaistą</w:t>
      </w:r>
      <w:r w:rsidR="000E1787" w:rsidRPr="005D2023">
        <w:rPr>
          <w:b w:val="0"/>
        </w:rPr>
        <w:t xml:space="preserve"> vartojant dideliems kūno plotams, viršijantiems 5</w:t>
      </w:r>
      <w:r w:rsidRPr="005D2023">
        <w:rPr>
          <w:b w:val="0"/>
        </w:rPr>
        <w:t xml:space="preserve"> </w:t>
      </w:r>
      <w:r w:rsidR="000E1787" w:rsidRPr="005D2023">
        <w:rPr>
          <w:b w:val="0"/>
        </w:rPr>
        <w:t>% viso kūno ploto (5</w:t>
      </w:r>
      <w:r w:rsidRPr="005D2023">
        <w:rPr>
          <w:b w:val="0"/>
        </w:rPr>
        <w:t xml:space="preserve"> </w:t>
      </w:r>
      <w:r w:rsidR="000E1787" w:rsidRPr="005D2023">
        <w:rPr>
          <w:b w:val="0"/>
        </w:rPr>
        <w:t xml:space="preserve">% apskaičiuotas, įvertinant smulkias kelių ir alkūnių žaizdas). </w:t>
      </w:r>
    </w:p>
    <w:p w:rsidR="000E1787" w:rsidRPr="005D2023" w:rsidRDefault="000E1787" w:rsidP="000E1787">
      <w:pPr>
        <w:pStyle w:val="Heading4"/>
        <w:rPr>
          <w:rFonts w:ascii="Times New Roman" w:hAnsi="Times New Roman"/>
          <w:sz w:val="22"/>
          <w:szCs w:val="22"/>
        </w:rPr>
      </w:pPr>
      <w:r w:rsidRPr="005D2023">
        <w:rPr>
          <w:rFonts w:ascii="Times New Roman" w:hAnsi="Times New Roman"/>
          <w:sz w:val="22"/>
          <w:szCs w:val="22"/>
        </w:rPr>
        <w:t>Kiti vaistai ir Dettol Med</w:t>
      </w:r>
    </w:p>
    <w:p w:rsidR="000E1787" w:rsidRPr="005D2023" w:rsidRDefault="000E1787" w:rsidP="000E1787">
      <w:pPr>
        <w:numPr>
          <w:ilvl w:val="12"/>
          <w:numId w:val="0"/>
        </w:numPr>
        <w:ind w:right="-2"/>
        <w:rPr>
          <w:sz w:val="22"/>
          <w:szCs w:val="22"/>
        </w:rPr>
      </w:pPr>
      <w:r w:rsidRPr="005D2023">
        <w:rPr>
          <w:noProof/>
          <w:sz w:val="22"/>
          <w:szCs w:val="22"/>
        </w:rPr>
        <w:t>Jeigu vartojate ar neseniai vartojote kitų vaistų arba dėl to nesate tikri, apie tai pasakykite gydytojui arba vaistininkui.</w:t>
      </w:r>
    </w:p>
    <w:p w:rsidR="000E1787" w:rsidRPr="005D2023" w:rsidRDefault="000E1787" w:rsidP="000E1787">
      <w:pPr>
        <w:pStyle w:val="PI-3EMEASMCA"/>
        <w:ind w:firstLine="0"/>
        <w:rPr>
          <w:b w:val="0"/>
        </w:rPr>
      </w:pPr>
      <w:r w:rsidRPr="005D2023">
        <w:rPr>
          <w:b w:val="0"/>
        </w:rPr>
        <w:t xml:space="preserve">Dettol Med odos purškalo nerekomenduojama vartoti su kitais panašaus pobūdžio </w:t>
      </w:r>
      <w:r w:rsidR="006D7A5A" w:rsidRPr="005D2023">
        <w:rPr>
          <w:b w:val="0"/>
        </w:rPr>
        <w:t>vaistais</w:t>
      </w:r>
      <w:r w:rsidRPr="005D2023">
        <w:rPr>
          <w:b w:val="0"/>
        </w:rPr>
        <w:t xml:space="preserve">, kadangi nėra atlikta sąveikos su kitais </w:t>
      </w:r>
      <w:r w:rsidR="006D7A5A" w:rsidRPr="005D2023">
        <w:rPr>
          <w:b w:val="0"/>
        </w:rPr>
        <w:t>vaistais</w:t>
      </w:r>
      <w:r w:rsidRPr="005D2023">
        <w:rPr>
          <w:b w:val="0"/>
        </w:rPr>
        <w:t xml:space="preserve"> tyrimų. </w:t>
      </w:r>
    </w:p>
    <w:p w:rsidR="000E1787" w:rsidRPr="005D2023" w:rsidRDefault="000E1787" w:rsidP="000E1787">
      <w:pPr>
        <w:pStyle w:val="PI-3EMEASMCA"/>
      </w:pPr>
    </w:p>
    <w:p w:rsidR="000E1787" w:rsidRPr="005D2023" w:rsidRDefault="000E1787" w:rsidP="000E1787">
      <w:pPr>
        <w:pStyle w:val="PI-3EMEASMCA"/>
        <w:ind w:firstLine="0"/>
      </w:pPr>
      <w:r w:rsidRPr="005D2023">
        <w:lastRenderedPageBreak/>
        <w:t>Nėštumas, žindymo laikotarpis ir vaisingumas</w:t>
      </w:r>
    </w:p>
    <w:p w:rsidR="000E1787" w:rsidRPr="005D2023" w:rsidRDefault="000E1787" w:rsidP="000E1787">
      <w:pPr>
        <w:pStyle w:val="PI-3EMEASMCA"/>
        <w:ind w:firstLine="0"/>
        <w:rPr>
          <w:b w:val="0"/>
        </w:rPr>
      </w:pPr>
      <w:r w:rsidRPr="005D2023">
        <w:rPr>
          <w:b w:val="0"/>
        </w:rPr>
        <w:t xml:space="preserve">Nenumatyta, kad </w:t>
      </w:r>
      <w:r w:rsidR="006D7A5A" w:rsidRPr="005D2023">
        <w:rPr>
          <w:b w:val="0"/>
        </w:rPr>
        <w:t>vaisto</w:t>
      </w:r>
      <w:r w:rsidRPr="005D2023">
        <w:rPr>
          <w:b w:val="0"/>
        </w:rPr>
        <w:t xml:space="preserve"> vartojimas nėštumo ir žindymo metu gali būti žalingas, kadangi</w:t>
      </w:r>
    </w:p>
    <w:p w:rsidR="000E1787" w:rsidRPr="005D2023" w:rsidRDefault="000E1787" w:rsidP="000E1787">
      <w:pPr>
        <w:pStyle w:val="PI-3EMEASMCA"/>
        <w:ind w:firstLine="0"/>
        <w:rPr>
          <w:b w:val="0"/>
        </w:rPr>
      </w:pPr>
      <w:r w:rsidRPr="005D2023">
        <w:rPr>
          <w:b w:val="0"/>
        </w:rPr>
        <w:t xml:space="preserve">absorbcija per odą yra minimali. </w:t>
      </w:r>
    </w:p>
    <w:p w:rsidR="000E1787" w:rsidRPr="005D2023" w:rsidRDefault="000E1787" w:rsidP="000E1787">
      <w:pPr>
        <w:pStyle w:val="PI-3EMEASMCA"/>
        <w:ind w:firstLine="0"/>
        <w:rPr>
          <w:b w:val="0"/>
        </w:rPr>
      </w:pPr>
      <w:r w:rsidRPr="005D2023">
        <w:rPr>
          <w:b w:val="0"/>
        </w:rPr>
        <w:t xml:space="preserve">Siekiant išvengti galimybės žindomam kūdikiui nuryti </w:t>
      </w:r>
      <w:r w:rsidR="006D7A5A" w:rsidRPr="005D2023">
        <w:rPr>
          <w:b w:val="0"/>
        </w:rPr>
        <w:t>vaisto</w:t>
      </w:r>
      <w:r w:rsidRPr="005D2023">
        <w:rPr>
          <w:b w:val="0"/>
        </w:rPr>
        <w:t>, odos purškalo vartoti ant krūtų</w:t>
      </w:r>
    </w:p>
    <w:p w:rsidR="000E1787" w:rsidRPr="005D2023" w:rsidRDefault="000E1787" w:rsidP="000E1787">
      <w:pPr>
        <w:pStyle w:val="PI-3EMEASMCA"/>
        <w:ind w:firstLine="0"/>
        <w:rPr>
          <w:b w:val="0"/>
        </w:rPr>
      </w:pPr>
      <w:r w:rsidRPr="005D2023">
        <w:rPr>
          <w:b w:val="0"/>
        </w:rPr>
        <w:t xml:space="preserve">odos žindymo laikotarpiu nerekomenduojama. </w:t>
      </w:r>
    </w:p>
    <w:p w:rsidR="000E1787" w:rsidRPr="005D2023" w:rsidRDefault="000E1787" w:rsidP="000E1787">
      <w:pPr>
        <w:numPr>
          <w:ilvl w:val="12"/>
          <w:numId w:val="0"/>
        </w:numPr>
        <w:tabs>
          <w:tab w:val="left" w:pos="720"/>
        </w:tabs>
        <w:rPr>
          <w:sz w:val="22"/>
          <w:szCs w:val="22"/>
        </w:rPr>
      </w:pPr>
      <w:r w:rsidRPr="005D2023">
        <w:rPr>
          <w:noProof/>
          <w:sz w:val="22"/>
          <w:szCs w:val="22"/>
        </w:rPr>
        <w:t>Jeigu esate nėščia, žindote kūdikį, manote, kad galbūt esate nėščia, arba planuojate pastoti, tai prieš vartodama šį vaistą, pasitarkite su gydytoju arba vaistininku.</w:t>
      </w:r>
      <w:r w:rsidRPr="005D2023">
        <w:rPr>
          <w:sz w:val="22"/>
          <w:szCs w:val="22"/>
        </w:rPr>
        <w:t xml:space="preserve"> </w:t>
      </w:r>
    </w:p>
    <w:p w:rsidR="000E1787" w:rsidRPr="005D2023" w:rsidRDefault="000E1787" w:rsidP="006D7A5A">
      <w:pPr>
        <w:pStyle w:val="BTEMEASMCA"/>
        <w:rPr>
          <w:lang w:val="lt-LT"/>
        </w:rPr>
      </w:pPr>
    </w:p>
    <w:p w:rsidR="000E1787" w:rsidRPr="005D2023" w:rsidRDefault="000E1787" w:rsidP="000E1787">
      <w:pPr>
        <w:pStyle w:val="PI-3EMEASMCA"/>
        <w:ind w:firstLine="0"/>
      </w:pPr>
      <w:r w:rsidRPr="005D2023">
        <w:t>Vairavimas ir mechanizmų valdymas</w:t>
      </w:r>
    </w:p>
    <w:p w:rsidR="000E1787" w:rsidRPr="005D2023" w:rsidRDefault="000E1787" w:rsidP="000E1787">
      <w:pPr>
        <w:pStyle w:val="PI-3EMEASMCA"/>
        <w:ind w:firstLine="0"/>
        <w:rPr>
          <w:b w:val="0"/>
        </w:rPr>
      </w:pPr>
      <w:r w:rsidRPr="005D2023">
        <w:rPr>
          <w:b w:val="0"/>
        </w:rPr>
        <w:t>Dettol Med odos purškalas gebėjimo vairuoti ir valdyti mechanizmus neveikia.</w:t>
      </w:r>
    </w:p>
    <w:p w:rsidR="000E1787" w:rsidRPr="005D2023" w:rsidRDefault="000E1787" w:rsidP="006D7A5A">
      <w:pPr>
        <w:pStyle w:val="BTEMEASMCA"/>
        <w:rPr>
          <w:lang w:val="lt-LT"/>
        </w:rPr>
      </w:pPr>
    </w:p>
    <w:p w:rsidR="000E1787" w:rsidRPr="005D2023" w:rsidRDefault="000E1787" w:rsidP="000E1787">
      <w:pPr>
        <w:pStyle w:val="PI-3EMEASMCA"/>
        <w:ind w:firstLine="0"/>
        <w:rPr>
          <w:b w:val="0"/>
          <w:iCs/>
        </w:rPr>
      </w:pPr>
      <w:r w:rsidRPr="005D2023">
        <w:t xml:space="preserve">Dettol Med sudėtyje yra </w:t>
      </w:r>
      <w:r w:rsidRPr="005D2023">
        <w:rPr>
          <w:iCs/>
        </w:rPr>
        <w:t>benzalkonio chlorido</w:t>
      </w:r>
      <w:r w:rsidR="00C83905">
        <w:rPr>
          <w:iCs/>
        </w:rPr>
        <w:t>,</w:t>
      </w:r>
      <w:r w:rsidRPr="005D2023">
        <w:rPr>
          <w:iCs/>
        </w:rPr>
        <w:t xml:space="preserve"> propilenglikolio</w:t>
      </w:r>
      <w:r w:rsidR="00C83905">
        <w:rPr>
          <w:iCs/>
        </w:rPr>
        <w:t xml:space="preserve"> ir </w:t>
      </w:r>
      <w:r w:rsidR="00C83905" w:rsidRPr="005D2023">
        <w:t>švelnaus pušų aromato medžiag</w:t>
      </w:r>
      <w:r w:rsidR="00C83905">
        <w:t>os</w:t>
      </w:r>
      <w:r w:rsidRPr="005D2023">
        <w:rPr>
          <w:b w:val="0"/>
          <w:iCs/>
        </w:rPr>
        <w:t xml:space="preserve"> </w:t>
      </w:r>
    </w:p>
    <w:p w:rsidR="00E01139" w:rsidRPr="00E01139" w:rsidRDefault="00E01139" w:rsidP="00E01139">
      <w:pPr>
        <w:pStyle w:val="PI-3EMEASMCA"/>
        <w:ind w:firstLine="0"/>
        <w:rPr>
          <w:b w:val="0"/>
        </w:rPr>
      </w:pPr>
      <w:r w:rsidRPr="005434B0">
        <w:rPr>
          <w:rFonts w:eastAsiaTheme="minorHAnsi"/>
          <w:b w:val="0"/>
          <w:color w:val="000000"/>
        </w:rPr>
        <w:t xml:space="preserve">Kiekviename šio vaisto 100 ml buteliuke yra </w:t>
      </w:r>
      <w:r w:rsidRPr="005434B0">
        <w:rPr>
          <w:b w:val="0"/>
        </w:rPr>
        <w:t xml:space="preserve">0,20 % veikliosios medžiagos </w:t>
      </w:r>
      <w:r w:rsidRPr="005434B0">
        <w:rPr>
          <w:b w:val="0"/>
          <w:iCs/>
        </w:rPr>
        <w:t>benzalkonio chlorido ir 20,8 mg propilenglikolio, kurie</w:t>
      </w:r>
      <w:r w:rsidRPr="005434B0">
        <w:rPr>
          <w:rFonts w:eastAsiaTheme="minorHAnsi"/>
          <w:b w:val="0"/>
          <w:color w:val="000000"/>
        </w:rPr>
        <w:t xml:space="preserve"> gali sudirginti odą. </w:t>
      </w:r>
      <w:r w:rsidRPr="005434B0">
        <w:rPr>
          <w:b w:val="0"/>
          <w:iCs/>
        </w:rPr>
        <w:t xml:space="preserve"> </w:t>
      </w:r>
    </w:p>
    <w:p w:rsidR="00E01139" w:rsidRPr="00FA0689" w:rsidRDefault="00E01139" w:rsidP="00E01139">
      <w:pPr>
        <w:pStyle w:val="Default"/>
        <w:rPr>
          <w:rFonts w:eastAsiaTheme="minorHAnsi"/>
          <w:sz w:val="22"/>
          <w:szCs w:val="22"/>
          <w:lang w:val="lt-LT" w:eastAsia="en-US"/>
        </w:rPr>
      </w:pPr>
      <w:r w:rsidRPr="00FA0689">
        <w:rPr>
          <w:rFonts w:eastAsiaTheme="minorHAnsi"/>
          <w:sz w:val="22"/>
          <w:szCs w:val="22"/>
          <w:lang w:val="lt-LT"/>
        </w:rPr>
        <w:t xml:space="preserve">Šiame vaiste esančios </w:t>
      </w:r>
      <w:r w:rsidRPr="00FA0689">
        <w:rPr>
          <w:rFonts w:eastAsiaTheme="minorHAnsi"/>
          <w:bCs/>
          <w:sz w:val="22"/>
          <w:szCs w:val="22"/>
          <w:lang w:val="lt-LT"/>
        </w:rPr>
        <w:t>š</w:t>
      </w:r>
      <w:r w:rsidRPr="00FA0689">
        <w:rPr>
          <w:sz w:val="22"/>
          <w:szCs w:val="22"/>
          <w:lang w:val="lt-LT"/>
        </w:rPr>
        <w:t>velnaus pušų aromato medžiagos sudėtyje</w:t>
      </w:r>
      <w:r w:rsidRPr="00FA0689">
        <w:rPr>
          <w:rFonts w:eastAsiaTheme="minorHAnsi"/>
          <w:sz w:val="22"/>
          <w:szCs w:val="22"/>
          <w:lang w:val="lt-LT"/>
        </w:rPr>
        <w:t xml:space="preserve"> yra d-limoneno ir lilialio. D-limonenas ir lilialis </w:t>
      </w:r>
      <w:r w:rsidRPr="00FA0689">
        <w:rPr>
          <w:rFonts w:eastAsiaTheme="minorHAnsi"/>
          <w:sz w:val="22"/>
          <w:szCs w:val="22"/>
          <w:lang w:val="lt-LT" w:eastAsia="en-US"/>
        </w:rPr>
        <w:t>gali sukelti alerginių reakcijų.</w:t>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EMEASMCA"/>
      </w:pPr>
      <w:bookmarkStart w:id="7" w:name="_Toc129243141"/>
      <w:bookmarkStart w:id="8" w:name="_Toc129243266"/>
      <w:r w:rsidRPr="005D2023">
        <w:t>3.</w:t>
      </w:r>
      <w:r w:rsidRPr="005D2023">
        <w:tab/>
        <w:t>Kaip vartoti Dettol Med</w:t>
      </w:r>
      <w:bookmarkEnd w:id="7"/>
      <w:bookmarkEnd w:id="8"/>
    </w:p>
    <w:p w:rsidR="000E1787" w:rsidRPr="005D2023" w:rsidRDefault="000E1787" w:rsidP="006D7A5A">
      <w:pPr>
        <w:pStyle w:val="BTEMEASMCA"/>
        <w:rPr>
          <w:lang w:val="lt-LT"/>
        </w:rPr>
      </w:pPr>
    </w:p>
    <w:p w:rsidR="000E1787" w:rsidRPr="005D2023" w:rsidRDefault="000E1787" w:rsidP="000E1787">
      <w:pPr>
        <w:numPr>
          <w:ilvl w:val="12"/>
          <w:numId w:val="0"/>
        </w:numPr>
        <w:ind w:right="-2"/>
        <w:rPr>
          <w:sz w:val="22"/>
          <w:szCs w:val="22"/>
        </w:rPr>
      </w:pPr>
      <w:r w:rsidRPr="005D2023">
        <w:rPr>
          <w:noProof/>
          <w:sz w:val="22"/>
          <w:szCs w:val="22"/>
        </w:rPr>
        <w:t>Visada vartokite šį vaistą tiksliai kaip nurodė gydytojas arba vaistininkas.</w:t>
      </w:r>
      <w:r w:rsidRPr="005D2023">
        <w:rPr>
          <w:sz w:val="22"/>
          <w:szCs w:val="22"/>
        </w:rPr>
        <w:t xml:space="preserve"> </w:t>
      </w:r>
      <w:r w:rsidRPr="005D2023">
        <w:rPr>
          <w:noProof/>
          <w:sz w:val="22"/>
          <w:szCs w:val="22"/>
        </w:rPr>
        <w:t>Jeigu abejojate, kreipkitės į  gydytoją arba vaistininką.</w:t>
      </w:r>
      <w:r w:rsidRPr="005D2023">
        <w:rPr>
          <w:sz w:val="22"/>
          <w:szCs w:val="22"/>
        </w:rPr>
        <w:t xml:space="preserve"> </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Tik išoriniam vartojimui.</w:t>
      </w:r>
    </w:p>
    <w:p w:rsidR="000E1787" w:rsidRPr="005D2023" w:rsidRDefault="000E1787" w:rsidP="005D2023">
      <w:pPr>
        <w:pStyle w:val="BTEMEASMCA"/>
        <w:rPr>
          <w:lang w:val="lt-LT"/>
        </w:rPr>
      </w:pPr>
    </w:p>
    <w:p w:rsidR="000E1787" w:rsidRPr="005D2023" w:rsidRDefault="006D7A5A" w:rsidP="005D2023">
      <w:pPr>
        <w:pStyle w:val="BTEMEASMCA"/>
        <w:rPr>
          <w:lang w:val="lt-LT"/>
        </w:rPr>
      </w:pPr>
      <w:r w:rsidRPr="005D2023">
        <w:rPr>
          <w:lang w:val="lt-LT"/>
        </w:rPr>
        <w:t>Vaistą</w:t>
      </w:r>
      <w:r w:rsidR="000E1787" w:rsidRPr="005D2023">
        <w:rPr>
          <w:lang w:val="lt-LT"/>
        </w:rPr>
        <w:t xml:space="preserve"> vartojant pirmą kartą arba po ilgo nevartojimo laikotarpio, gali prireikti pirmą kartą purkšti ant popierinės servetėlės ar panašaus daikto, kad būtų užtikrintas viso purškimo patekimas ant žaizdos.</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b/>
          <w:lang w:val="lt-LT"/>
        </w:rPr>
        <w:t xml:space="preserve">Suaugusiems žmonėms ir vaikams, vyresniems kaip 6 metai: </w:t>
      </w:r>
      <w:r w:rsidRPr="005D2023">
        <w:rPr>
          <w:lang w:val="lt-LT"/>
        </w:rPr>
        <w:t xml:space="preserve">užpurkškite pilną dozę (1-2 įpurškimus) vieną kartą ant kiekvienos žaizdos ir palikite penkioms minutėms. Jeigu reikalinga, naudoti švarią popierinę servetėlę arba medvilninę vatą pertekliniam skysčiui nušluostyti. </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b/>
          <w:lang w:val="lt-LT"/>
        </w:rPr>
        <w:t>Vaikams, vyresniems kaip 1 metų ir jaunesniems kaip 6 metų amžiaus:</w:t>
      </w:r>
      <w:r w:rsidRPr="005D2023">
        <w:rPr>
          <w:lang w:val="lt-LT"/>
        </w:rPr>
        <w:t xml:space="preserve"> jeigu turite klausimų, pasikonsultuokite su vaistininku arba sveikatos priežiūros specialistu prieš vartodami </w:t>
      </w:r>
      <w:r w:rsidR="006D7A5A" w:rsidRPr="005D2023">
        <w:rPr>
          <w:lang w:val="lt-LT"/>
        </w:rPr>
        <w:t>vaistą</w:t>
      </w:r>
      <w:r w:rsidRPr="005D2023">
        <w:rPr>
          <w:lang w:val="lt-LT"/>
        </w:rPr>
        <w:t>.</w:t>
      </w:r>
    </w:p>
    <w:p w:rsidR="000E1787" w:rsidRPr="005D2023" w:rsidRDefault="000E1787" w:rsidP="005D2023">
      <w:pPr>
        <w:pStyle w:val="BTEMEASMCA"/>
        <w:rPr>
          <w:lang w:val="lt-LT"/>
        </w:rPr>
      </w:pPr>
      <w:r w:rsidRPr="005D2023">
        <w:rPr>
          <w:lang w:val="lt-LT"/>
        </w:rPr>
        <w:t xml:space="preserve">Purkškite vieną kartą vieną įpurškimą ant kiekvienos žaizdos </w:t>
      </w:r>
      <w:r w:rsidRPr="005434B0">
        <w:rPr>
          <w:b/>
          <w:lang w:val="lt-LT"/>
        </w:rPr>
        <w:t>(gali būti daugiausiai vartojama vienu kartu ant keturių žaizdų)</w:t>
      </w:r>
      <w:r w:rsidRPr="005D2023">
        <w:rPr>
          <w:lang w:val="lt-LT"/>
        </w:rPr>
        <w:t xml:space="preserve"> ir palikite penkioms minutėms nudžiūti. Jeigu reikalinga, naudoti švarią popierinę servetėlę arba medvilninę vatą  pertekliniam skysčiui nušluostyti.</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Purkšti 4-15 cm atstumu. Neįkvėpti.</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 xml:space="preserve">Muilas gali deaktyvuoti purškalo veikliąją medžiagą, todėl </w:t>
      </w:r>
      <w:r w:rsidR="00281E9C">
        <w:rPr>
          <w:lang w:val="lt-LT"/>
        </w:rPr>
        <w:t>negalima</w:t>
      </w:r>
      <w:r w:rsidRPr="005D2023">
        <w:rPr>
          <w:lang w:val="lt-LT"/>
        </w:rPr>
        <w:t xml:space="preserve"> </w:t>
      </w:r>
      <w:r w:rsidR="00281E9C">
        <w:rPr>
          <w:lang w:val="lt-LT"/>
        </w:rPr>
        <w:t>jo</w:t>
      </w:r>
      <w:r w:rsidRPr="005D2023">
        <w:rPr>
          <w:lang w:val="lt-LT"/>
        </w:rPr>
        <w:t xml:space="preserve"> naudoti </w:t>
      </w:r>
      <w:r w:rsidR="006D7A5A" w:rsidRPr="005D2023">
        <w:rPr>
          <w:lang w:val="lt-LT"/>
        </w:rPr>
        <w:t>vaisto</w:t>
      </w:r>
      <w:r w:rsidRPr="005D2023">
        <w:rPr>
          <w:lang w:val="lt-LT"/>
        </w:rPr>
        <w:t xml:space="preserve"> vartojimo metu. Taip pat ne</w:t>
      </w:r>
      <w:r w:rsidR="00281E9C">
        <w:rPr>
          <w:lang w:val="lt-LT"/>
        </w:rPr>
        <w:t>galima</w:t>
      </w:r>
      <w:r w:rsidRPr="005D2023">
        <w:rPr>
          <w:lang w:val="lt-LT"/>
        </w:rPr>
        <w:t xml:space="preserve"> plauti ar valyti žaizdos.</w:t>
      </w:r>
    </w:p>
    <w:p w:rsidR="000E1787" w:rsidRPr="005D2023" w:rsidRDefault="000E1787" w:rsidP="005D2023">
      <w:pPr>
        <w:pStyle w:val="BTEMEASMCA"/>
        <w:rPr>
          <w:lang w:val="lt-LT"/>
        </w:rPr>
      </w:pPr>
    </w:p>
    <w:p w:rsidR="000E1787" w:rsidRPr="005434B0" w:rsidRDefault="000E1787" w:rsidP="005D2023">
      <w:pPr>
        <w:pStyle w:val="BTEMEASMCA"/>
        <w:rPr>
          <w:b/>
          <w:lang w:val="lt-LT"/>
        </w:rPr>
      </w:pPr>
      <w:r w:rsidRPr="005D2023">
        <w:rPr>
          <w:lang w:val="lt-LT"/>
        </w:rPr>
        <w:t xml:space="preserve">Purškalo galima pakartotinai vartoti, jeigu atsinaujina žaizda. </w:t>
      </w:r>
      <w:r w:rsidR="006D7A5A" w:rsidRPr="005D2023">
        <w:rPr>
          <w:lang w:val="lt-LT"/>
        </w:rPr>
        <w:t>Vaistas</w:t>
      </w:r>
      <w:r w:rsidRPr="005D2023">
        <w:rPr>
          <w:lang w:val="lt-LT"/>
        </w:rPr>
        <w:t xml:space="preserve"> negali būti vartojamas tęstiniam gydymui ir </w:t>
      </w:r>
      <w:r w:rsidRPr="005434B0">
        <w:rPr>
          <w:b/>
          <w:lang w:val="lt-LT"/>
        </w:rPr>
        <w:t>gali būti vartojamas vieną kartą per parą ilgiausiai 3 – 5 dienas.</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Jeigu kiltų daugiau klausimų dėl šio vaisto vartojimo, kreipkitės į gydytoją arba vaistininką.</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 xml:space="preserve"> </w:t>
      </w:r>
    </w:p>
    <w:p w:rsidR="000E1787" w:rsidRPr="005D2023" w:rsidRDefault="000E1787" w:rsidP="000E1787">
      <w:pPr>
        <w:pStyle w:val="PI-1EMEASMCA"/>
      </w:pPr>
      <w:bookmarkStart w:id="9" w:name="_Toc129243142"/>
      <w:bookmarkStart w:id="10" w:name="_Toc129243267"/>
      <w:r w:rsidRPr="005D2023">
        <w:t>4.</w:t>
      </w:r>
      <w:r w:rsidRPr="005D2023">
        <w:tab/>
        <w:t>Galimas šalutinis poveikis</w:t>
      </w:r>
      <w:bookmarkEnd w:id="9"/>
      <w:bookmarkEnd w:id="10"/>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Šis vaistas, kaip ir visi kiti, gali sukelti šalutinį poveikį, nors jis pasireiškia ne visiems žmonėms.</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 xml:space="preserve">Pranešta apie labai retus (pasireiškia 1 iš 10 000 </w:t>
      </w:r>
      <w:r w:rsidR="003649B2">
        <w:rPr>
          <w:lang w:val="lt-LT"/>
        </w:rPr>
        <w:t>vartotojų</w:t>
      </w:r>
      <w:r w:rsidRPr="005D2023">
        <w:rPr>
          <w:lang w:val="lt-LT"/>
        </w:rPr>
        <w:t xml:space="preserve">) šalutinių poveikių atvejus. Jie pasireiškia po vietinio mažų žaizdų valymo ir sukelia tokius nepageidaujamus poveikius – odos niežulys, išbėrimas, odos suerzinimas, deginimo pojūtis, patinimas ir odos spalvos pokyčiai arba paraudimas. </w:t>
      </w:r>
      <w:r w:rsidRPr="005D2023">
        <w:rPr>
          <w:lang w:val="lt-LT"/>
        </w:rPr>
        <w:lastRenderedPageBreak/>
        <w:t xml:space="preserve">Gali pasireikšti srities, ant kurios buvo vartotas </w:t>
      </w:r>
      <w:r w:rsidR="006D7A5A" w:rsidRPr="005D2023">
        <w:rPr>
          <w:lang w:val="lt-LT"/>
        </w:rPr>
        <w:t>vaistas</w:t>
      </w:r>
      <w:r w:rsidRPr="005D2023">
        <w:rPr>
          <w:lang w:val="lt-LT"/>
        </w:rPr>
        <w:t xml:space="preserve">, nepageidaujamos reakcijos, tokios kaip lupimasis sluoksniais. Pasireiškus tokioms reakcijoms, nustokite vartoti </w:t>
      </w:r>
      <w:r w:rsidR="006D7A5A" w:rsidRPr="005D2023">
        <w:rPr>
          <w:lang w:val="lt-LT"/>
        </w:rPr>
        <w:t>vaistą</w:t>
      </w:r>
      <w:r w:rsidRPr="005D2023">
        <w:rPr>
          <w:lang w:val="lt-LT"/>
        </w:rPr>
        <w:t xml:space="preserve"> ir pasitarkite su gydytoju arba vaistininku. Jeigu sergate egzema, </w:t>
      </w:r>
      <w:r w:rsidR="005D2023" w:rsidRPr="005D2023">
        <w:rPr>
          <w:lang w:val="lt-LT"/>
        </w:rPr>
        <w:t>vaisto</w:t>
      </w:r>
      <w:r w:rsidRPr="005D2023">
        <w:rPr>
          <w:lang w:val="lt-LT"/>
        </w:rPr>
        <w:t xml:space="preserve"> vartojimas gali ją pabloginti. Buvo pastebėta plaukų slinkimo atvejų. </w:t>
      </w:r>
    </w:p>
    <w:p w:rsidR="000E1787" w:rsidRPr="005D2023" w:rsidRDefault="000E1787" w:rsidP="005D2023">
      <w:pPr>
        <w:pStyle w:val="BTEMEASMCA"/>
        <w:rPr>
          <w:lang w:val="lt-LT"/>
        </w:rPr>
      </w:pPr>
    </w:p>
    <w:p w:rsidR="000E1787" w:rsidRPr="005D2023" w:rsidRDefault="000E1787" w:rsidP="000E1787">
      <w:pPr>
        <w:rPr>
          <w:b/>
          <w:sz w:val="22"/>
          <w:szCs w:val="22"/>
        </w:rPr>
      </w:pPr>
      <w:r w:rsidRPr="005D2023">
        <w:rPr>
          <w:b/>
          <w:noProof/>
          <w:sz w:val="22"/>
          <w:szCs w:val="22"/>
        </w:rPr>
        <w:t>Pranešimas apie šalutinį poveikį</w:t>
      </w:r>
    </w:p>
    <w:p w:rsidR="000E1787" w:rsidRPr="005D2023" w:rsidRDefault="000E1787" w:rsidP="000E1787">
      <w:pPr>
        <w:ind w:right="-449"/>
        <w:rPr>
          <w:noProof/>
          <w:sz w:val="22"/>
          <w:szCs w:val="22"/>
        </w:rPr>
      </w:pPr>
      <w:r w:rsidRPr="005D2023">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D2023">
        <w:rPr>
          <w:sz w:val="22"/>
          <w:szCs w:val="22"/>
          <w:lang w:eastAsia="zh-CN"/>
        </w:rPr>
        <w:t>elefonu 8 800 73568</w:t>
      </w:r>
      <w:r w:rsidRPr="005D2023">
        <w:rPr>
          <w:sz w:val="22"/>
          <w:szCs w:val="22"/>
        </w:rPr>
        <w:t xml:space="preserve"> arba užpildyti interneto svetainėje </w:t>
      </w:r>
      <w:hyperlink r:id="rId8" w:history="1">
        <w:r w:rsidRPr="005D2023">
          <w:rPr>
            <w:rStyle w:val="Hyperlink"/>
            <w:rFonts w:eastAsia="SimSun"/>
            <w:sz w:val="22"/>
            <w:szCs w:val="22"/>
          </w:rPr>
          <w:t>www.vvkt.lt</w:t>
        </w:r>
      </w:hyperlink>
      <w:r w:rsidRPr="005D2023">
        <w:rPr>
          <w:sz w:val="22"/>
          <w:szCs w:val="22"/>
        </w:rPr>
        <w:t xml:space="preserve"> esančią formą ir pateikti ją Valstybinei vaistų kontrolės tarnybai prie Lietuvos Respublikos sveikatos apsaugos ministerijos vienu iš šių būdų: raštu (adresu Žirmūnų g. 139A, LT-09120 Vilnius), </w:t>
      </w:r>
      <w:r w:rsidRPr="005D2023">
        <w:rPr>
          <w:sz w:val="22"/>
          <w:szCs w:val="22"/>
          <w:lang w:eastAsia="zh-CN"/>
        </w:rPr>
        <w:t xml:space="preserve">nemokamu </w:t>
      </w:r>
      <w:r w:rsidRPr="005D2023">
        <w:rPr>
          <w:sz w:val="22"/>
          <w:szCs w:val="22"/>
        </w:rPr>
        <w:t>fakso numeriu 8 800 20131</w:t>
      </w:r>
      <w:r w:rsidRPr="005D2023">
        <w:rPr>
          <w:sz w:val="22"/>
          <w:szCs w:val="22"/>
          <w:lang w:eastAsia="zh-CN"/>
        </w:rPr>
        <w:t xml:space="preserve">, </w:t>
      </w:r>
      <w:r w:rsidRPr="005D2023">
        <w:rPr>
          <w:sz w:val="22"/>
          <w:szCs w:val="22"/>
        </w:rPr>
        <w:t xml:space="preserve">el. paštu </w:t>
      </w:r>
      <w:hyperlink r:id="rId9" w:history="1">
        <w:r w:rsidRPr="005D2023">
          <w:rPr>
            <w:rStyle w:val="Hyperlink"/>
            <w:rFonts w:eastAsia="SimSun"/>
            <w:sz w:val="22"/>
            <w:szCs w:val="22"/>
          </w:rPr>
          <w:t>NepageidaujamaR@vvkt.lt</w:t>
        </w:r>
      </w:hyperlink>
      <w:r w:rsidRPr="005D2023">
        <w:rPr>
          <w:sz w:val="22"/>
          <w:szCs w:val="22"/>
        </w:rPr>
        <w:t xml:space="preserve">, taip pat per Valstybinės vaistų kontrolės tarnybos prie Lietuvos Respublikos sveikatos apsaugos ministerijos interneto svetainę (adresu </w:t>
      </w:r>
      <w:hyperlink r:id="rId10" w:history="1">
        <w:r w:rsidRPr="005D2023">
          <w:rPr>
            <w:rStyle w:val="Hyperlink"/>
            <w:rFonts w:eastAsia="SimSun"/>
            <w:sz w:val="22"/>
            <w:szCs w:val="22"/>
          </w:rPr>
          <w:t>http://www.vvkt.lt</w:t>
        </w:r>
      </w:hyperlink>
      <w:r w:rsidRPr="005D2023">
        <w:rPr>
          <w:sz w:val="22"/>
          <w:szCs w:val="22"/>
        </w:rPr>
        <w:t>). Pranešdami apie šalutinį poveikį galite mums padėti gauti daugiau informacijos apie šio vaisto saugumą.</w:t>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EMEASMCA"/>
      </w:pPr>
      <w:bookmarkStart w:id="11" w:name="_Toc129243143"/>
      <w:bookmarkStart w:id="12" w:name="_Toc129243268"/>
      <w:r w:rsidRPr="005D2023">
        <w:t>5.</w:t>
      </w:r>
      <w:r w:rsidRPr="005D2023">
        <w:tab/>
        <w:t>Kaip laikyti Dettol Med</w:t>
      </w:r>
      <w:bookmarkEnd w:id="11"/>
      <w:bookmarkEnd w:id="12"/>
    </w:p>
    <w:p w:rsidR="000E1787" w:rsidRPr="005D2023" w:rsidRDefault="000E1787" w:rsidP="006D7A5A">
      <w:pPr>
        <w:pStyle w:val="BTEMEASMCA"/>
        <w:rPr>
          <w:lang w:val="lt-LT"/>
        </w:rPr>
      </w:pPr>
    </w:p>
    <w:p w:rsidR="000E1787" w:rsidRPr="005D2023" w:rsidRDefault="000E1787" w:rsidP="000E1787">
      <w:pPr>
        <w:numPr>
          <w:ilvl w:val="12"/>
          <w:numId w:val="0"/>
        </w:numPr>
        <w:ind w:right="-2"/>
        <w:rPr>
          <w:sz w:val="22"/>
          <w:szCs w:val="22"/>
        </w:rPr>
      </w:pPr>
      <w:r w:rsidRPr="005D2023">
        <w:rPr>
          <w:noProof/>
          <w:sz w:val="22"/>
          <w:szCs w:val="22"/>
        </w:rPr>
        <w:t>Šį vaistą laikykite vaikams nepastebimoje ir nepasiekiamoje vietoje.</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Ant buteliuko etiketės ir lizdinės plokštelės su kartoniniu įdėklu po „Tinka iki“ bei buteliuko po „EXP“ nurodytam tinkamumo laikui pasibaigus, šio vaisto vartoti negalima. Vaistas tinkamas vartoti iki paskutinės nurodyto mėnesio dienos.</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 xml:space="preserve">Šiam </w:t>
      </w:r>
      <w:r w:rsidR="006D7A5A" w:rsidRPr="005D2023">
        <w:rPr>
          <w:lang w:val="lt-LT"/>
        </w:rPr>
        <w:t>vaistui</w:t>
      </w:r>
      <w:r w:rsidRPr="005D2023">
        <w:rPr>
          <w:lang w:val="lt-LT"/>
        </w:rPr>
        <w:t xml:space="preserve"> specialių laikymo sąlygų nereikia.</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Vaistų negalima išmesti į kanalizaciją arba su buitinėmis atliekomis. Kaip išmesti nereikalingus vaistus, klauskite vaistininko. Šios priemonės padės apsaugoti aplinką.</w:t>
      </w:r>
      <w:r w:rsidRPr="005D2023" w:rsidDel="000A61BA">
        <w:rPr>
          <w:lang w:val="lt-LT"/>
        </w:rPr>
        <w:t xml:space="preserve"> </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EMEASMCA"/>
      </w:pPr>
      <w:bookmarkStart w:id="13" w:name="_Toc129243144"/>
      <w:bookmarkStart w:id="14" w:name="_Toc129243269"/>
      <w:r w:rsidRPr="005D2023">
        <w:t>6.</w:t>
      </w:r>
      <w:r w:rsidRPr="005D2023">
        <w:tab/>
        <w:t>Pakuotės turinys ir kita informacija</w:t>
      </w:r>
      <w:bookmarkEnd w:id="13"/>
      <w:bookmarkEnd w:id="14"/>
    </w:p>
    <w:p w:rsidR="000E1787" w:rsidRPr="005D2023" w:rsidRDefault="000E1787" w:rsidP="006D7A5A">
      <w:pPr>
        <w:pStyle w:val="BTEMEASMCA"/>
        <w:rPr>
          <w:lang w:val="lt-LT"/>
        </w:rPr>
      </w:pPr>
    </w:p>
    <w:p w:rsidR="000E1787" w:rsidRPr="005D2023" w:rsidRDefault="000E1787" w:rsidP="000E1787">
      <w:pPr>
        <w:pStyle w:val="PI-3EMEASMCA"/>
        <w:ind w:firstLine="0"/>
      </w:pPr>
      <w:r w:rsidRPr="005D2023">
        <w:t>Dettol Med odos purškalo sudėtis</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Veiklioji medžiaga yra benzalkonio chloridas. Viename mililitre tirpalo jo yra 2 mg.</w:t>
      </w:r>
    </w:p>
    <w:p w:rsidR="000E1787" w:rsidRPr="005D2023" w:rsidRDefault="000E1787" w:rsidP="005D2023">
      <w:pPr>
        <w:pStyle w:val="BTEMEASMCA"/>
        <w:rPr>
          <w:lang w:val="lt-LT"/>
        </w:rPr>
      </w:pPr>
      <w:r w:rsidRPr="005D2023">
        <w:rPr>
          <w:lang w:val="lt-LT"/>
        </w:rPr>
        <w:t>-</w:t>
      </w:r>
      <w:r w:rsidRPr="005D2023">
        <w:rPr>
          <w:lang w:val="lt-LT"/>
        </w:rPr>
        <w:tab/>
      </w:r>
      <w:r w:rsidR="006D7A5A" w:rsidRPr="005D2023">
        <w:rPr>
          <w:lang w:val="lt-LT"/>
        </w:rPr>
        <w:tab/>
      </w:r>
      <w:r w:rsidRPr="005D2023">
        <w:rPr>
          <w:lang w:val="lt-LT"/>
        </w:rPr>
        <w:t>Pagalbinės medžiagos yra propilengikolis, natrio-divandenilio fosfat</w:t>
      </w:r>
      <w:r w:rsidR="008A7AFD">
        <w:rPr>
          <w:lang w:val="lt-LT"/>
        </w:rPr>
        <w:t>as</w:t>
      </w:r>
      <w:r w:rsidRPr="005D2023">
        <w:rPr>
          <w:lang w:val="lt-LT"/>
        </w:rPr>
        <w:t xml:space="preserve"> dihidratas, dinatrio vandenilio fosfat</w:t>
      </w:r>
      <w:r w:rsidR="008A7AFD">
        <w:rPr>
          <w:lang w:val="lt-LT"/>
        </w:rPr>
        <w:t>as</w:t>
      </w:r>
      <w:r w:rsidRPr="005D2023">
        <w:rPr>
          <w:lang w:val="lt-LT"/>
        </w:rPr>
        <w:t xml:space="preserve"> dodekahidratas, švelnaus pušų aromato medžiaga, dinatrio edetatas ir išgrynintas vanduo.</w:t>
      </w:r>
    </w:p>
    <w:p w:rsidR="000E1787" w:rsidRPr="005D2023" w:rsidRDefault="000E1787" w:rsidP="005D2023">
      <w:pPr>
        <w:pStyle w:val="BTEMEASMCA"/>
        <w:rPr>
          <w:lang w:val="lt-LT"/>
        </w:rPr>
      </w:pPr>
    </w:p>
    <w:p w:rsidR="000E1787" w:rsidRPr="005D2023" w:rsidRDefault="000E1787" w:rsidP="000E1787">
      <w:pPr>
        <w:pStyle w:val="PI-3EMEASMCA"/>
        <w:ind w:firstLine="0"/>
      </w:pPr>
      <w:r w:rsidRPr="005D2023">
        <w:t>Dettol Med išvaizda ir kiekis pakuotėje</w:t>
      </w:r>
    </w:p>
    <w:p w:rsidR="000E1787" w:rsidRPr="005D2023" w:rsidRDefault="000E1787" w:rsidP="000E1787">
      <w:pPr>
        <w:pStyle w:val="PI-3EMEASMCA"/>
      </w:pPr>
    </w:p>
    <w:p w:rsidR="000E1787" w:rsidRPr="005D2023" w:rsidRDefault="000E1787" w:rsidP="006D7A5A">
      <w:pPr>
        <w:pStyle w:val="BTEMEASMCA"/>
        <w:rPr>
          <w:lang w:val="lt-LT"/>
        </w:rPr>
      </w:pPr>
      <w:r w:rsidRPr="005D2023">
        <w:rPr>
          <w:lang w:val="lt-LT"/>
        </w:rPr>
        <w:t>Dettol Med odos purškalas (tirpalas) yra skaidrus, bespalvis silpno pušų kvapo skystis.</w:t>
      </w:r>
    </w:p>
    <w:p w:rsidR="000E1787" w:rsidRPr="005D2023" w:rsidRDefault="000E1787" w:rsidP="006D7A5A">
      <w:pPr>
        <w:pStyle w:val="BTEMEASMCA"/>
        <w:rPr>
          <w:lang w:val="lt-LT"/>
        </w:rPr>
      </w:pPr>
      <w:r w:rsidRPr="005D2023">
        <w:rPr>
          <w:lang w:val="lt-LT"/>
        </w:rPr>
        <w:t>Vaist</w:t>
      </w:r>
      <w:r w:rsidR="006D7A5A" w:rsidRPr="005D2023">
        <w:rPr>
          <w:lang w:val="lt-LT"/>
        </w:rPr>
        <w:t>as</w:t>
      </w:r>
      <w:r w:rsidRPr="005D2023">
        <w:rPr>
          <w:lang w:val="lt-LT"/>
        </w:rPr>
        <w:t xml:space="preserve"> tiekiamas polipropileno buteliukuose su mechaniniu purkštuku po 10 ml, supakuotu polietileno tereftalato lizdinėje plokštelėje ir kartoniname įdėkle bei DTPE buteliukuose su mechaniniu purkštuku po 100 ml tirpalo.</w:t>
      </w:r>
    </w:p>
    <w:p w:rsidR="000E1787" w:rsidRPr="005D2023" w:rsidRDefault="000E1787" w:rsidP="005D2023">
      <w:pPr>
        <w:pStyle w:val="BTEMEASMCA"/>
        <w:rPr>
          <w:lang w:val="lt-LT"/>
        </w:rPr>
      </w:pPr>
    </w:p>
    <w:p w:rsidR="000E1787" w:rsidRPr="005D2023" w:rsidRDefault="000E1787" w:rsidP="005D2023">
      <w:pPr>
        <w:pStyle w:val="BTEMEASMCA"/>
        <w:rPr>
          <w:noProof/>
          <w:lang w:val="lt-LT"/>
        </w:rPr>
      </w:pPr>
      <w:r w:rsidRPr="005D2023">
        <w:rPr>
          <w:noProof/>
          <w:lang w:val="lt-LT"/>
        </w:rPr>
        <w:t>Gali būti tiekiamos ne visų dydžių pakuotės.</w:t>
      </w:r>
    </w:p>
    <w:p w:rsidR="000E1787" w:rsidRPr="005D2023" w:rsidRDefault="000E1787" w:rsidP="005D2023">
      <w:pPr>
        <w:pStyle w:val="BTEMEASMCA"/>
        <w:rPr>
          <w:lang w:val="lt-LT"/>
        </w:rPr>
      </w:pPr>
    </w:p>
    <w:p w:rsidR="000E1787" w:rsidRPr="005D2023" w:rsidRDefault="000E1787" w:rsidP="000E1787">
      <w:pPr>
        <w:pStyle w:val="PI-3EMEASMCA"/>
        <w:ind w:firstLine="0"/>
      </w:pPr>
      <w:r w:rsidRPr="005D2023">
        <w:t xml:space="preserve">Registruotojas ir gamintojas </w:t>
      </w:r>
    </w:p>
    <w:p w:rsidR="000E1787" w:rsidRPr="005D2023" w:rsidRDefault="000E1787" w:rsidP="006D7A5A">
      <w:pPr>
        <w:pStyle w:val="BTEMEASMCA"/>
        <w:rPr>
          <w:lang w:val="lt-LT"/>
        </w:rPr>
      </w:pPr>
    </w:p>
    <w:p w:rsidR="000E1787" w:rsidRPr="005D2023" w:rsidRDefault="000E1787" w:rsidP="000E1787">
      <w:pPr>
        <w:rPr>
          <w:rFonts w:eastAsia="Arial Unicode MS"/>
          <w:i/>
          <w:noProof/>
          <w:sz w:val="22"/>
          <w:szCs w:val="22"/>
        </w:rPr>
      </w:pPr>
      <w:r w:rsidRPr="005D2023">
        <w:rPr>
          <w:rFonts w:eastAsia="Arial Unicode MS"/>
          <w:i/>
          <w:noProof/>
          <w:sz w:val="22"/>
          <w:szCs w:val="22"/>
        </w:rPr>
        <w:t>Registruotojas</w:t>
      </w:r>
    </w:p>
    <w:p w:rsidR="000E1787" w:rsidRPr="005D2023" w:rsidRDefault="000E1787" w:rsidP="000E1787">
      <w:pPr>
        <w:rPr>
          <w:sz w:val="22"/>
          <w:szCs w:val="22"/>
        </w:rPr>
      </w:pPr>
      <w:r w:rsidRPr="005D2023">
        <w:rPr>
          <w:sz w:val="22"/>
          <w:szCs w:val="22"/>
        </w:rPr>
        <w:t>Reckitt Benckiser (Poland) SA</w:t>
      </w:r>
    </w:p>
    <w:p w:rsidR="000E1787" w:rsidRPr="005D2023" w:rsidRDefault="000E1787" w:rsidP="000E1787">
      <w:pPr>
        <w:tabs>
          <w:tab w:val="left" w:pos="0"/>
        </w:tabs>
        <w:rPr>
          <w:sz w:val="22"/>
          <w:szCs w:val="22"/>
          <w:lang w:eastAsia="de-DE"/>
        </w:rPr>
      </w:pPr>
      <w:r w:rsidRPr="005D2023">
        <w:rPr>
          <w:sz w:val="22"/>
          <w:szCs w:val="22"/>
          <w:lang w:eastAsia="de-DE"/>
        </w:rPr>
        <w:t xml:space="preserve">Ul. Okunin 1 </w:t>
      </w:r>
    </w:p>
    <w:p w:rsidR="000E1787" w:rsidRPr="005D2023" w:rsidRDefault="000E1787" w:rsidP="000E1787">
      <w:pPr>
        <w:tabs>
          <w:tab w:val="left" w:pos="0"/>
        </w:tabs>
        <w:rPr>
          <w:sz w:val="22"/>
          <w:szCs w:val="22"/>
          <w:lang w:eastAsia="de-DE"/>
        </w:rPr>
      </w:pPr>
      <w:r w:rsidRPr="005D2023">
        <w:rPr>
          <w:sz w:val="22"/>
          <w:szCs w:val="22"/>
          <w:lang w:eastAsia="de-DE"/>
        </w:rPr>
        <w:t xml:space="preserve">05-100 Nowy Dwor Mazowiecki </w:t>
      </w:r>
    </w:p>
    <w:p w:rsidR="000E1787" w:rsidRPr="005D2023" w:rsidRDefault="000E1787" w:rsidP="000E1787">
      <w:pPr>
        <w:tabs>
          <w:tab w:val="left" w:pos="0"/>
        </w:tabs>
        <w:rPr>
          <w:sz w:val="22"/>
          <w:szCs w:val="22"/>
          <w:lang w:eastAsia="de-DE"/>
        </w:rPr>
      </w:pPr>
      <w:r w:rsidRPr="005D2023">
        <w:rPr>
          <w:sz w:val="22"/>
          <w:szCs w:val="22"/>
          <w:lang w:eastAsia="de-DE"/>
        </w:rPr>
        <w:t>Lenkija</w:t>
      </w:r>
    </w:p>
    <w:p w:rsidR="000E1787" w:rsidRPr="005D2023" w:rsidRDefault="000E1787" w:rsidP="006D7A5A">
      <w:pPr>
        <w:pStyle w:val="BTEMEASMCA"/>
        <w:rPr>
          <w:lang w:val="lt-LT"/>
        </w:rPr>
      </w:pPr>
    </w:p>
    <w:p w:rsidR="000E1787" w:rsidRPr="005D2023" w:rsidRDefault="000E1787" w:rsidP="000E1787">
      <w:pPr>
        <w:rPr>
          <w:i/>
          <w:sz w:val="22"/>
          <w:szCs w:val="22"/>
        </w:rPr>
      </w:pPr>
      <w:r w:rsidRPr="005D2023">
        <w:rPr>
          <w:i/>
          <w:sz w:val="22"/>
          <w:szCs w:val="22"/>
        </w:rPr>
        <w:lastRenderedPageBreak/>
        <w:t>Gamintoja</w:t>
      </w:r>
      <w:r w:rsidR="00522A87" w:rsidRPr="005D2023">
        <w:rPr>
          <w:i/>
          <w:sz w:val="22"/>
          <w:szCs w:val="22"/>
        </w:rPr>
        <w:t>i</w:t>
      </w:r>
    </w:p>
    <w:p w:rsidR="000E1787" w:rsidRPr="005D2023" w:rsidRDefault="000E1787" w:rsidP="000E1787">
      <w:pPr>
        <w:pStyle w:val="Default"/>
        <w:jc w:val="both"/>
        <w:rPr>
          <w:iCs/>
          <w:sz w:val="22"/>
          <w:szCs w:val="22"/>
          <w:lang w:val="lt-LT"/>
        </w:rPr>
      </w:pPr>
      <w:r w:rsidRPr="005D2023">
        <w:rPr>
          <w:iCs/>
          <w:sz w:val="22"/>
          <w:szCs w:val="22"/>
          <w:lang w:val="lt-LT"/>
        </w:rPr>
        <w:t>Reckitt Benckiser</w:t>
      </w:r>
      <w:r w:rsidRPr="005D2023">
        <w:rPr>
          <w:i/>
          <w:iCs/>
          <w:sz w:val="22"/>
          <w:szCs w:val="22"/>
          <w:lang w:val="lt-LT"/>
        </w:rPr>
        <w:t xml:space="preserve"> </w:t>
      </w:r>
      <w:r w:rsidRPr="005D2023">
        <w:rPr>
          <w:iCs/>
          <w:sz w:val="22"/>
          <w:szCs w:val="22"/>
          <w:lang w:val="lt-LT"/>
        </w:rPr>
        <w:t>Healthcare (UK) Ltd</w:t>
      </w:r>
    </w:p>
    <w:p w:rsidR="000E1787" w:rsidRPr="005D2023" w:rsidRDefault="000E1787" w:rsidP="000E1787">
      <w:pPr>
        <w:pStyle w:val="Default"/>
        <w:jc w:val="both"/>
        <w:rPr>
          <w:iCs/>
          <w:sz w:val="22"/>
          <w:szCs w:val="22"/>
          <w:lang w:val="lt-LT"/>
        </w:rPr>
      </w:pPr>
      <w:r w:rsidRPr="005D2023">
        <w:rPr>
          <w:iCs/>
          <w:sz w:val="22"/>
          <w:szCs w:val="22"/>
          <w:lang w:val="lt-LT"/>
        </w:rPr>
        <w:t>Dansom Lane</w:t>
      </w:r>
    </w:p>
    <w:p w:rsidR="000E1787" w:rsidRPr="005D2023" w:rsidRDefault="000E1787" w:rsidP="000E1787">
      <w:pPr>
        <w:pStyle w:val="Default"/>
        <w:jc w:val="both"/>
        <w:rPr>
          <w:iCs/>
          <w:sz w:val="22"/>
          <w:szCs w:val="22"/>
          <w:lang w:val="lt-LT"/>
        </w:rPr>
      </w:pPr>
      <w:r w:rsidRPr="005D2023">
        <w:rPr>
          <w:iCs/>
          <w:sz w:val="22"/>
          <w:szCs w:val="22"/>
          <w:lang w:val="lt-LT"/>
        </w:rPr>
        <w:t>Hull, East Yorkshire</w:t>
      </w:r>
    </w:p>
    <w:p w:rsidR="000E1787" w:rsidRPr="005D2023" w:rsidRDefault="000E1787" w:rsidP="000E1787">
      <w:pPr>
        <w:pStyle w:val="Default"/>
        <w:jc w:val="both"/>
        <w:rPr>
          <w:iCs/>
          <w:sz w:val="22"/>
          <w:szCs w:val="22"/>
          <w:lang w:val="lt-LT"/>
        </w:rPr>
      </w:pPr>
      <w:r w:rsidRPr="005D2023">
        <w:rPr>
          <w:iCs/>
          <w:sz w:val="22"/>
          <w:szCs w:val="22"/>
          <w:lang w:val="lt-LT"/>
        </w:rPr>
        <w:t>HU8 7DS</w:t>
      </w:r>
    </w:p>
    <w:p w:rsidR="000E1787" w:rsidRPr="005D2023" w:rsidRDefault="000E1787" w:rsidP="000E1787">
      <w:pPr>
        <w:pStyle w:val="Default"/>
        <w:jc w:val="both"/>
        <w:rPr>
          <w:iCs/>
          <w:sz w:val="22"/>
          <w:szCs w:val="22"/>
          <w:lang w:val="lt-LT"/>
        </w:rPr>
      </w:pPr>
      <w:r w:rsidRPr="005D2023">
        <w:rPr>
          <w:iCs/>
          <w:sz w:val="22"/>
          <w:szCs w:val="22"/>
          <w:lang w:val="lt-LT"/>
        </w:rPr>
        <w:t>Jungtinė Karalystė</w:t>
      </w:r>
    </w:p>
    <w:p w:rsidR="000E1787" w:rsidRPr="005D2023" w:rsidRDefault="000E1787" w:rsidP="006D7A5A">
      <w:pPr>
        <w:pStyle w:val="BTEMEASMCA"/>
        <w:rPr>
          <w:lang w:val="lt-LT"/>
        </w:rPr>
      </w:pPr>
    </w:p>
    <w:p w:rsidR="00522A87" w:rsidRPr="005D2023" w:rsidRDefault="00522A87" w:rsidP="005D2023">
      <w:pPr>
        <w:pStyle w:val="BTEMEASMCA"/>
        <w:rPr>
          <w:lang w:val="lt-LT"/>
        </w:rPr>
      </w:pPr>
      <w:r w:rsidRPr="005D2023">
        <w:rPr>
          <w:lang w:val="lt-LT"/>
        </w:rPr>
        <w:t>RB NL Brands B.V.</w:t>
      </w:r>
    </w:p>
    <w:p w:rsidR="00522A87" w:rsidRPr="005D2023" w:rsidRDefault="00522A87" w:rsidP="005D2023">
      <w:pPr>
        <w:pStyle w:val="BTEMEASMCA"/>
        <w:rPr>
          <w:lang w:val="lt-LT"/>
        </w:rPr>
      </w:pPr>
      <w:r w:rsidRPr="005D2023">
        <w:rPr>
          <w:lang w:val="lt-LT"/>
        </w:rPr>
        <w:t>WTC Schiphol Airport</w:t>
      </w:r>
    </w:p>
    <w:p w:rsidR="00522A87" w:rsidRPr="005D2023" w:rsidRDefault="00522A87" w:rsidP="005D2023">
      <w:pPr>
        <w:pStyle w:val="BTEMEASMCA"/>
        <w:rPr>
          <w:lang w:val="lt-LT"/>
        </w:rPr>
      </w:pPr>
      <w:r w:rsidRPr="005D2023">
        <w:rPr>
          <w:lang w:val="lt-LT"/>
        </w:rPr>
        <w:t>Schiphol Boulevard 207</w:t>
      </w:r>
    </w:p>
    <w:p w:rsidR="00522A87" w:rsidRPr="005D2023" w:rsidRDefault="00522A87" w:rsidP="005D2023">
      <w:pPr>
        <w:pStyle w:val="BTEMEASMCA"/>
        <w:rPr>
          <w:lang w:val="lt-LT"/>
        </w:rPr>
      </w:pPr>
      <w:r w:rsidRPr="005D2023">
        <w:rPr>
          <w:lang w:val="lt-LT"/>
        </w:rPr>
        <w:t>1118 BH Schiphol</w:t>
      </w:r>
    </w:p>
    <w:p w:rsidR="00522A87" w:rsidRPr="005D2023" w:rsidRDefault="00522A87" w:rsidP="005D2023">
      <w:pPr>
        <w:pStyle w:val="BTEMEASMCA"/>
        <w:rPr>
          <w:lang w:val="lt-LT"/>
        </w:rPr>
      </w:pPr>
      <w:r w:rsidRPr="005D2023">
        <w:rPr>
          <w:lang w:val="lt-LT"/>
        </w:rPr>
        <w:t>Nyderlandai</w:t>
      </w:r>
    </w:p>
    <w:p w:rsidR="00522A87" w:rsidRPr="005D2023" w:rsidRDefault="00522A87" w:rsidP="005D2023">
      <w:pPr>
        <w:pStyle w:val="BTEMEASMCA"/>
        <w:rPr>
          <w:lang w:val="lt-LT"/>
        </w:rPr>
      </w:pPr>
    </w:p>
    <w:p w:rsidR="000E1787" w:rsidRPr="005D2023" w:rsidRDefault="000E1787" w:rsidP="005D2023">
      <w:pPr>
        <w:pStyle w:val="BTEMEASMCA"/>
        <w:rPr>
          <w:lang w:val="lt-LT"/>
        </w:rPr>
      </w:pPr>
      <w:r w:rsidRPr="005D2023">
        <w:rPr>
          <w:lang w:val="lt-LT"/>
        </w:rPr>
        <w:t>Jeigu apie šį vaistą norite sužinoti daugiau, kreipkitės į registruotojo atstovą.</w:t>
      </w:r>
    </w:p>
    <w:p w:rsidR="000E1787" w:rsidRPr="005D2023" w:rsidRDefault="000E1787" w:rsidP="000E1787">
      <w:pPr>
        <w:rPr>
          <w:sz w:val="22"/>
          <w:szCs w:val="22"/>
        </w:rPr>
      </w:pPr>
    </w:p>
    <w:tbl>
      <w:tblPr>
        <w:tblW w:w="4678" w:type="dxa"/>
        <w:tblInd w:w="-34" w:type="dxa"/>
        <w:tblLayout w:type="fixed"/>
        <w:tblLook w:val="0000" w:firstRow="0" w:lastRow="0" w:firstColumn="0" w:lastColumn="0" w:noHBand="0" w:noVBand="0"/>
      </w:tblPr>
      <w:tblGrid>
        <w:gridCol w:w="4678"/>
      </w:tblGrid>
      <w:tr w:rsidR="000E1787" w:rsidRPr="005D2023" w:rsidTr="00323E2F">
        <w:tc>
          <w:tcPr>
            <w:tcW w:w="4678" w:type="dxa"/>
          </w:tcPr>
          <w:p w:rsidR="000E1787" w:rsidRPr="005D2023" w:rsidRDefault="000E1787" w:rsidP="00323E2F">
            <w:pPr>
              <w:tabs>
                <w:tab w:val="left" w:pos="567"/>
              </w:tabs>
              <w:rPr>
                <w:sz w:val="22"/>
                <w:szCs w:val="22"/>
              </w:rPr>
            </w:pPr>
            <w:r w:rsidRPr="005D2023">
              <w:rPr>
                <w:sz w:val="22"/>
                <w:szCs w:val="22"/>
              </w:rPr>
              <w:t>UAB “Baltijos Bitė”</w:t>
            </w:r>
          </w:p>
          <w:p w:rsidR="000E1787" w:rsidRPr="005D2023" w:rsidRDefault="000E1787" w:rsidP="006D7A5A">
            <w:pPr>
              <w:pStyle w:val="BTEMEASMCA"/>
              <w:rPr>
                <w:lang w:val="lt-LT"/>
              </w:rPr>
            </w:pPr>
            <w:r w:rsidRPr="005D2023">
              <w:rPr>
                <w:lang w:val="lt-LT"/>
              </w:rPr>
              <w:t>Vytauto pr. 2</w:t>
            </w:r>
            <w:r w:rsidR="002717F3" w:rsidRPr="005D2023">
              <w:rPr>
                <w:lang w:val="lt-LT"/>
              </w:rPr>
              <w:t>9</w:t>
            </w:r>
            <w:r w:rsidRPr="005D2023">
              <w:rPr>
                <w:lang w:val="lt-LT"/>
              </w:rPr>
              <w:t>-106</w:t>
            </w:r>
          </w:p>
          <w:p w:rsidR="000E1787" w:rsidRPr="005D2023" w:rsidRDefault="000E1787" w:rsidP="005D2023">
            <w:pPr>
              <w:pStyle w:val="BTEMEASMCA"/>
              <w:rPr>
                <w:lang w:val="lt-LT"/>
              </w:rPr>
            </w:pPr>
            <w:r w:rsidRPr="005D2023">
              <w:rPr>
                <w:lang w:val="lt-LT"/>
              </w:rPr>
              <w:t>LT-44352 Kaunas</w:t>
            </w:r>
          </w:p>
          <w:p w:rsidR="000E1787" w:rsidRPr="005D2023" w:rsidRDefault="000E1787" w:rsidP="005D2023">
            <w:pPr>
              <w:pStyle w:val="BTEMEASMCA"/>
              <w:rPr>
                <w:lang w:val="lt-LT"/>
              </w:rPr>
            </w:pPr>
            <w:r w:rsidRPr="005D2023">
              <w:rPr>
                <w:lang w:val="lt-LT"/>
              </w:rPr>
              <w:t>Tel</w:t>
            </w:r>
            <w:r w:rsidR="0067307A" w:rsidRPr="005D2023">
              <w:rPr>
                <w:lang w:val="lt-LT"/>
              </w:rPr>
              <w:t>.</w:t>
            </w:r>
            <w:r w:rsidRPr="005D2023">
              <w:rPr>
                <w:lang w:val="lt-LT"/>
              </w:rPr>
              <w:t>/Faksas: +370 37 204896</w:t>
            </w:r>
          </w:p>
          <w:p w:rsidR="000E1787" w:rsidRPr="005D2023" w:rsidRDefault="000E1787" w:rsidP="00323E2F">
            <w:pPr>
              <w:tabs>
                <w:tab w:val="left" w:pos="-720"/>
              </w:tabs>
              <w:suppressAutoHyphens/>
              <w:rPr>
                <w:sz w:val="22"/>
                <w:szCs w:val="22"/>
              </w:rPr>
            </w:pPr>
          </w:p>
        </w:tc>
      </w:tr>
    </w:tbl>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rPr>
          <w:b/>
          <w:sz w:val="22"/>
          <w:szCs w:val="22"/>
        </w:rPr>
      </w:pPr>
      <w:r w:rsidRPr="005D2023">
        <w:rPr>
          <w:b/>
          <w:sz w:val="22"/>
          <w:szCs w:val="22"/>
        </w:rPr>
        <w:t xml:space="preserve">Šis pakuotės lapelis paskutinį kartą peržiūrėtas </w:t>
      </w:r>
      <w:r w:rsidR="00C15828">
        <w:rPr>
          <w:b/>
          <w:sz w:val="22"/>
          <w:szCs w:val="22"/>
        </w:rPr>
        <w:t xml:space="preserve"> 2021-02-10</w:t>
      </w:r>
      <w:r w:rsidR="002717F3" w:rsidRPr="005D2023">
        <w:rPr>
          <w:b/>
          <w:sz w:val="22"/>
          <w:szCs w:val="22"/>
        </w:rPr>
        <w:t>.</w:t>
      </w:r>
    </w:p>
    <w:p w:rsidR="00A73839" w:rsidRPr="005D2023" w:rsidRDefault="00A73839" w:rsidP="000E1787">
      <w:pPr>
        <w:rPr>
          <w:sz w:val="22"/>
          <w:szCs w:val="22"/>
        </w:rPr>
      </w:pPr>
    </w:p>
    <w:p w:rsidR="000E1787" w:rsidRPr="005D2023" w:rsidRDefault="000E1787" w:rsidP="000E1787">
      <w:pPr>
        <w:numPr>
          <w:ilvl w:val="12"/>
          <w:numId w:val="0"/>
        </w:numPr>
        <w:ind w:right="-2"/>
        <w:rPr>
          <w:sz w:val="22"/>
          <w:szCs w:val="22"/>
        </w:rPr>
      </w:pPr>
      <w:r w:rsidRPr="005D2023">
        <w:rPr>
          <w:sz w:val="22"/>
          <w:szCs w:val="22"/>
        </w:rPr>
        <w:t>Išsami informacija apie šį vaistą pateikiama Valstybinės vaistų kontrolės tarnybos prie Lietuvos Respublikos sveikatos apsaugos ministerijos tinklalapyje</w:t>
      </w:r>
      <w:r w:rsidRPr="005D2023">
        <w:rPr>
          <w:i/>
          <w:sz w:val="22"/>
          <w:szCs w:val="22"/>
        </w:rPr>
        <w:t xml:space="preserve"> </w:t>
      </w:r>
      <w:hyperlink r:id="rId11" w:history="1">
        <w:r w:rsidRPr="005D2023">
          <w:rPr>
            <w:rStyle w:val="Hyperlink"/>
            <w:rFonts w:eastAsiaTheme="majorEastAsia"/>
            <w:sz w:val="22"/>
            <w:szCs w:val="22"/>
          </w:rPr>
          <w:t>http://www.vvkt.lt/</w:t>
        </w:r>
      </w:hyperlink>
      <w:r w:rsidRPr="005D2023">
        <w:rPr>
          <w:sz w:val="22"/>
          <w:szCs w:val="22"/>
        </w:rPr>
        <w:t>.</w:t>
      </w:r>
    </w:p>
    <w:p w:rsidR="000E1787" w:rsidRPr="005D2023" w:rsidRDefault="000E1787" w:rsidP="000E1787">
      <w:pPr>
        <w:rPr>
          <w:sz w:val="22"/>
          <w:szCs w:val="22"/>
          <w:highlight w:val="yellow"/>
        </w:rPr>
      </w:pPr>
    </w:p>
    <w:p w:rsidR="000E1787" w:rsidRPr="005D2023" w:rsidRDefault="000E1787" w:rsidP="000E1787">
      <w:pPr>
        <w:rPr>
          <w:sz w:val="22"/>
          <w:szCs w:val="22"/>
        </w:rPr>
      </w:pPr>
    </w:p>
    <w:p w:rsidR="000E1787" w:rsidRPr="005D2023" w:rsidRDefault="000E1787" w:rsidP="000E1787">
      <w:pPr>
        <w:rPr>
          <w:sz w:val="22"/>
          <w:szCs w:val="22"/>
        </w:rPr>
      </w:pPr>
    </w:p>
    <w:p w:rsidR="00241BB4" w:rsidRPr="005D2023" w:rsidRDefault="00241BB4">
      <w:pPr>
        <w:rPr>
          <w:sz w:val="22"/>
          <w:szCs w:val="22"/>
        </w:rPr>
      </w:pPr>
    </w:p>
    <w:sectPr w:rsidR="00241BB4" w:rsidRPr="005D2023" w:rsidSect="00323E2F">
      <w:footerReference w:type="even" r:id="rId12"/>
      <w:footerReference w:type="default" r:id="rId13"/>
      <w:pgSz w:w="11906" w:h="16838"/>
      <w:pgMar w:top="1138" w:right="1411" w:bottom="1138" w:left="1411"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9D7" w:rsidRDefault="006319D7">
      <w:r>
        <w:separator/>
      </w:r>
    </w:p>
  </w:endnote>
  <w:endnote w:type="continuationSeparator" w:id="0">
    <w:p w:rsidR="006319D7" w:rsidRDefault="0063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9A9" w:rsidRDefault="005A49A9" w:rsidP="00323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5A49A9" w:rsidRDefault="005A49A9" w:rsidP="00323E2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9A9" w:rsidRPr="000A3617" w:rsidRDefault="005A49A9" w:rsidP="00323E2F">
    <w:pPr>
      <w:pStyle w:val="Footer"/>
      <w:framePr w:wrap="around" w:vAnchor="text" w:hAnchor="margin" w:xAlign="right" w:y="1"/>
      <w:rPr>
        <w:rStyle w:val="PageNumber"/>
        <w:sz w:val="22"/>
        <w:szCs w:val="22"/>
      </w:rPr>
    </w:pPr>
    <w:r w:rsidRPr="000A3617">
      <w:rPr>
        <w:rStyle w:val="PageNumber"/>
        <w:sz w:val="22"/>
        <w:szCs w:val="22"/>
      </w:rPr>
      <w:fldChar w:fldCharType="begin"/>
    </w:r>
    <w:r w:rsidRPr="000A3617">
      <w:rPr>
        <w:rStyle w:val="PageNumber"/>
        <w:sz w:val="22"/>
        <w:szCs w:val="22"/>
      </w:rPr>
      <w:instrText xml:space="preserve">PAGE  </w:instrText>
    </w:r>
    <w:r w:rsidRPr="000A3617">
      <w:rPr>
        <w:rStyle w:val="PageNumber"/>
        <w:sz w:val="22"/>
        <w:szCs w:val="22"/>
      </w:rPr>
      <w:fldChar w:fldCharType="separate"/>
    </w:r>
    <w:r w:rsidR="00882D61">
      <w:rPr>
        <w:rStyle w:val="PageNumber"/>
        <w:noProof/>
        <w:sz w:val="22"/>
        <w:szCs w:val="22"/>
      </w:rPr>
      <w:t>1</w:t>
    </w:r>
    <w:r w:rsidRPr="000A3617">
      <w:rPr>
        <w:rStyle w:val="PageNumber"/>
        <w:sz w:val="22"/>
        <w:szCs w:val="22"/>
      </w:rPr>
      <w:fldChar w:fldCharType="end"/>
    </w:r>
  </w:p>
  <w:p w:rsidR="005A49A9" w:rsidRDefault="005A49A9" w:rsidP="00323E2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9D7" w:rsidRDefault="006319D7">
      <w:r>
        <w:separator/>
      </w:r>
    </w:p>
  </w:footnote>
  <w:footnote w:type="continuationSeparator" w:id="0">
    <w:p w:rsidR="006319D7" w:rsidRDefault="006319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94462"/>
    <w:multiLevelType w:val="hybridMultilevel"/>
    <w:tmpl w:val="5268B546"/>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41548126"/>
    <w:lvl w:ilvl="0" w:tplc="FD2E825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63"/>
    <w:rsid w:val="00040296"/>
    <w:rsid w:val="000E1787"/>
    <w:rsid w:val="001524C3"/>
    <w:rsid w:val="00241BB4"/>
    <w:rsid w:val="002717F3"/>
    <w:rsid w:val="00281E9C"/>
    <w:rsid w:val="0032305E"/>
    <w:rsid w:val="00323E2F"/>
    <w:rsid w:val="00337F74"/>
    <w:rsid w:val="003649B2"/>
    <w:rsid w:val="00382E40"/>
    <w:rsid w:val="003D6F02"/>
    <w:rsid w:val="004059F6"/>
    <w:rsid w:val="00423538"/>
    <w:rsid w:val="00491163"/>
    <w:rsid w:val="004C200A"/>
    <w:rsid w:val="00522A87"/>
    <w:rsid w:val="005355E7"/>
    <w:rsid w:val="005434B0"/>
    <w:rsid w:val="005A49A9"/>
    <w:rsid w:val="005D2023"/>
    <w:rsid w:val="006172EB"/>
    <w:rsid w:val="006319D7"/>
    <w:rsid w:val="00662ECC"/>
    <w:rsid w:val="00670DEB"/>
    <w:rsid w:val="0067307A"/>
    <w:rsid w:val="006D7A5A"/>
    <w:rsid w:val="0071148A"/>
    <w:rsid w:val="007F54E7"/>
    <w:rsid w:val="008167A3"/>
    <w:rsid w:val="00882D61"/>
    <w:rsid w:val="008A7AFD"/>
    <w:rsid w:val="00942E5A"/>
    <w:rsid w:val="00A702E8"/>
    <w:rsid w:val="00A73839"/>
    <w:rsid w:val="00C15828"/>
    <w:rsid w:val="00C83905"/>
    <w:rsid w:val="00D4413B"/>
    <w:rsid w:val="00E01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C240"/>
  <w15:docId w15:val="{DF13B5CB-F1D9-4395-A4EE-B66D28AA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7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E17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0E1787"/>
    <w:pPr>
      <w:keepNext/>
      <w:keepLines/>
      <w:spacing w:before="200"/>
      <w:outlineLvl w:val="1"/>
    </w:pPr>
    <w:rPr>
      <w:rFonts w:ascii="Cambria" w:hAnsi="Cambria"/>
      <w:b/>
      <w:bCs/>
      <w:color w:val="4F81BD"/>
      <w:sz w:val="26"/>
      <w:szCs w:val="26"/>
      <w:lang w:eastAsia="x-none"/>
    </w:rPr>
  </w:style>
  <w:style w:type="paragraph" w:styleId="Heading3">
    <w:name w:val="heading 3"/>
    <w:basedOn w:val="Normal"/>
    <w:next w:val="Normal"/>
    <w:link w:val="Heading3Char"/>
    <w:uiPriority w:val="9"/>
    <w:semiHidden/>
    <w:unhideWhenUsed/>
    <w:qFormat/>
    <w:rsid w:val="000E178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qFormat/>
    <w:rsid w:val="000E1787"/>
    <w:pPr>
      <w:keepNext/>
      <w:spacing w:before="240" w:after="60"/>
      <w:outlineLvl w:val="3"/>
    </w:pPr>
    <w:rPr>
      <w:rFonts w:ascii="Calibri"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78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E1787"/>
    <w:rPr>
      <w:rFonts w:ascii="Cambria" w:eastAsia="Times New Roman" w:hAnsi="Cambria" w:cs="Times New Roman"/>
      <w:b/>
      <w:bCs/>
      <w:color w:val="4F81BD"/>
      <w:sz w:val="26"/>
      <w:szCs w:val="26"/>
      <w:lang w:eastAsia="x-none"/>
    </w:rPr>
  </w:style>
  <w:style w:type="character" w:customStyle="1" w:styleId="Heading3Char">
    <w:name w:val="Heading 3 Char"/>
    <w:basedOn w:val="DefaultParagraphFont"/>
    <w:link w:val="Heading3"/>
    <w:uiPriority w:val="9"/>
    <w:semiHidden/>
    <w:rsid w:val="000E178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E1787"/>
    <w:rPr>
      <w:rFonts w:ascii="Calibri" w:eastAsia="Times New Roman" w:hAnsi="Calibri" w:cs="Times New Roman"/>
      <w:b/>
      <w:bCs/>
      <w:sz w:val="28"/>
      <w:szCs w:val="28"/>
      <w:lang w:eastAsia="x-none"/>
    </w:rPr>
  </w:style>
  <w:style w:type="character" w:styleId="Hyperlink">
    <w:name w:val="Hyperlink"/>
    <w:uiPriority w:val="99"/>
    <w:rsid w:val="000E1787"/>
    <w:rPr>
      <w:color w:val="0000FF"/>
      <w:u w:val="single"/>
    </w:rPr>
  </w:style>
  <w:style w:type="paragraph" w:customStyle="1" w:styleId="PI-1EMEASMCA">
    <w:name w:val="PI-1 EMEA_SMCA"/>
    <w:basedOn w:val="Heading2"/>
    <w:autoRedefine/>
    <w:rsid w:val="000E1787"/>
    <w:pPr>
      <w:keepLines w:val="0"/>
      <w:tabs>
        <w:tab w:val="left" w:pos="540"/>
      </w:tabs>
      <w:spacing w:before="0"/>
      <w:ind w:left="567" w:hanging="567"/>
    </w:pPr>
    <w:rPr>
      <w:rFonts w:ascii="Times New Roman" w:hAnsi="Times New Roman"/>
      <w:bCs w:val="0"/>
      <w:color w:val="auto"/>
      <w:sz w:val="22"/>
      <w:szCs w:val="22"/>
    </w:rPr>
  </w:style>
  <w:style w:type="paragraph" w:customStyle="1" w:styleId="PI-1labEMEASMCA">
    <w:name w:val="PI-1_lab EMEA_SMCA"/>
    <w:basedOn w:val="Normal"/>
    <w:link w:val="PI-1labEMEASMCAChar"/>
    <w:autoRedefine/>
    <w:rsid w:val="000E1787"/>
    <w:pPr>
      <w:pBdr>
        <w:top w:val="single" w:sz="4" w:space="1" w:color="auto"/>
        <w:left w:val="single" w:sz="4" w:space="4" w:color="auto"/>
        <w:bottom w:val="single" w:sz="4" w:space="1" w:color="auto"/>
        <w:right w:val="single" w:sz="4" w:space="4" w:color="auto"/>
      </w:pBdr>
      <w:tabs>
        <w:tab w:val="left" w:pos="540"/>
      </w:tabs>
    </w:pPr>
    <w:rPr>
      <w:b/>
      <w:noProof/>
      <w:sz w:val="22"/>
      <w:szCs w:val="22"/>
      <w:lang w:val="x-none"/>
    </w:rPr>
  </w:style>
  <w:style w:type="character" w:customStyle="1" w:styleId="PI-1labEMEASMCAChar">
    <w:name w:val="PI-1_lab EMEA_SMCA Char"/>
    <w:link w:val="PI-1labEMEASMCA"/>
    <w:rsid w:val="000E1787"/>
    <w:rPr>
      <w:rFonts w:ascii="Times New Roman" w:eastAsia="Times New Roman" w:hAnsi="Times New Roman" w:cs="Times New Roman"/>
      <w:b/>
      <w:noProof/>
      <w:lang w:val="x-none"/>
    </w:rPr>
  </w:style>
  <w:style w:type="paragraph" w:customStyle="1" w:styleId="PI-2EMEASMCA">
    <w:name w:val="PI-2 EMEA_SMCA"/>
    <w:basedOn w:val="Heading3"/>
    <w:autoRedefine/>
    <w:rsid w:val="000E1787"/>
    <w:pPr>
      <w:tabs>
        <w:tab w:val="left" w:pos="540"/>
      </w:tabs>
      <w:spacing w:before="0"/>
      <w:ind w:left="567" w:hanging="567"/>
    </w:pPr>
    <w:rPr>
      <w:rFonts w:ascii="Times New Roman" w:eastAsia="Times New Roman" w:hAnsi="Times New Roman" w:cs="Times New Roman"/>
      <w:b/>
      <w:color w:val="auto"/>
      <w:kern w:val="28"/>
      <w:sz w:val="22"/>
      <w:szCs w:val="22"/>
      <w:lang w:eastAsia="x-none"/>
    </w:rPr>
  </w:style>
  <w:style w:type="paragraph" w:customStyle="1" w:styleId="BTEMEASMCA">
    <w:name w:val="BT EMEA_SMCA"/>
    <w:basedOn w:val="Normal"/>
    <w:link w:val="BTEMEASMCAChar"/>
    <w:autoRedefine/>
    <w:rsid w:val="006D7A5A"/>
    <w:pPr>
      <w:tabs>
        <w:tab w:val="left" w:pos="0"/>
        <w:tab w:val="left" w:pos="360"/>
        <w:tab w:val="left" w:pos="567"/>
      </w:tabs>
    </w:pPr>
    <w:rPr>
      <w:sz w:val="22"/>
      <w:szCs w:val="22"/>
      <w:lang w:val="x-none" w:eastAsia="x-none"/>
    </w:rPr>
  </w:style>
  <w:style w:type="paragraph" w:customStyle="1" w:styleId="TTEMEASMCA">
    <w:name w:val="TT EMEA_SMCA"/>
    <w:basedOn w:val="Heading1"/>
    <w:link w:val="TTEMEASMCAChar"/>
    <w:autoRedefine/>
    <w:rsid w:val="000E1787"/>
    <w:pPr>
      <w:keepNext w:val="0"/>
      <w:keepLines w:val="0"/>
      <w:tabs>
        <w:tab w:val="left" w:pos="0"/>
      </w:tabs>
      <w:spacing w:before="0"/>
      <w:jc w:val="center"/>
    </w:pPr>
    <w:rPr>
      <w:rFonts w:ascii="Times New Roman" w:eastAsia="Times New Roman" w:hAnsi="Times New Roman" w:cs="Times New Roman"/>
      <w:b/>
      <w:caps/>
      <w:color w:val="auto"/>
      <w:sz w:val="20"/>
      <w:szCs w:val="20"/>
      <w:lang w:val="x-none" w:eastAsia="x-none"/>
    </w:rPr>
  </w:style>
  <w:style w:type="character" w:customStyle="1" w:styleId="TTEMEASMCAChar">
    <w:name w:val="TT EMEA_SMCA Char"/>
    <w:link w:val="TTEMEASMCA"/>
    <w:rsid w:val="000E1787"/>
    <w:rPr>
      <w:rFonts w:ascii="Times New Roman" w:eastAsia="Times New Roman" w:hAnsi="Times New Roman" w:cs="Times New Roman"/>
      <w:b/>
      <w:caps/>
      <w:sz w:val="20"/>
      <w:szCs w:val="20"/>
      <w:lang w:val="x-none" w:eastAsia="x-none"/>
    </w:rPr>
  </w:style>
  <w:style w:type="paragraph" w:customStyle="1" w:styleId="BTAnIIEMEASMCA">
    <w:name w:val="BT(AnII) EMEA_SMCA"/>
    <w:basedOn w:val="BalloonText"/>
    <w:autoRedefine/>
    <w:rsid w:val="000E1787"/>
    <w:pPr>
      <w:tabs>
        <w:tab w:val="left" w:pos="1701"/>
      </w:tabs>
      <w:ind w:left="1701" w:hanging="567"/>
    </w:pPr>
    <w:rPr>
      <w:rFonts w:ascii="Times New Roman" w:hAnsi="Times New Roman" w:cs="Times New Roman"/>
      <w:b/>
      <w:sz w:val="22"/>
      <w:szCs w:val="22"/>
      <w:lang w:val="en-GB" w:eastAsia="x-none"/>
    </w:rPr>
  </w:style>
  <w:style w:type="paragraph" w:customStyle="1" w:styleId="BT-EMEASMCA">
    <w:name w:val="BT- EMEA_SMCA"/>
    <w:basedOn w:val="BTEMEASMCA"/>
    <w:autoRedefine/>
    <w:rsid w:val="004059F6"/>
    <w:pPr>
      <w:numPr>
        <w:numId w:val="1"/>
      </w:numPr>
      <w:tabs>
        <w:tab w:val="clear" w:pos="360"/>
        <w:tab w:val="clear" w:pos="720"/>
        <w:tab w:val="num" w:pos="0"/>
        <w:tab w:val="left" w:pos="540"/>
      </w:tabs>
      <w:ind w:left="0" w:firstLine="0"/>
    </w:pPr>
  </w:style>
  <w:style w:type="paragraph" w:customStyle="1" w:styleId="PI-3EMEASMCA">
    <w:name w:val="PI-3 EMEA_SMCA"/>
    <w:basedOn w:val="Normal"/>
    <w:autoRedefine/>
    <w:rsid w:val="000E1787"/>
    <w:pPr>
      <w:ind w:hanging="187"/>
    </w:pPr>
    <w:rPr>
      <w:b/>
      <w:bCs/>
      <w:sz w:val="22"/>
      <w:szCs w:val="22"/>
    </w:rPr>
  </w:style>
  <w:style w:type="paragraph" w:customStyle="1" w:styleId="BTbEMEASMCA">
    <w:name w:val="BT(b) EMEA_SMCA"/>
    <w:basedOn w:val="BTEMEASMCA"/>
    <w:autoRedefine/>
    <w:rsid w:val="000E1787"/>
    <w:pPr>
      <w:tabs>
        <w:tab w:val="clear" w:pos="0"/>
        <w:tab w:val="clear" w:pos="360"/>
        <w:tab w:val="left" w:pos="-180"/>
        <w:tab w:val="left" w:pos="540"/>
      </w:tabs>
    </w:pPr>
    <w:rPr>
      <w:b/>
      <w:bCs/>
      <w:i/>
    </w:rPr>
  </w:style>
  <w:style w:type="paragraph" w:customStyle="1" w:styleId="BTeEMEASMCA">
    <w:name w:val="BT(e) EMEA_SMCA"/>
    <w:basedOn w:val="BTEMEASMCA"/>
    <w:autoRedefine/>
    <w:rsid w:val="000E1787"/>
    <w:pPr>
      <w:tabs>
        <w:tab w:val="clear" w:pos="0"/>
        <w:tab w:val="clear" w:pos="360"/>
        <w:tab w:val="left" w:pos="-180"/>
        <w:tab w:val="left" w:pos="540"/>
      </w:tabs>
      <w:jc w:val="center"/>
    </w:pPr>
  </w:style>
  <w:style w:type="character" w:customStyle="1" w:styleId="BTEMEASMCAChar">
    <w:name w:val="BT EMEA_SMCA Char"/>
    <w:link w:val="BTEMEASMCA"/>
    <w:rsid w:val="006D7A5A"/>
    <w:rPr>
      <w:rFonts w:ascii="Times New Roman" w:eastAsia="Times New Roman" w:hAnsi="Times New Roman" w:cs="Times New Roman"/>
      <w:lang w:val="x-none" w:eastAsia="x-none"/>
    </w:rPr>
  </w:style>
  <w:style w:type="paragraph" w:customStyle="1" w:styleId="BTuEMEASMCA">
    <w:name w:val="BT(u) EMEA_SMCA"/>
    <w:basedOn w:val="BTEMEASMCA"/>
    <w:autoRedefine/>
    <w:rsid w:val="000E1787"/>
    <w:pPr>
      <w:tabs>
        <w:tab w:val="clear" w:pos="0"/>
        <w:tab w:val="clear" w:pos="360"/>
        <w:tab w:val="left" w:pos="-180"/>
        <w:tab w:val="left" w:pos="540"/>
      </w:tabs>
    </w:pPr>
    <w:rPr>
      <w:u w:val="single"/>
    </w:rPr>
  </w:style>
  <w:style w:type="paragraph" w:styleId="Footer">
    <w:name w:val="footer"/>
    <w:basedOn w:val="Normal"/>
    <w:link w:val="FooterChar"/>
    <w:rsid w:val="000E1787"/>
    <w:pPr>
      <w:tabs>
        <w:tab w:val="center" w:pos="4320"/>
        <w:tab w:val="right" w:pos="8640"/>
      </w:tabs>
    </w:pPr>
    <w:rPr>
      <w:lang w:eastAsia="x-none"/>
    </w:rPr>
  </w:style>
  <w:style w:type="character" w:customStyle="1" w:styleId="FooterChar">
    <w:name w:val="Footer Char"/>
    <w:basedOn w:val="DefaultParagraphFont"/>
    <w:link w:val="Footer"/>
    <w:rsid w:val="000E1787"/>
    <w:rPr>
      <w:rFonts w:ascii="Times New Roman" w:eastAsia="Times New Roman" w:hAnsi="Times New Roman" w:cs="Times New Roman"/>
      <w:sz w:val="24"/>
      <w:szCs w:val="24"/>
      <w:lang w:eastAsia="x-none"/>
    </w:rPr>
  </w:style>
  <w:style w:type="character" w:styleId="PageNumber">
    <w:name w:val="page number"/>
    <w:basedOn w:val="DefaultParagraphFont"/>
    <w:rsid w:val="000E1787"/>
  </w:style>
  <w:style w:type="paragraph" w:customStyle="1" w:styleId="Default">
    <w:name w:val="Default"/>
    <w:rsid w:val="000E1787"/>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BodyText">
    <w:name w:val="Body Text"/>
    <w:basedOn w:val="Normal"/>
    <w:link w:val="BodyTextChar"/>
    <w:rsid w:val="000E1787"/>
    <w:pPr>
      <w:jc w:val="center"/>
    </w:pPr>
    <w:rPr>
      <w:lang w:eastAsia="x-none"/>
    </w:rPr>
  </w:style>
  <w:style w:type="character" w:customStyle="1" w:styleId="BodyTextChar">
    <w:name w:val="Body Text Char"/>
    <w:basedOn w:val="DefaultParagraphFont"/>
    <w:link w:val="BodyText"/>
    <w:rsid w:val="000E1787"/>
    <w:rPr>
      <w:rFonts w:ascii="Times New Roman" w:eastAsia="Times New Roman" w:hAnsi="Times New Roman" w:cs="Times New Roman"/>
      <w:sz w:val="24"/>
      <w:szCs w:val="24"/>
      <w:lang w:eastAsia="x-none"/>
    </w:rPr>
  </w:style>
  <w:style w:type="paragraph" w:styleId="NormalIndent">
    <w:name w:val="Normal Indent"/>
    <w:basedOn w:val="Normal"/>
    <w:rsid w:val="000E1787"/>
    <w:pPr>
      <w:spacing w:after="120"/>
      <w:ind w:left="720"/>
    </w:pPr>
    <w:rPr>
      <w:sz w:val="22"/>
      <w:szCs w:val="20"/>
      <w:lang w:val="en-GB" w:eastAsia="en-GB"/>
    </w:rPr>
  </w:style>
  <w:style w:type="paragraph" w:styleId="BalloonText">
    <w:name w:val="Balloon Text"/>
    <w:basedOn w:val="Normal"/>
    <w:link w:val="BalloonTextChar"/>
    <w:uiPriority w:val="99"/>
    <w:semiHidden/>
    <w:unhideWhenUsed/>
    <w:rsid w:val="000E17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787"/>
    <w:rPr>
      <w:rFonts w:ascii="Segoe UI" w:eastAsia="Times New Roman" w:hAnsi="Segoe UI" w:cs="Segoe UI"/>
      <w:sz w:val="18"/>
      <w:szCs w:val="18"/>
    </w:rPr>
  </w:style>
  <w:style w:type="paragraph" w:styleId="PlainText">
    <w:name w:val="Plain Text"/>
    <w:basedOn w:val="Normal"/>
    <w:link w:val="PlainTextChar"/>
    <w:uiPriority w:val="99"/>
    <w:semiHidden/>
    <w:unhideWhenUsed/>
    <w:rsid w:val="000E1787"/>
    <w:rPr>
      <w:rFonts w:ascii="Courier New" w:eastAsia="SimSun" w:hAnsi="Courier New"/>
      <w:sz w:val="20"/>
      <w:szCs w:val="20"/>
      <w:lang w:val="en-US"/>
    </w:rPr>
  </w:style>
  <w:style w:type="character" w:customStyle="1" w:styleId="PlainTextChar">
    <w:name w:val="Plain Text Char"/>
    <w:basedOn w:val="DefaultParagraphFont"/>
    <w:link w:val="PlainText"/>
    <w:uiPriority w:val="99"/>
    <w:semiHidden/>
    <w:rsid w:val="000E1787"/>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3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6A3CE-BBA0-4EBB-8F87-6CD419B6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5684</Words>
  <Characters>3241</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Birutė Valkauskaitė</cp:lastModifiedBy>
  <cp:revision>2</cp:revision>
  <dcterms:created xsi:type="dcterms:W3CDTF">2021-02-17T10:01:00Z</dcterms:created>
  <dcterms:modified xsi:type="dcterms:W3CDTF">2021-02-17T10:01:00Z</dcterms:modified>
</cp:coreProperties>
</file>