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47" w:rsidRPr="00FC643A" w:rsidRDefault="00AF7547" w:rsidP="00AF7547">
      <w:pPr>
        <w:jc w:val="center"/>
        <w:rPr>
          <w:b/>
          <w:sz w:val="22"/>
          <w:szCs w:val="22"/>
          <w:lang w:val="lt-LT"/>
        </w:rPr>
      </w:pPr>
      <w:r w:rsidRPr="00FC643A">
        <w:rPr>
          <w:b/>
          <w:snapToGrid w:val="0"/>
          <w:sz w:val="22"/>
          <w:szCs w:val="22"/>
          <w:lang w:val="lt-LT"/>
        </w:rPr>
        <w:t>Pakuotės lapelis:</w:t>
      </w:r>
      <w:r w:rsidRPr="00FC643A">
        <w:rPr>
          <w:b/>
          <w:bCs/>
          <w:iCs/>
          <w:snapToGrid w:val="0"/>
          <w:sz w:val="22"/>
          <w:szCs w:val="22"/>
          <w:lang w:val="lt-LT"/>
        </w:rPr>
        <w:t xml:space="preserve"> </w:t>
      </w:r>
      <w:r w:rsidRPr="00FC643A">
        <w:rPr>
          <w:b/>
          <w:snapToGrid w:val="0"/>
          <w:sz w:val="22"/>
          <w:szCs w:val="22"/>
          <w:lang w:val="lt-LT"/>
        </w:rPr>
        <w:t>informacija vartotojui</w:t>
      </w:r>
    </w:p>
    <w:p w:rsidR="00AF7547" w:rsidRPr="00FC643A" w:rsidRDefault="00AF7547" w:rsidP="00AF7547">
      <w:pPr>
        <w:tabs>
          <w:tab w:val="left" w:pos="540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 dengtos tabletės</w:t>
      </w:r>
    </w:p>
    <w:p w:rsidR="00AF7547" w:rsidRPr="00FC643A" w:rsidRDefault="00AF7547" w:rsidP="00AF7547">
      <w:pPr>
        <w:ind w:left="540"/>
        <w:jc w:val="center"/>
        <w:rPr>
          <w:i/>
          <w:sz w:val="22"/>
          <w:szCs w:val="22"/>
          <w:lang w:val="lt-LT"/>
        </w:rPr>
      </w:pPr>
      <w:proofErr w:type="spellStart"/>
      <w:r>
        <w:rPr>
          <w:i/>
          <w:sz w:val="22"/>
          <w:szCs w:val="22"/>
          <w:lang w:val="lt-LT"/>
        </w:rPr>
        <w:t>s</w:t>
      </w:r>
      <w:r w:rsidRPr="00FC643A">
        <w:rPr>
          <w:i/>
          <w:sz w:val="22"/>
          <w:szCs w:val="22"/>
          <w:lang w:val="lt-LT"/>
        </w:rPr>
        <w:t>vilarožių</w:t>
      </w:r>
      <w:proofErr w:type="spellEnd"/>
      <w:r w:rsidRPr="00FC643A">
        <w:rPr>
          <w:i/>
          <w:sz w:val="22"/>
          <w:szCs w:val="22"/>
          <w:lang w:val="lt-LT"/>
        </w:rPr>
        <w:t xml:space="preserve"> šaknys, ąžuolų žievė, ramunėlių žiedai, kiaulpienių žolė, asiūklių žolė, </w:t>
      </w:r>
      <w:proofErr w:type="spellStart"/>
      <w:r w:rsidRPr="00FC643A">
        <w:rPr>
          <w:i/>
          <w:sz w:val="22"/>
          <w:szCs w:val="22"/>
          <w:lang w:val="lt-LT"/>
        </w:rPr>
        <w:t>kraujažolių</w:t>
      </w:r>
      <w:proofErr w:type="spellEnd"/>
      <w:r w:rsidRPr="00FC643A">
        <w:rPr>
          <w:i/>
          <w:sz w:val="22"/>
          <w:szCs w:val="22"/>
          <w:lang w:val="lt-LT"/>
        </w:rPr>
        <w:t xml:space="preserve"> žolė, riešutmedžių lapai</w:t>
      </w:r>
    </w:p>
    <w:p w:rsidR="00AF7547" w:rsidRPr="00FC643A" w:rsidRDefault="00AF7547" w:rsidP="00AF7547">
      <w:pPr>
        <w:ind w:left="540"/>
        <w:jc w:val="center"/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spacing w:line="260" w:lineRule="exact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:rsidR="00AF7547" w:rsidRPr="00FC643A" w:rsidRDefault="00AF7547" w:rsidP="00AF7547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AF7547" w:rsidRPr="00FC643A" w:rsidRDefault="00AF7547" w:rsidP="00AF7547">
      <w:p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Neišmeskite šio lapelio, nes vėl gali prireikti jį perskaityti.</w:t>
      </w:r>
    </w:p>
    <w:p w:rsidR="00AF7547" w:rsidRPr="00FC643A" w:rsidRDefault="00AF7547" w:rsidP="00AF7547">
      <w:p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norite sužinoti daugiau arba pasitarti, kreipkitės į vaistininką.</w:t>
      </w:r>
    </w:p>
    <w:p w:rsidR="00AF7547" w:rsidRPr="00FC643A" w:rsidRDefault="00AF7547" w:rsidP="00AF7547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pasireiškė šalutinis poveikis (net jeigu jis šiame lapelyje nenurodytas), kreipkitės į gydytoją, vaistininką arba slaugytoją. Žr. 4 skyrių.</w:t>
      </w:r>
    </w:p>
    <w:p w:rsidR="00AF7547" w:rsidRPr="00FC643A" w:rsidRDefault="00AF7547" w:rsidP="00AF7547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per 7 dienas Jūsų savijauta nepagerėjo arba net pablogėjo, kreipkitės į gydytoją.</w:t>
      </w:r>
    </w:p>
    <w:p w:rsidR="00AF7547" w:rsidRPr="00FC643A" w:rsidRDefault="00AF7547" w:rsidP="00AF7547">
      <w:pPr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ind w:left="567" w:hanging="567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Apie ką rašoma šiame lapelyje?</w:t>
      </w:r>
    </w:p>
    <w:p w:rsidR="00AF7547" w:rsidRPr="00FC643A" w:rsidRDefault="00AF7547" w:rsidP="00AF7547">
      <w:pPr>
        <w:ind w:left="567" w:hanging="567"/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1.</w:t>
      </w:r>
      <w:r w:rsidRPr="00FC643A">
        <w:rPr>
          <w:sz w:val="22"/>
          <w:szCs w:val="22"/>
          <w:lang w:val="lt-LT"/>
        </w:rPr>
        <w:tab/>
        <w:t xml:space="preserve">Kas yra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 ir kam jis vartojamas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2.</w:t>
      </w:r>
      <w:r w:rsidRPr="00FC643A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3.</w:t>
      </w:r>
      <w:r w:rsidRPr="00FC643A">
        <w:rPr>
          <w:sz w:val="22"/>
          <w:szCs w:val="22"/>
          <w:lang w:val="lt-LT"/>
        </w:rPr>
        <w:tab/>
        <w:t xml:space="preserve">Kaip vartoti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 xml:space="preserve"> N 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4.</w:t>
      </w:r>
      <w:r w:rsidRPr="00FC643A">
        <w:rPr>
          <w:sz w:val="22"/>
          <w:szCs w:val="22"/>
          <w:lang w:val="lt-LT"/>
        </w:rPr>
        <w:tab/>
        <w:t>Galimas šalutinis poveikis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5.</w:t>
      </w:r>
      <w:r w:rsidRPr="00FC643A">
        <w:rPr>
          <w:sz w:val="22"/>
          <w:szCs w:val="22"/>
          <w:lang w:val="lt-LT"/>
        </w:rPr>
        <w:tab/>
        <w:t xml:space="preserve">Kaip laikyti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40"/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6.</w:t>
      </w:r>
      <w:r w:rsidRPr="00FC643A">
        <w:rPr>
          <w:sz w:val="22"/>
          <w:szCs w:val="22"/>
          <w:lang w:val="lt-LT"/>
        </w:rPr>
        <w:tab/>
        <w:t>Pakuotės turinys ir kita informacija</w:t>
      </w:r>
    </w:p>
    <w:p w:rsidR="00AF7547" w:rsidRPr="00FC643A" w:rsidRDefault="00AF7547" w:rsidP="00AF7547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pStyle w:val="Sraopastraipa"/>
        <w:numPr>
          <w:ilvl w:val="0"/>
          <w:numId w:val="3"/>
        </w:numPr>
        <w:tabs>
          <w:tab w:val="left" w:pos="567"/>
        </w:tabs>
        <w:ind w:hanging="93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Kas yra </w:t>
      </w: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 ir kam jis vartojamas</w:t>
      </w:r>
      <w:r w:rsidRPr="00FC643A" w:rsidDel="002C3BD7">
        <w:rPr>
          <w:b/>
          <w:sz w:val="22"/>
          <w:szCs w:val="22"/>
          <w:lang w:val="lt-LT"/>
        </w:rPr>
        <w:t xml:space="preserve"> </w:t>
      </w:r>
    </w:p>
    <w:p w:rsidR="00AF7547" w:rsidRPr="001517AE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Tradicinis augalinis vaistas, kurio indikacijos pagrįstos tik ilgalaikiu vartojimu, skirtas dažnai pasikartojančiam viršutinių kvėpavimo takų, ypač tonzilių, uždegimui gydyti.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2.</w:t>
      </w:r>
      <w:r w:rsidRPr="00FC643A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</w:t>
      </w:r>
      <w:r w:rsidRPr="00FC643A">
        <w:rPr>
          <w:b/>
          <w:bCs/>
          <w:sz w:val="22"/>
          <w:szCs w:val="22"/>
          <w:lang w:val="lt-LT"/>
        </w:rPr>
        <w:t xml:space="preserve"> vartoti </w:t>
      </w:r>
      <w:r>
        <w:rPr>
          <w:b/>
          <w:bCs/>
          <w:sz w:val="22"/>
          <w:szCs w:val="22"/>
          <w:lang w:val="lt-LT"/>
        </w:rPr>
        <w:t>draudžiama</w:t>
      </w:r>
      <w:r w:rsidRPr="00FC643A">
        <w:rPr>
          <w:b/>
          <w:bCs/>
          <w:sz w:val="22"/>
          <w:szCs w:val="22"/>
          <w:lang w:val="lt-LT"/>
        </w:rPr>
        <w:t>:</w:t>
      </w:r>
    </w:p>
    <w:p w:rsidR="00AF7547" w:rsidRPr="00FC643A" w:rsidRDefault="00AF7547" w:rsidP="00AF7547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yra alergija veikliosioms medžiagoms arba bet kuriai pagalbinei šio vaisto medžiagai (jos išvardytos 6 skyriuje);</w:t>
      </w:r>
    </w:p>
    <w:p w:rsidR="00AF7547" w:rsidRPr="00FC643A" w:rsidRDefault="00AF7547" w:rsidP="00AF7547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yra alergija graižažiedžių šeimos augalams.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spacing w:line="260" w:lineRule="exact"/>
        <w:ind w:left="567" w:hanging="567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Įspėjimai ir atsargumo priemonės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simptomai išlieka ilgiau nei vieną savaitę arba atsiranda tokių simptomų kaip dusulys, karščiavimas, pūlingi ar kruvini skrepliai, kreipkitės į gydytoją.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i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Vartojant vaistų, kurių sudėtyje yra ramunėlių žiedų, gali pasireikšti padidėjusio jautrumo reakcijų. Padidėjusio jautrumo reakcijų taip pat gali pasireikšti žmonėms, kuriems padidėjęs jautrumas kitiems graižažiedžių šeimos augalams (pvz., kiečiui</w:t>
      </w:r>
      <w:r w:rsidRPr="00FC643A">
        <w:rPr>
          <w:i/>
          <w:sz w:val="22"/>
          <w:szCs w:val="22"/>
          <w:lang w:val="lt-LT"/>
        </w:rPr>
        <w:t xml:space="preserve">, </w:t>
      </w:r>
      <w:proofErr w:type="spellStart"/>
      <w:r w:rsidRPr="00FC643A">
        <w:rPr>
          <w:sz w:val="22"/>
          <w:szCs w:val="22"/>
          <w:lang w:val="lt-LT"/>
        </w:rPr>
        <w:t>kraujažolei</w:t>
      </w:r>
      <w:proofErr w:type="spellEnd"/>
      <w:r w:rsidRPr="00FC643A">
        <w:rPr>
          <w:sz w:val="22"/>
          <w:szCs w:val="22"/>
          <w:lang w:val="lt-LT"/>
        </w:rPr>
        <w:t xml:space="preserve">, chrizantemoms, </w:t>
      </w:r>
      <w:proofErr w:type="spellStart"/>
      <w:r w:rsidRPr="00FC643A">
        <w:rPr>
          <w:sz w:val="22"/>
          <w:szCs w:val="22"/>
          <w:lang w:val="lt-LT"/>
        </w:rPr>
        <w:t>sidabrakrūmiui</w:t>
      </w:r>
      <w:proofErr w:type="spellEnd"/>
      <w:r w:rsidRPr="00FC643A">
        <w:rPr>
          <w:sz w:val="22"/>
          <w:szCs w:val="22"/>
          <w:lang w:val="lt-LT"/>
        </w:rPr>
        <w:t xml:space="preserve"> ir kt.)</w:t>
      </w:r>
      <w:r w:rsidRPr="00FC643A">
        <w:rPr>
          <w:i/>
          <w:sz w:val="22"/>
          <w:szCs w:val="22"/>
          <w:lang w:val="lt-LT"/>
        </w:rPr>
        <w:t>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Vaikams</w:t>
      </w:r>
    </w:p>
    <w:p w:rsidR="00AF7547" w:rsidRPr="00FC643A" w:rsidRDefault="00AF7547" w:rsidP="00AF7547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Jaunesniems kaip 6 metų amžiaus vaikams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 tablečių vartoti nerekomenduojama, nes duomenų apie veiksmingumą ir saugumą nepakanka.</w:t>
      </w:r>
    </w:p>
    <w:p w:rsidR="00AF7547" w:rsidRPr="00FC643A" w:rsidRDefault="00AF7547" w:rsidP="00AF7547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Apie sąveiką su kitais vaistais nežinoma.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Vartojant vaistų, kurių sudėtyje yra ąžuolo žievės, gali sumažėti </w:t>
      </w:r>
      <w:proofErr w:type="spellStart"/>
      <w:r w:rsidRPr="00FC643A">
        <w:rPr>
          <w:sz w:val="22"/>
          <w:szCs w:val="22"/>
          <w:lang w:val="lt-LT"/>
        </w:rPr>
        <w:t>alkaloidų</w:t>
      </w:r>
      <w:proofErr w:type="spellEnd"/>
      <w:r w:rsidRPr="00FC643A">
        <w:rPr>
          <w:sz w:val="22"/>
          <w:szCs w:val="22"/>
          <w:lang w:val="lt-LT"/>
        </w:rPr>
        <w:t xml:space="preserve"> (pvz., kosulį slopinančių vaistų, kurių sudėtyje yra kodeino) ir kitų panašių vaistų pasisavinimas.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lastRenderedPageBreak/>
        <w:t>Jeigu vartojate ar neseniai vartojote kitų vaistų arba dėl to nesate tikri, apie tai pasakykite gydytojui arba vaistininkui.</w:t>
      </w:r>
    </w:p>
    <w:p w:rsidR="00AF7547" w:rsidRPr="00FC643A" w:rsidRDefault="00AF7547" w:rsidP="00AF7547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</w:p>
    <w:p w:rsidR="00AF7547" w:rsidRPr="00FC643A" w:rsidRDefault="00AF7547" w:rsidP="00AF7547">
      <w:pPr>
        <w:ind w:left="567" w:hanging="567"/>
        <w:rPr>
          <w:b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 vartojimas su maistu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Duomenų apie sąveiką su maistu nėra.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Nėštumas ir žindymo laikotarpis 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 pasitarkite su vaistininku.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Nerekomenduojama vartoti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 xml:space="preserve"> N dengtų tablečių nėštumo metu.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 dengtų tablečių nereikėtų vartoti žindyvėms.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Vairavimas ir mechanizmų valdymas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 gebėjimo vairuoti ir valdyti mechanizmus neveikia arba veikia nereikšmingai.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 sudėtyje yra gliukozės, laktozės ir sacharozės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3.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bCs/>
          <w:snapToGrid w:val="0"/>
          <w:sz w:val="22"/>
          <w:szCs w:val="22"/>
          <w:lang w:val="lt-LT"/>
        </w:rPr>
        <w:t xml:space="preserve">Kaip vartoti </w:t>
      </w:r>
      <w:proofErr w:type="spellStart"/>
      <w:r w:rsidRPr="00FC643A">
        <w:rPr>
          <w:b/>
          <w:bCs/>
          <w:snapToGrid w:val="0"/>
          <w:sz w:val="22"/>
          <w:szCs w:val="22"/>
          <w:lang w:val="lt-LT"/>
        </w:rPr>
        <w:t>Tonsilgon</w:t>
      </w:r>
      <w:proofErr w:type="spellEnd"/>
      <w:r w:rsidRPr="00FC643A">
        <w:rPr>
          <w:b/>
          <w:bCs/>
          <w:snapToGrid w:val="0"/>
          <w:sz w:val="22"/>
          <w:szCs w:val="22"/>
          <w:lang w:val="lt-LT"/>
        </w:rPr>
        <w:t xml:space="preserve"> N 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 xml:space="preserve">Visada vartokite šį vaistą tiksliai, kaip aprašyta šiame lapelyje. </w:t>
      </w:r>
      <w:r w:rsidRPr="00FC643A">
        <w:rPr>
          <w:sz w:val="22"/>
          <w:szCs w:val="22"/>
          <w:lang w:val="lt-LT"/>
        </w:rPr>
        <w:t>Jeigu abejojate, kreipkitės į gydytoją ar vaistininką.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 nepaskirta kitaip, įprastinė dozė yra tokia:</w:t>
      </w:r>
    </w:p>
    <w:p w:rsidR="00AF7547" w:rsidRPr="00FC643A" w:rsidRDefault="00AF7547" w:rsidP="00AF7547">
      <w:pPr>
        <w:outlineLvl w:val="0"/>
        <w:rPr>
          <w:i/>
          <w:iCs/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7"/>
        <w:gridCol w:w="2873"/>
        <w:gridCol w:w="2732"/>
      </w:tblGrid>
      <w:tr w:rsidR="00AF7547" w:rsidRPr="00FC643A" w:rsidTr="00121B7E">
        <w:tc>
          <w:tcPr>
            <w:tcW w:w="3431" w:type="dxa"/>
          </w:tcPr>
          <w:p w:rsidR="00AF7547" w:rsidRPr="00FC643A" w:rsidRDefault="00AF7547" w:rsidP="00121B7E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>Amžius</w:t>
            </w:r>
          </w:p>
        </w:tc>
        <w:tc>
          <w:tcPr>
            <w:tcW w:w="2948" w:type="dxa"/>
          </w:tcPr>
          <w:p w:rsidR="00AF7547" w:rsidRPr="00FC643A" w:rsidRDefault="00AF7547" w:rsidP="00121B7E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>Dozavimas esant ūminiams ligos simptomams</w:t>
            </w:r>
          </w:p>
        </w:tc>
        <w:tc>
          <w:tcPr>
            <w:tcW w:w="2800" w:type="dxa"/>
          </w:tcPr>
          <w:p w:rsidR="00AF7547" w:rsidRPr="00FC643A" w:rsidRDefault="00AF7547" w:rsidP="00121B7E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 xml:space="preserve">Dozavimas ūminiams ligos simptomams susilpnėjus </w:t>
            </w:r>
          </w:p>
        </w:tc>
      </w:tr>
      <w:tr w:rsidR="00AF7547" w:rsidRPr="00FC643A" w:rsidTr="00121B7E">
        <w:tc>
          <w:tcPr>
            <w:tcW w:w="3431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6–11 metų vaikams</w:t>
            </w:r>
          </w:p>
        </w:tc>
        <w:tc>
          <w:tcPr>
            <w:tcW w:w="2948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5–6 kartus per parą</w:t>
            </w:r>
          </w:p>
        </w:tc>
        <w:tc>
          <w:tcPr>
            <w:tcW w:w="2800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3 kartus per parą</w:t>
            </w:r>
          </w:p>
        </w:tc>
      </w:tr>
      <w:tr w:rsidR="00AF7547" w:rsidRPr="00FC643A" w:rsidTr="00121B7E">
        <w:tc>
          <w:tcPr>
            <w:tcW w:w="3431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 xml:space="preserve">Suaugusiesiems ir paaugliams nuo 12 metų </w:t>
            </w:r>
          </w:p>
        </w:tc>
        <w:tc>
          <w:tcPr>
            <w:tcW w:w="2948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5–6 kartus per parą</w:t>
            </w:r>
          </w:p>
        </w:tc>
        <w:tc>
          <w:tcPr>
            <w:tcW w:w="2800" w:type="dxa"/>
          </w:tcPr>
          <w:p w:rsidR="00AF7547" w:rsidRPr="00FC643A" w:rsidRDefault="00AF7547" w:rsidP="00121B7E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3 kartus per parą</w:t>
            </w:r>
          </w:p>
        </w:tc>
      </w:tr>
    </w:tbl>
    <w:p w:rsidR="00AF7547" w:rsidRPr="00FC643A" w:rsidRDefault="00AF7547" w:rsidP="00AF7547">
      <w:pPr>
        <w:jc w:val="both"/>
        <w:rPr>
          <w:iCs/>
          <w:sz w:val="22"/>
          <w:szCs w:val="22"/>
          <w:lang w:val="lt-LT"/>
        </w:rPr>
      </w:pP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Tabletę išgerti nesukramtytą, užgeriant skysčiu (pvz., stikline vandens). 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Vaisto rekomenduojama vartoti dar vieną savaitę ūminiams ligos simptomams praėjus.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Žr. skyrius „Įspėjimai ir atsargumo priemonės“ ir „Galimas šalutinis poveikis“. 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Jeigu manote, kad </w:t>
      </w:r>
      <w:proofErr w:type="spellStart"/>
      <w:r w:rsidRPr="00FC643A">
        <w:rPr>
          <w:sz w:val="22"/>
          <w:szCs w:val="22"/>
          <w:lang w:val="lt-LT"/>
        </w:rPr>
        <w:t>Tonsilgon</w:t>
      </w:r>
      <w:proofErr w:type="spellEnd"/>
      <w:r w:rsidRPr="00FC643A">
        <w:rPr>
          <w:sz w:val="22"/>
          <w:szCs w:val="22"/>
          <w:lang w:val="lt-LT"/>
        </w:rPr>
        <w:t> N veikia per stipriai arba per silpnai, pasitarkite su gydytoju arba vaistininku.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FC643A">
        <w:rPr>
          <w:b/>
          <w:snapToGrid w:val="0"/>
          <w:sz w:val="22"/>
          <w:szCs w:val="22"/>
          <w:lang w:val="lt-LT"/>
        </w:rPr>
        <w:t xml:space="preserve">Ką daryti pavartojus per didelę </w:t>
      </w:r>
      <w:proofErr w:type="spellStart"/>
      <w:r w:rsidRPr="00FC643A">
        <w:rPr>
          <w:b/>
          <w:snapToGrid w:val="0"/>
          <w:sz w:val="22"/>
          <w:szCs w:val="22"/>
          <w:lang w:val="lt-LT"/>
        </w:rPr>
        <w:t>Tonsilgon</w:t>
      </w:r>
      <w:proofErr w:type="spellEnd"/>
      <w:r w:rsidRPr="00FC643A">
        <w:rPr>
          <w:b/>
          <w:snapToGrid w:val="0"/>
          <w:sz w:val="22"/>
          <w:szCs w:val="22"/>
          <w:lang w:val="lt-LT"/>
        </w:rPr>
        <w:t> N dozę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Perdozavimo atvejų nepastebėta. Perdozavus pasakykite apie tai savo gydytojui.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>Negalima vartoti dvigubos dozės norint kompensuoti praleistą dozę.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 xml:space="preserve"> N </w:t>
      </w:r>
    </w:p>
    <w:p w:rsidR="00AF7547" w:rsidRPr="00FC643A" w:rsidRDefault="00AF7547" w:rsidP="00AF754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Paprastai vaistą galite nustoti vartoti be jokių keblumų.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4.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>Galimas šalutinis poveikis</w:t>
      </w:r>
      <w:r w:rsidRPr="00FC643A" w:rsidDel="001B12DD">
        <w:rPr>
          <w:b/>
          <w:bCs/>
          <w:sz w:val="22"/>
          <w:szCs w:val="22"/>
          <w:lang w:val="lt-LT"/>
        </w:rPr>
        <w:t xml:space="preserve"> 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 xml:space="preserve">Šis vaistas, kaip ir visi kiti, </w:t>
      </w:r>
      <w:r w:rsidRPr="00FC643A">
        <w:rPr>
          <w:bCs/>
          <w:sz w:val="22"/>
          <w:szCs w:val="22"/>
          <w:lang w:val="lt-LT"/>
        </w:rPr>
        <w:t>gali sukelti šalutinį poveikį, nors jis pasireiškia ne visiems žmonėms.</w:t>
      </w:r>
    </w:p>
    <w:p w:rsidR="00AF7547" w:rsidRDefault="00AF7547" w:rsidP="00AF7547">
      <w:pPr>
        <w:rPr>
          <w:sz w:val="22"/>
          <w:szCs w:val="22"/>
          <w:lang w:val="lt-LT"/>
        </w:rPr>
      </w:pPr>
    </w:p>
    <w:p w:rsidR="00AF7547" w:rsidRPr="001517AE" w:rsidRDefault="00AF7547" w:rsidP="00AF7547">
      <w:pPr>
        <w:rPr>
          <w:i/>
          <w:iCs/>
          <w:sz w:val="22"/>
          <w:szCs w:val="22"/>
          <w:lang w:val="lt-LT"/>
        </w:rPr>
      </w:pPr>
      <w:r w:rsidRPr="001517AE">
        <w:rPr>
          <w:i/>
          <w:iCs/>
          <w:sz w:val="22"/>
          <w:szCs w:val="22"/>
          <w:lang w:val="lt-LT"/>
        </w:rPr>
        <w:t xml:space="preserve">Nedažni šalutinio poveikio reiškiniai (gali pasireikšti rečiau kaip 1 iš 100 asmenų): 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Skrandžio ir žarnyno sutrikimai.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Be to, gali pasireikšti alerginės odos reakcijos (pvz., </w:t>
      </w:r>
      <w:proofErr w:type="spellStart"/>
      <w:r w:rsidRPr="00FC643A">
        <w:rPr>
          <w:sz w:val="22"/>
          <w:szCs w:val="22"/>
          <w:lang w:val="lt-LT"/>
        </w:rPr>
        <w:t>egzantema</w:t>
      </w:r>
      <w:proofErr w:type="spellEnd"/>
      <w:r w:rsidRPr="00FC643A">
        <w:rPr>
          <w:sz w:val="22"/>
          <w:szCs w:val="22"/>
          <w:lang w:val="lt-LT"/>
        </w:rPr>
        <w:t xml:space="preserve">, dilgėlinė, kraujotakos sutrikimai). 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 pasireiškė pirmieji padidinto jautrumo ar alerginės reakcijos požymiai, nutraukite šio vaisto vartojimą.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Pranešimas apie šalutinį poveikį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C643A">
        <w:rPr>
          <w:sz w:val="22"/>
          <w:szCs w:val="22"/>
          <w:lang w:val="lt-LT"/>
        </w:rPr>
        <w:t>NepageidaujamaR@vvkt.lt</w:t>
      </w:r>
      <w:proofErr w:type="spellEnd"/>
      <w:r w:rsidRPr="00FC643A">
        <w:rPr>
          <w:sz w:val="22"/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5.</w:t>
      </w:r>
      <w:r w:rsidRPr="00FC643A">
        <w:rPr>
          <w:b/>
          <w:bCs/>
          <w:sz w:val="22"/>
          <w:szCs w:val="22"/>
          <w:lang w:val="lt-LT"/>
        </w:rPr>
        <w:tab/>
        <w:t xml:space="preserve">Kaip laikyti </w:t>
      </w:r>
      <w:proofErr w:type="spellStart"/>
      <w:r w:rsidRPr="00FC643A">
        <w:rPr>
          <w:b/>
          <w:bCs/>
          <w:sz w:val="22"/>
          <w:szCs w:val="22"/>
          <w:lang w:val="lt-LT"/>
        </w:rPr>
        <w:t>Tonsilgon</w:t>
      </w:r>
      <w:proofErr w:type="spellEnd"/>
      <w:r w:rsidRPr="00FC643A">
        <w:rPr>
          <w:b/>
          <w:bCs/>
          <w:sz w:val="22"/>
          <w:szCs w:val="22"/>
          <w:lang w:val="lt-LT"/>
        </w:rPr>
        <w:t> N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>Šį vaistą laikykite vaikams nepastebimoje ir nepasiekiamoje vietoje.</w:t>
      </w:r>
    </w:p>
    <w:p w:rsidR="00AF7547" w:rsidRPr="00FC643A" w:rsidRDefault="00AF7547" w:rsidP="00AF7547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Laikyti ne aukštesnėje kaip 30 </w:t>
      </w:r>
      <w:r w:rsidRPr="00FC643A">
        <w:rPr>
          <w:sz w:val="22"/>
          <w:szCs w:val="22"/>
          <w:lang w:val="lt-LT"/>
        </w:rPr>
        <w:sym w:font="Symbol" w:char="F0B0"/>
      </w:r>
      <w:r w:rsidRPr="00FC643A">
        <w:rPr>
          <w:sz w:val="22"/>
          <w:szCs w:val="22"/>
          <w:lang w:val="lt-LT"/>
        </w:rPr>
        <w:t xml:space="preserve">C temperatūroje. 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Laikyti gamintojo pakuotėje, kad vaistas būtų apsaugotas nuo šviesos ir drėgmės.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Ant dėžutės ir lizdinės plokštelės po „Tinka iki“ nurodytam tinkamumo laikui pasibaigus, </w:t>
      </w:r>
      <w:r w:rsidRPr="00FC643A">
        <w:rPr>
          <w:snapToGrid w:val="0"/>
          <w:sz w:val="22"/>
          <w:szCs w:val="22"/>
          <w:lang w:val="lt-LT"/>
        </w:rPr>
        <w:t>šio vaisto</w:t>
      </w:r>
      <w:r w:rsidRPr="00FC643A">
        <w:rPr>
          <w:sz w:val="22"/>
          <w:szCs w:val="22"/>
          <w:lang w:val="lt-LT"/>
        </w:rPr>
        <w:t xml:space="preserve"> vartoti negalima. </w:t>
      </w:r>
      <w:r w:rsidRPr="00FC643A">
        <w:rPr>
          <w:snapToGrid w:val="0"/>
          <w:sz w:val="22"/>
          <w:szCs w:val="22"/>
          <w:lang w:val="lt-LT"/>
        </w:rPr>
        <w:t>Vaistas tinkamas vartoti iki paskutinės nurodyto mėnesio dienos.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6.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napToGrid w:val="0"/>
          <w:sz w:val="22"/>
          <w:szCs w:val="22"/>
          <w:lang w:val="lt-LT"/>
        </w:rPr>
        <w:t>Pakuotės turinys ir kita informacija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b/>
          <w:bCs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 xml:space="preserve"> N</w:t>
      </w:r>
      <w:r w:rsidRPr="00FC643A">
        <w:rPr>
          <w:b/>
          <w:bCs/>
          <w:sz w:val="22"/>
          <w:szCs w:val="22"/>
          <w:lang w:val="lt-LT"/>
        </w:rPr>
        <w:t xml:space="preserve"> sudėtis</w:t>
      </w:r>
    </w:p>
    <w:p w:rsidR="00AF7547" w:rsidRPr="00FC643A" w:rsidRDefault="00AF7547" w:rsidP="00AF7547">
      <w:pPr>
        <w:rPr>
          <w:b/>
          <w:bCs/>
          <w:sz w:val="22"/>
          <w:szCs w:val="22"/>
          <w:lang w:val="lt-LT"/>
        </w:rPr>
      </w:pPr>
    </w:p>
    <w:p w:rsidR="00AF7547" w:rsidRPr="00FC643A" w:rsidRDefault="00AF7547" w:rsidP="00AF7547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Veikliosios medžiagos yra: 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 dengtoje tabletėje yra šių veikliųjų medžiagų miltelių: </w:t>
      </w:r>
    </w:p>
    <w:p w:rsidR="00AF7547" w:rsidRPr="00FC643A" w:rsidRDefault="00AF7547" w:rsidP="00AF7547">
      <w:pPr>
        <w:ind w:left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8 mg </w:t>
      </w:r>
      <w:proofErr w:type="spellStart"/>
      <w:r w:rsidRPr="00FC643A">
        <w:rPr>
          <w:i/>
          <w:sz w:val="22"/>
          <w:szCs w:val="22"/>
          <w:lang w:val="lt-LT"/>
        </w:rPr>
        <w:t>Althaea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officinalis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 xml:space="preserve">L., </w:t>
      </w:r>
      <w:proofErr w:type="spellStart"/>
      <w:r w:rsidRPr="00FC643A">
        <w:rPr>
          <w:sz w:val="22"/>
          <w:szCs w:val="22"/>
          <w:lang w:val="lt-LT"/>
        </w:rPr>
        <w:t>radix</w:t>
      </w:r>
      <w:proofErr w:type="spellEnd"/>
      <w:r w:rsidRPr="00FC643A">
        <w:rPr>
          <w:sz w:val="22"/>
          <w:szCs w:val="22"/>
          <w:lang w:val="lt-LT"/>
        </w:rPr>
        <w:t xml:space="preserve"> (</w:t>
      </w:r>
      <w:proofErr w:type="spellStart"/>
      <w:r w:rsidRPr="00FC643A">
        <w:rPr>
          <w:sz w:val="22"/>
          <w:szCs w:val="22"/>
          <w:lang w:val="lt-LT"/>
        </w:rPr>
        <w:t>svilarožių</w:t>
      </w:r>
      <w:proofErr w:type="spellEnd"/>
      <w:r w:rsidRPr="00FC643A">
        <w:rPr>
          <w:sz w:val="22"/>
          <w:szCs w:val="22"/>
          <w:lang w:val="lt-LT"/>
        </w:rPr>
        <w:t xml:space="preserve"> šaknų),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proofErr w:type="spellStart"/>
      <w:r w:rsidRPr="00FC643A">
        <w:rPr>
          <w:i/>
          <w:sz w:val="22"/>
          <w:szCs w:val="22"/>
          <w:lang w:val="lt-LT"/>
        </w:rPr>
        <w:t>Quercus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robur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 xml:space="preserve">., Q. </w:t>
      </w:r>
      <w:proofErr w:type="spellStart"/>
      <w:r w:rsidRPr="00FC643A">
        <w:rPr>
          <w:i/>
          <w:sz w:val="22"/>
          <w:szCs w:val="22"/>
          <w:lang w:val="lt-LT"/>
        </w:rPr>
        <w:t>petraea</w:t>
      </w:r>
      <w:proofErr w:type="spellEnd"/>
      <w:r w:rsidRPr="00FC643A">
        <w:rPr>
          <w:i/>
          <w:sz w:val="22"/>
          <w:szCs w:val="22"/>
          <w:lang w:val="lt-LT"/>
        </w:rPr>
        <w:t xml:space="preserve"> (</w:t>
      </w:r>
      <w:proofErr w:type="spellStart"/>
      <w:r w:rsidRPr="00FC643A">
        <w:rPr>
          <w:i/>
          <w:sz w:val="22"/>
          <w:szCs w:val="22"/>
          <w:lang w:val="lt-LT"/>
        </w:rPr>
        <w:t>Matt</w:t>
      </w:r>
      <w:proofErr w:type="spellEnd"/>
      <w:r w:rsidRPr="00FC643A">
        <w:rPr>
          <w:i/>
          <w:sz w:val="22"/>
          <w:szCs w:val="22"/>
          <w:lang w:val="lt-LT"/>
        </w:rPr>
        <w:t xml:space="preserve">.) </w:t>
      </w:r>
      <w:proofErr w:type="spellStart"/>
      <w:r w:rsidRPr="00FC643A">
        <w:rPr>
          <w:sz w:val="22"/>
          <w:szCs w:val="22"/>
          <w:lang w:val="lt-LT"/>
        </w:rPr>
        <w:t>Liebl</w:t>
      </w:r>
      <w:proofErr w:type="spellEnd"/>
      <w:r w:rsidRPr="00FC643A">
        <w:rPr>
          <w:sz w:val="22"/>
          <w:szCs w:val="22"/>
          <w:lang w:val="lt-LT"/>
        </w:rPr>
        <w:t>.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 xml:space="preserve">ir </w:t>
      </w:r>
      <w:r w:rsidRPr="00FC643A">
        <w:rPr>
          <w:i/>
          <w:sz w:val="22"/>
          <w:szCs w:val="22"/>
          <w:lang w:val="lt-LT"/>
        </w:rPr>
        <w:t>Q</w:t>
      </w:r>
      <w:r w:rsidRPr="00FC643A">
        <w:rPr>
          <w:sz w:val="22"/>
          <w:szCs w:val="22"/>
          <w:lang w:val="lt-LT"/>
        </w:rPr>
        <w:t xml:space="preserve">. </w:t>
      </w:r>
      <w:proofErr w:type="spellStart"/>
      <w:r w:rsidRPr="00FC643A">
        <w:rPr>
          <w:i/>
          <w:sz w:val="22"/>
          <w:szCs w:val="22"/>
          <w:lang w:val="lt-LT"/>
        </w:rPr>
        <w:t>pubescens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Willd</w:t>
      </w:r>
      <w:proofErr w:type="spellEnd"/>
      <w:r w:rsidRPr="00FC643A">
        <w:rPr>
          <w:i/>
          <w:sz w:val="22"/>
          <w:szCs w:val="22"/>
          <w:lang w:val="lt-LT"/>
        </w:rPr>
        <w:t xml:space="preserve">., </w:t>
      </w:r>
      <w:proofErr w:type="spellStart"/>
      <w:r w:rsidRPr="00FC643A">
        <w:rPr>
          <w:sz w:val="22"/>
          <w:szCs w:val="22"/>
          <w:lang w:val="lt-LT"/>
        </w:rPr>
        <w:t>cortex</w:t>
      </w:r>
      <w:proofErr w:type="spellEnd"/>
      <w:r w:rsidRPr="00FC643A">
        <w:rPr>
          <w:sz w:val="22"/>
          <w:szCs w:val="22"/>
          <w:lang w:val="lt-LT"/>
        </w:rPr>
        <w:t xml:space="preserve"> (ąžuolų žievės),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6 mg </w:t>
      </w:r>
      <w:proofErr w:type="spellStart"/>
      <w:r w:rsidRPr="001517AE">
        <w:rPr>
          <w:i/>
          <w:iCs/>
          <w:sz w:val="22"/>
          <w:szCs w:val="22"/>
          <w:lang w:val="lt-LT"/>
        </w:rPr>
        <w:t>Matricaria</w:t>
      </w:r>
      <w:proofErr w:type="spellEnd"/>
      <w:r w:rsidRPr="001517AE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1517AE">
        <w:rPr>
          <w:i/>
          <w:iCs/>
          <w:sz w:val="22"/>
          <w:szCs w:val="22"/>
          <w:lang w:val="lt-LT"/>
        </w:rPr>
        <w:t>recutita</w:t>
      </w:r>
      <w:proofErr w:type="spellEnd"/>
      <w:r w:rsidRPr="00FC643A">
        <w:rPr>
          <w:sz w:val="22"/>
          <w:szCs w:val="22"/>
          <w:lang w:val="lt-LT"/>
        </w:rPr>
        <w:t xml:space="preserve"> L</w:t>
      </w:r>
      <w:r w:rsidRPr="001517AE">
        <w:rPr>
          <w:sz w:val="22"/>
          <w:szCs w:val="22"/>
          <w:lang w:val="lt-LT"/>
        </w:rPr>
        <w:t>.,</w:t>
      </w:r>
      <w:r w:rsidRPr="00FC643A">
        <w:rPr>
          <w:i/>
          <w:sz w:val="22"/>
          <w:szCs w:val="22"/>
          <w:lang w:val="lt-LT"/>
        </w:rPr>
        <w:t xml:space="preserve"> </w:t>
      </w:r>
      <w:r w:rsidRPr="001517AE">
        <w:rPr>
          <w:iCs/>
          <w:sz w:val="22"/>
          <w:szCs w:val="22"/>
          <w:lang w:val="lt-LT"/>
        </w:rPr>
        <w:t>(</w:t>
      </w:r>
      <w:proofErr w:type="spellStart"/>
      <w:r w:rsidRPr="00FC643A">
        <w:rPr>
          <w:i/>
          <w:sz w:val="22"/>
          <w:szCs w:val="22"/>
          <w:lang w:val="lt-LT"/>
        </w:rPr>
        <w:t>Chamomilla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recutita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1517AE">
        <w:rPr>
          <w:iCs/>
          <w:sz w:val="22"/>
          <w:szCs w:val="22"/>
          <w:lang w:val="lt-LT"/>
        </w:rPr>
        <w:t>(</w:t>
      </w:r>
      <w:r w:rsidRPr="00FC643A">
        <w:rPr>
          <w:sz w:val="22"/>
          <w:szCs w:val="22"/>
          <w:lang w:val="lt-LT"/>
        </w:rPr>
        <w:t>L.)</w:t>
      </w:r>
      <w:r w:rsidRPr="00FC643A">
        <w:rPr>
          <w:i/>
          <w:sz w:val="22"/>
          <w:szCs w:val="22"/>
          <w:lang w:val="lt-LT"/>
        </w:rPr>
        <w:t xml:space="preserve">, </w:t>
      </w:r>
      <w:proofErr w:type="spellStart"/>
      <w:r w:rsidRPr="00FC643A">
        <w:rPr>
          <w:i/>
          <w:sz w:val="22"/>
          <w:szCs w:val="22"/>
          <w:lang w:val="lt-LT"/>
        </w:rPr>
        <w:t>Rauschert</w:t>
      </w:r>
      <w:proofErr w:type="spellEnd"/>
      <w:r w:rsidRPr="001517AE">
        <w:rPr>
          <w:iCs/>
          <w:sz w:val="22"/>
          <w:szCs w:val="22"/>
          <w:lang w:val="lt-LT"/>
        </w:rPr>
        <w:t>)</w:t>
      </w:r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sz w:val="22"/>
          <w:szCs w:val="22"/>
          <w:lang w:val="lt-LT"/>
        </w:rPr>
        <w:t>flos</w:t>
      </w:r>
      <w:proofErr w:type="spellEnd"/>
      <w:r w:rsidRPr="00FC643A">
        <w:rPr>
          <w:sz w:val="22"/>
          <w:szCs w:val="22"/>
          <w:lang w:val="lt-LT"/>
        </w:rPr>
        <w:t xml:space="preserve"> (ramunėlių žiedų),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proofErr w:type="spellStart"/>
      <w:r w:rsidRPr="00FC643A">
        <w:rPr>
          <w:i/>
          <w:sz w:val="22"/>
          <w:szCs w:val="22"/>
          <w:lang w:val="lt-LT"/>
        </w:rPr>
        <w:t>Taraxacum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officinale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 xml:space="preserve">F.H. </w:t>
      </w:r>
      <w:proofErr w:type="spellStart"/>
      <w:r w:rsidRPr="00FC643A">
        <w:rPr>
          <w:sz w:val="22"/>
          <w:szCs w:val="22"/>
          <w:lang w:val="lt-LT"/>
        </w:rPr>
        <w:t>Wigg</w:t>
      </w:r>
      <w:proofErr w:type="spellEnd"/>
      <w:r w:rsidRPr="00FC643A">
        <w:rPr>
          <w:sz w:val="22"/>
          <w:szCs w:val="22"/>
          <w:lang w:val="lt-LT"/>
        </w:rPr>
        <w:t xml:space="preserve">., </w:t>
      </w:r>
      <w:proofErr w:type="spellStart"/>
      <w:r w:rsidRPr="00FC643A">
        <w:rPr>
          <w:sz w:val="22"/>
          <w:szCs w:val="22"/>
          <w:lang w:val="lt-LT"/>
        </w:rPr>
        <w:t>herba</w:t>
      </w:r>
      <w:proofErr w:type="spellEnd"/>
      <w:r w:rsidRPr="00FC643A">
        <w:rPr>
          <w:sz w:val="22"/>
          <w:szCs w:val="22"/>
          <w:lang w:val="lt-LT"/>
        </w:rPr>
        <w:t xml:space="preserve"> (kiaulpienių žolės),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10 mg </w:t>
      </w:r>
      <w:proofErr w:type="spellStart"/>
      <w:r w:rsidRPr="00FC643A">
        <w:rPr>
          <w:i/>
          <w:sz w:val="22"/>
          <w:szCs w:val="22"/>
          <w:lang w:val="lt-LT"/>
        </w:rPr>
        <w:t>Equisetum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arvense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 xml:space="preserve">., </w:t>
      </w:r>
      <w:proofErr w:type="spellStart"/>
      <w:r w:rsidRPr="00FC643A">
        <w:rPr>
          <w:sz w:val="22"/>
          <w:szCs w:val="22"/>
          <w:lang w:val="lt-LT"/>
        </w:rPr>
        <w:t>herba</w:t>
      </w:r>
      <w:proofErr w:type="spellEnd"/>
      <w:r w:rsidRPr="00FC643A">
        <w:rPr>
          <w:sz w:val="22"/>
          <w:szCs w:val="22"/>
          <w:lang w:val="lt-LT"/>
        </w:rPr>
        <w:t xml:space="preserve"> (asiūklių žolės),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proofErr w:type="spellStart"/>
      <w:r w:rsidRPr="00FC643A">
        <w:rPr>
          <w:i/>
          <w:sz w:val="22"/>
          <w:szCs w:val="22"/>
          <w:lang w:val="lt-LT"/>
        </w:rPr>
        <w:t>Achillea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proofErr w:type="spellStart"/>
      <w:r w:rsidRPr="00FC643A">
        <w:rPr>
          <w:i/>
          <w:sz w:val="22"/>
          <w:szCs w:val="22"/>
          <w:lang w:val="lt-LT"/>
        </w:rPr>
        <w:t>millefolium</w:t>
      </w:r>
      <w:proofErr w:type="spellEnd"/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.,</w:t>
      </w:r>
      <w:r w:rsidRPr="00FC643A">
        <w:rPr>
          <w:sz w:val="22"/>
          <w:szCs w:val="22"/>
          <w:lang w:val="lt-LT"/>
        </w:rPr>
        <w:t xml:space="preserve"> </w:t>
      </w:r>
      <w:proofErr w:type="spellStart"/>
      <w:r w:rsidRPr="00FC643A">
        <w:rPr>
          <w:sz w:val="22"/>
          <w:szCs w:val="22"/>
          <w:lang w:val="lt-LT"/>
        </w:rPr>
        <w:t>herba</w:t>
      </w:r>
      <w:proofErr w:type="spellEnd"/>
      <w:r w:rsidRPr="00FC643A">
        <w:rPr>
          <w:sz w:val="22"/>
          <w:szCs w:val="22"/>
          <w:lang w:val="lt-LT"/>
        </w:rPr>
        <w:t xml:space="preserve"> (</w:t>
      </w:r>
      <w:proofErr w:type="spellStart"/>
      <w:r w:rsidRPr="00FC643A">
        <w:rPr>
          <w:sz w:val="22"/>
          <w:szCs w:val="22"/>
          <w:lang w:val="lt-LT"/>
        </w:rPr>
        <w:t>kraujažolių</w:t>
      </w:r>
      <w:proofErr w:type="spellEnd"/>
      <w:r w:rsidRPr="00FC643A">
        <w:rPr>
          <w:sz w:val="22"/>
          <w:szCs w:val="22"/>
          <w:lang w:val="lt-LT"/>
        </w:rPr>
        <w:t xml:space="preserve"> žolės),</w:t>
      </w:r>
    </w:p>
    <w:p w:rsidR="00AF7547" w:rsidRPr="00FC643A" w:rsidRDefault="00AF7547" w:rsidP="00AF7547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12 mg </w:t>
      </w:r>
      <w:proofErr w:type="spellStart"/>
      <w:r w:rsidRPr="00FC643A">
        <w:rPr>
          <w:i/>
          <w:sz w:val="22"/>
          <w:szCs w:val="22"/>
          <w:lang w:val="lt-LT"/>
        </w:rPr>
        <w:t>Juglans</w:t>
      </w:r>
      <w:proofErr w:type="spellEnd"/>
      <w:r w:rsidRPr="00FC643A">
        <w:rPr>
          <w:i/>
          <w:sz w:val="22"/>
          <w:szCs w:val="22"/>
          <w:lang w:val="lt-LT"/>
        </w:rPr>
        <w:t xml:space="preserve"> regia </w:t>
      </w:r>
      <w:r w:rsidRPr="00FC643A">
        <w:rPr>
          <w:sz w:val="22"/>
          <w:szCs w:val="22"/>
          <w:lang w:val="lt-LT"/>
        </w:rPr>
        <w:t xml:space="preserve">L., </w:t>
      </w:r>
      <w:proofErr w:type="spellStart"/>
      <w:r w:rsidRPr="00FC643A">
        <w:rPr>
          <w:sz w:val="22"/>
          <w:szCs w:val="22"/>
          <w:lang w:val="lt-LT"/>
        </w:rPr>
        <w:t>folium</w:t>
      </w:r>
      <w:proofErr w:type="spellEnd"/>
      <w:r w:rsidRPr="00FC643A">
        <w:rPr>
          <w:sz w:val="22"/>
          <w:szCs w:val="22"/>
          <w:lang w:val="lt-LT"/>
        </w:rPr>
        <w:t xml:space="preserve"> (riešutmedžių lapų).</w:t>
      </w:r>
    </w:p>
    <w:p w:rsidR="00AF7547" w:rsidRPr="00FC643A" w:rsidRDefault="00AF7547" w:rsidP="00AF7547">
      <w:pPr>
        <w:tabs>
          <w:tab w:val="left" w:pos="567"/>
        </w:tabs>
        <w:jc w:val="both"/>
        <w:rPr>
          <w:sz w:val="22"/>
          <w:szCs w:val="22"/>
          <w:lang w:val="lt-LT"/>
        </w:rPr>
      </w:pPr>
    </w:p>
    <w:p w:rsidR="00AF7547" w:rsidRPr="00FC643A" w:rsidRDefault="00AF7547" w:rsidP="00AF7547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Pagalbinės medžiagos. </w:t>
      </w:r>
    </w:p>
    <w:p w:rsidR="00AF7547" w:rsidRPr="001517AE" w:rsidRDefault="00AF7547" w:rsidP="00AF7547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851"/>
        </w:tabs>
        <w:ind w:left="851" w:hanging="284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Tabletės branduolys: gliukozė </w:t>
      </w:r>
      <w:proofErr w:type="spellStart"/>
      <w:r w:rsidRPr="00FC643A">
        <w:rPr>
          <w:sz w:val="22"/>
          <w:szCs w:val="22"/>
          <w:lang w:val="lt-LT"/>
        </w:rPr>
        <w:t>monohidratas</w:t>
      </w:r>
      <w:proofErr w:type="spellEnd"/>
      <w:r w:rsidRPr="00FC643A">
        <w:rPr>
          <w:sz w:val="22"/>
          <w:szCs w:val="22"/>
          <w:lang w:val="lt-LT"/>
        </w:rPr>
        <w:t xml:space="preserve">, bulvių krakmolas, laktozė </w:t>
      </w:r>
      <w:proofErr w:type="spellStart"/>
      <w:r w:rsidRPr="001517AE">
        <w:rPr>
          <w:sz w:val="22"/>
          <w:szCs w:val="22"/>
          <w:lang w:val="lt-LT"/>
        </w:rPr>
        <w:t>monohidratas</w:t>
      </w:r>
      <w:proofErr w:type="spellEnd"/>
      <w:r w:rsidRPr="001517AE">
        <w:rPr>
          <w:sz w:val="22"/>
          <w:szCs w:val="22"/>
          <w:lang w:val="lt-LT"/>
        </w:rPr>
        <w:t xml:space="preserve">, kukurūzų krakmolas, stearino rūgštis, bevandenis koloidinis silicio dioksidas. </w:t>
      </w:r>
    </w:p>
    <w:p w:rsidR="00AF7547" w:rsidRPr="001517AE" w:rsidRDefault="00AF7547" w:rsidP="00AF7547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851"/>
        </w:tabs>
        <w:ind w:left="851" w:hanging="284"/>
        <w:rPr>
          <w:sz w:val="22"/>
          <w:szCs w:val="22"/>
          <w:lang w:val="lt-LT"/>
        </w:rPr>
      </w:pPr>
      <w:r w:rsidRPr="001517AE">
        <w:rPr>
          <w:sz w:val="22"/>
          <w:szCs w:val="22"/>
          <w:lang w:val="lt-LT"/>
        </w:rPr>
        <w:t xml:space="preserve">Tabletės dangalas: kalcio karbonatas, </w:t>
      </w:r>
      <w:proofErr w:type="spellStart"/>
      <w:r w:rsidRPr="001517AE">
        <w:rPr>
          <w:sz w:val="22"/>
          <w:szCs w:val="22"/>
          <w:lang w:val="lt-LT"/>
        </w:rPr>
        <w:t>dekstrinas</w:t>
      </w:r>
      <w:proofErr w:type="spellEnd"/>
      <w:r w:rsidRPr="001517AE">
        <w:rPr>
          <w:sz w:val="22"/>
          <w:szCs w:val="22"/>
          <w:lang w:val="lt-LT"/>
        </w:rPr>
        <w:t xml:space="preserve">, skystoji gliukozė, kukurūzų krakmolas, </w:t>
      </w:r>
      <w:proofErr w:type="spellStart"/>
      <w:r w:rsidRPr="001517AE">
        <w:rPr>
          <w:sz w:val="22"/>
          <w:szCs w:val="22"/>
          <w:lang w:val="lt-LT"/>
        </w:rPr>
        <w:t>montanglikolio</w:t>
      </w:r>
      <w:proofErr w:type="spellEnd"/>
      <w:r w:rsidRPr="001517AE">
        <w:rPr>
          <w:sz w:val="22"/>
          <w:szCs w:val="22"/>
          <w:lang w:val="lt-LT"/>
        </w:rPr>
        <w:t xml:space="preserve"> vaškas, </w:t>
      </w:r>
      <w:proofErr w:type="spellStart"/>
      <w:r w:rsidRPr="001517AE">
        <w:rPr>
          <w:sz w:val="22"/>
          <w:szCs w:val="22"/>
          <w:lang w:val="lt-LT"/>
        </w:rPr>
        <w:t>povidonas</w:t>
      </w:r>
      <w:proofErr w:type="spellEnd"/>
      <w:r w:rsidRPr="001517AE">
        <w:rPr>
          <w:sz w:val="22"/>
          <w:szCs w:val="22"/>
          <w:lang w:val="lt-LT"/>
        </w:rPr>
        <w:t xml:space="preserve"> (K25, K30), natūralusis ricinų aliejus, </w:t>
      </w:r>
      <w:proofErr w:type="spellStart"/>
      <w:r w:rsidRPr="001517AE">
        <w:rPr>
          <w:sz w:val="22"/>
          <w:szCs w:val="22"/>
          <w:lang w:val="lt-LT"/>
        </w:rPr>
        <w:t>šelakas</w:t>
      </w:r>
      <w:proofErr w:type="spellEnd"/>
      <w:r w:rsidRPr="001517AE">
        <w:rPr>
          <w:sz w:val="22"/>
          <w:szCs w:val="22"/>
          <w:lang w:val="lt-LT"/>
        </w:rPr>
        <w:t>, bevandenis koloidinis silicio dioksidas, sacharozė, talkas.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b/>
          <w:sz w:val="22"/>
          <w:szCs w:val="22"/>
          <w:lang w:val="lt-LT"/>
        </w:rPr>
      </w:pPr>
      <w:proofErr w:type="spellStart"/>
      <w:r w:rsidRPr="00FC643A">
        <w:rPr>
          <w:b/>
          <w:sz w:val="22"/>
          <w:szCs w:val="22"/>
          <w:lang w:val="lt-LT"/>
        </w:rPr>
        <w:t>Tonsilgon</w:t>
      </w:r>
      <w:proofErr w:type="spellEnd"/>
      <w:r w:rsidRPr="00FC643A">
        <w:rPr>
          <w:b/>
          <w:sz w:val="22"/>
          <w:szCs w:val="22"/>
          <w:lang w:val="lt-LT"/>
        </w:rPr>
        <w:t> N</w:t>
      </w:r>
      <w:r w:rsidRPr="00FC643A">
        <w:rPr>
          <w:b/>
          <w:bCs/>
          <w:sz w:val="22"/>
          <w:szCs w:val="22"/>
          <w:lang w:val="lt-LT"/>
        </w:rPr>
        <w:t xml:space="preserve"> išvaizda ir kiekis pakuotėje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Baltos arba beveik baltos, apvalios, abipus išgaubtos, lygiu paviršiumi dengtos tabletės.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Vaistas gali būti tiekiamas pakuotėse po 50 arba 100 tablečių.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Gali būti tiekiamos ne visų dydžių pakuotės.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Registruotojas ir gamintojas</w:t>
      </w:r>
    </w:p>
    <w:p w:rsidR="00AF7547" w:rsidRPr="00FC643A" w:rsidRDefault="00AF7547" w:rsidP="00AF7547">
      <w:pPr>
        <w:jc w:val="both"/>
        <w:rPr>
          <w:caps/>
          <w:sz w:val="22"/>
          <w:szCs w:val="22"/>
          <w:lang w:val="lt-LT"/>
        </w:rPr>
      </w:pP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caps/>
          <w:sz w:val="22"/>
          <w:szCs w:val="22"/>
          <w:lang w:val="lt-LT"/>
        </w:rPr>
        <w:t>Bionorica</w:t>
      </w:r>
      <w:r w:rsidRPr="00FC643A">
        <w:rPr>
          <w:sz w:val="22"/>
          <w:szCs w:val="22"/>
          <w:lang w:val="lt-LT"/>
        </w:rPr>
        <w:t xml:space="preserve"> SE 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proofErr w:type="spellStart"/>
      <w:r w:rsidRPr="00FC643A">
        <w:rPr>
          <w:sz w:val="22"/>
          <w:szCs w:val="22"/>
          <w:lang w:val="lt-LT"/>
        </w:rPr>
        <w:t>Kerschensteinerstrasse</w:t>
      </w:r>
      <w:proofErr w:type="spellEnd"/>
      <w:r w:rsidRPr="00FC643A">
        <w:rPr>
          <w:sz w:val="22"/>
          <w:szCs w:val="22"/>
          <w:lang w:val="lt-LT"/>
        </w:rPr>
        <w:t xml:space="preserve"> 11</w:t>
      </w:r>
      <w:r w:rsidRPr="00FC643A">
        <w:rPr>
          <w:b/>
          <w:sz w:val="22"/>
          <w:szCs w:val="22"/>
          <w:lang w:val="lt-LT"/>
        </w:rPr>
        <w:t>–</w:t>
      </w:r>
      <w:r w:rsidRPr="00FC643A">
        <w:rPr>
          <w:sz w:val="22"/>
          <w:szCs w:val="22"/>
          <w:lang w:val="lt-LT"/>
        </w:rPr>
        <w:t xml:space="preserve">15 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92318 </w:t>
      </w:r>
      <w:proofErr w:type="spellStart"/>
      <w:r w:rsidRPr="00FC643A">
        <w:rPr>
          <w:sz w:val="22"/>
          <w:szCs w:val="22"/>
          <w:lang w:val="lt-LT"/>
        </w:rPr>
        <w:t>Neumarkt</w:t>
      </w:r>
      <w:proofErr w:type="spellEnd"/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Vokietija</w:t>
      </w:r>
    </w:p>
    <w:p w:rsidR="00AF7547" w:rsidRPr="00FC643A" w:rsidRDefault="00AF7547" w:rsidP="00AF7547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Tel. +49-9181-23190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Faksas +49-9181-231265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Jeigu apie šį vaistą norite sužinoti daugiau, kreipkitės į vietinį registruotojo atstovą. </w:t>
      </w: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proofErr w:type="spellStart"/>
      <w:r w:rsidRPr="00FC643A">
        <w:rPr>
          <w:sz w:val="22"/>
          <w:szCs w:val="22"/>
          <w:lang w:val="lt-LT"/>
        </w:rPr>
        <w:t>Bionorica</w:t>
      </w:r>
      <w:proofErr w:type="spellEnd"/>
      <w:r w:rsidRPr="00FC643A">
        <w:rPr>
          <w:sz w:val="22"/>
          <w:szCs w:val="22"/>
          <w:lang w:val="lt-LT"/>
        </w:rPr>
        <w:t xml:space="preserve"> Lithuania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Šiaulių g. 10-57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LT-01134 Vilnius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Lietuva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Tel.: +370 5 2157481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El. paštas: </w:t>
      </w:r>
      <w:hyperlink r:id="rId5" w:history="1">
        <w:r w:rsidRPr="00FC643A">
          <w:rPr>
            <w:rStyle w:val="Hipersaitas"/>
            <w:rFonts w:eastAsiaTheme="majorEastAsia"/>
            <w:sz w:val="22"/>
            <w:szCs w:val="22"/>
            <w:lang w:val="lt-LT"/>
          </w:rPr>
          <w:t>info@bionorica.lt</w:t>
        </w:r>
      </w:hyperlink>
    </w:p>
    <w:p w:rsidR="00AF7547" w:rsidRPr="00FC643A" w:rsidRDefault="00AF7547" w:rsidP="00AF7547">
      <w:pPr>
        <w:ind w:right="-449"/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</w:p>
    <w:p w:rsidR="00AF7547" w:rsidRPr="00FC643A" w:rsidRDefault="00AF7547" w:rsidP="00AF7547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b/>
          <w:bCs/>
          <w:iCs/>
          <w:sz w:val="22"/>
          <w:szCs w:val="22"/>
          <w:lang w:val="lt-LT"/>
        </w:rPr>
        <w:t xml:space="preserve">Šis pakuotės lapelis paskutinį kartą peržiūrėtas </w:t>
      </w:r>
      <w:r>
        <w:rPr>
          <w:b/>
          <w:bCs/>
          <w:iCs/>
          <w:sz w:val="22"/>
          <w:szCs w:val="22"/>
          <w:lang w:val="lt-LT"/>
        </w:rPr>
        <w:t>2024</w:t>
      </w:r>
      <w:r>
        <w:rPr>
          <w:b/>
          <w:bCs/>
          <w:iCs/>
          <w:sz w:val="22"/>
          <w:szCs w:val="22"/>
          <w:lang w:val="lt-LT"/>
        </w:rPr>
        <w:t>-</w:t>
      </w:r>
      <w:r>
        <w:rPr>
          <w:b/>
          <w:bCs/>
          <w:iCs/>
          <w:sz w:val="22"/>
          <w:szCs w:val="22"/>
          <w:lang w:val="lt-LT"/>
        </w:rPr>
        <w:t>02</w:t>
      </w:r>
      <w:r>
        <w:rPr>
          <w:b/>
          <w:bCs/>
          <w:iCs/>
          <w:sz w:val="22"/>
          <w:szCs w:val="22"/>
          <w:lang w:val="lt-LT"/>
        </w:rPr>
        <w:t>-</w:t>
      </w:r>
      <w:r>
        <w:rPr>
          <w:b/>
          <w:bCs/>
          <w:iCs/>
          <w:sz w:val="22"/>
          <w:szCs w:val="22"/>
          <w:lang w:val="lt-LT"/>
        </w:rPr>
        <w:t>19.</w:t>
      </w: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FC643A">
        <w:rPr>
          <w:i/>
          <w:snapToGrid w:val="0"/>
          <w:sz w:val="22"/>
          <w:szCs w:val="22"/>
          <w:lang w:val="lt-LT"/>
        </w:rPr>
        <w:t xml:space="preserve"> </w:t>
      </w:r>
      <w:hyperlink r:id="rId6" w:history="1">
        <w:r>
          <w:rPr>
            <w:rStyle w:val="Hipersaitas"/>
            <w:snapToGrid w:val="0"/>
            <w:sz w:val="22"/>
            <w:szCs w:val="22"/>
            <w:lang w:val="lt-LT"/>
          </w:rPr>
          <w:t>http://www.vvkt.lt/</w:t>
        </w:r>
      </w:hyperlink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AF7547" w:rsidRPr="00FC643A" w:rsidRDefault="00AF7547" w:rsidP="00AF7547">
      <w:pPr>
        <w:rPr>
          <w:sz w:val="22"/>
          <w:szCs w:val="22"/>
          <w:lang w:val="lt-LT"/>
        </w:rPr>
      </w:pPr>
      <w:bookmarkStart w:id="0" w:name="_GoBack"/>
      <w:bookmarkEnd w:id="0"/>
    </w:p>
    <w:p w:rsidR="00AF7547" w:rsidRPr="00FC643A" w:rsidRDefault="00AF7547" w:rsidP="00AF7547">
      <w:pPr>
        <w:rPr>
          <w:sz w:val="22"/>
          <w:szCs w:val="22"/>
          <w:lang w:val="lt-LT"/>
        </w:rPr>
      </w:pPr>
    </w:p>
    <w:p w:rsidR="009041DB" w:rsidRDefault="009041DB"/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4D2F52D1"/>
    <w:multiLevelType w:val="hybridMultilevel"/>
    <w:tmpl w:val="C876D100"/>
    <w:lvl w:ilvl="0" w:tplc="FEDE1D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7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AF7547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691B"/>
  <w15:chartTrackingRefBased/>
  <w15:docId w15:val="{70DBDF45-AAA6-44D6-8714-0F9FB379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754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AF754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F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ris.vvkt.lt/vvkt-web/public/medications" TargetMode="External"/><Relationship Id="rId5" Type="http://schemas.openxmlformats.org/officeDocument/2006/relationships/hyperlink" Target="mailto:info@bionoric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5285</Words>
  <Characters>3013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24</vt:i4>
      </vt:variant>
    </vt:vector>
  </HeadingPairs>
  <TitlesOfParts>
    <vt:vector size="25" baseType="lpstr">
      <vt:lpstr/>
      <vt:lpstr>2.	Kas žinotina prieš vartojant Tonsilgon N</vt:lpstr>
      <vt:lpstr/>
      <vt:lpstr>Tonsilgon N vartoti draudžiama:</vt:lpstr>
      <vt:lpstr/>
      <vt:lpstr>Vaikams</vt:lpstr>
      <vt:lpstr>Duomenų apie sąveiką su maistu nėra.</vt:lpstr>
      <vt:lpstr/>
      <vt:lpstr>Nėštumas ir žindymo laikotarpis </vt:lpstr>
      <vt:lpstr>Vairavimas ir mechanizmų valdymas</vt:lpstr>
      <vt:lpstr/>
      <vt:lpstr/>
      <vt:lpstr>3.	Kaip vartoti Tonsilgon N </vt:lpstr>
      <vt:lpstr>Jei nepaskirta kitaip, įprastinė dozė yra tokia:</vt:lpstr>
      <vt:lpstr/>
      <vt:lpstr>Pamiršus pavartoti Tonsilgon N</vt:lpstr>
      <vt:lpstr>Negalima vartoti dvigubos dozės norint kompensuoti praleistą dozę.</vt:lpstr>
      <vt:lpstr>Nustojus vartoti Tonsilgon N </vt:lpstr>
      <vt:lpstr>Paprastai vaistą galite nustoti vartoti be jokių keblumų.</vt:lpstr>
      <vt:lpstr>4.	Galimas šalutinis poveikis </vt:lpstr>
      <vt:lpstr/>
      <vt:lpstr>Šis vaistas, kaip ir visi kiti, gali sukelti šalutinį poveikį, nors jis pasireiš</vt:lpstr>
      <vt:lpstr>5.	Kaip laikyti Tonsilgon N</vt:lpstr>
      <vt:lpstr/>
      <vt:lpstr>6.	Pakuotės turinys ir kita informacija</vt:lpstr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2024-02-19T08:14:00Z</dcterms:created>
  <dcterms:modified xsi:type="dcterms:W3CDTF">2024-02-19T08:15:00Z</dcterms:modified>
</cp:coreProperties>
</file>