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015" w:rsidRPr="00273FE0" w:rsidRDefault="00D42015" w:rsidP="00D42015">
      <w:pPr>
        <w:pStyle w:val="Pavadinimas"/>
        <w:jc w:val="center"/>
      </w:pPr>
      <w:r w:rsidRPr="00273FE0">
        <w:t>Pakuotės lapelis: informacija vartotojui</w:t>
      </w:r>
    </w:p>
    <w:p w:rsidR="00D42015" w:rsidRPr="0072244D" w:rsidRDefault="00D42015" w:rsidP="00D42015">
      <w:pPr>
        <w:rPr>
          <w:szCs w:val="22"/>
        </w:rPr>
      </w:pPr>
    </w:p>
    <w:p w:rsidR="00D42015" w:rsidRPr="0072244D" w:rsidRDefault="00D42015" w:rsidP="00D42015">
      <w:pPr>
        <w:jc w:val="center"/>
        <w:rPr>
          <w:b/>
          <w:bCs/>
          <w:szCs w:val="22"/>
        </w:rPr>
      </w:pPr>
      <w:r w:rsidRPr="00402FCA">
        <w:rPr>
          <w:b/>
          <w:bCs/>
          <w:szCs w:val="22"/>
        </w:rPr>
        <w:t>Albunorm 50</w:t>
      </w:r>
      <w:r w:rsidRPr="0072244D">
        <w:rPr>
          <w:b/>
          <w:bCs/>
          <w:szCs w:val="22"/>
        </w:rPr>
        <w:t> </w:t>
      </w:r>
      <w:r w:rsidRPr="00402FCA">
        <w:rPr>
          <w:b/>
          <w:bCs/>
          <w:szCs w:val="22"/>
        </w:rPr>
        <w:t>g/l infuzinis tirpalas</w:t>
      </w:r>
    </w:p>
    <w:p w:rsidR="00D42015" w:rsidRPr="0072244D" w:rsidRDefault="00D42015" w:rsidP="00D42015">
      <w:pPr>
        <w:jc w:val="center"/>
        <w:rPr>
          <w:szCs w:val="22"/>
        </w:rPr>
      </w:pPr>
      <w:r w:rsidRPr="00402FCA">
        <w:rPr>
          <w:szCs w:val="22"/>
        </w:rPr>
        <w:t>Žmogaus albuminas</w:t>
      </w:r>
    </w:p>
    <w:p w:rsidR="00D42015" w:rsidRPr="0072244D" w:rsidRDefault="00D42015" w:rsidP="00D42015">
      <w:pPr>
        <w:rPr>
          <w:szCs w:val="22"/>
        </w:rPr>
      </w:pPr>
    </w:p>
    <w:p w:rsidR="00D42015" w:rsidRPr="0072244D" w:rsidRDefault="00D42015" w:rsidP="00D42015">
      <w:pPr>
        <w:rPr>
          <w:b/>
          <w:bCs/>
          <w:szCs w:val="22"/>
        </w:rPr>
      </w:pPr>
      <w:r w:rsidRPr="00402FCA">
        <w:rPr>
          <w:b/>
          <w:bCs/>
          <w:szCs w:val="22"/>
        </w:rPr>
        <w:t>Atidžiai perskaitykite visą šį lapelį, prieš pradėdami vartoti vaistą</w:t>
      </w:r>
      <w:r w:rsidRPr="0072244D">
        <w:rPr>
          <w:b/>
          <w:bCs/>
          <w:szCs w:val="22"/>
        </w:rPr>
        <w:t xml:space="preserve"> </w:t>
      </w:r>
      <w:r w:rsidRPr="00402FCA">
        <w:rPr>
          <w:b/>
          <w:bCs/>
          <w:szCs w:val="22"/>
        </w:rPr>
        <w:t>nes jame pateikiama Jums svarbi informacija.</w:t>
      </w:r>
    </w:p>
    <w:p w:rsidR="00D42015" w:rsidRPr="0072244D" w:rsidRDefault="00D42015" w:rsidP="00D42015">
      <w:pPr>
        <w:numPr>
          <w:ilvl w:val="0"/>
          <w:numId w:val="6"/>
        </w:numPr>
        <w:rPr>
          <w:szCs w:val="22"/>
        </w:rPr>
      </w:pPr>
      <w:r w:rsidRPr="00402FCA">
        <w:rPr>
          <w:szCs w:val="22"/>
        </w:rPr>
        <w:t>Neišmeskite šio lapelio, nes vėl gali prireikti jį perskaityti.</w:t>
      </w:r>
    </w:p>
    <w:p w:rsidR="00D42015" w:rsidRPr="0072244D" w:rsidRDefault="00D42015" w:rsidP="00D42015">
      <w:pPr>
        <w:numPr>
          <w:ilvl w:val="0"/>
          <w:numId w:val="6"/>
        </w:numPr>
        <w:rPr>
          <w:szCs w:val="22"/>
        </w:rPr>
      </w:pPr>
      <w:r w:rsidRPr="00402FCA">
        <w:rPr>
          <w:szCs w:val="22"/>
        </w:rPr>
        <w:t>Jeigu kiltų daugiau klausimų, kreipkitės į gydytoją arba vaistininką.</w:t>
      </w:r>
    </w:p>
    <w:p w:rsidR="00D42015" w:rsidRPr="0072244D" w:rsidRDefault="00D42015" w:rsidP="00D42015">
      <w:pPr>
        <w:numPr>
          <w:ilvl w:val="0"/>
          <w:numId w:val="6"/>
        </w:numPr>
        <w:rPr>
          <w:szCs w:val="22"/>
        </w:rPr>
      </w:pPr>
      <w:r w:rsidRPr="00402FCA">
        <w:rPr>
          <w:szCs w:val="22"/>
        </w:rPr>
        <w:t>Šis vaistas skirtas tik Jums, todėl kitiems žmonėms jo duoti negalima. Vaistas gali jiems pakenkti (net tiems, kurių ligos požymiai yra tokie patys kaip Jūsų).</w:t>
      </w:r>
    </w:p>
    <w:p w:rsidR="00D42015" w:rsidRPr="0072244D" w:rsidRDefault="00D42015" w:rsidP="00D42015">
      <w:pPr>
        <w:numPr>
          <w:ilvl w:val="0"/>
          <w:numId w:val="6"/>
        </w:numPr>
        <w:rPr>
          <w:szCs w:val="22"/>
        </w:rPr>
      </w:pPr>
      <w:r w:rsidRPr="00402FCA">
        <w:rPr>
          <w:szCs w:val="22"/>
        </w:rPr>
        <w:t>Jeigu pasireiškė šalutinis poveikis (net jeigu</w:t>
      </w:r>
      <w:r w:rsidRPr="0072244D">
        <w:rPr>
          <w:szCs w:val="22"/>
        </w:rPr>
        <w:t xml:space="preserve"> </w:t>
      </w:r>
      <w:r w:rsidRPr="00402FCA">
        <w:rPr>
          <w:szCs w:val="22"/>
        </w:rPr>
        <w:t>jis šiame lapelyje nenurodytą), kreipkitės į gydytoją, vaistininką arba slaugytoją. Žr. 4 skyrių.</w:t>
      </w:r>
    </w:p>
    <w:p w:rsidR="00D42015" w:rsidRPr="0072244D" w:rsidRDefault="00D42015" w:rsidP="00D42015">
      <w:pPr>
        <w:rPr>
          <w:szCs w:val="22"/>
        </w:rPr>
      </w:pPr>
    </w:p>
    <w:p w:rsidR="00D42015" w:rsidRPr="0072244D" w:rsidRDefault="00D42015" w:rsidP="00D42015">
      <w:pPr>
        <w:rPr>
          <w:b/>
          <w:bCs/>
          <w:szCs w:val="22"/>
        </w:rPr>
      </w:pPr>
      <w:r w:rsidRPr="00402FCA">
        <w:rPr>
          <w:b/>
          <w:bCs/>
          <w:szCs w:val="22"/>
        </w:rPr>
        <w:t>Apie ką rašoma šiame lapelyje?</w:t>
      </w:r>
    </w:p>
    <w:p w:rsidR="00D42015" w:rsidRPr="0072244D" w:rsidRDefault="00D42015" w:rsidP="00D42015">
      <w:pPr>
        <w:numPr>
          <w:ilvl w:val="0"/>
          <w:numId w:val="2"/>
        </w:numPr>
        <w:rPr>
          <w:szCs w:val="22"/>
        </w:rPr>
      </w:pPr>
      <w:r w:rsidRPr="00402FCA">
        <w:rPr>
          <w:szCs w:val="22"/>
        </w:rPr>
        <w:t>Kas yra Albunorm ir kam jis vartojamas</w:t>
      </w:r>
    </w:p>
    <w:p w:rsidR="00D42015" w:rsidRPr="0072244D" w:rsidRDefault="00D42015" w:rsidP="00D42015">
      <w:pPr>
        <w:numPr>
          <w:ilvl w:val="0"/>
          <w:numId w:val="2"/>
        </w:numPr>
        <w:rPr>
          <w:szCs w:val="22"/>
        </w:rPr>
      </w:pPr>
      <w:r w:rsidRPr="00402FCA">
        <w:rPr>
          <w:szCs w:val="22"/>
        </w:rPr>
        <w:t xml:space="preserve">Kas žinotina prieš vartojant Albunorm </w:t>
      </w:r>
    </w:p>
    <w:p w:rsidR="00D42015" w:rsidRPr="0072244D" w:rsidRDefault="00D42015" w:rsidP="00D42015">
      <w:pPr>
        <w:numPr>
          <w:ilvl w:val="0"/>
          <w:numId w:val="2"/>
        </w:numPr>
        <w:rPr>
          <w:szCs w:val="22"/>
        </w:rPr>
      </w:pPr>
      <w:r w:rsidRPr="00402FCA">
        <w:rPr>
          <w:szCs w:val="22"/>
        </w:rPr>
        <w:t xml:space="preserve">Kaip vartoti Albunorm </w:t>
      </w:r>
    </w:p>
    <w:p w:rsidR="00D42015" w:rsidRPr="0072244D" w:rsidRDefault="00D42015" w:rsidP="00D42015">
      <w:pPr>
        <w:numPr>
          <w:ilvl w:val="0"/>
          <w:numId w:val="2"/>
        </w:numPr>
        <w:rPr>
          <w:szCs w:val="22"/>
        </w:rPr>
      </w:pPr>
      <w:r w:rsidRPr="00402FCA">
        <w:rPr>
          <w:szCs w:val="22"/>
        </w:rPr>
        <w:t>Galimas šalutinis poveikis</w:t>
      </w:r>
    </w:p>
    <w:p w:rsidR="00D42015" w:rsidRPr="0072244D" w:rsidRDefault="00D42015" w:rsidP="00D42015">
      <w:pPr>
        <w:numPr>
          <w:ilvl w:val="0"/>
          <w:numId w:val="2"/>
        </w:numPr>
        <w:rPr>
          <w:szCs w:val="22"/>
        </w:rPr>
      </w:pPr>
      <w:r w:rsidRPr="00402FCA">
        <w:rPr>
          <w:szCs w:val="22"/>
        </w:rPr>
        <w:t xml:space="preserve">Kaip laikyti Albunorm </w:t>
      </w:r>
    </w:p>
    <w:p w:rsidR="00D42015" w:rsidRPr="0072244D" w:rsidRDefault="00D42015" w:rsidP="00D42015">
      <w:pPr>
        <w:numPr>
          <w:ilvl w:val="0"/>
          <w:numId w:val="2"/>
        </w:numPr>
        <w:rPr>
          <w:szCs w:val="22"/>
        </w:rPr>
      </w:pPr>
      <w:r w:rsidRPr="00402FCA">
        <w:rPr>
          <w:szCs w:val="22"/>
        </w:rPr>
        <w:t>Pakuotės turinys ir kita informacija</w:t>
      </w:r>
    </w:p>
    <w:p w:rsidR="00D42015" w:rsidRPr="0072244D" w:rsidRDefault="00D42015" w:rsidP="00D42015">
      <w:pPr>
        <w:rPr>
          <w:szCs w:val="22"/>
        </w:rPr>
      </w:pPr>
    </w:p>
    <w:p w:rsidR="00D42015" w:rsidRPr="0072244D" w:rsidRDefault="00D42015" w:rsidP="00D42015">
      <w:pPr>
        <w:rPr>
          <w:szCs w:val="22"/>
        </w:rPr>
      </w:pPr>
    </w:p>
    <w:p w:rsidR="00D42015" w:rsidRPr="00273FE0" w:rsidRDefault="00D42015" w:rsidP="00D42015">
      <w:pPr>
        <w:pStyle w:val="Antrat1"/>
        <w:rPr>
          <w:rFonts w:ascii="Times New Roman" w:hAnsi="Times New Roman"/>
        </w:rPr>
      </w:pPr>
      <w:r w:rsidRPr="00273FE0">
        <w:rPr>
          <w:rFonts w:ascii="Times New Roman" w:hAnsi="Times New Roman"/>
        </w:rPr>
        <w:t>1.</w:t>
      </w:r>
      <w:r w:rsidRPr="00273FE0">
        <w:rPr>
          <w:rFonts w:ascii="Times New Roman" w:hAnsi="Times New Roman"/>
        </w:rPr>
        <w:tab/>
        <w:t>Kas yra Albunorm ir kam jis vartojamas</w:t>
      </w:r>
    </w:p>
    <w:p w:rsidR="00D42015" w:rsidRPr="0072244D" w:rsidRDefault="00D42015" w:rsidP="00D42015">
      <w:pPr>
        <w:rPr>
          <w:szCs w:val="22"/>
        </w:rPr>
      </w:pPr>
    </w:p>
    <w:p w:rsidR="00D42015" w:rsidRPr="0072244D" w:rsidRDefault="00D42015" w:rsidP="00D42015">
      <w:pPr>
        <w:rPr>
          <w:szCs w:val="22"/>
        </w:rPr>
      </w:pPr>
      <w:r w:rsidRPr="00402FCA">
        <w:rPr>
          <w:szCs w:val="22"/>
        </w:rPr>
        <w:t>Albunorm</w:t>
      </w:r>
      <w:r w:rsidRPr="0072244D">
        <w:rPr>
          <w:szCs w:val="22"/>
        </w:rPr>
        <w:t xml:space="preserve"> </w:t>
      </w:r>
      <w:r w:rsidRPr="00402FCA">
        <w:rPr>
          <w:szCs w:val="22"/>
        </w:rPr>
        <w:t>priklauso šiai vaistinių preparatų farmakoterapinei grupei: kraujo pakaitalai ir plazmos baltymų frakcijos.</w:t>
      </w:r>
    </w:p>
    <w:p w:rsidR="00D42015" w:rsidRPr="0072244D" w:rsidRDefault="00D42015" w:rsidP="00D42015">
      <w:pPr>
        <w:rPr>
          <w:szCs w:val="22"/>
        </w:rPr>
      </w:pPr>
      <w:r w:rsidRPr="00402FCA">
        <w:rPr>
          <w:szCs w:val="22"/>
        </w:rPr>
        <w:t>Preparatas skiriamas pacientams cirkuliuojančio kraujo tūriui atstatyti ir palaikyti, kai nustatoma, kad jo trūksta.</w:t>
      </w:r>
    </w:p>
    <w:p w:rsidR="00D42015" w:rsidRPr="0072244D" w:rsidRDefault="00D42015" w:rsidP="00D42015">
      <w:pPr>
        <w:rPr>
          <w:szCs w:val="22"/>
        </w:rPr>
      </w:pPr>
    </w:p>
    <w:p w:rsidR="00D42015" w:rsidRPr="0072244D" w:rsidRDefault="00D42015" w:rsidP="00D42015">
      <w:pPr>
        <w:rPr>
          <w:szCs w:val="22"/>
        </w:rPr>
      </w:pPr>
    </w:p>
    <w:p w:rsidR="00D42015" w:rsidRPr="00273FE0" w:rsidRDefault="00D42015" w:rsidP="00D42015">
      <w:pPr>
        <w:pStyle w:val="Antrat1"/>
        <w:rPr>
          <w:rFonts w:ascii="Times New Roman" w:hAnsi="Times New Roman"/>
        </w:rPr>
      </w:pPr>
      <w:r w:rsidRPr="00273FE0">
        <w:rPr>
          <w:rFonts w:ascii="Times New Roman" w:hAnsi="Times New Roman"/>
        </w:rPr>
        <w:t>2.</w:t>
      </w:r>
      <w:r w:rsidRPr="00273FE0">
        <w:rPr>
          <w:rFonts w:ascii="Times New Roman" w:hAnsi="Times New Roman"/>
        </w:rPr>
        <w:tab/>
        <w:t>Kas žinotina prieš vartojant Albunorm</w:t>
      </w:r>
    </w:p>
    <w:p w:rsidR="00D42015" w:rsidRPr="0072244D" w:rsidRDefault="00D42015" w:rsidP="00D42015">
      <w:pPr>
        <w:rPr>
          <w:szCs w:val="22"/>
        </w:rPr>
      </w:pPr>
    </w:p>
    <w:p w:rsidR="00D42015" w:rsidRPr="00273FE0" w:rsidRDefault="00D42015" w:rsidP="00D42015">
      <w:pPr>
        <w:pStyle w:val="Antrat2"/>
      </w:pPr>
      <w:r w:rsidRPr="00273FE0">
        <w:t>Albunorm vartoti negalima</w:t>
      </w:r>
    </w:p>
    <w:p w:rsidR="00D42015" w:rsidRPr="0072244D" w:rsidRDefault="00D42015" w:rsidP="00D42015">
      <w:pPr>
        <w:numPr>
          <w:ilvl w:val="0"/>
          <w:numId w:val="3"/>
        </w:numPr>
        <w:rPr>
          <w:szCs w:val="22"/>
        </w:rPr>
      </w:pPr>
      <w:r w:rsidRPr="00402FCA">
        <w:rPr>
          <w:szCs w:val="22"/>
        </w:rPr>
        <w:t>jeigu yra alergija žmogaus albumino preparatams arba bet kuriai pagalbinei šio vaisto</w:t>
      </w:r>
      <w:r w:rsidRPr="0072244D">
        <w:rPr>
          <w:szCs w:val="22"/>
        </w:rPr>
        <w:t xml:space="preserve"> </w:t>
      </w:r>
      <w:r w:rsidRPr="00402FCA">
        <w:rPr>
          <w:szCs w:val="22"/>
        </w:rPr>
        <w:t>medžiagai</w:t>
      </w:r>
      <w:r w:rsidRPr="0072244D">
        <w:rPr>
          <w:szCs w:val="22"/>
        </w:rPr>
        <w:t xml:space="preserve"> </w:t>
      </w:r>
      <w:r w:rsidRPr="00402FCA">
        <w:rPr>
          <w:szCs w:val="22"/>
        </w:rPr>
        <w:t xml:space="preserve">(jos išvardytos 6 skyriuje). </w:t>
      </w:r>
    </w:p>
    <w:p w:rsidR="00D42015" w:rsidRPr="0072244D" w:rsidRDefault="00D42015" w:rsidP="00D42015">
      <w:pPr>
        <w:rPr>
          <w:szCs w:val="22"/>
        </w:rPr>
      </w:pPr>
    </w:p>
    <w:p w:rsidR="00D42015" w:rsidRPr="006C2B0A" w:rsidRDefault="00D42015" w:rsidP="00D42015">
      <w:pPr>
        <w:pStyle w:val="Antrat2"/>
      </w:pPr>
      <w:r w:rsidRPr="006C2B0A">
        <w:t>Įspėjimai ir atsargumo priemonės</w:t>
      </w:r>
    </w:p>
    <w:p w:rsidR="00D42015" w:rsidRPr="0072244D" w:rsidRDefault="00D42015" w:rsidP="00D42015">
      <w:pPr>
        <w:rPr>
          <w:szCs w:val="22"/>
        </w:rPr>
      </w:pPr>
      <w:r w:rsidRPr="00402FCA">
        <w:rPr>
          <w:szCs w:val="22"/>
        </w:rPr>
        <w:t>Pasitarkite su gydytoju, vaistininku arba slaugytoja, prieš pradėdami vartoti Albunorm.</w:t>
      </w:r>
    </w:p>
    <w:p w:rsidR="00D42015" w:rsidRPr="0072244D" w:rsidRDefault="00D42015" w:rsidP="00D42015">
      <w:pPr>
        <w:rPr>
          <w:szCs w:val="22"/>
        </w:rPr>
      </w:pPr>
    </w:p>
    <w:p w:rsidR="00D42015" w:rsidRPr="00273FE0" w:rsidRDefault="00D42015" w:rsidP="00D42015">
      <w:pPr>
        <w:pStyle w:val="Antrat3"/>
      </w:pPr>
      <w:r w:rsidRPr="00273FE0">
        <w:t>Specialių atsargumo priemonių reikia</w:t>
      </w:r>
    </w:p>
    <w:p w:rsidR="00D42015" w:rsidRPr="0072244D" w:rsidRDefault="00D42015" w:rsidP="00D42015">
      <w:pPr>
        <w:numPr>
          <w:ilvl w:val="0"/>
          <w:numId w:val="4"/>
        </w:numPr>
        <w:rPr>
          <w:szCs w:val="22"/>
        </w:rPr>
      </w:pPr>
      <w:r w:rsidRPr="00402FCA">
        <w:rPr>
          <w:szCs w:val="22"/>
        </w:rPr>
        <w:t>jeigu dėl padidėjusio kraujo tūrio Jums gali kilti komplikacijų rizika, pvz., jei sergate kai kuriomis širdies ligomis, Jūsų aukštas kraujospūdis, išsiplėtusios stemplės venos, plaučiuose kaupiasi skysčiai, yra krešėjimo sutrikimų, mažas eritrocitų kiekis ar neišsiskiria šlapimas.</w:t>
      </w:r>
    </w:p>
    <w:p w:rsidR="00D42015" w:rsidRPr="0072244D" w:rsidRDefault="00D42015" w:rsidP="00D42015">
      <w:pPr>
        <w:numPr>
          <w:ilvl w:val="0"/>
          <w:numId w:val="4"/>
        </w:numPr>
        <w:rPr>
          <w:szCs w:val="22"/>
        </w:rPr>
      </w:pPr>
      <w:r w:rsidRPr="00402FCA">
        <w:rPr>
          <w:szCs w:val="22"/>
        </w:rPr>
        <w:t>kai atsiranda padidėjusio kraujo tūrio sukeliamų požymių (galvos skausmas, kvėpavimo sutrikimai, jungo venų persipildymas) ar padidėja kraujospūdis. Infuziją reikia tuoj pat nutraukti.</w:t>
      </w:r>
    </w:p>
    <w:p w:rsidR="00D42015" w:rsidRPr="0072244D" w:rsidRDefault="00D42015" w:rsidP="00D42015">
      <w:pPr>
        <w:numPr>
          <w:ilvl w:val="0"/>
          <w:numId w:val="4"/>
        </w:numPr>
        <w:rPr>
          <w:szCs w:val="22"/>
        </w:rPr>
      </w:pPr>
      <w:r w:rsidRPr="00402FCA">
        <w:rPr>
          <w:szCs w:val="22"/>
        </w:rPr>
        <w:t>kai atsiranda alerginės reakcijos požymių. Infuziją reikia tuoj pat nutraukti.</w:t>
      </w:r>
    </w:p>
    <w:p w:rsidR="00D42015" w:rsidRPr="0072244D" w:rsidRDefault="00D42015" w:rsidP="00D42015">
      <w:pPr>
        <w:numPr>
          <w:ilvl w:val="0"/>
          <w:numId w:val="4"/>
        </w:numPr>
        <w:rPr>
          <w:szCs w:val="22"/>
        </w:rPr>
      </w:pPr>
      <w:r w:rsidRPr="00402FCA">
        <w:rPr>
          <w:szCs w:val="22"/>
        </w:rPr>
        <w:t>kai preparatas vartojamas pacientams turintiems sunkų trauminį galvos pažeidimą.</w:t>
      </w:r>
    </w:p>
    <w:p w:rsidR="00D42015" w:rsidRPr="0072244D" w:rsidRDefault="00D42015" w:rsidP="00D42015">
      <w:pPr>
        <w:jc w:val="both"/>
        <w:rPr>
          <w:szCs w:val="22"/>
          <w:u w:val="single"/>
        </w:rPr>
      </w:pPr>
    </w:p>
    <w:p w:rsidR="00D42015" w:rsidRPr="00273FE0" w:rsidRDefault="00D42015" w:rsidP="00D42015">
      <w:pPr>
        <w:pStyle w:val="Antrat3"/>
      </w:pPr>
      <w:r w:rsidRPr="00273FE0">
        <w:t>Saugumas dėl virusų perdavimo</w:t>
      </w:r>
    </w:p>
    <w:p w:rsidR="00D42015" w:rsidRPr="0072244D" w:rsidRDefault="00D42015" w:rsidP="00D42015">
      <w:pPr>
        <w:rPr>
          <w:szCs w:val="22"/>
        </w:rPr>
      </w:pPr>
      <w:r w:rsidRPr="00402FCA">
        <w:rPr>
          <w:szCs w:val="22"/>
        </w:rPr>
        <w:t>Kai vaistiniai preparatai yra gaminami iš žmogaus kraujo ar plazmos, naudojamos tam tikros priemonės, skirtos apsaugoti nuo galimo infekcijų perdavimo pacientui. Tai yra:</w:t>
      </w:r>
    </w:p>
    <w:p w:rsidR="00D42015" w:rsidRPr="0072244D" w:rsidRDefault="00D42015" w:rsidP="00D42015">
      <w:pPr>
        <w:numPr>
          <w:ilvl w:val="0"/>
          <w:numId w:val="5"/>
        </w:numPr>
        <w:rPr>
          <w:szCs w:val="22"/>
        </w:rPr>
      </w:pPr>
      <w:r w:rsidRPr="00402FCA">
        <w:rPr>
          <w:szCs w:val="22"/>
        </w:rPr>
        <w:t>kruopšti kraujo ir plazmos donorų atranka siekiant užtikrinti, kad tie, kurie gali būti infekcijų pernešėjais, nebus įtraukti</w:t>
      </w:r>
    </w:p>
    <w:p w:rsidR="00D42015" w:rsidRPr="0072244D" w:rsidRDefault="00D42015" w:rsidP="00D42015">
      <w:pPr>
        <w:numPr>
          <w:ilvl w:val="0"/>
          <w:numId w:val="5"/>
        </w:numPr>
        <w:rPr>
          <w:szCs w:val="22"/>
        </w:rPr>
      </w:pPr>
      <w:r w:rsidRPr="00402FCA">
        <w:rPr>
          <w:szCs w:val="22"/>
        </w:rPr>
        <w:t>kiekvieno donoro plazmos ir plazmos kaupinių patikra dėl virusų ar infekcijų sukėlėjų buvimo požymių</w:t>
      </w:r>
    </w:p>
    <w:p w:rsidR="00D42015" w:rsidRPr="0072244D" w:rsidRDefault="00D42015" w:rsidP="00D42015">
      <w:pPr>
        <w:numPr>
          <w:ilvl w:val="0"/>
          <w:numId w:val="5"/>
        </w:numPr>
        <w:rPr>
          <w:szCs w:val="22"/>
        </w:rPr>
      </w:pPr>
      <w:r w:rsidRPr="00402FCA">
        <w:rPr>
          <w:szCs w:val="22"/>
        </w:rPr>
        <w:lastRenderedPageBreak/>
        <w:t xml:space="preserve">efektyvių gamybos būdų, užtikrinančių virusų inaktyvaciją ar pašalinimą, įdiegimas. </w:t>
      </w:r>
    </w:p>
    <w:p w:rsidR="00D42015" w:rsidRPr="0072244D" w:rsidRDefault="00D42015" w:rsidP="00D42015">
      <w:pPr>
        <w:rPr>
          <w:szCs w:val="22"/>
        </w:rPr>
      </w:pPr>
    </w:p>
    <w:p w:rsidR="00D42015" w:rsidRPr="0072244D" w:rsidRDefault="00D42015" w:rsidP="00D42015">
      <w:pPr>
        <w:rPr>
          <w:szCs w:val="22"/>
        </w:rPr>
      </w:pPr>
      <w:r w:rsidRPr="00402FCA">
        <w:rPr>
          <w:szCs w:val="22"/>
        </w:rPr>
        <w:t>Nežiūrint to, gaminant vaistinius preparatus iš žmogaus kraujo ar plazmos, negalima visiškai atmesti infekcinio užkrato perdavimo tikimybės. Tai tinka ir kalbant apie nežinomus ar naujai atsirandančius virusus ir kitus infekcinių ligų sukėlėjus.</w:t>
      </w:r>
    </w:p>
    <w:p w:rsidR="00D42015" w:rsidRPr="0072244D" w:rsidRDefault="00D42015" w:rsidP="00D42015">
      <w:pPr>
        <w:rPr>
          <w:szCs w:val="22"/>
        </w:rPr>
      </w:pPr>
    </w:p>
    <w:p w:rsidR="00D42015" w:rsidRPr="0072244D" w:rsidRDefault="00D42015" w:rsidP="00D42015">
      <w:pPr>
        <w:rPr>
          <w:szCs w:val="22"/>
        </w:rPr>
      </w:pPr>
      <w:r w:rsidRPr="00402FCA">
        <w:rPr>
          <w:szCs w:val="22"/>
        </w:rPr>
        <w:t>Nėra registruota atvejų, kai virusai būtų perduoti vartojant albuminą, kurio gamyba atitiko Europos Farmakopėjos reikalavimus.</w:t>
      </w:r>
    </w:p>
    <w:p w:rsidR="00D42015" w:rsidRPr="0072244D" w:rsidRDefault="00D42015" w:rsidP="00D42015">
      <w:pPr>
        <w:rPr>
          <w:szCs w:val="22"/>
        </w:rPr>
      </w:pPr>
    </w:p>
    <w:p w:rsidR="00D42015" w:rsidRPr="0072244D" w:rsidRDefault="00D42015" w:rsidP="00D42015">
      <w:pPr>
        <w:rPr>
          <w:szCs w:val="22"/>
        </w:rPr>
      </w:pPr>
      <w:r w:rsidRPr="00402FCA">
        <w:rPr>
          <w:szCs w:val="22"/>
        </w:rPr>
        <w:t>Primygtinai rekomenduojama kiekvieną kartą, kai Jums skiriama Albunorm</w:t>
      </w:r>
      <w:r w:rsidRPr="0072244D">
        <w:rPr>
          <w:szCs w:val="22"/>
        </w:rPr>
        <w:t xml:space="preserve"> </w:t>
      </w:r>
      <w:r w:rsidRPr="00402FCA">
        <w:rPr>
          <w:szCs w:val="22"/>
        </w:rPr>
        <w:t xml:space="preserve">užrašyti vaistinio preparato pavadinimą ir serijos numerį, kad serijos numeris būtų išsaugotas įrašuose. </w:t>
      </w:r>
    </w:p>
    <w:p w:rsidR="00D42015" w:rsidRPr="0072244D" w:rsidRDefault="00D42015" w:rsidP="00D42015">
      <w:pPr>
        <w:rPr>
          <w:szCs w:val="22"/>
        </w:rPr>
      </w:pPr>
    </w:p>
    <w:p w:rsidR="00D42015" w:rsidRPr="00273FE0" w:rsidRDefault="00D42015" w:rsidP="00D42015">
      <w:pPr>
        <w:pStyle w:val="Antrat2"/>
      </w:pPr>
      <w:r w:rsidRPr="00273FE0">
        <w:t>Kiti vaistai ir Albunorm</w:t>
      </w:r>
    </w:p>
    <w:p w:rsidR="00D42015" w:rsidRPr="0072244D" w:rsidRDefault="00D42015" w:rsidP="00D42015">
      <w:pPr>
        <w:rPr>
          <w:szCs w:val="22"/>
        </w:rPr>
      </w:pPr>
      <w:r w:rsidRPr="00402FCA">
        <w:rPr>
          <w:szCs w:val="22"/>
        </w:rPr>
        <w:t>Iki šiol nežinoma jokios specifinės žmogaus albumino sąveikos su kitais vaistiniais preparatais. Tačiau, Albunorm</w:t>
      </w:r>
      <w:r w:rsidRPr="0072244D">
        <w:rPr>
          <w:szCs w:val="22"/>
        </w:rPr>
        <w:t xml:space="preserve"> </w:t>
      </w:r>
      <w:r w:rsidRPr="00402FCA">
        <w:rPr>
          <w:szCs w:val="22"/>
        </w:rPr>
        <w:t>tos pačios infuzijos metu negalima maišyti su kitais vaistais, krauju ar eritrocitų ruošiniais.</w:t>
      </w:r>
      <w:r w:rsidRPr="0072244D">
        <w:rPr>
          <w:szCs w:val="22"/>
        </w:rPr>
        <w:t xml:space="preserve"> </w:t>
      </w:r>
      <w:r w:rsidRPr="00402FCA">
        <w:rPr>
          <w:szCs w:val="22"/>
        </w:rPr>
        <w:t>Jeigu vartojate vartojote kitų</w:t>
      </w:r>
      <w:r w:rsidRPr="0072244D">
        <w:rPr>
          <w:szCs w:val="22"/>
        </w:rPr>
        <w:t xml:space="preserve"> </w:t>
      </w:r>
      <w:r w:rsidRPr="00402FCA">
        <w:rPr>
          <w:szCs w:val="22"/>
        </w:rPr>
        <w:t>vaistų</w:t>
      </w:r>
      <w:r w:rsidRPr="0072244D">
        <w:rPr>
          <w:szCs w:val="22"/>
        </w:rPr>
        <w:t xml:space="preserve"> </w:t>
      </w:r>
      <w:r w:rsidRPr="00402FCA">
        <w:rPr>
          <w:szCs w:val="22"/>
        </w:rPr>
        <w:t>arba dėl to nesate tikri,</w:t>
      </w:r>
      <w:r w:rsidRPr="0072244D">
        <w:rPr>
          <w:szCs w:val="22"/>
        </w:rPr>
        <w:t xml:space="preserve"> </w:t>
      </w:r>
      <w:r w:rsidRPr="00402FCA">
        <w:rPr>
          <w:szCs w:val="22"/>
        </w:rPr>
        <w:t>apie tai pasakykite gydytojui</w:t>
      </w:r>
      <w:r w:rsidRPr="0072244D">
        <w:rPr>
          <w:szCs w:val="22"/>
        </w:rPr>
        <w:t xml:space="preserve"> </w:t>
      </w:r>
      <w:r w:rsidRPr="00402FCA">
        <w:rPr>
          <w:szCs w:val="22"/>
        </w:rPr>
        <w:t>arba vaistininkui.</w:t>
      </w:r>
    </w:p>
    <w:p w:rsidR="00D42015" w:rsidRPr="0072244D" w:rsidRDefault="00D42015" w:rsidP="00D42015">
      <w:pPr>
        <w:rPr>
          <w:szCs w:val="22"/>
        </w:rPr>
      </w:pPr>
    </w:p>
    <w:p w:rsidR="00D42015" w:rsidRPr="00273FE0" w:rsidRDefault="00D42015" w:rsidP="00D42015">
      <w:pPr>
        <w:pStyle w:val="Antrat2"/>
      </w:pPr>
      <w:r w:rsidRPr="00273FE0">
        <w:t>Nėštumas ir žindymo laikotarpis</w:t>
      </w:r>
    </w:p>
    <w:p w:rsidR="00D42015" w:rsidRPr="0072244D" w:rsidRDefault="00D42015" w:rsidP="00D42015">
      <w:pPr>
        <w:rPr>
          <w:szCs w:val="22"/>
        </w:rPr>
      </w:pPr>
      <w:r w:rsidRPr="00402FCA">
        <w:rPr>
          <w:szCs w:val="22"/>
        </w:rPr>
        <w:t>Žmogaus albuminas yra įprasta žmogaus kraujo sudėtinė dalis. Jokio žalingo poveikio, kai šio preparato buvo vartojama nėštumo ar žindymo laikotarpiu, nebuvo stebėta. Nėščiosioms kraujo tūrį reikia koreguoti labai atidžiai.</w:t>
      </w:r>
    </w:p>
    <w:p w:rsidR="00D42015" w:rsidRPr="0072244D" w:rsidRDefault="00D42015" w:rsidP="00D42015">
      <w:pPr>
        <w:rPr>
          <w:szCs w:val="22"/>
        </w:rPr>
      </w:pPr>
      <w:r w:rsidRPr="00402FCA">
        <w:rPr>
          <w:szCs w:val="22"/>
        </w:rPr>
        <w:t>Prieš vartojant bet kokį vaistą, būtina pasitarti su gydytoju.</w:t>
      </w:r>
    </w:p>
    <w:p w:rsidR="00D42015" w:rsidRPr="0072244D" w:rsidRDefault="00D42015" w:rsidP="00D42015">
      <w:pPr>
        <w:rPr>
          <w:szCs w:val="22"/>
        </w:rPr>
      </w:pPr>
    </w:p>
    <w:p w:rsidR="00D42015" w:rsidRPr="00273FE0" w:rsidRDefault="00D42015" w:rsidP="00D42015">
      <w:pPr>
        <w:pStyle w:val="Antrat2"/>
      </w:pPr>
      <w:r w:rsidRPr="00273FE0">
        <w:t>Vairavimas ir mechanizmų valdymas</w:t>
      </w:r>
    </w:p>
    <w:p w:rsidR="00D42015" w:rsidRPr="0072244D" w:rsidRDefault="00D42015" w:rsidP="00D42015">
      <w:pPr>
        <w:rPr>
          <w:szCs w:val="22"/>
        </w:rPr>
      </w:pPr>
      <w:r w:rsidRPr="00402FCA">
        <w:rPr>
          <w:szCs w:val="22"/>
        </w:rPr>
        <w:t>Nėra duomenų, kad žmogaus albuminas blogintų gebėjimą vairuoti ar valdyti mechanizmus.</w:t>
      </w:r>
    </w:p>
    <w:p w:rsidR="00D42015" w:rsidRPr="0072244D" w:rsidRDefault="00D42015" w:rsidP="00D42015">
      <w:pPr>
        <w:rPr>
          <w:szCs w:val="22"/>
        </w:rPr>
      </w:pPr>
    </w:p>
    <w:p w:rsidR="00D42015" w:rsidRPr="00273FE0" w:rsidRDefault="00D42015" w:rsidP="00D42015">
      <w:pPr>
        <w:pStyle w:val="Antrat2"/>
      </w:pPr>
      <w:r w:rsidRPr="00273FE0">
        <w:t xml:space="preserve">Albunorm </w:t>
      </w:r>
      <w:r w:rsidRPr="00FC3C02">
        <w:t>sudėtyje yra natrio</w:t>
      </w:r>
    </w:p>
    <w:p w:rsidR="00D42015" w:rsidRDefault="00D42015" w:rsidP="00D42015">
      <w:pPr>
        <w:rPr>
          <w:szCs w:val="22"/>
        </w:rPr>
      </w:pPr>
      <w:r w:rsidRPr="00F97E5A">
        <w:rPr>
          <w:szCs w:val="22"/>
        </w:rPr>
        <w:t>Šio vaisto 100 ml albumino tirpalo sudėtyje</w:t>
      </w:r>
      <w:r>
        <w:rPr>
          <w:szCs w:val="22"/>
        </w:rPr>
        <w:t xml:space="preserve"> yra 331 – 368 </w:t>
      </w:r>
      <w:r w:rsidRPr="00FC3C02">
        <w:rPr>
          <w:szCs w:val="22"/>
        </w:rPr>
        <w:t>mg</w:t>
      </w:r>
      <w:r>
        <w:rPr>
          <w:szCs w:val="22"/>
        </w:rPr>
        <w:t xml:space="preserve"> </w:t>
      </w:r>
      <w:r w:rsidRPr="00FC3C02">
        <w:rPr>
          <w:szCs w:val="22"/>
        </w:rPr>
        <w:t>natrio (valgomosios druskos sudedamosios dalies).</w:t>
      </w:r>
      <w:r>
        <w:rPr>
          <w:szCs w:val="22"/>
        </w:rPr>
        <w:t xml:space="preserve"> </w:t>
      </w:r>
      <w:r w:rsidRPr="00FC3C02">
        <w:rPr>
          <w:szCs w:val="22"/>
        </w:rPr>
        <w:t xml:space="preserve">Tai atitinka </w:t>
      </w:r>
      <w:r>
        <w:rPr>
          <w:szCs w:val="22"/>
        </w:rPr>
        <w:t>18,4 </w:t>
      </w:r>
      <w:r w:rsidRPr="00FC3C02">
        <w:rPr>
          <w:szCs w:val="22"/>
        </w:rPr>
        <w:t>% didžiausios rekomenduojamos</w:t>
      </w:r>
      <w:r>
        <w:rPr>
          <w:szCs w:val="22"/>
        </w:rPr>
        <w:t xml:space="preserve"> </w:t>
      </w:r>
      <w:r w:rsidRPr="00FC3C02">
        <w:rPr>
          <w:szCs w:val="22"/>
        </w:rPr>
        <w:t>natrio paros normos suaugusiesiems.</w:t>
      </w:r>
    </w:p>
    <w:p w:rsidR="00D42015" w:rsidRPr="0072244D" w:rsidRDefault="00D42015" w:rsidP="00D42015">
      <w:pPr>
        <w:rPr>
          <w:szCs w:val="22"/>
        </w:rPr>
      </w:pPr>
    </w:p>
    <w:p w:rsidR="00D42015" w:rsidRPr="0072244D" w:rsidRDefault="00D42015" w:rsidP="00D42015">
      <w:pPr>
        <w:rPr>
          <w:szCs w:val="22"/>
        </w:rPr>
      </w:pPr>
    </w:p>
    <w:p w:rsidR="00D42015" w:rsidRPr="00273FE0" w:rsidRDefault="00D42015" w:rsidP="00D42015">
      <w:pPr>
        <w:pStyle w:val="Antrat1"/>
        <w:rPr>
          <w:rFonts w:ascii="Times New Roman" w:hAnsi="Times New Roman"/>
        </w:rPr>
      </w:pPr>
      <w:r w:rsidRPr="00273FE0">
        <w:rPr>
          <w:rFonts w:ascii="Times New Roman" w:hAnsi="Times New Roman"/>
        </w:rPr>
        <w:t>3.</w:t>
      </w:r>
      <w:r w:rsidRPr="00273FE0">
        <w:rPr>
          <w:rFonts w:ascii="Times New Roman" w:hAnsi="Times New Roman"/>
        </w:rPr>
        <w:tab/>
        <w:t>Kaip vartoti Albunorm</w:t>
      </w:r>
    </w:p>
    <w:p w:rsidR="00D42015" w:rsidRPr="0072244D" w:rsidRDefault="00D42015" w:rsidP="00D42015">
      <w:pPr>
        <w:rPr>
          <w:szCs w:val="22"/>
        </w:rPr>
      </w:pPr>
    </w:p>
    <w:p w:rsidR="00D42015" w:rsidRPr="0072244D" w:rsidRDefault="00D42015" w:rsidP="00D42015">
      <w:pPr>
        <w:rPr>
          <w:szCs w:val="22"/>
        </w:rPr>
      </w:pPr>
      <w:r w:rsidRPr="00402FCA">
        <w:rPr>
          <w:szCs w:val="22"/>
        </w:rPr>
        <w:t>Albunorm</w:t>
      </w:r>
      <w:r w:rsidRPr="0072244D">
        <w:rPr>
          <w:szCs w:val="22"/>
        </w:rPr>
        <w:t xml:space="preserve"> </w:t>
      </w:r>
      <w:r w:rsidRPr="00402FCA">
        <w:rPr>
          <w:szCs w:val="22"/>
        </w:rPr>
        <w:t>yra paruoštas vartoti infuzijai (“lašinei”) į veną tirpalas. Preparato dozė ir infuzijos greitis (greitis, kuriuo albuminas bus leidžiamas į veną) priklausys nuo konkrečios būklės. Gydytojas nuspręs, koks gydymas Jums labiausiai tinka.</w:t>
      </w:r>
    </w:p>
    <w:p w:rsidR="00D42015" w:rsidRPr="0072244D" w:rsidRDefault="00D42015" w:rsidP="00D42015">
      <w:pPr>
        <w:rPr>
          <w:szCs w:val="22"/>
          <w:u w:val="single"/>
        </w:rPr>
      </w:pPr>
    </w:p>
    <w:p w:rsidR="00D42015" w:rsidRPr="00273FE0" w:rsidRDefault="00D42015" w:rsidP="00D42015">
      <w:pPr>
        <w:pStyle w:val="Antrat3"/>
      </w:pPr>
      <w:r w:rsidRPr="00273FE0">
        <w:t>Instrukcijos</w:t>
      </w:r>
    </w:p>
    <w:p w:rsidR="00D42015" w:rsidRPr="0072244D" w:rsidRDefault="00D42015" w:rsidP="00D42015">
      <w:pPr>
        <w:numPr>
          <w:ilvl w:val="0"/>
          <w:numId w:val="1"/>
        </w:numPr>
        <w:rPr>
          <w:szCs w:val="22"/>
        </w:rPr>
      </w:pPr>
      <w:r w:rsidRPr="00402FCA">
        <w:rPr>
          <w:szCs w:val="22"/>
        </w:rPr>
        <w:t>Prieš vartojimą preparatą reikia sušildyti iki kambario ar kūno temperatūros.</w:t>
      </w:r>
    </w:p>
    <w:p w:rsidR="00D42015" w:rsidRPr="0072244D" w:rsidRDefault="00D42015" w:rsidP="00D42015">
      <w:pPr>
        <w:numPr>
          <w:ilvl w:val="0"/>
          <w:numId w:val="1"/>
        </w:numPr>
        <w:rPr>
          <w:szCs w:val="22"/>
        </w:rPr>
      </w:pPr>
      <w:r w:rsidRPr="00402FCA">
        <w:rPr>
          <w:szCs w:val="22"/>
        </w:rPr>
        <w:t>Tirpalas turi būti skaidrus ir be nuosėdų.</w:t>
      </w:r>
    </w:p>
    <w:p w:rsidR="00D42015" w:rsidRPr="0072244D" w:rsidRDefault="00D42015" w:rsidP="00D42015">
      <w:pPr>
        <w:numPr>
          <w:ilvl w:val="0"/>
          <w:numId w:val="1"/>
        </w:numPr>
        <w:rPr>
          <w:szCs w:val="22"/>
        </w:rPr>
      </w:pPr>
      <w:r w:rsidRPr="00402FCA">
        <w:rPr>
          <w:szCs w:val="22"/>
        </w:rPr>
        <w:t>Tirpalo likučius reikia išmesti.</w:t>
      </w:r>
    </w:p>
    <w:p w:rsidR="00D42015" w:rsidRPr="0072244D" w:rsidRDefault="00D42015" w:rsidP="00D42015">
      <w:pPr>
        <w:numPr>
          <w:ilvl w:val="0"/>
          <w:numId w:val="1"/>
        </w:numPr>
        <w:rPr>
          <w:b/>
          <w:bCs/>
          <w:szCs w:val="22"/>
        </w:rPr>
      </w:pPr>
      <w:r w:rsidRPr="00402FCA">
        <w:rPr>
          <w:szCs w:val="22"/>
        </w:rPr>
        <w:t xml:space="preserve">Jeigu kiltų daugiau klausimų dėl šio vaisto vartojimo, kreipkitės į gydytoją arba vaistininką. </w:t>
      </w:r>
    </w:p>
    <w:p w:rsidR="00D42015" w:rsidRPr="0072244D" w:rsidRDefault="00D42015" w:rsidP="00D42015">
      <w:pPr>
        <w:rPr>
          <w:szCs w:val="22"/>
        </w:rPr>
      </w:pPr>
    </w:p>
    <w:p w:rsidR="00D42015" w:rsidRPr="00273FE0" w:rsidRDefault="00D42015" w:rsidP="00D42015">
      <w:pPr>
        <w:pStyle w:val="Antrat2"/>
      </w:pPr>
      <w:r w:rsidRPr="00273FE0">
        <w:t>Pavartojus per didelę Albunorm dozę</w:t>
      </w:r>
    </w:p>
    <w:p w:rsidR="00D42015" w:rsidRPr="0072244D" w:rsidRDefault="00D42015" w:rsidP="00D42015">
      <w:pPr>
        <w:rPr>
          <w:szCs w:val="22"/>
        </w:rPr>
      </w:pPr>
      <w:r w:rsidRPr="00402FCA">
        <w:rPr>
          <w:szCs w:val="22"/>
        </w:rPr>
        <w:t>Jeigu preparato dozė yra per didelė ar per didelis leidimo į veną greitis, gali pasireikšti galvos skausmas, padidėti kraujospūdis ar sutrikti kvėpavimas. Infuziją reikia nedelsiant nutraukti ir gydytojas nuspręs, ar reikia kitokio gydymo.</w:t>
      </w:r>
    </w:p>
    <w:p w:rsidR="00D42015" w:rsidRPr="0072244D" w:rsidRDefault="00D42015" w:rsidP="00D42015">
      <w:pPr>
        <w:rPr>
          <w:szCs w:val="22"/>
        </w:rPr>
      </w:pPr>
    </w:p>
    <w:p w:rsidR="00D42015" w:rsidRPr="0072244D" w:rsidRDefault="00D42015" w:rsidP="00D42015">
      <w:pPr>
        <w:rPr>
          <w:szCs w:val="22"/>
        </w:rPr>
      </w:pPr>
    </w:p>
    <w:p w:rsidR="00D42015" w:rsidRPr="00273FE0" w:rsidRDefault="00D42015" w:rsidP="00D42015">
      <w:pPr>
        <w:pStyle w:val="Antrat1"/>
        <w:rPr>
          <w:rFonts w:ascii="Times New Roman" w:hAnsi="Times New Roman"/>
        </w:rPr>
      </w:pPr>
      <w:r w:rsidRPr="00273FE0">
        <w:rPr>
          <w:rFonts w:ascii="Times New Roman" w:hAnsi="Times New Roman"/>
        </w:rPr>
        <w:t>4.</w:t>
      </w:r>
      <w:r w:rsidRPr="00273FE0">
        <w:rPr>
          <w:rFonts w:ascii="Times New Roman" w:hAnsi="Times New Roman"/>
        </w:rPr>
        <w:tab/>
        <w:t>Galimas šalutinis poveikis</w:t>
      </w:r>
    </w:p>
    <w:p w:rsidR="00D42015" w:rsidRPr="0072244D" w:rsidRDefault="00D42015" w:rsidP="00D42015">
      <w:pPr>
        <w:rPr>
          <w:szCs w:val="22"/>
        </w:rPr>
      </w:pPr>
    </w:p>
    <w:p w:rsidR="00D42015" w:rsidRPr="0072244D" w:rsidRDefault="00D42015" w:rsidP="00D42015">
      <w:pPr>
        <w:rPr>
          <w:szCs w:val="22"/>
        </w:rPr>
      </w:pPr>
      <w:r w:rsidRPr="00402FCA">
        <w:rPr>
          <w:szCs w:val="22"/>
        </w:rPr>
        <w:t>Šis vaistas, kaip ir visi</w:t>
      </w:r>
      <w:r w:rsidRPr="0072244D">
        <w:rPr>
          <w:szCs w:val="22"/>
        </w:rPr>
        <w:t xml:space="preserve"> </w:t>
      </w:r>
      <w:r w:rsidRPr="00402FCA">
        <w:rPr>
          <w:szCs w:val="22"/>
        </w:rPr>
        <w:t>kiti, gali sukelti šalutinį poveikį, nors jis pasireiškia ne visiems žmonėms.</w:t>
      </w:r>
    </w:p>
    <w:p w:rsidR="00D42015" w:rsidRPr="0072244D" w:rsidRDefault="00D42015" w:rsidP="00D42015">
      <w:pPr>
        <w:rPr>
          <w:szCs w:val="22"/>
        </w:rPr>
      </w:pPr>
    </w:p>
    <w:p w:rsidR="00D42015" w:rsidRPr="0072244D" w:rsidRDefault="00D42015" w:rsidP="00D42015">
      <w:pPr>
        <w:rPr>
          <w:szCs w:val="22"/>
        </w:rPr>
      </w:pPr>
      <w:r w:rsidRPr="00402FCA">
        <w:rPr>
          <w:szCs w:val="22"/>
        </w:rPr>
        <w:t xml:space="preserve">Žmogaus albumino infuzijos sukeltas šalutinis poveikis yra retas ir paprastai išnyksta sulėtinus infuzijos greitį ar ją nutraukus. </w:t>
      </w:r>
    </w:p>
    <w:p w:rsidR="00D42015" w:rsidRPr="0072244D" w:rsidRDefault="00D42015" w:rsidP="00D42015">
      <w:pPr>
        <w:rPr>
          <w:szCs w:val="22"/>
          <w:u w:val="single"/>
        </w:rPr>
      </w:pPr>
    </w:p>
    <w:p w:rsidR="00D42015" w:rsidRPr="0072244D" w:rsidRDefault="00D42015" w:rsidP="00D42015">
      <w:pPr>
        <w:rPr>
          <w:szCs w:val="22"/>
        </w:rPr>
      </w:pPr>
      <w:r w:rsidRPr="00402FCA">
        <w:rPr>
          <w:szCs w:val="22"/>
          <w:u w:val="single"/>
        </w:rPr>
        <w:t xml:space="preserve">Reti: </w:t>
      </w:r>
      <w:r w:rsidRPr="00402FCA">
        <w:rPr>
          <w:szCs w:val="22"/>
        </w:rPr>
        <w:t>pasireiškia 1-10 pacientų iš 10 000:</w:t>
      </w:r>
    </w:p>
    <w:p w:rsidR="00D42015" w:rsidRPr="0072244D" w:rsidRDefault="00D42015" w:rsidP="00D42015">
      <w:pPr>
        <w:rPr>
          <w:szCs w:val="22"/>
        </w:rPr>
      </w:pPr>
      <w:r w:rsidRPr="00402FCA">
        <w:rPr>
          <w:szCs w:val="22"/>
        </w:rPr>
        <w:t>Karščio pylimas, bėrimas, karščiavimas ir pykinimas.</w:t>
      </w:r>
    </w:p>
    <w:p w:rsidR="00D42015" w:rsidRPr="0072244D" w:rsidRDefault="00D42015" w:rsidP="00D42015">
      <w:pPr>
        <w:rPr>
          <w:szCs w:val="22"/>
          <w:u w:val="single"/>
        </w:rPr>
      </w:pPr>
    </w:p>
    <w:p w:rsidR="00D42015" w:rsidRPr="0072244D" w:rsidRDefault="00D42015" w:rsidP="00D42015">
      <w:pPr>
        <w:rPr>
          <w:szCs w:val="22"/>
        </w:rPr>
      </w:pPr>
      <w:r w:rsidRPr="00402FCA">
        <w:rPr>
          <w:szCs w:val="22"/>
          <w:u w:val="single"/>
        </w:rPr>
        <w:t>Labai reti:</w:t>
      </w:r>
      <w:r w:rsidRPr="0072244D">
        <w:rPr>
          <w:szCs w:val="22"/>
          <w:u w:val="single"/>
        </w:rPr>
        <w:t xml:space="preserve"> </w:t>
      </w:r>
      <w:r w:rsidRPr="00402FCA">
        <w:rPr>
          <w:szCs w:val="22"/>
        </w:rPr>
        <w:t xml:space="preserve">pasireiškia </w:t>
      </w:r>
      <w:r w:rsidRPr="00F97E5A">
        <w:rPr>
          <w:szCs w:val="22"/>
        </w:rPr>
        <w:t>rečiau</w:t>
      </w:r>
      <w:r w:rsidRPr="00402FCA">
        <w:rPr>
          <w:szCs w:val="22"/>
        </w:rPr>
        <w:t xml:space="preserve"> nei 1</w:t>
      </w:r>
      <w:r w:rsidRPr="0072244D">
        <w:rPr>
          <w:szCs w:val="22"/>
        </w:rPr>
        <w:t> </w:t>
      </w:r>
      <w:r w:rsidRPr="00402FCA">
        <w:rPr>
          <w:szCs w:val="22"/>
        </w:rPr>
        <w:t>iš 10</w:t>
      </w:r>
      <w:r w:rsidRPr="0072244D">
        <w:rPr>
          <w:szCs w:val="22"/>
        </w:rPr>
        <w:t> </w:t>
      </w:r>
      <w:r w:rsidRPr="00402FCA">
        <w:rPr>
          <w:szCs w:val="22"/>
        </w:rPr>
        <w:t>000</w:t>
      </w:r>
      <w:r w:rsidRPr="0072244D">
        <w:rPr>
          <w:szCs w:val="22"/>
        </w:rPr>
        <w:t> </w:t>
      </w:r>
      <w:r w:rsidRPr="00402FCA">
        <w:rPr>
          <w:szCs w:val="22"/>
        </w:rPr>
        <w:t>pacientų:</w:t>
      </w:r>
    </w:p>
    <w:p w:rsidR="00D42015" w:rsidRPr="0072244D" w:rsidRDefault="00D42015" w:rsidP="00D42015">
      <w:pPr>
        <w:rPr>
          <w:szCs w:val="22"/>
        </w:rPr>
      </w:pPr>
      <w:r w:rsidRPr="00402FCA">
        <w:rPr>
          <w:szCs w:val="22"/>
        </w:rPr>
        <w:t>Šokas dėl padidėjusio jautrumo reakcijos.</w:t>
      </w:r>
    </w:p>
    <w:p w:rsidR="00D42015" w:rsidRPr="0072244D" w:rsidRDefault="00D42015" w:rsidP="00D42015">
      <w:pPr>
        <w:rPr>
          <w:szCs w:val="22"/>
        </w:rPr>
      </w:pPr>
    </w:p>
    <w:p w:rsidR="00D42015" w:rsidRPr="0072244D" w:rsidRDefault="00D42015" w:rsidP="00D42015">
      <w:pPr>
        <w:rPr>
          <w:szCs w:val="22"/>
        </w:rPr>
      </w:pPr>
      <w:r w:rsidRPr="00402FCA">
        <w:rPr>
          <w:szCs w:val="22"/>
          <w:u w:val="single"/>
        </w:rPr>
        <w:t>Dažnis nežinomas</w:t>
      </w:r>
      <w:r>
        <w:rPr>
          <w:szCs w:val="22"/>
          <w:u w:val="single"/>
        </w:rPr>
        <w:t xml:space="preserve"> (negali būti apskaičiuotas pagal turimus duomenis)</w:t>
      </w:r>
      <w:r w:rsidRPr="00402FCA">
        <w:rPr>
          <w:szCs w:val="22"/>
        </w:rPr>
        <w:t>:</w:t>
      </w:r>
    </w:p>
    <w:p w:rsidR="00D42015" w:rsidRPr="0072244D" w:rsidRDefault="00D42015" w:rsidP="00D42015">
      <w:pPr>
        <w:rPr>
          <w:szCs w:val="22"/>
        </w:rPr>
      </w:pPr>
      <w:r w:rsidRPr="00402FCA">
        <w:rPr>
          <w:szCs w:val="22"/>
        </w:rPr>
        <w:t>Sumišimas, galvos skausmas, sumažėjęs ar padidėjęs širdies susitraukimų dažnis, padidėjęs kraujospūdis arba sumažėjęs kraujospūdis, karščio pojūtis, dusulys, pykinimas, dilgėlinė, tinimas apie akis, nosį, burną, bėrimas, suintensyvėjęs prakaitavimas, karščiavimas, šaltkrėtis.</w:t>
      </w:r>
    </w:p>
    <w:p w:rsidR="00D42015" w:rsidRPr="0072244D" w:rsidRDefault="00D42015" w:rsidP="00D42015">
      <w:pPr>
        <w:rPr>
          <w:szCs w:val="22"/>
        </w:rPr>
      </w:pPr>
      <w:hyperlink w:history="1"/>
    </w:p>
    <w:p w:rsidR="00D42015" w:rsidRPr="0072244D" w:rsidRDefault="00D42015" w:rsidP="00D42015">
      <w:pPr>
        <w:rPr>
          <w:b/>
          <w:szCs w:val="22"/>
        </w:rPr>
      </w:pPr>
      <w:r w:rsidRPr="00402FCA">
        <w:rPr>
          <w:b/>
          <w:noProof/>
          <w:szCs w:val="22"/>
        </w:rPr>
        <w:t>Pranešimas apie šalutinį poveikį</w:t>
      </w:r>
    </w:p>
    <w:p w:rsidR="00D42015" w:rsidRPr="006C2B0A" w:rsidRDefault="00D42015" w:rsidP="00D42015">
      <w:pPr>
        <w:rPr>
          <w:noProof/>
          <w:szCs w:val="22"/>
        </w:rPr>
      </w:pPr>
      <w:r w:rsidRPr="00685DC1">
        <w:rPr>
          <w:noProof/>
          <w:szCs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r w:rsidRPr="00685DC1">
        <w:rPr>
          <w:noProof/>
          <w:color w:val="453CF4"/>
          <w:szCs w:val="22"/>
        </w:rPr>
        <w:t xml:space="preserve">www.vvkt.lt </w:t>
      </w:r>
      <w:r w:rsidRPr="00685DC1">
        <w:rPr>
          <w:noProof/>
          <w:szCs w:val="22"/>
        </w:rPr>
        <w:t xml:space="preserve">esančią formą ir pateikti ją Valstybinei vaistų kontrolės tarnybai prie Lietuvos Respublikos sveikatos apsaugos ministerijos </w:t>
      </w:r>
    </w:p>
    <w:p w:rsidR="00D42015" w:rsidRPr="006C2B0A" w:rsidRDefault="00D42015" w:rsidP="00D42015">
      <w:pPr>
        <w:rPr>
          <w:noProof/>
          <w:szCs w:val="22"/>
        </w:rPr>
      </w:pPr>
      <w:bookmarkStart w:id="0" w:name="_Hlk195089097"/>
      <w:r w:rsidRPr="006C2B0A">
        <w:rPr>
          <w:noProof/>
          <w:szCs w:val="22"/>
        </w:rPr>
        <w:t xml:space="preserve">Informacija pranešimo formos pildymui ir pateikimui: </w:t>
      </w:r>
      <w:hyperlink r:id="rId5" w:history="1">
        <w:r w:rsidRPr="006C2B0A">
          <w:rPr>
            <w:rStyle w:val="Hipersaitas"/>
            <w:szCs w:val="22"/>
          </w:rPr>
          <w:t>https://vvkt.lrv.lt/lt/</w:t>
        </w:r>
      </w:hyperlink>
    </w:p>
    <w:p w:rsidR="00D42015" w:rsidRPr="006C2B0A" w:rsidRDefault="00D42015" w:rsidP="00D42015">
      <w:pPr>
        <w:rPr>
          <w:noProof/>
          <w:szCs w:val="22"/>
        </w:rPr>
      </w:pPr>
    </w:p>
    <w:bookmarkEnd w:id="0"/>
    <w:p w:rsidR="00D42015" w:rsidRDefault="00D42015" w:rsidP="00D42015">
      <w:pPr>
        <w:rPr>
          <w:noProof/>
          <w:szCs w:val="22"/>
        </w:rPr>
      </w:pPr>
      <w:r w:rsidRPr="00685DC1">
        <w:rPr>
          <w:noProof/>
          <w:szCs w:val="22"/>
        </w:rPr>
        <w:t>Pranešdami apie šalutinį poveikį galite mums padėti gauti daugiau informacijos apie šio vaisto saugumą.</w:t>
      </w:r>
    </w:p>
    <w:p w:rsidR="00D42015" w:rsidRDefault="00D42015" w:rsidP="00D42015">
      <w:pPr>
        <w:rPr>
          <w:noProof/>
          <w:szCs w:val="22"/>
        </w:rPr>
      </w:pPr>
    </w:p>
    <w:p w:rsidR="00D42015" w:rsidRPr="00273FE0" w:rsidRDefault="00D42015" w:rsidP="00D42015"/>
    <w:p w:rsidR="00D42015" w:rsidRPr="00273FE0" w:rsidRDefault="00D42015" w:rsidP="00D42015">
      <w:pPr>
        <w:pStyle w:val="Antrat1"/>
        <w:rPr>
          <w:rFonts w:ascii="Times New Roman" w:hAnsi="Times New Roman"/>
        </w:rPr>
      </w:pPr>
      <w:r w:rsidRPr="00273FE0">
        <w:rPr>
          <w:rFonts w:ascii="Times New Roman" w:hAnsi="Times New Roman"/>
        </w:rPr>
        <w:t>5.</w:t>
      </w:r>
      <w:r w:rsidRPr="00273FE0">
        <w:rPr>
          <w:rFonts w:ascii="Times New Roman" w:hAnsi="Times New Roman"/>
        </w:rPr>
        <w:tab/>
        <w:t>Kaip laikyti Albunorm</w:t>
      </w:r>
    </w:p>
    <w:p w:rsidR="00D42015" w:rsidRPr="0072244D" w:rsidRDefault="00D42015" w:rsidP="00D42015">
      <w:pPr>
        <w:numPr>
          <w:ilvl w:val="12"/>
          <w:numId w:val="0"/>
        </w:numPr>
        <w:ind w:left="567" w:right="-2" w:hanging="567"/>
        <w:rPr>
          <w:b/>
          <w:bCs/>
          <w:szCs w:val="22"/>
        </w:rPr>
      </w:pPr>
    </w:p>
    <w:p w:rsidR="00D42015" w:rsidRPr="0072244D" w:rsidRDefault="00D42015" w:rsidP="00D42015">
      <w:pPr>
        <w:rPr>
          <w:szCs w:val="22"/>
        </w:rPr>
      </w:pPr>
      <w:r w:rsidRPr="00402FCA">
        <w:rPr>
          <w:szCs w:val="22"/>
        </w:rPr>
        <w:t xml:space="preserve">Šį vaistą laikykite vaikams </w:t>
      </w:r>
      <w:r w:rsidRPr="0072244D">
        <w:rPr>
          <w:szCs w:val="22"/>
        </w:rPr>
        <w:t xml:space="preserve">nepastebimoje </w:t>
      </w:r>
      <w:r w:rsidRPr="00402FCA">
        <w:rPr>
          <w:szCs w:val="22"/>
        </w:rPr>
        <w:t xml:space="preserve">ir </w:t>
      </w:r>
      <w:r w:rsidRPr="0072244D">
        <w:rPr>
          <w:szCs w:val="22"/>
        </w:rPr>
        <w:t xml:space="preserve">nepasiekiamoje </w:t>
      </w:r>
      <w:r w:rsidRPr="00402FCA">
        <w:rPr>
          <w:szCs w:val="22"/>
        </w:rPr>
        <w:t>vietoje.</w:t>
      </w:r>
    </w:p>
    <w:p w:rsidR="00D42015" w:rsidRPr="0072244D" w:rsidRDefault="00D42015" w:rsidP="00D42015">
      <w:pPr>
        <w:rPr>
          <w:szCs w:val="22"/>
        </w:rPr>
      </w:pPr>
    </w:p>
    <w:p w:rsidR="00D42015" w:rsidRPr="0072244D" w:rsidRDefault="00D42015" w:rsidP="00D42015">
      <w:pPr>
        <w:rPr>
          <w:szCs w:val="22"/>
        </w:rPr>
      </w:pPr>
      <w:r w:rsidRPr="00402FCA">
        <w:rPr>
          <w:szCs w:val="22"/>
        </w:rPr>
        <w:t>Ant buteliuko</w:t>
      </w:r>
      <w:r w:rsidRPr="0072244D">
        <w:rPr>
          <w:szCs w:val="22"/>
        </w:rPr>
        <w:t xml:space="preserve"> </w:t>
      </w:r>
      <w:r w:rsidRPr="00402FCA">
        <w:rPr>
          <w:szCs w:val="22"/>
        </w:rPr>
        <w:t>etiketės ir dėžutės</w:t>
      </w:r>
      <w:r w:rsidRPr="0072244D">
        <w:rPr>
          <w:szCs w:val="22"/>
        </w:rPr>
        <w:t xml:space="preserve"> </w:t>
      </w:r>
      <w:r w:rsidRPr="00402FCA">
        <w:rPr>
          <w:szCs w:val="22"/>
        </w:rPr>
        <w:t>nurodytam tinkamumo laikui pasibaigus, šio vaisto</w:t>
      </w:r>
      <w:r w:rsidRPr="0072244D">
        <w:rPr>
          <w:szCs w:val="22"/>
        </w:rPr>
        <w:t xml:space="preserve"> </w:t>
      </w:r>
      <w:r w:rsidRPr="00402FCA">
        <w:rPr>
          <w:szCs w:val="22"/>
        </w:rPr>
        <w:t>vartoti negalima. Vaistas tinkamas vartoti iki paskutinės nurodyto mėnesio dienos.</w:t>
      </w:r>
    </w:p>
    <w:p w:rsidR="00D42015" w:rsidRPr="0072244D" w:rsidRDefault="00D42015" w:rsidP="00D42015">
      <w:pPr>
        <w:rPr>
          <w:szCs w:val="22"/>
        </w:rPr>
      </w:pPr>
    </w:p>
    <w:p w:rsidR="00D42015" w:rsidRPr="0072244D" w:rsidRDefault="00D42015" w:rsidP="00D42015">
      <w:pPr>
        <w:rPr>
          <w:szCs w:val="22"/>
        </w:rPr>
      </w:pPr>
      <w:r w:rsidRPr="00402FCA">
        <w:rPr>
          <w:szCs w:val="22"/>
        </w:rPr>
        <w:t xml:space="preserve">Laikyti ne aukštesnėje kaip 25 </w:t>
      </w:r>
      <w:r w:rsidRPr="0072244D">
        <w:rPr>
          <w:szCs w:val="22"/>
        </w:rPr>
        <w:sym w:font="Symbol" w:char="F0B0"/>
      </w:r>
      <w:r w:rsidRPr="00402FCA">
        <w:rPr>
          <w:szCs w:val="22"/>
        </w:rPr>
        <w:t xml:space="preserve">C temperatūroje. Laikyti gamintojo pakuotėje, kad </w:t>
      </w:r>
      <w:r>
        <w:rPr>
          <w:szCs w:val="22"/>
        </w:rPr>
        <w:t>vaistas</w:t>
      </w:r>
      <w:r w:rsidRPr="00402FCA">
        <w:rPr>
          <w:szCs w:val="22"/>
        </w:rPr>
        <w:t xml:space="preserve"> būtų apsaugotas nuo šviesos. Negalima užšaldyti.</w:t>
      </w:r>
    </w:p>
    <w:p w:rsidR="00D42015" w:rsidRPr="0072244D" w:rsidRDefault="00D42015" w:rsidP="00D42015">
      <w:pPr>
        <w:rPr>
          <w:szCs w:val="22"/>
        </w:rPr>
      </w:pPr>
    </w:p>
    <w:p w:rsidR="00D42015" w:rsidRPr="0072244D" w:rsidRDefault="00D42015" w:rsidP="00D42015">
      <w:pPr>
        <w:rPr>
          <w:szCs w:val="22"/>
        </w:rPr>
      </w:pPr>
      <w:r w:rsidRPr="00402FCA">
        <w:rPr>
          <w:szCs w:val="22"/>
        </w:rPr>
        <w:t xml:space="preserve">Atidarius buteliuką, preparatą būtina suvartoti nedelsiant. </w:t>
      </w:r>
    </w:p>
    <w:p w:rsidR="00D42015" w:rsidRPr="0072244D" w:rsidRDefault="00D42015" w:rsidP="00D42015">
      <w:pPr>
        <w:rPr>
          <w:szCs w:val="22"/>
        </w:rPr>
      </w:pPr>
    </w:p>
    <w:p w:rsidR="00D42015" w:rsidRPr="0072244D" w:rsidRDefault="00D42015" w:rsidP="00D42015">
      <w:pPr>
        <w:rPr>
          <w:szCs w:val="22"/>
        </w:rPr>
      </w:pPr>
      <w:r w:rsidRPr="00402FCA">
        <w:rPr>
          <w:szCs w:val="22"/>
        </w:rPr>
        <w:t xml:space="preserve">Tirpalas turi būti skaidrus ar šiek tiek opalescuojantis. Negalima vartoti drumstų ar su nuosėdomis tirpalų. </w:t>
      </w:r>
    </w:p>
    <w:p w:rsidR="00D42015" w:rsidRPr="0072244D" w:rsidRDefault="00D42015" w:rsidP="00D42015">
      <w:pPr>
        <w:rPr>
          <w:szCs w:val="22"/>
        </w:rPr>
      </w:pPr>
    </w:p>
    <w:p w:rsidR="00D42015" w:rsidRPr="0072244D" w:rsidRDefault="00D42015" w:rsidP="00D42015">
      <w:pPr>
        <w:rPr>
          <w:szCs w:val="22"/>
        </w:rPr>
      </w:pPr>
      <w:r w:rsidRPr="00402FCA">
        <w:rPr>
          <w:szCs w:val="22"/>
        </w:rPr>
        <w:t xml:space="preserve">Vaistų negalima </w:t>
      </w:r>
      <w:r w:rsidRPr="0072244D">
        <w:rPr>
          <w:szCs w:val="22"/>
        </w:rPr>
        <w:t xml:space="preserve">išmesti </w:t>
      </w:r>
      <w:r w:rsidRPr="00402FCA">
        <w:rPr>
          <w:szCs w:val="22"/>
        </w:rPr>
        <w:t xml:space="preserve">į kanalizaciją arba su buitinėmis atliekomis. Kaip </w:t>
      </w:r>
      <w:r w:rsidRPr="0072244D">
        <w:rPr>
          <w:szCs w:val="22"/>
        </w:rPr>
        <w:t xml:space="preserve">išmesti </w:t>
      </w:r>
      <w:r w:rsidRPr="00402FCA">
        <w:rPr>
          <w:szCs w:val="22"/>
        </w:rPr>
        <w:t>nereikalingus vaistus, klauskite vaistininko. Šios priemonės padės apsaugoti aplinką.</w:t>
      </w:r>
    </w:p>
    <w:p w:rsidR="00D42015" w:rsidRPr="0072244D" w:rsidRDefault="00D42015" w:rsidP="00D42015">
      <w:pPr>
        <w:rPr>
          <w:szCs w:val="22"/>
        </w:rPr>
      </w:pPr>
    </w:p>
    <w:p w:rsidR="00D42015" w:rsidRPr="0072244D" w:rsidRDefault="00D42015" w:rsidP="00D42015">
      <w:pPr>
        <w:rPr>
          <w:szCs w:val="22"/>
        </w:rPr>
      </w:pPr>
    </w:p>
    <w:p w:rsidR="00D42015" w:rsidRPr="00273FE0" w:rsidRDefault="00D42015" w:rsidP="00D42015">
      <w:pPr>
        <w:pStyle w:val="Antrat1"/>
        <w:rPr>
          <w:rFonts w:ascii="Times New Roman" w:hAnsi="Times New Roman"/>
        </w:rPr>
      </w:pPr>
      <w:r w:rsidRPr="00273FE0">
        <w:rPr>
          <w:rFonts w:ascii="Times New Roman" w:hAnsi="Times New Roman"/>
        </w:rPr>
        <w:t>6.</w:t>
      </w:r>
      <w:r w:rsidRPr="00273FE0">
        <w:rPr>
          <w:rFonts w:ascii="Times New Roman" w:hAnsi="Times New Roman"/>
        </w:rPr>
        <w:tab/>
        <w:t>Pakuotės turinys ir kita informacija</w:t>
      </w:r>
    </w:p>
    <w:p w:rsidR="00D42015" w:rsidRPr="0072244D" w:rsidRDefault="00D42015" w:rsidP="00D42015">
      <w:pPr>
        <w:rPr>
          <w:szCs w:val="22"/>
        </w:rPr>
      </w:pPr>
    </w:p>
    <w:p w:rsidR="00D42015" w:rsidRPr="00273FE0" w:rsidRDefault="00D42015" w:rsidP="00D42015">
      <w:pPr>
        <w:pStyle w:val="Antrat2"/>
        <w:rPr>
          <w:u w:val="single"/>
        </w:rPr>
      </w:pPr>
      <w:r w:rsidRPr="00273FE0">
        <w:t xml:space="preserve">Albunorm sudėtis </w:t>
      </w:r>
    </w:p>
    <w:p w:rsidR="00D42015" w:rsidRPr="00FC3C02" w:rsidRDefault="00D42015" w:rsidP="00D42015">
      <w:pPr>
        <w:numPr>
          <w:ilvl w:val="0"/>
          <w:numId w:val="7"/>
        </w:numPr>
        <w:rPr>
          <w:i/>
          <w:iCs/>
          <w:szCs w:val="22"/>
        </w:rPr>
      </w:pPr>
      <w:r w:rsidRPr="00402FCA">
        <w:rPr>
          <w:szCs w:val="22"/>
        </w:rPr>
        <w:t>Veiklioji medžiaga yra 50</w:t>
      </w:r>
      <w:r w:rsidRPr="0072244D">
        <w:rPr>
          <w:szCs w:val="22"/>
        </w:rPr>
        <w:t> </w:t>
      </w:r>
      <w:r w:rsidRPr="00402FCA">
        <w:rPr>
          <w:szCs w:val="22"/>
        </w:rPr>
        <w:t>g/l žmogaus albumino, pagaminto iš žmogaus plazmos</w:t>
      </w:r>
      <w:r w:rsidRPr="0072244D">
        <w:rPr>
          <w:szCs w:val="22"/>
        </w:rPr>
        <w:t xml:space="preserve"> (buteliukuose po 100 m</w:t>
      </w:r>
      <w:r w:rsidRPr="00FC3C02">
        <w:rPr>
          <w:szCs w:val="22"/>
        </w:rPr>
        <w:t>l, 250 ml, 500 ml).</w:t>
      </w:r>
    </w:p>
    <w:p w:rsidR="00D42015" w:rsidRPr="0072244D" w:rsidRDefault="00D42015" w:rsidP="00D42015">
      <w:pPr>
        <w:numPr>
          <w:ilvl w:val="0"/>
          <w:numId w:val="7"/>
        </w:numPr>
        <w:rPr>
          <w:szCs w:val="22"/>
        </w:rPr>
      </w:pPr>
      <w:r w:rsidRPr="00402FCA">
        <w:rPr>
          <w:szCs w:val="22"/>
        </w:rPr>
        <w:t>Pagalbinės medžiagos yra natrio chloridas, N-acetil-DL-triptofanas,</w:t>
      </w:r>
      <w:r w:rsidRPr="0072244D">
        <w:rPr>
          <w:szCs w:val="22"/>
        </w:rPr>
        <w:t xml:space="preserve"> </w:t>
      </w:r>
      <w:r w:rsidRPr="00402FCA">
        <w:rPr>
          <w:szCs w:val="22"/>
        </w:rPr>
        <w:t>kaprilo rūgštis ir injekcinis vanduo.</w:t>
      </w:r>
    </w:p>
    <w:p w:rsidR="00D42015" w:rsidRPr="0072244D" w:rsidRDefault="00D42015" w:rsidP="00D42015">
      <w:pPr>
        <w:rPr>
          <w:szCs w:val="22"/>
        </w:rPr>
      </w:pPr>
    </w:p>
    <w:p w:rsidR="00D42015" w:rsidRPr="00273FE0" w:rsidRDefault="00D42015" w:rsidP="00D42015">
      <w:pPr>
        <w:pStyle w:val="Antrat2"/>
        <w:keepNext/>
      </w:pPr>
      <w:r w:rsidRPr="00273FE0">
        <w:t>Albunorm išvaizda ir kiekis pakuotėje</w:t>
      </w:r>
    </w:p>
    <w:p w:rsidR="00D42015" w:rsidRPr="0072244D" w:rsidRDefault="00D42015" w:rsidP="00D42015">
      <w:pPr>
        <w:keepNext/>
        <w:rPr>
          <w:szCs w:val="22"/>
        </w:rPr>
      </w:pPr>
    </w:p>
    <w:p w:rsidR="00D42015" w:rsidRPr="0072244D" w:rsidRDefault="00D42015" w:rsidP="00D42015">
      <w:pPr>
        <w:rPr>
          <w:snapToGrid w:val="0"/>
          <w:szCs w:val="22"/>
          <w:lang w:eastAsia="sv-SE"/>
        </w:rPr>
      </w:pPr>
      <w:r w:rsidRPr="00402FCA">
        <w:rPr>
          <w:szCs w:val="22"/>
        </w:rPr>
        <w:t>Albunorm</w:t>
      </w:r>
      <w:r w:rsidRPr="0072244D">
        <w:rPr>
          <w:szCs w:val="22"/>
        </w:rPr>
        <w:t xml:space="preserve"> </w:t>
      </w:r>
      <w:r w:rsidRPr="00402FCA">
        <w:rPr>
          <w:snapToGrid w:val="0"/>
          <w:szCs w:val="22"/>
          <w:lang w:eastAsia="sv-SE"/>
        </w:rPr>
        <w:t xml:space="preserve">yra infuzinis tirpalas, kuris tiekiamas </w:t>
      </w:r>
      <w:r w:rsidRPr="0072244D">
        <w:rPr>
          <w:snapToGrid w:val="0"/>
          <w:szCs w:val="22"/>
          <w:lang w:eastAsia="sv-SE"/>
        </w:rPr>
        <w:t>buteliuke (100 ml - pakuotės po 1 ar 10 buteliukų).</w:t>
      </w:r>
    </w:p>
    <w:p w:rsidR="00D42015" w:rsidRPr="00FC3C02" w:rsidRDefault="00D42015" w:rsidP="00D42015">
      <w:pPr>
        <w:rPr>
          <w:snapToGrid w:val="0"/>
          <w:szCs w:val="22"/>
          <w:lang w:eastAsia="sv-SE"/>
        </w:rPr>
      </w:pPr>
      <w:r w:rsidRPr="00FC3C02">
        <w:rPr>
          <w:szCs w:val="22"/>
        </w:rPr>
        <w:t xml:space="preserve">Albunorm </w:t>
      </w:r>
      <w:r w:rsidRPr="00FC3C02">
        <w:rPr>
          <w:snapToGrid w:val="0"/>
          <w:szCs w:val="22"/>
          <w:lang w:eastAsia="sv-SE"/>
        </w:rPr>
        <w:t>yra infuzinis tirpalas, kuris tiekiamas buteliuke (250 ml - pakuotės po 1 ar 10 buteliukų).</w:t>
      </w:r>
    </w:p>
    <w:p w:rsidR="00D42015" w:rsidRPr="0072244D" w:rsidRDefault="00D42015" w:rsidP="00D42015">
      <w:pPr>
        <w:rPr>
          <w:snapToGrid w:val="0"/>
          <w:szCs w:val="22"/>
          <w:lang w:eastAsia="sv-SE"/>
        </w:rPr>
      </w:pPr>
      <w:r w:rsidRPr="00FC3C02">
        <w:rPr>
          <w:szCs w:val="22"/>
        </w:rPr>
        <w:t xml:space="preserve">Albunorm </w:t>
      </w:r>
      <w:r w:rsidRPr="00FC3C02">
        <w:rPr>
          <w:snapToGrid w:val="0"/>
          <w:szCs w:val="22"/>
          <w:lang w:eastAsia="sv-SE"/>
        </w:rPr>
        <w:t>yra infuzinis tirpalas, kuris tiekiamas buteliuke (500 ml - pakuotės po 1  buteliuką).</w:t>
      </w:r>
    </w:p>
    <w:p w:rsidR="00D42015" w:rsidRPr="0072244D" w:rsidRDefault="00D42015" w:rsidP="00D42015">
      <w:pPr>
        <w:rPr>
          <w:szCs w:val="22"/>
        </w:rPr>
      </w:pPr>
    </w:p>
    <w:p w:rsidR="00D42015" w:rsidRPr="0072244D" w:rsidRDefault="00D42015" w:rsidP="00D42015">
      <w:pPr>
        <w:rPr>
          <w:szCs w:val="22"/>
        </w:rPr>
      </w:pPr>
      <w:r w:rsidRPr="00402FCA">
        <w:rPr>
          <w:szCs w:val="22"/>
        </w:rPr>
        <w:lastRenderedPageBreak/>
        <w:t xml:space="preserve">Tirpalas yra skaidrus, geltonas, gintaro spalvos ar žalias. </w:t>
      </w:r>
    </w:p>
    <w:p w:rsidR="00D42015" w:rsidRPr="0072244D" w:rsidRDefault="00D42015" w:rsidP="00D42015">
      <w:pPr>
        <w:rPr>
          <w:szCs w:val="22"/>
        </w:rPr>
      </w:pPr>
    </w:p>
    <w:p w:rsidR="00D42015" w:rsidRPr="0072244D" w:rsidRDefault="00D42015" w:rsidP="00D42015">
      <w:pPr>
        <w:rPr>
          <w:szCs w:val="22"/>
        </w:rPr>
      </w:pPr>
      <w:r w:rsidRPr="00402FCA">
        <w:rPr>
          <w:szCs w:val="22"/>
        </w:rPr>
        <w:t>Gali būti tiekiamos ne visų dydžių pakuotės.</w:t>
      </w:r>
    </w:p>
    <w:p w:rsidR="00D42015" w:rsidRPr="0072244D" w:rsidRDefault="00D42015" w:rsidP="00D42015">
      <w:pPr>
        <w:rPr>
          <w:szCs w:val="22"/>
        </w:rPr>
      </w:pPr>
    </w:p>
    <w:p w:rsidR="00D42015" w:rsidRPr="0072244D" w:rsidRDefault="00D42015" w:rsidP="00D42015">
      <w:pPr>
        <w:rPr>
          <w:b/>
          <w:bCs/>
          <w:szCs w:val="22"/>
        </w:rPr>
      </w:pPr>
      <w:r w:rsidRPr="00402FCA">
        <w:rPr>
          <w:b/>
          <w:bCs/>
          <w:szCs w:val="22"/>
        </w:rPr>
        <w:t>R</w:t>
      </w:r>
      <w:r>
        <w:rPr>
          <w:b/>
          <w:bCs/>
          <w:szCs w:val="22"/>
        </w:rPr>
        <w:t>egistruotojas</w:t>
      </w:r>
      <w:r w:rsidRPr="00402FCA">
        <w:rPr>
          <w:b/>
          <w:bCs/>
          <w:szCs w:val="22"/>
        </w:rPr>
        <w:t xml:space="preserve"> ir gamintojas</w:t>
      </w:r>
    </w:p>
    <w:p w:rsidR="00D42015" w:rsidRPr="0072244D" w:rsidRDefault="00D42015" w:rsidP="00D42015">
      <w:pPr>
        <w:rPr>
          <w:szCs w:val="22"/>
        </w:rPr>
      </w:pPr>
    </w:p>
    <w:p w:rsidR="00D42015" w:rsidRPr="00273FE0" w:rsidRDefault="00D42015" w:rsidP="00D42015">
      <w:pPr>
        <w:pStyle w:val="Antrat2"/>
        <w:ind w:left="0" w:firstLine="0"/>
        <w:rPr>
          <w:b w:val="0"/>
          <w:i/>
        </w:rPr>
      </w:pPr>
      <w:r w:rsidRPr="00273FE0">
        <w:rPr>
          <w:b w:val="0"/>
          <w:i/>
        </w:rPr>
        <w:t>R</w:t>
      </w:r>
      <w:r>
        <w:rPr>
          <w:b w:val="0"/>
          <w:i/>
        </w:rPr>
        <w:t>egistruotojas</w:t>
      </w:r>
      <w:r w:rsidRPr="00273FE0">
        <w:rPr>
          <w:b w:val="0"/>
          <w:i/>
        </w:rPr>
        <w:t xml:space="preserve"> </w:t>
      </w:r>
    </w:p>
    <w:p w:rsidR="00D42015" w:rsidRDefault="00D42015" w:rsidP="00D42015">
      <w:pPr>
        <w:rPr>
          <w:szCs w:val="22"/>
        </w:rPr>
      </w:pPr>
      <w:r w:rsidRPr="00CB0D60">
        <w:rPr>
          <w:szCs w:val="22"/>
        </w:rPr>
        <w:t xml:space="preserve">Octapharma (IP) SPRL </w:t>
      </w:r>
    </w:p>
    <w:p w:rsidR="00D42015" w:rsidRDefault="00D42015" w:rsidP="00D42015">
      <w:pPr>
        <w:rPr>
          <w:szCs w:val="22"/>
        </w:rPr>
      </w:pPr>
      <w:r w:rsidRPr="005E2C1E">
        <w:rPr>
          <w:szCs w:val="22"/>
        </w:rPr>
        <w:t>Route de Lennik 451</w:t>
      </w:r>
    </w:p>
    <w:p w:rsidR="00D42015" w:rsidRDefault="00D42015" w:rsidP="00D42015">
      <w:pPr>
        <w:rPr>
          <w:szCs w:val="22"/>
        </w:rPr>
      </w:pPr>
      <w:r w:rsidRPr="00CB0D60">
        <w:rPr>
          <w:szCs w:val="22"/>
        </w:rPr>
        <w:t xml:space="preserve">1070 Anderlecht </w:t>
      </w:r>
    </w:p>
    <w:p w:rsidR="00D42015" w:rsidRDefault="00D42015" w:rsidP="00D42015">
      <w:pPr>
        <w:rPr>
          <w:szCs w:val="22"/>
        </w:rPr>
      </w:pPr>
      <w:r w:rsidRPr="00CB0D60">
        <w:rPr>
          <w:szCs w:val="22"/>
        </w:rPr>
        <w:t>Belgija</w:t>
      </w:r>
    </w:p>
    <w:p w:rsidR="00D42015" w:rsidRPr="0072244D" w:rsidRDefault="00D42015" w:rsidP="00D42015">
      <w:pPr>
        <w:rPr>
          <w:szCs w:val="22"/>
        </w:rPr>
      </w:pPr>
    </w:p>
    <w:p w:rsidR="00D42015" w:rsidRPr="00273FE0" w:rsidRDefault="00D42015" w:rsidP="00D42015">
      <w:pPr>
        <w:pStyle w:val="Antrat2"/>
        <w:rPr>
          <w:b w:val="0"/>
          <w:i/>
        </w:rPr>
      </w:pPr>
      <w:r w:rsidRPr="00273FE0">
        <w:rPr>
          <w:b w:val="0"/>
          <w:i/>
        </w:rPr>
        <w:t>Gamintojas</w:t>
      </w:r>
    </w:p>
    <w:p w:rsidR="00D42015" w:rsidRPr="0072244D" w:rsidRDefault="00D42015" w:rsidP="00D42015">
      <w:pPr>
        <w:rPr>
          <w:szCs w:val="22"/>
        </w:rPr>
      </w:pPr>
      <w:r w:rsidRPr="00402FCA">
        <w:rPr>
          <w:szCs w:val="22"/>
        </w:rPr>
        <w:t>Octapharma</w:t>
      </w:r>
      <w:r>
        <w:rPr>
          <w:szCs w:val="22"/>
        </w:rPr>
        <w:t xml:space="preserve"> </w:t>
      </w:r>
      <w:r w:rsidRPr="00402FCA">
        <w:rPr>
          <w:szCs w:val="22"/>
        </w:rPr>
        <w:t>Pharmazeutika</w:t>
      </w:r>
      <w:r>
        <w:rPr>
          <w:szCs w:val="22"/>
        </w:rPr>
        <w:t xml:space="preserve"> </w:t>
      </w:r>
      <w:r w:rsidRPr="00402FCA">
        <w:rPr>
          <w:szCs w:val="22"/>
        </w:rPr>
        <w:t>Produktionges.m.b.H.</w:t>
      </w:r>
    </w:p>
    <w:p w:rsidR="00D42015" w:rsidRPr="0072244D" w:rsidRDefault="00D42015" w:rsidP="00D42015">
      <w:pPr>
        <w:rPr>
          <w:szCs w:val="22"/>
        </w:rPr>
      </w:pPr>
      <w:r w:rsidRPr="00402FCA">
        <w:rPr>
          <w:szCs w:val="22"/>
        </w:rPr>
        <w:t>Oberlaaer</w:t>
      </w:r>
      <w:r>
        <w:rPr>
          <w:szCs w:val="22"/>
        </w:rPr>
        <w:t xml:space="preserve"> </w:t>
      </w:r>
      <w:r w:rsidRPr="00402FCA">
        <w:rPr>
          <w:szCs w:val="22"/>
        </w:rPr>
        <w:t>Strasse 235</w:t>
      </w:r>
    </w:p>
    <w:p w:rsidR="00D42015" w:rsidRPr="0072244D" w:rsidRDefault="00D42015" w:rsidP="00D42015">
      <w:pPr>
        <w:rPr>
          <w:szCs w:val="22"/>
        </w:rPr>
      </w:pPr>
      <w:r w:rsidRPr="00402FCA">
        <w:rPr>
          <w:szCs w:val="22"/>
        </w:rPr>
        <w:t>1100 Vienna</w:t>
      </w:r>
    </w:p>
    <w:p w:rsidR="00D42015" w:rsidRPr="0072244D" w:rsidRDefault="00D42015" w:rsidP="00D42015">
      <w:pPr>
        <w:rPr>
          <w:szCs w:val="22"/>
        </w:rPr>
      </w:pPr>
      <w:r w:rsidRPr="00402FCA">
        <w:rPr>
          <w:szCs w:val="22"/>
        </w:rPr>
        <w:t>Austrija</w:t>
      </w:r>
    </w:p>
    <w:p w:rsidR="00D42015" w:rsidRPr="0072244D" w:rsidRDefault="00D42015" w:rsidP="00D42015">
      <w:pPr>
        <w:rPr>
          <w:szCs w:val="22"/>
        </w:rPr>
      </w:pPr>
    </w:p>
    <w:p w:rsidR="00D42015" w:rsidRPr="0072244D" w:rsidRDefault="00D42015" w:rsidP="00D42015">
      <w:pPr>
        <w:rPr>
          <w:szCs w:val="22"/>
        </w:rPr>
      </w:pPr>
      <w:r w:rsidRPr="00402FCA">
        <w:rPr>
          <w:szCs w:val="22"/>
        </w:rPr>
        <w:t>arba</w:t>
      </w:r>
    </w:p>
    <w:p w:rsidR="00D42015" w:rsidRPr="0072244D" w:rsidRDefault="00D42015" w:rsidP="00D42015">
      <w:pPr>
        <w:rPr>
          <w:szCs w:val="22"/>
        </w:rPr>
      </w:pPr>
    </w:p>
    <w:p w:rsidR="00D42015" w:rsidRPr="0072244D" w:rsidRDefault="00D42015" w:rsidP="00D42015">
      <w:pPr>
        <w:rPr>
          <w:szCs w:val="22"/>
        </w:rPr>
      </w:pPr>
      <w:r w:rsidRPr="00402FCA">
        <w:rPr>
          <w:szCs w:val="22"/>
        </w:rPr>
        <w:t>Octapharma S.A.S.</w:t>
      </w:r>
    </w:p>
    <w:p w:rsidR="00D42015" w:rsidRPr="0072244D" w:rsidRDefault="00D42015" w:rsidP="00D42015">
      <w:pPr>
        <w:rPr>
          <w:szCs w:val="22"/>
        </w:rPr>
      </w:pPr>
      <w:r w:rsidRPr="00402FCA">
        <w:rPr>
          <w:szCs w:val="22"/>
        </w:rPr>
        <w:t>72 rue du Maréchal</w:t>
      </w:r>
      <w:r>
        <w:rPr>
          <w:szCs w:val="22"/>
        </w:rPr>
        <w:t xml:space="preserve"> </w:t>
      </w:r>
      <w:r w:rsidRPr="00402FCA">
        <w:rPr>
          <w:szCs w:val="22"/>
        </w:rPr>
        <w:t>Foch</w:t>
      </w:r>
    </w:p>
    <w:p w:rsidR="00D42015" w:rsidRPr="0072244D" w:rsidRDefault="00D42015" w:rsidP="00D42015">
      <w:pPr>
        <w:rPr>
          <w:szCs w:val="22"/>
        </w:rPr>
      </w:pPr>
      <w:r w:rsidRPr="00402FCA">
        <w:rPr>
          <w:szCs w:val="22"/>
        </w:rPr>
        <w:t>67380 Lingolsheim</w:t>
      </w:r>
    </w:p>
    <w:p w:rsidR="00D42015" w:rsidRPr="0072244D" w:rsidRDefault="00D42015" w:rsidP="00D42015">
      <w:pPr>
        <w:rPr>
          <w:szCs w:val="22"/>
        </w:rPr>
      </w:pPr>
      <w:r w:rsidRPr="00402FCA">
        <w:rPr>
          <w:szCs w:val="22"/>
        </w:rPr>
        <w:t>Prancūzija</w:t>
      </w:r>
    </w:p>
    <w:p w:rsidR="00D42015" w:rsidRPr="0072244D" w:rsidRDefault="00D42015" w:rsidP="00D42015">
      <w:pPr>
        <w:rPr>
          <w:szCs w:val="22"/>
        </w:rPr>
      </w:pPr>
    </w:p>
    <w:p w:rsidR="00D42015" w:rsidRPr="0072244D" w:rsidRDefault="00D42015" w:rsidP="00D42015">
      <w:pPr>
        <w:rPr>
          <w:szCs w:val="22"/>
        </w:rPr>
      </w:pPr>
      <w:r w:rsidRPr="00402FCA">
        <w:rPr>
          <w:szCs w:val="22"/>
        </w:rPr>
        <w:t>arba</w:t>
      </w:r>
    </w:p>
    <w:p w:rsidR="00D42015" w:rsidRPr="0072244D" w:rsidRDefault="00D42015" w:rsidP="00D42015">
      <w:pPr>
        <w:rPr>
          <w:szCs w:val="22"/>
        </w:rPr>
      </w:pPr>
    </w:p>
    <w:p w:rsidR="00D42015" w:rsidRPr="0072244D" w:rsidRDefault="00D42015" w:rsidP="00D42015">
      <w:pPr>
        <w:rPr>
          <w:szCs w:val="22"/>
        </w:rPr>
      </w:pPr>
      <w:r w:rsidRPr="00402FCA">
        <w:rPr>
          <w:szCs w:val="22"/>
        </w:rPr>
        <w:t>Octapharma AB</w:t>
      </w:r>
    </w:p>
    <w:p w:rsidR="00D42015" w:rsidRPr="0072244D" w:rsidRDefault="00D42015" w:rsidP="00D42015">
      <w:pPr>
        <w:rPr>
          <w:szCs w:val="22"/>
        </w:rPr>
      </w:pPr>
      <w:r>
        <w:rPr>
          <w:szCs w:val="22"/>
        </w:rPr>
        <w:t>Lars Forssells gata 23</w:t>
      </w:r>
    </w:p>
    <w:p w:rsidR="00D42015" w:rsidRPr="0072244D" w:rsidRDefault="00D42015" w:rsidP="00D42015">
      <w:pPr>
        <w:rPr>
          <w:szCs w:val="22"/>
        </w:rPr>
      </w:pPr>
      <w:r w:rsidRPr="00402FCA">
        <w:rPr>
          <w:szCs w:val="22"/>
        </w:rPr>
        <w:t>112 75 Stockholm</w:t>
      </w:r>
    </w:p>
    <w:p w:rsidR="00D42015" w:rsidRPr="0072244D" w:rsidRDefault="00D42015" w:rsidP="00D42015">
      <w:pPr>
        <w:rPr>
          <w:szCs w:val="22"/>
        </w:rPr>
      </w:pPr>
      <w:r w:rsidRPr="00402FCA">
        <w:rPr>
          <w:szCs w:val="22"/>
        </w:rPr>
        <w:t>Švedija</w:t>
      </w:r>
    </w:p>
    <w:p w:rsidR="00D42015" w:rsidRPr="0072244D" w:rsidRDefault="00D42015" w:rsidP="00D42015">
      <w:pPr>
        <w:rPr>
          <w:szCs w:val="22"/>
        </w:rPr>
      </w:pPr>
    </w:p>
    <w:p w:rsidR="00D42015" w:rsidRPr="0072244D" w:rsidRDefault="00D42015" w:rsidP="00D42015">
      <w:pPr>
        <w:rPr>
          <w:szCs w:val="22"/>
        </w:rPr>
      </w:pPr>
      <w:r w:rsidRPr="00402FCA">
        <w:rPr>
          <w:szCs w:val="22"/>
        </w:rPr>
        <w:t>arba</w:t>
      </w:r>
    </w:p>
    <w:p w:rsidR="00D42015" w:rsidRPr="0072244D" w:rsidRDefault="00D42015" w:rsidP="00D42015">
      <w:pPr>
        <w:rPr>
          <w:szCs w:val="22"/>
        </w:rPr>
      </w:pPr>
    </w:p>
    <w:p w:rsidR="00D42015" w:rsidRPr="0072244D" w:rsidRDefault="00D42015" w:rsidP="00D42015">
      <w:pPr>
        <w:rPr>
          <w:szCs w:val="22"/>
        </w:rPr>
      </w:pPr>
      <w:r w:rsidRPr="00402FCA">
        <w:rPr>
          <w:szCs w:val="22"/>
        </w:rPr>
        <w:t>Octapharma</w:t>
      </w:r>
      <w:r>
        <w:rPr>
          <w:szCs w:val="22"/>
        </w:rPr>
        <w:t xml:space="preserve"> </w:t>
      </w:r>
      <w:r w:rsidRPr="00402FCA">
        <w:rPr>
          <w:szCs w:val="22"/>
        </w:rPr>
        <w:t>Produktionsgesellschaft</w:t>
      </w:r>
      <w:r>
        <w:rPr>
          <w:szCs w:val="22"/>
        </w:rPr>
        <w:t xml:space="preserve"> </w:t>
      </w:r>
      <w:r w:rsidRPr="00402FCA">
        <w:rPr>
          <w:szCs w:val="22"/>
        </w:rPr>
        <w:t>Deutschland</w:t>
      </w:r>
      <w:r>
        <w:rPr>
          <w:szCs w:val="22"/>
        </w:rPr>
        <w:t xml:space="preserve"> </w:t>
      </w:r>
      <w:r w:rsidRPr="00402FCA">
        <w:rPr>
          <w:szCs w:val="22"/>
        </w:rPr>
        <w:t>m</w:t>
      </w:r>
      <w:r w:rsidRPr="0072244D">
        <w:rPr>
          <w:szCs w:val="22"/>
        </w:rPr>
        <w:t>.</w:t>
      </w:r>
      <w:r w:rsidRPr="00402FCA">
        <w:rPr>
          <w:szCs w:val="22"/>
        </w:rPr>
        <w:t>b</w:t>
      </w:r>
      <w:r w:rsidRPr="0072244D">
        <w:rPr>
          <w:szCs w:val="22"/>
        </w:rPr>
        <w:t>.</w:t>
      </w:r>
      <w:r w:rsidRPr="00402FCA">
        <w:rPr>
          <w:szCs w:val="22"/>
        </w:rPr>
        <w:t>H</w:t>
      </w:r>
    </w:p>
    <w:p w:rsidR="00D42015" w:rsidRPr="0072244D" w:rsidRDefault="00D42015" w:rsidP="00D42015">
      <w:pPr>
        <w:rPr>
          <w:szCs w:val="22"/>
        </w:rPr>
      </w:pPr>
      <w:r w:rsidRPr="00402FCA">
        <w:rPr>
          <w:szCs w:val="22"/>
        </w:rPr>
        <w:t>Wolfgang-Marguerre-Allee 1</w:t>
      </w:r>
    </w:p>
    <w:p w:rsidR="00D42015" w:rsidRPr="0072244D" w:rsidRDefault="00D42015" w:rsidP="00D42015">
      <w:pPr>
        <w:rPr>
          <w:szCs w:val="22"/>
        </w:rPr>
      </w:pPr>
      <w:r w:rsidRPr="00402FCA">
        <w:rPr>
          <w:szCs w:val="22"/>
        </w:rPr>
        <w:t>31832 Springe</w:t>
      </w:r>
    </w:p>
    <w:p w:rsidR="00D42015" w:rsidRPr="0072244D" w:rsidRDefault="00D42015" w:rsidP="00D42015">
      <w:pPr>
        <w:rPr>
          <w:szCs w:val="22"/>
        </w:rPr>
      </w:pPr>
      <w:r w:rsidRPr="00402FCA">
        <w:rPr>
          <w:szCs w:val="22"/>
        </w:rPr>
        <w:t>Vokietija</w:t>
      </w:r>
    </w:p>
    <w:p w:rsidR="00D42015" w:rsidRPr="0072244D" w:rsidRDefault="00D42015" w:rsidP="00D42015">
      <w:pPr>
        <w:rPr>
          <w:szCs w:val="22"/>
        </w:rPr>
      </w:pPr>
    </w:p>
    <w:p w:rsidR="00D42015" w:rsidRPr="00273FE0" w:rsidRDefault="00D42015" w:rsidP="00D42015"/>
    <w:p w:rsidR="00D42015" w:rsidRPr="00273FE0" w:rsidRDefault="00D42015" w:rsidP="00D42015">
      <w:pPr>
        <w:pStyle w:val="Antrat2"/>
      </w:pPr>
      <w:r w:rsidRPr="00797D6E">
        <w:t>Šis vaistas EEE valstybėse narėse registruotas tokiais pavadinimais</w:t>
      </w:r>
      <w:r w:rsidRPr="00273FE0">
        <w:t>:</w:t>
      </w:r>
    </w:p>
    <w:p w:rsidR="00D42015" w:rsidRPr="00273FE0" w:rsidRDefault="00D42015" w:rsidP="00D42015">
      <w:pPr>
        <w:pStyle w:val="Antrat2"/>
      </w:pPr>
    </w:p>
    <w:p w:rsidR="00D42015" w:rsidRPr="0072244D" w:rsidRDefault="00D42015" w:rsidP="00D42015">
      <w:pPr>
        <w:pStyle w:val="reg"/>
        <w:rPr>
          <w:rFonts w:ascii="Times New Roman" w:hAnsi="Times New Roman" w:cs="Times New Roman"/>
          <w:szCs w:val="22"/>
          <w:lang w:val="lt-LT"/>
        </w:rPr>
      </w:pPr>
      <w:r w:rsidRPr="00402FCA">
        <w:rPr>
          <w:rFonts w:ascii="Times New Roman" w:hAnsi="Times New Roman" w:cs="Times New Roman"/>
          <w:szCs w:val="22"/>
          <w:lang w:val="lt-LT"/>
        </w:rPr>
        <w:t>Albunorm:</w:t>
      </w:r>
      <w:r>
        <w:rPr>
          <w:rFonts w:ascii="Times New Roman" w:hAnsi="Times New Roman" w:cs="Times New Roman"/>
          <w:szCs w:val="22"/>
          <w:lang w:val="lt-LT"/>
        </w:rPr>
        <w:t xml:space="preserve"> </w:t>
      </w:r>
      <w:r w:rsidRPr="0072244D">
        <w:rPr>
          <w:rFonts w:ascii="Times New Roman" w:hAnsi="Times New Roman" w:cs="Times New Roman"/>
          <w:szCs w:val="22"/>
          <w:lang w:val="lt-LT"/>
        </w:rPr>
        <w:t>Čekija,</w:t>
      </w:r>
      <w:r>
        <w:rPr>
          <w:rFonts w:ascii="Times New Roman" w:hAnsi="Times New Roman" w:cs="Times New Roman"/>
          <w:szCs w:val="22"/>
          <w:lang w:val="lt-LT"/>
        </w:rPr>
        <w:t xml:space="preserve"> </w:t>
      </w:r>
      <w:r w:rsidRPr="0072244D">
        <w:rPr>
          <w:rFonts w:ascii="Times New Roman" w:hAnsi="Times New Roman" w:cs="Times New Roman"/>
          <w:szCs w:val="22"/>
          <w:lang w:val="lt-LT"/>
        </w:rPr>
        <w:t>Danija, Italija</w:t>
      </w:r>
    </w:p>
    <w:p w:rsidR="00D42015" w:rsidRPr="0072244D" w:rsidRDefault="00D42015" w:rsidP="00D42015">
      <w:pPr>
        <w:pStyle w:val="reg"/>
        <w:rPr>
          <w:rFonts w:ascii="Times New Roman" w:hAnsi="Times New Roman" w:cs="Times New Roman"/>
          <w:szCs w:val="22"/>
          <w:lang w:val="lt-LT"/>
        </w:rPr>
      </w:pPr>
      <w:r w:rsidRPr="00402FCA">
        <w:rPr>
          <w:rFonts w:ascii="Times New Roman" w:hAnsi="Times New Roman" w:cs="Times New Roman"/>
          <w:szCs w:val="22"/>
          <w:lang w:val="lt-LT"/>
        </w:rPr>
        <w:t>Albunorm 5%:</w:t>
      </w:r>
      <w:r w:rsidRPr="0072244D">
        <w:rPr>
          <w:rFonts w:ascii="Times New Roman" w:hAnsi="Times New Roman" w:cs="Times New Roman"/>
          <w:szCs w:val="22"/>
          <w:lang w:val="lt-LT"/>
        </w:rPr>
        <w:t>Belgija, Bulgarija, Kipras, Vokietija, Airija, Islandija, Liuksemburgas, Malta, Nyderlandai, Lenkija, Portugalija, Slovakija, Ispanija, Jungtinė</w:t>
      </w:r>
      <w:r w:rsidRPr="00402FCA">
        <w:rPr>
          <w:rFonts w:ascii="Times New Roman" w:hAnsi="Times New Roman" w:cs="Times New Roman"/>
          <w:szCs w:val="22"/>
          <w:lang w:val="lt-LT"/>
        </w:rPr>
        <w:t xml:space="preserve"> Karalystė</w:t>
      </w:r>
    </w:p>
    <w:p w:rsidR="00D42015" w:rsidRPr="0072244D" w:rsidRDefault="00D42015" w:rsidP="00D42015">
      <w:pPr>
        <w:pStyle w:val="reg"/>
        <w:rPr>
          <w:rFonts w:ascii="Times New Roman" w:hAnsi="Times New Roman" w:cs="Times New Roman"/>
          <w:szCs w:val="22"/>
          <w:lang w:val="lt-LT"/>
        </w:rPr>
      </w:pPr>
      <w:r w:rsidRPr="00402FCA">
        <w:rPr>
          <w:rFonts w:ascii="Times New Roman" w:hAnsi="Times New Roman" w:cs="Times New Roman"/>
          <w:szCs w:val="22"/>
          <w:lang w:val="lt-LT"/>
        </w:rPr>
        <w:t>Albunorm 50 g/l:</w:t>
      </w:r>
      <w:r w:rsidRPr="0072244D">
        <w:rPr>
          <w:rFonts w:ascii="Times New Roman" w:hAnsi="Times New Roman" w:cs="Times New Roman"/>
          <w:szCs w:val="22"/>
          <w:lang w:val="lt-LT"/>
        </w:rPr>
        <w:t>Austrija, Estija,  Suomija, Prancūzija, Vengrija, Latvija, Lietuva, Norvegija, Rumunija, Švedija, Slovėnija</w:t>
      </w:r>
    </w:p>
    <w:p w:rsidR="00D42015" w:rsidRDefault="00D42015" w:rsidP="00D42015">
      <w:pPr>
        <w:rPr>
          <w:bCs/>
          <w:szCs w:val="22"/>
        </w:rPr>
      </w:pPr>
    </w:p>
    <w:p w:rsidR="00D42015" w:rsidRPr="00A81A8C" w:rsidRDefault="00D42015" w:rsidP="00D42015">
      <w:pPr>
        <w:rPr>
          <w:bCs/>
          <w:szCs w:val="22"/>
        </w:rPr>
      </w:pPr>
    </w:p>
    <w:p w:rsidR="00D42015" w:rsidRDefault="00D42015" w:rsidP="00D42015">
      <w:pPr>
        <w:rPr>
          <w:b/>
          <w:bCs/>
          <w:szCs w:val="22"/>
        </w:rPr>
      </w:pPr>
      <w:r w:rsidRPr="00402FCA">
        <w:rPr>
          <w:b/>
          <w:bCs/>
          <w:szCs w:val="22"/>
        </w:rPr>
        <w:t>Šis</w:t>
      </w:r>
      <w:r w:rsidRPr="0072244D">
        <w:rPr>
          <w:b/>
          <w:bCs/>
          <w:szCs w:val="22"/>
        </w:rPr>
        <w:t xml:space="preserve"> </w:t>
      </w:r>
      <w:r w:rsidRPr="00402FCA">
        <w:rPr>
          <w:b/>
          <w:bCs/>
          <w:szCs w:val="22"/>
        </w:rPr>
        <w:t>pakuotės</w:t>
      </w:r>
      <w:r w:rsidRPr="0072244D">
        <w:rPr>
          <w:b/>
          <w:bCs/>
          <w:szCs w:val="22"/>
        </w:rPr>
        <w:t xml:space="preserve"> </w:t>
      </w:r>
      <w:r w:rsidRPr="00402FCA">
        <w:rPr>
          <w:b/>
          <w:bCs/>
          <w:szCs w:val="22"/>
        </w:rPr>
        <w:t>lapelis</w:t>
      </w:r>
      <w:r w:rsidRPr="0072244D">
        <w:rPr>
          <w:b/>
          <w:bCs/>
          <w:szCs w:val="22"/>
        </w:rPr>
        <w:t xml:space="preserve"> </w:t>
      </w:r>
      <w:r w:rsidRPr="00402FCA">
        <w:rPr>
          <w:b/>
          <w:bCs/>
          <w:szCs w:val="22"/>
        </w:rPr>
        <w:t>paskutinį</w:t>
      </w:r>
      <w:r w:rsidRPr="0072244D">
        <w:rPr>
          <w:b/>
          <w:bCs/>
          <w:szCs w:val="22"/>
        </w:rPr>
        <w:t xml:space="preserve"> </w:t>
      </w:r>
      <w:r w:rsidRPr="00402FCA">
        <w:rPr>
          <w:b/>
          <w:bCs/>
          <w:szCs w:val="22"/>
        </w:rPr>
        <w:t>kartą</w:t>
      </w:r>
      <w:r w:rsidRPr="0072244D">
        <w:rPr>
          <w:b/>
          <w:bCs/>
          <w:szCs w:val="22"/>
        </w:rPr>
        <w:t xml:space="preserve"> </w:t>
      </w:r>
      <w:r w:rsidRPr="00402FCA">
        <w:rPr>
          <w:b/>
          <w:bCs/>
          <w:szCs w:val="22"/>
        </w:rPr>
        <w:t>peržiūrėtas</w:t>
      </w:r>
      <w:r>
        <w:rPr>
          <w:b/>
          <w:bCs/>
          <w:szCs w:val="22"/>
        </w:rPr>
        <w:t xml:space="preserve"> </w:t>
      </w:r>
      <w:bookmarkStart w:id="1" w:name="_Hlk195089131"/>
      <w:r>
        <w:rPr>
          <w:b/>
          <w:bCs/>
          <w:szCs w:val="22"/>
        </w:rPr>
        <w:t>2025-05-26.</w:t>
      </w:r>
      <w:bookmarkEnd w:id="1"/>
    </w:p>
    <w:p w:rsidR="00D42015" w:rsidRPr="0072244D" w:rsidRDefault="00D42015" w:rsidP="00D42015">
      <w:pPr>
        <w:rPr>
          <w:b/>
          <w:bCs/>
          <w:szCs w:val="22"/>
        </w:rPr>
      </w:pPr>
    </w:p>
    <w:p w:rsidR="00D42015" w:rsidRPr="0072244D" w:rsidRDefault="00D42015" w:rsidP="00D42015">
      <w:pPr>
        <w:rPr>
          <w:b/>
          <w:bCs/>
          <w:szCs w:val="22"/>
        </w:rPr>
      </w:pPr>
    </w:p>
    <w:p w:rsidR="00D42015" w:rsidRDefault="00D42015" w:rsidP="00D42015">
      <w:pPr>
        <w:numPr>
          <w:ilvl w:val="12"/>
          <w:numId w:val="0"/>
        </w:numPr>
        <w:ind w:right="-2"/>
        <w:rPr>
          <w:szCs w:val="22"/>
        </w:rPr>
      </w:pPr>
      <w:r w:rsidRPr="00402FCA">
        <w:rPr>
          <w:szCs w:val="22"/>
        </w:rPr>
        <w:t>Išsami informacija apie šį vaistą pateikiama Valstybinės vaistų kontrolės tarnybos prie Lietuvos Respublikos sveikatos apsaugos ministerijos tinklalapyje</w:t>
      </w:r>
      <w:r w:rsidRPr="0072244D">
        <w:rPr>
          <w:szCs w:val="22"/>
        </w:rPr>
        <w:t xml:space="preserve"> </w:t>
      </w:r>
      <w:hyperlink r:id="rId6" w:history="1">
        <w:r w:rsidRPr="00402FCA">
          <w:rPr>
            <w:rStyle w:val="Hipersaitas"/>
            <w:rFonts w:eastAsia="SimSun"/>
            <w:szCs w:val="22"/>
          </w:rPr>
          <w:t>http://www.vvkt.lt</w:t>
        </w:r>
      </w:hyperlink>
      <w:r w:rsidRPr="00402FCA">
        <w:rPr>
          <w:szCs w:val="22"/>
        </w:rPr>
        <w:t>.</w:t>
      </w:r>
    </w:p>
    <w:p w:rsidR="00D42015" w:rsidRDefault="00D42015" w:rsidP="00D42015">
      <w:pPr>
        <w:numPr>
          <w:ilvl w:val="12"/>
          <w:numId w:val="0"/>
        </w:numPr>
        <w:ind w:right="-2"/>
        <w:rPr>
          <w:szCs w:val="22"/>
        </w:rPr>
      </w:pPr>
    </w:p>
    <w:p w:rsidR="00D42015" w:rsidRDefault="00D42015" w:rsidP="00D42015">
      <w:pPr>
        <w:numPr>
          <w:ilvl w:val="12"/>
          <w:numId w:val="0"/>
        </w:numPr>
        <w:ind w:right="-2"/>
      </w:pPr>
      <w:bookmarkStart w:id="2" w:name="_GoBack"/>
      <w:bookmarkEnd w:id="2"/>
    </w:p>
    <w:p w:rsidR="00BA6577" w:rsidRDefault="00BA6577"/>
    <w:sectPr w:rsidR="00BA6577" w:rsidSect="00D42015">
      <w:headerReference w:type="default" r:id="rId7"/>
      <w:footerReference w:type="default" r:id="rId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E19" w:rsidRPr="00273FE0" w:rsidRDefault="00D42015">
    <w:pPr>
      <w:pStyle w:val="Porat"/>
      <w:tabs>
        <w:tab w:val="clear" w:pos="8930"/>
        <w:tab w:val="right" w:pos="8931"/>
      </w:tabs>
      <w:ind w:right="96"/>
      <w:rPr>
        <w:i/>
        <w:sz w:val="18"/>
      </w:rPr>
    </w:pPr>
    <w:r w:rsidRPr="00273FE0">
      <w:rPr>
        <w:i/>
        <w:sz w:val="18"/>
      </w:rPr>
      <w:fldChar w:fldCharType="begin"/>
    </w:r>
    <w:r w:rsidRPr="00273FE0">
      <w:rPr>
        <w:i/>
        <w:sz w:val="18"/>
      </w:rPr>
      <w:instrText xml:space="preserve"> EQ </w:instrText>
    </w:r>
    <w:r w:rsidRPr="00273FE0">
      <w:rPr>
        <w:i/>
        <w:sz w:val="18"/>
      </w:rPr>
      <w:fldChar w:fldCharType="end"/>
    </w:r>
    <w:r w:rsidRPr="00273FE0">
      <w:rPr>
        <w:i/>
        <w:sz w:val="18"/>
      </w:rPr>
      <w:tab/>
    </w:r>
    <w:r w:rsidRPr="00273FE0">
      <w:rPr>
        <w:i/>
        <w:sz w:val="18"/>
      </w:rPr>
      <w:tab/>
    </w:r>
    <w:r w:rsidRPr="00273FE0">
      <w:rPr>
        <w:i/>
        <w:sz w:val="18"/>
      </w:rPr>
      <w:fldChar w:fldCharType="begin"/>
    </w:r>
    <w:r>
      <w:rPr>
        <w:i/>
        <w:iCs/>
        <w:sz w:val="18"/>
        <w:szCs w:val="18"/>
      </w:rPr>
      <w:instrText xml:space="preserve"> PAGE </w:instrText>
    </w:r>
    <w:r w:rsidRPr="00273FE0">
      <w:rPr>
        <w:i/>
        <w:sz w:val="18"/>
      </w:rPr>
      <w:fldChar w:fldCharType="separate"/>
    </w:r>
    <w:r>
      <w:rPr>
        <w:i/>
        <w:iCs/>
        <w:sz w:val="18"/>
        <w:szCs w:val="18"/>
      </w:rPr>
      <w:t>4</w:t>
    </w:r>
    <w:r w:rsidRPr="00273FE0">
      <w:rPr>
        <w:i/>
        <w:sz w:val="18"/>
      </w:rPr>
      <w:fldChar w:fldCharType="end"/>
    </w:r>
    <w:r w:rsidRPr="00273FE0">
      <w:rPr>
        <w:i/>
        <w:sz w:val="18"/>
      </w:rPr>
      <w:t>/</w:t>
    </w:r>
    <w:r w:rsidRPr="00273FE0">
      <w:rPr>
        <w:i/>
        <w:sz w:val="18"/>
      </w:rPr>
      <w:fldChar w:fldCharType="begin"/>
    </w:r>
    <w:r>
      <w:rPr>
        <w:i/>
        <w:iCs/>
        <w:sz w:val="18"/>
        <w:szCs w:val="18"/>
      </w:rPr>
      <w:instrText xml:space="preserve"> NUMPAGES </w:instrText>
    </w:r>
    <w:r w:rsidRPr="00273FE0">
      <w:rPr>
        <w:i/>
        <w:sz w:val="18"/>
      </w:rPr>
      <w:fldChar w:fldCharType="separate"/>
    </w:r>
    <w:r>
      <w:rPr>
        <w:i/>
        <w:iCs/>
        <w:sz w:val="18"/>
        <w:szCs w:val="18"/>
      </w:rPr>
      <w:t>4</w:t>
    </w:r>
    <w:r w:rsidRPr="00273FE0">
      <w:rPr>
        <w:i/>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6F7" w:rsidRDefault="00D420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213E"/>
    <w:multiLevelType w:val="hybridMultilevel"/>
    <w:tmpl w:val="816A63C0"/>
    <w:lvl w:ilvl="0" w:tplc="DBFA9458">
      <w:start w:val="1"/>
      <w:numFmt w:val="bullet"/>
      <w:lvlText w:val="-"/>
      <w:lvlJc w:val="left"/>
      <w:pPr>
        <w:tabs>
          <w:tab w:val="num" w:pos="567"/>
        </w:tabs>
        <w:ind w:left="567" w:hanging="567"/>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 w15:restartNumberingAfterBreak="0">
    <w:nsid w:val="186E59D4"/>
    <w:multiLevelType w:val="hybridMultilevel"/>
    <w:tmpl w:val="E598B8BE"/>
    <w:lvl w:ilvl="0" w:tplc="C1243598">
      <w:start w:val="1"/>
      <w:numFmt w:val="bullet"/>
      <w:lvlText w:val=""/>
      <w:lvlJc w:val="left"/>
      <w:pPr>
        <w:tabs>
          <w:tab w:val="num" w:pos="567"/>
        </w:tabs>
        <w:ind w:left="567" w:hanging="567"/>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 w15:restartNumberingAfterBreak="0">
    <w:nsid w:val="2C7F50A6"/>
    <w:multiLevelType w:val="hybridMultilevel"/>
    <w:tmpl w:val="7E4CA158"/>
    <w:lvl w:ilvl="0" w:tplc="F22899A2">
      <w:start w:val="1"/>
      <w:numFmt w:val="decimal"/>
      <w:lvlText w:val="%1."/>
      <w:lvlJc w:val="left"/>
      <w:pPr>
        <w:tabs>
          <w:tab w:val="num" w:pos="567"/>
        </w:tabs>
        <w:ind w:left="567" w:hanging="567"/>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337A127F"/>
    <w:multiLevelType w:val="hybridMultilevel"/>
    <w:tmpl w:val="816A63C0"/>
    <w:lvl w:ilvl="0" w:tplc="DBFA9458">
      <w:start w:val="1"/>
      <w:numFmt w:val="bullet"/>
      <w:lvlText w:val="-"/>
      <w:lvlJc w:val="left"/>
      <w:pPr>
        <w:tabs>
          <w:tab w:val="num" w:pos="567"/>
        </w:tabs>
        <w:ind w:left="567" w:hanging="567"/>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56A37C69"/>
    <w:multiLevelType w:val="hybridMultilevel"/>
    <w:tmpl w:val="06ECF2BC"/>
    <w:lvl w:ilvl="0" w:tplc="162E423A">
      <w:start w:val="1"/>
      <w:numFmt w:val="bullet"/>
      <w:lvlText w:val=""/>
      <w:lvlJc w:val="left"/>
      <w:pPr>
        <w:tabs>
          <w:tab w:val="num" w:pos="567"/>
        </w:tabs>
        <w:ind w:left="567" w:hanging="567"/>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E7662A0"/>
    <w:multiLevelType w:val="hybridMultilevel"/>
    <w:tmpl w:val="6C42C06C"/>
    <w:lvl w:ilvl="0" w:tplc="F236A00C">
      <w:start w:val="1"/>
      <w:numFmt w:val="bullet"/>
      <w:lvlText w:val=""/>
      <w:lvlJc w:val="left"/>
      <w:pPr>
        <w:tabs>
          <w:tab w:val="num" w:pos="567"/>
        </w:tabs>
        <w:ind w:left="567" w:hanging="567"/>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6" w15:restartNumberingAfterBreak="0">
    <w:nsid w:val="783C5B22"/>
    <w:multiLevelType w:val="hybridMultilevel"/>
    <w:tmpl w:val="0EAC55D8"/>
    <w:lvl w:ilvl="0" w:tplc="34725B32">
      <w:start w:val="1"/>
      <w:numFmt w:val="bullet"/>
      <w:lvlText w:val="-"/>
      <w:lvlJc w:val="left"/>
      <w:pPr>
        <w:tabs>
          <w:tab w:val="num" w:pos="567"/>
        </w:tabs>
        <w:ind w:left="567" w:hanging="567"/>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15"/>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42015"/>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2D083-4F80-4476-9E22-89341775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2015"/>
    <w:pPr>
      <w:spacing w:after="0" w:line="240" w:lineRule="auto"/>
    </w:pPr>
    <w:rPr>
      <w:rFonts w:ascii="Times New Roman" w:hAnsi="Times New Roman" w:cs="Times New Roman"/>
      <w:szCs w:val="24"/>
      <w:lang w:eastAsia="de-DE"/>
    </w:rPr>
  </w:style>
  <w:style w:type="paragraph" w:styleId="Antrat1">
    <w:name w:val="heading 1"/>
    <w:basedOn w:val="prastasis"/>
    <w:next w:val="prastasis"/>
    <w:link w:val="Antrat1Diagrama"/>
    <w:uiPriority w:val="99"/>
    <w:qFormat/>
    <w:rsid w:val="00D42015"/>
    <w:pPr>
      <w:tabs>
        <w:tab w:val="left" w:pos="567"/>
      </w:tabs>
      <w:ind w:left="567" w:hanging="567"/>
      <w:outlineLvl w:val="0"/>
    </w:pPr>
    <w:rPr>
      <w:rFonts w:ascii="Times New Roman Bold" w:hAnsi="Times New Roman Bold" w:cs="Times New Roman Bold"/>
      <w:b/>
      <w:bCs/>
      <w:noProof/>
      <w:szCs w:val="22"/>
      <w:lang w:eastAsia="en-US"/>
    </w:rPr>
  </w:style>
  <w:style w:type="paragraph" w:styleId="Antrat2">
    <w:name w:val="heading 2"/>
    <w:basedOn w:val="prastasis"/>
    <w:next w:val="prastasis"/>
    <w:link w:val="Antrat2Diagrama"/>
    <w:uiPriority w:val="99"/>
    <w:qFormat/>
    <w:rsid w:val="00D42015"/>
    <w:pPr>
      <w:ind w:left="567" w:hanging="567"/>
      <w:outlineLvl w:val="1"/>
    </w:pPr>
    <w:rPr>
      <w:b/>
      <w:bCs/>
      <w:noProof/>
      <w:szCs w:val="22"/>
      <w:lang w:eastAsia="en-US"/>
    </w:rPr>
  </w:style>
  <w:style w:type="paragraph" w:styleId="Antrat3">
    <w:name w:val="heading 3"/>
    <w:basedOn w:val="prastasis"/>
    <w:next w:val="prastasis"/>
    <w:link w:val="Antrat3Diagrama"/>
    <w:uiPriority w:val="99"/>
    <w:qFormat/>
    <w:rsid w:val="00D42015"/>
    <w:pPr>
      <w:keepNext/>
      <w:keepLines/>
      <w:outlineLvl w:val="2"/>
    </w:pPr>
    <w:rPr>
      <w:noProof/>
      <w:szCs w:val="22"/>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99"/>
    <w:qFormat/>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99"/>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uiPriority w:val="99"/>
    <w:rsid w:val="00D42015"/>
    <w:rPr>
      <w:rFonts w:ascii="Times New Roman Bold" w:hAnsi="Times New Roman Bold" w:cs="Times New Roman Bold"/>
      <w:b/>
      <w:bCs/>
      <w:noProof/>
    </w:rPr>
  </w:style>
  <w:style w:type="character" w:customStyle="1" w:styleId="Antrat2Diagrama">
    <w:name w:val="Antraštė 2 Diagrama"/>
    <w:basedOn w:val="Numatytasispastraiposriftas"/>
    <w:link w:val="Antrat2"/>
    <w:uiPriority w:val="99"/>
    <w:rsid w:val="00D42015"/>
    <w:rPr>
      <w:rFonts w:ascii="Times New Roman" w:hAnsi="Times New Roman" w:cs="Times New Roman"/>
      <w:b/>
      <w:bCs/>
      <w:noProof/>
    </w:rPr>
  </w:style>
  <w:style w:type="character" w:customStyle="1" w:styleId="Antrat3Diagrama">
    <w:name w:val="Antraštė 3 Diagrama"/>
    <w:basedOn w:val="Numatytasispastraiposriftas"/>
    <w:link w:val="Antrat3"/>
    <w:uiPriority w:val="99"/>
    <w:rsid w:val="00D42015"/>
    <w:rPr>
      <w:rFonts w:ascii="Times New Roman" w:hAnsi="Times New Roman" w:cs="Times New Roman"/>
      <w:noProof/>
      <w:u w:val="single"/>
    </w:rPr>
  </w:style>
  <w:style w:type="paragraph" w:styleId="Porat">
    <w:name w:val="footer"/>
    <w:basedOn w:val="prastasis"/>
    <w:link w:val="PoratDiagrama"/>
    <w:uiPriority w:val="99"/>
    <w:semiHidden/>
    <w:rsid w:val="00D42015"/>
    <w:pPr>
      <w:tabs>
        <w:tab w:val="center" w:pos="4536"/>
        <w:tab w:val="center" w:pos="8930"/>
      </w:tabs>
    </w:pPr>
    <w:rPr>
      <w:rFonts w:ascii="Helvetica" w:hAnsi="Helvetica" w:cs="Helvetica"/>
      <w:noProof/>
      <w:sz w:val="16"/>
      <w:szCs w:val="16"/>
      <w:lang w:eastAsia="en-US"/>
    </w:rPr>
  </w:style>
  <w:style w:type="character" w:customStyle="1" w:styleId="PoratDiagrama">
    <w:name w:val="Poraštė Diagrama"/>
    <w:basedOn w:val="Numatytasispastraiposriftas"/>
    <w:link w:val="Porat"/>
    <w:uiPriority w:val="99"/>
    <w:semiHidden/>
    <w:rsid w:val="00D42015"/>
    <w:rPr>
      <w:rFonts w:ascii="Helvetica" w:hAnsi="Helvetica" w:cs="Helvetica"/>
      <w:noProof/>
      <w:sz w:val="16"/>
      <w:szCs w:val="16"/>
    </w:rPr>
  </w:style>
  <w:style w:type="character" w:styleId="Hipersaitas">
    <w:name w:val="Hyperlink"/>
    <w:uiPriority w:val="99"/>
    <w:rsid w:val="00D42015"/>
    <w:rPr>
      <w:color w:val="0000FF"/>
      <w:u w:val="single"/>
    </w:rPr>
  </w:style>
  <w:style w:type="paragraph" w:styleId="Antrats">
    <w:name w:val="header"/>
    <w:basedOn w:val="prastasis"/>
    <w:link w:val="AntratsDiagrama"/>
    <w:uiPriority w:val="99"/>
    <w:semiHidden/>
    <w:rsid w:val="00D42015"/>
    <w:pPr>
      <w:tabs>
        <w:tab w:val="center" w:pos="4536"/>
        <w:tab w:val="right" w:pos="9072"/>
      </w:tabs>
    </w:pPr>
  </w:style>
  <w:style w:type="character" w:customStyle="1" w:styleId="AntratsDiagrama">
    <w:name w:val="Antraštės Diagrama"/>
    <w:basedOn w:val="Numatytasispastraiposriftas"/>
    <w:link w:val="Antrats"/>
    <w:uiPriority w:val="99"/>
    <w:semiHidden/>
    <w:rsid w:val="00D42015"/>
    <w:rPr>
      <w:rFonts w:ascii="Times New Roman" w:hAnsi="Times New Roman" w:cs="Times New Roman"/>
      <w:szCs w:val="24"/>
      <w:lang w:eastAsia="de-DE"/>
    </w:rPr>
  </w:style>
  <w:style w:type="paragraph" w:customStyle="1" w:styleId="reg">
    <w:name w:val="reg"/>
    <w:basedOn w:val="prastasis"/>
    <w:uiPriority w:val="99"/>
    <w:rsid w:val="00D42015"/>
    <w:rPr>
      <w:rFonts w:ascii="Helvetica" w:hAnsi="Helvetica" w:cs="Helvetica"/>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5871</Words>
  <Characters>3348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2025-06-09T07:17:00Z</dcterms:created>
  <dcterms:modified xsi:type="dcterms:W3CDTF">2025-06-09T07:18:00Z</dcterms:modified>
</cp:coreProperties>
</file>