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759A2" w14:textId="77777777" w:rsidR="00E25C6A" w:rsidRPr="006227FA" w:rsidRDefault="00E25C6A" w:rsidP="00E25C6A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Pakuotės lapelis: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  <w:t xml:space="preserve"> </w:t>
      </w:r>
      <w:r w:rsidRPr="006227FA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val="lt-LT" w:eastAsia="x-none"/>
        </w:rPr>
        <w:t>informacija vartotojui</w:t>
      </w:r>
    </w:p>
    <w:p w14:paraId="01467013" w14:textId="77777777" w:rsidR="00E25C6A" w:rsidRPr="006227FA" w:rsidRDefault="00E25C6A" w:rsidP="00E25C6A">
      <w:pPr>
        <w:numPr>
          <w:ilvl w:val="12"/>
          <w:numId w:val="0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64642A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b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lang w:val="lt-LT"/>
        </w:rPr>
        <w:t>TANTUM VERDE forte 3 mg/ml burnos gleivinės purškalas (tirpalas)</w:t>
      </w:r>
    </w:p>
    <w:p w14:paraId="50789C0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szCs w:val="20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b</w:t>
      </w:r>
      <w:r w:rsidRPr="006227FA">
        <w:rPr>
          <w:rFonts w:ascii="Times New Roman" w:eastAsia="Times New Roman" w:hAnsi="Times New Roman" w:cs="Times New Roman"/>
          <w:lang w:val="lt-LT"/>
        </w:rPr>
        <w:t>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hidrochloridas</w:t>
      </w:r>
    </w:p>
    <w:p w14:paraId="3E075C59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napToGrid w:val="0"/>
          <w:color w:val="008000"/>
          <w:szCs w:val="24"/>
          <w:lang w:val="lt-LT"/>
        </w:rPr>
      </w:pPr>
    </w:p>
    <w:p w14:paraId="3B6E90B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Atidžiai perskaitykite visą šį lapelį, prieš pradėdami vartoti šį vaistą, nes jame pateikiama Jums svarbi informacija.</w:t>
      </w:r>
    </w:p>
    <w:p w14:paraId="1BB24972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Visada vartokite šį vaistą tiksliai kaip aprašyta šiame lapelyje arba kaip nurodė gydytojas arba vaistininkas.</w:t>
      </w:r>
    </w:p>
    <w:p w14:paraId="21B85E27" w14:textId="77777777" w:rsidR="00E25C6A" w:rsidRPr="006227FA" w:rsidRDefault="00E25C6A" w:rsidP="00E25C6A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Neišmeskite šio lapelio, nes vėl gali prireikti jį perskaityti.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3900B970" w14:textId="77777777" w:rsidR="00E25C6A" w:rsidRPr="006227FA" w:rsidRDefault="00E25C6A" w:rsidP="00E25C6A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norite sužinoti daugiau arba pasitarti, kreipkitės į vaistininką.</w:t>
      </w:r>
    </w:p>
    <w:p w14:paraId="6BD6CB29" w14:textId="77777777" w:rsidR="00E25C6A" w:rsidRPr="006227FA" w:rsidRDefault="00E25C6A" w:rsidP="00E25C6A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pasireiškė šalutinis poveikis (net jeigu jis šiame lapelyje nenurodytas), kreipkitės į gydytoją arba vaistininką. Žr. 4 skyrių.</w:t>
      </w:r>
    </w:p>
    <w:p w14:paraId="2A3CDD0E" w14:textId="77777777" w:rsidR="00E25C6A" w:rsidRPr="006227FA" w:rsidRDefault="00E25C6A" w:rsidP="00E25C6A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per 7 dienas Jūsų savijauta nepagerėjo arba net pablogėjo, kreipkitės į gydytoją.</w:t>
      </w:r>
    </w:p>
    <w:p w14:paraId="7BF930FB" w14:textId="77777777" w:rsidR="00E25C6A" w:rsidRPr="006227FA" w:rsidRDefault="00E25C6A" w:rsidP="00E25C6A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1D917A7" w14:textId="77777777" w:rsidR="00E25C6A" w:rsidRPr="006227FA" w:rsidRDefault="00E25C6A" w:rsidP="00E25C6A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06D2EEC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Apie ką rašoma šiame lapelyje?</w:t>
      </w:r>
    </w:p>
    <w:p w14:paraId="17ADD1A1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284"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24FC251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1.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Kas yra TANTUM VERDE forte ir kam jis vartojamas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48DE5313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2.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Kas žinotina prieš vartojant TANTUM VERDE forte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 </w:t>
      </w:r>
    </w:p>
    <w:p w14:paraId="1425DBD8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3.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Kaip vartoti TANTUM VERDE forte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0B6FB31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4.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Galimas šalutinis poveikis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5735D64A" w14:textId="77777777" w:rsidR="00E25C6A" w:rsidRPr="006227FA" w:rsidRDefault="00E25C6A" w:rsidP="00E25C6A">
      <w:pPr>
        <w:numPr>
          <w:ilvl w:val="12"/>
          <w:numId w:val="0"/>
        </w:numPr>
        <w:tabs>
          <w:tab w:val="left" w:pos="993"/>
        </w:tabs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5.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Kaip laikyti TANTUM VERDE forte</w:t>
      </w:r>
    </w:p>
    <w:p w14:paraId="476AAE6C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left="993" w:right="-2" w:hanging="70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6.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Pakuotės turinys ir kita informacija</w:t>
      </w:r>
    </w:p>
    <w:p w14:paraId="62B2416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B83A99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50CEC67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1.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>Kas yra TANTUM VERDE forte ir kam jis vartojamas</w:t>
      </w:r>
    </w:p>
    <w:p w14:paraId="4BD60542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C9486A5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yra skausmą malšinantis nesteroidinis vaistas nuo uždegimo. Pavartotas lokaliai burnos gleivinės purškalas dezinfekuoja ir sukelia vietinę nejautrą. Veiklioji jo medžiaga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stipriai slopina uždegimą ir silpnina skausmą. Kadangi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greitai absorbuojamas ir susikaupia uždegimo apimtuose audiniuose, sutrikimas greitai praeina.</w:t>
      </w:r>
    </w:p>
    <w:p w14:paraId="18FE67B2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2DCE5F6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vartojamas lokaliam simptominiam skausmingo burnos, ryklės bei dantenų uždegimo ir patinimo gydymui. </w:t>
      </w:r>
    </w:p>
    <w:p w14:paraId="1F6F077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017DB50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per 7 dienas Jūsų savijauta nepagerėjo arba net pablogėjo, kreipkitės į gydytoją.</w:t>
      </w:r>
    </w:p>
    <w:p w14:paraId="4E957BE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7BED13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E6C114D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2.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ab/>
        <w:t xml:space="preserve">Kas žinotina prieš vartojant TANTUM VERDE forte </w:t>
      </w:r>
      <w:r w:rsidRPr="006227FA">
        <w:rPr>
          <w:rFonts w:ascii="Times New Roman" w:eastAsia="Times New Roman" w:hAnsi="Times New Roman" w:cs="Times New Roman"/>
          <w:b/>
          <w:snapToGrid w:val="0"/>
          <w:szCs w:val="24"/>
          <w:lang w:val="lt-LT" w:eastAsia="x-none"/>
        </w:rPr>
        <w:t xml:space="preserve"> </w:t>
      </w:r>
    </w:p>
    <w:p w14:paraId="22E0A246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EBE0F1B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vartoti </w:t>
      </w:r>
      <w:r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draudžiama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:</w:t>
      </w:r>
    </w:p>
    <w:p w14:paraId="7C5630B5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-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ab/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yra alergija benzidamino hidrochloridui arba bet kuriai pagalbinei šio vaisto medžiagai (jos išvardytos 6 skyriuje).</w:t>
      </w:r>
    </w:p>
    <w:p w14:paraId="11978EE9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-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ab/>
        <w:t>jeigu yra alergija salicilo rūgščiai arba (ir) bet kuriam nesteroidiniam vaistui nuo uždegimo.</w:t>
      </w:r>
    </w:p>
    <w:p w14:paraId="7E523D8F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34108AA4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Įspėjimai ir atsargumo priemonės </w:t>
      </w:r>
    </w:p>
    <w:p w14:paraId="79A37A6F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Pasitarkite su gydytoju arba vaistininku, prieš pradėdami vartoti </w:t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TANTUM VERDE forte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.</w:t>
      </w:r>
    </w:p>
    <w:p w14:paraId="0F9CF1C2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2F355A7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Per apsirikimą nurijus (pvz., vaikui) labai daug TANTUM VERDE forte, būtina nedelsiant informuoti gydytoją. Pirmoji pagalbinė gydymo priemonė gali būti vėmimo sukėlimas.</w:t>
      </w:r>
    </w:p>
    <w:p w14:paraId="1C29A7A9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0511B685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Jeigu trumpalaikis gydymas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benzidaminu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reikiamo poveikio nesukelia, būtina kreiptis į gydytoją.</w:t>
      </w:r>
    </w:p>
    <w:p w14:paraId="1393C1AB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6797D3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saugotis, kad vaistinio preparato nepatektų į akis.</w:t>
      </w:r>
    </w:p>
    <w:p w14:paraId="1DC45988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10AB67A3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Vaikams</w:t>
      </w:r>
    </w:p>
    <w:p w14:paraId="1AB398A8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TANTUM VERDE forte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saugumas ir veiksmingumas jaunesniems </w:t>
      </w:r>
      <w:r w:rsidRPr="006227FA">
        <w:rPr>
          <w:rFonts w:ascii="Times New Roman" w:eastAsia="Times New Roman" w:hAnsi="Times New Roman" w:cs="Times New Roman"/>
          <w:lang w:val="lt-LT"/>
        </w:rPr>
        <w:t>kaip 3 metų vaikams neištirti.</w:t>
      </w:r>
    </w:p>
    <w:p w14:paraId="76F42099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</w:p>
    <w:p w14:paraId="0E9376EF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Kiti vaistai ir TANTUM VERDE forte</w:t>
      </w:r>
    </w:p>
    <w:p w14:paraId="4A467149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vartojate ar neseniai vartojote kitų vaistų arba dėl to nesate tikri, apie tai pasakykite gydytojui arba vaistininkui.</w:t>
      </w:r>
    </w:p>
    <w:p w14:paraId="0B74DBC8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burnos gleivinės purškalo ir kitų vaistų sąveikos nepastebėta.</w:t>
      </w:r>
    </w:p>
    <w:p w14:paraId="1D204E77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B6EF7A7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TANTUM VERDE forte vartojimas su maistu ir gėrimais</w:t>
      </w:r>
    </w:p>
    <w:p w14:paraId="6B1FCC5C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Sąveika su maistu ir gėrimais nepasireiškia.</w:t>
      </w:r>
    </w:p>
    <w:p w14:paraId="3DEFC7A7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2CB309A" w14:textId="77777777" w:rsidR="00E25C6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Nėštumas, žindymo laikotarpis ir vaisingumas</w:t>
      </w:r>
    </w:p>
    <w:p w14:paraId="3814631B" w14:textId="77777777" w:rsidR="00E25C6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012AD083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628DF2ED" w14:textId="77777777" w:rsidR="00E25C6A" w:rsidRPr="00177ADF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177ADF">
        <w:rPr>
          <w:rFonts w:ascii="Times New Roman" w:eastAsia="Times New Roman" w:hAnsi="Times New Roman" w:cs="Times New Roman"/>
          <w:szCs w:val="24"/>
          <w:u w:val="single"/>
          <w:lang w:val="lt-LT"/>
        </w:rPr>
        <w:t>Nėštumas</w:t>
      </w:r>
    </w:p>
    <w:p w14:paraId="7AAD56EC" w14:textId="77777777" w:rsidR="00E25C6A" w:rsidRPr="000C0CC7" w:rsidRDefault="00E25C6A" w:rsidP="00E25C6A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187D93">
        <w:rPr>
          <w:rFonts w:ascii="Times New Roman" w:eastAsia="Times New Roman" w:hAnsi="Times New Roman" w:cs="Times New Roman"/>
          <w:lang w:val="lt-LT"/>
        </w:rPr>
        <w:t xml:space="preserve">Nėštumo metu TANTUM VERDE </w:t>
      </w:r>
      <w:r>
        <w:rPr>
          <w:rFonts w:ascii="Times New Roman" w:eastAsia="Times New Roman" w:hAnsi="Times New Roman" w:cs="Times New Roman"/>
          <w:lang w:val="lt-LT"/>
        </w:rPr>
        <w:t xml:space="preserve">forte </w:t>
      </w:r>
      <w:r w:rsidRPr="00187D93">
        <w:rPr>
          <w:rFonts w:ascii="Times New Roman" w:eastAsia="Times New Roman" w:hAnsi="Times New Roman" w:cs="Times New Roman"/>
          <w:lang w:val="lt-LT"/>
        </w:rPr>
        <w:t>vartoti negalima, nebent tai neabejotinai būtina ir rekomendavo Jūsų gydytojas. Jei Jums reikalingas gydymas, reikia vartoti mažiausią dozę trumpiausią įmanomą laiką.</w:t>
      </w:r>
    </w:p>
    <w:p w14:paraId="66EC8575" w14:textId="77777777" w:rsidR="00E25C6A" w:rsidRPr="000C0CC7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AC8BEBC" w14:textId="77777777" w:rsidR="00E25C6A" w:rsidRPr="00177ADF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zCs w:val="24"/>
          <w:u w:val="single"/>
          <w:lang w:val="lt-LT"/>
        </w:rPr>
      </w:pPr>
      <w:r w:rsidRPr="00177ADF">
        <w:rPr>
          <w:rFonts w:ascii="Times New Roman" w:eastAsia="Times New Roman" w:hAnsi="Times New Roman" w:cs="Times New Roman"/>
          <w:szCs w:val="24"/>
          <w:u w:val="single"/>
          <w:lang w:val="lt-LT"/>
        </w:rPr>
        <w:t>Žindymas</w:t>
      </w:r>
    </w:p>
    <w:p w14:paraId="2249F4FC" w14:textId="77777777" w:rsidR="00E25C6A" w:rsidRPr="000C0CC7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Informacijos apie </w:t>
      </w:r>
      <w:proofErr w:type="spellStart"/>
      <w:r w:rsidRPr="000C0CC7">
        <w:rPr>
          <w:rFonts w:ascii="Times New Roman" w:eastAsia="Times New Roman" w:hAnsi="Times New Roman" w:cs="Times New Roman"/>
          <w:bCs/>
          <w:lang w:val="lt-LT"/>
        </w:rPr>
        <w:t>benzidamino</w:t>
      </w:r>
      <w:proofErr w:type="spellEnd"/>
      <w:r w:rsidRPr="000C0CC7">
        <w:rPr>
          <w:rFonts w:ascii="Times New Roman" w:eastAsia="Times New Roman" w:hAnsi="Times New Roman" w:cs="Times New Roman"/>
          <w:bCs/>
          <w:lang w:val="lt-LT"/>
        </w:rPr>
        <w:t xml:space="preserve"> išsiskyrimą į gyvūnų pieną pakankamai nėra, todėl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TANTUM </w:t>
      </w:r>
      <w:r>
        <w:rPr>
          <w:rFonts w:ascii="Times New Roman" w:eastAsia="Times New Roman" w:hAnsi="Times New Roman" w:cs="Times New Roman"/>
          <w:lang w:val="lt-LT"/>
        </w:rPr>
        <w:t>VERDE forte</w:t>
      </w:r>
      <w:r w:rsidRPr="000C0CC7">
        <w:rPr>
          <w:rFonts w:ascii="Times New Roman" w:eastAsia="Times New Roman" w:hAnsi="Times New Roman" w:cs="Times New Roman"/>
          <w:lang w:val="lt-LT"/>
        </w:rPr>
        <w:t xml:space="preserve"> neturėtų būti vartojamas žindymo metu. </w:t>
      </w:r>
    </w:p>
    <w:p w14:paraId="0A48345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color w:val="0D0D0D"/>
          <w:szCs w:val="24"/>
          <w:lang w:val="lt-LT"/>
        </w:rPr>
      </w:pPr>
    </w:p>
    <w:p w14:paraId="0F0D1B25" w14:textId="77777777" w:rsidR="00E25C6A" w:rsidRPr="00177ADF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color w:val="0D0D0D"/>
          <w:szCs w:val="24"/>
          <w:u w:val="single"/>
          <w:lang w:val="lt-LT"/>
        </w:rPr>
      </w:pPr>
      <w:r w:rsidRPr="00177ADF">
        <w:rPr>
          <w:rFonts w:ascii="Times New Roman" w:eastAsia="Times New Roman" w:hAnsi="Times New Roman" w:cs="Times New Roman"/>
          <w:snapToGrid w:val="0"/>
          <w:color w:val="0D0D0D"/>
          <w:szCs w:val="20"/>
          <w:u w:val="single"/>
          <w:lang w:val="lt-LT"/>
        </w:rPr>
        <w:t>Vaisingumas</w:t>
      </w:r>
    </w:p>
    <w:p w14:paraId="04D701A2" w14:textId="77777777" w:rsidR="00E25C6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TANTUM VERDE forte </w:t>
      </w:r>
      <w:proofErr w:type="spellStart"/>
      <w:r>
        <w:rPr>
          <w:rFonts w:ascii="Times New Roman" w:eastAsia="Times New Roman" w:hAnsi="Times New Roman"/>
        </w:rPr>
        <w:t>poveikio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vaisingumui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neturi</w:t>
      </w:r>
      <w:proofErr w:type="spellEnd"/>
      <w:r>
        <w:rPr>
          <w:rFonts w:ascii="Times New Roman" w:eastAsia="Times New Roman" w:hAnsi="Times New Roman"/>
        </w:rPr>
        <w:t xml:space="preserve">. </w:t>
      </w:r>
    </w:p>
    <w:p w14:paraId="47665741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3C2E2351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Vairavimas ir mechanizmų valdymas</w:t>
      </w:r>
    </w:p>
    <w:p w14:paraId="510DB7F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TANTUM VERDE forte gebėjimo vairuoti ir valdyti mechanizmus neveikia.</w:t>
      </w:r>
    </w:p>
    <w:p w14:paraId="1656400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5E38EE9" w14:textId="77777777" w:rsidR="00E25C6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sudėtyje yra </w:t>
      </w:r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metilo </w:t>
      </w:r>
      <w:proofErr w:type="spellStart"/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>parahidroksibenzoato</w:t>
      </w:r>
      <w:proofErr w:type="spellEnd"/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(E218)</w:t>
      </w:r>
      <w:r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 w:eastAsia="x-none"/>
        </w:rPr>
        <w:t>makrogolglicerolio</w:t>
      </w:r>
      <w:proofErr w:type="spellEnd"/>
      <w:r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lang w:val="lt-LT" w:eastAsia="x-none"/>
        </w:rPr>
        <w:t>hidroksistearato</w:t>
      </w:r>
      <w:proofErr w:type="spellEnd"/>
      <w:r>
        <w:rPr>
          <w:rFonts w:ascii="Times New Roman" w:eastAsia="Times New Roman" w:hAnsi="Times New Roman" w:cs="Times New Roman"/>
          <w:b/>
          <w:bCs/>
          <w:lang w:val="lt-LT" w:eastAsia="x-none"/>
        </w:rPr>
        <w:t>, etanolio, natrio ir mėtų kvapo aromatinės medžiagos</w:t>
      </w:r>
      <w:r w:rsidRPr="006227FA">
        <w:rPr>
          <w:rFonts w:ascii="Times New Roman" w:eastAsia="Times New Roman" w:hAnsi="Times New Roman" w:cs="Times New Roman"/>
          <w:b/>
          <w:bCs/>
          <w:lang w:val="lt-LT" w:eastAsia="x-none"/>
        </w:rPr>
        <w:t>.</w:t>
      </w:r>
    </w:p>
    <w:p w14:paraId="05EE3ADE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val="lt-LT" w:eastAsia="x-none"/>
        </w:rPr>
      </w:pPr>
    </w:p>
    <w:p w14:paraId="1F550F4C" w14:textId="77777777" w:rsidR="00E25C6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Metilo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parahidroksibenzoatas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 (E218) g</w:t>
      </w:r>
      <w:r w:rsidRPr="006227FA">
        <w:rPr>
          <w:rFonts w:ascii="Times New Roman" w:eastAsia="Times New Roman" w:hAnsi="Times New Roman" w:cs="Times New Roman"/>
          <w:lang w:val="lt-LT" w:eastAsia="lt-LT"/>
        </w:rPr>
        <w:t>ali sukelti alerginių reakcijų, kurios gali būti uždelstos, ir išimtinais atvejais bronchų spazmą.</w:t>
      </w:r>
    </w:p>
    <w:p w14:paraId="1D389660" w14:textId="77777777" w:rsidR="00E25C6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 w:eastAsia="lt-LT"/>
        </w:rPr>
      </w:pPr>
    </w:p>
    <w:p w14:paraId="1EEDAA75" w14:textId="77777777" w:rsidR="00E25C6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lang w:val="lt-LT"/>
        </w:rPr>
      </w:pPr>
      <w:proofErr w:type="spellStart"/>
      <w:r w:rsidRPr="00D36347">
        <w:rPr>
          <w:rFonts w:ascii="Times New Roman" w:eastAsia="Times New Roman" w:hAnsi="Times New Roman" w:cs="Times New Roman"/>
          <w:bCs/>
          <w:lang w:val="lt-LT" w:eastAsia="x-none"/>
        </w:rPr>
        <w:t>Makrogolglicerolio</w:t>
      </w:r>
      <w:proofErr w:type="spellEnd"/>
      <w:r w:rsidRPr="00D36347">
        <w:rPr>
          <w:rFonts w:ascii="Times New Roman" w:eastAsia="Times New Roman" w:hAnsi="Times New Roman" w:cs="Times New Roman"/>
          <w:bCs/>
          <w:lang w:val="lt-LT" w:eastAsia="x-none"/>
        </w:rPr>
        <w:t xml:space="preserve"> </w:t>
      </w:r>
      <w:proofErr w:type="spellStart"/>
      <w:r w:rsidRPr="00D36347">
        <w:rPr>
          <w:rFonts w:ascii="Times New Roman" w:eastAsia="Times New Roman" w:hAnsi="Times New Roman" w:cs="Times New Roman"/>
          <w:bCs/>
          <w:lang w:val="lt-LT" w:eastAsia="x-none"/>
        </w:rPr>
        <w:t>hidroksiste</w:t>
      </w:r>
      <w:r>
        <w:rPr>
          <w:rFonts w:ascii="Times New Roman" w:eastAsia="Times New Roman" w:hAnsi="Times New Roman" w:cs="Times New Roman"/>
          <w:bCs/>
          <w:lang w:val="lt-LT" w:eastAsia="x-none"/>
        </w:rPr>
        <w:t>a</w:t>
      </w:r>
      <w:r w:rsidRPr="00D36347">
        <w:rPr>
          <w:rFonts w:ascii="Times New Roman" w:eastAsia="Times New Roman" w:hAnsi="Times New Roman" w:cs="Times New Roman"/>
          <w:bCs/>
          <w:lang w:val="lt-LT" w:eastAsia="x-none"/>
        </w:rPr>
        <w:t>ratas</w:t>
      </w:r>
      <w:proofErr w:type="spellEnd"/>
      <w:r>
        <w:rPr>
          <w:rFonts w:ascii="Times New Roman" w:eastAsia="Times New Roman" w:hAnsi="Times New Roman" w:cs="Times New Roman"/>
          <w:b/>
          <w:bCs/>
          <w:lang w:val="lt-LT" w:eastAsia="x-none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>g</w:t>
      </w:r>
      <w:r w:rsidRPr="006227FA">
        <w:rPr>
          <w:rFonts w:ascii="Times New Roman" w:eastAsia="Times New Roman" w:hAnsi="Times New Roman" w:cs="Times New Roman"/>
          <w:lang w:val="lt-LT"/>
        </w:rPr>
        <w:t>ali sukelti skrandžio sutrikimų ir viduriavimą.</w:t>
      </w:r>
    </w:p>
    <w:p w14:paraId="1EB10C38" w14:textId="77777777" w:rsidR="00E25C6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lang w:val="lt-LT"/>
        </w:rPr>
      </w:pPr>
    </w:p>
    <w:p w14:paraId="092E7F4A" w14:textId="77777777" w:rsidR="00E25C6A" w:rsidRPr="00D36347" w:rsidRDefault="00E25C6A" w:rsidP="00E25C6A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Kiekviename šio vaisto išpurškime </w:t>
      </w:r>
      <w:r w:rsidRPr="00D36347">
        <w:rPr>
          <w:sz w:val="22"/>
          <w:szCs w:val="22"/>
        </w:rPr>
        <w:t xml:space="preserve">yra 13,6 mg alkoholio (etanolio), kas atitinka 0,17 ml. </w:t>
      </w:r>
      <w:r>
        <w:rPr>
          <w:sz w:val="22"/>
          <w:szCs w:val="22"/>
        </w:rPr>
        <w:t>Toks</w:t>
      </w:r>
      <w:r w:rsidRPr="00712C17">
        <w:rPr>
          <w:sz w:val="22"/>
          <w:szCs w:val="22"/>
        </w:rPr>
        <w:t xml:space="preserve"> 0,17 ml esantis </w:t>
      </w:r>
      <w:r>
        <w:rPr>
          <w:sz w:val="22"/>
          <w:szCs w:val="22"/>
        </w:rPr>
        <w:t xml:space="preserve">alkoholio </w:t>
      </w:r>
      <w:r w:rsidRPr="00712C17">
        <w:rPr>
          <w:sz w:val="22"/>
          <w:szCs w:val="22"/>
        </w:rPr>
        <w:t xml:space="preserve">kiekis </w:t>
      </w:r>
      <w:r>
        <w:rPr>
          <w:sz w:val="22"/>
          <w:szCs w:val="22"/>
        </w:rPr>
        <w:t xml:space="preserve">atitinka </w:t>
      </w:r>
      <w:r w:rsidRPr="00712C17">
        <w:rPr>
          <w:sz w:val="22"/>
          <w:szCs w:val="22"/>
        </w:rPr>
        <w:t>0,34 ml alaus arba 0,14 ml vyno</w:t>
      </w:r>
      <w:r>
        <w:rPr>
          <w:sz w:val="22"/>
          <w:szCs w:val="22"/>
        </w:rPr>
        <w:t>.</w:t>
      </w:r>
    </w:p>
    <w:p w14:paraId="57D5DD2C" w14:textId="77777777" w:rsidR="00E25C6A" w:rsidRPr="00870BEE" w:rsidRDefault="00E25C6A" w:rsidP="00E25C6A">
      <w:pPr>
        <w:pStyle w:val="Default"/>
        <w:rPr>
          <w:sz w:val="22"/>
          <w:szCs w:val="22"/>
        </w:rPr>
      </w:pPr>
      <w:r w:rsidRPr="00870BEE">
        <w:rPr>
          <w:sz w:val="22"/>
          <w:szCs w:val="22"/>
        </w:rPr>
        <w:t>Mažas alkoholio kiekis, esantis šio vaisto sudėtyje, nesukelia pastebimo poveikio.</w:t>
      </w:r>
    </w:p>
    <w:p w14:paraId="4292D007" w14:textId="77777777" w:rsidR="00E25C6A" w:rsidRPr="00D36347" w:rsidRDefault="00E25C6A" w:rsidP="00E25C6A">
      <w:pPr>
        <w:pStyle w:val="Default"/>
        <w:rPr>
          <w:sz w:val="22"/>
          <w:szCs w:val="22"/>
        </w:rPr>
      </w:pPr>
    </w:p>
    <w:p w14:paraId="15437DBA" w14:textId="77777777" w:rsidR="00E25C6A" w:rsidRDefault="00E25C6A" w:rsidP="00E25C6A">
      <w:pPr>
        <w:pStyle w:val="Default"/>
        <w:rPr>
          <w:sz w:val="22"/>
          <w:szCs w:val="22"/>
        </w:rPr>
      </w:pPr>
      <w:r w:rsidRPr="00EB2C35">
        <w:rPr>
          <w:sz w:val="22"/>
          <w:szCs w:val="22"/>
        </w:rPr>
        <w:t xml:space="preserve">Šio </w:t>
      </w:r>
      <w:r>
        <w:rPr>
          <w:sz w:val="22"/>
          <w:szCs w:val="22"/>
        </w:rPr>
        <w:t>vaisto</w:t>
      </w:r>
      <w:r w:rsidRPr="00EB2C35">
        <w:rPr>
          <w:sz w:val="22"/>
          <w:szCs w:val="22"/>
        </w:rPr>
        <w:t xml:space="preserve"> </w:t>
      </w:r>
      <w:r>
        <w:rPr>
          <w:sz w:val="22"/>
          <w:szCs w:val="22"/>
        </w:rPr>
        <w:t>vienoje</w:t>
      </w:r>
      <w:r w:rsidRPr="00EB2C35">
        <w:rPr>
          <w:sz w:val="22"/>
          <w:szCs w:val="22"/>
        </w:rPr>
        <w:t xml:space="preserve"> dozėje yra mažiau kaip 1 </w:t>
      </w:r>
      <w:proofErr w:type="spellStart"/>
      <w:r w:rsidRPr="00EB2C35">
        <w:rPr>
          <w:sz w:val="22"/>
          <w:szCs w:val="22"/>
        </w:rPr>
        <w:t>mmol</w:t>
      </w:r>
      <w:proofErr w:type="spellEnd"/>
      <w:r w:rsidRPr="00EB2C35">
        <w:rPr>
          <w:sz w:val="22"/>
          <w:szCs w:val="22"/>
        </w:rPr>
        <w:t xml:space="preserve"> (23 mg) natrio, </w:t>
      </w:r>
      <w:proofErr w:type="spellStart"/>
      <w:r w:rsidRPr="00EB2C35">
        <w:rPr>
          <w:sz w:val="22"/>
          <w:szCs w:val="22"/>
        </w:rPr>
        <w:t>t.y</w:t>
      </w:r>
      <w:proofErr w:type="spellEnd"/>
      <w:r w:rsidRPr="00EB2C35">
        <w:rPr>
          <w:sz w:val="22"/>
          <w:szCs w:val="22"/>
        </w:rPr>
        <w:t>. jis beveik neturi reikšmės.</w:t>
      </w:r>
    </w:p>
    <w:p w14:paraId="593B1299" w14:textId="77777777" w:rsidR="00E25C6A" w:rsidRDefault="00E25C6A" w:rsidP="00E25C6A">
      <w:pPr>
        <w:pStyle w:val="Default"/>
        <w:rPr>
          <w:sz w:val="22"/>
          <w:szCs w:val="22"/>
        </w:rPr>
      </w:pPr>
    </w:p>
    <w:p w14:paraId="4A45631B" w14:textId="77777777" w:rsidR="00E25C6A" w:rsidRPr="00AF3EF3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/>
        </w:rPr>
      </w:pPr>
      <w:proofErr w:type="spellStart"/>
      <w:r>
        <w:rPr>
          <w:rFonts w:ascii="Times New Roman" w:hAnsi="Times New Roman" w:cs="Times New Roman"/>
          <w:bCs/>
        </w:rPr>
        <w:t>Mėtų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kvapo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aromatinės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medžiagos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sudėtyje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yra</w:t>
      </w:r>
      <w:proofErr w:type="spellEnd"/>
      <w:r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Pr="00D36347">
        <w:rPr>
          <w:rFonts w:ascii="Times New Roman" w:hAnsi="Times New Roman" w:cs="Times New Roman"/>
          <w:bCs/>
        </w:rPr>
        <w:t>benzilo</w:t>
      </w:r>
      <w:proofErr w:type="spellEnd"/>
      <w:r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Pr="00D36347">
        <w:rPr>
          <w:rFonts w:ascii="Times New Roman" w:hAnsi="Times New Roman" w:cs="Times New Roman"/>
          <w:bCs/>
        </w:rPr>
        <w:t>alkoholi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Pr="00D36347">
        <w:rPr>
          <w:rFonts w:ascii="Times New Roman" w:hAnsi="Times New Roman" w:cs="Times New Roman"/>
          <w:bCs/>
        </w:rPr>
        <w:t>citroneloli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>, d-</w:t>
      </w:r>
      <w:proofErr w:type="spellStart"/>
      <w:r w:rsidRPr="00D36347">
        <w:rPr>
          <w:rFonts w:ascii="Times New Roman" w:hAnsi="Times New Roman" w:cs="Times New Roman"/>
          <w:bCs/>
        </w:rPr>
        <w:t>limonen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Pr="00D36347">
        <w:rPr>
          <w:rFonts w:ascii="Times New Roman" w:hAnsi="Times New Roman" w:cs="Times New Roman"/>
          <w:bCs/>
        </w:rPr>
        <w:t>eugenoli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Pr="00D36347">
        <w:rPr>
          <w:rFonts w:ascii="Times New Roman" w:hAnsi="Times New Roman" w:cs="Times New Roman"/>
          <w:bCs/>
        </w:rPr>
        <w:t>geranioli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Pr="00D36347">
        <w:rPr>
          <w:rFonts w:ascii="Times New Roman" w:hAnsi="Times New Roman" w:cs="Times New Roman"/>
          <w:bCs/>
        </w:rPr>
        <w:t>ir</w:t>
      </w:r>
      <w:proofErr w:type="spellEnd"/>
      <w:r w:rsidRPr="00D36347">
        <w:rPr>
          <w:rFonts w:ascii="Times New Roman" w:hAnsi="Times New Roman" w:cs="Times New Roman"/>
          <w:bCs/>
        </w:rPr>
        <w:t xml:space="preserve"> </w:t>
      </w:r>
      <w:proofErr w:type="spellStart"/>
      <w:r w:rsidRPr="00D36347">
        <w:rPr>
          <w:rFonts w:ascii="Times New Roman" w:hAnsi="Times New Roman" w:cs="Times New Roman"/>
          <w:bCs/>
        </w:rPr>
        <w:t>linaloli</w:t>
      </w:r>
      <w:r>
        <w:rPr>
          <w:rFonts w:ascii="Times New Roman" w:hAnsi="Times New Roman" w:cs="Times New Roman"/>
          <w:bCs/>
        </w:rPr>
        <w:t>o</w:t>
      </w:r>
      <w:proofErr w:type="spellEnd"/>
      <w:r w:rsidRPr="00D36347">
        <w:rPr>
          <w:rFonts w:ascii="Times New Roman" w:hAnsi="Times New Roman" w:cs="Times New Roman"/>
          <w:bCs/>
        </w:rPr>
        <w:t xml:space="preserve">, </w:t>
      </w:r>
      <w:proofErr w:type="spellStart"/>
      <w:r w:rsidRPr="00D36347">
        <w:rPr>
          <w:rFonts w:ascii="Times New Roman" w:hAnsi="Times New Roman" w:cs="Times New Roman"/>
          <w:bCs/>
        </w:rPr>
        <w:t>kurie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 w:rsidRPr="00D36347">
        <w:rPr>
          <w:rFonts w:ascii="Times New Roman" w:hAnsi="Times New Roman" w:cs="Times New Roman"/>
        </w:rPr>
        <w:t>gali</w:t>
      </w:r>
      <w:proofErr w:type="spellEnd"/>
      <w:r w:rsidRPr="00D36347">
        <w:rPr>
          <w:rFonts w:ascii="Times New Roman" w:hAnsi="Times New Roman" w:cs="Times New Roman"/>
        </w:rPr>
        <w:t xml:space="preserve"> </w:t>
      </w:r>
      <w:proofErr w:type="spellStart"/>
      <w:r w:rsidRPr="00D36347">
        <w:rPr>
          <w:rFonts w:ascii="Times New Roman" w:hAnsi="Times New Roman" w:cs="Times New Roman"/>
        </w:rPr>
        <w:t>sukelti</w:t>
      </w:r>
      <w:proofErr w:type="spellEnd"/>
      <w:r w:rsidRPr="00D36347">
        <w:rPr>
          <w:rFonts w:ascii="Times New Roman" w:hAnsi="Times New Roman" w:cs="Times New Roman"/>
        </w:rPr>
        <w:t xml:space="preserve"> </w:t>
      </w:r>
      <w:proofErr w:type="spellStart"/>
      <w:r w:rsidRPr="00D36347">
        <w:rPr>
          <w:rFonts w:ascii="Times New Roman" w:hAnsi="Times New Roman" w:cs="Times New Roman"/>
        </w:rPr>
        <w:t>alerginių</w:t>
      </w:r>
      <w:proofErr w:type="spellEnd"/>
      <w:r w:rsidRPr="00D36347">
        <w:rPr>
          <w:rFonts w:ascii="Times New Roman" w:hAnsi="Times New Roman" w:cs="Times New Roman"/>
        </w:rPr>
        <w:t xml:space="preserve"> </w:t>
      </w:r>
      <w:proofErr w:type="spellStart"/>
      <w:r w:rsidRPr="00D36347">
        <w:rPr>
          <w:rFonts w:ascii="Times New Roman" w:hAnsi="Times New Roman" w:cs="Times New Roman"/>
        </w:rPr>
        <w:t>reakcijų</w:t>
      </w:r>
      <w:proofErr w:type="spellEnd"/>
      <w:r w:rsidRPr="00D36347">
        <w:rPr>
          <w:rFonts w:ascii="Times New Roman" w:hAnsi="Times New Roman" w:cs="Times New Roman"/>
        </w:rPr>
        <w:t>.</w:t>
      </w:r>
    </w:p>
    <w:p w14:paraId="62F7CF62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7DBD4DE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7822290" w14:textId="77777777" w:rsidR="00E25C6A" w:rsidRPr="006227FA" w:rsidRDefault="00E25C6A" w:rsidP="00E25C6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3.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Kaip vartoti TANTUM VERDE forte</w:t>
      </w:r>
    </w:p>
    <w:p w14:paraId="4674C6F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90153E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Visada vartokite šį vaistą tiksliai kaip aprašyta šiame lapelyje arba kaip nurodė gydytojas arba vaistininkas.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abejojate, kreipkitės į gydytoją arba vaistininką.</w:t>
      </w:r>
    </w:p>
    <w:p w14:paraId="12FCE03F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0A33991F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TANTUM VERDE forte reikia purkšti 2 – 6 kartus per parą. Rekomenduojamos dozės viršyti negalima.</w:t>
      </w:r>
    </w:p>
    <w:p w14:paraId="7885F1A1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593B69B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lastRenderedPageBreak/>
        <w:t>Suaugusiems pacientams</w:t>
      </w:r>
    </w:p>
    <w:p w14:paraId="4ED141BB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purkšti po 2 - 4 išpurškimus 2 – 6 kartus per parą.</w:t>
      </w:r>
    </w:p>
    <w:p w14:paraId="4CD3929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BAB03F7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Senyviems pacientams</w:t>
      </w:r>
    </w:p>
    <w:p w14:paraId="1AC41085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Senyviems pacientams specialiai dozavimą keisti nebūtina.</w:t>
      </w:r>
    </w:p>
    <w:p w14:paraId="6EBA8678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4C5A6B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Pacientams, kurių inkstų ar kepenų funkcija sutrikusi</w:t>
      </w:r>
    </w:p>
    <w:p w14:paraId="2D99EE3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Pacientams, kurių inkstų ar kepenų funkcija nepakankama, specialiai dozavimą keisti nebūtina.</w:t>
      </w:r>
    </w:p>
    <w:p w14:paraId="05554446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3328E80E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Vartojimas vaikams ir paaugliams</w:t>
      </w:r>
    </w:p>
    <w:p w14:paraId="435B2486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Vyresniems negu 12 metų paaugliams</w:t>
      </w:r>
    </w:p>
    <w:p w14:paraId="1A94EE71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purkšti po 2 – 4 išpurškimus 2 – 6 kartus per parą.</w:t>
      </w:r>
    </w:p>
    <w:p w14:paraId="5E8C1CA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033DD9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6 – 12 metų vaikams</w:t>
      </w:r>
    </w:p>
    <w:p w14:paraId="20C939D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Reikia purkšti po 2 išpurškimus 2 – 6 kartus per parą.</w:t>
      </w:r>
    </w:p>
    <w:p w14:paraId="62BD6963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1780EB36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u w:val="single"/>
          <w:lang w:val="lt-LT"/>
        </w:rPr>
      </w:pPr>
      <w:r w:rsidRPr="006227FA">
        <w:rPr>
          <w:rFonts w:ascii="Times New Roman" w:eastAsia="Times New Roman" w:hAnsi="Times New Roman" w:cs="Times New Roman"/>
          <w:u w:val="single"/>
          <w:lang w:val="lt-LT"/>
        </w:rPr>
        <w:t>3 – 5 metų vaikams</w:t>
      </w:r>
    </w:p>
    <w:p w14:paraId="47CC2DD7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Reikia purkšti po 1 išpurškimą 8 kg kūno svorio (daugiausia 2 išpurškimus) 2 – 6 kartus per parą. </w:t>
      </w:r>
    </w:p>
    <w:p w14:paraId="7F0765EC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9DE0040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i/>
          <w:szCs w:val="20"/>
          <w:lang w:val="lt-LT"/>
        </w:rPr>
        <w:t>Gydymo trukmė</w:t>
      </w:r>
    </w:p>
    <w:p w14:paraId="34BC7848" w14:textId="77777777" w:rsidR="00E25C6A" w:rsidRPr="006227FA" w:rsidRDefault="00E25C6A" w:rsidP="00E25C6A">
      <w:pPr>
        <w:tabs>
          <w:tab w:val="left" w:pos="0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Jeigu po 7 gydymo parų uždegimo simptomai išsilaiko arba pasunkėjo, kreipkitės į gydytoją.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Radiomukozitas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paprastai gydomas 3 – 5 savaites. </w:t>
      </w:r>
    </w:p>
    <w:p w14:paraId="3D5F449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b/>
          <w:lang w:val="lt-LT"/>
        </w:rPr>
      </w:pPr>
    </w:p>
    <w:p w14:paraId="0AD80871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b/>
          <w:lang w:val="lt-LT"/>
        </w:rPr>
      </w:pPr>
      <w:r w:rsidRPr="006227FA">
        <w:rPr>
          <w:rFonts w:ascii="Times New Roman" w:eastAsia="Times New Roman" w:hAnsi="Times New Roman" w:cs="Times New Roman"/>
          <w:b/>
          <w:lang w:val="lt-LT"/>
        </w:rPr>
        <w:t>Purškimo instrukcija</w:t>
      </w:r>
    </w:p>
    <w:p w14:paraId="1CC87C84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525DA6E6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  <w:r w:rsidRPr="006227FA">
        <w:rPr>
          <w:rFonts w:ascii="Times New Roman" w:eastAsia="Times New Roman" w:hAnsi="Times New Roman" w:cs="Times New Roman"/>
          <w:lang w:val="lt-LT"/>
        </w:rPr>
        <w:tab/>
      </w:r>
    </w:p>
    <w:p w14:paraId="6DD8A250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0"/>
          <w:lang w:val="lt-LT" w:eastAsia="lt-LT"/>
        </w:rPr>
        <w:drawing>
          <wp:anchor distT="0" distB="0" distL="114300" distR="114300" simplePos="0" relativeHeight="251659264" behindDoc="1" locked="0" layoutInCell="1" allowOverlap="1" wp14:anchorId="4D4D0275" wp14:editId="1E64317A">
            <wp:simplePos x="0" y="0"/>
            <wp:positionH relativeFrom="column">
              <wp:posOffset>0</wp:posOffset>
            </wp:positionH>
            <wp:positionV relativeFrom="paragraph">
              <wp:posOffset>-195580</wp:posOffset>
            </wp:positionV>
            <wp:extent cx="923925" cy="1320165"/>
            <wp:effectExtent l="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7D252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34AC65F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54D1585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E374C6F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2A7C3310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79BFC6A6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D34C657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1. Pakelkite purškalo pompos vamzdelį.</w:t>
      </w:r>
    </w:p>
    <w:p w14:paraId="7CA9D12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2. Įkiškite vamzdelį į burną ir stipriai pirštu paspaudę pažymėtą vietą, purkškite vaisto tiesiai ant uždegimo apimtos burnos vietos arba į ryklę, jeigu gydote jos pažeidimą.</w:t>
      </w:r>
    </w:p>
    <w:p w14:paraId="19C9549B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BBF81F8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Ką daryti pavartojus per didelę TANTUM VERDE forte dozę</w:t>
      </w:r>
    </w:p>
    <w:p w14:paraId="5CE9E1C1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Lokaliai vartojamo </w:t>
      </w:r>
      <w:proofErr w:type="spellStart"/>
      <w:r w:rsidRPr="006227FA">
        <w:rPr>
          <w:rFonts w:ascii="Times New Roman" w:eastAsia="Times New Roman" w:hAnsi="Times New Roman" w:cs="Times New Roman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lang w:val="lt-LT"/>
        </w:rPr>
        <w:t xml:space="preserve"> perdozavimo atvejų nebuvo. </w:t>
      </w:r>
    </w:p>
    <w:p w14:paraId="1386A11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Atsitiktinai nurijus nedaug TANTUM VERDE forte, žalingo poveikio nepasireiškia. </w:t>
      </w:r>
    </w:p>
    <w:p w14:paraId="2EDE2853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pavartojote ar netyčia nurijote dideles vaisto dozes, nedelsiant kreipkitės patarimo į savo gydytoją ar vaistininką.</w:t>
      </w:r>
    </w:p>
    <w:p w14:paraId="1BBDCA8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B0E5BE0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Pamiršus pavartoti TANTUM VERDE forte</w:t>
      </w:r>
    </w:p>
    <w:p w14:paraId="50E7963D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Negalima vartoti dvigubos dozės norint kompensuoti praleistą dozę.</w:t>
      </w:r>
    </w:p>
    <w:p w14:paraId="5F7B7148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1DB5D02B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Nustojus vartoti TANTUM VERDE forte</w:t>
      </w:r>
    </w:p>
    <w:p w14:paraId="62FFC282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Vaisto vartojimą nutraukus anksčiau negu rekomenduojama, numatomas poveikis gali nepasireikšti.</w:t>
      </w:r>
    </w:p>
    <w:p w14:paraId="08D5DA9C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kiltų daugiau klausimų dėl šio vaisto vartojimo, kreipkitės į gydytoją arba vaistininką.</w:t>
      </w:r>
    </w:p>
    <w:p w14:paraId="0F303CEF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lang w:val="lt-LT"/>
        </w:rPr>
      </w:pPr>
    </w:p>
    <w:p w14:paraId="489E6162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7F0ACE28" w14:textId="77777777" w:rsidR="00E25C6A" w:rsidRPr="006227FA" w:rsidRDefault="00E25C6A" w:rsidP="00E25C6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4.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Galimas šalutinis poveikis</w:t>
      </w:r>
    </w:p>
    <w:p w14:paraId="5C93C167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B6F6369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Šis vaistas, kaip ir visi kiti, gali sukelti šalutinį poveikį, nors jis pasireiškia ne visiems žmonėms.</w:t>
      </w:r>
    </w:p>
    <w:p w14:paraId="6B45888F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6594D8D9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Tuoj pat po burnos gleivinės purškalo pavartojimo gali būti juntamas burnos ir ryklės tirpulys. Šis poveikis priklauso nuo vaisto veikimo būdo ir greitai išnyksta. </w:t>
      </w:r>
    </w:p>
    <w:p w14:paraId="1A4FE343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05CE406F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Buvo pastebėtas šis šalutinis poveikis, kurio dažnis nežinomas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lang w:val="lt-LT"/>
        </w:rPr>
        <w:t>(negali būti apskaičiuotas pagal turimus duomenis):</w:t>
      </w:r>
    </w:p>
    <w:p w14:paraId="548A938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burnos deginimo pojūtis, burnos džiūvimas;</w:t>
      </w:r>
    </w:p>
    <w:p w14:paraId="634B6F06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vėmimas arba pykinimas;</w:t>
      </w:r>
    </w:p>
    <w:p w14:paraId="5FEF1B1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sym w:font="Symbol" w:char="F0B7"/>
      </w:r>
      <w:r w:rsidRPr="006227FA">
        <w:rPr>
          <w:rFonts w:ascii="Times New Roman" w:eastAsia="Times New Roman" w:hAnsi="Times New Roman" w:cs="Times New Roman"/>
          <w:lang w:val="lt-LT"/>
        </w:rPr>
        <w:tab/>
        <w:t>alerginės reakcijos (padidėjęs jautrumas);</w:t>
      </w:r>
    </w:p>
    <w:p w14:paraId="72EFEA85" w14:textId="77777777" w:rsidR="00E25C6A" w:rsidRPr="006227FA" w:rsidRDefault="00E25C6A" w:rsidP="00E25C6A">
      <w:pPr>
        <w:numPr>
          <w:ilvl w:val="0"/>
          <w:numId w:val="3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sunki alerginė reakcija (anafilaksinis šokas), kurios požymiai gali būti pasunkėjęs kvėpavimas, krūtinės skausmas arba spaudimo krūtinėje jutimas ir (arba) svaigulio / apalpimo pojūtis, stiprus odos niežėjimas arba iškilę odos gumbai, veido, lūpų, liežuvio ir (arba) gerklės patinimas, galintys kelti pavojų gyvybei.</w:t>
      </w:r>
    </w:p>
    <w:p w14:paraId="7904D8F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4A0558A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Jeigu kuris nors iš minėtų šalutinių poveikių pasireiškia, vaisto vartojimą nutraukite ir kreipkitės į gydytoją.</w:t>
      </w:r>
    </w:p>
    <w:p w14:paraId="4A279494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</w:p>
    <w:p w14:paraId="6B7BC04A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/>
          <w:noProof/>
          <w:snapToGrid w:val="0"/>
          <w:szCs w:val="24"/>
          <w:lang w:val="lt-LT"/>
        </w:rPr>
        <w:t>Pranešimas apie šalutinį poveikį</w:t>
      </w:r>
    </w:p>
    <w:p w14:paraId="058CBE83" w14:textId="77777777" w:rsidR="00E25C6A" w:rsidRPr="00012113" w:rsidRDefault="00E25C6A" w:rsidP="00E25C6A">
      <w:pPr>
        <w:ind w:right="-448"/>
        <w:rPr>
          <w:rFonts w:ascii="Times New Roman" w:hAnsi="Times New Roman" w:cs="Times New Roman"/>
          <w:noProof/>
        </w:rPr>
      </w:pPr>
      <w:r w:rsidRPr="00C53D99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pasireiškė šalutinis poveikis, įskaitant šiame lapelyje nenurodytą, pasakykite gydytojui</w:t>
      </w:r>
      <w:r w:rsidRPr="00012113">
        <w:rPr>
          <w:rFonts w:ascii="Times New Roman" w:hAnsi="Times New Roman" w:cs="Times New Roman"/>
          <w:noProof/>
        </w:rPr>
        <w:t xml:space="preserve"> arba vaistininkui. </w:t>
      </w:r>
      <w:r w:rsidRPr="00012113">
        <w:rPr>
          <w:rFonts w:ascii="Times New Roman" w:hAnsi="Times New Roman" w:cs="Times New Roman"/>
          <w:snapToGrid w:val="0"/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6" w:history="1">
        <w:r w:rsidRPr="00012113">
          <w:rPr>
            <w:rStyle w:val="Hipersaitas"/>
            <w:rFonts w:ascii="Times New Roman" w:hAnsi="Times New Roman"/>
            <w:snapToGrid w:val="0"/>
            <w:lang w:val="lt-LT"/>
          </w:rPr>
          <w:t>https://vapris.vvkt.lt/vvkt-web/public/nrv</w:t>
        </w:r>
      </w:hyperlink>
      <w:r w:rsidRPr="00012113">
        <w:rPr>
          <w:rFonts w:ascii="Times New Roman" w:hAnsi="Times New Roman" w:cs="Times New Roman"/>
          <w:snapToGrid w:val="0"/>
          <w:lang w:val="lt-LT"/>
        </w:rPr>
        <w:t xml:space="preserve"> arba užpildant Paciento pranešimo apie įtariamą nepageidaujamą reakciją (ĮNR) formą, kuri skelbiama </w:t>
      </w:r>
      <w:hyperlink r:id="rId7" w:history="1">
        <w:r w:rsidRPr="00012113">
          <w:rPr>
            <w:rStyle w:val="Hipersaitas"/>
            <w:rFonts w:ascii="Times New Roman" w:hAnsi="Times New Roman"/>
            <w:snapToGrid w:val="0"/>
            <w:lang w:val="lt-LT"/>
          </w:rPr>
          <w:t>https://www.vvkt.lt/index.php?4004286486</w:t>
        </w:r>
      </w:hyperlink>
      <w:r w:rsidRPr="00012113">
        <w:rPr>
          <w:rFonts w:ascii="Times New Roman" w:hAnsi="Times New Roman" w:cs="Times New Roman"/>
          <w:snapToGrid w:val="0"/>
          <w:lang w:val="lt-LT"/>
        </w:rPr>
        <w:t xml:space="preserve">, ir atsiunčiant elektroniniu paštu (adresu </w:t>
      </w:r>
      <w:hyperlink r:id="rId8" w:history="1">
        <w:r w:rsidRPr="00012113">
          <w:rPr>
            <w:rStyle w:val="Hipersaitas"/>
            <w:rFonts w:ascii="Times New Roman" w:hAnsi="Times New Roman"/>
            <w:snapToGrid w:val="0"/>
            <w:lang w:val="lt-LT"/>
          </w:rPr>
          <w:t>NepageidaujamaR@vvkt.lt</w:t>
        </w:r>
      </w:hyperlink>
      <w:r w:rsidRPr="00012113">
        <w:rPr>
          <w:rFonts w:ascii="Times New Roman" w:hAnsi="Times New Roman" w:cs="Times New Roman"/>
          <w:snapToGrid w:val="0"/>
          <w:lang w:val="lt-LT"/>
        </w:rPr>
        <w:t>) arba nemokamu telefonu 8 800 73 568</w:t>
      </w:r>
      <w:r w:rsidRPr="00012113">
        <w:rPr>
          <w:rFonts w:ascii="Times New Roman" w:hAnsi="Times New Roman" w:cs="Times New Roman"/>
          <w:lang w:val="lt-LT"/>
        </w:rPr>
        <w:t xml:space="preserve">. </w:t>
      </w:r>
      <w:r w:rsidRPr="00012113">
        <w:rPr>
          <w:rFonts w:ascii="Times New Roman" w:hAnsi="Times New Roman" w:cs="Times New Roman"/>
          <w:snapToGrid w:val="0"/>
          <w:lang w:val="lt-LT"/>
        </w:rPr>
        <w:t>Pranešdami apie šalutinį poveikį galite mums padėti gauti daugiau informacijos apie šio vaisto saugumą.</w:t>
      </w:r>
    </w:p>
    <w:p w14:paraId="03756329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4969DEE1" w14:textId="77777777" w:rsidR="00E25C6A" w:rsidRPr="006227FA" w:rsidRDefault="00E25C6A" w:rsidP="00E25C6A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7D984669" w14:textId="77777777" w:rsidR="00E25C6A" w:rsidRPr="006227FA" w:rsidRDefault="00E25C6A" w:rsidP="00E25C6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5.</w:t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ab/>
        <w:t>Kaip laikyti TANTUM VERDE forte</w:t>
      </w:r>
    </w:p>
    <w:p w14:paraId="55D220D4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79425A6D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Šį vaistą laikykite vaikams nepastebimoje ir nepasiekiamoje vietoje.</w:t>
      </w:r>
    </w:p>
    <w:p w14:paraId="0193F9A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4DCCDBD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lang w:val="lt-LT"/>
        </w:rPr>
        <w:t>Šiam vaistui specialių laikymo sąlygų nereikia.</w:t>
      </w:r>
    </w:p>
    <w:p w14:paraId="45CD983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Pradėto vartoti vaisto tinkamumo laikas yra 6 mėn.</w:t>
      </w:r>
    </w:p>
    <w:p w14:paraId="7B563390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50503E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Ant kartono dėžutės ir buteliuko etiketėje po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„Tinka iki“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nurodytam tinkamumo laikui pasibaigus, šio vaisto vartoti negalima.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Vaistas tinkamas vartoti iki paskutinės nurodyto mėnesio dienos.</w:t>
      </w:r>
    </w:p>
    <w:p w14:paraId="1C73F15D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6FF4FF5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Vaistų negalima išmesti į kanalizaciją arba su buitinėmis atliekomis.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Kaip išmesti nereikalingus vaistus, klauskite vaistininko.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Šios priemonės padės apsaugoti aplinką.</w:t>
      </w:r>
    </w:p>
    <w:p w14:paraId="2BAB354F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6228E03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552F0AAE" w14:textId="77777777" w:rsidR="00E25C6A" w:rsidRPr="006227FA" w:rsidRDefault="00E25C6A" w:rsidP="00E25C6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6.</w:t>
      </w:r>
      <w:r w:rsidRPr="006227FA">
        <w:rPr>
          <w:rFonts w:ascii="Times New Roman" w:eastAsia="Times New Roman" w:hAnsi="Times New Roman" w:cs="Times New Roman"/>
          <w:bCs/>
          <w:snapToGrid w:val="0"/>
          <w:szCs w:val="26"/>
          <w:lang w:val="lt-LT" w:eastAsia="x-none"/>
        </w:rPr>
        <w:tab/>
      </w:r>
      <w:r w:rsidRPr="006227FA">
        <w:rPr>
          <w:rFonts w:ascii="Times New Roman" w:eastAsia="Times New Roman" w:hAnsi="Times New Roman" w:cs="Times New Roman"/>
          <w:b/>
          <w:bCs/>
          <w:snapToGrid w:val="0"/>
          <w:szCs w:val="26"/>
          <w:lang w:val="lt-LT" w:eastAsia="x-none"/>
        </w:rPr>
        <w:t>Pakuotės turinys ir kita informacija</w:t>
      </w:r>
    </w:p>
    <w:p w14:paraId="08B9877C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508F6475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 xml:space="preserve">TANTUM VERDE forte sudėtis </w:t>
      </w:r>
    </w:p>
    <w:p w14:paraId="280DB020" w14:textId="77777777" w:rsidR="00E25C6A" w:rsidRPr="006227FA" w:rsidRDefault="00E25C6A" w:rsidP="00E25C6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 xml:space="preserve">Veiklioji medžiaga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yra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hidrochloridas. 1 ml burnos gleivinės purškalo yra 3 mg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hidrochlorido.</w:t>
      </w:r>
      <w:r w:rsidRPr="006227FA">
        <w:rPr>
          <w:rFonts w:ascii="Times New Roman" w:eastAsia="Times New Roman" w:hAnsi="Times New Roman" w:cs="Times New Roman"/>
          <w:lang w:val="lt-LT"/>
        </w:rPr>
        <w:t xml:space="preserve"> Purškalo pompą paspaudus vieną kartą</w:t>
      </w:r>
      <w:r w:rsidRPr="006227FA" w:rsidDel="00407C3D">
        <w:rPr>
          <w:rFonts w:ascii="Times New Roman" w:eastAsia="Times New Roman" w:hAnsi="Times New Roman" w:cs="Times New Roman"/>
          <w:snapToGrid w:val="0"/>
          <w:sz w:val="16"/>
          <w:szCs w:val="16"/>
          <w:lang w:val="lt-LT"/>
        </w:rPr>
        <w:t xml:space="preserve"> 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išpurškiama 0,17 ml tirpalo, kuriame yra 0,51 mg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benzidamino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hidrochlorido. 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 xml:space="preserve"> </w:t>
      </w:r>
    </w:p>
    <w:p w14:paraId="302A8A60" w14:textId="77777777" w:rsidR="00E25C6A" w:rsidRPr="006227FA" w:rsidRDefault="00E25C6A" w:rsidP="00E25C6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Pagalbinės medžiagos yra</w:t>
      </w:r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sacharino natrio druska, 96% etanolis,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glicerolis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makrogolglicerolio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hidroksistearatas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, metilo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lt-LT"/>
        </w:rPr>
        <w:t>parahidroksibenzoatas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lt-LT"/>
        </w:rPr>
        <w:t xml:space="preserve"> (E218), mėtų skonio kvapioji medžiaga ir išgrynintas vanduo.</w:t>
      </w:r>
      <w:r w:rsidRPr="006227FA">
        <w:rPr>
          <w:rFonts w:ascii="Times New Roman" w:eastAsia="Times New Roman" w:hAnsi="Times New Roman" w:cs="Times New Roman"/>
          <w:i/>
          <w:snapToGrid w:val="0"/>
          <w:color w:val="008000"/>
          <w:szCs w:val="24"/>
          <w:lang w:val="lt-LT"/>
        </w:rPr>
        <w:t xml:space="preserve"> </w:t>
      </w:r>
    </w:p>
    <w:p w14:paraId="6B0B5B0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2DB08A7E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TANTUM VERDE forte išvaizda ir kiekis pakuotėje</w:t>
      </w:r>
    </w:p>
    <w:p w14:paraId="68BDC0FD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 xml:space="preserve">Burnos gleivinės purškalas yra skaidrus, bespalvis, mėtų kvapo tirpalas. </w:t>
      </w:r>
    </w:p>
    <w:p w14:paraId="52A1931C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</w:p>
    <w:p w14:paraId="1B9573E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i/>
          <w:lang w:val="lt-LT"/>
        </w:rPr>
      </w:pPr>
      <w:r w:rsidRPr="006227FA">
        <w:rPr>
          <w:rFonts w:ascii="Times New Roman" w:eastAsia="Times New Roman" w:hAnsi="Times New Roman" w:cs="Times New Roman"/>
          <w:i/>
          <w:lang w:val="lt-LT"/>
        </w:rPr>
        <w:t>Pakuotės dydis</w:t>
      </w:r>
    </w:p>
    <w:p w14:paraId="4F8C8A36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lastRenderedPageBreak/>
        <w:t xml:space="preserve">Kartoninėje dėžutėje yra vienas 15 ml polietileninis buteliukas su purškalo pompa. </w:t>
      </w:r>
    </w:p>
    <w:p w14:paraId="5D9F07EA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38FF9518" w14:textId="77777777" w:rsidR="00E25C6A" w:rsidRPr="006227FA" w:rsidRDefault="00E25C6A" w:rsidP="00E25C6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</w:pPr>
      <w:r w:rsidRPr="006227FA">
        <w:rPr>
          <w:rFonts w:ascii="Times New Roman" w:eastAsia="Times New Roman" w:hAnsi="Times New Roman" w:cs="Times New Roman"/>
          <w:b/>
          <w:bCs/>
          <w:snapToGrid w:val="0"/>
          <w:szCs w:val="28"/>
          <w:lang w:val="lt-LT" w:eastAsia="x-none"/>
        </w:rPr>
        <w:t>Registruotojas ir gamintojas</w:t>
      </w:r>
    </w:p>
    <w:p w14:paraId="40078193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7B02C5A8" w14:textId="77777777" w:rsidR="00E25C6A" w:rsidRPr="00CC0BE6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u w:val="single"/>
          <w:lang w:val="lt-LT"/>
        </w:rPr>
      </w:pPr>
      <w:r w:rsidRPr="00CC0BE6">
        <w:rPr>
          <w:rFonts w:ascii="Times New Roman" w:eastAsia="Times New Roman" w:hAnsi="Times New Roman" w:cs="Times New Roman"/>
          <w:snapToGrid w:val="0"/>
          <w:szCs w:val="20"/>
          <w:u w:val="single"/>
          <w:lang w:val="lt-LT"/>
        </w:rPr>
        <w:t>Registruotojas</w:t>
      </w:r>
    </w:p>
    <w:p w14:paraId="3465B565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r w:rsidRPr="006227FA">
        <w:rPr>
          <w:rFonts w:ascii="Times New Roman" w:eastAsia="Times New Roman" w:hAnsi="Times New Roman" w:cs="Times New Roman"/>
          <w:snapToGrid w:val="0"/>
          <w:lang w:val="en-GB"/>
        </w:rPr>
        <w:t>Angelini Pharma Österreich GmbH</w:t>
      </w:r>
    </w:p>
    <w:p w14:paraId="3CECA4CE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Brigittenauer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Lände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50-54</w:t>
      </w:r>
    </w:p>
    <w:p w14:paraId="5D7B46C1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r w:rsidRPr="006227FA">
        <w:rPr>
          <w:rFonts w:ascii="Times New Roman" w:eastAsia="Times New Roman" w:hAnsi="Times New Roman" w:cs="Times New Roman"/>
          <w:snapToGrid w:val="0"/>
          <w:lang w:val="en-GB"/>
        </w:rPr>
        <w:t>1200 Viena</w:t>
      </w:r>
    </w:p>
    <w:p w14:paraId="5D5644BC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napToGrid w:val="0"/>
          <w:lang w:val="en-GB"/>
        </w:rPr>
      </w:pPr>
      <w:proofErr w:type="spellStart"/>
      <w:r w:rsidRPr="006227FA">
        <w:rPr>
          <w:rFonts w:ascii="Times New Roman" w:eastAsia="Times New Roman" w:hAnsi="Times New Roman" w:cs="Times New Roman"/>
          <w:snapToGrid w:val="0"/>
          <w:lang w:val="en-GB"/>
        </w:rPr>
        <w:t>Austrija</w:t>
      </w:r>
      <w:proofErr w:type="spellEnd"/>
      <w:r w:rsidRPr="006227FA">
        <w:rPr>
          <w:rFonts w:ascii="Times New Roman" w:eastAsia="Times New Roman" w:hAnsi="Times New Roman" w:cs="Times New Roman"/>
          <w:snapToGrid w:val="0"/>
          <w:lang w:val="en-GB"/>
        </w:rPr>
        <w:t xml:space="preserve"> </w:t>
      </w:r>
    </w:p>
    <w:p w14:paraId="5197CC58" w14:textId="77777777" w:rsidR="00E25C6A" w:rsidRPr="006227FA" w:rsidRDefault="00E25C6A" w:rsidP="00E25C6A">
      <w:pPr>
        <w:spacing w:after="0" w:line="240" w:lineRule="auto"/>
        <w:rPr>
          <w:rFonts w:ascii="Times New Roman" w:eastAsia="Times New Roman" w:hAnsi="Times New Roman" w:cs="Times New Roman"/>
          <w:szCs w:val="20"/>
          <w:u w:val="single"/>
          <w:lang w:val="lt-LT"/>
        </w:rPr>
      </w:pPr>
    </w:p>
    <w:p w14:paraId="478722F6" w14:textId="77777777" w:rsidR="00E25C6A" w:rsidRPr="00CC0BE6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u w:val="single"/>
          <w:lang w:val="lt-LT"/>
        </w:rPr>
      </w:pPr>
      <w:r w:rsidRPr="00CC0BE6">
        <w:rPr>
          <w:rFonts w:ascii="Times New Roman" w:eastAsia="Times New Roman" w:hAnsi="Times New Roman" w:cs="Times New Roman"/>
          <w:szCs w:val="20"/>
          <w:u w:val="single"/>
          <w:lang w:val="lt-LT"/>
        </w:rPr>
        <w:t>Gamintojas</w:t>
      </w:r>
    </w:p>
    <w:p w14:paraId="26550CCA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A.C.R.A.F.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S.p.A</w:t>
      </w:r>
      <w:proofErr w:type="spellEnd"/>
    </w:p>
    <w:p w14:paraId="27D8578F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Via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Vecchia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del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Pinocchio</w:t>
      </w:r>
      <w:proofErr w:type="spellEnd"/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 22</w:t>
      </w:r>
    </w:p>
    <w:p w14:paraId="31A3C8F0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 xml:space="preserve">60131 </w:t>
      </w:r>
      <w:proofErr w:type="spellStart"/>
      <w:r w:rsidRPr="006227FA">
        <w:rPr>
          <w:rFonts w:ascii="Times New Roman" w:eastAsia="Times New Roman" w:hAnsi="Times New Roman" w:cs="Times New Roman"/>
          <w:szCs w:val="20"/>
          <w:lang w:val="lt-LT"/>
        </w:rPr>
        <w:t>Ancona</w:t>
      </w:r>
      <w:proofErr w:type="spellEnd"/>
    </w:p>
    <w:p w14:paraId="73607DAB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szCs w:val="20"/>
          <w:lang w:val="lt-LT"/>
        </w:rPr>
        <w:t>Italija</w:t>
      </w:r>
    </w:p>
    <w:p w14:paraId="57C20B32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</w:p>
    <w:p w14:paraId="4A346397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  <w:t>Jeigu apie šį vaistą norite sužinoti daugiau, kreipkitės į vietinį registruotojo atstovą:</w:t>
      </w:r>
    </w:p>
    <w:p w14:paraId="56DD7D4F" w14:textId="77777777" w:rsidR="00E25C6A" w:rsidRPr="006227FA" w:rsidRDefault="00E25C6A" w:rsidP="00E25C6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  <w:lang w:val="lt-LT"/>
        </w:rPr>
      </w:pPr>
    </w:p>
    <w:p w14:paraId="0A1D174B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UAB "MRA”</w:t>
      </w:r>
    </w:p>
    <w:p w14:paraId="191358B0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Žirnių 26, LT – 02120 Vilnius</w:t>
      </w:r>
    </w:p>
    <w:p w14:paraId="163E1382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lang w:val="lt-LT"/>
        </w:rPr>
      </w:pPr>
      <w:r w:rsidRPr="006227FA">
        <w:rPr>
          <w:rFonts w:ascii="Times New Roman" w:eastAsia="Times New Roman" w:hAnsi="Times New Roman" w:cs="Times New Roman"/>
          <w:lang w:val="lt-LT"/>
        </w:rPr>
        <w:t>Lietuva</w:t>
      </w:r>
    </w:p>
    <w:p w14:paraId="667F2536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bCs/>
          <w:lang w:val="lt-LT"/>
        </w:rPr>
        <w:t>Tel.: +370 5 2649010</w:t>
      </w:r>
    </w:p>
    <w:p w14:paraId="36C3714B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60" w:lineRule="exact"/>
        <w:ind w:right="-2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02DE1A93" w14:textId="77777777" w:rsidR="00E25C6A" w:rsidRPr="006227FA" w:rsidRDefault="00E25C6A" w:rsidP="00E25C6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</w:pPr>
      <w:r w:rsidRPr="006227FA"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 xml:space="preserve">Šis pakuotės lapelis paskutinį kartą peržiūrėtas </w:t>
      </w:r>
      <w:r>
        <w:rPr>
          <w:rFonts w:ascii="Times New Roman" w:eastAsia="Times New Roman" w:hAnsi="Times New Roman"/>
          <w:b/>
          <w:lang w:val="lt-LT"/>
        </w:rPr>
        <w:t>2025-09-29</w:t>
      </w:r>
      <w:r>
        <w:rPr>
          <w:rFonts w:ascii="Times New Roman" w:eastAsia="Times New Roman" w:hAnsi="Times New Roman" w:cs="Times New Roman"/>
          <w:b/>
          <w:snapToGrid w:val="0"/>
          <w:szCs w:val="20"/>
          <w:lang w:val="lt-LT"/>
        </w:rPr>
        <w:t>.</w:t>
      </w:r>
    </w:p>
    <w:p w14:paraId="1DAE2217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4"/>
          <w:lang w:val="lt-LT"/>
        </w:rPr>
      </w:pPr>
    </w:p>
    <w:p w14:paraId="3C5E9809" w14:textId="77777777" w:rsidR="00E25C6A" w:rsidRPr="006227FA" w:rsidRDefault="00E25C6A" w:rsidP="00E25C6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  <w:lang w:val="lt-LT"/>
        </w:rPr>
      </w:pP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Išsami informacija apie šį </w:t>
      </w:r>
      <w:r w:rsidRPr="006227FA">
        <w:rPr>
          <w:rFonts w:ascii="Times New Roman" w:eastAsia="Times New Roman" w:hAnsi="Times New Roman" w:cs="Times New Roman"/>
          <w:snapToGrid w:val="0"/>
          <w:szCs w:val="24"/>
          <w:lang w:val="lt-LT"/>
        </w:rPr>
        <w:t>vaistą</w:t>
      </w:r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 xml:space="preserve"> pateikiama Valstybinės vaistų kontrolės tarnybos prie Lietuvos Respublikos sveikatos apsaugos ministerijos tinklalapyje</w:t>
      </w:r>
      <w:r w:rsidRPr="006227FA">
        <w:rPr>
          <w:rFonts w:ascii="Times New Roman" w:eastAsia="Times New Roman" w:hAnsi="Times New Roman" w:cs="Times New Roman"/>
          <w:i/>
          <w:snapToGrid w:val="0"/>
          <w:szCs w:val="24"/>
          <w:lang w:val="lt-LT"/>
        </w:rPr>
        <w:t xml:space="preserve"> </w:t>
      </w:r>
      <w:hyperlink r:id="rId9" w:history="1">
        <w:r w:rsidRPr="006227FA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  <w:lang w:val="lt-LT"/>
          </w:rPr>
          <w:t>http://www.vvkt.lt/</w:t>
        </w:r>
      </w:hyperlink>
      <w:r w:rsidRPr="006227FA">
        <w:rPr>
          <w:rFonts w:ascii="Times New Roman" w:eastAsia="Times New Roman" w:hAnsi="Times New Roman" w:cs="Times New Roman"/>
          <w:snapToGrid w:val="0"/>
          <w:szCs w:val="20"/>
          <w:lang w:val="lt-LT"/>
        </w:rPr>
        <w:t>.</w:t>
      </w:r>
    </w:p>
    <w:p w14:paraId="13FB6D49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2F9C3F18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82D50B1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1D7D4908" w14:textId="77777777" w:rsidR="00E25C6A" w:rsidRPr="006227FA" w:rsidRDefault="00E25C6A" w:rsidP="00E25C6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lt-LT"/>
        </w:rPr>
      </w:pPr>
    </w:p>
    <w:p w14:paraId="6A676A41" w14:textId="77777777" w:rsidR="00E25C6A" w:rsidRPr="006227FA" w:rsidRDefault="00E25C6A" w:rsidP="00E25C6A">
      <w:pPr>
        <w:rPr>
          <w:lang w:val="lt-LT"/>
        </w:rPr>
      </w:pPr>
    </w:p>
    <w:p w14:paraId="1C644237" w14:textId="77777777" w:rsidR="00E25C6A" w:rsidRPr="00FC72BD" w:rsidRDefault="00E25C6A" w:rsidP="00E25C6A">
      <w:pPr>
        <w:rPr>
          <w:lang w:val="lt-LT"/>
        </w:rPr>
      </w:pPr>
    </w:p>
    <w:p w14:paraId="16388C25" w14:textId="77777777" w:rsidR="00222FED" w:rsidRDefault="00222FED"/>
    <w:sectPr w:rsidR="00222FED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68332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 w16cid:durableId="87230757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 w16cid:durableId="1734545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C6A"/>
    <w:rsid w:val="00222FED"/>
    <w:rsid w:val="005320CF"/>
    <w:rsid w:val="005F173E"/>
    <w:rsid w:val="008B3AD4"/>
    <w:rsid w:val="00D047C4"/>
    <w:rsid w:val="00E25C6A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8E9B"/>
  <w15:chartTrackingRefBased/>
  <w15:docId w15:val="{5CB7894F-E0B5-492A-A887-E78EFFDDC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5C6A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E25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25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25C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25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25C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25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25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25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25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25C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25C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25C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25C6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25C6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25C6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25C6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25C6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25C6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25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25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25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25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25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25C6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25C6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25C6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25C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25C6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25C6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E25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character" w:styleId="Hipersaitas">
    <w:name w:val="Hyperlink"/>
    <w:rsid w:val="00E25C6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vkt.lt/index.php?40042864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apris.vvkt.lt/vvkt-web/public/nrv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6584</Words>
  <Characters>3753</Characters>
  <Application>Microsoft Office Word</Application>
  <DocSecurity>0</DocSecurity>
  <Lines>31</Lines>
  <Paragraphs>20</Paragraphs>
  <ScaleCrop>false</ScaleCrop>
  <Company/>
  <LinksUpToDate>false</LinksUpToDate>
  <CharactersWithSpaces>10317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2025-11-11T12:00:00Z</dcterms:created>
  <dcterms:modified xsi:type="dcterms:W3CDTF">2025-11-11T12:01:00Z</dcterms:modified>
</cp:coreProperties>
</file>