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02E" w:rsidRPr="009E5B1C" w:rsidRDefault="00FD402E" w:rsidP="00FD402E">
      <w:pPr>
        <w:pStyle w:val="Antrat2"/>
        <w:spacing w:before="0"/>
        <w:jc w:val="center"/>
        <w:rPr>
          <w:rFonts w:ascii="Times New Roman" w:hAnsi="Times New Roman" w:cs="Times New Roman"/>
          <w:bCs w:val="0"/>
          <w:color w:val="auto"/>
          <w:sz w:val="22"/>
          <w:szCs w:val="22"/>
        </w:rPr>
      </w:pPr>
      <w:bookmarkStart w:id="0" w:name="_Toc129243138"/>
      <w:bookmarkStart w:id="1" w:name="_Toc129243263"/>
      <w:r w:rsidRPr="009E5B1C">
        <w:rPr>
          <w:rFonts w:ascii="Times New Roman" w:hAnsi="Times New Roman" w:cs="Times New Roman"/>
          <w:color w:val="auto"/>
          <w:sz w:val="22"/>
          <w:szCs w:val="22"/>
        </w:rPr>
        <w:t>Pakuotės lapelis:</w:t>
      </w:r>
      <w:r w:rsidRPr="009E5B1C">
        <w:rPr>
          <w:rFonts w:ascii="Times New Roman" w:hAnsi="Times New Roman" w:cs="Times New Roman"/>
          <w:bCs w:val="0"/>
          <w:iCs/>
          <w:color w:val="auto"/>
          <w:sz w:val="22"/>
          <w:szCs w:val="22"/>
        </w:rPr>
        <w:t xml:space="preserve"> </w:t>
      </w:r>
      <w:r w:rsidRPr="009E5B1C">
        <w:rPr>
          <w:rFonts w:ascii="Times New Roman" w:hAnsi="Times New Roman" w:cs="Times New Roman"/>
          <w:color w:val="auto"/>
          <w:sz w:val="22"/>
          <w:szCs w:val="22"/>
        </w:rPr>
        <w:t>informacija vartotojui</w:t>
      </w:r>
    </w:p>
    <w:bookmarkEnd w:id="0"/>
    <w:bookmarkEnd w:id="1"/>
    <w:p w:rsidR="00FD402E" w:rsidRPr="009E5B1C" w:rsidRDefault="00FD402E" w:rsidP="00FD402E">
      <w:pPr>
        <w:pStyle w:val="BTEMEASMCA"/>
        <w:rPr>
          <w:color w:val="auto"/>
        </w:rPr>
      </w:pPr>
    </w:p>
    <w:p w:rsidR="00FD402E" w:rsidRPr="009E5B1C" w:rsidRDefault="00FD402E" w:rsidP="00FD402E">
      <w:pPr>
        <w:pStyle w:val="BTbeEMEASMCA"/>
        <w:rPr>
          <w:color w:val="auto"/>
        </w:rPr>
      </w:pPr>
      <w:r w:rsidRPr="009E5B1C">
        <w:rPr>
          <w:color w:val="auto"/>
        </w:rPr>
        <w:t>Mikanisal 20 mg/g šampūnas</w:t>
      </w:r>
    </w:p>
    <w:p w:rsidR="00FD402E" w:rsidRPr="009E5B1C" w:rsidRDefault="00FD402E" w:rsidP="00FD402E">
      <w:pPr>
        <w:pStyle w:val="BTeEMEASMCA"/>
        <w:rPr>
          <w:color w:val="auto"/>
        </w:rPr>
      </w:pPr>
      <w:r w:rsidRPr="009E5B1C">
        <w:rPr>
          <w:color w:val="auto"/>
        </w:rPr>
        <w:t>Ketokonazolas</w:t>
      </w:r>
    </w:p>
    <w:p w:rsidR="00FD402E" w:rsidRPr="009E5B1C" w:rsidRDefault="00FD402E" w:rsidP="00FD402E">
      <w:pPr>
        <w:pStyle w:val="BTEMEASMCA"/>
        <w:rPr>
          <w:color w:val="auto"/>
        </w:rPr>
      </w:pPr>
    </w:p>
    <w:p w:rsidR="00FD402E" w:rsidRPr="009E5B1C" w:rsidRDefault="00FD402E" w:rsidP="00FD402E">
      <w:pPr>
        <w:numPr>
          <w:ilvl w:val="12"/>
          <w:numId w:val="0"/>
        </w:numPr>
        <w:tabs>
          <w:tab w:val="left" w:pos="720"/>
        </w:tabs>
        <w:ind w:right="-2"/>
        <w:rPr>
          <w:b/>
          <w:sz w:val="22"/>
          <w:szCs w:val="22"/>
        </w:rPr>
      </w:pPr>
      <w:r w:rsidRPr="009E5B1C">
        <w:rPr>
          <w:b/>
          <w:noProof/>
          <w:sz w:val="22"/>
          <w:szCs w:val="22"/>
        </w:rPr>
        <w:t>Atidžiai perskaitykite visą šį lapelį, prieš pradėdami vartoti šį vaistą, nes jame pateikiama Jums svarbi informacija.</w:t>
      </w:r>
    </w:p>
    <w:p w:rsidR="00FD402E" w:rsidRPr="009E5B1C" w:rsidRDefault="00FD402E" w:rsidP="00FD402E">
      <w:pPr>
        <w:numPr>
          <w:ilvl w:val="12"/>
          <w:numId w:val="0"/>
        </w:numPr>
        <w:tabs>
          <w:tab w:val="left" w:pos="720"/>
        </w:tabs>
        <w:rPr>
          <w:sz w:val="22"/>
          <w:szCs w:val="22"/>
        </w:rPr>
      </w:pPr>
      <w:r w:rsidRPr="009E5B1C">
        <w:rPr>
          <w:noProof/>
          <w:sz w:val="22"/>
          <w:szCs w:val="22"/>
        </w:rPr>
        <w:t>Visada vartokite šį vaistą tiksliai kaip aprašyta šiame lapelyje arba kaip nurodė gydytojas arba vaistininkas.</w:t>
      </w:r>
    </w:p>
    <w:p w:rsidR="00FD402E" w:rsidRPr="009E5B1C" w:rsidRDefault="00FD402E" w:rsidP="00FD402E">
      <w:pPr>
        <w:numPr>
          <w:ilvl w:val="0"/>
          <w:numId w:val="2"/>
        </w:numPr>
        <w:tabs>
          <w:tab w:val="left" w:pos="567"/>
        </w:tabs>
        <w:snapToGrid w:val="0"/>
        <w:ind w:left="567" w:hanging="567"/>
        <w:rPr>
          <w:sz w:val="22"/>
          <w:szCs w:val="22"/>
        </w:rPr>
      </w:pPr>
      <w:r w:rsidRPr="009E5B1C">
        <w:rPr>
          <w:noProof/>
          <w:sz w:val="22"/>
          <w:szCs w:val="22"/>
        </w:rPr>
        <w:t>Neišmeskite šio lapelio, nes vėl gali prireikti jį perskaityti.</w:t>
      </w:r>
      <w:r w:rsidRPr="009E5B1C">
        <w:rPr>
          <w:sz w:val="22"/>
          <w:szCs w:val="22"/>
        </w:rPr>
        <w:t xml:space="preserve"> </w:t>
      </w:r>
    </w:p>
    <w:p w:rsidR="00FD402E" w:rsidRPr="009E5B1C" w:rsidRDefault="00FD402E" w:rsidP="00FD402E">
      <w:pPr>
        <w:numPr>
          <w:ilvl w:val="0"/>
          <w:numId w:val="2"/>
        </w:numPr>
        <w:tabs>
          <w:tab w:val="left" w:pos="567"/>
        </w:tabs>
        <w:snapToGrid w:val="0"/>
        <w:ind w:left="567" w:hanging="567"/>
        <w:rPr>
          <w:sz w:val="22"/>
          <w:szCs w:val="22"/>
        </w:rPr>
      </w:pPr>
      <w:r w:rsidRPr="009E5B1C">
        <w:rPr>
          <w:noProof/>
          <w:sz w:val="22"/>
          <w:szCs w:val="22"/>
        </w:rPr>
        <w:t>Jeigu norite sužinoti daugiau arba pasitarti, kreipkitės į vaistininką.</w:t>
      </w:r>
    </w:p>
    <w:p w:rsidR="00FD402E" w:rsidRPr="009E5B1C" w:rsidRDefault="00FD402E" w:rsidP="00FD402E">
      <w:pPr>
        <w:numPr>
          <w:ilvl w:val="0"/>
          <w:numId w:val="2"/>
        </w:numPr>
        <w:tabs>
          <w:tab w:val="left" w:pos="567"/>
        </w:tabs>
        <w:snapToGrid w:val="0"/>
        <w:ind w:left="567" w:hanging="567"/>
        <w:rPr>
          <w:sz w:val="22"/>
          <w:szCs w:val="22"/>
        </w:rPr>
      </w:pPr>
      <w:r w:rsidRPr="009E5B1C">
        <w:rPr>
          <w:noProof/>
          <w:sz w:val="22"/>
          <w:szCs w:val="22"/>
        </w:rPr>
        <w:t>Jeigu pasireiškė šalutinis poveikis (net jeigu jis šiame lapelyje nenurodytas), kreipkitės į gydytoją arba vaistininką. Žr. 4 skyrių.</w:t>
      </w:r>
    </w:p>
    <w:p w:rsidR="00FD402E" w:rsidRPr="009E5B1C" w:rsidRDefault="00FD402E" w:rsidP="00FD402E">
      <w:pPr>
        <w:numPr>
          <w:ilvl w:val="0"/>
          <w:numId w:val="2"/>
        </w:numPr>
        <w:tabs>
          <w:tab w:val="left" w:pos="567"/>
        </w:tabs>
        <w:snapToGrid w:val="0"/>
        <w:ind w:left="567" w:hanging="567"/>
        <w:rPr>
          <w:sz w:val="22"/>
          <w:szCs w:val="22"/>
        </w:rPr>
      </w:pPr>
      <w:r w:rsidRPr="009E5B1C">
        <w:rPr>
          <w:noProof/>
          <w:sz w:val="22"/>
          <w:szCs w:val="22"/>
        </w:rPr>
        <w:t>Jeigu per 28 dienas Jūsų savijauta nepagerėjo arba net pablogėjo, kreipkitės į gydytoją.</w:t>
      </w:r>
    </w:p>
    <w:p w:rsidR="00FD402E" w:rsidRPr="009E5B1C" w:rsidRDefault="00FD402E" w:rsidP="00FD402E">
      <w:pPr>
        <w:pStyle w:val="BTEMEASMCA"/>
        <w:rPr>
          <w:color w:val="auto"/>
        </w:rPr>
      </w:pPr>
    </w:p>
    <w:p w:rsidR="00FD402E" w:rsidRPr="009E5B1C" w:rsidRDefault="00FD402E" w:rsidP="00FD402E">
      <w:pPr>
        <w:pStyle w:val="Antrat4"/>
        <w:spacing w:before="0"/>
        <w:rPr>
          <w:rFonts w:ascii="Times New Roman" w:hAnsi="Times New Roman" w:cs="Times New Roman"/>
          <w:i w:val="0"/>
          <w:color w:val="auto"/>
          <w:sz w:val="22"/>
          <w:szCs w:val="22"/>
        </w:rPr>
      </w:pPr>
      <w:r w:rsidRPr="009E5B1C">
        <w:rPr>
          <w:rFonts w:ascii="Times New Roman" w:hAnsi="Times New Roman" w:cs="Times New Roman"/>
          <w:i w:val="0"/>
          <w:color w:val="auto"/>
          <w:sz w:val="22"/>
          <w:szCs w:val="22"/>
        </w:rPr>
        <w:t>Apie ką rašoma šiame lapelyje?</w:t>
      </w:r>
    </w:p>
    <w:p w:rsidR="00FD402E" w:rsidRPr="009E5B1C" w:rsidRDefault="00FD402E" w:rsidP="00FD402E">
      <w:pPr>
        <w:pStyle w:val="BTEMEASMCA"/>
        <w:rPr>
          <w:color w:val="auto"/>
        </w:rPr>
      </w:pPr>
    </w:p>
    <w:p w:rsidR="00FD402E" w:rsidRPr="009E5B1C" w:rsidRDefault="00FD402E" w:rsidP="00FD402E">
      <w:pPr>
        <w:pStyle w:val="BTEMEASMCA"/>
        <w:rPr>
          <w:color w:val="auto"/>
        </w:rPr>
      </w:pPr>
      <w:r w:rsidRPr="009E5B1C">
        <w:rPr>
          <w:color w:val="auto"/>
        </w:rPr>
        <w:t>1.</w:t>
      </w:r>
      <w:r w:rsidRPr="009E5B1C">
        <w:rPr>
          <w:color w:val="auto"/>
        </w:rPr>
        <w:tab/>
        <w:t>Kas yra Mikanisal ir kam jis vartojamas</w:t>
      </w:r>
    </w:p>
    <w:p w:rsidR="00FD402E" w:rsidRPr="009E5B1C" w:rsidRDefault="00FD402E" w:rsidP="00FD402E">
      <w:pPr>
        <w:pStyle w:val="BTEMEASMCA"/>
        <w:rPr>
          <w:color w:val="auto"/>
        </w:rPr>
      </w:pPr>
      <w:r w:rsidRPr="009E5B1C">
        <w:rPr>
          <w:color w:val="auto"/>
        </w:rPr>
        <w:t>2.</w:t>
      </w:r>
      <w:r w:rsidRPr="009E5B1C">
        <w:rPr>
          <w:color w:val="auto"/>
        </w:rPr>
        <w:tab/>
        <w:t xml:space="preserve">Kas žinotina prieš vartojant Mikanisal </w:t>
      </w:r>
    </w:p>
    <w:p w:rsidR="00FD402E" w:rsidRPr="009E5B1C" w:rsidRDefault="00FD402E" w:rsidP="00FD402E">
      <w:pPr>
        <w:pStyle w:val="BTEMEASMCA"/>
        <w:rPr>
          <w:color w:val="auto"/>
        </w:rPr>
      </w:pPr>
      <w:r w:rsidRPr="009E5B1C">
        <w:rPr>
          <w:color w:val="auto"/>
        </w:rPr>
        <w:t>3.</w:t>
      </w:r>
      <w:r w:rsidRPr="009E5B1C">
        <w:rPr>
          <w:color w:val="auto"/>
        </w:rPr>
        <w:tab/>
        <w:t>Kaip vartoti Mikanisal</w:t>
      </w:r>
    </w:p>
    <w:p w:rsidR="00FD402E" w:rsidRPr="009E5B1C" w:rsidRDefault="00FD402E" w:rsidP="00FD402E">
      <w:pPr>
        <w:pStyle w:val="BTEMEASMCA"/>
        <w:rPr>
          <w:color w:val="auto"/>
        </w:rPr>
      </w:pPr>
      <w:r w:rsidRPr="009E5B1C">
        <w:rPr>
          <w:color w:val="auto"/>
        </w:rPr>
        <w:t>4.</w:t>
      </w:r>
      <w:r w:rsidRPr="009E5B1C">
        <w:rPr>
          <w:color w:val="auto"/>
        </w:rPr>
        <w:tab/>
        <w:t>Galimas šalutinis poveikis</w:t>
      </w:r>
    </w:p>
    <w:p w:rsidR="00FD402E" w:rsidRPr="009E5B1C" w:rsidRDefault="00FD402E" w:rsidP="00FD402E">
      <w:pPr>
        <w:pStyle w:val="BTEMEASMCA"/>
        <w:rPr>
          <w:color w:val="auto"/>
        </w:rPr>
      </w:pPr>
      <w:r w:rsidRPr="009E5B1C">
        <w:rPr>
          <w:color w:val="auto"/>
        </w:rPr>
        <w:t>5.</w:t>
      </w:r>
      <w:r w:rsidRPr="009E5B1C">
        <w:rPr>
          <w:color w:val="auto"/>
        </w:rPr>
        <w:tab/>
        <w:t xml:space="preserve">Kaip laikyti Mikanisal </w:t>
      </w:r>
    </w:p>
    <w:p w:rsidR="00FD402E" w:rsidRPr="009E5B1C" w:rsidRDefault="00FD402E" w:rsidP="00FD402E">
      <w:pPr>
        <w:pStyle w:val="BTEMEASMCA"/>
        <w:rPr>
          <w:color w:val="auto"/>
        </w:rPr>
      </w:pPr>
      <w:r w:rsidRPr="009E5B1C">
        <w:rPr>
          <w:color w:val="auto"/>
        </w:rPr>
        <w:t>6.</w:t>
      </w:r>
      <w:r w:rsidRPr="009E5B1C">
        <w:rPr>
          <w:color w:val="auto"/>
        </w:rPr>
        <w:tab/>
        <w:t>Pakuotės turinys ir kita informacija</w:t>
      </w:r>
    </w:p>
    <w:p w:rsidR="00FD402E" w:rsidRPr="009E5B1C" w:rsidRDefault="00FD402E" w:rsidP="00FD402E">
      <w:pPr>
        <w:pStyle w:val="BTEMEASMCA"/>
        <w:rPr>
          <w:color w:val="auto"/>
        </w:rPr>
      </w:pPr>
    </w:p>
    <w:p w:rsidR="00FD402E" w:rsidRPr="009E5B1C" w:rsidRDefault="00FD402E" w:rsidP="00FD402E">
      <w:pPr>
        <w:pStyle w:val="BTEMEASMCA"/>
        <w:rPr>
          <w:color w:val="auto"/>
        </w:rPr>
      </w:pPr>
    </w:p>
    <w:p w:rsidR="00FD402E" w:rsidRPr="009E5B1C" w:rsidRDefault="00FD402E" w:rsidP="00FD402E">
      <w:pPr>
        <w:pStyle w:val="PI-1EMEASMCA"/>
      </w:pPr>
      <w:bookmarkStart w:id="2" w:name="_Toc129243139"/>
      <w:bookmarkStart w:id="3" w:name="_Toc129243264"/>
      <w:r w:rsidRPr="009E5B1C">
        <w:t>1.</w:t>
      </w:r>
      <w:r w:rsidRPr="009E5B1C">
        <w:tab/>
        <w:t xml:space="preserve">Kas yra </w:t>
      </w:r>
      <w:proofErr w:type="spellStart"/>
      <w:r w:rsidRPr="009E5B1C">
        <w:t>Mikanisal</w:t>
      </w:r>
      <w:proofErr w:type="spellEnd"/>
      <w:r w:rsidRPr="009E5B1C">
        <w:t xml:space="preserve"> ir kam jis vartojamas</w:t>
      </w:r>
      <w:bookmarkEnd w:id="2"/>
      <w:bookmarkEnd w:id="3"/>
    </w:p>
    <w:p w:rsidR="00FD402E" w:rsidRPr="009E5B1C" w:rsidRDefault="00FD402E" w:rsidP="00FD402E">
      <w:pPr>
        <w:pStyle w:val="BTEMEASMCA"/>
        <w:rPr>
          <w:color w:val="auto"/>
        </w:rPr>
      </w:pPr>
    </w:p>
    <w:p w:rsidR="00FD402E" w:rsidRPr="009E5B1C" w:rsidRDefault="00FD402E" w:rsidP="00FD402E">
      <w:pPr>
        <w:pStyle w:val="BTEMEASMCA"/>
      </w:pPr>
      <w:r w:rsidRPr="009E5B1C">
        <w:t>Mikanisal veiklioji medžiaga yra ketokonazolas. Ketokonazolas sukelia grybelius naikinantį poveikį, pažeisdamas grybelių ląstelės membraną. Vaistas veikia viršutiniame odos sluoksnyje ir neprasiskverbia į organizmą.</w:t>
      </w:r>
    </w:p>
    <w:p w:rsidR="00FD402E" w:rsidRPr="009E5B1C" w:rsidRDefault="00FD402E" w:rsidP="00FD402E">
      <w:pPr>
        <w:pStyle w:val="BTEMEASMCA"/>
      </w:pPr>
    </w:p>
    <w:p w:rsidR="00FD402E" w:rsidRPr="009E5B1C" w:rsidRDefault="00FD402E" w:rsidP="00FD402E">
      <w:pPr>
        <w:pStyle w:val="BTEMEASMCA"/>
      </w:pPr>
      <w:r w:rsidRPr="009E5B1C">
        <w:t>Mikanisal vartojamas riebalinio galvos odos uždegimo, vadinamojo seborėjinio dermatito, sukelto pleiskanojimo gydymui.</w:t>
      </w:r>
    </w:p>
    <w:p w:rsidR="00FD402E" w:rsidRPr="009E5B1C" w:rsidRDefault="00FD402E" w:rsidP="00FD402E">
      <w:pPr>
        <w:pStyle w:val="BTEMEASMCA"/>
      </w:pPr>
    </w:p>
    <w:p w:rsidR="00FD402E" w:rsidRPr="009E5B1C" w:rsidRDefault="00FD402E" w:rsidP="00FD402E">
      <w:pPr>
        <w:pStyle w:val="BTEMEASMCA"/>
      </w:pPr>
    </w:p>
    <w:p w:rsidR="00FD402E" w:rsidRPr="009E5B1C" w:rsidRDefault="00FD402E" w:rsidP="00FD402E">
      <w:pPr>
        <w:pStyle w:val="PI-1EMEASMCA"/>
        <w:ind w:left="0"/>
      </w:pPr>
      <w:bookmarkStart w:id="4" w:name="_Toc129243140"/>
      <w:bookmarkStart w:id="5" w:name="_Toc129243265"/>
      <w:r w:rsidRPr="009E5B1C">
        <w:tab/>
        <w:t>2.</w:t>
      </w:r>
      <w:r w:rsidRPr="009E5B1C">
        <w:tab/>
        <w:t xml:space="preserve">Kas žinotina prieš vartojant </w:t>
      </w:r>
      <w:proofErr w:type="spellStart"/>
      <w:r w:rsidRPr="009E5B1C">
        <w:t>Mikanisal</w:t>
      </w:r>
      <w:bookmarkEnd w:id="4"/>
      <w:bookmarkEnd w:id="5"/>
      <w:proofErr w:type="spellEnd"/>
    </w:p>
    <w:p w:rsidR="00FD402E" w:rsidRPr="009E5B1C" w:rsidRDefault="00FD402E" w:rsidP="00FD402E">
      <w:pPr>
        <w:pStyle w:val="BTEMEASMCA"/>
      </w:pPr>
    </w:p>
    <w:p w:rsidR="00FD402E" w:rsidRPr="009E5B1C" w:rsidRDefault="00FD402E" w:rsidP="00FD402E">
      <w:pPr>
        <w:pStyle w:val="PI-3EMEASMCA"/>
      </w:pPr>
      <w:proofErr w:type="spellStart"/>
      <w:r w:rsidRPr="009E5B1C">
        <w:t>Mikanisal</w:t>
      </w:r>
      <w:proofErr w:type="spellEnd"/>
      <w:r w:rsidRPr="009E5B1C">
        <w:t xml:space="preserve"> vartoti negalima:</w:t>
      </w:r>
    </w:p>
    <w:p w:rsidR="00FD402E" w:rsidRPr="009E5B1C" w:rsidRDefault="00FD402E" w:rsidP="00FD402E">
      <w:pPr>
        <w:pStyle w:val="BT-EMEASMCA"/>
      </w:pPr>
      <w:r w:rsidRPr="009E5B1C">
        <w:t>jeigu yra alergija ketokonazolui arba bet kuriai pagalbinei šio vaisto medžiagai (jos išvardytos 6 skyriuje).</w:t>
      </w:r>
    </w:p>
    <w:p w:rsidR="00FD402E" w:rsidRPr="009E5B1C" w:rsidRDefault="00FD402E" w:rsidP="00FD402E">
      <w:pPr>
        <w:pStyle w:val="BTEMEASMCA"/>
      </w:pPr>
    </w:p>
    <w:p w:rsidR="00FD402E" w:rsidRPr="009E5B1C" w:rsidRDefault="00FD402E" w:rsidP="00FD402E">
      <w:pPr>
        <w:pStyle w:val="Antrat4"/>
        <w:spacing w:before="0"/>
        <w:rPr>
          <w:rFonts w:ascii="Times New Roman" w:hAnsi="Times New Roman" w:cs="Times New Roman"/>
          <w:i w:val="0"/>
          <w:color w:val="auto"/>
          <w:sz w:val="22"/>
          <w:szCs w:val="22"/>
        </w:rPr>
      </w:pPr>
      <w:r w:rsidRPr="009E5B1C">
        <w:rPr>
          <w:rFonts w:ascii="Times New Roman" w:hAnsi="Times New Roman" w:cs="Times New Roman"/>
          <w:i w:val="0"/>
          <w:color w:val="auto"/>
          <w:sz w:val="22"/>
          <w:szCs w:val="22"/>
        </w:rPr>
        <w:t xml:space="preserve">Įspėjimai ir atsargumo priemonės </w:t>
      </w:r>
    </w:p>
    <w:p w:rsidR="00FD402E" w:rsidRPr="009E5B1C" w:rsidRDefault="00FD402E" w:rsidP="00FD402E">
      <w:pPr>
        <w:pStyle w:val="PI-2EMEASMCA"/>
        <w:tabs>
          <w:tab w:val="clear" w:pos="567"/>
          <w:tab w:val="left" w:pos="0"/>
        </w:tabs>
        <w:ind w:left="0"/>
        <w:rPr>
          <w:b w:val="0"/>
        </w:rPr>
      </w:pPr>
      <w:r w:rsidRPr="009E5B1C">
        <w:rPr>
          <w:b w:val="0"/>
        </w:rPr>
        <w:tab/>
        <w:t xml:space="preserve">Reikia vengti </w:t>
      </w:r>
      <w:proofErr w:type="spellStart"/>
      <w:r w:rsidRPr="009E5B1C">
        <w:rPr>
          <w:b w:val="0"/>
        </w:rPr>
        <w:t>Mikanisal</w:t>
      </w:r>
      <w:proofErr w:type="spellEnd"/>
      <w:r w:rsidRPr="009E5B1C">
        <w:rPr>
          <w:b w:val="0"/>
        </w:rPr>
        <w:t xml:space="preserve"> vartoti ant atvirų žaizdų ir į akis. Jeigu taip atsitinka, žaizdas ir akis reikia nedelsiant praplauti vandeniu.</w:t>
      </w:r>
    </w:p>
    <w:p w:rsidR="00FD402E" w:rsidRPr="009E5B1C" w:rsidRDefault="00FD402E" w:rsidP="00FD402E">
      <w:pPr>
        <w:pStyle w:val="BTEMEASMCA"/>
      </w:pPr>
      <w:r w:rsidRPr="009E5B1C">
        <w:t>Mikanisal yra vartojamas nuo seborėjinio odos uždegimo ir pleiskanojimo, kurie yra dažnai susiję su plaukų slinkimu. Nors tai atsitinka retai, tačiau plaukų slinkimą gali sukelti Mikanisal  vartojimas.</w:t>
      </w:r>
    </w:p>
    <w:p w:rsidR="00FD402E" w:rsidRPr="009E5B1C" w:rsidRDefault="00FD402E" w:rsidP="00FD402E">
      <w:pPr>
        <w:pStyle w:val="BTEMEASMCA"/>
      </w:pPr>
    </w:p>
    <w:p w:rsidR="00FD402E" w:rsidRPr="009E5B1C" w:rsidRDefault="00FD402E" w:rsidP="00FD402E">
      <w:pPr>
        <w:pStyle w:val="PI-3EMEASMCA"/>
      </w:pPr>
      <w:r w:rsidRPr="009E5B1C">
        <w:t>Vaikams ir paaugliams</w:t>
      </w:r>
    </w:p>
    <w:p w:rsidR="00FD402E" w:rsidRPr="009E5B1C" w:rsidRDefault="00FD402E" w:rsidP="00FD402E">
      <w:pPr>
        <w:pStyle w:val="BTEMEASMCA"/>
      </w:pPr>
      <w:r w:rsidRPr="009E5B1C">
        <w:t xml:space="preserve">Šio vaisto vaikams vartoti nerekomenduojama, kadangi </w:t>
      </w:r>
      <w:r w:rsidRPr="009E5B1C">
        <w:rPr>
          <w:rStyle w:val="hps"/>
          <w:color w:val="222222"/>
        </w:rPr>
        <w:t>nėra</w:t>
      </w:r>
      <w:r w:rsidRPr="009E5B1C">
        <w:t xml:space="preserve"> </w:t>
      </w:r>
      <w:r w:rsidRPr="009E5B1C">
        <w:rPr>
          <w:rStyle w:val="hps"/>
          <w:color w:val="222222"/>
        </w:rPr>
        <w:t>pakankamai duomenų</w:t>
      </w:r>
      <w:r w:rsidRPr="009E5B1C">
        <w:t xml:space="preserve"> </w:t>
      </w:r>
      <w:r w:rsidRPr="009E5B1C">
        <w:rPr>
          <w:rStyle w:val="hps"/>
          <w:color w:val="222222"/>
        </w:rPr>
        <w:t>apie</w:t>
      </w:r>
      <w:r w:rsidRPr="009E5B1C">
        <w:t xml:space="preserve"> </w:t>
      </w:r>
      <w:r w:rsidRPr="009E5B1C">
        <w:rPr>
          <w:rStyle w:val="hps"/>
          <w:color w:val="222222"/>
        </w:rPr>
        <w:t>jo vartojimą</w:t>
      </w:r>
      <w:r w:rsidRPr="009E5B1C">
        <w:t xml:space="preserve"> </w:t>
      </w:r>
      <w:r w:rsidRPr="009E5B1C">
        <w:rPr>
          <w:rStyle w:val="hps"/>
          <w:color w:val="222222"/>
        </w:rPr>
        <w:t>šioje amžiaus grupėje.</w:t>
      </w:r>
    </w:p>
    <w:p w:rsidR="00FD402E" w:rsidRPr="009E5B1C" w:rsidRDefault="00FD402E" w:rsidP="00FD402E">
      <w:pPr>
        <w:pStyle w:val="PI-3EMEASMCA"/>
      </w:pPr>
    </w:p>
    <w:p w:rsidR="00FD402E" w:rsidRPr="009E5B1C" w:rsidRDefault="00FD402E" w:rsidP="00FD402E">
      <w:pPr>
        <w:pStyle w:val="PI-3EMEASMCA"/>
      </w:pPr>
      <w:r w:rsidRPr="009E5B1C">
        <w:t xml:space="preserve">Kiti vaistai ir </w:t>
      </w:r>
      <w:proofErr w:type="spellStart"/>
      <w:r w:rsidRPr="009E5B1C">
        <w:t>Mikanisal</w:t>
      </w:r>
      <w:proofErr w:type="spellEnd"/>
    </w:p>
    <w:p w:rsidR="00FD402E" w:rsidRPr="009E5B1C" w:rsidRDefault="00FD402E" w:rsidP="00FD402E">
      <w:pPr>
        <w:numPr>
          <w:ilvl w:val="12"/>
          <w:numId w:val="0"/>
        </w:numPr>
        <w:tabs>
          <w:tab w:val="left" w:pos="720"/>
        </w:tabs>
        <w:ind w:right="-2"/>
        <w:rPr>
          <w:sz w:val="22"/>
          <w:szCs w:val="22"/>
        </w:rPr>
      </w:pPr>
      <w:r w:rsidRPr="009E5B1C">
        <w:rPr>
          <w:noProof/>
          <w:sz w:val="22"/>
          <w:szCs w:val="22"/>
        </w:rPr>
        <w:t>Jeigu vartojate ar neseniai vartojote kitų vaistų arba dėl to nesate tikri, apie tai pasakykite gydytojui arba vaistininkui.</w:t>
      </w:r>
    </w:p>
    <w:p w:rsidR="00FD402E" w:rsidRPr="009E5B1C" w:rsidRDefault="00FD402E" w:rsidP="00FD402E">
      <w:pPr>
        <w:tabs>
          <w:tab w:val="left" w:pos="0"/>
          <w:tab w:val="left" w:pos="851"/>
        </w:tabs>
        <w:rPr>
          <w:sz w:val="22"/>
          <w:szCs w:val="22"/>
        </w:rPr>
      </w:pPr>
      <w:r w:rsidRPr="009E5B1C">
        <w:rPr>
          <w:sz w:val="22"/>
          <w:szCs w:val="22"/>
        </w:rPr>
        <w:lastRenderedPageBreak/>
        <w:t xml:space="preserve">Duomenų, kad </w:t>
      </w:r>
      <w:proofErr w:type="spellStart"/>
      <w:r w:rsidRPr="009E5B1C">
        <w:rPr>
          <w:sz w:val="22"/>
          <w:szCs w:val="22"/>
        </w:rPr>
        <w:t>ketokonazolo</w:t>
      </w:r>
      <w:proofErr w:type="spellEnd"/>
      <w:r w:rsidRPr="009E5B1C">
        <w:rPr>
          <w:sz w:val="22"/>
          <w:szCs w:val="22"/>
        </w:rPr>
        <w:t xml:space="preserve"> vietinis vartojimas darytų poveikį kitų vaistų veiksmingumui, nėra.</w:t>
      </w:r>
    </w:p>
    <w:p w:rsidR="00FD402E" w:rsidRPr="009E5B1C" w:rsidRDefault="00FD402E" w:rsidP="00FD402E">
      <w:pPr>
        <w:pStyle w:val="BTEMEASMCA"/>
      </w:pPr>
      <w:r w:rsidRPr="009E5B1C">
        <w:t xml:space="preserve">Odos sudirgimo simptomai gali atsirasti, kai šampūnas yra vartojamas tuoj pat po ilgalaikio gydymo vietinio poveikio kortikosteroidais. Siekiant to išvengti, rekomenduojama per 2-3 savaites palaipsniui nutraukti gydymą. Mikanisal gali būti vartojamas po 2 savaičių, baigus gydymą vietiniais kortikosteroidais. </w:t>
      </w:r>
    </w:p>
    <w:p w:rsidR="00FD402E" w:rsidRPr="009E5B1C" w:rsidRDefault="00FD402E" w:rsidP="00FD402E">
      <w:pPr>
        <w:tabs>
          <w:tab w:val="left" w:pos="0"/>
          <w:tab w:val="left" w:pos="851"/>
        </w:tabs>
        <w:rPr>
          <w:sz w:val="22"/>
          <w:szCs w:val="22"/>
        </w:rPr>
      </w:pPr>
    </w:p>
    <w:p w:rsidR="00FD402E" w:rsidRPr="009E5B1C" w:rsidRDefault="00FD402E" w:rsidP="00FD402E">
      <w:pPr>
        <w:pStyle w:val="PI-3EMEASMCA"/>
      </w:pPr>
      <w:r w:rsidRPr="009E5B1C">
        <w:t>Nėštumas, žindymo laikotarpis ir vaisingumas</w:t>
      </w:r>
    </w:p>
    <w:p w:rsidR="00FD402E" w:rsidRPr="009E5B1C" w:rsidRDefault="00FD402E" w:rsidP="00FD402E">
      <w:pPr>
        <w:numPr>
          <w:ilvl w:val="12"/>
          <w:numId w:val="0"/>
        </w:numPr>
        <w:tabs>
          <w:tab w:val="left" w:pos="720"/>
        </w:tabs>
        <w:rPr>
          <w:sz w:val="22"/>
          <w:szCs w:val="22"/>
        </w:rPr>
      </w:pPr>
      <w:r w:rsidRPr="009E5B1C">
        <w:rPr>
          <w:noProof/>
          <w:sz w:val="22"/>
          <w:szCs w:val="22"/>
        </w:rPr>
        <w:t>Jeigu esate nėščia, žindote kūdikį, manote, kad galbūt esate nėščia, arba planuojate pastoti, tai prieš vartodama šį vaistą, pasitarkite su gydytoju arba vaistininku.</w:t>
      </w:r>
      <w:r w:rsidRPr="009E5B1C">
        <w:rPr>
          <w:sz w:val="22"/>
          <w:szCs w:val="22"/>
        </w:rPr>
        <w:t xml:space="preserve"> </w:t>
      </w:r>
    </w:p>
    <w:p w:rsidR="00FD402E" w:rsidRPr="009E5B1C" w:rsidRDefault="00FD402E" w:rsidP="00FD402E">
      <w:pPr>
        <w:pStyle w:val="Pagrindinistekstas"/>
        <w:spacing w:after="0"/>
        <w:rPr>
          <w:szCs w:val="22"/>
        </w:rPr>
      </w:pPr>
      <w:r w:rsidRPr="009E5B1C">
        <w:rPr>
          <w:szCs w:val="22"/>
        </w:rPr>
        <w:t xml:space="preserve">Kadangi lokaliai pavartojus </w:t>
      </w:r>
      <w:proofErr w:type="spellStart"/>
      <w:r w:rsidRPr="009E5B1C">
        <w:rPr>
          <w:szCs w:val="22"/>
        </w:rPr>
        <w:t>ketokonazolo</w:t>
      </w:r>
      <w:proofErr w:type="spellEnd"/>
      <w:r w:rsidRPr="009E5B1C">
        <w:rPr>
          <w:szCs w:val="22"/>
        </w:rPr>
        <w:t xml:space="preserve">, </w:t>
      </w:r>
      <w:proofErr w:type="spellStart"/>
      <w:r w:rsidRPr="009E5B1C">
        <w:rPr>
          <w:szCs w:val="22"/>
        </w:rPr>
        <w:t>Mikanisal</w:t>
      </w:r>
      <w:proofErr w:type="spellEnd"/>
      <w:r w:rsidRPr="009E5B1C">
        <w:rPr>
          <w:szCs w:val="22"/>
        </w:rPr>
        <w:t xml:space="preserve"> veikliosios medžiagos, kraujyje jo nerandama, nėštumo bei žindymo laikotarpiu vartoti galima.</w:t>
      </w:r>
    </w:p>
    <w:p w:rsidR="00FD402E" w:rsidRPr="009E5B1C" w:rsidRDefault="00FD402E" w:rsidP="00FD402E">
      <w:pPr>
        <w:pStyle w:val="PI-3EMEASMCA"/>
      </w:pPr>
    </w:p>
    <w:p w:rsidR="00FD402E" w:rsidRPr="009E5B1C" w:rsidRDefault="00FD402E" w:rsidP="00FD402E">
      <w:pPr>
        <w:pStyle w:val="PI-3EMEASMCA"/>
      </w:pPr>
      <w:r w:rsidRPr="009E5B1C">
        <w:t>Vairavimas ir mechanizmų valdymas</w:t>
      </w:r>
    </w:p>
    <w:p w:rsidR="00FD402E" w:rsidRPr="009E5B1C" w:rsidRDefault="00FD402E" w:rsidP="00FD402E">
      <w:pPr>
        <w:pStyle w:val="BTEMEASMCA"/>
      </w:pPr>
      <w:r w:rsidRPr="009E5B1C">
        <w:t>Mikanisal gebėjimo vairuoti ir valdyti mechanizmus neveikia arba veikia nereikšmingai.</w:t>
      </w:r>
    </w:p>
    <w:p w:rsidR="00FD402E" w:rsidRPr="009E5B1C" w:rsidRDefault="00FD402E" w:rsidP="00FD402E">
      <w:pPr>
        <w:pStyle w:val="BTEMEASMCA"/>
      </w:pPr>
    </w:p>
    <w:p w:rsidR="00FD402E" w:rsidRPr="009E5B1C" w:rsidRDefault="00FD402E" w:rsidP="00FD402E">
      <w:pPr>
        <w:pStyle w:val="BTEMEASMCA"/>
      </w:pPr>
    </w:p>
    <w:p w:rsidR="00FD402E" w:rsidRPr="009E5B1C" w:rsidRDefault="00FD402E" w:rsidP="00FD402E">
      <w:pPr>
        <w:pStyle w:val="PI-1EMEASMCA"/>
      </w:pPr>
      <w:bookmarkStart w:id="6" w:name="_Toc129243141"/>
      <w:bookmarkStart w:id="7" w:name="_Toc129243266"/>
      <w:r w:rsidRPr="009E5B1C">
        <w:t>3.</w:t>
      </w:r>
      <w:r w:rsidRPr="009E5B1C">
        <w:tab/>
        <w:t xml:space="preserve">Kaip vartoti </w:t>
      </w:r>
      <w:proofErr w:type="spellStart"/>
      <w:r w:rsidRPr="009E5B1C">
        <w:t>Mikanisal</w:t>
      </w:r>
      <w:bookmarkEnd w:id="6"/>
      <w:bookmarkEnd w:id="7"/>
      <w:proofErr w:type="spellEnd"/>
    </w:p>
    <w:p w:rsidR="00FD402E" w:rsidRPr="009E5B1C" w:rsidRDefault="00FD402E" w:rsidP="00FD402E">
      <w:pPr>
        <w:pStyle w:val="PI-1EMEASMCA"/>
      </w:pPr>
    </w:p>
    <w:p w:rsidR="00FD402E" w:rsidRPr="009E5B1C" w:rsidRDefault="00FD402E" w:rsidP="00FD402E">
      <w:pPr>
        <w:numPr>
          <w:ilvl w:val="12"/>
          <w:numId w:val="0"/>
        </w:numPr>
        <w:tabs>
          <w:tab w:val="left" w:pos="720"/>
        </w:tabs>
        <w:ind w:right="-2"/>
        <w:rPr>
          <w:sz w:val="22"/>
          <w:szCs w:val="22"/>
        </w:rPr>
      </w:pPr>
      <w:r w:rsidRPr="009E5B1C">
        <w:rPr>
          <w:noProof/>
          <w:sz w:val="22"/>
          <w:szCs w:val="22"/>
        </w:rPr>
        <w:t>Visada vartokite šį vaistą tiksliai kaip nurodė gydytojas arba vaistininkas.</w:t>
      </w:r>
      <w:r w:rsidRPr="009E5B1C">
        <w:rPr>
          <w:sz w:val="22"/>
          <w:szCs w:val="22"/>
        </w:rPr>
        <w:t xml:space="preserve"> </w:t>
      </w:r>
      <w:r w:rsidRPr="009E5B1C">
        <w:rPr>
          <w:noProof/>
          <w:sz w:val="22"/>
          <w:szCs w:val="22"/>
        </w:rPr>
        <w:t>Jeigu abejojate, kreipkitės į  gydytoją arba vaistininką.</w:t>
      </w:r>
      <w:r w:rsidRPr="009E5B1C">
        <w:rPr>
          <w:sz w:val="22"/>
          <w:szCs w:val="22"/>
        </w:rPr>
        <w:t xml:space="preserve"> </w:t>
      </w:r>
    </w:p>
    <w:p w:rsidR="00FD402E" w:rsidRPr="009E5B1C" w:rsidRDefault="00FD402E" w:rsidP="00FD402E">
      <w:pPr>
        <w:pStyle w:val="BTEMEASMCA"/>
      </w:pPr>
    </w:p>
    <w:p w:rsidR="00FD402E" w:rsidRPr="009E5B1C" w:rsidRDefault="00FD402E" w:rsidP="00FD402E">
      <w:pPr>
        <w:pStyle w:val="BTEMEASMCA"/>
      </w:pPr>
      <w:r w:rsidRPr="009E5B1C">
        <w:t xml:space="preserve">Vartojimas suaugusiesiems </w:t>
      </w:r>
    </w:p>
    <w:p w:rsidR="00FD402E" w:rsidRPr="009E5B1C" w:rsidRDefault="00FD402E" w:rsidP="00FD402E">
      <w:pPr>
        <w:pStyle w:val="BTEMEASMCA"/>
      </w:pPr>
      <w:r w:rsidRPr="009E5B1C">
        <w:t>Gydant seborėjinio dermatito sukeltą pleiskanojimą, suaugusiems žmonėms vartoti Mikanisal du kartus per savaitę 2-4 savaites. Norint išvengti ligos pasikartojimo, vartoti vieną kartą per vieną ar dvi savaites.</w:t>
      </w:r>
    </w:p>
    <w:p w:rsidR="00FD402E" w:rsidRPr="009E5B1C" w:rsidRDefault="00FD402E" w:rsidP="00FD402E">
      <w:pPr>
        <w:pStyle w:val="BTEMEASMCA"/>
      </w:pPr>
    </w:p>
    <w:p w:rsidR="00FD402E" w:rsidRPr="009E5B1C" w:rsidRDefault="00FD402E" w:rsidP="00FD402E">
      <w:pPr>
        <w:pStyle w:val="BTEMEASMCA"/>
      </w:pPr>
      <w:r w:rsidRPr="009E5B1C">
        <w:t xml:space="preserve">Vienam kartui reikia imti 5-6 ml (1 arbatinis šaukštelis) šampūno, praskiesti mažu kiekiu vandens, po to- atsargiai įtrinti šampūno į galvos odą ir į plaukus. Šampūno įtrinama į galvos odą ir paliekama 3-5 minutes, kad būtų poveikis, po to nuplaunama. Reikia </w:t>
      </w:r>
      <w:r w:rsidRPr="009E5B1C">
        <w:rPr>
          <w:rStyle w:val="hps"/>
          <w:color w:val="222222"/>
        </w:rPr>
        <w:t>kruopščiai nuplauti</w:t>
      </w:r>
      <w:r w:rsidRPr="009E5B1C">
        <w:rPr>
          <w:rStyle w:val="shorttext"/>
          <w:color w:val="222222"/>
        </w:rPr>
        <w:t xml:space="preserve"> </w:t>
      </w:r>
      <w:r w:rsidRPr="009E5B1C">
        <w:rPr>
          <w:rStyle w:val="hps"/>
          <w:color w:val="222222"/>
        </w:rPr>
        <w:t>ne tik</w:t>
      </w:r>
      <w:r w:rsidRPr="009E5B1C">
        <w:rPr>
          <w:rStyle w:val="shorttext"/>
          <w:color w:val="222222"/>
        </w:rPr>
        <w:t xml:space="preserve"> </w:t>
      </w:r>
      <w:r w:rsidRPr="009E5B1C">
        <w:rPr>
          <w:rStyle w:val="hps"/>
          <w:color w:val="222222"/>
        </w:rPr>
        <w:t xml:space="preserve">plaukus, bet ir </w:t>
      </w:r>
      <w:r w:rsidRPr="009E5B1C">
        <w:rPr>
          <w:rStyle w:val="shorttext"/>
          <w:color w:val="222222"/>
        </w:rPr>
        <w:t xml:space="preserve">galvos </w:t>
      </w:r>
      <w:r w:rsidRPr="009E5B1C">
        <w:rPr>
          <w:rStyle w:val="hps"/>
          <w:color w:val="222222"/>
        </w:rPr>
        <w:t>odą.</w:t>
      </w:r>
      <w:r w:rsidRPr="009E5B1C">
        <w:rPr>
          <w:rStyle w:val="shorttext"/>
          <w:color w:val="222222"/>
        </w:rPr>
        <w:t xml:space="preserve"> </w:t>
      </w:r>
    </w:p>
    <w:p w:rsidR="00FD402E" w:rsidRPr="009E5B1C" w:rsidRDefault="00FD402E" w:rsidP="00FD402E">
      <w:pPr>
        <w:pStyle w:val="BTEMEASMCA"/>
      </w:pPr>
    </w:p>
    <w:p w:rsidR="00FD402E" w:rsidRPr="009E5B1C" w:rsidRDefault="00FD402E" w:rsidP="00FD402E">
      <w:pPr>
        <w:pStyle w:val="BTEMEASMCA"/>
      </w:pPr>
      <w:r w:rsidRPr="009E5B1C">
        <w:t>Jeigu jaučiate, kad Mikanisal šampūno poveikis yra per stiprus arba per silpnas, pasikonsultuokite su gydytoju arba vaistininku.</w:t>
      </w:r>
    </w:p>
    <w:p w:rsidR="00FD402E" w:rsidRPr="009E5B1C" w:rsidRDefault="00FD402E" w:rsidP="00FD402E">
      <w:pPr>
        <w:pStyle w:val="BTEMEASMCA"/>
      </w:pPr>
    </w:p>
    <w:p w:rsidR="00FD402E" w:rsidRPr="009E5B1C" w:rsidRDefault="00FD402E" w:rsidP="00FD402E">
      <w:pPr>
        <w:pStyle w:val="PI-3EMEASMCA"/>
      </w:pPr>
      <w:r w:rsidRPr="009E5B1C">
        <w:rPr>
          <w:snapToGrid w:val="0"/>
        </w:rPr>
        <w:t xml:space="preserve">Ką daryti pavartojus per didelę </w:t>
      </w:r>
      <w:proofErr w:type="spellStart"/>
      <w:r w:rsidRPr="009E5B1C">
        <w:rPr>
          <w:snapToGrid w:val="0"/>
        </w:rPr>
        <w:t>Mikanisal</w:t>
      </w:r>
      <w:proofErr w:type="spellEnd"/>
      <w:r w:rsidRPr="009E5B1C">
        <w:rPr>
          <w:snapToGrid w:val="0"/>
        </w:rPr>
        <w:t xml:space="preserve"> dozę?</w:t>
      </w:r>
    </w:p>
    <w:p w:rsidR="00FD402E" w:rsidRPr="009E5B1C" w:rsidRDefault="00FD402E" w:rsidP="00FD402E">
      <w:pPr>
        <w:pStyle w:val="BTEMEASMCA"/>
      </w:pPr>
      <w:r w:rsidRPr="009E5B1C">
        <w:t xml:space="preserve">Vartojant išoriškai šampūno perdozavimas mažai tikėtinas. Netyčia šampūno prarijus, tai paprastai yra nepavojinga, tačiau rekomenduojama kreiptis į gydytoją. Tačiau norint išvengti šampūno patekimo į kvėpavimo takus, nerekomenduojama sukelti vėmimą arba atlikti skrandžio plovimą. </w:t>
      </w:r>
    </w:p>
    <w:p w:rsidR="00FD402E" w:rsidRPr="009E5B1C" w:rsidRDefault="00FD402E" w:rsidP="00FD402E">
      <w:pPr>
        <w:pStyle w:val="BTEMEASMCA"/>
      </w:pPr>
    </w:p>
    <w:p w:rsidR="00FD402E" w:rsidRPr="009E5B1C" w:rsidRDefault="00FD402E" w:rsidP="00FD402E">
      <w:pPr>
        <w:numPr>
          <w:ilvl w:val="12"/>
          <w:numId w:val="0"/>
        </w:numPr>
        <w:tabs>
          <w:tab w:val="left" w:pos="720"/>
        </w:tabs>
        <w:ind w:right="-29"/>
        <w:rPr>
          <w:sz w:val="22"/>
          <w:szCs w:val="22"/>
        </w:rPr>
      </w:pPr>
      <w:r w:rsidRPr="009E5B1C">
        <w:rPr>
          <w:noProof/>
          <w:sz w:val="22"/>
          <w:szCs w:val="22"/>
        </w:rPr>
        <w:t>Jeigu kiltų daugiau klausimų dėl šio vaisto vartojimo, kreipkitės į gydytoją arba vaistininką.</w:t>
      </w:r>
    </w:p>
    <w:p w:rsidR="00FD402E" w:rsidRPr="009E5B1C" w:rsidRDefault="00FD402E" w:rsidP="00FD402E">
      <w:pPr>
        <w:pStyle w:val="BTEMEASMCA"/>
      </w:pPr>
    </w:p>
    <w:p w:rsidR="00FD402E" w:rsidRPr="009E5B1C" w:rsidRDefault="00FD402E" w:rsidP="00FD402E">
      <w:pPr>
        <w:pStyle w:val="BTEMEASMCA"/>
      </w:pPr>
    </w:p>
    <w:p w:rsidR="00FD402E" w:rsidRPr="009E5B1C" w:rsidRDefault="00FD402E" w:rsidP="00FD402E">
      <w:pPr>
        <w:pStyle w:val="PI-1EMEASMCA"/>
      </w:pPr>
      <w:bookmarkStart w:id="8" w:name="_Toc129243142"/>
      <w:bookmarkStart w:id="9" w:name="_Toc129243267"/>
      <w:r w:rsidRPr="009E5B1C">
        <w:t>4.</w:t>
      </w:r>
      <w:r w:rsidRPr="009E5B1C">
        <w:tab/>
        <w:t>Galimas šalutinis poveikis</w:t>
      </w:r>
      <w:bookmarkEnd w:id="8"/>
      <w:bookmarkEnd w:id="9"/>
    </w:p>
    <w:p w:rsidR="00FD402E" w:rsidRPr="009E5B1C" w:rsidRDefault="00FD402E" w:rsidP="00FD402E">
      <w:pPr>
        <w:pStyle w:val="BTEMEASMCA"/>
      </w:pPr>
    </w:p>
    <w:p w:rsidR="00FD402E" w:rsidRPr="009E5B1C" w:rsidRDefault="00FD402E" w:rsidP="00FD402E">
      <w:pPr>
        <w:numPr>
          <w:ilvl w:val="12"/>
          <w:numId w:val="0"/>
        </w:numPr>
        <w:tabs>
          <w:tab w:val="left" w:pos="720"/>
        </w:tabs>
        <w:ind w:right="-29"/>
        <w:rPr>
          <w:sz w:val="22"/>
          <w:szCs w:val="22"/>
        </w:rPr>
      </w:pPr>
      <w:r w:rsidRPr="009E5B1C">
        <w:rPr>
          <w:noProof/>
          <w:sz w:val="22"/>
          <w:szCs w:val="22"/>
        </w:rPr>
        <w:t>Šis vaistas, kaip ir visi kiti, gali sukelti šalutinį poveikį, nors jis pasireiškia ne visiems žmonėms.</w:t>
      </w:r>
    </w:p>
    <w:p w:rsidR="00FD402E" w:rsidRPr="009E5B1C" w:rsidRDefault="00FD402E" w:rsidP="00FD402E">
      <w:pPr>
        <w:pStyle w:val="BTEMEASMCA"/>
      </w:pPr>
    </w:p>
    <w:p w:rsidR="00FD402E" w:rsidRPr="009E5B1C" w:rsidRDefault="00FD402E" w:rsidP="00FD402E">
      <w:pPr>
        <w:tabs>
          <w:tab w:val="left" w:pos="567"/>
        </w:tabs>
        <w:spacing w:line="260" w:lineRule="exact"/>
        <w:rPr>
          <w:sz w:val="22"/>
          <w:szCs w:val="22"/>
        </w:rPr>
      </w:pPr>
      <w:r w:rsidRPr="009E5B1C">
        <w:rPr>
          <w:i/>
          <w:sz w:val="22"/>
          <w:szCs w:val="22"/>
        </w:rPr>
        <w:t>Nedažnas</w:t>
      </w:r>
      <w:r w:rsidRPr="009E5B1C">
        <w:rPr>
          <w:sz w:val="22"/>
          <w:szCs w:val="22"/>
        </w:rPr>
        <w:t xml:space="preserve"> (gali pasireikšti daugiau kaip 1 iš 1000 vartojusiųjų, bet mažiau negu 1 iš 100):</w:t>
      </w:r>
    </w:p>
    <w:p w:rsidR="00FD402E" w:rsidRPr="009E5B1C" w:rsidRDefault="00FD402E" w:rsidP="00FD402E">
      <w:pPr>
        <w:pStyle w:val="Sraopastraipa"/>
        <w:numPr>
          <w:ilvl w:val="0"/>
          <w:numId w:val="3"/>
        </w:numPr>
        <w:tabs>
          <w:tab w:val="left" w:pos="567"/>
        </w:tabs>
        <w:spacing w:line="260" w:lineRule="exact"/>
        <w:rPr>
          <w:sz w:val="22"/>
          <w:szCs w:val="22"/>
        </w:rPr>
      </w:pPr>
      <w:r w:rsidRPr="009E5B1C">
        <w:rPr>
          <w:sz w:val="22"/>
          <w:szCs w:val="22"/>
        </w:rPr>
        <w:t>plauko maišelio uždegimas (</w:t>
      </w:r>
      <w:proofErr w:type="spellStart"/>
      <w:r w:rsidRPr="009E5B1C">
        <w:rPr>
          <w:sz w:val="22"/>
          <w:szCs w:val="22"/>
        </w:rPr>
        <w:t>folikulitas</w:t>
      </w:r>
      <w:proofErr w:type="spellEnd"/>
      <w:r w:rsidRPr="009E5B1C">
        <w:rPr>
          <w:sz w:val="22"/>
          <w:szCs w:val="22"/>
        </w:rPr>
        <w:t>);</w:t>
      </w:r>
    </w:p>
    <w:p w:rsidR="00FD402E" w:rsidRPr="009E5B1C" w:rsidRDefault="00FD402E" w:rsidP="00FD402E">
      <w:pPr>
        <w:pStyle w:val="Sraopastraipa"/>
        <w:numPr>
          <w:ilvl w:val="0"/>
          <w:numId w:val="3"/>
        </w:numPr>
        <w:tabs>
          <w:tab w:val="left" w:pos="567"/>
        </w:tabs>
        <w:spacing w:line="260" w:lineRule="exact"/>
        <w:rPr>
          <w:sz w:val="22"/>
          <w:szCs w:val="22"/>
        </w:rPr>
      </w:pPr>
      <w:r w:rsidRPr="009E5B1C">
        <w:rPr>
          <w:sz w:val="22"/>
          <w:szCs w:val="22"/>
        </w:rPr>
        <w:t>padidėjęs ašarojimas;</w:t>
      </w:r>
    </w:p>
    <w:p w:rsidR="00FD402E" w:rsidRPr="009E5B1C" w:rsidRDefault="00FD402E" w:rsidP="00FD402E">
      <w:pPr>
        <w:pStyle w:val="Sraopastraipa"/>
        <w:numPr>
          <w:ilvl w:val="0"/>
          <w:numId w:val="3"/>
        </w:numPr>
        <w:tabs>
          <w:tab w:val="left" w:pos="567"/>
        </w:tabs>
        <w:spacing w:line="260" w:lineRule="exact"/>
        <w:rPr>
          <w:sz w:val="22"/>
          <w:szCs w:val="22"/>
        </w:rPr>
      </w:pPr>
      <w:r w:rsidRPr="009E5B1C">
        <w:rPr>
          <w:sz w:val="22"/>
          <w:szCs w:val="22"/>
        </w:rPr>
        <w:t>plaukų slinkimas;</w:t>
      </w:r>
    </w:p>
    <w:p w:rsidR="00FD402E" w:rsidRPr="009E5B1C" w:rsidRDefault="00FD402E" w:rsidP="00FD402E">
      <w:pPr>
        <w:pStyle w:val="Sraopastraipa"/>
        <w:numPr>
          <w:ilvl w:val="0"/>
          <w:numId w:val="3"/>
        </w:numPr>
        <w:tabs>
          <w:tab w:val="left" w:pos="567"/>
        </w:tabs>
        <w:spacing w:line="260" w:lineRule="exact"/>
        <w:rPr>
          <w:sz w:val="22"/>
          <w:szCs w:val="22"/>
        </w:rPr>
      </w:pPr>
      <w:r w:rsidRPr="009E5B1C">
        <w:rPr>
          <w:sz w:val="22"/>
          <w:szCs w:val="22"/>
        </w:rPr>
        <w:t>nenormali plauko struktūra;</w:t>
      </w:r>
    </w:p>
    <w:p w:rsidR="00FD402E" w:rsidRPr="009E5B1C" w:rsidRDefault="00FD402E" w:rsidP="00FD402E">
      <w:pPr>
        <w:pStyle w:val="Sraopastraipa"/>
        <w:numPr>
          <w:ilvl w:val="0"/>
          <w:numId w:val="3"/>
        </w:numPr>
        <w:tabs>
          <w:tab w:val="left" w:pos="567"/>
        </w:tabs>
        <w:spacing w:line="260" w:lineRule="exact"/>
        <w:rPr>
          <w:sz w:val="22"/>
          <w:szCs w:val="22"/>
        </w:rPr>
      </w:pPr>
      <w:r w:rsidRPr="009E5B1C">
        <w:rPr>
          <w:sz w:val="22"/>
          <w:szCs w:val="22"/>
        </w:rPr>
        <w:t>išbėrimas;</w:t>
      </w:r>
    </w:p>
    <w:p w:rsidR="00FD402E" w:rsidRPr="009E5B1C" w:rsidRDefault="00FD402E" w:rsidP="00FD402E">
      <w:pPr>
        <w:pStyle w:val="Sraopastraipa"/>
        <w:numPr>
          <w:ilvl w:val="0"/>
          <w:numId w:val="3"/>
        </w:numPr>
        <w:tabs>
          <w:tab w:val="left" w:pos="567"/>
        </w:tabs>
        <w:spacing w:line="260" w:lineRule="exact"/>
        <w:rPr>
          <w:sz w:val="22"/>
          <w:szCs w:val="22"/>
        </w:rPr>
      </w:pPr>
      <w:r w:rsidRPr="009E5B1C">
        <w:rPr>
          <w:sz w:val="22"/>
          <w:szCs w:val="22"/>
        </w:rPr>
        <w:t>odos deginimo pojūtis;</w:t>
      </w:r>
    </w:p>
    <w:p w:rsidR="00FD402E" w:rsidRPr="009E5B1C" w:rsidRDefault="00FD402E" w:rsidP="00FD402E">
      <w:pPr>
        <w:pStyle w:val="Sraopastraipa"/>
        <w:numPr>
          <w:ilvl w:val="0"/>
          <w:numId w:val="3"/>
        </w:numPr>
        <w:tabs>
          <w:tab w:val="left" w:pos="567"/>
        </w:tabs>
        <w:spacing w:line="260" w:lineRule="exact"/>
        <w:rPr>
          <w:sz w:val="22"/>
          <w:szCs w:val="22"/>
        </w:rPr>
      </w:pPr>
      <w:r w:rsidRPr="009E5B1C">
        <w:rPr>
          <w:sz w:val="22"/>
          <w:szCs w:val="22"/>
        </w:rPr>
        <w:t>odos paraudimas;</w:t>
      </w:r>
    </w:p>
    <w:p w:rsidR="00FD402E" w:rsidRPr="009E5B1C" w:rsidRDefault="00FD402E" w:rsidP="00FD402E">
      <w:pPr>
        <w:pStyle w:val="Sraopastraipa"/>
        <w:numPr>
          <w:ilvl w:val="0"/>
          <w:numId w:val="3"/>
        </w:numPr>
        <w:tabs>
          <w:tab w:val="left" w:pos="567"/>
        </w:tabs>
        <w:spacing w:line="260" w:lineRule="exact"/>
        <w:rPr>
          <w:sz w:val="22"/>
          <w:szCs w:val="22"/>
        </w:rPr>
      </w:pPr>
      <w:r w:rsidRPr="009E5B1C">
        <w:rPr>
          <w:sz w:val="22"/>
          <w:szCs w:val="22"/>
        </w:rPr>
        <w:t>niežulys;</w:t>
      </w:r>
    </w:p>
    <w:p w:rsidR="00FD402E" w:rsidRPr="009E5B1C" w:rsidRDefault="00FD402E" w:rsidP="00FD402E">
      <w:pPr>
        <w:pStyle w:val="Sraopastraipa"/>
        <w:numPr>
          <w:ilvl w:val="0"/>
          <w:numId w:val="3"/>
        </w:numPr>
        <w:tabs>
          <w:tab w:val="left" w:pos="567"/>
        </w:tabs>
        <w:spacing w:line="260" w:lineRule="exact"/>
        <w:rPr>
          <w:sz w:val="22"/>
          <w:szCs w:val="22"/>
        </w:rPr>
      </w:pPr>
      <w:r w:rsidRPr="009E5B1C">
        <w:rPr>
          <w:sz w:val="22"/>
          <w:szCs w:val="22"/>
        </w:rPr>
        <w:t>dirginimo reakcijos vartojimo vietoje.</w:t>
      </w:r>
    </w:p>
    <w:p w:rsidR="00FD402E" w:rsidRPr="009E5B1C" w:rsidRDefault="00FD402E" w:rsidP="00FD402E">
      <w:pPr>
        <w:pStyle w:val="Sraopastraipa"/>
        <w:tabs>
          <w:tab w:val="left" w:pos="567"/>
        </w:tabs>
        <w:spacing w:line="260" w:lineRule="exact"/>
        <w:rPr>
          <w:sz w:val="22"/>
          <w:szCs w:val="22"/>
        </w:rPr>
      </w:pPr>
    </w:p>
    <w:p w:rsidR="00FD402E" w:rsidRPr="009E5B1C" w:rsidRDefault="00FD402E" w:rsidP="00FD402E">
      <w:pPr>
        <w:tabs>
          <w:tab w:val="left" w:pos="567"/>
        </w:tabs>
        <w:spacing w:line="260" w:lineRule="exact"/>
        <w:rPr>
          <w:sz w:val="22"/>
          <w:szCs w:val="22"/>
        </w:rPr>
      </w:pPr>
      <w:r w:rsidRPr="009E5B1C">
        <w:rPr>
          <w:i/>
          <w:sz w:val="22"/>
          <w:szCs w:val="22"/>
        </w:rPr>
        <w:t xml:space="preserve">Retas </w:t>
      </w:r>
      <w:r w:rsidRPr="009E5B1C">
        <w:rPr>
          <w:sz w:val="22"/>
          <w:szCs w:val="22"/>
        </w:rPr>
        <w:t xml:space="preserve">(daugiau kaip 1 iš 10000 vartojusiųjų, bet mažiau kaip 1 iš 1000): </w:t>
      </w:r>
    </w:p>
    <w:p w:rsidR="00FD402E" w:rsidRPr="009E5B1C" w:rsidRDefault="00FD402E" w:rsidP="00FD402E">
      <w:pPr>
        <w:pStyle w:val="Sraopastraipa"/>
        <w:numPr>
          <w:ilvl w:val="0"/>
          <w:numId w:val="4"/>
        </w:numPr>
        <w:tabs>
          <w:tab w:val="left" w:pos="567"/>
        </w:tabs>
        <w:spacing w:line="260" w:lineRule="exact"/>
        <w:rPr>
          <w:sz w:val="22"/>
          <w:szCs w:val="22"/>
        </w:rPr>
      </w:pPr>
      <w:r w:rsidRPr="009E5B1C">
        <w:rPr>
          <w:sz w:val="22"/>
          <w:szCs w:val="22"/>
        </w:rPr>
        <w:t>padidėjęs jautrumas;</w:t>
      </w:r>
    </w:p>
    <w:p w:rsidR="00FD402E" w:rsidRPr="009E5B1C" w:rsidRDefault="00FD402E" w:rsidP="00FD402E">
      <w:pPr>
        <w:pStyle w:val="Sraopastraipa"/>
        <w:numPr>
          <w:ilvl w:val="0"/>
          <w:numId w:val="4"/>
        </w:numPr>
        <w:tabs>
          <w:tab w:val="left" w:pos="567"/>
        </w:tabs>
        <w:spacing w:line="260" w:lineRule="exact"/>
        <w:rPr>
          <w:sz w:val="22"/>
          <w:szCs w:val="22"/>
        </w:rPr>
      </w:pPr>
      <w:r w:rsidRPr="009E5B1C">
        <w:rPr>
          <w:sz w:val="22"/>
          <w:szCs w:val="22"/>
        </w:rPr>
        <w:t>skonio pojūčio sutrikimas;</w:t>
      </w:r>
    </w:p>
    <w:p w:rsidR="00FD402E" w:rsidRPr="009E5B1C" w:rsidRDefault="00FD402E" w:rsidP="00FD402E">
      <w:pPr>
        <w:pStyle w:val="Sraopastraipa"/>
        <w:numPr>
          <w:ilvl w:val="0"/>
          <w:numId w:val="4"/>
        </w:numPr>
        <w:tabs>
          <w:tab w:val="left" w:pos="567"/>
        </w:tabs>
        <w:spacing w:line="260" w:lineRule="exact"/>
        <w:rPr>
          <w:sz w:val="22"/>
          <w:szCs w:val="22"/>
        </w:rPr>
      </w:pPr>
      <w:r w:rsidRPr="009E5B1C">
        <w:rPr>
          <w:sz w:val="22"/>
          <w:szCs w:val="22"/>
        </w:rPr>
        <w:t>akių dirginimas;</w:t>
      </w:r>
    </w:p>
    <w:p w:rsidR="00FD402E" w:rsidRPr="009E5B1C" w:rsidRDefault="00FD402E" w:rsidP="00FD402E">
      <w:pPr>
        <w:pStyle w:val="Sraopastraipa"/>
        <w:numPr>
          <w:ilvl w:val="0"/>
          <w:numId w:val="4"/>
        </w:numPr>
        <w:tabs>
          <w:tab w:val="left" w:pos="567"/>
        </w:tabs>
        <w:spacing w:line="260" w:lineRule="exact"/>
        <w:rPr>
          <w:sz w:val="22"/>
          <w:szCs w:val="22"/>
        </w:rPr>
      </w:pPr>
      <w:r w:rsidRPr="009E5B1C">
        <w:rPr>
          <w:sz w:val="22"/>
          <w:szCs w:val="22"/>
        </w:rPr>
        <w:t>spuogai;</w:t>
      </w:r>
    </w:p>
    <w:p w:rsidR="00FD402E" w:rsidRPr="009E5B1C" w:rsidRDefault="00FD402E" w:rsidP="00FD402E">
      <w:pPr>
        <w:pStyle w:val="Sraopastraipa"/>
        <w:numPr>
          <w:ilvl w:val="0"/>
          <w:numId w:val="4"/>
        </w:numPr>
        <w:tabs>
          <w:tab w:val="left" w:pos="567"/>
        </w:tabs>
        <w:spacing w:line="260" w:lineRule="exact"/>
        <w:rPr>
          <w:sz w:val="22"/>
          <w:szCs w:val="22"/>
        </w:rPr>
      </w:pPr>
      <w:r w:rsidRPr="009E5B1C">
        <w:rPr>
          <w:sz w:val="22"/>
          <w:szCs w:val="22"/>
        </w:rPr>
        <w:t>kontaktinis dermatitas;</w:t>
      </w:r>
    </w:p>
    <w:p w:rsidR="00FD402E" w:rsidRPr="009E5B1C" w:rsidRDefault="00FD402E" w:rsidP="00FD402E">
      <w:pPr>
        <w:pStyle w:val="Sraopastraipa"/>
        <w:numPr>
          <w:ilvl w:val="0"/>
          <w:numId w:val="4"/>
        </w:numPr>
        <w:tabs>
          <w:tab w:val="left" w:pos="567"/>
        </w:tabs>
        <w:spacing w:line="260" w:lineRule="exact"/>
        <w:rPr>
          <w:sz w:val="22"/>
          <w:szCs w:val="22"/>
        </w:rPr>
      </w:pPr>
      <w:r w:rsidRPr="009E5B1C">
        <w:rPr>
          <w:sz w:val="22"/>
          <w:szCs w:val="22"/>
        </w:rPr>
        <w:t>odos sutrikimas (</w:t>
      </w:r>
      <w:proofErr w:type="spellStart"/>
      <w:r w:rsidRPr="009E5B1C">
        <w:rPr>
          <w:rStyle w:val="hps"/>
          <w:color w:val="222222"/>
          <w:sz w:val="22"/>
          <w:szCs w:val="22"/>
        </w:rPr>
        <w:t>telangiektazija</w:t>
      </w:r>
      <w:proofErr w:type="spellEnd"/>
      <w:r w:rsidRPr="009E5B1C">
        <w:rPr>
          <w:rStyle w:val="hps"/>
          <w:color w:val="222222"/>
          <w:sz w:val="22"/>
          <w:szCs w:val="22"/>
        </w:rPr>
        <w:t xml:space="preserve"> – smulkios, išsiplėtusios kraujagyslės odoje</w:t>
      </w:r>
      <w:r w:rsidRPr="009E5B1C">
        <w:rPr>
          <w:rStyle w:val="shorttext"/>
          <w:color w:val="222222"/>
          <w:sz w:val="22"/>
          <w:szCs w:val="22"/>
        </w:rPr>
        <w:t>)</w:t>
      </w:r>
      <w:r w:rsidRPr="009E5B1C">
        <w:rPr>
          <w:sz w:val="22"/>
          <w:szCs w:val="22"/>
        </w:rPr>
        <w:t>;</w:t>
      </w:r>
    </w:p>
    <w:p w:rsidR="00FD402E" w:rsidRPr="009E5B1C" w:rsidRDefault="00FD402E" w:rsidP="00FD402E">
      <w:pPr>
        <w:pStyle w:val="Sraopastraipa"/>
        <w:numPr>
          <w:ilvl w:val="0"/>
          <w:numId w:val="4"/>
        </w:numPr>
        <w:tabs>
          <w:tab w:val="left" w:pos="567"/>
        </w:tabs>
        <w:spacing w:line="260" w:lineRule="exact"/>
        <w:rPr>
          <w:sz w:val="22"/>
          <w:szCs w:val="22"/>
        </w:rPr>
      </w:pPr>
      <w:r w:rsidRPr="009E5B1C">
        <w:rPr>
          <w:sz w:val="22"/>
          <w:szCs w:val="22"/>
        </w:rPr>
        <w:t>odos lupimasis;</w:t>
      </w:r>
    </w:p>
    <w:p w:rsidR="00FD402E" w:rsidRPr="009E5B1C" w:rsidRDefault="00FD402E" w:rsidP="00FD402E">
      <w:pPr>
        <w:pStyle w:val="Sraopastraipa"/>
        <w:numPr>
          <w:ilvl w:val="0"/>
          <w:numId w:val="4"/>
        </w:numPr>
        <w:tabs>
          <w:tab w:val="left" w:pos="567"/>
        </w:tabs>
        <w:spacing w:line="260" w:lineRule="exact"/>
        <w:rPr>
          <w:sz w:val="22"/>
          <w:szCs w:val="22"/>
        </w:rPr>
      </w:pPr>
      <w:r w:rsidRPr="009E5B1C">
        <w:rPr>
          <w:sz w:val="22"/>
          <w:szCs w:val="22"/>
        </w:rPr>
        <w:t>jautrumas vartojimo vietoje;</w:t>
      </w:r>
    </w:p>
    <w:p w:rsidR="00FD402E" w:rsidRPr="009E5B1C" w:rsidRDefault="00FD402E" w:rsidP="00FD402E">
      <w:pPr>
        <w:pStyle w:val="Sraopastraipa"/>
        <w:numPr>
          <w:ilvl w:val="0"/>
          <w:numId w:val="4"/>
        </w:numPr>
        <w:tabs>
          <w:tab w:val="left" w:pos="567"/>
        </w:tabs>
        <w:spacing w:line="260" w:lineRule="exact"/>
        <w:rPr>
          <w:sz w:val="22"/>
          <w:szCs w:val="22"/>
        </w:rPr>
      </w:pPr>
      <w:proofErr w:type="spellStart"/>
      <w:r w:rsidRPr="009E5B1C">
        <w:rPr>
          <w:sz w:val="22"/>
          <w:szCs w:val="22"/>
        </w:rPr>
        <w:t>pūlinėliai</w:t>
      </w:r>
      <w:proofErr w:type="spellEnd"/>
      <w:r w:rsidRPr="009E5B1C">
        <w:rPr>
          <w:sz w:val="22"/>
          <w:szCs w:val="22"/>
        </w:rPr>
        <w:t xml:space="preserve"> vartojimo vietoje.</w:t>
      </w:r>
    </w:p>
    <w:p w:rsidR="00FD402E" w:rsidRPr="009E5B1C" w:rsidRDefault="00FD402E" w:rsidP="00FD402E">
      <w:pPr>
        <w:tabs>
          <w:tab w:val="left" w:pos="567"/>
        </w:tabs>
        <w:spacing w:line="260" w:lineRule="exact"/>
        <w:rPr>
          <w:sz w:val="22"/>
          <w:szCs w:val="22"/>
        </w:rPr>
      </w:pPr>
    </w:p>
    <w:p w:rsidR="00FD402E" w:rsidRPr="009E5B1C" w:rsidRDefault="00FD402E" w:rsidP="00FD402E">
      <w:pPr>
        <w:tabs>
          <w:tab w:val="left" w:pos="0"/>
        </w:tabs>
        <w:spacing w:line="260" w:lineRule="exact"/>
        <w:jc w:val="both"/>
        <w:rPr>
          <w:bCs/>
          <w:iCs/>
          <w:sz w:val="22"/>
          <w:szCs w:val="22"/>
        </w:rPr>
      </w:pPr>
      <w:r w:rsidRPr="009E5B1C">
        <w:rPr>
          <w:bCs/>
          <w:i/>
          <w:iCs/>
          <w:sz w:val="22"/>
          <w:szCs w:val="22"/>
        </w:rPr>
        <w:t>Dažnis nežinomas (negali būti apskaičiuotas pagal turimus duomenis):</w:t>
      </w:r>
    </w:p>
    <w:p w:rsidR="00FD402E" w:rsidRPr="009E5B1C" w:rsidRDefault="00FD402E" w:rsidP="00FD402E">
      <w:pPr>
        <w:pStyle w:val="Sraopastraipa"/>
        <w:numPr>
          <w:ilvl w:val="0"/>
          <w:numId w:val="5"/>
        </w:numPr>
        <w:tabs>
          <w:tab w:val="left" w:pos="567"/>
        </w:tabs>
        <w:spacing w:line="260" w:lineRule="exact"/>
        <w:rPr>
          <w:sz w:val="22"/>
          <w:szCs w:val="22"/>
        </w:rPr>
      </w:pPr>
      <w:proofErr w:type="spellStart"/>
      <w:r w:rsidRPr="009E5B1C">
        <w:rPr>
          <w:sz w:val="22"/>
          <w:szCs w:val="22"/>
        </w:rPr>
        <w:t>angioneurozinė</w:t>
      </w:r>
      <w:proofErr w:type="spellEnd"/>
      <w:r w:rsidRPr="009E5B1C">
        <w:rPr>
          <w:sz w:val="22"/>
          <w:szCs w:val="22"/>
        </w:rPr>
        <w:t xml:space="preserve"> edema (veido ir gleivinių patinimas);</w:t>
      </w:r>
    </w:p>
    <w:p w:rsidR="00FD402E" w:rsidRPr="009E5B1C" w:rsidRDefault="00FD402E" w:rsidP="00FD402E">
      <w:pPr>
        <w:pStyle w:val="Sraopastraipa"/>
        <w:numPr>
          <w:ilvl w:val="0"/>
          <w:numId w:val="5"/>
        </w:numPr>
        <w:tabs>
          <w:tab w:val="left" w:pos="567"/>
        </w:tabs>
        <w:spacing w:line="260" w:lineRule="exact"/>
        <w:rPr>
          <w:sz w:val="22"/>
          <w:szCs w:val="22"/>
        </w:rPr>
      </w:pPr>
      <w:r w:rsidRPr="009E5B1C">
        <w:rPr>
          <w:sz w:val="22"/>
          <w:szCs w:val="22"/>
        </w:rPr>
        <w:t>dilgėlinė;</w:t>
      </w:r>
    </w:p>
    <w:p w:rsidR="00FD402E" w:rsidRPr="009E5B1C" w:rsidRDefault="00FD402E" w:rsidP="00FD402E">
      <w:pPr>
        <w:pStyle w:val="Sraopastraipa"/>
        <w:numPr>
          <w:ilvl w:val="0"/>
          <w:numId w:val="5"/>
        </w:numPr>
        <w:tabs>
          <w:tab w:val="left" w:pos="567"/>
        </w:tabs>
        <w:spacing w:line="260" w:lineRule="exact"/>
        <w:rPr>
          <w:sz w:val="22"/>
          <w:szCs w:val="22"/>
        </w:rPr>
      </w:pPr>
      <w:r w:rsidRPr="009E5B1C">
        <w:rPr>
          <w:sz w:val="22"/>
          <w:szCs w:val="22"/>
        </w:rPr>
        <w:t xml:space="preserve">plauko spalvos pokyčiai (pirmiausia pakenktų cheminių medžiagų ir žilų plaukų). </w:t>
      </w:r>
    </w:p>
    <w:p w:rsidR="00FD402E" w:rsidRPr="009E5B1C" w:rsidRDefault="00FD402E" w:rsidP="00FD402E">
      <w:pPr>
        <w:pStyle w:val="Sraopastraipa"/>
        <w:tabs>
          <w:tab w:val="left" w:pos="567"/>
        </w:tabs>
        <w:spacing w:line="260" w:lineRule="exact"/>
        <w:rPr>
          <w:i/>
          <w:sz w:val="22"/>
          <w:szCs w:val="22"/>
        </w:rPr>
      </w:pPr>
    </w:p>
    <w:p w:rsidR="00FD402E" w:rsidRPr="009E5B1C" w:rsidRDefault="00FD402E" w:rsidP="00FD402E">
      <w:pPr>
        <w:pStyle w:val="BTEMEASMCA"/>
      </w:pPr>
    </w:p>
    <w:p w:rsidR="00FD402E" w:rsidRPr="009E5B1C" w:rsidRDefault="00FD402E" w:rsidP="00FD402E">
      <w:pPr>
        <w:rPr>
          <w:b/>
          <w:sz w:val="22"/>
          <w:szCs w:val="22"/>
        </w:rPr>
      </w:pPr>
      <w:r w:rsidRPr="009E5B1C">
        <w:rPr>
          <w:b/>
          <w:noProof/>
          <w:sz w:val="22"/>
          <w:szCs w:val="22"/>
        </w:rPr>
        <w:t>Pranešimas apie šalutinį poveikį</w:t>
      </w:r>
    </w:p>
    <w:p w:rsidR="00FD402E" w:rsidRPr="009E5B1C" w:rsidRDefault="00FD402E" w:rsidP="00FD402E">
      <w:pPr>
        <w:ind w:right="-449"/>
        <w:rPr>
          <w:noProof/>
          <w:sz w:val="22"/>
          <w:szCs w:val="22"/>
        </w:rPr>
      </w:pPr>
      <w:r w:rsidRPr="009E5B1C">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E5B1C">
        <w:rPr>
          <w:sz w:val="22"/>
          <w:szCs w:val="22"/>
          <w:lang w:eastAsia="zh-CN"/>
        </w:rPr>
        <w:t>elefonu 8 800 73568</w:t>
      </w:r>
      <w:r w:rsidRPr="009E5B1C">
        <w:rPr>
          <w:sz w:val="22"/>
          <w:szCs w:val="22"/>
        </w:rPr>
        <w:t xml:space="preserve"> arba užpildyti interneto svetainėje </w:t>
      </w:r>
      <w:hyperlink r:id="rId5" w:history="1">
        <w:r w:rsidRPr="009E5B1C">
          <w:rPr>
            <w:rStyle w:val="Hipersaitas"/>
            <w:rFonts w:eastAsia="SimSun"/>
            <w:sz w:val="22"/>
            <w:szCs w:val="22"/>
          </w:rPr>
          <w:t>www.vvkt.lt</w:t>
        </w:r>
      </w:hyperlink>
      <w:r w:rsidRPr="009E5B1C">
        <w:rPr>
          <w:sz w:val="22"/>
          <w:szCs w:val="22"/>
        </w:rPr>
        <w:t xml:space="preserve"> esančią formą ir pateikti ją Valstybinei vaistų kontrolės tarnybai prie Lietuvos Respublikos sveikatos apsaugos ministerijos vienu iš šių būdų: raštu (adresu Žirmūnų g. 139A, LT-09120 Vilnius), </w:t>
      </w:r>
      <w:r w:rsidRPr="009E5B1C">
        <w:rPr>
          <w:sz w:val="22"/>
          <w:szCs w:val="22"/>
          <w:lang w:eastAsia="zh-CN"/>
        </w:rPr>
        <w:t xml:space="preserve">nemokamu </w:t>
      </w:r>
      <w:r w:rsidRPr="009E5B1C">
        <w:rPr>
          <w:sz w:val="22"/>
          <w:szCs w:val="22"/>
        </w:rPr>
        <w:t>fakso numeriu 8 800 20131</w:t>
      </w:r>
      <w:r w:rsidRPr="009E5B1C">
        <w:rPr>
          <w:sz w:val="22"/>
          <w:szCs w:val="22"/>
          <w:lang w:eastAsia="zh-CN"/>
        </w:rPr>
        <w:t xml:space="preserve">, </w:t>
      </w:r>
      <w:r w:rsidRPr="009E5B1C">
        <w:rPr>
          <w:sz w:val="22"/>
          <w:szCs w:val="22"/>
        </w:rPr>
        <w:t xml:space="preserve">el. paštu </w:t>
      </w:r>
      <w:hyperlink r:id="rId6" w:history="1">
        <w:r w:rsidRPr="009E5B1C">
          <w:rPr>
            <w:rStyle w:val="Hipersaitas"/>
            <w:rFonts w:eastAsia="SimSun"/>
            <w:sz w:val="22"/>
            <w:szCs w:val="22"/>
          </w:rPr>
          <w:t>NepageidaujamaR@vvkt.lt</w:t>
        </w:r>
      </w:hyperlink>
      <w:r w:rsidRPr="009E5B1C">
        <w:rPr>
          <w:sz w:val="22"/>
          <w:szCs w:val="22"/>
        </w:rPr>
        <w:t xml:space="preserve">, taip pat per Valstybinės vaistų kontrolės tarnybos prie Lietuvos Respublikos sveikatos apsaugos ministerijos interneto svetainę (adresu </w:t>
      </w:r>
      <w:hyperlink r:id="rId7" w:history="1">
        <w:r w:rsidRPr="009E5B1C">
          <w:rPr>
            <w:rStyle w:val="Hipersaitas"/>
            <w:rFonts w:eastAsia="SimSun"/>
            <w:sz w:val="22"/>
            <w:szCs w:val="22"/>
          </w:rPr>
          <w:t>http://www.vvkt.lt</w:t>
        </w:r>
      </w:hyperlink>
      <w:r w:rsidRPr="009E5B1C">
        <w:rPr>
          <w:sz w:val="22"/>
          <w:szCs w:val="22"/>
        </w:rPr>
        <w:t>). Pranešdami apie šalutinį poveikį galite mums padėti gauti daugiau informacijos apie šio vaisto saugumą.</w:t>
      </w:r>
    </w:p>
    <w:p w:rsidR="00FD402E" w:rsidRPr="009E5B1C" w:rsidRDefault="00FD402E" w:rsidP="00FD402E">
      <w:pPr>
        <w:pStyle w:val="BTEMEASMCA"/>
      </w:pPr>
    </w:p>
    <w:p w:rsidR="00FD402E" w:rsidRPr="009E5B1C" w:rsidRDefault="00FD402E" w:rsidP="00FD402E">
      <w:pPr>
        <w:pStyle w:val="BTEMEASMCA"/>
      </w:pPr>
    </w:p>
    <w:p w:rsidR="00FD402E" w:rsidRPr="009E5B1C" w:rsidRDefault="00FD402E" w:rsidP="00FD402E">
      <w:pPr>
        <w:pStyle w:val="PI-1EMEASMCA"/>
      </w:pPr>
      <w:bookmarkStart w:id="10" w:name="_Toc129243143"/>
      <w:bookmarkStart w:id="11" w:name="_Toc129243268"/>
      <w:r w:rsidRPr="009E5B1C">
        <w:t>5.</w:t>
      </w:r>
      <w:r w:rsidRPr="009E5B1C">
        <w:tab/>
        <w:t xml:space="preserve">Kaip laikyti </w:t>
      </w:r>
      <w:proofErr w:type="spellStart"/>
      <w:r w:rsidRPr="009E5B1C">
        <w:t>Mikanisal</w:t>
      </w:r>
      <w:proofErr w:type="spellEnd"/>
    </w:p>
    <w:bookmarkEnd w:id="10"/>
    <w:bookmarkEnd w:id="11"/>
    <w:p w:rsidR="00FD402E" w:rsidRPr="009E5B1C" w:rsidRDefault="00FD402E" w:rsidP="00FD402E">
      <w:pPr>
        <w:pStyle w:val="BTEMEASMCA"/>
      </w:pPr>
    </w:p>
    <w:p w:rsidR="00FD402E" w:rsidRPr="009E5B1C" w:rsidRDefault="00FD402E" w:rsidP="00FD402E">
      <w:pPr>
        <w:numPr>
          <w:ilvl w:val="12"/>
          <w:numId w:val="0"/>
        </w:numPr>
        <w:tabs>
          <w:tab w:val="left" w:pos="720"/>
        </w:tabs>
        <w:ind w:right="-2"/>
        <w:rPr>
          <w:noProof/>
          <w:sz w:val="22"/>
          <w:szCs w:val="22"/>
        </w:rPr>
      </w:pPr>
      <w:r w:rsidRPr="009E5B1C">
        <w:rPr>
          <w:noProof/>
          <w:sz w:val="22"/>
          <w:szCs w:val="22"/>
        </w:rPr>
        <w:t>Šį vaistą laikykite vaikams nepastebimoje ir nepasiekiamoje vietoje.</w:t>
      </w:r>
    </w:p>
    <w:p w:rsidR="00FD402E" w:rsidRPr="009E5B1C" w:rsidRDefault="00FD402E" w:rsidP="00FD402E">
      <w:pPr>
        <w:numPr>
          <w:ilvl w:val="12"/>
          <w:numId w:val="0"/>
        </w:numPr>
        <w:tabs>
          <w:tab w:val="left" w:pos="720"/>
        </w:tabs>
        <w:ind w:right="-2"/>
        <w:rPr>
          <w:sz w:val="22"/>
          <w:szCs w:val="22"/>
        </w:rPr>
      </w:pPr>
    </w:p>
    <w:p w:rsidR="00FD402E" w:rsidRPr="009E5B1C" w:rsidRDefault="00FD402E" w:rsidP="00FD402E">
      <w:pPr>
        <w:pStyle w:val="BTEMEASMCA"/>
      </w:pPr>
      <w:r w:rsidRPr="009E5B1C">
        <w:t xml:space="preserve">Laikyti ne aukštesnėje kaip 25 </w:t>
      </w:r>
      <w:r w:rsidRPr="009E5B1C">
        <w:sym w:font="Symbol" w:char="F0B0"/>
      </w:r>
      <w:r w:rsidRPr="009E5B1C">
        <w:t>C temperatūroje.</w:t>
      </w:r>
    </w:p>
    <w:p w:rsidR="00FD402E" w:rsidRPr="009E5B1C" w:rsidRDefault="00FD402E" w:rsidP="00FD402E">
      <w:pPr>
        <w:pStyle w:val="BTEMEASMCA"/>
      </w:pPr>
      <w:r w:rsidRPr="009E5B1C">
        <w:t>Negalima šaldyti ar užšaldyti.</w:t>
      </w:r>
    </w:p>
    <w:p w:rsidR="00FD402E" w:rsidRPr="009E5B1C" w:rsidRDefault="00FD402E" w:rsidP="00FD402E">
      <w:pPr>
        <w:pStyle w:val="BTEMEASMCA"/>
      </w:pPr>
      <w:r w:rsidRPr="009E5B1C">
        <w:t>Buteliuką laikyti išorinėje dėžutėje, kad preparatas būtų apsaugotas nuo šviesos.</w:t>
      </w:r>
    </w:p>
    <w:p w:rsidR="00FD402E" w:rsidRPr="009E5B1C" w:rsidRDefault="00FD402E" w:rsidP="00FD402E">
      <w:pPr>
        <w:pStyle w:val="BTEMEASMCA"/>
      </w:pPr>
    </w:p>
    <w:p w:rsidR="00FD402E" w:rsidRPr="009E5B1C" w:rsidRDefault="00FD402E" w:rsidP="00FD402E">
      <w:pPr>
        <w:pStyle w:val="BTEMEASMCA"/>
      </w:pPr>
      <w:r w:rsidRPr="009E5B1C">
        <w:t>Ant dėžutės ir buteliuko po „Tinka iki“ nurodytam tinkamumo laikui pasibaigus, šio vaisto vartoti negalima. Vaistas tinkamas vartoti iki paskutinės nurodyto mėnesio dienos.</w:t>
      </w:r>
    </w:p>
    <w:p w:rsidR="00FD402E" w:rsidRPr="009E5B1C" w:rsidRDefault="00FD402E" w:rsidP="00FD402E">
      <w:pPr>
        <w:pStyle w:val="BTEMEASMCA"/>
      </w:pPr>
    </w:p>
    <w:p w:rsidR="00FD402E" w:rsidRPr="009E5B1C" w:rsidRDefault="00FD402E" w:rsidP="00FD402E">
      <w:pPr>
        <w:pStyle w:val="BTEMEASMCA"/>
      </w:pPr>
      <w:r w:rsidRPr="009E5B1C">
        <w:t xml:space="preserve">Vaistų negalima išmesti į kanalizaciją arba su buitinėmis atliekomis. </w:t>
      </w:r>
      <w:r w:rsidRPr="009E5B1C">
        <w:rPr>
          <w:snapToGrid w:val="0"/>
        </w:rPr>
        <w:t>Kaip išmesti nereikalingus vaistus, klauskite vaistininko.</w:t>
      </w:r>
      <w:r w:rsidRPr="009E5B1C">
        <w:t xml:space="preserve"> Šios priemonės padės apsaugoti aplinką.</w:t>
      </w:r>
    </w:p>
    <w:p w:rsidR="00FD402E" w:rsidRPr="009E5B1C" w:rsidRDefault="00FD402E" w:rsidP="00FD402E">
      <w:pPr>
        <w:pStyle w:val="BTEMEASMCA"/>
      </w:pPr>
    </w:p>
    <w:p w:rsidR="00FD402E" w:rsidRPr="009E5B1C" w:rsidRDefault="00FD402E" w:rsidP="00FD402E">
      <w:pPr>
        <w:pStyle w:val="BTEMEASMCA"/>
      </w:pPr>
    </w:p>
    <w:p w:rsidR="00FD402E" w:rsidRPr="009E5B1C" w:rsidRDefault="00FD402E" w:rsidP="00FD402E">
      <w:pPr>
        <w:pStyle w:val="PI-1EMEASMCA"/>
      </w:pPr>
      <w:bookmarkStart w:id="12" w:name="_Toc129243144"/>
      <w:bookmarkStart w:id="13" w:name="_Toc129243269"/>
      <w:r w:rsidRPr="009E5B1C">
        <w:t>6.</w:t>
      </w:r>
      <w:r w:rsidRPr="009E5B1C">
        <w:tab/>
        <w:t>Pakuotės turinys ir kita informacija</w:t>
      </w:r>
      <w:bookmarkEnd w:id="12"/>
      <w:bookmarkEnd w:id="13"/>
    </w:p>
    <w:p w:rsidR="00FD402E" w:rsidRPr="009E5B1C" w:rsidRDefault="00FD402E" w:rsidP="00FD402E">
      <w:pPr>
        <w:pStyle w:val="BTEMEASMCA"/>
      </w:pPr>
    </w:p>
    <w:p w:rsidR="00FD402E" w:rsidRPr="009E5B1C" w:rsidRDefault="00FD402E" w:rsidP="00FD402E">
      <w:pPr>
        <w:pStyle w:val="PI-3EMEASMCA"/>
      </w:pPr>
      <w:proofErr w:type="spellStart"/>
      <w:r w:rsidRPr="009E5B1C">
        <w:t>Mikanisal</w:t>
      </w:r>
      <w:proofErr w:type="spellEnd"/>
      <w:r w:rsidRPr="009E5B1C">
        <w:t xml:space="preserve"> sudėtis</w:t>
      </w:r>
    </w:p>
    <w:p w:rsidR="00FD402E" w:rsidRPr="009E5B1C" w:rsidRDefault="00FD402E" w:rsidP="00FD402E">
      <w:pPr>
        <w:pStyle w:val="BTEMEASMCA"/>
      </w:pPr>
    </w:p>
    <w:p w:rsidR="00FD402E" w:rsidRPr="009E5B1C" w:rsidRDefault="00FD402E" w:rsidP="00FD402E">
      <w:pPr>
        <w:pStyle w:val="BT-EMEASMCA"/>
      </w:pPr>
      <w:r w:rsidRPr="009E5B1C">
        <w:t>Veiklioji medžiaga yra ketokonazolas. 1 g šampūno yra 20 mg ketokonazolo.</w:t>
      </w:r>
    </w:p>
    <w:p w:rsidR="00FD402E" w:rsidRPr="009E5B1C" w:rsidRDefault="00FD402E" w:rsidP="00FD402E">
      <w:pPr>
        <w:pStyle w:val="BT-EMEASMCA"/>
      </w:pPr>
      <w:r w:rsidRPr="009E5B1C">
        <w:t>Pagalbinės medžiagos yra natrio laurilsulfatas, dinatrio monolaurilo sulfosukcinatas, kokosų riebalų rūgščių dietanolamidas, laurildimonio hidroksipropilu hidrolizuotas kolagenas, makrogolio 120 metilgliukozės dioleatas, natrio chloridas, natrio hidroksidas, koncentruota vandenilio chlorido rūgštis, imidurėja, azorubinas (E122), išgrynintas vanduo.</w:t>
      </w:r>
    </w:p>
    <w:p w:rsidR="00FD402E" w:rsidRPr="009E5B1C" w:rsidRDefault="00FD402E" w:rsidP="00FD402E">
      <w:pPr>
        <w:pStyle w:val="BTEMEASMCA"/>
      </w:pPr>
    </w:p>
    <w:p w:rsidR="00FD402E" w:rsidRPr="009E5B1C" w:rsidRDefault="00FD402E" w:rsidP="00FD402E">
      <w:pPr>
        <w:pStyle w:val="PI-3EMEASMCA"/>
      </w:pPr>
      <w:r w:rsidRPr="009E5B1C">
        <w:rPr>
          <w:bCs w:val="0"/>
          <w:noProof/>
        </w:rPr>
        <w:t xml:space="preserve">Mikanisal </w:t>
      </w:r>
      <w:r w:rsidRPr="009E5B1C">
        <w:t>išvaizda ir kiekis pakuotėje</w:t>
      </w:r>
    </w:p>
    <w:p w:rsidR="00FD402E" w:rsidRPr="009E5B1C" w:rsidRDefault="00FD402E" w:rsidP="00FD402E">
      <w:pPr>
        <w:pStyle w:val="PI-3EMEASMCA"/>
      </w:pPr>
    </w:p>
    <w:p w:rsidR="00FD402E" w:rsidRPr="009E5B1C" w:rsidRDefault="00FD402E" w:rsidP="00FD402E">
      <w:pPr>
        <w:pStyle w:val="BTEMEASMCA"/>
      </w:pPr>
      <w:r w:rsidRPr="009E5B1C">
        <w:t xml:space="preserve">Skaidri ar beveik skaidri, nuo rožinės iki tamsiai raudonos spalvos, specifinio kvapo  klampi masė ar skystis. </w:t>
      </w:r>
    </w:p>
    <w:p w:rsidR="00FD402E" w:rsidRPr="009E5B1C" w:rsidRDefault="00FD402E" w:rsidP="00FD402E">
      <w:pPr>
        <w:pStyle w:val="BTEMEASMCA"/>
      </w:pPr>
    </w:p>
    <w:p w:rsidR="00FD402E" w:rsidRPr="009E5B1C" w:rsidRDefault="00FD402E" w:rsidP="00FD402E">
      <w:pPr>
        <w:rPr>
          <w:noProof/>
          <w:sz w:val="22"/>
          <w:szCs w:val="22"/>
        </w:rPr>
      </w:pPr>
      <w:r w:rsidRPr="009E5B1C">
        <w:rPr>
          <w:sz w:val="22"/>
          <w:szCs w:val="22"/>
        </w:rPr>
        <w:t xml:space="preserve">60 g arba 100 g šampūno  baltame plastikiniame (HDPE) buteliuke, užsuktame baltu </w:t>
      </w:r>
      <w:proofErr w:type="spellStart"/>
      <w:r w:rsidRPr="009E5B1C">
        <w:rPr>
          <w:sz w:val="22"/>
          <w:szCs w:val="22"/>
        </w:rPr>
        <w:t>polipropileniniu</w:t>
      </w:r>
      <w:proofErr w:type="spellEnd"/>
      <w:r w:rsidRPr="009E5B1C">
        <w:rPr>
          <w:sz w:val="22"/>
          <w:szCs w:val="22"/>
        </w:rPr>
        <w:t xml:space="preserve"> (PP) dangteliu. Kartono dėžutėje yra vienas buteliukas.</w:t>
      </w:r>
    </w:p>
    <w:p w:rsidR="00FD402E" w:rsidRPr="009E5B1C" w:rsidRDefault="00FD402E" w:rsidP="00FD402E">
      <w:pPr>
        <w:pStyle w:val="PI-3EMEASMCA"/>
        <w:rPr>
          <w:b w:val="0"/>
        </w:rPr>
      </w:pPr>
    </w:p>
    <w:p w:rsidR="00FD402E" w:rsidRPr="009E5B1C" w:rsidRDefault="00FD402E" w:rsidP="00FD402E">
      <w:pPr>
        <w:pStyle w:val="PI-3EMEASMCA"/>
      </w:pPr>
    </w:p>
    <w:p w:rsidR="00FD402E" w:rsidRPr="009E5B1C" w:rsidRDefault="00FD402E" w:rsidP="00FD402E">
      <w:pPr>
        <w:pStyle w:val="PI-3EMEASMCA"/>
      </w:pPr>
      <w:r w:rsidRPr="009E5B1C">
        <w:t>Registruotojas ir gamintojas</w:t>
      </w:r>
    </w:p>
    <w:p w:rsidR="00FD402E" w:rsidRPr="009E5B1C" w:rsidRDefault="00FD402E" w:rsidP="00FD402E">
      <w:pPr>
        <w:pStyle w:val="BTEMEASMCA"/>
      </w:pPr>
    </w:p>
    <w:p w:rsidR="00FD402E" w:rsidRPr="009E5B1C" w:rsidRDefault="00FD402E" w:rsidP="00FD402E">
      <w:pPr>
        <w:jc w:val="both"/>
        <w:rPr>
          <w:noProof/>
          <w:sz w:val="22"/>
          <w:szCs w:val="22"/>
        </w:rPr>
      </w:pPr>
      <w:r w:rsidRPr="009E5B1C">
        <w:rPr>
          <w:noProof/>
          <w:sz w:val="22"/>
          <w:szCs w:val="22"/>
        </w:rPr>
        <w:t>Registruotojas</w:t>
      </w:r>
    </w:p>
    <w:p w:rsidR="00FD402E" w:rsidRPr="009E5B1C" w:rsidRDefault="00FD402E" w:rsidP="00FD402E">
      <w:pPr>
        <w:jc w:val="both"/>
        <w:rPr>
          <w:noProof/>
          <w:sz w:val="22"/>
          <w:szCs w:val="22"/>
        </w:rPr>
      </w:pPr>
      <w:r w:rsidRPr="009E5B1C">
        <w:rPr>
          <w:noProof/>
          <w:sz w:val="22"/>
          <w:szCs w:val="22"/>
        </w:rPr>
        <w:t>AS GRINDEKS.</w:t>
      </w:r>
    </w:p>
    <w:p w:rsidR="00FD402E" w:rsidRPr="009E5B1C" w:rsidRDefault="00FD402E" w:rsidP="00FD402E">
      <w:pPr>
        <w:jc w:val="both"/>
        <w:rPr>
          <w:noProof/>
          <w:sz w:val="22"/>
          <w:szCs w:val="22"/>
        </w:rPr>
      </w:pPr>
      <w:r w:rsidRPr="009E5B1C">
        <w:rPr>
          <w:noProof/>
          <w:sz w:val="22"/>
          <w:szCs w:val="22"/>
        </w:rPr>
        <w:t>Krustpils iela 53, Rīga, LV-1057, Latvija</w:t>
      </w:r>
    </w:p>
    <w:p w:rsidR="00FD402E" w:rsidRPr="009E5B1C" w:rsidRDefault="00FD402E" w:rsidP="00FD402E">
      <w:pPr>
        <w:jc w:val="both"/>
        <w:rPr>
          <w:noProof/>
          <w:sz w:val="22"/>
          <w:szCs w:val="22"/>
        </w:rPr>
      </w:pPr>
    </w:p>
    <w:p w:rsidR="00FD402E" w:rsidRPr="009E5B1C" w:rsidRDefault="00FD402E" w:rsidP="00FD402E">
      <w:pPr>
        <w:jc w:val="both"/>
        <w:rPr>
          <w:noProof/>
          <w:sz w:val="22"/>
          <w:szCs w:val="22"/>
        </w:rPr>
      </w:pPr>
      <w:r w:rsidRPr="009E5B1C">
        <w:rPr>
          <w:noProof/>
          <w:sz w:val="22"/>
          <w:szCs w:val="22"/>
        </w:rPr>
        <w:t>Gamintojas</w:t>
      </w:r>
    </w:p>
    <w:p w:rsidR="00FD402E" w:rsidRPr="009E5B1C" w:rsidRDefault="00FD402E" w:rsidP="00FD402E">
      <w:pPr>
        <w:pStyle w:val="BTEMEASMCA"/>
      </w:pPr>
      <w:r w:rsidRPr="009E5B1C">
        <w:t>TALLINNA FARMAATSIATEHASE AS</w:t>
      </w:r>
    </w:p>
    <w:p w:rsidR="00FD402E" w:rsidRPr="009E5B1C" w:rsidRDefault="00FD402E" w:rsidP="00FD402E">
      <w:pPr>
        <w:pStyle w:val="BTEMEASMCA"/>
      </w:pPr>
      <w:r w:rsidRPr="009E5B1C">
        <w:t>Tondi 33, 11316, Tallinn, Estija</w:t>
      </w:r>
    </w:p>
    <w:p w:rsidR="00FD402E" w:rsidRPr="009E5B1C" w:rsidRDefault="00FD402E" w:rsidP="00FD402E">
      <w:pPr>
        <w:jc w:val="both"/>
        <w:rPr>
          <w:b/>
          <w:noProof/>
          <w:sz w:val="22"/>
          <w:szCs w:val="22"/>
        </w:rPr>
      </w:pPr>
    </w:p>
    <w:p w:rsidR="00FD402E" w:rsidRPr="009E5B1C" w:rsidRDefault="00FD402E" w:rsidP="00FD402E">
      <w:pPr>
        <w:pStyle w:val="BTEMEASMCA"/>
      </w:pPr>
      <w:r w:rsidRPr="009E5B1C">
        <w:t>Jeigu apie šį vaistą norite sužinoti daugiau, kreipkitės į vietinį registruotojo</w:t>
      </w:r>
      <w:r w:rsidRPr="009E5B1C" w:rsidDel="00D24455">
        <w:t xml:space="preserve"> </w:t>
      </w:r>
      <w:r w:rsidRPr="009E5B1C">
        <w:t>atstovą.</w:t>
      </w:r>
    </w:p>
    <w:p w:rsidR="00FD402E" w:rsidRPr="009E5B1C" w:rsidRDefault="00FD402E" w:rsidP="00FD402E">
      <w:pPr>
        <w:pStyle w:val="BTEMEASMCA"/>
      </w:pPr>
    </w:p>
    <w:p w:rsidR="00FD402E" w:rsidRPr="00041CDB" w:rsidRDefault="00FD402E" w:rsidP="00FD402E">
      <w:pPr>
        <w:rPr>
          <w:rFonts w:asciiTheme="majorBidi" w:hAnsiTheme="majorBidi" w:cstheme="majorBidi"/>
        </w:rPr>
      </w:pPr>
      <w:r w:rsidRPr="00041CDB">
        <w:rPr>
          <w:rFonts w:asciiTheme="majorBidi" w:hAnsiTheme="majorBidi" w:cstheme="majorBidi"/>
        </w:rPr>
        <w:t>„</w:t>
      </w:r>
      <w:proofErr w:type="spellStart"/>
      <w:r w:rsidRPr="00041CDB">
        <w:rPr>
          <w:rFonts w:asciiTheme="majorBidi" w:hAnsiTheme="majorBidi" w:cstheme="majorBidi"/>
        </w:rPr>
        <w:t>Grindeks</w:t>
      </w:r>
      <w:proofErr w:type="spellEnd"/>
      <w:r w:rsidRPr="00041CDB">
        <w:rPr>
          <w:rFonts w:asciiTheme="majorBidi" w:hAnsiTheme="majorBidi" w:cstheme="majorBidi"/>
        </w:rPr>
        <w:t xml:space="preserve"> </w:t>
      </w:r>
      <w:proofErr w:type="spellStart"/>
      <w:r w:rsidRPr="00041CDB">
        <w:rPr>
          <w:rFonts w:asciiTheme="majorBidi" w:hAnsiTheme="majorBidi" w:cstheme="majorBidi"/>
        </w:rPr>
        <w:t>Kalceks</w:t>
      </w:r>
      <w:proofErr w:type="spellEnd"/>
      <w:r w:rsidRPr="00041CDB">
        <w:rPr>
          <w:rFonts w:asciiTheme="majorBidi" w:hAnsiTheme="majorBidi" w:cstheme="majorBidi"/>
        </w:rPr>
        <w:t xml:space="preserve"> Lietuva</w:t>
      </w:r>
      <w:r>
        <w:rPr>
          <w:rFonts w:asciiTheme="majorBidi" w:hAnsiTheme="majorBidi" w:cstheme="majorBidi"/>
        </w:rPr>
        <w:t>“</w:t>
      </w:r>
      <w:r w:rsidRPr="00041CDB">
        <w:rPr>
          <w:rFonts w:asciiTheme="majorBidi" w:hAnsiTheme="majorBidi" w:cstheme="majorBidi"/>
        </w:rPr>
        <w:t xml:space="preserve"> UAB</w:t>
      </w:r>
    </w:p>
    <w:p w:rsidR="00FD402E" w:rsidRPr="00A80100" w:rsidRDefault="00FD402E" w:rsidP="00FD402E">
      <w:r w:rsidRPr="00A80100">
        <w:t>Kalvarijų g. 300</w:t>
      </w:r>
    </w:p>
    <w:p w:rsidR="00FD402E" w:rsidRPr="00A80100" w:rsidRDefault="00FD402E" w:rsidP="00FD402E">
      <w:pPr>
        <w:rPr>
          <w:lang w:eastAsia="lt-LT"/>
        </w:rPr>
      </w:pPr>
      <w:r w:rsidRPr="00A80100">
        <w:t>LT-</w:t>
      </w:r>
      <w:r w:rsidRPr="00A80100">
        <w:rPr>
          <w:lang w:eastAsia="lt-LT"/>
        </w:rPr>
        <w:t>08318 Vilnius</w:t>
      </w:r>
    </w:p>
    <w:p w:rsidR="00FD402E" w:rsidRPr="009E5B1C" w:rsidRDefault="00FD402E" w:rsidP="00FD402E">
      <w:pPr>
        <w:rPr>
          <w:sz w:val="22"/>
          <w:szCs w:val="22"/>
        </w:rPr>
      </w:pPr>
      <w:r w:rsidRPr="00A80100">
        <w:t>Tel. + 370 5 2101401</w:t>
      </w:r>
    </w:p>
    <w:p w:rsidR="00FD402E" w:rsidRPr="009E5B1C" w:rsidRDefault="00FD402E" w:rsidP="00FD402E">
      <w:pPr>
        <w:rPr>
          <w:sz w:val="22"/>
          <w:szCs w:val="22"/>
        </w:rPr>
      </w:pPr>
    </w:p>
    <w:p w:rsidR="00FD402E" w:rsidRPr="009E5B1C" w:rsidRDefault="00FD402E" w:rsidP="00FD402E">
      <w:pPr>
        <w:numPr>
          <w:ilvl w:val="12"/>
          <w:numId w:val="0"/>
        </w:numPr>
        <w:tabs>
          <w:tab w:val="left" w:pos="720"/>
        </w:tabs>
        <w:ind w:right="-2"/>
        <w:rPr>
          <w:b/>
          <w:sz w:val="22"/>
          <w:szCs w:val="22"/>
        </w:rPr>
      </w:pPr>
      <w:r w:rsidRPr="009E5B1C">
        <w:rPr>
          <w:b/>
          <w:sz w:val="22"/>
          <w:szCs w:val="22"/>
        </w:rPr>
        <w:t xml:space="preserve">Šis pakuotės lapelis paskutinį kartą peržiūrėtas </w:t>
      </w:r>
      <w:r>
        <w:rPr>
          <w:b/>
          <w:sz w:val="22"/>
          <w:szCs w:val="22"/>
        </w:rPr>
        <w:t>2024-10-16.</w:t>
      </w:r>
    </w:p>
    <w:p w:rsidR="00FD402E" w:rsidRPr="009E5B1C" w:rsidRDefault="00FD402E" w:rsidP="00FD402E">
      <w:pPr>
        <w:rPr>
          <w:sz w:val="22"/>
          <w:szCs w:val="22"/>
        </w:rPr>
      </w:pPr>
    </w:p>
    <w:p w:rsidR="00FD402E" w:rsidRPr="009E5B1C" w:rsidRDefault="00FD402E" w:rsidP="00FD402E">
      <w:pPr>
        <w:rPr>
          <w:sz w:val="22"/>
          <w:szCs w:val="22"/>
        </w:rPr>
      </w:pPr>
    </w:p>
    <w:p w:rsidR="00FD402E" w:rsidRPr="009E5B1C" w:rsidRDefault="00FD402E" w:rsidP="00FD402E">
      <w:pPr>
        <w:numPr>
          <w:ilvl w:val="12"/>
          <w:numId w:val="0"/>
        </w:numPr>
        <w:ind w:right="-2"/>
        <w:rPr>
          <w:sz w:val="22"/>
          <w:szCs w:val="22"/>
        </w:rPr>
      </w:pPr>
      <w:r w:rsidRPr="009E5B1C">
        <w:rPr>
          <w:sz w:val="22"/>
          <w:szCs w:val="22"/>
        </w:rPr>
        <w:t>Išsami informacija apie šį vaistą pateikiama Valstybinės vaistų kontrolės tarnybos prie Lietuvos Respublikos sveikatos apsaugos ministerijos tinklalapyje</w:t>
      </w:r>
      <w:r w:rsidRPr="009E5B1C">
        <w:rPr>
          <w:i/>
          <w:sz w:val="22"/>
          <w:szCs w:val="22"/>
        </w:rPr>
        <w:t xml:space="preserve"> </w:t>
      </w:r>
      <w:hyperlink r:id="rId8" w:history="1">
        <w:r w:rsidRPr="009E5B1C">
          <w:rPr>
            <w:rStyle w:val="Hipersaitas"/>
            <w:rFonts w:eastAsia="SimSun"/>
            <w:sz w:val="22"/>
            <w:szCs w:val="22"/>
          </w:rPr>
          <w:t>http://www.vvkt.lt/</w:t>
        </w:r>
      </w:hyperlink>
      <w:r w:rsidRPr="009E5B1C">
        <w:rPr>
          <w:sz w:val="22"/>
          <w:szCs w:val="22"/>
        </w:rPr>
        <w:t>.</w:t>
      </w:r>
    </w:p>
    <w:p w:rsidR="00FD402E" w:rsidRPr="009E5B1C" w:rsidRDefault="00FD402E" w:rsidP="00FD402E">
      <w:pPr>
        <w:rPr>
          <w:sz w:val="22"/>
          <w:szCs w:val="22"/>
          <w:highlight w:val="yellow"/>
        </w:rPr>
      </w:pPr>
    </w:p>
    <w:p w:rsidR="00FD402E" w:rsidRPr="009E5B1C" w:rsidRDefault="00FD402E" w:rsidP="00FD402E">
      <w:pPr>
        <w:rPr>
          <w:sz w:val="22"/>
          <w:szCs w:val="22"/>
        </w:rPr>
      </w:pPr>
    </w:p>
    <w:p w:rsidR="00BA6577" w:rsidRDefault="00BA6577">
      <w:bookmarkStart w:id="14" w:name="_GoBack"/>
      <w:bookmarkEnd w:id="1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29F4782"/>
    <w:multiLevelType w:val="hybridMultilevel"/>
    <w:tmpl w:val="2746030A"/>
    <w:lvl w:ilvl="0" w:tplc="FCE801E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0B4CB8"/>
    <w:multiLevelType w:val="hybridMultilevel"/>
    <w:tmpl w:val="FF667CB0"/>
    <w:lvl w:ilvl="0" w:tplc="FCE801E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D7529D"/>
    <w:multiLevelType w:val="hybridMultilevel"/>
    <w:tmpl w:val="1AE4F43C"/>
    <w:lvl w:ilvl="0" w:tplc="FCE801E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numFmt w:val="bullet"/>
        <w:lvlText w:val="-"/>
        <w:lvlJc w:val="left"/>
        <w:pPr>
          <w:ind w:left="360" w:hanging="360"/>
        </w:pPr>
        <w:rPr>
          <w:rFonts w:cs="Times New Roman"/>
        </w:rPr>
      </w:lvl>
    </w:lvlOverride>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02E"/>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A6371"/>
    <w:rsid w:val="00FD40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D1309-0A64-4DDB-9181-30299851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402E"/>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FD402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uiPriority w:val="9"/>
    <w:semiHidden/>
    <w:unhideWhenUsed/>
    <w:qFormat/>
    <w:rsid w:val="00FD402E"/>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
    <w:semiHidden/>
    <w:unhideWhenUsed/>
    <w:qFormat/>
    <w:rsid w:val="00FD402E"/>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FD402E"/>
    <w:rPr>
      <w:rFonts w:asciiTheme="majorHAnsi" w:eastAsiaTheme="majorEastAsia" w:hAnsiTheme="majorHAnsi" w:cstheme="majorBidi"/>
      <w:b/>
      <w:bCs/>
      <w:color w:val="5B9BD5" w:themeColor="accent1"/>
      <w:sz w:val="26"/>
      <w:szCs w:val="26"/>
    </w:rPr>
  </w:style>
  <w:style w:type="character" w:customStyle="1" w:styleId="Antrat4Diagrama">
    <w:name w:val="Antraštė 4 Diagrama"/>
    <w:basedOn w:val="Numatytasispastraiposriftas"/>
    <w:link w:val="Antrat4"/>
    <w:uiPriority w:val="9"/>
    <w:semiHidden/>
    <w:rsid w:val="00FD402E"/>
    <w:rPr>
      <w:rFonts w:asciiTheme="majorHAnsi" w:eastAsiaTheme="majorEastAsia" w:hAnsiTheme="majorHAnsi" w:cstheme="majorBidi"/>
      <w:b/>
      <w:bCs/>
      <w:i/>
      <w:iCs/>
      <w:color w:val="5B9BD5" w:themeColor="accent1"/>
      <w:sz w:val="24"/>
      <w:szCs w:val="24"/>
    </w:rPr>
  </w:style>
  <w:style w:type="character" w:styleId="Hipersaitas">
    <w:name w:val="Hyperlink"/>
    <w:basedOn w:val="Numatytasispastraiposriftas"/>
    <w:uiPriority w:val="99"/>
    <w:rsid w:val="00FD402E"/>
    <w:rPr>
      <w:color w:val="0000FF"/>
      <w:u w:val="single"/>
    </w:rPr>
  </w:style>
  <w:style w:type="paragraph" w:customStyle="1" w:styleId="PI-1EMEASMCA">
    <w:name w:val="PI-1 EMEA_SMCA"/>
    <w:basedOn w:val="Antrat2"/>
    <w:autoRedefine/>
    <w:rsid w:val="00FD402E"/>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2EMEASMCA">
    <w:name w:val="PI-2 EMEA_SMCA"/>
    <w:basedOn w:val="Antrat3"/>
    <w:autoRedefine/>
    <w:rsid w:val="00FD402E"/>
    <w:pPr>
      <w:tabs>
        <w:tab w:val="left" w:pos="567"/>
      </w:tabs>
      <w:spacing w:before="0"/>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rsid w:val="00FD402E"/>
    <w:rPr>
      <w:noProof/>
      <w:color w:val="000000"/>
      <w:sz w:val="22"/>
      <w:szCs w:val="22"/>
    </w:rPr>
  </w:style>
  <w:style w:type="paragraph" w:customStyle="1" w:styleId="BT-EMEASMCA">
    <w:name w:val="BT- EMEA_SMCA"/>
    <w:basedOn w:val="BTEMEASMCA"/>
    <w:autoRedefine/>
    <w:rsid w:val="00FD402E"/>
    <w:pPr>
      <w:numPr>
        <w:numId w:val="1"/>
      </w:numPr>
      <w:tabs>
        <w:tab w:val="clear" w:pos="720"/>
        <w:tab w:val="num" w:pos="360"/>
      </w:tabs>
      <w:ind w:left="0" w:firstLine="0"/>
    </w:pPr>
  </w:style>
  <w:style w:type="paragraph" w:customStyle="1" w:styleId="PI-3EMEASMCA">
    <w:name w:val="PI-3 EMEA_SMCA"/>
    <w:basedOn w:val="prastasis"/>
    <w:autoRedefine/>
    <w:rsid w:val="00FD402E"/>
    <w:pPr>
      <w:spacing w:line="220" w:lineRule="exact"/>
    </w:pPr>
    <w:rPr>
      <w:b/>
      <w:bCs/>
      <w:sz w:val="22"/>
      <w:szCs w:val="22"/>
    </w:rPr>
  </w:style>
  <w:style w:type="paragraph" w:customStyle="1" w:styleId="BTbeEMEASMCA">
    <w:name w:val="BT(be) EMEA_SMCA"/>
    <w:basedOn w:val="BTEMEASMCA"/>
    <w:autoRedefine/>
    <w:rsid w:val="00FD402E"/>
    <w:pPr>
      <w:jc w:val="center"/>
    </w:pPr>
    <w:rPr>
      <w:b/>
    </w:rPr>
  </w:style>
  <w:style w:type="paragraph" w:customStyle="1" w:styleId="BTeEMEASMCA">
    <w:name w:val="BT(e) EMEA_SMCA"/>
    <w:basedOn w:val="BTEMEASMCA"/>
    <w:autoRedefine/>
    <w:rsid w:val="00FD402E"/>
    <w:pPr>
      <w:jc w:val="center"/>
    </w:pPr>
  </w:style>
  <w:style w:type="character" w:customStyle="1" w:styleId="BTEMEASMCAChar">
    <w:name w:val="BT EMEA_SMCA Char"/>
    <w:basedOn w:val="Numatytasispastraiposriftas"/>
    <w:link w:val="BTEMEASMCA"/>
    <w:rsid w:val="00FD402E"/>
    <w:rPr>
      <w:rFonts w:ascii="Times New Roman" w:eastAsia="Times New Roman" w:hAnsi="Times New Roman" w:cs="Times New Roman"/>
      <w:noProof/>
      <w:color w:val="000000"/>
    </w:rPr>
  </w:style>
  <w:style w:type="paragraph" w:styleId="Pagrindinistekstas">
    <w:name w:val="Body Text"/>
    <w:basedOn w:val="prastasis"/>
    <w:link w:val="PagrindinistekstasDiagrama"/>
    <w:rsid w:val="00FD402E"/>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FD402E"/>
    <w:rPr>
      <w:rFonts w:ascii="Times New Roman" w:eastAsia="Times New Roman" w:hAnsi="Times New Roman" w:cs="Times New Roman"/>
      <w:szCs w:val="20"/>
      <w:lang w:eastAsia="lt-LT"/>
    </w:rPr>
  </w:style>
  <w:style w:type="character" w:customStyle="1" w:styleId="shorttext">
    <w:name w:val="short_text"/>
    <w:basedOn w:val="Numatytasispastraiposriftas"/>
    <w:rsid w:val="00FD402E"/>
  </w:style>
  <w:style w:type="character" w:customStyle="1" w:styleId="hps">
    <w:name w:val="hps"/>
    <w:basedOn w:val="Numatytasispastraiposriftas"/>
    <w:rsid w:val="00FD402E"/>
  </w:style>
  <w:style w:type="paragraph" w:styleId="Sraopastraipa">
    <w:name w:val="List Paragraph"/>
    <w:basedOn w:val="prastasis"/>
    <w:uiPriority w:val="34"/>
    <w:qFormat/>
    <w:rsid w:val="00FD402E"/>
    <w:pPr>
      <w:ind w:left="720"/>
      <w:contextualSpacing/>
    </w:pPr>
  </w:style>
  <w:style w:type="character" w:customStyle="1" w:styleId="Antrat3Diagrama">
    <w:name w:val="Antraštė 3 Diagrama"/>
    <w:basedOn w:val="Numatytasispastraiposriftas"/>
    <w:link w:val="Antrat3"/>
    <w:uiPriority w:val="9"/>
    <w:semiHidden/>
    <w:rsid w:val="00FD402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5315</Words>
  <Characters>3030</Characters>
  <Application>Microsoft Office Word</Application>
  <DocSecurity>0</DocSecurity>
  <Lines>25</Lines>
  <Paragraphs>16</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    Pakuotės lapelis: informacija vartotojui</vt:lpstr>
      <vt:lpstr>    1.	Kas yra Mikanisal ir kam jis vartojamas</vt:lpstr>
      <vt:lpstr>    2.	Kas žinotina prieš vartojant Mikanisal</vt:lpstr>
      <vt:lpstr>        Reikia vengti Mikanisal vartoti ant atvirų žaizdų ir į akis. Jeigu taip atsitin</vt:lpstr>
      <vt:lpstr>    3.	Kaip vartoti Mikanisal</vt:lpstr>
      <vt:lpstr>    </vt:lpstr>
      <vt:lpstr>    4.	Galimas šalutinis poveikis</vt:lpstr>
      <vt:lpstr>    5.	Kaip laikyti Mikanisal</vt:lpstr>
      <vt:lpstr>    6.	Pakuotės turinys ir kita informacija</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2024-10-24T12:19:00Z</dcterms:created>
  <dcterms:modified xsi:type="dcterms:W3CDTF">2024-10-24T12:20:00Z</dcterms:modified>
</cp:coreProperties>
</file>