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3FB4D"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4E"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4F"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0"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1"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2"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3"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4"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5"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6"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7"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8"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9"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A"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B"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C"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D"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E"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5F"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60"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61"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B62" w14:textId="77777777" w:rsidR="00162DB2" w:rsidRPr="00162DB2" w:rsidRDefault="00162DB2" w:rsidP="00162DB2">
      <w:pPr>
        <w:keepNext/>
        <w:spacing w:after="0" w:line="240" w:lineRule="auto"/>
        <w:jc w:val="center"/>
        <w:outlineLvl w:val="1"/>
        <w:rPr>
          <w:rFonts w:ascii="Times New Roman" w:eastAsia="SimSun" w:hAnsi="Times New Roman" w:cs="Times New Roman"/>
          <w:b/>
          <w:bCs/>
          <w:iCs/>
          <w:lang w:eastAsia="zh-CN"/>
        </w:rPr>
      </w:pPr>
    </w:p>
    <w:p w14:paraId="7E03FB63" w14:textId="77777777" w:rsidR="00162DB2" w:rsidRPr="00162DB2" w:rsidRDefault="00162DB2" w:rsidP="00162DB2">
      <w:pPr>
        <w:keepNext/>
        <w:spacing w:after="0" w:line="240" w:lineRule="auto"/>
        <w:jc w:val="center"/>
        <w:outlineLvl w:val="1"/>
        <w:rPr>
          <w:rFonts w:ascii="Times New Roman" w:eastAsia="SimSun" w:hAnsi="Times New Roman" w:cs="Times New Roman"/>
          <w:b/>
          <w:bCs/>
          <w:iCs/>
          <w:lang w:eastAsia="zh-CN"/>
        </w:rPr>
      </w:pPr>
    </w:p>
    <w:p w14:paraId="7E03FB64" w14:textId="77777777" w:rsidR="00162DB2" w:rsidRPr="00162DB2" w:rsidRDefault="00162DB2" w:rsidP="00162DB2">
      <w:pPr>
        <w:keepNext/>
        <w:spacing w:after="0" w:line="240" w:lineRule="auto"/>
        <w:jc w:val="center"/>
        <w:outlineLvl w:val="1"/>
        <w:rPr>
          <w:rFonts w:ascii="Times New Roman" w:eastAsia="SimSun" w:hAnsi="Times New Roman" w:cs="Times New Roman"/>
          <w:b/>
          <w:lang w:eastAsia="zh-CN"/>
        </w:rPr>
      </w:pPr>
      <w:r w:rsidRPr="00162DB2">
        <w:rPr>
          <w:rFonts w:ascii="Times New Roman" w:eastAsia="SimSun" w:hAnsi="Times New Roman" w:cs="Times New Roman"/>
          <w:b/>
          <w:bCs/>
          <w:iCs/>
          <w:lang w:eastAsia="zh-CN"/>
        </w:rPr>
        <w:t>I PRIEDAS</w:t>
      </w:r>
    </w:p>
    <w:p w14:paraId="7E03FB65" w14:textId="77777777" w:rsidR="00162DB2" w:rsidRPr="00162DB2" w:rsidRDefault="00162DB2" w:rsidP="00162DB2">
      <w:pPr>
        <w:spacing w:after="0" w:line="240" w:lineRule="auto"/>
        <w:rPr>
          <w:rFonts w:ascii="Times New Roman" w:eastAsia="Calibri" w:hAnsi="Times New Roman" w:cs="Times New Roman"/>
          <w:lang w:eastAsia="lt-LT"/>
        </w:rPr>
      </w:pPr>
    </w:p>
    <w:p w14:paraId="7E03FB66" w14:textId="77777777" w:rsidR="00162DB2" w:rsidRPr="00162DB2" w:rsidRDefault="00162DB2" w:rsidP="00162DB2">
      <w:pPr>
        <w:spacing w:after="0" w:line="240" w:lineRule="auto"/>
        <w:ind w:left="567" w:hanging="567"/>
        <w:jc w:val="center"/>
        <w:rPr>
          <w:rFonts w:ascii="Times New Roman" w:eastAsia="Calibri" w:hAnsi="Times New Roman" w:cs="Times New Roman"/>
          <w:lang w:eastAsia="lt-LT"/>
        </w:rPr>
      </w:pPr>
      <w:r w:rsidRPr="00162DB2">
        <w:rPr>
          <w:rFonts w:ascii="Times New Roman" w:eastAsia="Calibri" w:hAnsi="Times New Roman" w:cs="Times New Roman"/>
          <w:b/>
          <w:bCs/>
          <w:lang w:eastAsia="lt-LT"/>
        </w:rPr>
        <w:t>PREPARATO CHARAKTERISTIKŲ SANTRAUKA</w:t>
      </w:r>
    </w:p>
    <w:p w14:paraId="7E03FB67" w14:textId="77777777" w:rsidR="00162DB2" w:rsidRPr="00162DB2" w:rsidRDefault="00162DB2" w:rsidP="00162DB2">
      <w:pPr>
        <w:tabs>
          <w:tab w:val="left" w:pos="567"/>
        </w:tabs>
        <w:spacing w:after="0" w:line="240" w:lineRule="auto"/>
        <w:jc w:val="both"/>
        <w:rPr>
          <w:rFonts w:ascii="Times New Roman" w:eastAsia="Calibri" w:hAnsi="Times New Roman" w:cs="Times New Roman"/>
          <w:lang w:eastAsia="lt-LT"/>
        </w:rPr>
      </w:pPr>
    </w:p>
    <w:p w14:paraId="7E03FB68" w14:textId="77777777" w:rsidR="00162DB2" w:rsidRPr="00162DB2" w:rsidRDefault="00162DB2" w:rsidP="00162DB2">
      <w:pPr>
        <w:tabs>
          <w:tab w:val="left" w:pos="567"/>
        </w:tabs>
        <w:spacing w:after="0" w:line="240" w:lineRule="auto"/>
        <w:jc w:val="both"/>
        <w:rPr>
          <w:rFonts w:ascii="Times New Roman" w:eastAsia="Calibri" w:hAnsi="Times New Roman" w:cs="Times New Roman"/>
          <w:lang w:eastAsia="lt-LT"/>
        </w:rPr>
      </w:pPr>
    </w:p>
    <w:p w14:paraId="7E03FB69" w14:textId="77777777" w:rsidR="00162DB2" w:rsidRPr="00162DB2" w:rsidRDefault="00162DB2" w:rsidP="00162DB2">
      <w:pPr>
        <w:tabs>
          <w:tab w:val="left" w:pos="567"/>
        </w:tabs>
        <w:spacing w:after="0" w:line="240" w:lineRule="auto"/>
        <w:jc w:val="both"/>
        <w:rPr>
          <w:rFonts w:ascii="Times New Roman" w:eastAsia="Calibri" w:hAnsi="Times New Roman" w:cs="Times New Roman"/>
          <w:lang w:eastAsia="lt-LT"/>
        </w:rPr>
      </w:pPr>
    </w:p>
    <w:p w14:paraId="7E03FB6A" w14:textId="77777777" w:rsidR="00162DB2" w:rsidRPr="00162DB2" w:rsidRDefault="00162DB2" w:rsidP="00162DB2">
      <w:pPr>
        <w:tabs>
          <w:tab w:val="left" w:pos="567"/>
        </w:tabs>
        <w:spacing w:after="0" w:line="240" w:lineRule="auto"/>
        <w:jc w:val="both"/>
        <w:rPr>
          <w:rFonts w:ascii="Times New Roman" w:eastAsia="Calibri" w:hAnsi="Times New Roman" w:cs="Times New Roman"/>
          <w:lang w:eastAsia="lt-LT"/>
        </w:rPr>
      </w:pPr>
    </w:p>
    <w:p w14:paraId="7E03FB6B" w14:textId="77777777" w:rsidR="00162DB2" w:rsidRPr="00162DB2" w:rsidRDefault="00162DB2" w:rsidP="00162DB2">
      <w:pPr>
        <w:tabs>
          <w:tab w:val="left" w:pos="567"/>
        </w:tabs>
        <w:spacing w:after="0" w:line="240" w:lineRule="auto"/>
        <w:jc w:val="both"/>
        <w:rPr>
          <w:rFonts w:ascii="Times New Roman" w:eastAsia="Calibri" w:hAnsi="Times New Roman" w:cs="Times New Roman"/>
          <w:lang w:eastAsia="lt-LT"/>
        </w:rPr>
      </w:pPr>
    </w:p>
    <w:p w14:paraId="7E03FB6C" w14:textId="77777777" w:rsidR="00162DB2" w:rsidRPr="00162DB2" w:rsidRDefault="00162DB2" w:rsidP="00162DB2">
      <w:pPr>
        <w:tabs>
          <w:tab w:val="left" w:pos="567"/>
        </w:tabs>
        <w:spacing w:after="0" w:line="240" w:lineRule="auto"/>
        <w:jc w:val="both"/>
        <w:rPr>
          <w:rFonts w:ascii="Times New Roman" w:eastAsia="Calibri" w:hAnsi="Times New Roman" w:cs="Times New Roman"/>
          <w:lang w:eastAsia="lt-LT"/>
        </w:rPr>
      </w:pPr>
    </w:p>
    <w:p w14:paraId="7E03FB6D" w14:textId="77777777" w:rsidR="00162DB2" w:rsidRPr="00162DB2" w:rsidRDefault="00162DB2" w:rsidP="00162DB2">
      <w:pPr>
        <w:spacing w:after="200"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br w:type="page"/>
      </w:r>
    </w:p>
    <w:p w14:paraId="2E0CF39C" w14:textId="77777777" w:rsidR="005A24FA" w:rsidRPr="00162DB2" w:rsidRDefault="005A24FA" w:rsidP="005A24FA">
      <w:pPr>
        <w:tabs>
          <w:tab w:val="left" w:pos="567"/>
          <w:tab w:val="left" w:pos="709"/>
        </w:tabs>
        <w:spacing w:after="0" w:line="240" w:lineRule="auto"/>
        <w:rPr>
          <w:rFonts w:ascii="Times New Roman" w:eastAsia="Calibri" w:hAnsi="Times New Roman" w:cs="Times New Roman"/>
          <w:b/>
          <w:bCs/>
          <w:caps/>
          <w:lang w:eastAsia="lt-LT"/>
        </w:rPr>
      </w:pPr>
      <w:r w:rsidRPr="00162DB2">
        <w:rPr>
          <w:rFonts w:ascii="Times New Roman" w:eastAsia="Calibri" w:hAnsi="Times New Roman" w:cs="Times New Roman"/>
          <w:b/>
          <w:bCs/>
          <w:caps/>
          <w:lang w:eastAsia="lt-LT"/>
        </w:rPr>
        <w:lastRenderedPageBreak/>
        <w:t>1.</w:t>
      </w:r>
      <w:r w:rsidRPr="00162DB2">
        <w:rPr>
          <w:rFonts w:ascii="Times New Roman" w:eastAsia="Calibri" w:hAnsi="Times New Roman" w:cs="Times New Roman"/>
          <w:b/>
          <w:bCs/>
          <w:caps/>
          <w:spacing w:val="6"/>
          <w:lang w:eastAsia="lt-LT"/>
        </w:rPr>
        <w:tab/>
      </w:r>
      <w:r w:rsidRPr="00162DB2">
        <w:rPr>
          <w:rFonts w:ascii="Times New Roman" w:eastAsia="Calibri" w:hAnsi="Times New Roman" w:cs="Times New Roman"/>
          <w:b/>
          <w:bCs/>
          <w:caps/>
          <w:lang w:eastAsia="lt-LT"/>
        </w:rPr>
        <w:t>VAISTINIO PREPARATO PAVADINIMAS</w:t>
      </w:r>
    </w:p>
    <w:p w14:paraId="41EA6ACF" w14:textId="77777777" w:rsidR="005A24FA" w:rsidRPr="00162DB2" w:rsidRDefault="005A24FA" w:rsidP="005A24FA">
      <w:pPr>
        <w:tabs>
          <w:tab w:val="left" w:pos="567"/>
          <w:tab w:val="left" w:pos="709"/>
        </w:tabs>
        <w:spacing w:after="0" w:line="240" w:lineRule="auto"/>
        <w:rPr>
          <w:rFonts w:ascii="Times New Roman" w:eastAsia="Calibri" w:hAnsi="Times New Roman" w:cs="Times New Roman"/>
          <w:lang w:eastAsia="lt-LT"/>
        </w:rPr>
      </w:pPr>
    </w:p>
    <w:p w14:paraId="59105772" w14:textId="77777777" w:rsidR="005A24FA" w:rsidRPr="00162DB2" w:rsidRDefault="005A24FA" w:rsidP="005A24FA">
      <w:pPr>
        <w:tabs>
          <w:tab w:val="left" w:pos="567"/>
          <w:tab w:val="left" w:pos="709"/>
          <w:tab w:val="left" w:pos="851"/>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100 mg/ml injekcinis ar infuzinis tirpalas</w:t>
      </w:r>
    </w:p>
    <w:p w14:paraId="62F79EDB" w14:textId="77777777" w:rsidR="005A24FA" w:rsidRPr="00162DB2" w:rsidRDefault="005A24FA" w:rsidP="005A24FA">
      <w:pPr>
        <w:tabs>
          <w:tab w:val="left" w:pos="567"/>
        </w:tabs>
        <w:spacing w:after="0" w:line="240" w:lineRule="auto"/>
        <w:outlineLvl w:val="0"/>
        <w:rPr>
          <w:rFonts w:ascii="Times New Roman" w:eastAsia="Times New Roman" w:hAnsi="Times New Roman" w:cs="Times New Roman"/>
          <w:kern w:val="28"/>
          <w:lang w:eastAsia="lt-LT"/>
        </w:rPr>
      </w:pPr>
    </w:p>
    <w:p w14:paraId="50962DB8" w14:textId="77777777" w:rsidR="005A24FA" w:rsidRPr="00162DB2" w:rsidRDefault="005A24FA" w:rsidP="005A24FA">
      <w:pPr>
        <w:tabs>
          <w:tab w:val="left" w:pos="567"/>
        </w:tabs>
        <w:spacing w:after="0" w:line="240" w:lineRule="auto"/>
        <w:outlineLvl w:val="0"/>
        <w:rPr>
          <w:rFonts w:ascii="Times New Roman" w:eastAsia="Times New Roman" w:hAnsi="Times New Roman" w:cs="Times New Roman"/>
          <w:kern w:val="28"/>
          <w:lang w:eastAsia="lt-LT"/>
        </w:rPr>
      </w:pPr>
    </w:p>
    <w:p w14:paraId="2C64D6D8" w14:textId="77777777" w:rsidR="005A24FA" w:rsidRPr="00162DB2" w:rsidRDefault="005A24FA" w:rsidP="005A24FA">
      <w:pPr>
        <w:tabs>
          <w:tab w:val="left" w:pos="567"/>
          <w:tab w:val="left" w:pos="709"/>
          <w:tab w:val="left" w:pos="851"/>
        </w:tabs>
        <w:spacing w:after="0" w:line="240" w:lineRule="auto"/>
        <w:rPr>
          <w:rFonts w:ascii="Times New Roman" w:eastAsia="Calibri" w:hAnsi="Times New Roman" w:cs="Times New Roman"/>
          <w:b/>
          <w:bCs/>
          <w:caps/>
          <w:lang w:eastAsia="lt-LT"/>
        </w:rPr>
      </w:pPr>
      <w:r w:rsidRPr="00162DB2">
        <w:rPr>
          <w:rFonts w:ascii="Times New Roman" w:eastAsia="Calibri" w:hAnsi="Times New Roman" w:cs="Times New Roman"/>
          <w:b/>
          <w:bCs/>
          <w:caps/>
          <w:lang w:eastAsia="lt-LT"/>
        </w:rPr>
        <w:t>2.</w:t>
      </w:r>
      <w:r w:rsidRPr="00162DB2">
        <w:rPr>
          <w:rFonts w:ascii="Times New Roman" w:eastAsia="Calibri" w:hAnsi="Times New Roman" w:cs="Times New Roman"/>
          <w:b/>
          <w:bCs/>
          <w:caps/>
          <w:spacing w:val="6"/>
          <w:lang w:eastAsia="lt-LT"/>
        </w:rPr>
        <w:tab/>
      </w:r>
      <w:r w:rsidRPr="00162DB2">
        <w:rPr>
          <w:rFonts w:ascii="Times New Roman" w:eastAsia="Calibri" w:hAnsi="Times New Roman" w:cs="Times New Roman"/>
          <w:b/>
          <w:bCs/>
          <w:caps/>
          <w:lang w:eastAsia="lt-LT"/>
        </w:rPr>
        <w:t>kokybinė ir kiekybinė sudėtis</w:t>
      </w:r>
    </w:p>
    <w:p w14:paraId="3392DEA2"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caps/>
          <w:lang w:eastAsia="lt-LT"/>
        </w:rPr>
      </w:pPr>
    </w:p>
    <w:p w14:paraId="2473AF3D"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Viename mililitre tirpalo yra 100 mg geležies (geležies (III) </w:t>
      </w:r>
      <w:proofErr w:type="spellStart"/>
      <w:r>
        <w:rPr>
          <w:rFonts w:ascii="Times New Roman" w:eastAsia="Calibri" w:hAnsi="Times New Roman" w:cs="Times New Roman"/>
          <w:lang w:eastAsia="lt-LT"/>
        </w:rPr>
        <w:t>derisomaltozės</w:t>
      </w:r>
      <w:proofErr w:type="spellEnd"/>
      <w:r w:rsidRPr="00162DB2">
        <w:rPr>
          <w:rFonts w:ascii="Times New Roman" w:eastAsia="Calibri" w:hAnsi="Times New Roman" w:cs="Times New Roman"/>
          <w:lang w:eastAsia="lt-LT"/>
        </w:rPr>
        <w:t xml:space="preserve"> pavidalu).</w:t>
      </w:r>
    </w:p>
    <w:p w14:paraId="05168E75"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lang w:eastAsia="lt-LT"/>
        </w:rPr>
      </w:pPr>
    </w:p>
    <w:p w14:paraId="4D63C312"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 ml flakone/ampulėje yra 100 mg geležies (geležies (III) </w:t>
      </w:r>
      <w:proofErr w:type="spellStart"/>
      <w:r w:rsidRPr="00BD3423">
        <w:rPr>
          <w:rFonts w:ascii="Times New Roman" w:eastAsia="Calibri" w:hAnsi="Times New Roman" w:cs="Times New Roman"/>
          <w:lang w:eastAsia="lt-LT"/>
        </w:rPr>
        <w:t>derisomaltozės</w:t>
      </w:r>
      <w:proofErr w:type="spellEnd"/>
      <w:r w:rsidRPr="00162DB2">
        <w:rPr>
          <w:rFonts w:ascii="Times New Roman" w:eastAsia="Calibri" w:hAnsi="Times New Roman" w:cs="Times New Roman"/>
          <w:lang w:eastAsia="lt-LT"/>
        </w:rPr>
        <w:t xml:space="preserve"> pavidalu).</w:t>
      </w:r>
    </w:p>
    <w:p w14:paraId="073F5598"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ml flakone/ampulėje yra 200 mg geležies (geležies (III) </w:t>
      </w:r>
      <w:proofErr w:type="spellStart"/>
      <w:r w:rsidRPr="00BD3423">
        <w:rPr>
          <w:rFonts w:ascii="Times New Roman" w:eastAsia="Calibri" w:hAnsi="Times New Roman" w:cs="Times New Roman"/>
          <w:lang w:eastAsia="lt-LT"/>
        </w:rPr>
        <w:t>derisomaltozės</w:t>
      </w:r>
      <w:proofErr w:type="spellEnd"/>
      <w:r w:rsidRPr="00162DB2">
        <w:rPr>
          <w:rFonts w:ascii="Times New Roman" w:eastAsia="Calibri" w:hAnsi="Times New Roman" w:cs="Times New Roman"/>
          <w:lang w:eastAsia="lt-LT"/>
        </w:rPr>
        <w:t xml:space="preserve"> pavidalu).</w:t>
      </w:r>
    </w:p>
    <w:p w14:paraId="23C369B5"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5 ml flakone/ampulėje yra 500 mg geležies (geležies (III) </w:t>
      </w:r>
      <w:proofErr w:type="spellStart"/>
      <w:r w:rsidRPr="00BD3423">
        <w:rPr>
          <w:rFonts w:ascii="Times New Roman" w:eastAsia="Calibri" w:hAnsi="Times New Roman" w:cs="Times New Roman"/>
          <w:lang w:eastAsia="lt-LT"/>
        </w:rPr>
        <w:t>derisomaltozės</w:t>
      </w:r>
      <w:proofErr w:type="spellEnd"/>
      <w:r w:rsidRPr="00162DB2">
        <w:rPr>
          <w:rFonts w:ascii="Times New Roman" w:eastAsia="Calibri" w:hAnsi="Times New Roman" w:cs="Times New Roman"/>
          <w:lang w:eastAsia="lt-LT"/>
        </w:rPr>
        <w:t xml:space="preserve"> pavidalu).</w:t>
      </w:r>
    </w:p>
    <w:p w14:paraId="1ABB1528"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10 ml flakone/ampulėje yra 1000 mg geležies (geležies (III) </w:t>
      </w:r>
      <w:proofErr w:type="spellStart"/>
      <w:r w:rsidRPr="00BD3423">
        <w:rPr>
          <w:rFonts w:ascii="Times New Roman" w:eastAsia="Calibri" w:hAnsi="Times New Roman" w:cs="Times New Roman"/>
          <w:lang w:eastAsia="lt-LT"/>
        </w:rPr>
        <w:t>derisomaltozės</w:t>
      </w:r>
      <w:proofErr w:type="spellEnd"/>
      <w:r w:rsidRPr="00162DB2">
        <w:rPr>
          <w:rFonts w:ascii="Times New Roman" w:eastAsia="Calibri" w:hAnsi="Times New Roman" w:cs="Times New Roman"/>
          <w:lang w:eastAsia="lt-LT"/>
        </w:rPr>
        <w:t xml:space="preserve"> pavidalu).</w:t>
      </w:r>
    </w:p>
    <w:p w14:paraId="16274F30" w14:textId="77777777" w:rsidR="005A24FA" w:rsidRPr="00B37920" w:rsidRDefault="005A24FA" w:rsidP="005A24FA">
      <w:pPr>
        <w:tabs>
          <w:tab w:val="left" w:pos="567"/>
          <w:tab w:val="left" w:pos="851"/>
        </w:tabs>
        <w:spacing w:after="0" w:line="240" w:lineRule="auto"/>
        <w:rPr>
          <w:rFonts w:ascii="Times New Roman" w:eastAsia="Times New Roman" w:hAnsi="Times New Roman" w:cs="Times New Roman"/>
          <w:snapToGrid w:val="0"/>
          <w:lang w:eastAsia="lt-LT"/>
        </w:rPr>
      </w:pPr>
    </w:p>
    <w:p w14:paraId="7D15ABFE" w14:textId="77777777" w:rsidR="005A24FA" w:rsidRPr="00C20133" w:rsidRDefault="005A24FA" w:rsidP="005A24FA">
      <w:pPr>
        <w:tabs>
          <w:tab w:val="left" w:pos="567"/>
          <w:tab w:val="left" w:pos="851"/>
        </w:tabs>
        <w:spacing w:after="0" w:line="240" w:lineRule="auto"/>
        <w:rPr>
          <w:rFonts w:ascii="Times New Roman" w:hAnsi="Times New Roman" w:cs="Times New Roman"/>
        </w:rPr>
      </w:pPr>
      <w:r w:rsidRPr="00C20133">
        <w:rPr>
          <w:rFonts w:ascii="Times New Roman" w:hAnsi="Times New Roman" w:cs="Times New Roman"/>
        </w:rPr>
        <w:t>100</w:t>
      </w:r>
      <w:r>
        <w:rPr>
          <w:rFonts w:ascii="Times New Roman" w:hAnsi="Times New Roman" w:cs="Times New Roman"/>
        </w:rPr>
        <w:t> </w:t>
      </w:r>
      <w:r w:rsidRPr="00C20133">
        <w:rPr>
          <w:rFonts w:ascii="Times New Roman" w:hAnsi="Times New Roman" w:cs="Times New Roman"/>
        </w:rPr>
        <w:t>mg geležies dozėje yra iki 9,4</w:t>
      </w:r>
      <w:r>
        <w:rPr>
          <w:rFonts w:ascii="Times New Roman" w:hAnsi="Times New Roman" w:cs="Times New Roman"/>
        </w:rPr>
        <w:t> </w:t>
      </w:r>
      <w:r w:rsidRPr="00C20133">
        <w:rPr>
          <w:rFonts w:ascii="Times New Roman" w:hAnsi="Times New Roman" w:cs="Times New Roman"/>
        </w:rPr>
        <w:t>mg (0,41</w:t>
      </w:r>
      <w:r>
        <w:rPr>
          <w:rFonts w:ascii="Times New Roman" w:hAnsi="Times New Roman" w:cs="Times New Roman"/>
        </w:rPr>
        <w:t> </w:t>
      </w:r>
      <w:proofErr w:type="spellStart"/>
      <w:r w:rsidRPr="00C20133">
        <w:rPr>
          <w:rFonts w:ascii="Times New Roman" w:hAnsi="Times New Roman" w:cs="Times New Roman"/>
        </w:rPr>
        <w:t>mmol</w:t>
      </w:r>
      <w:proofErr w:type="spellEnd"/>
      <w:r w:rsidRPr="00C20133">
        <w:rPr>
          <w:rFonts w:ascii="Times New Roman" w:hAnsi="Times New Roman" w:cs="Times New Roman"/>
        </w:rPr>
        <w:t>) natrio, žr. 4.4 skyrių.</w:t>
      </w:r>
    </w:p>
    <w:p w14:paraId="43741B05" w14:textId="77777777" w:rsidR="005A24FA" w:rsidRPr="00162DB2" w:rsidRDefault="005A24FA" w:rsidP="005A24FA">
      <w:pPr>
        <w:tabs>
          <w:tab w:val="left" w:pos="567"/>
          <w:tab w:val="left" w:pos="851"/>
        </w:tabs>
        <w:spacing w:after="0" w:line="240" w:lineRule="auto"/>
        <w:rPr>
          <w:rFonts w:ascii="Times New Roman" w:eastAsia="Times New Roman" w:hAnsi="Times New Roman" w:cs="Times New Roman"/>
          <w:snapToGrid w:val="0"/>
          <w:lang w:eastAsia="lt-LT"/>
        </w:rPr>
      </w:pPr>
    </w:p>
    <w:p w14:paraId="583D7072" w14:textId="77777777" w:rsidR="005A24FA" w:rsidRPr="00162DB2" w:rsidRDefault="005A24FA" w:rsidP="005A24FA">
      <w:pPr>
        <w:tabs>
          <w:tab w:val="left" w:pos="567"/>
        </w:tabs>
        <w:spacing w:after="0" w:line="240" w:lineRule="auto"/>
        <w:outlineLvl w:val="0"/>
        <w:rPr>
          <w:rFonts w:ascii="Times New Roman" w:eastAsia="Times New Roman" w:hAnsi="Times New Roman" w:cs="Times New Roman"/>
          <w:kern w:val="28"/>
          <w:lang w:eastAsia="lt-LT"/>
        </w:rPr>
      </w:pPr>
      <w:r w:rsidRPr="00162DB2">
        <w:rPr>
          <w:rFonts w:ascii="Times New Roman" w:eastAsia="Times New Roman" w:hAnsi="Times New Roman" w:cs="Times New Roman"/>
          <w:kern w:val="28"/>
          <w:lang w:eastAsia="lt-LT"/>
        </w:rPr>
        <w:t>Visos pagalbinės medžiagos išvardytos 6.1 skyriuje.</w:t>
      </w:r>
    </w:p>
    <w:p w14:paraId="480FB941"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p>
    <w:p w14:paraId="1E42C569"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p>
    <w:p w14:paraId="029C1BF9" w14:textId="77777777" w:rsidR="005A24FA" w:rsidRPr="00162DB2" w:rsidRDefault="005A24FA" w:rsidP="005A24FA">
      <w:pPr>
        <w:tabs>
          <w:tab w:val="left" w:pos="567"/>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3.</w:t>
      </w:r>
      <w:r w:rsidRPr="00162DB2">
        <w:rPr>
          <w:rFonts w:ascii="Times New Roman" w:eastAsia="Calibri" w:hAnsi="Times New Roman" w:cs="Times New Roman"/>
          <w:b/>
          <w:lang w:eastAsia="lt-LT"/>
        </w:rPr>
        <w:tab/>
        <w:t>FARMACINĖ FORMA</w:t>
      </w:r>
    </w:p>
    <w:p w14:paraId="39E9D63B" w14:textId="77777777" w:rsidR="005A24FA" w:rsidRPr="00162DB2" w:rsidRDefault="005A24FA" w:rsidP="005A24FA">
      <w:pPr>
        <w:tabs>
          <w:tab w:val="left" w:pos="567"/>
        </w:tabs>
        <w:spacing w:after="0" w:line="240" w:lineRule="auto"/>
        <w:outlineLvl w:val="0"/>
        <w:rPr>
          <w:rFonts w:ascii="Times New Roman" w:eastAsia="Times New Roman" w:hAnsi="Times New Roman" w:cs="Times New Roman"/>
          <w:kern w:val="28"/>
          <w:lang w:eastAsia="lt-LT"/>
        </w:rPr>
      </w:pPr>
    </w:p>
    <w:p w14:paraId="5ACC66CF" w14:textId="77777777" w:rsidR="005A24FA" w:rsidRPr="00162DB2" w:rsidRDefault="005A24FA" w:rsidP="005A24FA">
      <w:pPr>
        <w:tabs>
          <w:tab w:val="left" w:pos="567"/>
        </w:tabs>
        <w:spacing w:after="0" w:line="240" w:lineRule="auto"/>
        <w:outlineLvl w:val="0"/>
        <w:rPr>
          <w:rFonts w:ascii="Times New Roman" w:eastAsia="Times New Roman" w:hAnsi="Times New Roman" w:cs="Times New Roman"/>
          <w:kern w:val="28"/>
          <w:lang w:eastAsia="lt-LT"/>
        </w:rPr>
      </w:pPr>
      <w:r w:rsidRPr="00162DB2">
        <w:rPr>
          <w:rFonts w:ascii="Times New Roman" w:eastAsia="Times New Roman" w:hAnsi="Times New Roman" w:cs="Times New Roman"/>
          <w:kern w:val="28"/>
          <w:lang w:eastAsia="lt-LT"/>
        </w:rPr>
        <w:t>Injekcinis</w:t>
      </w:r>
      <w:r w:rsidRPr="00162DB2">
        <w:rPr>
          <w:rFonts w:ascii="Times New Roman" w:eastAsia="Times New Roman" w:hAnsi="Times New Roman" w:cs="Times New Roman"/>
          <w:bCs/>
          <w:kern w:val="28"/>
          <w:lang w:eastAsia="lt-LT"/>
        </w:rPr>
        <w:t xml:space="preserve"> ar </w:t>
      </w:r>
      <w:r w:rsidRPr="00162DB2">
        <w:rPr>
          <w:rFonts w:ascii="Times New Roman" w:eastAsia="Times New Roman" w:hAnsi="Times New Roman" w:cs="Times New Roman"/>
          <w:kern w:val="28"/>
          <w:lang w:eastAsia="lt-LT"/>
        </w:rPr>
        <w:t>infuzinis tirpalas</w:t>
      </w:r>
      <w:r w:rsidRPr="00162DB2">
        <w:rPr>
          <w:rFonts w:ascii="Times New Roman" w:eastAsia="Times New Roman" w:hAnsi="Times New Roman" w:cs="Times New Roman"/>
          <w:bCs/>
          <w:kern w:val="28"/>
          <w:lang w:eastAsia="lt-LT"/>
        </w:rPr>
        <w:t>.</w:t>
      </w:r>
    </w:p>
    <w:p w14:paraId="6E90E7B7"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bCs/>
          <w:lang w:eastAsia="lt-LT"/>
        </w:rPr>
        <w:t>Tirpalas yra tamsiai rudas, neskaidrus.</w:t>
      </w:r>
    </w:p>
    <w:p w14:paraId="4816537D"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p>
    <w:p w14:paraId="1B8DAD91" w14:textId="77777777" w:rsidR="005A24FA" w:rsidRPr="00162DB2" w:rsidRDefault="005A24FA" w:rsidP="005A24FA">
      <w:pPr>
        <w:tabs>
          <w:tab w:val="left" w:pos="567"/>
        </w:tabs>
        <w:spacing w:after="0" w:line="240" w:lineRule="auto"/>
        <w:rPr>
          <w:rFonts w:ascii="Times New Roman" w:eastAsia="Calibri" w:hAnsi="Times New Roman" w:cs="Times New Roman"/>
          <w:bCs/>
          <w:lang w:eastAsia="lt-LT"/>
        </w:rPr>
      </w:pPr>
    </w:p>
    <w:p w14:paraId="25484E46" w14:textId="77777777" w:rsidR="005A24FA" w:rsidRPr="00162DB2" w:rsidRDefault="005A24FA" w:rsidP="005A24FA">
      <w:pPr>
        <w:tabs>
          <w:tab w:val="left" w:pos="120"/>
          <w:tab w:val="left" w:pos="540"/>
          <w:tab w:val="left" w:pos="567"/>
        </w:tabs>
        <w:spacing w:after="0" w:line="240" w:lineRule="auto"/>
        <w:rPr>
          <w:rFonts w:ascii="Times New Roman" w:eastAsia="Calibri" w:hAnsi="Times New Roman" w:cs="Times New Roman"/>
          <w:b/>
          <w:caps/>
          <w:lang w:eastAsia="lt-LT"/>
        </w:rPr>
      </w:pPr>
      <w:r w:rsidRPr="00162DB2">
        <w:rPr>
          <w:rFonts w:ascii="Times New Roman" w:eastAsia="Calibri" w:hAnsi="Times New Roman" w:cs="Times New Roman"/>
          <w:b/>
          <w:caps/>
          <w:lang w:eastAsia="lt-LT"/>
        </w:rPr>
        <w:t>4.</w:t>
      </w:r>
      <w:r w:rsidRPr="00162DB2">
        <w:rPr>
          <w:rFonts w:ascii="Times New Roman" w:eastAsia="Calibri" w:hAnsi="Times New Roman" w:cs="Times New Roman"/>
          <w:b/>
          <w:caps/>
          <w:lang w:eastAsia="lt-LT"/>
        </w:rPr>
        <w:tab/>
        <w:t>klinikinĖ informacija</w:t>
      </w:r>
    </w:p>
    <w:p w14:paraId="61EF888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p>
    <w:p w14:paraId="3D56811C" w14:textId="77777777" w:rsidR="005A24FA" w:rsidRPr="00162DB2" w:rsidRDefault="005A24FA" w:rsidP="005A24FA">
      <w:pPr>
        <w:tabs>
          <w:tab w:val="left" w:pos="120"/>
          <w:tab w:val="left" w:pos="54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b/>
          <w:bCs/>
          <w:lang w:eastAsia="lt-LT"/>
        </w:rPr>
        <w:t>4.1</w:t>
      </w:r>
      <w:r w:rsidRPr="00162DB2">
        <w:rPr>
          <w:rFonts w:ascii="Times New Roman" w:eastAsia="Calibri" w:hAnsi="Times New Roman" w:cs="Times New Roman"/>
          <w:b/>
          <w:bCs/>
          <w:lang w:eastAsia="lt-LT"/>
        </w:rPr>
        <w:tab/>
        <w:t>Terapinės indikacijos</w:t>
      </w:r>
    </w:p>
    <w:p w14:paraId="3AA3DAA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B070298" w14:textId="77777777" w:rsidR="005A24FA" w:rsidRPr="00162DB2" w:rsidRDefault="005A24FA" w:rsidP="005A24FA">
      <w:pPr>
        <w:tabs>
          <w:tab w:val="left" w:pos="567"/>
          <w:tab w:val="left" w:pos="993"/>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yra skirtas geležies stokos gydymui, esant toliau išvardintoms būklėms:</w:t>
      </w:r>
    </w:p>
    <w:p w14:paraId="16FB4C3A" w14:textId="77777777" w:rsidR="005A24FA" w:rsidRPr="00162DB2" w:rsidRDefault="005A24FA" w:rsidP="005A24FA">
      <w:pPr>
        <w:tabs>
          <w:tab w:val="left" w:pos="567"/>
          <w:tab w:val="left" w:pos="993"/>
        </w:tabs>
        <w:spacing w:after="0" w:line="240" w:lineRule="auto"/>
        <w:rPr>
          <w:rFonts w:ascii="Times New Roman" w:eastAsia="Calibri" w:hAnsi="Times New Roman" w:cs="Times New Roman"/>
          <w:lang w:eastAsia="lt-LT"/>
        </w:rPr>
      </w:pPr>
    </w:p>
    <w:p w14:paraId="41A7F9BA" w14:textId="77777777" w:rsidR="005A24FA" w:rsidRPr="00162DB2" w:rsidRDefault="005A24FA" w:rsidP="005A24FA">
      <w:pPr>
        <w:numPr>
          <w:ilvl w:val="0"/>
          <w:numId w:val="19"/>
        </w:numPr>
        <w:tabs>
          <w:tab w:val="left" w:pos="24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kai negalima vartoti geriamųjų geležies preparatų arba jų vartojimas yra neveiksmingas;</w:t>
      </w:r>
    </w:p>
    <w:p w14:paraId="6424384C" w14:textId="77777777" w:rsidR="005A24FA" w:rsidRPr="00162DB2" w:rsidRDefault="005A24FA" w:rsidP="005A24FA">
      <w:pPr>
        <w:numPr>
          <w:ilvl w:val="0"/>
          <w:numId w:val="19"/>
        </w:numPr>
        <w:tabs>
          <w:tab w:val="left" w:pos="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kliniškai būtina greitai papildyti geležies atsargas.</w:t>
      </w:r>
    </w:p>
    <w:p w14:paraId="5C90B2BE" w14:textId="77777777" w:rsidR="005A24FA" w:rsidRPr="00162DB2" w:rsidRDefault="005A24FA" w:rsidP="005A24FA">
      <w:pPr>
        <w:tabs>
          <w:tab w:val="left" w:pos="567"/>
          <w:tab w:val="num" w:pos="993"/>
        </w:tabs>
        <w:spacing w:after="0" w:line="240" w:lineRule="auto"/>
        <w:ind w:firstLine="709"/>
        <w:rPr>
          <w:rFonts w:ascii="Times New Roman" w:eastAsia="Calibri" w:hAnsi="Times New Roman" w:cs="Times New Roman"/>
          <w:lang w:eastAsia="lt-LT"/>
        </w:rPr>
      </w:pPr>
    </w:p>
    <w:p w14:paraId="36261BE2" w14:textId="77777777" w:rsidR="005A24FA" w:rsidRPr="005D7607" w:rsidRDefault="005A24FA" w:rsidP="005A24FA">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Diagnozė turi būti paremta laboratoriniais tyrimais.</w:t>
      </w:r>
      <w:r>
        <w:rPr>
          <w:rFonts w:ascii="Times New Roman" w:eastAsia="Calibri" w:hAnsi="Times New Roman" w:cs="Times New Roman"/>
          <w:lang w:eastAsia="lt-LT"/>
        </w:rPr>
        <w:t xml:space="preserve"> </w:t>
      </w:r>
      <w:r w:rsidRPr="005D7607">
        <w:rPr>
          <w:rFonts w:ascii="Times New Roman" w:eastAsia="Calibri" w:hAnsi="Times New Roman" w:cs="Times New Roman"/>
          <w:lang w:eastAsia="lt-LT"/>
        </w:rPr>
        <w:t>Ūminio kraujo netekimo atveju, hemoglobino tyrimas yra pakankamas diagnostinis laboratorinis tyrimas.</w:t>
      </w:r>
    </w:p>
    <w:p w14:paraId="6F08866A" w14:textId="77777777" w:rsidR="005A24FA" w:rsidRPr="00162DB2" w:rsidRDefault="005A24FA" w:rsidP="005A24FA">
      <w:pPr>
        <w:numPr>
          <w:ilvl w:val="1"/>
          <w:numId w:val="31"/>
        </w:numPr>
        <w:tabs>
          <w:tab w:val="clear" w:pos="570"/>
          <w:tab w:val="left" w:pos="120"/>
          <w:tab w:val="left" w:pos="567"/>
          <w:tab w:val="left" w:pos="709"/>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Dozavimas ir vartojimo metodas</w:t>
      </w:r>
    </w:p>
    <w:p w14:paraId="35197E21" w14:textId="77777777" w:rsidR="005A24FA" w:rsidRPr="00162DB2" w:rsidRDefault="005A24FA" w:rsidP="005A24FA">
      <w:pPr>
        <w:tabs>
          <w:tab w:val="left" w:pos="120"/>
          <w:tab w:val="left" w:pos="567"/>
          <w:tab w:val="left" w:pos="709"/>
        </w:tabs>
        <w:spacing w:after="0" w:line="240" w:lineRule="auto"/>
        <w:rPr>
          <w:rFonts w:ascii="Times New Roman" w:eastAsia="Calibri" w:hAnsi="Times New Roman" w:cs="Times New Roman"/>
          <w:b/>
          <w:bCs/>
          <w:lang w:eastAsia="lt-LT"/>
        </w:rPr>
      </w:pPr>
    </w:p>
    <w:p w14:paraId="2E0887F0" w14:textId="77777777" w:rsidR="005A24FA" w:rsidRPr="00162DB2" w:rsidRDefault="005A24FA" w:rsidP="005A24FA">
      <w:pPr>
        <w:tabs>
          <w:tab w:val="left" w:pos="120"/>
          <w:tab w:val="left" w:pos="567"/>
        </w:tabs>
        <w:spacing w:after="0" w:line="240" w:lineRule="auto"/>
        <w:rPr>
          <w:rFonts w:ascii="Times New Roman" w:hAnsi="Times New Roman" w:cs="Times New Roman"/>
        </w:rPr>
      </w:pPr>
      <w:r w:rsidRPr="00162DB2">
        <w:rPr>
          <w:rFonts w:ascii="Times New Roman" w:hAnsi="Times New Roman" w:cs="Times New Roman"/>
        </w:rPr>
        <w:t xml:space="preserve">Kiekvieną kartą atidžiai stebėkite, ar </w:t>
      </w: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vartojimo metu ir po vartojimo pacientams nepasireiškė padidėjusio jautrumo požymių ar simptomų. </w:t>
      </w: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turėtų būti vartojamas tik visa būtina gaivinimo įranga aprūpintoje aplinkoje ir kai netoliese yra personalo, išmokyto atpažinti ir suvaldyti anafilaksines reakcijas. Mažiausiai 30 minučių po kiekvienos </w:t>
      </w: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injekcijos reikia stebėti, ar pacientui nepasireiškė nepageidaujamas poveikis (žr. 4.4 skyrių).</w:t>
      </w:r>
    </w:p>
    <w:p w14:paraId="1853D4C3" w14:textId="77777777" w:rsidR="005A24FA" w:rsidRPr="00162DB2" w:rsidRDefault="005A24FA" w:rsidP="005A24FA">
      <w:pPr>
        <w:tabs>
          <w:tab w:val="left" w:pos="120"/>
          <w:tab w:val="left" w:pos="567"/>
        </w:tabs>
        <w:spacing w:after="0" w:line="240" w:lineRule="auto"/>
        <w:rPr>
          <w:rFonts w:ascii="Times New Roman" w:hAnsi="Times New Roman" w:cs="Times New Roman"/>
        </w:rPr>
      </w:pPr>
    </w:p>
    <w:p w14:paraId="6315F6C2" w14:textId="77777777" w:rsidR="005A24FA" w:rsidRPr="00162DB2" w:rsidRDefault="005A24FA" w:rsidP="005A24FA">
      <w:pPr>
        <w:spacing w:after="200" w:line="276" w:lineRule="auto"/>
        <w:rPr>
          <w:rFonts w:ascii="Times New Roman" w:hAnsi="Times New Roman" w:cs="Times New Roman"/>
        </w:rPr>
      </w:pPr>
      <w:r w:rsidRPr="00162DB2">
        <w:rPr>
          <w:rFonts w:ascii="Times New Roman" w:hAnsi="Times New Roman" w:cs="Times New Roman"/>
        </w:rPr>
        <w:t xml:space="preserve">Kiekvienas intraveninis geležies vartojimas yra susijęs su padidėjusio jautrumo reakcijos rizika. Todėl norint sumažinti riziką, reikia iki minimumo sumažinti vienkartinių intraveninių geležies skyrimų skaičių. </w:t>
      </w:r>
    </w:p>
    <w:p w14:paraId="5CA859F9" w14:textId="77777777" w:rsidR="005A24FA" w:rsidRPr="00162DB2" w:rsidRDefault="005A24FA" w:rsidP="005A24FA">
      <w:pPr>
        <w:spacing w:after="200" w:line="276" w:lineRule="auto"/>
        <w:rPr>
          <w:rFonts w:ascii="Times New Roman" w:hAnsi="Times New Roman" w:cs="Times New Roman"/>
        </w:rPr>
      </w:pPr>
      <w:r w:rsidRPr="00162DB2">
        <w:rPr>
          <w:rFonts w:ascii="Times New Roman" w:hAnsi="Times New Roman" w:cs="Times New Roman"/>
        </w:rPr>
        <w:t>Dozavimas</w:t>
      </w:r>
    </w:p>
    <w:p w14:paraId="41909C12" w14:textId="77777777" w:rsidR="005A24FA" w:rsidRPr="00162DB2" w:rsidRDefault="005A24FA" w:rsidP="005A24FA">
      <w:pPr>
        <w:spacing w:after="200" w:line="276" w:lineRule="auto"/>
        <w:rPr>
          <w:rFonts w:ascii="Times New Roman" w:hAnsi="Times New Roman" w:cs="Times New Roman"/>
        </w:rPr>
      </w:pP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dozavimas atliekamas palaipsniui: [1] individualaus geležies poreikio </w:t>
      </w:r>
      <w:proofErr w:type="spellStart"/>
      <w:r w:rsidRPr="00162DB2">
        <w:rPr>
          <w:rFonts w:ascii="Times New Roman" w:hAnsi="Times New Roman" w:cs="Times New Roman"/>
        </w:rPr>
        <w:t>nusatymas</w:t>
      </w:r>
      <w:proofErr w:type="spellEnd"/>
      <w:r w:rsidRPr="00162DB2">
        <w:rPr>
          <w:rFonts w:ascii="Times New Roman" w:hAnsi="Times New Roman" w:cs="Times New Roman"/>
        </w:rPr>
        <w:t xml:space="preserve"> ir [2] geležies dozės (-</w:t>
      </w:r>
      <w:proofErr w:type="spellStart"/>
      <w:r w:rsidRPr="00162DB2">
        <w:rPr>
          <w:rFonts w:ascii="Times New Roman" w:hAnsi="Times New Roman" w:cs="Times New Roman"/>
        </w:rPr>
        <w:t>ių</w:t>
      </w:r>
      <w:proofErr w:type="spellEnd"/>
      <w:r w:rsidRPr="00162DB2">
        <w:rPr>
          <w:rFonts w:ascii="Times New Roman" w:hAnsi="Times New Roman" w:cs="Times New Roman"/>
        </w:rPr>
        <w:t xml:space="preserve">) apskaičiavimas ir vartojimas. Žingsniai gali būti kartojami po [3] geležies atsargų įvertinimo. </w:t>
      </w:r>
    </w:p>
    <w:p w14:paraId="63C0269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lastRenderedPageBreak/>
        <w:t>1 žingsnis</w:t>
      </w:r>
      <w:r w:rsidRPr="00162DB2">
        <w:rPr>
          <w:rFonts w:ascii="Times New Roman" w:eastAsia="Calibri" w:hAnsi="Times New Roman" w:cs="Times New Roman"/>
          <w:lang w:eastAsia="lt-LT"/>
        </w:rPr>
        <w:t xml:space="preserve">. </w:t>
      </w:r>
      <w:r w:rsidRPr="00162DB2">
        <w:rPr>
          <w:rFonts w:ascii="Times New Roman" w:eastAsia="Calibri" w:hAnsi="Times New Roman" w:cs="Times New Roman"/>
          <w:i/>
          <w:iCs/>
          <w:lang w:eastAsia="lt-LT"/>
        </w:rPr>
        <w:t>Geležies poreikio nustatymas:</w:t>
      </w:r>
    </w:p>
    <w:p w14:paraId="5D96718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6F8F65F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 xml:space="preserve">Geležies poreikis gali būti apskaičiuojamas pagal žemiau pateiktą supaprastintą dozavimo lentelę (i) arba naudojant </w:t>
      </w:r>
      <w:proofErr w:type="spellStart"/>
      <w:r w:rsidRPr="00162DB2">
        <w:rPr>
          <w:rFonts w:ascii="Times New Roman" w:eastAsia="Calibri" w:hAnsi="Times New Roman" w:cs="Times New Roman"/>
          <w:i/>
          <w:iCs/>
          <w:lang w:eastAsia="lt-LT"/>
        </w:rPr>
        <w:t>Ganzoni</w:t>
      </w:r>
      <w:proofErr w:type="spellEnd"/>
      <w:r w:rsidRPr="00162DB2">
        <w:rPr>
          <w:rFonts w:ascii="Times New Roman" w:eastAsia="Calibri" w:hAnsi="Times New Roman" w:cs="Times New Roman"/>
          <w:i/>
          <w:iCs/>
          <w:lang w:eastAsia="lt-LT"/>
        </w:rPr>
        <w:t xml:space="preserve"> formulę (ii). </w:t>
      </w:r>
    </w:p>
    <w:p w14:paraId="6B46DD7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18A9FA8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 xml:space="preserve">Geležies poreikis turi būti išreikštas </w:t>
      </w:r>
      <w:proofErr w:type="spellStart"/>
      <w:r w:rsidRPr="00162DB2">
        <w:rPr>
          <w:rFonts w:ascii="Times New Roman" w:eastAsia="Calibri" w:hAnsi="Times New Roman" w:cs="Times New Roman"/>
          <w:i/>
          <w:iCs/>
          <w:lang w:eastAsia="lt-LT"/>
        </w:rPr>
        <w:t>elementine</w:t>
      </w:r>
      <w:proofErr w:type="spellEnd"/>
      <w:r w:rsidRPr="00162DB2">
        <w:rPr>
          <w:rFonts w:ascii="Times New Roman" w:eastAsia="Calibri" w:hAnsi="Times New Roman" w:cs="Times New Roman"/>
          <w:i/>
          <w:iCs/>
          <w:lang w:eastAsia="lt-LT"/>
        </w:rPr>
        <w:t xml:space="preserve"> geležimi miligramais. </w:t>
      </w:r>
    </w:p>
    <w:p w14:paraId="4BFC51E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29DFBEE0" w14:textId="77777777" w:rsidR="005A24FA" w:rsidRPr="00162DB2" w:rsidRDefault="005A24FA" w:rsidP="005A24FA">
      <w:pPr>
        <w:numPr>
          <w:ilvl w:val="0"/>
          <w:numId w:val="42"/>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Supaprastinta lentelė:</w:t>
      </w:r>
    </w:p>
    <w:p w14:paraId="07AA5FAF"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p>
    <w:p w14:paraId="2E257AEA"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r w:rsidRPr="00162DB2">
        <w:rPr>
          <w:rFonts w:ascii="Times New Roman" w:eastAsia="Calibri" w:hAnsi="Times New Roman" w:cs="Times New Roman"/>
          <w:lang w:eastAsia="lt-LT"/>
        </w:rPr>
        <w:t>1 Lentelė. Supaprastinta lentelė</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2500"/>
        <w:gridCol w:w="2500"/>
        <w:gridCol w:w="2501"/>
      </w:tblGrid>
      <w:tr w:rsidR="005A24FA" w:rsidRPr="00162DB2" w14:paraId="5D39020F" w14:textId="77777777" w:rsidTr="00FA250C">
        <w:tc>
          <w:tcPr>
            <w:tcW w:w="1010" w:type="dxa"/>
            <w:shd w:val="clear" w:color="auto" w:fill="auto"/>
            <w:vAlign w:val="center"/>
          </w:tcPr>
          <w:p w14:paraId="6EE941A4"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Hb</w:t>
            </w:r>
            <w:proofErr w:type="spellEnd"/>
            <w:r w:rsidRPr="00162DB2">
              <w:rPr>
                <w:rFonts w:ascii="Times New Roman" w:hAnsi="Times New Roman" w:cs="Times New Roman"/>
                <w:lang w:val="en-US"/>
              </w:rPr>
              <w:t xml:space="preserve"> (g/dl)</w:t>
            </w:r>
          </w:p>
        </w:tc>
        <w:tc>
          <w:tcPr>
            <w:tcW w:w="1010" w:type="dxa"/>
          </w:tcPr>
          <w:p w14:paraId="05881A3B"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Hb</w:t>
            </w:r>
            <w:proofErr w:type="spellEnd"/>
          </w:p>
          <w:p w14:paraId="51630167"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w:t>
            </w:r>
            <w:proofErr w:type="spellStart"/>
            <w:r w:rsidRPr="00162DB2">
              <w:rPr>
                <w:rFonts w:ascii="Times New Roman" w:hAnsi="Times New Roman" w:cs="Times New Roman"/>
                <w:lang w:val="en-US"/>
              </w:rPr>
              <w:t>mmol</w:t>
            </w:r>
            <w:proofErr w:type="spellEnd"/>
            <w:r w:rsidRPr="00162DB2">
              <w:rPr>
                <w:rFonts w:ascii="Times New Roman" w:hAnsi="Times New Roman" w:cs="Times New Roman"/>
                <w:lang w:val="en-US"/>
              </w:rPr>
              <w:t>/l)</w:t>
            </w:r>
          </w:p>
        </w:tc>
        <w:tc>
          <w:tcPr>
            <w:tcW w:w="2500" w:type="dxa"/>
          </w:tcPr>
          <w:p w14:paraId="5E39C08E"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Pacientams</w:t>
            </w:r>
            <w:proofErr w:type="spellEnd"/>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sveriantiems</w:t>
            </w:r>
            <w:proofErr w:type="spellEnd"/>
            <w:r w:rsidRPr="00162DB2">
              <w:rPr>
                <w:rFonts w:ascii="Times New Roman" w:hAnsi="Times New Roman" w:cs="Times New Roman"/>
                <w:lang w:val="en-US"/>
              </w:rPr>
              <w:t xml:space="preserve">  &lt;50 kg</w:t>
            </w:r>
          </w:p>
        </w:tc>
        <w:tc>
          <w:tcPr>
            <w:tcW w:w="2500" w:type="dxa"/>
            <w:shd w:val="clear" w:color="auto" w:fill="auto"/>
            <w:vAlign w:val="center"/>
          </w:tcPr>
          <w:p w14:paraId="689CF641"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Pacientams</w:t>
            </w:r>
            <w:proofErr w:type="spellEnd"/>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sveriantiems</w:t>
            </w:r>
            <w:proofErr w:type="spellEnd"/>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nuo</w:t>
            </w:r>
            <w:proofErr w:type="spellEnd"/>
            <w:r w:rsidRPr="00162DB2">
              <w:rPr>
                <w:rFonts w:ascii="Times New Roman" w:hAnsi="Times New Roman" w:cs="Times New Roman"/>
                <w:lang w:val="en-US"/>
              </w:rPr>
              <w:t xml:space="preserve"> 50 kg </w:t>
            </w:r>
            <w:proofErr w:type="spellStart"/>
            <w:r w:rsidRPr="00162DB2">
              <w:rPr>
                <w:rFonts w:ascii="Times New Roman" w:hAnsi="Times New Roman" w:cs="Times New Roman"/>
                <w:lang w:val="en-US"/>
              </w:rPr>
              <w:t>iki</w:t>
            </w:r>
            <w:proofErr w:type="spellEnd"/>
            <w:r w:rsidRPr="00162DB2">
              <w:rPr>
                <w:rFonts w:ascii="Times New Roman" w:hAnsi="Times New Roman" w:cs="Times New Roman"/>
                <w:lang w:val="en-US"/>
              </w:rPr>
              <w:t xml:space="preserve"> &lt;70 kg</w:t>
            </w:r>
          </w:p>
        </w:tc>
        <w:tc>
          <w:tcPr>
            <w:tcW w:w="2501" w:type="dxa"/>
            <w:shd w:val="clear" w:color="auto" w:fill="auto"/>
            <w:vAlign w:val="center"/>
          </w:tcPr>
          <w:p w14:paraId="68A00051"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Pacientams</w:t>
            </w:r>
            <w:proofErr w:type="spellEnd"/>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sveriantiems</w:t>
            </w:r>
            <w:proofErr w:type="spellEnd"/>
            <w:r w:rsidRPr="00162DB2">
              <w:rPr>
                <w:rFonts w:ascii="Times New Roman" w:hAnsi="Times New Roman" w:cs="Times New Roman"/>
                <w:lang w:val="en-US"/>
              </w:rPr>
              <w:t xml:space="preserve">  ≥70 kg</w:t>
            </w:r>
          </w:p>
        </w:tc>
      </w:tr>
      <w:tr w:rsidR="005A24FA" w:rsidRPr="00162DB2" w14:paraId="0F44A7D0" w14:textId="77777777" w:rsidTr="00FA250C">
        <w:tc>
          <w:tcPr>
            <w:tcW w:w="1010" w:type="dxa"/>
            <w:shd w:val="clear" w:color="auto" w:fill="auto"/>
            <w:vAlign w:val="center"/>
          </w:tcPr>
          <w:p w14:paraId="6F10E318"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eastAsia="T4" w:hAnsi="Times New Roman" w:cs="Times New Roman"/>
                <w:lang w:val="en-US"/>
              </w:rPr>
              <w:t>≥</w:t>
            </w:r>
            <w:r w:rsidRPr="00162DB2">
              <w:rPr>
                <w:rFonts w:ascii="Times New Roman" w:hAnsi="Times New Roman" w:cs="Times New Roman"/>
                <w:lang w:val="en-US"/>
              </w:rPr>
              <w:t>10</w:t>
            </w:r>
          </w:p>
        </w:tc>
        <w:tc>
          <w:tcPr>
            <w:tcW w:w="1010" w:type="dxa"/>
          </w:tcPr>
          <w:p w14:paraId="75E51444"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≥6,2</w:t>
            </w:r>
          </w:p>
        </w:tc>
        <w:tc>
          <w:tcPr>
            <w:tcW w:w="2500" w:type="dxa"/>
          </w:tcPr>
          <w:p w14:paraId="70475AFA"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500 mg</w:t>
            </w:r>
          </w:p>
        </w:tc>
        <w:tc>
          <w:tcPr>
            <w:tcW w:w="2500" w:type="dxa"/>
            <w:shd w:val="clear" w:color="auto" w:fill="auto"/>
            <w:vAlign w:val="center"/>
          </w:tcPr>
          <w:p w14:paraId="7C7A26C5"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1000 mg</w:t>
            </w:r>
          </w:p>
        </w:tc>
        <w:tc>
          <w:tcPr>
            <w:tcW w:w="2501" w:type="dxa"/>
            <w:shd w:val="clear" w:color="auto" w:fill="auto"/>
            <w:vAlign w:val="center"/>
          </w:tcPr>
          <w:p w14:paraId="752E60CE"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1500 mg</w:t>
            </w:r>
          </w:p>
        </w:tc>
      </w:tr>
      <w:tr w:rsidR="005A24FA" w:rsidRPr="00162DB2" w14:paraId="7A39633E" w14:textId="77777777" w:rsidTr="00FA250C">
        <w:tc>
          <w:tcPr>
            <w:tcW w:w="1010" w:type="dxa"/>
            <w:shd w:val="clear" w:color="auto" w:fill="auto"/>
            <w:vAlign w:val="center"/>
          </w:tcPr>
          <w:p w14:paraId="57E69C78" w14:textId="77777777" w:rsidR="005A24FA" w:rsidRPr="00162DB2" w:rsidRDefault="005A24FA" w:rsidP="00FA250C">
            <w:pPr>
              <w:autoSpaceDE w:val="0"/>
              <w:autoSpaceDN w:val="0"/>
              <w:adjustRightInd w:val="0"/>
              <w:spacing w:after="200" w:line="240" w:lineRule="auto"/>
              <w:rPr>
                <w:rFonts w:ascii="Times New Roman" w:eastAsia="T4" w:hAnsi="Times New Roman" w:cs="Times New Roman"/>
                <w:lang w:val="en-US"/>
              </w:rPr>
            </w:pPr>
            <w:r w:rsidRPr="00162DB2">
              <w:rPr>
                <w:rFonts w:ascii="Times New Roman" w:hAnsi="Times New Roman" w:cs="Times New Roman"/>
                <w:lang w:val="en-US"/>
              </w:rPr>
              <w:t>&lt;10</w:t>
            </w:r>
          </w:p>
        </w:tc>
        <w:tc>
          <w:tcPr>
            <w:tcW w:w="1010" w:type="dxa"/>
          </w:tcPr>
          <w:p w14:paraId="450D937E"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&lt;6,2</w:t>
            </w:r>
          </w:p>
        </w:tc>
        <w:tc>
          <w:tcPr>
            <w:tcW w:w="2500" w:type="dxa"/>
          </w:tcPr>
          <w:p w14:paraId="34E011D4"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500 mg</w:t>
            </w:r>
          </w:p>
        </w:tc>
        <w:tc>
          <w:tcPr>
            <w:tcW w:w="2500" w:type="dxa"/>
            <w:shd w:val="clear" w:color="auto" w:fill="auto"/>
            <w:vAlign w:val="center"/>
          </w:tcPr>
          <w:p w14:paraId="1318CFAE"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1500 mg</w:t>
            </w:r>
          </w:p>
        </w:tc>
        <w:tc>
          <w:tcPr>
            <w:tcW w:w="2501" w:type="dxa"/>
            <w:shd w:val="clear" w:color="auto" w:fill="auto"/>
            <w:vAlign w:val="center"/>
          </w:tcPr>
          <w:p w14:paraId="39E3FBA3" w14:textId="77777777" w:rsidR="005A24FA" w:rsidRPr="00162DB2" w:rsidRDefault="005A24FA" w:rsidP="00FA250C">
            <w:pPr>
              <w:numPr>
                <w:ilvl w:val="0"/>
                <w:numId w:val="43"/>
              </w:numPr>
              <w:autoSpaceDE w:val="0"/>
              <w:autoSpaceDN w:val="0"/>
              <w:adjustRightInd w:val="0"/>
              <w:spacing w:after="200" w:line="240" w:lineRule="auto"/>
              <w:ind w:left="502" w:hanging="502"/>
              <w:contextualSpacing/>
              <w:rPr>
                <w:rFonts w:ascii="Times New Roman" w:hAnsi="Times New Roman" w:cs="Times New Roman"/>
                <w:lang w:val="en-US"/>
              </w:rPr>
            </w:pPr>
            <w:r w:rsidRPr="00162DB2">
              <w:rPr>
                <w:rFonts w:ascii="Times New Roman" w:hAnsi="Times New Roman" w:cs="Times New Roman"/>
                <w:lang w:val="en-US"/>
              </w:rPr>
              <w:t>mg</w:t>
            </w:r>
          </w:p>
        </w:tc>
      </w:tr>
    </w:tbl>
    <w:p w14:paraId="06A1493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482C162" w14:textId="77777777" w:rsidR="005A24FA" w:rsidRPr="00162DB2" w:rsidRDefault="005A24FA" w:rsidP="005A24FA">
      <w:pPr>
        <w:tabs>
          <w:tab w:val="left" w:pos="120"/>
          <w:tab w:val="left" w:pos="567"/>
        </w:tabs>
        <w:spacing w:after="0" w:line="240" w:lineRule="auto"/>
        <w:ind w:left="1080" w:hanging="72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ii.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w:t>
      </w:r>
    </w:p>
    <w:p w14:paraId="5741B6D9"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Lentelė.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w:t>
      </w:r>
    </w:p>
    <w:tbl>
      <w:tblPr>
        <w:tblStyle w:val="Lentelstinklelis"/>
        <w:tblW w:w="0" w:type="auto"/>
        <w:tblLook w:val="04A0" w:firstRow="1" w:lastRow="0" w:firstColumn="1" w:lastColumn="0" w:noHBand="0" w:noVBand="1"/>
      </w:tblPr>
      <w:tblGrid>
        <w:gridCol w:w="9394"/>
      </w:tblGrid>
      <w:tr w:rsidR="005A24FA" w:rsidRPr="00162DB2" w14:paraId="7E7633FE" w14:textId="77777777" w:rsidTr="00FA250C">
        <w:tc>
          <w:tcPr>
            <w:tcW w:w="9628" w:type="dxa"/>
          </w:tcPr>
          <w:p w14:paraId="0F10928E" w14:textId="77777777" w:rsidR="005A24FA" w:rsidRPr="00162DB2" w:rsidRDefault="005A24FA" w:rsidP="00FA250C">
            <w:pPr>
              <w:spacing w:line="276" w:lineRule="auto"/>
              <w:rPr>
                <w:rFonts w:ascii="Times New Roman" w:hAnsi="Times New Roman" w:cs="Times New Roman"/>
              </w:rPr>
            </w:pPr>
            <w:r w:rsidRPr="00162DB2">
              <w:rPr>
                <w:rFonts w:ascii="Times New Roman" w:hAnsi="Times New Roman" w:cs="Times New Roman"/>
              </w:rPr>
              <w:t>Geležies poreikis  =  Kūno svoris</w:t>
            </w:r>
            <w:r w:rsidRPr="00162DB2">
              <w:rPr>
                <w:rFonts w:ascii="Times New Roman" w:hAnsi="Times New Roman" w:cs="Times New Roman"/>
                <w:vertAlign w:val="superscript"/>
              </w:rPr>
              <w:t>(A)</w:t>
            </w:r>
            <w:r w:rsidRPr="00162DB2">
              <w:rPr>
                <w:rFonts w:ascii="Times New Roman" w:hAnsi="Times New Roman" w:cs="Times New Roman"/>
              </w:rPr>
              <w:t xml:space="preserve"> x (Siekiamas </w:t>
            </w:r>
            <w:proofErr w:type="spellStart"/>
            <w:r w:rsidRPr="00162DB2">
              <w:rPr>
                <w:rFonts w:ascii="Times New Roman" w:hAnsi="Times New Roman" w:cs="Times New Roman"/>
              </w:rPr>
              <w:t>Hb</w:t>
            </w:r>
            <w:proofErr w:type="spellEnd"/>
            <w:r w:rsidRPr="00162DB2">
              <w:rPr>
                <w:rFonts w:ascii="Times New Roman" w:hAnsi="Times New Roman" w:cs="Times New Roman"/>
                <w:vertAlign w:val="superscript"/>
              </w:rPr>
              <w:t>(D)</w:t>
            </w:r>
            <w:r w:rsidRPr="00162DB2">
              <w:rPr>
                <w:rFonts w:ascii="Times New Roman" w:hAnsi="Times New Roman" w:cs="Times New Roman"/>
              </w:rPr>
              <w:t xml:space="preserve">  – Esamas </w:t>
            </w:r>
            <w:proofErr w:type="spellStart"/>
            <w:r w:rsidRPr="00162DB2">
              <w:rPr>
                <w:rFonts w:ascii="Times New Roman" w:hAnsi="Times New Roman" w:cs="Times New Roman"/>
              </w:rPr>
              <w:t>Hb</w:t>
            </w:r>
            <w:proofErr w:type="spellEnd"/>
            <w:r w:rsidRPr="00162DB2">
              <w:rPr>
                <w:rFonts w:ascii="Times New Roman" w:hAnsi="Times New Roman" w:cs="Times New Roman"/>
              </w:rPr>
              <w:t>)</w:t>
            </w:r>
            <w:r w:rsidRPr="00162DB2">
              <w:rPr>
                <w:rFonts w:ascii="Times New Roman" w:hAnsi="Times New Roman" w:cs="Times New Roman"/>
                <w:vertAlign w:val="superscript"/>
              </w:rPr>
              <w:t>(B)</w:t>
            </w:r>
            <w:r w:rsidRPr="00162DB2">
              <w:rPr>
                <w:rFonts w:ascii="Times New Roman" w:hAnsi="Times New Roman" w:cs="Times New Roman"/>
              </w:rPr>
              <w:t xml:space="preserve"> x 2,4 + Geležis atsargoms</w:t>
            </w:r>
            <w:r w:rsidRPr="00162DB2">
              <w:rPr>
                <w:rFonts w:ascii="Times New Roman" w:hAnsi="Times New Roman" w:cs="Times New Roman"/>
                <w:vertAlign w:val="superscript"/>
              </w:rPr>
              <w:t>(C)</w:t>
            </w:r>
          </w:p>
          <w:p w14:paraId="09D2FE66" w14:textId="77777777" w:rsidR="005A24FA" w:rsidRPr="00C20133" w:rsidRDefault="005A24FA" w:rsidP="00FA250C">
            <w:pPr>
              <w:tabs>
                <w:tab w:val="center" w:pos="1440"/>
                <w:tab w:val="left" w:pos="2410"/>
                <w:tab w:val="center" w:pos="4820"/>
                <w:tab w:val="center" w:pos="8080"/>
              </w:tabs>
              <w:spacing w:line="276" w:lineRule="auto"/>
              <w:rPr>
                <w:rFonts w:ascii="Times New Roman" w:hAnsi="Times New Roman" w:cs="Times New Roman"/>
                <w:lang w:val="de-DE"/>
              </w:rPr>
            </w:pPr>
            <w:r w:rsidRPr="00C20133">
              <w:rPr>
                <w:rFonts w:ascii="Times New Roman" w:hAnsi="Times New Roman" w:cs="Times New Roman"/>
                <w:lang w:val="de-DE"/>
              </w:rPr>
              <w:t xml:space="preserve">[mg </w:t>
            </w:r>
            <w:proofErr w:type="spellStart"/>
            <w:r w:rsidRPr="00C20133">
              <w:rPr>
                <w:rFonts w:ascii="Times New Roman" w:hAnsi="Times New Roman" w:cs="Times New Roman"/>
                <w:lang w:val="de-DE"/>
              </w:rPr>
              <w:t>geležies</w:t>
            </w:r>
            <w:proofErr w:type="spellEnd"/>
            <w:r w:rsidRPr="00C20133">
              <w:rPr>
                <w:rFonts w:ascii="Times New Roman" w:hAnsi="Times New Roman" w:cs="Times New Roman"/>
                <w:lang w:val="de-DE"/>
              </w:rPr>
              <w:t>]</w:t>
            </w:r>
            <w:r w:rsidRPr="00C20133">
              <w:rPr>
                <w:rFonts w:ascii="Times New Roman" w:hAnsi="Times New Roman" w:cs="Times New Roman"/>
                <w:lang w:val="de-DE"/>
              </w:rPr>
              <w:tab/>
              <w:t xml:space="preserve">                [kg]</w:t>
            </w:r>
            <w:r w:rsidRPr="00C20133">
              <w:rPr>
                <w:rFonts w:ascii="Times New Roman" w:hAnsi="Times New Roman" w:cs="Times New Roman"/>
                <w:lang w:val="de-DE"/>
              </w:rPr>
              <w:tab/>
              <w:t xml:space="preserve">                                            [g/dl]                            [mg </w:t>
            </w:r>
            <w:proofErr w:type="spellStart"/>
            <w:r w:rsidRPr="00C20133">
              <w:rPr>
                <w:rFonts w:ascii="Times New Roman" w:hAnsi="Times New Roman" w:cs="Times New Roman"/>
                <w:lang w:val="de-DE"/>
              </w:rPr>
              <w:t>geležies</w:t>
            </w:r>
            <w:proofErr w:type="spellEnd"/>
            <w:r w:rsidRPr="00C20133">
              <w:rPr>
                <w:rFonts w:ascii="Times New Roman" w:hAnsi="Times New Roman" w:cs="Times New Roman"/>
                <w:lang w:val="de-DE"/>
              </w:rPr>
              <w:t>]</w:t>
            </w:r>
          </w:p>
        </w:tc>
      </w:tr>
    </w:tbl>
    <w:p w14:paraId="17B5862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9E8F2DE" w14:textId="77777777" w:rsidR="005A24FA" w:rsidRPr="00162DB2" w:rsidRDefault="005A24FA" w:rsidP="005A24FA">
      <w:pPr>
        <w:tabs>
          <w:tab w:val="left" w:pos="120"/>
          <w:tab w:val="left" w:pos="567"/>
        </w:tabs>
        <w:spacing w:after="0" w:line="240" w:lineRule="auto"/>
        <w:ind w:left="567" w:hanging="567"/>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(A) </w:t>
      </w:r>
      <w:r w:rsidRPr="00162DB2">
        <w:rPr>
          <w:rFonts w:ascii="Times New Roman" w:eastAsia="Calibri" w:hAnsi="Times New Roman" w:cs="Times New Roman"/>
          <w:lang w:eastAsia="lt-LT"/>
        </w:rPr>
        <w:tab/>
        <w:t>Rekomenduojama skaičiuojant naudoti idealų paciento svorį nutukusiems pacientams arba moters svorį prieš nėštumą. Visiems kitiems pacientams naudoti esamą kūno svorį. Idealus kūno svoris gali būti apskaičiuojamas įvairiais būdais, pvz., apskaičiuojant kūno svorį, kai KMI 25, pvz., idealus kūno svoris = 25*(ūgis metrais)</w:t>
      </w:r>
      <w:r w:rsidRPr="00162DB2">
        <w:rPr>
          <w:rFonts w:ascii="Times New Roman" w:eastAsia="Calibri" w:hAnsi="Times New Roman" w:cs="Times New Roman"/>
          <w:vertAlign w:val="superscript"/>
          <w:lang w:eastAsia="lt-LT"/>
        </w:rPr>
        <w:t>2</w:t>
      </w:r>
      <w:r w:rsidRPr="00162DB2">
        <w:rPr>
          <w:rFonts w:ascii="Times New Roman" w:eastAsia="Calibri" w:hAnsi="Times New Roman" w:cs="Times New Roman"/>
          <w:lang w:eastAsia="lt-LT"/>
        </w:rPr>
        <w:t xml:space="preserve">. </w:t>
      </w:r>
    </w:p>
    <w:p w14:paraId="68BA00E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(B)</w:t>
      </w:r>
      <w:r w:rsidRPr="00162DB2">
        <w:rPr>
          <w:rFonts w:ascii="Times New Roman" w:eastAsia="Calibri" w:hAnsi="Times New Roman" w:cs="Times New Roman"/>
          <w:lang w:eastAsia="lt-LT"/>
        </w:rPr>
        <w:tab/>
        <w:t xml:space="preserve"> Perskaičiuojant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mM</w:t>
      </w:r>
      <w:proofErr w:type="spellEnd"/>
      <w:r w:rsidRPr="00162DB2">
        <w:rPr>
          <w:rFonts w:ascii="Times New Roman" w:eastAsia="Calibri" w:hAnsi="Times New Roman" w:cs="Times New Roman"/>
          <w:lang w:eastAsia="lt-LT"/>
        </w:rPr>
        <w:t xml:space="preserve">] į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[g/dl], reikia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mM</w:t>
      </w:r>
      <w:proofErr w:type="spellEnd"/>
      <w:r w:rsidRPr="00162DB2">
        <w:rPr>
          <w:rFonts w:ascii="Times New Roman" w:eastAsia="Calibri" w:hAnsi="Times New Roman" w:cs="Times New Roman"/>
          <w:lang w:eastAsia="lt-LT"/>
        </w:rPr>
        <w:t>] dauginti iš koeficiento 1,61145</w:t>
      </w:r>
    </w:p>
    <w:p w14:paraId="42C22225" w14:textId="77777777" w:rsidR="005A24FA" w:rsidRPr="00162DB2" w:rsidRDefault="005A24FA" w:rsidP="005A24FA">
      <w:pPr>
        <w:tabs>
          <w:tab w:val="left" w:pos="120"/>
          <w:tab w:val="left" w:pos="567"/>
        </w:tabs>
        <w:spacing w:after="0" w:line="240" w:lineRule="auto"/>
        <w:ind w:left="567" w:hanging="567"/>
        <w:rPr>
          <w:rFonts w:ascii="Times New Roman" w:eastAsia="Calibri" w:hAnsi="Times New Roman" w:cs="Times New Roman"/>
          <w:lang w:eastAsia="lt-LT"/>
        </w:rPr>
      </w:pPr>
      <w:r w:rsidRPr="00162DB2">
        <w:rPr>
          <w:rFonts w:ascii="Times New Roman" w:eastAsia="Calibri" w:hAnsi="Times New Roman" w:cs="Times New Roman"/>
          <w:lang w:eastAsia="lt-LT"/>
        </w:rPr>
        <w:t>(C)</w:t>
      </w:r>
      <w:r w:rsidRPr="00162DB2">
        <w:rPr>
          <w:rFonts w:ascii="Times New Roman" w:eastAsia="Calibri" w:hAnsi="Times New Roman" w:cs="Times New Roman"/>
          <w:lang w:eastAsia="lt-LT"/>
        </w:rPr>
        <w:tab/>
        <w:t>Paciento, kurio svoris didesnis kaip 35 kg, geležies atsargos sudaro apie 500 mg arba daugiau. Mažesnės kaip 500 mg geležies atsargos yra normalu smulkaus sudėjimo moterims. Kai kurios rekomendacijos siūlo naudoti 10-15 mg geležies/ kilogramui kūno svorio.</w:t>
      </w:r>
    </w:p>
    <w:p w14:paraId="2CA4B910" w14:textId="77777777" w:rsidR="005A24FA" w:rsidRPr="00162DB2" w:rsidRDefault="005A24FA" w:rsidP="005A24FA">
      <w:pPr>
        <w:tabs>
          <w:tab w:val="left" w:pos="120"/>
          <w:tab w:val="left" w:pos="567"/>
        </w:tabs>
        <w:spacing w:after="0" w:line="240" w:lineRule="auto"/>
        <w:ind w:left="567" w:hanging="567"/>
        <w:rPr>
          <w:rFonts w:ascii="Times New Roman" w:eastAsia="Calibri" w:hAnsi="Times New Roman" w:cs="Times New Roman"/>
          <w:lang w:eastAsia="lt-LT"/>
        </w:rPr>
      </w:pPr>
      <w:r w:rsidRPr="00162DB2">
        <w:rPr>
          <w:rFonts w:ascii="Times New Roman" w:eastAsia="Calibri" w:hAnsi="Times New Roman" w:cs="Times New Roman"/>
          <w:lang w:eastAsia="lt-LT"/>
        </w:rPr>
        <w:t>(D)</w:t>
      </w:r>
      <w:r w:rsidRPr="00162DB2">
        <w:rPr>
          <w:rFonts w:ascii="Times New Roman" w:eastAsia="Calibri" w:hAnsi="Times New Roman" w:cs="Times New Roman"/>
          <w:lang w:eastAsia="lt-LT"/>
        </w:rPr>
        <w:tab/>
        <w:t xml:space="preserve">Nustatytas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tikslas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formulėje yra 15 g/dl. Ypatingais atvejais, tokiais kaip nėštumas, yra naudojamas mažesnis hemoglobino tikslas. </w:t>
      </w:r>
    </w:p>
    <w:p w14:paraId="465C699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24A8F7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iii.Fiksuotas</w:t>
      </w:r>
      <w:proofErr w:type="spellEnd"/>
      <w:r w:rsidRPr="00162DB2">
        <w:rPr>
          <w:rFonts w:ascii="Times New Roman" w:eastAsia="Calibri" w:hAnsi="Times New Roman" w:cs="Times New Roman"/>
          <w:lang w:eastAsia="lt-LT"/>
        </w:rPr>
        <w:t xml:space="preserve"> geležies poreikis</w:t>
      </w:r>
    </w:p>
    <w:p w14:paraId="616F372D"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p>
    <w:p w14:paraId="02A49CD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Skiriama fiksuota 1000 mg dozė ir pacientas pakartotinai vertinamas dėl tolesnio geležies poreikio pagal „3 žingsnį“: „geležies atsargų įvertinimas“. Pacientams, sveriantiems mažiau nei 50 kg, geležies poreikiui apskaičiuoti naudokite supaprastintą lentelę arba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formulę. </w:t>
      </w:r>
    </w:p>
    <w:p w14:paraId="0022396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C01E97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2 žingsnis: Didžiausios individualios geležies dozės (-</w:t>
      </w:r>
      <w:proofErr w:type="spellStart"/>
      <w:r w:rsidRPr="00162DB2">
        <w:rPr>
          <w:rFonts w:ascii="Times New Roman" w:eastAsia="Calibri" w:hAnsi="Times New Roman" w:cs="Times New Roman"/>
          <w:i/>
          <w:iCs/>
          <w:lang w:eastAsia="lt-LT"/>
        </w:rPr>
        <w:t>ių</w:t>
      </w:r>
      <w:proofErr w:type="spellEnd"/>
      <w:r w:rsidRPr="00162DB2">
        <w:rPr>
          <w:rFonts w:ascii="Times New Roman" w:eastAsia="Calibri" w:hAnsi="Times New Roman" w:cs="Times New Roman"/>
          <w:i/>
          <w:iCs/>
          <w:lang w:eastAsia="lt-LT"/>
        </w:rPr>
        <w:t>) apskaičiavimas ir skyrimas:</w:t>
      </w:r>
    </w:p>
    <w:p w14:paraId="30661CB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867912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Remiantis nustatytu geležies poreikiu, reikia skirti tinkamą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dozę atsižvelgiant į:</w:t>
      </w:r>
    </w:p>
    <w:p w14:paraId="1838AA1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0E1DFD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Bendra dozė per savaitę neturėtų viršyti 20 mg geležies/ kg kūno svorio.</w:t>
      </w:r>
    </w:p>
    <w:p w14:paraId="045415E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infuzija neturi viršyti 20 mg geležies/ kg kūno svorio. </w:t>
      </w:r>
    </w:p>
    <w:p w14:paraId="28D891D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injekcija neturi viršyti 500 mg geležies. </w:t>
      </w:r>
    </w:p>
    <w:p w14:paraId="175EA51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4EF421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3 žingsnis: Geležies atsargų įvertinimas:</w:t>
      </w:r>
    </w:p>
    <w:p w14:paraId="09C80A3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A3C6B8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Pakartotinį vertinimą, įskaitant kraujo tyrimus, turėtų atlikti gydytojas, atsižvelgdamas į kiekvieno paciento būklę. Norint įvertinti gydymo geležimi IV poveikį,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kiekis turėtų būti pakartotinai įvertintas </w:t>
      </w:r>
      <w:r w:rsidRPr="00162DB2">
        <w:rPr>
          <w:rFonts w:ascii="Times New Roman" w:eastAsia="Calibri" w:hAnsi="Times New Roman" w:cs="Times New Roman"/>
          <w:lang w:eastAsia="lt-LT"/>
        </w:rPr>
        <w:lastRenderedPageBreak/>
        <w:t xml:space="preserve">ne anksčiau kaip praėjus 4 savaitėms po paskutinio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vartojimo, kad būtų pakankamai laiko </w:t>
      </w:r>
      <w:proofErr w:type="spellStart"/>
      <w:r w:rsidRPr="00162DB2">
        <w:rPr>
          <w:rFonts w:ascii="Times New Roman" w:eastAsia="Calibri" w:hAnsi="Times New Roman" w:cs="Times New Roman"/>
          <w:lang w:eastAsia="lt-LT"/>
        </w:rPr>
        <w:t>eritropoezei</w:t>
      </w:r>
      <w:proofErr w:type="spellEnd"/>
      <w:r w:rsidRPr="00162DB2">
        <w:rPr>
          <w:rFonts w:ascii="Times New Roman" w:eastAsia="Calibri" w:hAnsi="Times New Roman" w:cs="Times New Roman"/>
          <w:lang w:eastAsia="lt-LT"/>
        </w:rPr>
        <w:t xml:space="preserve"> ir geležies sunaudojimui. Jei pacientui reikia tolimesnio geležies papildymo, geležies poreikis turi būti perskaičiuotas. </w:t>
      </w:r>
    </w:p>
    <w:p w14:paraId="5AF5A61B" w14:textId="77777777" w:rsidR="005A24FA" w:rsidRPr="00162DB2" w:rsidRDefault="005A24FA" w:rsidP="005A24FA">
      <w:pPr>
        <w:tabs>
          <w:tab w:val="left" w:pos="120"/>
          <w:tab w:val="left" w:pos="567"/>
        </w:tabs>
        <w:spacing w:after="0" w:line="240" w:lineRule="auto"/>
        <w:ind w:left="567" w:hanging="567"/>
        <w:rPr>
          <w:rFonts w:ascii="Times New Roman" w:eastAsia="Calibri" w:hAnsi="Times New Roman" w:cs="Times New Roman"/>
          <w:lang w:eastAsia="lt-LT"/>
        </w:rPr>
      </w:pPr>
    </w:p>
    <w:p w14:paraId="1CF23D0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u w:val="single"/>
          <w:lang w:eastAsia="lt-LT"/>
        </w:rPr>
      </w:pPr>
      <w:r w:rsidRPr="00162DB2">
        <w:rPr>
          <w:rFonts w:ascii="Times New Roman" w:eastAsia="Calibri" w:hAnsi="Times New Roman" w:cs="Times New Roman"/>
          <w:i/>
          <w:iCs/>
          <w:u w:val="single"/>
          <w:lang w:eastAsia="lt-LT"/>
        </w:rPr>
        <w:t>Vaikai ir paaugliai:</w:t>
      </w:r>
    </w:p>
    <w:p w14:paraId="141B88D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7F5C5C8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nerekomenduojama vartoti vaikams ir paaugliams, jaunesniems kaip 18 metų, dėl nepakankamų saugumo ir efektyvumo duomenų.</w:t>
      </w:r>
    </w:p>
    <w:p w14:paraId="1557173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u w:val="single"/>
          <w:lang w:eastAsia="lt-LT"/>
        </w:rPr>
      </w:pPr>
    </w:p>
    <w:p w14:paraId="49216C6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u w:val="single"/>
          <w:lang w:eastAsia="lt-LT"/>
        </w:rPr>
      </w:pPr>
      <w:r w:rsidRPr="00162DB2">
        <w:rPr>
          <w:rFonts w:ascii="Times New Roman" w:eastAsia="Calibri" w:hAnsi="Times New Roman" w:cs="Times New Roman"/>
          <w:bCs/>
          <w:u w:val="single"/>
          <w:lang w:eastAsia="lt-LT"/>
        </w:rPr>
        <w:t>Vartojimo metodas</w:t>
      </w:r>
    </w:p>
    <w:p w14:paraId="224938D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p>
    <w:p w14:paraId="6E1730A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proofErr w:type="spellStart"/>
      <w:r w:rsidRPr="00162DB2">
        <w:rPr>
          <w:rFonts w:ascii="Times New Roman" w:eastAsia="Calibri" w:hAnsi="Times New Roman" w:cs="Times New Roman"/>
          <w:u w:val="single"/>
          <w:lang w:eastAsia="lt-LT"/>
        </w:rPr>
        <w:t>Monofer</w:t>
      </w:r>
      <w:proofErr w:type="spellEnd"/>
      <w:r w:rsidRPr="00162DB2">
        <w:rPr>
          <w:rFonts w:ascii="Times New Roman" w:eastAsia="Calibri" w:hAnsi="Times New Roman" w:cs="Times New Roman"/>
          <w:u w:val="single"/>
          <w:lang w:eastAsia="lt-LT"/>
        </w:rPr>
        <w:t xml:space="preserve"> turi būti skiriamas intraveniniam vartojimui injekcijomis arba infuzijomis. </w:t>
      </w:r>
    </w:p>
    <w:p w14:paraId="0AB2639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8A45C1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Negalima vartoti geriamųjų geležies preparatų kartu su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nes geriamosios geležies absorbcija gali sumažėti (žr. 4.5 skyrių).</w:t>
      </w:r>
    </w:p>
    <w:p w14:paraId="546CF6C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34515C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
          <w:lang w:eastAsia="lt-LT"/>
        </w:rPr>
      </w:pPr>
      <w:proofErr w:type="spellStart"/>
      <w:r w:rsidRPr="00162DB2">
        <w:rPr>
          <w:rFonts w:ascii="Times New Roman" w:eastAsia="Calibri" w:hAnsi="Times New Roman" w:cs="Times New Roman"/>
          <w:i/>
          <w:lang w:eastAsia="lt-LT"/>
        </w:rPr>
        <w:t>B</w:t>
      </w:r>
      <w:r w:rsidRPr="00162DB2">
        <w:rPr>
          <w:rFonts w:ascii="Times New Roman" w:eastAsia="Calibri" w:hAnsi="Times New Roman" w:cs="Times New Roman"/>
          <w:bCs/>
          <w:i/>
          <w:lang w:eastAsia="lt-LT"/>
        </w:rPr>
        <w:t>olus</w:t>
      </w:r>
      <w:proofErr w:type="spellEnd"/>
      <w:r w:rsidRPr="00162DB2">
        <w:rPr>
          <w:rFonts w:ascii="Times New Roman" w:eastAsia="Calibri" w:hAnsi="Times New Roman" w:cs="Times New Roman"/>
          <w:bCs/>
          <w:i/>
          <w:lang w:eastAsia="lt-LT"/>
        </w:rPr>
        <w:t xml:space="preserve"> (smūginė)</w:t>
      </w:r>
      <w:r w:rsidRPr="00162DB2">
        <w:rPr>
          <w:rFonts w:ascii="Times New Roman" w:eastAsia="Calibri" w:hAnsi="Times New Roman" w:cs="Times New Roman"/>
          <w:b/>
          <w:bCs/>
          <w:i/>
          <w:lang w:eastAsia="lt-LT"/>
        </w:rPr>
        <w:t xml:space="preserve"> </w:t>
      </w:r>
      <w:r w:rsidRPr="00162DB2">
        <w:rPr>
          <w:rFonts w:ascii="Times New Roman" w:eastAsia="Calibri" w:hAnsi="Times New Roman" w:cs="Times New Roman"/>
          <w:bCs/>
          <w:i/>
          <w:lang w:eastAsia="lt-LT"/>
        </w:rPr>
        <w:t>injekcija į veną</w:t>
      </w:r>
    </w:p>
    <w:p w14:paraId="3C613E1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br/>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kaip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injekcija į veną, skiriant iki 500 mg iki 3 kartų per savaitę, vartojant iki 250 mg geležies per minutę greičiu. Preparatas gali būti vartojamas nepraskiestas arba praskiestas iki 20 ml steriliu 0,9% natrio chlorido tirpalu. </w:t>
      </w:r>
    </w:p>
    <w:p w14:paraId="79971D2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546D24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3 lentelė.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injekcijos į veną vartojimo normos</w:t>
      </w:r>
    </w:p>
    <w:tbl>
      <w:tblPr>
        <w:tblStyle w:val="Lentelstinklelis"/>
        <w:tblW w:w="0" w:type="auto"/>
        <w:tblLook w:val="04A0" w:firstRow="1" w:lastRow="0" w:firstColumn="1" w:lastColumn="0" w:noHBand="0" w:noVBand="1"/>
      </w:tblPr>
      <w:tblGrid>
        <w:gridCol w:w="2344"/>
        <w:gridCol w:w="2352"/>
        <w:gridCol w:w="2361"/>
        <w:gridCol w:w="2337"/>
      </w:tblGrid>
      <w:tr w:rsidR="005A24FA" w:rsidRPr="00162DB2" w14:paraId="48623C7B" w14:textId="77777777" w:rsidTr="00FA250C">
        <w:tc>
          <w:tcPr>
            <w:tcW w:w="2407" w:type="dxa"/>
          </w:tcPr>
          <w:p w14:paraId="78FE2870" w14:textId="77777777" w:rsidR="005A24FA" w:rsidRPr="00162DB2" w:rsidRDefault="005A24FA" w:rsidP="00FA250C">
            <w:pPr>
              <w:tabs>
                <w:tab w:val="left" w:pos="120"/>
                <w:tab w:val="left" w:pos="567"/>
              </w:tabs>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tūris</w:t>
            </w:r>
          </w:p>
        </w:tc>
        <w:tc>
          <w:tcPr>
            <w:tcW w:w="2407" w:type="dxa"/>
          </w:tcPr>
          <w:p w14:paraId="49623C6F"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Lygiavertė geležies dozė</w:t>
            </w:r>
          </w:p>
        </w:tc>
        <w:tc>
          <w:tcPr>
            <w:tcW w:w="2407" w:type="dxa"/>
          </w:tcPr>
          <w:p w14:paraId="58B54FF4"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Vartojimo greitis / Minimalus vartojimo laikas</w:t>
            </w:r>
          </w:p>
        </w:tc>
        <w:tc>
          <w:tcPr>
            <w:tcW w:w="2407" w:type="dxa"/>
          </w:tcPr>
          <w:p w14:paraId="3EC9377B" w14:textId="77777777" w:rsidR="005A24FA" w:rsidRPr="00162DB2" w:rsidRDefault="005A24FA" w:rsidP="00FA250C">
            <w:pPr>
              <w:tabs>
                <w:tab w:val="left" w:pos="120"/>
                <w:tab w:val="left" w:pos="567"/>
              </w:tabs>
              <w:jc w:val="center"/>
              <w:rPr>
                <w:rFonts w:ascii="Times New Roman" w:eastAsia="Calibri" w:hAnsi="Times New Roman" w:cs="Times New Roman"/>
                <w:lang w:eastAsia="lt-LT"/>
              </w:rPr>
            </w:pPr>
            <w:r w:rsidRPr="00162DB2">
              <w:rPr>
                <w:rFonts w:ascii="Times New Roman" w:eastAsia="Calibri" w:hAnsi="Times New Roman" w:cs="Times New Roman"/>
                <w:lang w:eastAsia="lt-LT"/>
              </w:rPr>
              <w:t>Dažnis</w:t>
            </w:r>
          </w:p>
        </w:tc>
      </w:tr>
      <w:tr w:rsidR="005A24FA" w:rsidRPr="00162DB2" w14:paraId="4DB8B8BE" w14:textId="77777777" w:rsidTr="00FA250C">
        <w:tc>
          <w:tcPr>
            <w:tcW w:w="2407" w:type="dxa"/>
          </w:tcPr>
          <w:p w14:paraId="7BB70981"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≤5 ml</w:t>
            </w:r>
          </w:p>
        </w:tc>
        <w:tc>
          <w:tcPr>
            <w:tcW w:w="2407" w:type="dxa"/>
          </w:tcPr>
          <w:p w14:paraId="37F49D5D"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≤500 mg</w:t>
            </w:r>
          </w:p>
        </w:tc>
        <w:tc>
          <w:tcPr>
            <w:tcW w:w="2407" w:type="dxa"/>
          </w:tcPr>
          <w:p w14:paraId="3E45CA3C" w14:textId="77777777" w:rsidR="005A24FA" w:rsidRPr="00162DB2" w:rsidRDefault="005A24FA" w:rsidP="00FA250C">
            <w:pPr>
              <w:tabs>
                <w:tab w:val="left" w:pos="120"/>
                <w:tab w:val="left" w:pos="567"/>
              </w:tabs>
              <w:jc w:val="center"/>
              <w:rPr>
                <w:rFonts w:ascii="Times New Roman" w:eastAsia="Calibri" w:hAnsi="Times New Roman" w:cs="Times New Roman"/>
                <w:lang w:eastAsia="lt-LT"/>
              </w:rPr>
            </w:pPr>
            <w:r w:rsidRPr="00162DB2">
              <w:rPr>
                <w:rFonts w:ascii="Times New Roman" w:hAnsi="Times New Roman" w:cs="Times New Roman"/>
                <w:color w:val="000000"/>
                <w:lang w:eastAsia="en-GB"/>
              </w:rPr>
              <w:t>250 mg geležies/min.</w:t>
            </w:r>
          </w:p>
        </w:tc>
        <w:tc>
          <w:tcPr>
            <w:tcW w:w="2407" w:type="dxa"/>
          </w:tcPr>
          <w:p w14:paraId="166C2449"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1-3 kartus per savaitę</w:t>
            </w:r>
          </w:p>
        </w:tc>
      </w:tr>
    </w:tbl>
    <w:p w14:paraId="4294420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CB569F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
          <w:lang w:eastAsia="lt-LT"/>
        </w:rPr>
      </w:pPr>
      <w:r w:rsidRPr="00162DB2">
        <w:rPr>
          <w:rFonts w:ascii="Times New Roman" w:eastAsia="Calibri" w:hAnsi="Times New Roman" w:cs="Times New Roman"/>
          <w:bCs/>
          <w:i/>
          <w:lang w:eastAsia="lt-LT"/>
        </w:rPr>
        <w:t>Infuzija į veną</w:t>
      </w:r>
    </w:p>
    <w:p w14:paraId="66B02D9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0FD28893"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Reikalinga geležies dozė gali būti suvartojama viena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infuzija, skiriant iki 20 mg geležies kilogramui kūno svorio arba infuzijomis vieną kartą per savaitę iki tol, kol suvartojamas reikalingas geležies kiekis.</w:t>
      </w:r>
    </w:p>
    <w:p w14:paraId="1ACE2D25"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p>
    <w:p w14:paraId="72A6B1B1"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Jei geležies poreikis viršija 20 mg kilogramui kūno svorio, dozė turėtų būti padalinta į dvi dalis ir vartojama su mažiausiai vienos savaitės intervalu. Jei įmanoma, pirmą kartą vartojant rekomenduojama duoti 20 mg geležies/kilogramui kūno svorio. Priklausomai nuo klinikinės situacijos, antrasis vartojimas  skiriamas remiantis laboratoriniais tyrimais. </w:t>
      </w:r>
    </w:p>
    <w:p w14:paraId="7FFBB78D"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p>
    <w:p w14:paraId="76BD9DE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4 lentelė. Infuzijos į veną vartojimo normos</w:t>
      </w:r>
    </w:p>
    <w:tbl>
      <w:tblPr>
        <w:tblStyle w:val="Lentelstinklelis"/>
        <w:tblW w:w="0" w:type="auto"/>
        <w:tblLook w:val="04A0" w:firstRow="1" w:lastRow="0" w:firstColumn="1" w:lastColumn="0" w:noHBand="0" w:noVBand="1"/>
      </w:tblPr>
      <w:tblGrid>
        <w:gridCol w:w="4694"/>
        <w:gridCol w:w="4700"/>
      </w:tblGrid>
      <w:tr w:rsidR="005A24FA" w:rsidRPr="00162DB2" w14:paraId="042CFF8D" w14:textId="77777777" w:rsidTr="00FA250C">
        <w:tc>
          <w:tcPr>
            <w:tcW w:w="4814" w:type="dxa"/>
          </w:tcPr>
          <w:p w14:paraId="636050C2"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Geležies dozė</w:t>
            </w:r>
          </w:p>
        </w:tc>
        <w:tc>
          <w:tcPr>
            <w:tcW w:w="4814" w:type="dxa"/>
          </w:tcPr>
          <w:p w14:paraId="0106FD38"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Minimalus vartojimo laikas</w:t>
            </w:r>
          </w:p>
        </w:tc>
      </w:tr>
      <w:tr w:rsidR="005A24FA" w:rsidRPr="00162DB2" w14:paraId="4E14D136" w14:textId="77777777" w:rsidTr="00FA250C">
        <w:tc>
          <w:tcPr>
            <w:tcW w:w="4814" w:type="dxa"/>
          </w:tcPr>
          <w:p w14:paraId="4D546C29" w14:textId="77777777" w:rsidR="005A24FA" w:rsidRPr="00162DB2" w:rsidRDefault="005A24FA" w:rsidP="00FA250C">
            <w:pPr>
              <w:rPr>
                <w:rFonts w:ascii="Times New Roman" w:hAnsi="Times New Roman" w:cs="Times New Roman"/>
                <w:iCs/>
                <w:color w:val="000000"/>
                <w:lang w:eastAsia="en-GB"/>
              </w:rPr>
            </w:pPr>
            <w:r w:rsidRPr="00162DB2">
              <w:rPr>
                <w:rFonts w:ascii="Times New Roman" w:hAnsi="Times New Roman" w:cs="Times New Roman"/>
                <w:iCs/>
                <w:color w:val="000000"/>
                <w:lang w:eastAsia="en-GB"/>
              </w:rPr>
              <w:t>≤1000 mg</w:t>
            </w:r>
          </w:p>
          <w:p w14:paraId="3AC63F1D"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iCs/>
                <w:color w:val="000000"/>
                <w:lang w:eastAsia="en-GB"/>
              </w:rPr>
              <w:t>&gt;1000 mg</w:t>
            </w:r>
          </w:p>
        </w:tc>
        <w:tc>
          <w:tcPr>
            <w:tcW w:w="4814" w:type="dxa"/>
          </w:tcPr>
          <w:p w14:paraId="62700A6F"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Ilgiau nei 15 min.</w:t>
            </w:r>
          </w:p>
          <w:p w14:paraId="7F4D286D"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30 min. ir ilgiau</w:t>
            </w:r>
          </w:p>
        </w:tc>
      </w:tr>
    </w:tbl>
    <w:p w14:paraId="0FAAE8F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AB76E1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turi būti leidžiamas neskiestas arba praskiestas steriliu 0,9% natrio chlorido tirpalu. Dėl stabilumo,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neturėtų būti skiedžiamas iki mažesnės kaip 1 mg geležies/ml koncentracijos (neįskaitant geležies </w:t>
      </w:r>
      <w:proofErr w:type="spellStart"/>
      <w:r w:rsidRPr="009C16D6">
        <w:rPr>
          <w:rFonts w:ascii="Times New Roman" w:eastAsia="Calibri" w:hAnsi="Times New Roman" w:cs="Times New Roman"/>
          <w:lang w:eastAsia="lt-LT"/>
        </w:rPr>
        <w:t>derisomaltozės</w:t>
      </w:r>
      <w:proofErr w:type="spellEnd"/>
      <w:r w:rsidRPr="009C16D6" w:rsidDel="009C16D6">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tirpalo tūrio) ir niekada neturėtų būti skiedžiamas daugiau kaip 500 ml.  Perskaitykite 6.6 skyrių.</w:t>
      </w:r>
    </w:p>
    <w:p w14:paraId="5A06806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679D84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
          <w:lang w:eastAsia="lt-LT"/>
        </w:rPr>
      </w:pPr>
      <w:r w:rsidRPr="00162DB2">
        <w:rPr>
          <w:rFonts w:ascii="Times New Roman" w:eastAsia="Calibri" w:hAnsi="Times New Roman" w:cs="Times New Roman"/>
          <w:bCs/>
          <w:i/>
          <w:lang w:eastAsia="lt-LT"/>
        </w:rPr>
        <w:t>Injekcija į dializės aparatą</w:t>
      </w:r>
    </w:p>
    <w:p w14:paraId="4B6AC6E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lang w:eastAsia="lt-LT"/>
        </w:rPr>
      </w:pPr>
    </w:p>
    <w:p w14:paraId="5A5C6A3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skiriamas tiesiogiai į dializės aparato veninę dalį hemodializės metu, tokia pačia procedūra, kaip nurodyta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(smūginės dozės) injekcijos vartojimo į veną metoduose. </w:t>
      </w:r>
    </w:p>
    <w:p w14:paraId="2663E74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1AD193C"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4.3</w:t>
      </w:r>
      <w:r w:rsidRPr="00162DB2">
        <w:rPr>
          <w:rFonts w:ascii="Times New Roman" w:eastAsia="Calibri" w:hAnsi="Times New Roman" w:cs="Times New Roman"/>
          <w:b/>
          <w:lang w:eastAsia="lt-LT"/>
        </w:rPr>
        <w:tab/>
        <w:t>Kontraindikacijos</w:t>
      </w:r>
    </w:p>
    <w:p w14:paraId="48AE0FB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89D3E5C" w14:textId="77777777" w:rsidR="005A24FA" w:rsidRPr="00162DB2" w:rsidRDefault="005A24FA" w:rsidP="005A24FA">
      <w:pPr>
        <w:numPr>
          <w:ilvl w:val="0"/>
          <w:numId w:val="32"/>
        </w:numPr>
        <w:spacing w:after="0" w:line="240" w:lineRule="auto"/>
        <w:ind w:left="567" w:right="73" w:hanging="207"/>
        <w:rPr>
          <w:rFonts w:ascii="Times New Roman" w:eastAsia="SimSun" w:hAnsi="Times New Roman" w:cs="Times New Roman"/>
          <w:lang w:eastAsia="lt-LT"/>
        </w:rPr>
      </w:pPr>
      <w:r w:rsidRPr="00162DB2">
        <w:rPr>
          <w:rFonts w:ascii="Times New Roman" w:eastAsia="SimSun" w:hAnsi="Times New Roman" w:cs="Times New Roman"/>
          <w:lang w:eastAsia="lt-LT"/>
        </w:rPr>
        <w:t xml:space="preserve">Padidėjęs jautrumas veikliajai arba bet kuriai 6.1 skyriuje nurodytai pagalbinei </w:t>
      </w:r>
      <w:proofErr w:type="spellStart"/>
      <w:r w:rsidRPr="00162DB2">
        <w:rPr>
          <w:rFonts w:ascii="Times New Roman" w:eastAsia="SimSun" w:hAnsi="Times New Roman" w:cs="Times New Roman"/>
          <w:lang w:eastAsia="lt-LT"/>
        </w:rPr>
        <w:t>Monofer</w:t>
      </w:r>
      <w:proofErr w:type="spellEnd"/>
      <w:r w:rsidRPr="00162DB2">
        <w:rPr>
          <w:rFonts w:ascii="Times New Roman" w:eastAsia="SimSun" w:hAnsi="Times New Roman" w:cs="Times New Roman"/>
          <w:lang w:eastAsia="lt-LT"/>
        </w:rPr>
        <w:t xml:space="preserve"> medžiagai.</w:t>
      </w:r>
    </w:p>
    <w:p w14:paraId="236E44B0" w14:textId="77777777" w:rsidR="005A24FA" w:rsidRPr="00162DB2" w:rsidRDefault="005A24FA" w:rsidP="005A24FA">
      <w:pPr>
        <w:numPr>
          <w:ilvl w:val="0"/>
          <w:numId w:val="32"/>
        </w:numPr>
        <w:spacing w:after="0" w:line="240" w:lineRule="auto"/>
        <w:ind w:left="567" w:right="73" w:hanging="207"/>
        <w:rPr>
          <w:rFonts w:ascii="Times New Roman" w:eastAsia="SimSun" w:hAnsi="Times New Roman" w:cs="Times New Roman"/>
          <w:lang w:eastAsia="lt-LT"/>
        </w:rPr>
      </w:pPr>
      <w:r w:rsidRPr="00162DB2">
        <w:rPr>
          <w:rFonts w:ascii="Times New Roman" w:eastAsia="SimSun" w:hAnsi="Times New Roman" w:cs="Times New Roman"/>
          <w:lang w:eastAsia="lt-LT"/>
        </w:rPr>
        <w:t xml:space="preserve">Nustatytas padidėjęs jautrumas kitiems </w:t>
      </w:r>
      <w:proofErr w:type="spellStart"/>
      <w:r w:rsidRPr="00162DB2">
        <w:rPr>
          <w:rFonts w:ascii="Times New Roman" w:eastAsia="SimSun" w:hAnsi="Times New Roman" w:cs="Times New Roman"/>
          <w:lang w:eastAsia="lt-LT"/>
        </w:rPr>
        <w:t>parenteraliai</w:t>
      </w:r>
      <w:proofErr w:type="spellEnd"/>
      <w:r w:rsidRPr="00162DB2">
        <w:rPr>
          <w:rFonts w:ascii="Times New Roman" w:eastAsia="SimSun" w:hAnsi="Times New Roman" w:cs="Times New Roman"/>
          <w:lang w:eastAsia="lt-LT"/>
        </w:rPr>
        <w:t xml:space="preserve"> vartojamiems geležies preparatams.</w:t>
      </w:r>
    </w:p>
    <w:p w14:paraId="584DD1AD" w14:textId="77777777" w:rsidR="005A24FA" w:rsidRPr="00162DB2" w:rsidRDefault="005A24FA" w:rsidP="005A24FA">
      <w:pPr>
        <w:numPr>
          <w:ilvl w:val="0"/>
          <w:numId w:val="32"/>
        </w:numPr>
        <w:tabs>
          <w:tab w:val="left" w:pos="120"/>
          <w:tab w:val="left" w:pos="567"/>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Ne geležies stokos anemija (pvz.: hemolizinė anemija). </w:t>
      </w:r>
    </w:p>
    <w:p w14:paraId="3C71CD76" w14:textId="77777777" w:rsidR="005A24FA" w:rsidRPr="00162DB2" w:rsidRDefault="005A24FA" w:rsidP="005A24FA">
      <w:pPr>
        <w:numPr>
          <w:ilvl w:val="0"/>
          <w:numId w:val="32"/>
        </w:numPr>
        <w:tabs>
          <w:tab w:val="left" w:pos="120"/>
          <w:tab w:val="left" w:pos="567"/>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Geležies perteklius arba sutrikęs geležies suvartojimas (pvz.: </w:t>
      </w:r>
      <w:proofErr w:type="spellStart"/>
      <w:r w:rsidRPr="00162DB2">
        <w:rPr>
          <w:rFonts w:ascii="Times New Roman" w:eastAsia="Calibri" w:hAnsi="Times New Roman" w:cs="Times New Roman"/>
          <w:bCs/>
          <w:lang w:eastAsia="lt-LT"/>
        </w:rPr>
        <w:t>hemochromatozė</w:t>
      </w:r>
      <w:proofErr w:type="spellEnd"/>
      <w:r w:rsidRPr="00162DB2">
        <w:rPr>
          <w:rFonts w:ascii="Times New Roman" w:eastAsia="Calibri" w:hAnsi="Times New Roman" w:cs="Times New Roman"/>
          <w:bCs/>
          <w:lang w:eastAsia="lt-LT"/>
        </w:rPr>
        <w:t xml:space="preserve">, </w:t>
      </w:r>
      <w:proofErr w:type="spellStart"/>
      <w:r w:rsidRPr="00162DB2">
        <w:rPr>
          <w:rFonts w:ascii="Times New Roman" w:eastAsia="Calibri" w:hAnsi="Times New Roman" w:cs="Times New Roman"/>
          <w:bCs/>
          <w:lang w:eastAsia="lt-LT"/>
        </w:rPr>
        <w:t>hemosiderozė</w:t>
      </w:r>
      <w:proofErr w:type="spellEnd"/>
      <w:r w:rsidRPr="00162DB2">
        <w:rPr>
          <w:rFonts w:ascii="Times New Roman" w:eastAsia="Calibri" w:hAnsi="Times New Roman" w:cs="Times New Roman"/>
          <w:bCs/>
          <w:lang w:eastAsia="lt-LT"/>
        </w:rPr>
        <w:t xml:space="preserve">). </w:t>
      </w:r>
    </w:p>
    <w:p w14:paraId="74E40C1E" w14:textId="77777777" w:rsidR="005A24FA" w:rsidRPr="00162DB2" w:rsidRDefault="005A24FA" w:rsidP="005A24FA">
      <w:pPr>
        <w:numPr>
          <w:ilvl w:val="0"/>
          <w:numId w:val="32"/>
        </w:num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bCs/>
          <w:lang w:eastAsia="lt-LT"/>
        </w:rPr>
        <w:t>Dekompensuota</w:t>
      </w:r>
      <w:proofErr w:type="spellEnd"/>
      <w:r w:rsidRPr="00162DB2">
        <w:rPr>
          <w:rFonts w:ascii="Times New Roman" w:eastAsia="Calibri" w:hAnsi="Times New Roman" w:cs="Times New Roman"/>
          <w:bCs/>
          <w:lang w:eastAsia="lt-LT"/>
        </w:rPr>
        <w:t xml:space="preserve"> kepenų liga.</w:t>
      </w:r>
    </w:p>
    <w:p w14:paraId="6BB1DC7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216303DE"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4.4</w:t>
      </w:r>
      <w:r w:rsidRPr="00162DB2">
        <w:rPr>
          <w:rFonts w:ascii="Times New Roman" w:eastAsia="Calibri" w:hAnsi="Times New Roman" w:cs="Times New Roman"/>
          <w:b/>
          <w:bCs/>
          <w:lang w:eastAsia="lt-LT"/>
        </w:rPr>
        <w:tab/>
        <w:t>Specialūs įspėjimai ir atsargumo priemonės</w:t>
      </w:r>
    </w:p>
    <w:p w14:paraId="6E981843" w14:textId="77777777" w:rsidR="005A24FA" w:rsidRPr="00162DB2" w:rsidRDefault="005A24FA" w:rsidP="005A24FA">
      <w:pPr>
        <w:tabs>
          <w:tab w:val="left" w:pos="120"/>
        </w:tabs>
        <w:spacing w:after="0" w:line="240" w:lineRule="auto"/>
        <w:rPr>
          <w:rFonts w:ascii="Times New Roman" w:eastAsia="Calibri" w:hAnsi="Times New Roman" w:cs="Times New Roman"/>
          <w:lang w:eastAsia="lt-LT"/>
        </w:rPr>
      </w:pPr>
    </w:p>
    <w:p w14:paraId="5BE7C085" w14:textId="77777777" w:rsidR="005A24FA" w:rsidRPr="00162DB2" w:rsidRDefault="005A24FA" w:rsidP="005A24FA">
      <w:pPr>
        <w:spacing w:after="0" w:line="240" w:lineRule="auto"/>
        <w:ind w:right="73"/>
        <w:rPr>
          <w:rFonts w:ascii="Times New Roman" w:eastAsia="SimSun" w:hAnsi="Times New Roman" w:cs="Times New Roman"/>
          <w:lang w:eastAsia="lt-LT"/>
        </w:rPr>
      </w:pPr>
      <w:proofErr w:type="spellStart"/>
      <w:r w:rsidRPr="00162DB2">
        <w:rPr>
          <w:rFonts w:ascii="Times New Roman" w:eastAsia="SimSun" w:hAnsi="Times New Roman" w:cs="Times New Roman"/>
          <w:lang w:eastAsia="lt-LT"/>
        </w:rPr>
        <w:t>Parenteraliai</w:t>
      </w:r>
      <w:proofErr w:type="spellEnd"/>
      <w:r w:rsidRPr="00162DB2">
        <w:rPr>
          <w:rFonts w:ascii="Times New Roman" w:eastAsia="SimSun" w:hAnsi="Times New Roman" w:cs="Times New Roman"/>
          <w:lang w:eastAsia="lt-LT"/>
        </w:rPr>
        <w:t xml:space="preserve"> skiriami geležies preparatai gali sukelti padidėjusio jautrumo reakcijas, įskaitant sunkias ir galimai mirtinas anafilaksines ar </w:t>
      </w:r>
      <w:proofErr w:type="spellStart"/>
      <w:r w:rsidRPr="00162DB2">
        <w:rPr>
          <w:rFonts w:ascii="Times New Roman" w:eastAsia="SimSun" w:hAnsi="Times New Roman" w:cs="Times New Roman"/>
          <w:lang w:eastAsia="lt-LT"/>
        </w:rPr>
        <w:t>anafilaktoidines</w:t>
      </w:r>
      <w:proofErr w:type="spellEnd"/>
      <w:r w:rsidRPr="00162DB2">
        <w:rPr>
          <w:rFonts w:ascii="Times New Roman" w:eastAsia="SimSun" w:hAnsi="Times New Roman" w:cs="Times New Roman"/>
          <w:lang w:eastAsia="lt-LT"/>
        </w:rPr>
        <w:t xml:space="preserve"> reakcijas. Pranešama apie padidėjusio jautrumo reakcijas, pasireiškusias po anksčiau pasekmių nesukėlusios </w:t>
      </w:r>
      <w:proofErr w:type="spellStart"/>
      <w:r w:rsidRPr="00162DB2">
        <w:rPr>
          <w:rFonts w:ascii="Times New Roman" w:eastAsia="SimSun" w:hAnsi="Times New Roman" w:cs="Times New Roman"/>
          <w:lang w:eastAsia="lt-LT"/>
        </w:rPr>
        <w:t>parenteraliai</w:t>
      </w:r>
      <w:proofErr w:type="spellEnd"/>
      <w:r w:rsidRPr="00162DB2">
        <w:rPr>
          <w:rFonts w:ascii="Times New Roman" w:eastAsia="SimSun" w:hAnsi="Times New Roman" w:cs="Times New Roman"/>
          <w:lang w:eastAsia="lt-LT"/>
        </w:rPr>
        <w:t xml:space="preserve"> vartojamų geležies preparatų dozės. Gauta pranešimų apie padidėjusio jautrumo reakcijas, kurioms progresuojant gali išsivystyti </w:t>
      </w:r>
      <w:proofErr w:type="spellStart"/>
      <w:r w:rsidRPr="00162DB2">
        <w:rPr>
          <w:rFonts w:ascii="Times New Roman" w:eastAsia="SimSun" w:hAnsi="Times New Roman" w:cs="Times New Roman"/>
          <w:lang w:eastAsia="lt-LT"/>
        </w:rPr>
        <w:t>Kounis</w:t>
      </w:r>
      <w:proofErr w:type="spellEnd"/>
      <w:r w:rsidRPr="00162DB2">
        <w:rPr>
          <w:rFonts w:ascii="Times New Roman" w:eastAsia="SimSun" w:hAnsi="Times New Roman" w:cs="Times New Roman"/>
          <w:lang w:eastAsia="lt-LT"/>
        </w:rPr>
        <w:t xml:space="preserve"> sindromas (ūminis alerginis širdies vainikinių arterijų spazmas, kuris gali sukelti miokardo infarktą, žr. 4.8 skyrių).</w:t>
      </w:r>
    </w:p>
    <w:p w14:paraId="64D183A8" w14:textId="77777777" w:rsidR="005A24FA" w:rsidRPr="00162DB2" w:rsidRDefault="005A24FA" w:rsidP="005A24FA">
      <w:pPr>
        <w:spacing w:after="0" w:line="240" w:lineRule="auto"/>
        <w:ind w:right="73"/>
        <w:rPr>
          <w:rFonts w:ascii="Times New Roman" w:eastAsia="SimSun" w:hAnsi="Times New Roman" w:cs="Times New Roman"/>
          <w:lang w:eastAsia="lt-LT"/>
        </w:rPr>
      </w:pPr>
      <w:r w:rsidRPr="00162DB2">
        <w:rPr>
          <w:rFonts w:ascii="Times New Roman" w:eastAsia="SimSun" w:hAnsi="Times New Roman" w:cs="Times New Roman"/>
          <w:lang w:eastAsia="lt-LT"/>
        </w:rPr>
        <w:t xml:space="preserve">Ši rizika yra didesnė pacientams, kuriems yra nustatytos alergijos, įskaitant alergijas vaistiniams preparatams, ir pacientams, sirgusiems sunkia astmos forma, egzema ar kita </w:t>
      </w:r>
      <w:proofErr w:type="spellStart"/>
      <w:r w:rsidRPr="00162DB2">
        <w:rPr>
          <w:rFonts w:ascii="Times New Roman" w:eastAsia="SimSun" w:hAnsi="Times New Roman" w:cs="Times New Roman"/>
          <w:lang w:eastAsia="lt-LT"/>
        </w:rPr>
        <w:t>atopine</w:t>
      </w:r>
      <w:proofErr w:type="spellEnd"/>
      <w:r w:rsidRPr="00162DB2">
        <w:rPr>
          <w:rFonts w:ascii="Times New Roman" w:eastAsia="SimSun" w:hAnsi="Times New Roman" w:cs="Times New Roman"/>
          <w:lang w:eastAsia="lt-LT"/>
        </w:rPr>
        <w:t xml:space="preserve"> alergija.</w:t>
      </w:r>
    </w:p>
    <w:p w14:paraId="54B4BFF6" w14:textId="77777777" w:rsidR="005A24FA" w:rsidRPr="00162DB2" w:rsidRDefault="005A24FA" w:rsidP="005A24FA">
      <w:pPr>
        <w:spacing w:after="0" w:line="240" w:lineRule="auto"/>
        <w:ind w:right="73"/>
        <w:rPr>
          <w:rFonts w:ascii="Times New Roman" w:eastAsia="SimSun" w:hAnsi="Times New Roman" w:cs="Times New Roman"/>
          <w:lang w:eastAsia="lt-LT"/>
        </w:rPr>
      </w:pPr>
      <w:r w:rsidRPr="00162DB2">
        <w:rPr>
          <w:rFonts w:ascii="Times New Roman" w:eastAsia="SimSun" w:hAnsi="Times New Roman" w:cs="Times New Roman"/>
          <w:lang w:eastAsia="lt-LT"/>
        </w:rPr>
        <w:t xml:space="preserve">Be to, padidėjusio jautrumo reakcijų į </w:t>
      </w:r>
      <w:proofErr w:type="spellStart"/>
      <w:r w:rsidRPr="00162DB2">
        <w:rPr>
          <w:rFonts w:ascii="Times New Roman" w:eastAsia="SimSun" w:hAnsi="Times New Roman" w:cs="Times New Roman"/>
          <w:lang w:eastAsia="lt-LT"/>
        </w:rPr>
        <w:t>parenteraliai</w:t>
      </w:r>
      <w:proofErr w:type="spellEnd"/>
      <w:r w:rsidRPr="00162DB2">
        <w:rPr>
          <w:rFonts w:ascii="Times New Roman" w:eastAsia="SimSun" w:hAnsi="Times New Roman" w:cs="Times New Roman"/>
          <w:lang w:eastAsia="lt-LT"/>
        </w:rPr>
        <w:t xml:space="preserve"> vartojamus geležies preparatus rizika yra didesnė pacientams, kuriems yra imuninės ar uždegiminės būklės (pvz., serga sistemine raudonąja vilklige, reumatoidiniu artritu).</w:t>
      </w:r>
    </w:p>
    <w:p w14:paraId="35352AD7" w14:textId="77777777" w:rsidR="005A24FA" w:rsidRPr="00162DB2" w:rsidRDefault="005A24FA" w:rsidP="005A24FA">
      <w:pPr>
        <w:spacing w:after="0" w:line="240" w:lineRule="auto"/>
        <w:ind w:right="73"/>
        <w:rPr>
          <w:rFonts w:ascii="Times New Roman" w:eastAsia="SimSun" w:hAnsi="Times New Roman" w:cs="Times New Roman"/>
          <w:lang w:eastAsia="lt-LT"/>
        </w:rPr>
      </w:pPr>
    </w:p>
    <w:p w14:paraId="53B95837" w14:textId="77777777" w:rsidR="005A24FA" w:rsidRPr="00162DB2" w:rsidRDefault="005A24FA" w:rsidP="005A24FA">
      <w:pPr>
        <w:spacing w:after="0" w:line="240" w:lineRule="auto"/>
        <w:ind w:right="73"/>
        <w:rPr>
          <w:rFonts w:ascii="Times New Roman" w:eastAsia="SimSun" w:hAnsi="Times New Roman" w:cs="Times New Roman"/>
          <w:lang w:eastAsia="lt-LT"/>
        </w:rPr>
      </w:pPr>
      <w:proofErr w:type="spellStart"/>
      <w:r w:rsidRPr="00162DB2">
        <w:rPr>
          <w:rFonts w:ascii="Times New Roman" w:eastAsia="SimSun" w:hAnsi="Times New Roman" w:cs="Times New Roman"/>
          <w:lang w:eastAsia="lt-LT"/>
        </w:rPr>
        <w:t>Monofer</w:t>
      </w:r>
      <w:proofErr w:type="spellEnd"/>
      <w:r w:rsidRPr="00162DB2">
        <w:rPr>
          <w:rFonts w:ascii="Times New Roman" w:eastAsia="SimSun" w:hAnsi="Times New Roman" w:cs="Times New Roman"/>
          <w:lang w:eastAsia="lt-LT"/>
        </w:rPr>
        <w:t xml:space="preserve"> turėtų būti vartojamas tik visa būtina gaivinimo įranga aprūpintoje aplinkoje ir kai netoliese yra personalo, išmokyto atpažinti ir suvaldyti </w:t>
      </w:r>
      <w:proofErr w:type="spellStart"/>
      <w:r w:rsidRPr="00162DB2">
        <w:rPr>
          <w:rFonts w:ascii="Times New Roman" w:eastAsia="SimSun" w:hAnsi="Times New Roman" w:cs="Times New Roman"/>
          <w:lang w:eastAsia="lt-LT"/>
        </w:rPr>
        <w:t>anafilaktines</w:t>
      </w:r>
      <w:proofErr w:type="spellEnd"/>
      <w:r w:rsidRPr="00162DB2">
        <w:rPr>
          <w:rFonts w:ascii="Times New Roman" w:eastAsia="SimSun" w:hAnsi="Times New Roman" w:cs="Times New Roman"/>
          <w:lang w:eastAsia="lt-LT"/>
        </w:rPr>
        <w:t xml:space="preserve"> reakcijas. Mažiausiai 30 minučių po kiekvienos </w:t>
      </w:r>
      <w:proofErr w:type="spellStart"/>
      <w:r w:rsidRPr="00162DB2">
        <w:rPr>
          <w:rFonts w:ascii="Times New Roman" w:eastAsia="SimSun" w:hAnsi="Times New Roman" w:cs="Times New Roman"/>
          <w:lang w:eastAsia="lt-LT"/>
        </w:rPr>
        <w:t>Monofer</w:t>
      </w:r>
      <w:proofErr w:type="spellEnd"/>
      <w:r w:rsidRPr="00162DB2">
        <w:rPr>
          <w:rFonts w:ascii="Times New Roman" w:eastAsia="SimSun" w:hAnsi="Times New Roman" w:cs="Times New Roman"/>
          <w:lang w:eastAsia="lt-LT"/>
        </w:rPr>
        <w:t xml:space="preserve"> injekcijos reikia stebėti, ar pacientui nepasireiškė nepageidaujamas poveikis. Jei vartojimo metu pasireiškė padidėjusio jautrumo reakcijų arba </w:t>
      </w:r>
      <w:proofErr w:type="spellStart"/>
      <w:r w:rsidRPr="00162DB2">
        <w:rPr>
          <w:rFonts w:ascii="Times New Roman" w:eastAsia="SimSun" w:hAnsi="Times New Roman" w:cs="Times New Roman"/>
          <w:lang w:eastAsia="lt-LT"/>
        </w:rPr>
        <w:t>netoleravimo</w:t>
      </w:r>
      <w:proofErr w:type="spellEnd"/>
      <w:r w:rsidRPr="00162DB2">
        <w:rPr>
          <w:rFonts w:ascii="Times New Roman" w:eastAsia="SimSun" w:hAnsi="Times New Roman" w:cs="Times New Roman"/>
          <w:lang w:eastAsia="lt-LT"/>
        </w:rPr>
        <w:t xml:space="preserve"> požymių, gydymą reikia nedelsiant nutraukti. Reikia būti pasiruošus priemones širdies ir kvėpavimo veiklai atstatyti ir įrangą, reikalingą ūminių anafilaksinių ar </w:t>
      </w:r>
      <w:proofErr w:type="spellStart"/>
      <w:r w:rsidRPr="00162DB2">
        <w:rPr>
          <w:rFonts w:ascii="Times New Roman" w:eastAsia="SimSun" w:hAnsi="Times New Roman" w:cs="Times New Roman"/>
          <w:lang w:eastAsia="lt-LT"/>
        </w:rPr>
        <w:t>anafilaktoidinių</w:t>
      </w:r>
      <w:proofErr w:type="spellEnd"/>
      <w:r w:rsidRPr="00162DB2">
        <w:rPr>
          <w:rFonts w:ascii="Times New Roman" w:eastAsia="SimSun" w:hAnsi="Times New Roman" w:cs="Times New Roman"/>
          <w:lang w:eastAsia="lt-LT"/>
        </w:rPr>
        <w:t xml:space="preserve"> reakcijų atveju, įskaitant 1:1000 adrenalino injekcinį tirpalą. Po to atitinkamai turėtų būti taikomas papildomas gydymas </w:t>
      </w:r>
      <w:proofErr w:type="spellStart"/>
      <w:r w:rsidRPr="00162DB2">
        <w:rPr>
          <w:rFonts w:ascii="Times New Roman" w:eastAsia="SimSun" w:hAnsi="Times New Roman" w:cs="Times New Roman"/>
          <w:lang w:eastAsia="lt-LT"/>
        </w:rPr>
        <w:t>antihistamininiais</w:t>
      </w:r>
      <w:proofErr w:type="spellEnd"/>
      <w:r w:rsidRPr="00162DB2">
        <w:rPr>
          <w:rFonts w:ascii="Times New Roman" w:eastAsia="SimSun" w:hAnsi="Times New Roman" w:cs="Times New Roman"/>
          <w:lang w:eastAsia="lt-LT"/>
        </w:rPr>
        <w:t xml:space="preserve"> vaistiniais preparatais ir (arba) kortikosteroidais. </w:t>
      </w:r>
    </w:p>
    <w:p w14:paraId="087A1538" w14:textId="77777777" w:rsidR="005A24FA" w:rsidRPr="00162DB2" w:rsidRDefault="005A24FA" w:rsidP="005A24FA">
      <w:pPr>
        <w:tabs>
          <w:tab w:val="left" w:pos="120"/>
        </w:tabs>
        <w:spacing w:after="0" w:line="240" w:lineRule="auto"/>
        <w:rPr>
          <w:rFonts w:ascii="Times New Roman" w:eastAsia="Calibri" w:hAnsi="Times New Roman" w:cs="Times New Roman"/>
          <w:lang w:eastAsia="lt-LT"/>
        </w:rPr>
      </w:pPr>
    </w:p>
    <w:p w14:paraId="4E8CB3A6" w14:textId="77777777" w:rsidR="005A24FA" w:rsidRPr="00162DB2" w:rsidRDefault="005A24FA" w:rsidP="005A24FA">
      <w:pPr>
        <w:tabs>
          <w:tab w:val="left" w:pos="120"/>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Pacientams, kuriems nustatyta kepenų disfunkcija, </w:t>
      </w:r>
      <w:proofErr w:type="spellStart"/>
      <w:r w:rsidRPr="00162DB2">
        <w:rPr>
          <w:rFonts w:ascii="Times New Roman" w:eastAsia="Calibri" w:hAnsi="Times New Roman" w:cs="Times New Roman"/>
          <w:lang w:eastAsia="lt-LT"/>
        </w:rPr>
        <w:t>parenteraliai</w:t>
      </w:r>
      <w:proofErr w:type="spellEnd"/>
      <w:r w:rsidRPr="00162DB2">
        <w:rPr>
          <w:rFonts w:ascii="Times New Roman" w:eastAsia="Calibri" w:hAnsi="Times New Roman" w:cs="Times New Roman"/>
          <w:lang w:eastAsia="lt-LT"/>
        </w:rPr>
        <w:t xml:space="preserve"> vartojama geležis gali būti skiriame tik įvertinus naudos ir rizikos santykį. Pacientai su kepenų disfunkcija (</w:t>
      </w:r>
      <w:proofErr w:type="spellStart"/>
      <w:r w:rsidRPr="00162DB2">
        <w:rPr>
          <w:rFonts w:ascii="Times New Roman" w:eastAsia="Calibri" w:hAnsi="Times New Roman" w:cs="Times New Roman"/>
          <w:lang w:eastAsia="lt-LT"/>
        </w:rPr>
        <w:t>alanino</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aminotransferazė</w:t>
      </w:r>
      <w:proofErr w:type="spellEnd"/>
      <w:r w:rsidRPr="00162DB2">
        <w:rPr>
          <w:rFonts w:ascii="Times New Roman" w:eastAsia="Calibri" w:hAnsi="Times New Roman" w:cs="Times New Roman"/>
          <w:lang w:eastAsia="lt-LT"/>
        </w:rPr>
        <w:t xml:space="preserve"> ir/arba </w:t>
      </w:r>
      <w:proofErr w:type="spellStart"/>
      <w:r w:rsidRPr="00162DB2">
        <w:rPr>
          <w:rFonts w:ascii="Times New Roman" w:eastAsia="Calibri" w:hAnsi="Times New Roman" w:cs="Times New Roman"/>
          <w:lang w:eastAsia="lt-LT"/>
        </w:rPr>
        <w:t>aspartato</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aminotransferazė</w:t>
      </w:r>
      <w:proofErr w:type="spellEnd"/>
      <w:r w:rsidRPr="00162DB2">
        <w:rPr>
          <w:rFonts w:ascii="Times New Roman" w:eastAsia="Calibri" w:hAnsi="Times New Roman" w:cs="Times New Roman"/>
          <w:lang w:eastAsia="lt-LT"/>
        </w:rPr>
        <w:t xml:space="preserve"> viršija normą daugiau kaip 3 kartus), kai geležies perteklius yra nusodinimo veiksnys, ypač </w:t>
      </w:r>
      <w:proofErr w:type="spellStart"/>
      <w:r w:rsidRPr="00162DB2">
        <w:rPr>
          <w:rFonts w:ascii="Times New Roman" w:eastAsia="Calibri" w:hAnsi="Times New Roman" w:cs="Times New Roman"/>
          <w:lang w:eastAsia="lt-LT"/>
        </w:rPr>
        <w:t>hemochromatozė</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i/>
          <w:lang w:eastAsia="lt-LT"/>
        </w:rPr>
        <w:t>Porphyria</w:t>
      </w:r>
      <w:proofErr w:type="spellEnd"/>
      <w:r w:rsidRPr="00162DB2">
        <w:rPr>
          <w:rFonts w:ascii="Times New Roman" w:eastAsia="Calibri" w:hAnsi="Times New Roman" w:cs="Times New Roman"/>
          <w:i/>
          <w:lang w:eastAsia="lt-LT"/>
        </w:rPr>
        <w:t xml:space="preserve"> </w:t>
      </w:r>
      <w:proofErr w:type="spellStart"/>
      <w:r w:rsidRPr="00162DB2">
        <w:rPr>
          <w:rFonts w:ascii="Times New Roman" w:eastAsia="Calibri" w:hAnsi="Times New Roman" w:cs="Times New Roman"/>
          <w:i/>
          <w:lang w:eastAsia="lt-LT"/>
        </w:rPr>
        <w:t>Cutanea</w:t>
      </w:r>
      <w:proofErr w:type="spellEnd"/>
      <w:r w:rsidRPr="00162DB2">
        <w:rPr>
          <w:rFonts w:ascii="Times New Roman" w:eastAsia="Calibri" w:hAnsi="Times New Roman" w:cs="Times New Roman"/>
          <w:i/>
          <w:lang w:eastAsia="lt-LT"/>
        </w:rPr>
        <w:t xml:space="preserve"> </w:t>
      </w:r>
      <w:proofErr w:type="spellStart"/>
      <w:r w:rsidRPr="00162DB2">
        <w:rPr>
          <w:rFonts w:ascii="Times New Roman" w:eastAsia="Calibri" w:hAnsi="Times New Roman" w:cs="Times New Roman"/>
          <w:i/>
          <w:lang w:eastAsia="lt-LT"/>
        </w:rPr>
        <w:t>Tarda</w:t>
      </w:r>
      <w:proofErr w:type="spellEnd"/>
      <w:r w:rsidRPr="00162DB2">
        <w:rPr>
          <w:rFonts w:ascii="Times New Roman" w:eastAsia="Calibri" w:hAnsi="Times New Roman" w:cs="Times New Roman"/>
          <w:lang w:eastAsia="lt-LT"/>
        </w:rPr>
        <w:t xml:space="preserve">, PCT), turėtų vengti vartoti </w:t>
      </w:r>
      <w:proofErr w:type="spellStart"/>
      <w:r w:rsidRPr="00162DB2">
        <w:rPr>
          <w:rFonts w:ascii="Times New Roman" w:eastAsia="Calibri" w:hAnsi="Times New Roman" w:cs="Times New Roman"/>
          <w:lang w:eastAsia="lt-LT"/>
        </w:rPr>
        <w:t>parenteraliai</w:t>
      </w:r>
      <w:proofErr w:type="spellEnd"/>
      <w:r w:rsidRPr="00162DB2">
        <w:rPr>
          <w:rFonts w:ascii="Times New Roman" w:eastAsia="Calibri" w:hAnsi="Times New Roman" w:cs="Times New Roman"/>
          <w:lang w:eastAsia="lt-LT"/>
        </w:rPr>
        <w:t xml:space="preserve"> vartojamus geležies preparatus. Siekiant išvengti geležies pertekliaus, reikia atidžiai stebėti geležies lygį.</w:t>
      </w:r>
    </w:p>
    <w:p w14:paraId="06D4CAE3" w14:textId="77777777" w:rsidR="005A24FA" w:rsidRPr="00162DB2" w:rsidRDefault="005A24FA" w:rsidP="005A24FA">
      <w:pPr>
        <w:tabs>
          <w:tab w:val="left" w:pos="120"/>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 </w:t>
      </w:r>
    </w:p>
    <w:p w14:paraId="2C78294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Parenterinė</w:t>
      </w:r>
      <w:proofErr w:type="spellEnd"/>
      <w:r w:rsidRPr="00162DB2">
        <w:rPr>
          <w:rFonts w:ascii="Times New Roman" w:eastAsia="Calibri" w:hAnsi="Times New Roman" w:cs="Times New Roman"/>
          <w:lang w:eastAsia="lt-LT"/>
        </w:rPr>
        <w:t xml:space="preserve"> geležis turi būti vartojama atsargiai pacientams, sergantiems ūmiomis ar lėtinėmis infekcijomis.</w:t>
      </w:r>
    </w:p>
    <w:p w14:paraId="18D549B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979A3A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negalima vartoti pacientams, kuriems tuo metu yra pasireiškusi </w:t>
      </w:r>
      <w:proofErr w:type="spellStart"/>
      <w:r w:rsidRPr="00162DB2">
        <w:rPr>
          <w:rFonts w:ascii="Times New Roman" w:eastAsia="Calibri" w:hAnsi="Times New Roman" w:cs="Times New Roman"/>
          <w:lang w:eastAsia="lt-LT"/>
        </w:rPr>
        <w:t>bakteriemija</w:t>
      </w:r>
      <w:proofErr w:type="spellEnd"/>
      <w:r w:rsidRPr="00162DB2">
        <w:rPr>
          <w:rFonts w:ascii="Times New Roman" w:eastAsia="Calibri" w:hAnsi="Times New Roman" w:cs="Times New Roman"/>
          <w:lang w:eastAsia="lt-LT"/>
        </w:rPr>
        <w:t>.</w:t>
      </w:r>
    </w:p>
    <w:p w14:paraId="5A893ED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E3DEA1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Gali atsirasti </w:t>
      </w:r>
      <w:proofErr w:type="spellStart"/>
      <w:r w:rsidRPr="00162DB2">
        <w:rPr>
          <w:rFonts w:ascii="Times New Roman" w:eastAsia="Calibri" w:hAnsi="Times New Roman" w:cs="Times New Roman"/>
          <w:lang w:eastAsia="lt-LT"/>
        </w:rPr>
        <w:t>hipotenzinė</w:t>
      </w:r>
      <w:proofErr w:type="spellEnd"/>
      <w:r w:rsidRPr="00162DB2">
        <w:rPr>
          <w:rFonts w:ascii="Times New Roman" w:eastAsia="Calibri" w:hAnsi="Times New Roman" w:cs="Times New Roman"/>
          <w:lang w:eastAsia="lt-LT"/>
        </w:rPr>
        <w:t xml:space="preserve"> krizė, jeigu injekcija į veną yra skiriama per greitai.</w:t>
      </w:r>
    </w:p>
    <w:p w14:paraId="084A88F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2E744072" w14:textId="77777777" w:rsidR="005A24FA" w:rsidRDefault="005A24FA" w:rsidP="005A24FA">
      <w:pPr>
        <w:tabs>
          <w:tab w:val="left" w:pos="120"/>
          <w:tab w:val="left" w:pos="567"/>
        </w:tabs>
        <w:spacing w:after="0" w:line="240" w:lineRule="auto"/>
        <w:rPr>
          <w:rFonts w:ascii="Times New Roman" w:eastAsia="Calibri" w:hAnsi="Times New Roman" w:cs="Times New Roman"/>
          <w:bCs/>
          <w:lang w:eastAsia="lt-LT"/>
        </w:rPr>
      </w:pP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reikia vartoti atsargiai, kad būtų išvengtą vaisto nutekėjimo šalia venos.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nuotėkis šalia venos gali sukelti odos sudirginimą ir </w:t>
      </w:r>
      <w:r w:rsidRPr="00162DB2">
        <w:rPr>
          <w:rFonts w:ascii="Times New Roman" w:eastAsia="Calibri" w:hAnsi="Times New Roman" w:cs="Times New Roman"/>
          <w:lang w:eastAsia="lt-LT"/>
        </w:rPr>
        <w:t xml:space="preserve">ilgai trunkantį odos spalvos pakitimą (oda gali tapti ruda) injekcijos vietoje. Patekus į aplinkinius audinius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vartojimą reikia nedelsiant nutraukti.</w:t>
      </w:r>
      <w:r w:rsidRPr="00162DB2">
        <w:rPr>
          <w:rFonts w:ascii="Times New Roman" w:eastAsia="Calibri" w:hAnsi="Times New Roman" w:cs="Times New Roman"/>
          <w:lang w:eastAsia="lt-LT"/>
        </w:rPr>
        <w:br/>
      </w:r>
    </w:p>
    <w:p w14:paraId="3CD92669" w14:textId="77777777" w:rsidR="005A24FA" w:rsidRPr="00C20133" w:rsidRDefault="005A24FA" w:rsidP="005A24FA">
      <w:pPr>
        <w:tabs>
          <w:tab w:val="left" w:pos="120"/>
          <w:tab w:val="left" w:pos="567"/>
        </w:tabs>
        <w:spacing w:after="0" w:line="240" w:lineRule="auto"/>
        <w:rPr>
          <w:rFonts w:ascii="Times New Roman" w:hAnsi="Times New Roman" w:cs="Times New Roman"/>
        </w:rPr>
      </w:pPr>
      <w:r>
        <w:rPr>
          <w:rFonts w:ascii="Times New Roman" w:hAnsi="Times New Roman" w:cs="Times New Roman"/>
        </w:rPr>
        <w:t xml:space="preserve">Kiekvienoje </w:t>
      </w:r>
      <w:proofErr w:type="spellStart"/>
      <w:r w:rsidRPr="00C20133">
        <w:rPr>
          <w:rFonts w:ascii="Times New Roman" w:hAnsi="Times New Roman" w:cs="Times New Roman"/>
        </w:rPr>
        <w:t>Monofer</w:t>
      </w:r>
      <w:proofErr w:type="spellEnd"/>
      <w:r w:rsidRPr="00C20133">
        <w:rPr>
          <w:rFonts w:ascii="Times New Roman" w:hAnsi="Times New Roman" w:cs="Times New Roman"/>
        </w:rPr>
        <w:t xml:space="preserve"> 100</w:t>
      </w:r>
      <w:r>
        <w:rPr>
          <w:rFonts w:ascii="Times New Roman" w:hAnsi="Times New Roman" w:cs="Times New Roman"/>
        </w:rPr>
        <w:t> </w:t>
      </w:r>
      <w:r w:rsidRPr="00C20133">
        <w:rPr>
          <w:rFonts w:ascii="Times New Roman" w:hAnsi="Times New Roman" w:cs="Times New Roman"/>
        </w:rPr>
        <w:t>mg geležies dozėje yra iki 9,4</w:t>
      </w:r>
      <w:r>
        <w:rPr>
          <w:rFonts w:ascii="Times New Roman" w:hAnsi="Times New Roman" w:cs="Times New Roman"/>
        </w:rPr>
        <w:t> </w:t>
      </w:r>
      <w:r w:rsidRPr="00C20133">
        <w:rPr>
          <w:rFonts w:ascii="Times New Roman" w:hAnsi="Times New Roman" w:cs="Times New Roman"/>
        </w:rPr>
        <w:t>mg (0,41</w:t>
      </w:r>
      <w:r>
        <w:rPr>
          <w:rFonts w:ascii="Times New Roman" w:hAnsi="Times New Roman" w:cs="Times New Roman"/>
        </w:rPr>
        <w:t> </w:t>
      </w:r>
      <w:proofErr w:type="spellStart"/>
      <w:r w:rsidRPr="00C20133">
        <w:rPr>
          <w:rFonts w:ascii="Times New Roman" w:hAnsi="Times New Roman" w:cs="Times New Roman"/>
        </w:rPr>
        <w:t>mmol</w:t>
      </w:r>
      <w:proofErr w:type="spellEnd"/>
      <w:r w:rsidRPr="00C20133">
        <w:rPr>
          <w:rFonts w:ascii="Times New Roman" w:hAnsi="Times New Roman" w:cs="Times New Roman"/>
        </w:rPr>
        <w:t>) natrio, o tai atitinka 0,47</w:t>
      </w:r>
      <w:r>
        <w:rPr>
          <w:rFonts w:ascii="Times New Roman" w:hAnsi="Times New Roman" w:cs="Times New Roman"/>
        </w:rPr>
        <w:t> </w:t>
      </w:r>
      <w:r w:rsidRPr="00C20133">
        <w:rPr>
          <w:rFonts w:ascii="Times New Roman" w:hAnsi="Times New Roman" w:cs="Times New Roman"/>
        </w:rPr>
        <w:t>% PSO rekomenduojamos didžiausios 2</w:t>
      </w:r>
      <w:r>
        <w:rPr>
          <w:rFonts w:ascii="Times New Roman" w:hAnsi="Times New Roman" w:cs="Times New Roman"/>
        </w:rPr>
        <w:t> </w:t>
      </w:r>
      <w:r w:rsidRPr="00C20133">
        <w:rPr>
          <w:rFonts w:ascii="Times New Roman" w:hAnsi="Times New Roman" w:cs="Times New Roman"/>
        </w:rPr>
        <w:t>g natrio paros normos suaugusiam žmogui.</w:t>
      </w:r>
    </w:p>
    <w:p w14:paraId="71A3718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2647D4D0"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lastRenderedPageBreak/>
        <w:t>4.5</w:t>
      </w:r>
      <w:r w:rsidRPr="00162DB2">
        <w:rPr>
          <w:rFonts w:ascii="Times New Roman" w:eastAsia="Calibri" w:hAnsi="Times New Roman" w:cs="Times New Roman"/>
          <w:b/>
          <w:bCs/>
          <w:lang w:eastAsia="lt-LT"/>
        </w:rPr>
        <w:tab/>
        <w:t>Sąveika su kitais vaistiniais preparatais ir kitokia sąveika</w:t>
      </w:r>
    </w:p>
    <w:p w14:paraId="2CBBF80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226A41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Geležies preparatų injekcija negali būti skiriama kartu su geriamaisiais geležies preparatais, kadangi sumažės geriamosios geležies absorbcija. </w:t>
      </w:r>
    </w:p>
    <w:p w14:paraId="5F72031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3EE339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Nustatyta, kad didelės geležies </w:t>
      </w:r>
      <w:proofErr w:type="spellStart"/>
      <w:r w:rsidRPr="00162DB2">
        <w:rPr>
          <w:rFonts w:ascii="Times New Roman" w:eastAsia="Calibri" w:hAnsi="Times New Roman" w:cs="Times New Roman"/>
          <w:lang w:eastAsia="lt-LT"/>
        </w:rPr>
        <w:t>dekstrano</w:t>
      </w:r>
      <w:proofErr w:type="spellEnd"/>
      <w:r w:rsidRPr="00162DB2">
        <w:rPr>
          <w:rFonts w:ascii="Times New Roman" w:eastAsia="Calibri" w:hAnsi="Times New Roman" w:cs="Times New Roman"/>
          <w:lang w:eastAsia="lt-LT"/>
        </w:rPr>
        <w:t xml:space="preserve"> dozės (5 ml ar daugiau) suteikia kraujo mėginio serumui rudą spalvą, praėjus keturioms valandoms po skyrimo.</w:t>
      </w:r>
    </w:p>
    <w:p w14:paraId="543D3F2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CADAB1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roofErr w:type="spellStart"/>
      <w:r w:rsidRPr="00162DB2">
        <w:rPr>
          <w:rFonts w:ascii="Times New Roman" w:eastAsia="Calibri" w:hAnsi="Times New Roman" w:cs="Times New Roman"/>
          <w:bCs/>
          <w:lang w:eastAsia="lt-LT"/>
        </w:rPr>
        <w:t>Parenteriniu</w:t>
      </w:r>
      <w:proofErr w:type="spellEnd"/>
      <w:r w:rsidRPr="00162DB2">
        <w:rPr>
          <w:rFonts w:ascii="Times New Roman" w:eastAsia="Calibri" w:hAnsi="Times New Roman" w:cs="Times New Roman"/>
          <w:bCs/>
          <w:lang w:eastAsia="lt-LT"/>
        </w:rPr>
        <w:t xml:space="preserve"> būdu vartojamos geležies poveikyje gali būti nustatomas klaidingai padidėjęs </w:t>
      </w:r>
      <w:proofErr w:type="spellStart"/>
      <w:r w:rsidRPr="00162DB2">
        <w:rPr>
          <w:rFonts w:ascii="Times New Roman" w:eastAsia="Calibri" w:hAnsi="Times New Roman" w:cs="Times New Roman"/>
          <w:bCs/>
          <w:lang w:eastAsia="lt-LT"/>
        </w:rPr>
        <w:t>bilirubino</w:t>
      </w:r>
      <w:proofErr w:type="spellEnd"/>
      <w:r w:rsidRPr="00162DB2">
        <w:rPr>
          <w:rFonts w:ascii="Times New Roman" w:eastAsia="Calibri" w:hAnsi="Times New Roman" w:cs="Times New Roman"/>
          <w:bCs/>
          <w:lang w:eastAsia="lt-LT"/>
        </w:rPr>
        <w:t xml:space="preserve"> kiekis serume ir klaidingai sumažėjęs kalcio kiekis serume.</w:t>
      </w:r>
    </w:p>
    <w:p w14:paraId="3D887F7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388F05B2"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4.6</w:t>
      </w:r>
      <w:r w:rsidRPr="00162DB2">
        <w:rPr>
          <w:rFonts w:ascii="Times New Roman" w:eastAsia="Calibri" w:hAnsi="Times New Roman" w:cs="Times New Roman"/>
          <w:b/>
          <w:bCs/>
          <w:lang w:eastAsia="lt-LT"/>
        </w:rPr>
        <w:tab/>
        <w:t xml:space="preserve">Vaisingumas, nėštumo ir žindymo laikotarpis </w:t>
      </w:r>
    </w:p>
    <w:p w14:paraId="61DA551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p>
    <w:p w14:paraId="0FFFC5A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Nėštumas</w:t>
      </w:r>
    </w:p>
    <w:p w14:paraId="624F41A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Duomenų apie</w:t>
      </w:r>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w:t>
      </w:r>
      <w:r>
        <w:rPr>
          <w:rFonts w:ascii="Times New Roman" w:eastAsia="Calibri" w:hAnsi="Times New Roman" w:cs="Times New Roman"/>
          <w:lang w:eastAsia="lt-LT"/>
        </w:rPr>
        <w:t>ą</w:t>
      </w:r>
      <w:r w:rsidRPr="00162DB2">
        <w:rPr>
          <w:rFonts w:ascii="Times New Roman" w:eastAsia="Calibri" w:hAnsi="Times New Roman" w:cs="Times New Roman"/>
          <w:lang w:eastAsia="lt-LT"/>
        </w:rPr>
        <w:t xml:space="preserve"> nėš</w:t>
      </w:r>
      <w:r>
        <w:rPr>
          <w:rFonts w:ascii="Times New Roman" w:eastAsia="Calibri" w:hAnsi="Times New Roman" w:cs="Times New Roman"/>
          <w:lang w:eastAsia="lt-LT"/>
        </w:rPr>
        <w:t xml:space="preserve">čiosioms yra nedaug. Jie gauti atlikus tik vieną tyrimą, kuriame dalyvavo </w:t>
      </w:r>
      <w:r w:rsidRPr="0008699F">
        <w:rPr>
          <w:rFonts w:ascii="Times New Roman" w:eastAsia="Calibri" w:hAnsi="Times New Roman" w:cs="Times New Roman"/>
          <w:lang w:eastAsia="lt-LT"/>
        </w:rPr>
        <w:t>100 n</w:t>
      </w:r>
      <w:r>
        <w:rPr>
          <w:rFonts w:ascii="Times New Roman" w:eastAsia="Calibri" w:hAnsi="Times New Roman" w:cs="Times New Roman"/>
          <w:lang w:eastAsia="lt-LT"/>
        </w:rPr>
        <w:t>ėščiųjų, turėjusių ekspoziciją su vaistu</w:t>
      </w:r>
      <w:r w:rsidRPr="00162DB2">
        <w:rPr>
          <w:rFonts w:ascii="Times New Roman" w:eastAsia="Calibri" w:hAnsi="Times New Roman" w:cs="Times New Roman"/>
          <w:lang w:eastAsia="lt-LT"/>
        </w:rPr>
        <w:t>. Prieš vartojant nėštumo metu reikia gerai įvertinti rizikos ir naudos santykį</w:t>
      </w:r>
      <w:r>
        <w:rPr>
          <w:rFonts w:ascii="Times New Roman" w:eastAsia="Calibri" w:hAnsi="Times New Roman" w:cs="Times New Roman"/>
          <w:lang w:eastAsia="lt-LT"/>
        </w:rPr>
        <w:t>.</w:t>
      </w:r>
      <w:r w:rsidRPr="00162DB2">
        <w:t xml:space="preserve"> </w:t>
      </w:r>
    </w:p>
    <w:p w14:paraId="1596B2A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14FBA35" w14:textId="77777777" w:rsidR="005A24FA" w:rsidRPr="00162DB2" w:rsidRDefault="005A24FA" w:rsidP="005A24FA">
      <w:pPr>
        <w:tabs>
          <w:tab w:val="left" w:pos="120"/>
          <w:tab w:val="left" w:pos="567"/>
        </w:tabs>
        <w:spacing w:after="0" w:line="240" w:lineRule="auto"/>
        <w:rPr>
          <w:rFonts w:ascii="Times New Roman" w:eastAsia="SimSun" w:hAnsi="Times New Roman" w:cs="Times New Roman"/>
          <w:lang w:eastAsia="lt-LT"/>
        </w:rPr>
      </w:pPr>
      <w:r w:rsidRPr="00162DB2">
        <w:rPr>
          <w:rFonts w:ascii="Times New Roman" w:eastAsia="Calibri" w:hAnsi="Times New Roman" w:cs="Times New Roman"/>
          <w:lang w:eastAsia="lt-LT"/>
        </w:rPr>
        <w:t xml:space="preserve">Daugeliu atvejų geležies stokos anemiją pirmąjį nėštumo trimestrą galima gydyti </w:t>
      </w:r>
      <w:proofErr w:type="spellStart"/>
      <w:r w:rsidRPr="00162DB2">
        <w:rPr>
          <w:rFonts w:ascii="Times New Roman" w:eastAsia="Calibri" w:hAnsi="Times New Roman" w:cs="Times New Roman"/>
          <w:lang w:eastAsia="lt-LT"/>
        </w:rPr>
        <w:t>geriamąisiais</w:t>
      </w:r>
      <w:proofErr w:type="spellEnd"/>
      <w:r w:rsidRPr="00162DB2">
        <w:rPr>
          <w:rFonts w:ascii="Times New Roman" w:eastAsia="Calibri" w:hAnsi="Times New Roman" w:cs="Times New Roman"/>
          <w:lang w:eastAsia="lt-LT"/>
        </w:rPr>
        <w:t xml:space="preserve"> geležies preparatais. </w:t>
      </w:r>
      <w:r w:rsidRPr="00162DB2">
        <w:rPr>
          <w:rFonts w:ascii="Times New Roman" w:eastAsia="SimSun" w:hAnsi="Times New Roman" w:cs="Times New Roman"/>
          <w:lang w:eastAsia="lt-LT"/>
        </w:rPr>
        <w:t xml:space="preserve">Jeigu manoma, kad gydymo </w:t>
      </w:r>
      <w:proofErr w:type="spellStart"/>
      <w:r w:rsidRPr="00162DB2">
        <w:rPr>
          <w:rFonts w:ascii="Times New Roman" w:eastAsia="SimSun" w:hAnsi="Times New Roman" w:cs="Times New Roman"/>
          <w:lang w:eastAsia="lt-LT"/>
        </w:rPr>
        <w:t>Monofer</w:t>
      </w:r>
      <w:proofErr w:type="spellEnd"/>
      <w:r w:rsidRPr="00162DB2">
        <w:rPr>
          <w:rFonts w:ascii="Times New Roman" w:eastAsia="SimSun" w:hAnsi="Times New Roman" w:cs="Times New Roman"/>
          <w:lang w:eastAsia="lt-LT"/>
        </w:rPr>
        <w:t xml:space="preserve"> nauda didesnė už galimą pavojų motinai ir vaisiui, gydymas turėtų apsiriboti tik antruoju ir trečiuoju trimestrais. </w:t>
      </w:r>
    </w:p>
    <w:p w14:paraId="7AA7566C" w14:textId="77777777" w:rsidR="005A24FA" w:rsidRPr="00162DB2" w:rsidRDefault="005A24FA" w:rsidP="005A24FA">
      <w:pPr>
        <w:tabs>
          <w:tab w:val="left" w:pos="120"/>
          <w:tab w:val="left" w:pos="567"/>
        </w:tabs>
        <w:spacing w:after="0" w:line="240" w:lineRule="auto"/>
        <w:rPr>
          <w:rFonts w:ascii="Times New Roman" w:eastAsia="SimSun" w:hAnsi="Times New Roman" w:cs="Times New Roman"/>
          <w:lang w:eastAsia="lt-LT"/>
        </w:rPr>
      </w:pPr>
    </w:p>
    <w:p w14:paraId="00AB5EE8" w14:textId="77777777" w:rsidR="005A24FA" w:rsidRPr="00162DB2" w:rsidRDefault="005A24FA" w:rsidP="005A24FA">
      <w:pPr>
        <w:autoSpaceDE w:val="0"/>
        <w:autoSpaceDN w:val="0"/>
        <w:adjustRightInd w:val="0"/>
        <w:spacing w:after="200" w:line="276" w:lineRule="auto"/>
        <w:rPr>
          <w:rFonts w:ascii="Times New Roman" w:eastAsia="Times New Roman" w:hAnsi="Times New Roman" w:cs="Times New Roman"/>
          <w:bCs/>
          <w:color w:val="231F20"/>
          <w:szCs w:val="20"/>
        </w:rPr>
      </w:pPr>
      <w:proofErr w:type="spellStart"/>
      <w:r w:rsidRPr="00162DB2">
        <w:rPr>
          <w:rFonts w:ascii="Times New Roman" w:eastAsia="Times New Roman" w:hAnsi="Times New Roman" w:cs="Times New Roman"/>
          <w:bCs/>
          <w:color w:val="231F20"/>
          <w:szCs w:val="20"/>
        </w:rPr>
        <w:t>Parenterinis</w:t>
      </w:r>
      <w:proofErr w:type="spellEnd"/>
      <w:r w:rsidRPr="00162DB2">
        <w:rPr>
          <w:rFonts w:ascii="Times New Roman" w:eastAsia="Times New Roman" w:hAnsi="Times New Roman" w:cs="Times New Roman"/>
          <w:bCs/>
          <w:color w:val="231F20"/>
          <w:szCs w:val="20"/>
        </w:rPr>
        <w:t xml:space="preserve"> geležies vartojimas vaisiui gali sukelti </w:t>
      </w:r>
      <w:proofErr w:type="spellStart"/>
      <w:r w:rsidRPr="00162DB2">
        <w:rPr>
          <w:rFonts w:ascii="Times New Roman" w:eastAsia="Times New Roman" w:hAnsi="Times New Roman" w:cs="Times New Roman"/>
          <w:bCs/>
          <w:color w:val="231F20"/>
          <w:szCs w:val="20"/>
        </w:rPr>
        <w:t>bradikardiją</w:t>
      </w:r>
      <w:proofErr w:type="spellEnd"/>
      <w:r w:rsidRPr="00162DB2">
        <w:rPr>
          <w:rFonts w:ascii="Times New Roman" w:eastAsia="Times New Roman" w:hAnsi="Times New Roman" w:cs="Times New Roman"/>
          <w:bCs/>
          <w:color w:val="231F20"/>
          <w:szCs w:val="20"/>
        </w:rPr>
        <w:t xml:space="preserve">. Ji paprastai laikina ir būna nulemta motinai pasireiškusios padidėjusio jautrumo reakcijos. Nėščioms moterims į veną leidžiant </w:t>
      </w:r>
      <w:proofErr w:type="spellStart"/>
      <w:r w:rsidRPr="00162DB2">
        <w:rPr>
          <w:rFonts w:ascii="Times New Roman" w:eastAsia="Times New Roman" w:hAnsi="Times New Roman" w:cs="Times New Roman"/>
          <w:bCs/>
          <w:color w:val="231F20"/>
          <w:szCs w:val="20"/>
        </w:rPr>
        <w:t>parenteraliai</w:t>
      </w:r>
      <w:proofErr w:type="spellEnd"/>
      <w:r w:rsidRPr="00162DB2">
        <w:rPr>
          <w:rFonts w:ascii="Times New Roman" w:eastAsia="Times New Roman" w:hAnsi="Times New Roman" w:cs="Times New Roman"/>
          <w:bCs/>
          <w:color w:val="231F20"/>
          <w:szCs w:val="20"/>
        </w:rPr>
        <w:t xml:space="preserve"> vartojamų geležies vaistinių preparatų, reikia atidžiai stebėti negimusį kūdikį.</w:t>
      </w:r>
    </w:p>
    <w:p w14:paraId="49648C8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Žindymas</w:t>
      </w:r>
    </w:p>
    <w:p w14:paraId="316FCAE5" w14:textId="77777777" w:rsidR="005A24FA" w:rsidRPr="00162DB2" w:rsidRDefault="005A24FA" w:rsidP="005A24FA">
      <w:pPr>
        <w:tabs>
          <w:tab w:val="left" w:pos="120"/>
          <w:tab w:val="left" w:pos="567"/>
        </w:tabs>
        <w:spacing w:after="0" w:line="240" w:lineRule="auto"/>
        <w:rPr>
          <w:rFonts w:ascii="Times New Roman" w:eastAsia="SimSun" w:hAnsi="Times New Roman" w:cs="Times New Roman"/>
          <w:lang w:eastAsia="lt-LT"/>
        </w:rPr>
      </w:pPr>
      <w:r w:rsidRPr="00162DB2">
        <w:rPr>
          <w:rFonts w:ascii="Times New Roman" w:eastAsia="SimSun" w:hAnsi="Times New Roman" w:cs="Times New Roman"/>
          <w:lang w:eastAsia="lt-LT"/>
        </w:rPr>
        <w:t xml:space="preserve">Klinikiniais tyrimais nustatytas mažas geležies iš </w:t>
      </w:r>
      <w:proofErr w:type="spellStart"/>
      <w:r w:rsidRPr="00162DB2">
        <w:rPr>
          <w:rFonts w:ascii="Times New Roman" w:eastAsia="SimSun" w:hAnsi="Times New Roman" w:cs="Times New Roman"/>
          <w:lang w:eastAsia="lt-LT"/>
        </w:rPr>
        <w:t>Monofer</w:t>
      </w:r>
      <w:proofErr w:type="spellEnd"/>
      <w:r w:rsidRPr="00162DB2">
        <w:rPr>
          <w:rFonts w:ascii="Times New Roman" w:eastAsia="SimSun" w:hAnsi="Times New Roman" w:cs="Times New Roman"/>
          <w:lang w:eastAsia="lt-LT"/>
        </w:rPr>
        <w:t xml:space="preserve"> išsiskyrimas į žmogaus pieną. Vartojant </w:t>
      </w:r>
      <w:proofErr w:type="spellStart"/>
      <w:r w:rsidRPr="00162DB2">
        <w:rPr>
          <w:rFonts w:ascii="Times New Roman" w:eastAsia="SimSun" w:hAnsi="Times New Roman" w:cs="Times New Roman"/>
          <w:lang w:eastAsia="lt-LT"/>
        </w:rPr>
        <w:t>Monofer</w:t>
      </w:r>
      <w:proofErr w:type="spellEnd"/>
      <w:r w:rsidRPr="00162DB2">
        <w:rPr>
          <w:rFonts w:ascii="Times New Roman" w:eastAsia="SimSun" w:hAnsi="Times New Roman" w:cs="Times New Roman"/>
          <w:lang w:eastAsia="lt-LT"/>
        </w:rPr>
        <w:t xml:space="preserve"> terapinėmis dozėmis poveikio žindantiems naujagimiams arba kūdikiams nenustatyta.</w:t>
      </w:r>
    </w:p>
    <w:p w14:paraId="28C78CC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A719DF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Vaisingumas</w:t>
      </w:r>
    </w:p>
    <w:p w14:paraId="43C5F27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Nėra duomenų ar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turi įtakos žmogaus vaisingumui. Studijų su gyvūnais metu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neturėjo įtakos gyvūnų vaisingumui (žr. 5.3 skyrių).</w:t>
      </w:r>
    </w:p>
    <w:p w14:paraId="1BF44C2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61A2420" w14:textId="77777777" w:rsidR="005A24FA" w:rsidRPr="00162DB2" w:rsidRDefault="005A24FA" w:rsidP="005A24FA">
      <w:pPr>
        <w:tabs>
          <w:tab w:val="left" w:pos="120"/>
          <w:tab w:val="left" w:pos="360"/>
          <w:tab w:val="left" w:pos="567"/>
          <w:tab w:val="left" w:pos="720"/>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4.7</w:t>
      </w:r>
      <w:r w:rsidRPr="00162DB2">
        <w:rPr>
          <w:rFonts w:ascii="Times New Roman" w:eastAsia="Calibri" w:hAnsi="Times New Roman" w:cs="Times New Roman"/>
          <w:b/>
          <w:lang w:eastAsia="lt-LT"/>
        </w:rPr>
        <w:tab/>
      </w:r>
      <w:r w:rsidRPr="00162DB2">
        <w:rPr>
          <w:rFonts w:ascii="Times New Roman" w:eastAsia="Calibri" w:hAnsi="Times New Roman" w:cs="Times New Roman"/>
          <w:b/>
          <w:lang w:eastAsia="lt-LT"/>
        </w:rPr>
        <w:tab/>
        <w:t>Poveikis gebėjimui vairuoti ir valdyti mechanizmus</w:t>
      </w:r>
    </w:p>
    <w:p w14:paraId="33E89CB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DD00D8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Poveikis gebėjimui vairuoti ir valdyti mechanizmus netirtas.</w:t>
      </w:r>
    </w:p>
    <w:p w14:paraId="31A5304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293A8524"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4.8</w:t>
      </w:r>
      <w:r w:rsidRPr="00162DB2">
        <w:rPr>
          <w:rFonts w:ascii="Times New Roman" w:eastAsia="Calibri" w:hAnsi="Times New Roman" w:cs="Times New Roman"/>
          <w:b/>
          <w:bCs/>
          <w:lang w:eastAsia="lt-LT"/>
        </w:rPr>
        <w:tab/>
        <w:t>Nepageidaujamas poveikis</w:t>
      </w:r>
    </w:p>
    <w:p w14:paraId="45126C0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EC719F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Lentelėje pateikiamos nepageidaujamos reakcijos į vaistą (NRV), nustatytos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klinikinių tyrimų metu ir po vaistinio preparato pateikimo į rinką.</w:t>
      </w:r>
    </w:p>
    <w:p w14:paraId="673CE9C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6E0923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Ūmios ir sunkios anafilaksinės reakcijos gali pasireikšti </w:t>
      </w:r>
      <w:proofErr w:type="spellStart"/>
      <w:r w:rsidRPr="00162DB2">
        <w:rPr>
          <w:rFonts w:ascii="Times New Roman" w:eastAsia="Calibri" w:hAnsi="Times New Roman" w:cs="Times New Roman"/>
          <w:lang w:eastAsia="lt-LT"/>
        </w:rPr>
        <w:t>parenteriniu</w:t>
      </w:r>
      <w:proofErr w:type="spellEnd"/>
      <w:r w:rsidRPr="00162DB2">
        <w:rPr>
          <w:rFonts w:ascii="Times New Roman" w:eastAsia="Calibri" w:hAnsi="Times New Roman" w:cs="Times New Roman"/>
          <w:lang w:eastAsia="lt-LT"/>
        </w:rPr>
        <w:t xml:space="preserve"> būdu vartojant geležies preparatus. Įprastai jos pasireiškia per pirmas kelias vartojimo minutes ir bendrai yra apibūdinamos ūmiu kvėpavimo sutrikimu ir (arba) kardiovaskuliniu </w:t>
      </w:r>
      <w:proofErr w:type="spellStart"/>
      <w:r w:rsidRPr="00162DB2">
        <w:rPr>
          <w:rFonts w:ascii="Times New Roman" w:eastAsia="Calibri" w:hAnsi="Times New Roman" w:cs="Times New Roman"/>
          <w:lang w:eastAsia="lt-LT"/>
        </w:rPr>
        <w:t>kolapsu</w:t>
      </w:r>
      <w:proofErr w:type="spellEnd"/>
      <w:r w:rsidRPr="00162DB2">
        <w:rPr>
          <w:rFonts w:ascii="Times New Roman" w:eastAsia="Calibri" w:hAnsi="Times New Roman" w:cs="Times New Roman"/>
          <w:lang w:eastAsia="lt-LT"/>
        </w:rPr>
        <w:t xml:space="preserve">; yra buvę mirties atvejų. Kitos mažiau sunkios staigaus padidėjusio jautrumo reakcijos, įskaitant dilgėlinę, niežulį, taip pat pasireiškia. Nėštumo metu vartojant </w:t>
      </w:r>
      <w:proofErr w:type="spellStart"/>
      <w:r w:rsidRPr="00162DB2">
        <w:rPr>
          <w:rFonts w:ascii="Times New Roman" w:eastAsia="Calibri" w:hAnsi="Times New Roman" w:cs="Times New Roman"/>
          <w:lang w:eastAsia="lt-LT"/>
        </w:rPr>
        <w:t>parenteralinius</w:t>
      </w:r>
      <w:proofErr w:type="spellEnd"/>
      <w:r w:rsidRPr="00162DB2">
        <w:rPr>
          <w:rFonts w:ascii="Times New Roman" w:eastAsia="Calibri" w:hAnsi="Times New Roman" w:cs="Times New Roman"/>
          <w:lang w:eastAsia="lt-LT"/>
        </w:rPr>
        <w:t xml:space="preserve"> geležies preparatus gali atsirasti </w:t>
      </w:r>
      <w:proofErr w:type="spellStart"/>
      <w:r w:rsidRPr="00162DB2">
        <w:rPr>
          <w:rFonts w:ascii="Times New Roman" w:eastAsia="Calibri" w:hAnsi="Times New Roman" w:cs="Times New Roman"/>
          <w:lang w:eastAsia="lt-LT"/>
        </w:rPr>
        <w:t>bradikardija</w:t>
      </w:r>
      <w:proofErr w:type="spellEnd"/>
      <w:r w:rsidRPr="00162DB2">
        <w:rPr>
          <w:rFonts w:ascii="Times New Roman" w:eastAsia="Calibri" w:hAnsi="Times New Roman" w:cs="Times New Roman"/>
          <w:lang w:eastAsia="lt-LT"/>
        </w:rPr>
        <w:t>.</w:t>
      </w:r>
    </w:p>
    <w:p w14:paraId="1056208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br/>
      </w:r>
      <w:proofErr w:type="spellStart"/>
      <w:r w:rsidRPr="00162DB2">
        <w:rPr>
          <w:rFonts w:ascii="Times New Roman" w:eastAsia="Calibri" w:hAnsi="Times New Roman" w:cs="Times New Roman"/>
          <w:i/>
          <w:lang w:eastAsia="lt-LT"/>
        </w:rPr>
        <w:t>Fishbane</w:t>
      </w:r>
      <w:proofErr w:type="spellEnd"/>
      <w:r w:rsidRPr="00162DB2">
        <w:rPr>
          <w:rFonts w:ascii="Times New Roman" w:eastAsia="Calibri" w:hAnsi="Times New Roman" w:cs="Times New Roman"/>
          <w:lang w:eastAsia="lt-LT"/>
        </w:rPr>
        <w:t xml:space="preserve"> reakcija, pasireiškianti veido paraudimu, ūminiu krūtinės ir (arba) nugaros skausmu, spaudimu, kartais kartu su dusuliu (dažnis nežinomas). Tai gali imituoti </w:t>
      </w:r>
      <w:proofErr w:type="spellStart"/>
      <w:r w:rsidRPr="00162DB2">
        <w:rPr>
          <w:rFonts w:ascii="Times New Roman" w:eastAsia="Calibri" w:hAnsi="Times New Roman" w:cs="Times New Roman"/>
          <w:lang w:eastAsia="lt-LT"/>
        </w:rPr>
        <w:t>anafilaktoidinės</w:t>
      </w:r>
      <w:proofErr w:type="spellEnd"/>
      <w:r w:rsidRPr="00162DB2">
        <w:rPr>
          <w:rFonts w:ascii="Times New Roman" w:eastAsia="Calibri" w:hAnsi="Times New Roman" w:cs="Times New Roman"/>
          <w:lang w:eastAsia="lt-LT"/>
        </w:rPr>
        <w:t xml:space="preserve"> ar anafilaksinės reakcijos simptomus. Infuzija turi būti nutraukta, o paciento gyvybinės funkcijos įvertintos. Šie simptomai išnyksta </w:t>
      </w:r>
      <w:r w:rsidRPr="00162DB2">
        <w:rPr>
          <w:rFonts w:ascii="Times New Roman" w:eastAsia="Calibri" w:hAnsi="Times New Roman" w:cs="Times New Roman"/>
          <w:lang w:eastAsia="lt-LT"/>
        </w:rPr>
        <w:lastRenderedPageBreak/>
        <w:t>nutraukus geležies vartojimą. Tęsiant vartojimą su mažesniu infuzijos greičiu, simptomai paprastai neturėtų pasikartoti.</w:t>
      </w:r>
    </w:p>
    <w:p w14:paraId="532B6929" w14:textId="77777777" w:rsidR="005A24FA" w:rsidRPr="00162DB2" w:rsidRDefault="005A24FA" w:rsidP="005A24FA">
      <w:pPr>
        <w:tabs>
          <w:tab w:val="left" w:pos="120"/>
          <w:tab w:val="left" w:pos="567"/>
        </w:tabs>
        <w:spacing w:after="0" w:line="240" w:lineRule="auto"/>
        <w:rPr>
          <w:rFonts w:ascii="Times New Roman" w:hAnsi="Times New Roman" w:cs="Times New Roman"/>
        </w:rPr>
      </w:pPr>
    </w:p>
    <w:p w14:paraId="436E1C9E" w14:textId="77777777" w:rsidR="005A24FA" w:rsidRPr="00162DB2" w:rsidRDefault="005A24FA" w:rsidP="005A24FA">
      <w:pPr>
        <w:tabs>
          <w:tab w:val="left" w:pos="120"/>
          <w:tab w:val="left" w:pos="567"/>
        </w:tabs>
        <w:spacing w:after="0" w:line="240" w:lineRule="auto"/>
        <w:rPr>
          <w:rFonts w:ascii="Times New Roman" w:hAnsi="Times New Roman" w:cs="Times New Roman"/>
        </w:rPr>
      </w:pPr>
      <w:r w:rsidRPr="00162DB2">
        <w:rPr>
          <w:rFonts w:ascii="Times New Roman" w:hAnsi="Times New Roman" w:cs="Times New Roman"/>
        </w:rPr>
        <w:t xml:space="preserve">Taip pat po vaistinio preparato registracijos buvo pranešta apie odos spalvos pokyčius kitose kūno vietose nei injekcijos vieta. </w:t>
      </w:r>
    </w:p>
    <w:p w14:paraId="724CA14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0D31BE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Nepageidaujamos reakcijos, pastebėtos klinikinių tyrimų metu ir po vaistinio preparato registracijos.</w:t>
      </w:r>
      <w:r w:rsidRPr="00162DB2">
        <w:rPr>
          <w:rFonts w:ascii="Times New Roman" w:eastAsia="Calibri" w:hAnsi="Times New Roman" w:cs="Times New Roman"/>
          <w:lang w:eastAsia="lt-LT"/>
        </w:rPr>
        <w:br/>
      </w:r>
      <w:r w:rsidRPr="00162DB2">
        <w:rPr>
          <w:rFonts w:ascii="Times New Roman" w:eastAsia="Calibri" w:hAnsi="Times New Roman" w:cs="Times New Roman"/>
          <w:lang w:eastAsia="lt-LT"/>
        </w:rPr>
        <w:br/>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1698"/>
        <w:gridCol w:w="1730"/>
        <w:gridCol w:w="2467"/>
        <w:gridCol w:w="1795"/>
      </w:tblGrid>
      <w:tr w:rsidR="005A24FA" w:rsidRPr="00162DB2" w14:paraId="504DDFA2"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E10B29"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Organų sistema</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75F2DE"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Dažnas (nuo ≥ 1/100 iki &lt; 1/10)</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F32530" w14:textId="77777777" w:rsidR="005A24FA" w:rsidRPr="00162DB2" w:rsidRDefault="005A24FA" w:rsidP="00FA250C">
            <w:pPr>
              <w:spacing w:after="200" w:line="276" w:lineRule="auto"/>
              <w:rPr>
                <w:rFonts w:ascii="Times New Roman" w:hAnsi="Times New Roman" w:cs="Times New Roman"/>
                <w:b/>
                <w:bCs/>
                <w:color w:val="000000"/>
              </w:rPr>
            </w:pPr>
            <w:r w:rsidRPr="00162DB2">
              <w:rPr>
                <w:rFonts w:ascii="Times New Roman" w:hAnsi="Times New Roman" w:cs="Times New Roman"/>
                <w:b/>
                <w:bCs/>
                <w:color w:val="000000"/>
              </w:rPr>
              <w:t>Nedažnas (nuo ≥ 1/1000 iki &lt; 1/100)</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E663B2" w14:textId="77777777" w:rsidR="005A24FA" w:rsidRPr="00162DB2" w:rsidRDefault="005A24FA" w:rsidP="00FA250C">
            <w:pPr>
              <w:spacing w:after="200" w:line="276" w:lineRule="auto"/>
              <w:rPr>
                <w:rFonts w:ascii="Times New Roman" w:hAnsi="Times New Roman" w:cs="Times New Roman"/>
                <w:b/>
                <w:bCs/>
                <w:color w:val="000000"/>
              </w:rPr>
            </w:pPr>
            <w:r w:rsidRPr="00162DB2">
              <w:rPr>
                <w:rFonts w:ascii="Times New Roman" w:hAnsi="Times New Roman" w:cs="Times New Roman"/>
                <w:b/>
                <w:bCs/>
                <w:color w:val="000000"/>
              </w:rPr>
              <w:t>Retas (nuo ≥ 1/10000 iki &lt; 1/1000)</w:t>
            </w:r>
          </w:p>
        </w:tc>
        <w:tc>
          <w:tcPr>
            <w:tcW w:w="956" w:type="pct"/>
            <w:tcBorders>
              <w:top w:val="outset" w:sz="6" w:space="0" w:color="auto"/>
              <w:left w:val="outset" w:sz="6" w:space="0" w:color="auto"/>
              <w:bottom w:val="outset" w:sz="6" w:space="0" w:color="auto"/>
              <w:right w:val="outset" w:sz="6" w:space="0" w:color="auto"/>
            </w:tcBorders>
          </w:tcPr>
          <w:p w14:paraId="738BABE2" w14:textId="77777777" w:rsidR="005A24FA" w:rsidRPr="00162DB2" w:rsidRDefault="005A24FA" w:rsidP="00FA250C">
            <w:pPr>
              <w:spacing w:after="200" w:line="276" w:lineRule="auto"/>
              <w:rPr>
                <w:rFonts w:ascii="Times New Roman" w:hAnsi="Times New Roman" w:cs="Times New Roman"/>
                <w:b/>
                <w:bCs/>
                <w:color w:val="000000"/>
              </w:rPr>
            </w:pPr>
            <w:r w:rsidRPr="00162DB2">
              <w:rPr>
                <w:rFonts w:ascii="Times New Roman" w:hAnsi="Times New Roman" w:cs="Times New Roman"/>
                <w:b/>
                <w:bCs/>
                <w:color w:val="000000"/>
              </w:rPr>
              <w:t>Dažnis nežinomas</w:t>
            </w:r>
          </w:p>
        </w:tc>
      </w:tr>
      <w:tr w:rsidR="005A24FA" w:rsidRPr="00162DB2" w14:paraId="07132AAF"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891E4B"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Imuninės sistemos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5C1848"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1C77B9"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Padidėjęs jautrumas, įskaitant sunkias reakcijas</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29A775" w14:textId="77777777" w:rsidR="005A24FA" w:rsidRPr="00162DB2" w:rsidRDefault="005A24FA" w:rsidP="00FA250C">
            <w:pPr>
              <w:spacing w:after="200" w:line="276" w:lineRule="auto"/>
              <w:rPr>
                <w:rFonts w:ascii="Times New Roman" w:hAnsi="Times New Roman" w:cs="Times New Roman"/>
                <w:color w:val="000000"/>
              </w:rPr>
            </w:pPr>
            <w:proofErr w:type="spellStart"/>
            <w:r w:rsidRPr="00162DB2">
              <w:rPr>
                <w:rFonts w:ascii="Times New Roman" w:hAnsi="Times New Roman" w:cs="Times New Roman"/>
                <w:color w:val="000000"/>
              </w:rPr>
              <w:t>Anafiloidinės</w:t>
            </w:r>
            <w:proofErr w:type="spellEnd"/>
            <w:r w:rsidRPr="00162DB2">
              <w:rPr>
                <w:rFonts w:ascii="Times New Roman" w:hAnsi="Times New Roman" w:cs="Times New Roman"/>
                <w:color w:val="000000"/>
              </w:rPr>
              <w:t xml:space="preserve"> ar anafilaksinės reakcijos </w:t>
            </w:r>
          </w:p>
        </w:tc>
        <w:tc>
          <w:tcPr>
            <w:tcW w:w="956" w:type="pct"/>
            <w:tcBorders>
              <w:top w:val="outset" w:sz="6" w:space="0" w:color="auto"/>
              <w:left w:val="outset" w:sz="6" w:space="0" w:color="auto"/>
              <w:bottom w:val="outset" w:sz="6" w:space="0" w:color="auto"/>
              <w:right w:val="outset" w:sz="6" w:space="0" w:color="auto"/>
            </w:tcBorders>
          </w:tcPr>
          <w:p w14:paraId="7D0A16A1" w14:textId="77777777" w:rsidR="005A24FA" w:rsidRPr="00162DB2" w:rsidRDefault="005A24FA" w:rsidP="00FA250C">
            <w:pPr>
              <w:spacing w:after="200" w:line="276" w:lineRule="auto"/>
              <w:rPr>
                <w:rFonts w:ascii="Times New Roman" w:hAnsi="Times New Roman" w:cs="Times New Roman"/>
                <w:color w:val="000000"/>
              </w:rPr>
            </w:pPr>
          </w:p>
        </w:tc>
      </w:tr>
      <w:tr w:rsidR="005A24FA" w:rsidRPr="00162DB2" w14:paraId="18F43327"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59295C"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Nervų sistemos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946139" w14:textId="77777777" w:rsidR="005A24FA" w:rsidRPr="00162DB2" w:rsidRDefault="005A24FA" w:rsidP="00FA250C">
            <w:pPr>
              <w:spacing w:after="200" w:line="276" w:lineRule="auto"/>
              <w:rPr>
                <w:rFonts w:ascii="Times New Roman" w:hAnsi="Times New Roman" w:cs="Times New Roman"/>
                <w:lang w:eastAsia="en-GB"/>
              </w:rPr>
            </w:pP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62A763"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xml:space="preserve">Galvos skausmas, </w:t>
            </w:r>
            <w:proofErr w:type="spellStart"/>
            <w:r w:rsidRPr="00162DB2">
              <w:rPr>
                <w:rFonts w:ascii="Times New Roman" w:hAnsi="Times New Roman" w:cs="Times New Roman"/>
                <w:color w:val="000000"/>
              </w:rPr>
              <w:t>parestezija</w:t>
            </w:r>
            <w:proofErr w:type="spellEnd"/>
            <w:r w:rsidRPr="00162DB2">
              <w:rPr>
                <w:rFonts w:ascii="Times New Roman" w:hAnsi="Times New Roman" w:cs="Times New Roman"/>
                <w:color w:val="000000"/>
              </w:rPr>
              <w:t xml:space="preserve">, </w:t>
            </w:r>
            <w:proofErr w:type="spellStart"/>
            <w:r w:rsidRPr="00162DB2">
              <w:rPr>
                <w:rFonts w:ascii="Times New Roman" w:hAnsi="Times New Roman" w:cs="Times New Roman"/>
                <w:color w:val="000000"/>
              </w:rPr>
              <w:t>disgeuzija</w:t>
            </w:r>
            <w:proofErr w:type="spellEnd"/>
            <w:r w:rsidRPr="00162DB2">
              <w:rPr>
                <w:rFonts w:ascii="Times New Roman" w:hAnsi="Times New Roman" w:cs="Times New Roman"/>
                <w:color w:val="000000"/>
              </w:rPr>
              <w:t>, sutrikęs regėjimas, sąmonės netekimas, galvos svaigimas, nuovargis.</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6BC7F73" w14:textId="77777777" w:rsidR="005A24FA" w:rsidRPr="00162DB2" w:rsidRDefault="005A24FA" w:rsidP="00FA250C">
            <w:pPr>
              <w:spacing w:after="200" w:line="276" w:lineRule="auto"/>
              <w:rPr>
                <w:rFonts w:ascii="Times New Roman" w:hAnsi="Times New Roman" w:cs="Times New Roman"/>
                <w:color w:val="000000"/>
              </w:rPr>
            </w:pPr>
            <w:proofErr w:type="spellStart"/>
            <w:r w:rsidRPr="00162DB2">
              <w:rPr>
                <w:rFonts w:ascii="Times New Roman" w:hAnsi="Times New Roman" w:cs="Times New Roman"/>
                <w:color w:val="000000"/>
              </w:rPr>
              <w:t>Disfonija</w:t>
            </w:r>
            <w:proofErr w:type="spellEnd"/>
            <w:r w:rsidRPr="00162DB2">
              <w:rPr>
                <w:rFonts w:ascii="Times New Roman" w:hAnsi="Times New Roman" w:cs="Times New Roman"/>
                <w:color w:val="000000"/>
              </w:rPr>
              <w:t>, traukuliai, drebulys, sutrikusi psichika.</w:t>
            </w:r>
          </w:p>
        </w:tc>
        <w:tc>
          <w:tcPr>
            <w:tcW w:w="956" w:type="pct"/>
            <w:tcBorders>
              <w:top w:val="outset" w:sz="6" w:space="0" w:color="auto"/>
              <w:left w:val="outset" w:sz="6" w:space="0" w:color="auto"/>
              <w:bottom w:val="outset" w:sz="6" w:space="0" w:color="auto"/>
              <w:right w:val="outset" w:sz="6" w:space="0" w:color="auto"/>
            </w:tcBorders>
          </w:tcPr>
          <w:p w14:paraId="08720345" w14:textId="77777777" w:rsidR="005A24FA" w:rsidRPr="00162DB2" w:rsidRDefault="005A24FA" w:rsidP="00FA250C">
            <w:pPr>
              <w:spacing w:after="200" w:line="276" w:lineRule="auto"/>
              <w:rPr>
                <w:rFonts w:ascii="Times New Roman" w:hAnsi="Times New Roman" w:cs="Times New Roman"/>
                <w:color w:val="000000"/>
              </w:rPr>
            </w:pPr>
          </w:p>
        </w:tc>
      </w:tr>
      <w:tr w:rsidR="005A24FA" w:rsidRPr="00162DB2" w14:paraId="242EA31F"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5B24C6"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Širdies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9EB652"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C51AF7" w14:textId="77777777" w:rsidR="005A24FA" w:rsidRPr="00162DB2" w:rsidRDefault="005A24FA" w:rsidP="00FA250C">
            <w:pPr>
              <w:spacing w:after="200" w:line="276" w:lineRule="auto"/>
              <w:rPr>
                <w:rFonts w:ascii="Times New Roman" w:hAnsi="Times New Roman" w:cs="Times New Roman"/>
                <w:color w:val="000000"/>
              </w:rPr>
            </w:pPr>
            <w:proofErr w:type="spellStart"/>
            <w:r w:rsidRPr="00162DB2">
              <w:rPr>
                <w:rFonts w:ascii="Times New Roman" w:hAnsi="Times New Roman" w:cs="Times New Roman"/>
                <w:color w:val="000000"/>
              </w:rPr>
              <w:t>Tachikardija</w:t>
            </w:r>
            <w:proofErr w:type="spellEnd"/>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A851E4" w14:textId="77777777" w:rsidR="005A24FA" w:rsidRPr="00162DB2" w:rsidRDefault="005A24FA" w:rsidP="00FA250C">
            <w:pPr>
              <w:spacing w:after="200" w:line="276" w:lineRule="auto"/>
              <w:rPr>
                <w:rFonts w:ascii="Times New Roman" w:hAnsi="Times New Roman" w:cs="Times New Roman"/>
                <w:lang w:eastAsia="en-GB"/>
              </w:rPr>
            </w:pPr>
            <w:r w:rsidRPr="00162DB2">
              <w:rPr>
                <w:rFonts w:ascii="Times New Roman" w:hAnsi="Times New Roman" w:cs="Times New Roman"/>
                <w:lang w:eastAsia="en-GB"/>
              </w:rPr>
              <w:t>Aritmija</w:t>
            </w:r>
          </w:p>
        </w:tc>
        <w:tc>
          <w:tcPr>
            <w:tcW w:w="956" w:type="pct"/>
            <w:tcBorders>
              <w:top w:val="outset" w:sz="6" w:space="0" w:color="auto"/>
              <w:left w:val="outset" w:sz="6" w:space="0" w:color="auto"/>
              <w:bottom w:val="outset" w:sz="6" w:space="0" w:color="auto"/>
              <w:right w:val="outset" w:sz="6" w:space="0" w:color="auto"/>
            </w:tcBorders>
          </w:tcPr>
          <w:p w14:paraId="4D5A81B4" w14:textId="77777777" w:rsidR="005A24FA" w:rsidRPr="00162DB2" w:rsidRDefault="005A24FA" w:rsidP="00FA250C">
            <w:pPr>
              <w:spacing w:after="200" w:line="276" w:lineRule="auto"/>
              <w:rPr>
                <w:rFonts w:ascii="Times New Roman" w:hAnsi="Times New Roman" w:cs="Times New Roman"/>
                <w:lang w:eastAsia="en-GB"/>
              </w:rPr>
            </w:pPr>
            <w:proofErr w:type="spellStart"/>
            <w:r w:rsidRPr="00162DB2">
              <w:rPr>
                <w:rFonts w:ascii="Times New Roman" w:hAnsi="Times New Roman" w:cs="Times New Roman"/>
                <w:lang w:eastAsia="en-GB"/>
              </w:rPr>
              <w:t>Kounis</w:t>
            </w:r>
            <w:proofErr w:type="spellEnd"/>
            <w:r w:rsidRPr="00162DB2">
              <w:rPr>
                <w:rFonts w:ascii="Times New Roman" w:hAnsi="Times New Roman" w:cs="Times New Roman"/>
                <w:lang w:eastAsia="en-GB"/>
              </w:rPr>
              <w:t xml:space="preserve"> sindromas</w:t>
            </w:r>
          </w:p>
        </w:tc>
      </w:tr>
      <w:tr w:rsidR="005A24FA" w:rsidRPr="00162DB2" w14:paraId="01503CDF"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348FBD"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Kraujagyslių sistemos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7B1754" w14:textId="77777777" w:rsidR="005A24FA" w:rsidRPr="00162DB2" w:rsidRDefault="005A24FA" w:rsidP="00FA250C">
            <w:pPr>
              <w:spacing w:after="200" w:line="276" w:lineRule="auto"/>
              <w:rPr>
                <w:rFonts w:ascii="Times New Roman" w:hAnsi="Times New Roman" w:cs="Times New Roman"/>
                <w:lang w:eastAsia="en-GB"/>
              </w:rPr>
            </w:pP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3AF145" w14:textId="77777777" w:rsidR="005A24FA" w:rsidRPr="00162DB2" w:rsidRDefault="005A24FA" w:rsidP="00FA250C">
            <w:pPr>
              <w:spacing w:after="200" w:line="276" w:lineRule="auto"/>
              <w:rPr>
                <w:rFonts w:ascii="Times New Roman" w:hAnsi="Times New Roman" w:cs="Times New Roman"/>
                <w:color w:val="000000"/>
              </w:rPr>
            </w:pPr>
            <w:proofErr w:type="spellStart"/>
            <w:r w:rsidRPr="00162DB2">
              <w:rPr>
                <w:rFonts w:ascii="Times New Roman" w:hAnsi="Times New Roman" w:cs="Times New Roman"/>
                <w:color w:val="000000"/>
              </w:rPr>
              <w:t>Hipotenzija</w:t>
            </w:r>
            <w:proofErr w:type="spellEnd"/>
            <w:r w:rsidRPr="00162DB2">
              <w:rPr>
                <w:rFonts w:ascii="Times New Roman" w:hAnsi="Times New Roman" w:cs="Times New Roman"/>
                <w:color w:val="000000"/>
              </w:rPr>
              <w:t>, hipertenzija</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46B25F" w14:textId="77777777" w:rsidR="005A24FA" w:rsidRPr="00162DB2" w:rsidRDefault="005A24FA" w:rsidP="00FA250C">
            <w:pPr>
              <w:spacing w:after="200" w:line="276" w:lineRule="auto"/>
              <w:rPr>
                <w:rFonts w:ascii="Times New Roman" w:hAnsi="Times New Roman" w:cs="Times New Roman"/>
                <w:lang w:eastAsia="en-GB"/>
              </w:rPr>
            </w:pPr>
          </w:p>
        </w:tc>
        <w:tc>
          <w:tcPr>
            <w:tcW w:w="956" w:type="pct"/>
            <w:tcBorders>
              <w:top w:val="outset" w:sz="6" w:space="0" w:color="auto"/>
              <w:left w:val="outset" w:sz="6" w:space="0" w:color="auto"/>
              <w:bottom w:val="outset" w:sz="6" w:space="0" w:color="auto"/>
              <w:right w:val="outset" w:sz="6" w:space="0" w:color="auto"/>
            </w:tcBorders>
          </w:tcPr>
          <w:p w14:paraId="6B3592DE" w14:textId="77777777" w:rsidR="005A24FA" w:rsidRPr="00162DB2" w:rsidRDefault="005A24FA" w:rsidP="00FA250C">
            <w:pPr>
              <w:spacing w:after="200" w:line="276" w:lineRule="auto"/>
              <w:rPr>
                <w:rFonts w:ascii="Times New Roman" w:hAnsi="Times New Roman" w:cs="Times New Roman"/>
                <w:lang w:eastAsia="en-GB"/>
              </w:rPr>
            </w:pPr>
          </w:p>
        </w:tc>
      </w:tr>
      <w:tr w:rsidR="005A24FA" w:rsidRPr="00162DB2" w14:paraId="1CD8389A"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3BF1FA"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Kvėpavimo sistemos, krūtinės ląstos ir tarpuplaučio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BF0226"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C25AA0"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Krūtinės skausmas, dusulys, bronchų spazmas</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91B7868" w14:textId="77777777" w:rsidR="005A24FA" w:rsidRPr="00162DB2" w:rsidRDefault="005A24FA" w:rsidP="00FA250C">
            <w:pPr>
              <w:spacing w:after="200" w:line="276" w:lineRule="auto"/>
              <w:rPr>
                <w:rFonts w:ascii="Times New Roman" w:hAnsi="Times New Roman" w:cs="Times New Roman"/>
                <w:lang w:eastAsia="en-GB"/>
              </w:rPr>
            </w:pPr>
          </w:p>
        </w:tc>
        <w:tc>
          <w:tcPr>
            <w:tcW w:w="956" w:type="pct"/>
            <w:tcBorders>
              <w:top w:val="outset" w:sz="6" w:space="0" w:color="auto"/>
              <w:left w:val="outset" w:sz="6" w:space="0" w:color="auto"/>
              <w:bottom w:val="outset" w:sz="6" w:space="0" w:color="auto"/>
              <w:right w:val="outset" w:sz="6" w:space="0" w:color="auto"/>
            </w:tcBorders>
          </w:tcPr>
          <w:p w14:paraId="7DE6DDCF" w14:textId="77777777" w:rsidR="005A24FA" w:rsidRPr="00162DB2" w:rsidRDefault="005A24FA" w:rsidP="00FA250C">
            <w:pPr>
              <w:spacing w:after="200" w:line="276" w:lineRule="auto"/>
              <w:rPr>
                <w:rFonts w:ascii="Times New Roman" w:hAnsi="Times New Roman" w:cs="Times New Roman"/>
                <w:lang w:eastAsia="en-GB"/>
              </w:rPr>
            </w:pPr>
          </w:p>
        </w:tc>
      </w:tr>
      <w:tr w:rsidR="005A24FA" w:rsidRPr="00162DB2" w14:paraId="2392F35C"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001CBA"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Virškinimo trakto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5AC890"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Pykinimas</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CD109C"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xml:space="preserve">Pilvo skausmas, vėmimas, dispepsija, vidurių užkietėjimas, viduriavimas. </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02F169" w14:textId="77777777" w:rsidR="005A24FA" w:rsidRPr="00162DB2" w:rsidRDefault="005A24FA" w:rsidP="00FA250C">
            <w:pPr>
              <w:spacing w:after="200" w:line="276" w:lineRule="auto"/>
              <w:rPr>
                <w:rFonts w:ascii="Times New Roman" w:hAnsi="Times New Roman" w:cs="Times New Roman"/>
                <w:lang w:eastAsia="en-GB"/>
              </w:rPr>
            </w:pPr>
          </w:p>
        </w:tc>
        <w:tc>
          <w:tcPr>
            <w:tcW w:w="956" w:type="pct"/>
            <w:tcBorders>
              <w:top w:val="outset" w:sz="6" w:space="0" w:color="auto"/>
              <w:left w:val="outset" w:sz="6" w:space="0" w:color="auto"/>
              <w:bottom w:val="outset" w:sz="6" w:space="0" w:color="auto"/>
              <w:right w:val="outset" w:sz="6" w:space="0" w:color="auto"/>
            </w:tcBorders>
          </w:tcPr>
          <w:p w14:paraId="0FF42097" w14:textId="77777777" w:rsidR="005A24FA" w:rsidRPr="00162DB2" w:rsidRDefault="005A24FA" w:rsidP="00FA250C">
            <w:pPr>
              <w:spacing w:after="200" w:line="276" w:lineRule="auto"/>
              <w:rPr>
                <w:rFonts w:ascii="Times New Roman" w:hAnsi="Times New Roman" w:cs="Times New Roman"/>
                <w:lang w:eastAsia="en-GB"/>
              </w:rPr>
            </w:pPr>
          </w:p>
        </w:tc>
      </w:tr>
      <w:tr w:rsidR="005A24FA" w:rsidRPr="00162DB2" w14:paraId="77CD3289"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78ED43B"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lastRenderedPageBreak/>
              <w:t>Odos ir poodinio audinio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70C409"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Išbėrimas</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1D56A1"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Niežėjimas, dilgėlinė, paraudimas, prakaitavimas, dermatitas</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910B4C" w14:textId="77777777" w:rsidR="005A24FA" w:rsidRPr="00162DB2" w:rsidRDefault="005A24FA" w:rsidP="00FA250C">
            <w:pPr>
              <w:spacing w:after="200" w:line="276" w:lineRule="auto"/>
              <w:rPr>
                <w:rFonts w:ascii="Times New Roman" w:hAnsi="Times New Roman" w:cs="Times New Roman"/>
                <w:lang w:eastAsia="en-GB"/>
              </w:rPr>
            </w:pPr>
            <w:proofErr w:type="spellStart"/>
            <w:r w:rsidRPr="00162DB2">
              <w:rPr>
                <w:rFonts w:ascii="Times New Roman" w:hAnsi="Times New Roman" w:cs="Times New Roman"/>
                <w:lang w:eastAsia="en-GB"/>
              </w:rPr>
              <w:t>Angioedema</w:t>
            </w:r>
            <w:proofErr w:type="spellEnd"/>
          </w:p>
        </w:tc>
        <w:tc>
          <w:tcPr>
            <w:tcW w:w="956" w:type="pct"/>
            <w:tcBorders>
              <w:top w:val="outset" w:sz="6" w:space="0" w:color="auto"/>
              <w:left w:val="outset" w:sz="6" w:space="0" w:color="auto"/>
              <w:bottom w:val="outset" w:sz="6" w:space="0" w:color="auto"/>
              <w:right w:val="outset" w:sz="6" w:space="0" w:color="auto"/>
            </w:tcBorders>
          </w:tcPr>
          <w:p w14:paraId="316B2DEA" w14:textId="77777777" w:rsidR="005A24FA" w:rsidRPr="00162DB2" w:rsidRDefault="005A24FA" w:rsidP="00FA250C">
            <w:pPr>
              <w:spacing w:after="200" w:line="276" w:lineRule="auto"/>
              <w:rPr>
                <w:rFonts w:ascii="Times New Roman" w:hAnsi="Times New Roman" w:cs="Times New Roman"/>
                <w:lang w:eastAsia="en-GB"/>
              </w:rPr>
            </w:pPr>
            <w:r w:rsidRPr="00162DB2">
              <w:rPr>
                <w:rFonts w:ascii="Times New Roman" w:hAnsi="Times New Roman" w:cs="Times New Roman"/>
                <w:lang w:eastAsia="en-GB"/>
              </w:rPr>
              <w:t>Nutolęs odos spalvos pasikeitimas</w:t>
            </w:r>
          </w:p>
        </w:tc>
      </w:tr>
      <w:tr w:rsidR="005A24FA" w:rsidRPr="00162DB2" w14:paraId="48A36C20"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18AB62" w14:textId="77777777" w:rsidR="005A24FA" w:rsidRPr="00162DB2" w:rsidRDefault="005A24FA" w:rsidP="00FA250C">
            <w:pPr>
              <w:spacing w:after="200" w:line="276" w:lineRule="auto"/>
              <w:rPr>
                <w:rFonts w:ascii="Times New Roman" w:hAnsi="Times New Roman" w:cs="Times New Roman"/>
                <w:b/>
                <w:bCs/>
                <w:color w:val="000000"/>
              </w:rPr>
            </w:pPr>
            <w:r w:rsidRPr="00162DB2">
              <w:rPr>
                <w:rFonts w:ascii="Times New Roman" w:hAnsi="Times New Roman" w:cs="Times New Roman"/>
                <w:b/>
                <w:bCs/>
                <w:color w:val="000000"/>
              </w:rPr>
              <w:t>Metabolizmo ir mitybos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B737A96" w14:textId="77777777" w:rsidR="005A24FA" w:rsidRPr="00162DB2" w:rsidRDefault="005A24FA" w:rsidP="00FA250C">
            <w:pPr>
              <w:spacing w:after="200" w:line="276" w:lineRule="auto"/>
              <w:rPr>
                <w:rFonts w:ascii="Times New Roman" w:hAnsi="Times New Roman" w:cs="Times New Roman"/>
                <w:b/>
                <w:bCs/>
                <w:color w:val="000000"/>
              </w:rPr>
            </w:pP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83297DF" w14:textId="77777777" w:rsidR="005A24FA" w:rsidRPr="00162DB2" w:rsidRDefault="005A24FA" w:rsidP="00FA250C">
            <w:pPr>
              <w:spacing w:after="200" w:line="276" w:lineRule="auto"/>
              <w:rPr>
                <w:rFonts w:ascii="Times New Roman" w:hAnsi="Times New Roman" w:cs="Times New Roman"/>
                <w:color w:val="000000"/>
              </w:rPr>
            </w:pPr>
            <w:proofErr w:type="spellStart"/>
            <w:r w:rsidRPr="00162DB2">
              <w:rPr>
                <w:rFonts w:ascii="Times New Roman" w:hAnsi="Times New Roman" w:cs="Times New Roman"/>
                <w:color w:val="000000"/>
              </w:rPr>
              <w:t>Hipofosfatemija</w:t>
            </w:r>
            <w:proofErr w:type="spellEnd"/>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7F91583" w14:textId="77777777" w:rsidR="005A24FA" w:rsidRPr="00162DB2" w:rsidRDefault="005A24FA" w:rsidP="00FA250C">
            <w:pPr>
              <w:spacing w:after="200" w:line="276" w:lineRule="auto"/>
              <w:rPr>
                <w:rFonts w:ascii="Times New Roman" w:hAnsi="Times New Roman" w:cs="Times New Roman"/>
                <w:lang w:eastAsia="en-GB"/>
              </w:rPr>
            </w:pPr>
          </w:p>
        </w:tc>
        <w:tc>
          <w:tcPr>
            <w:tcW w:w="956" w:type="pct"/>
            <w:tcBorders>
              <w:top w:val="outset" w:sz="6" w:space="0" w:color="auto"/>
              <w:left w:val="outset" w:sz="6" w:space="0" w:color="auto"/>
              <w:bottom w:val="outset" w:sz="6" w:space="0" w:color="auto"/>
              <w:right w:val="outset" w:sz="6" w:space="0" w:color="auto"/>
            </w:tcBorders>
          </w:tcPr>
          <w:p w14:paraId="69BB11B6" w14:textId="77777777" w:rsidR="005A24FA" w:rsidRPr="00162DB2" w:rsidRDefault="005A24FA" w:rsidP="00FA250C">
            <w:pPr>
              <w:spacing w:after="200" w:line="276" w:lineRule="auto"/>
              <w:rPr>
                <w:rFonts w:ascii="Times New Roman" w:hAnsi="Times New Roman" w:cs="Times New Roman"/>
                <w:lang w:eastAsia="en-GB"/>
              </w:rPr>
            </w:pPr>
          </w:p>
        </w:tc>
      </w:tr>
      <w:tr w:rsidR="005A24FA" w:rsidRPr="00162DB2" w14:paraId="2B4DDC94"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77EEE0" w14:textId="77777777" w:rsidR="005A24FA" w:rsidRPr="00162DB2" w:rsidRDefault="005A24FA" w:rsidP="00FA250C">
            <w:pPr>
              <w:spacing w:after="200" w:line="276" w:lineRule="auto"/>
              <w:rPr>
                <w:rFonts w:ascii="Times New Roman" w:hAnsi="Times New Roman" w:cs="Times New Roman"/>
                <w:b/>
                <w:bCs/>
                <w:color w:val="000000"/>
              </w:rPr>
            </w:pPr>
            <w:r w:rsidRPr="00162DB2">
              <w:rPr>
                <w:rFonts w:ascii="Times New Roman" w:hAnsi="Times New Roman" w:cs="Times New Roman"/>
                <w:b/>
                <w:bCs/>
                <w:color w:val="000000"/>
              </w:rPr>
              <w:t>Skeleto, raumenų ir jungiamojo audinio sutrikimai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13ECC1" w14:textId="77777777" w:rsidR="005A24FA" w:rsidRPr="00162DB2" w:rsidRDefault="005A24FA" w:rsidP="00FA250C">
            <w:pPr>
              <w:spacing w:after="200" w:line="276" w:lineRule="auto"/>
              <w:rPr>
                <w:rFonts w:ascii="Times New Roman" w:hAnsi="Times New Roman" w:cs="Times New Roman"/>
                <w:b/>
                <w:bCs/>
                <w:color w:val="000000"/>
              </w:rPr>
            </w:pPr>
            <w:r w:rsidRPr="00162DB2">
              <w:rPr>
                <w:rFonts w:ascii="Times New Roman" w:hAnsi="Times New Roman" w:cs="Times New Roman"/>
                <w:b/>
                <w:bCs/>
                <w:color w:val="000000"/>
              </w:rPr>
              <w:t> </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6E78BD"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Nugaros skausmas, raumenų ir sąnarių skausmas, raumenų spazmai</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1AAF37"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w:t>
            </w:r>
          </w:p>
        </w:tc>
        <w:tc>
          <w:tcPr>
            <w:tcW w:w="956" w:type="pct"/>
            <w:tcBorders>
              <w:top w:val="outset" w:sz="6" w:space="0" w:color="auto"/>
              <w:left w:val="outset" w:sz="6" w:space="0" w:color="auto"/>
              <w:bottom w:val="outset" w:sz="6" w:space="0" w:color="auto"/>
              <w:right w:val="outset" w:sz="6" w:space="0" w:color="auto"/>
            </w:tcBorders>
          </w:tcPr>
          <w:p w14:paraId="32C0D8E7" w14:textId="77777777" w:rsidR="005A24FA" w:rsidRPr="00162DB2" w:rsidRDefault="005A24FA" w:rsidP="00FA250C">
            <w:pPr>
              <w:spacing w:after="200" w:line="276" w:lineRule="auto"/>
              <w:rPr>
                <w:rFonts w:ascii="Times New Roman" w:hAnsi="Times New Roman" w:cs="Times New Roman"/>
                <w:color w:val="000000"/>
              </w:rPr>
            </w:pPr>
          </w:p>
        </w:tc>
      </w:tr>
      <w:tr w:rsidR="005A24FA" w:rsidRPr="00162DB2" w14:paraId="4C49CA85"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13D841"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Bendrieji sutrikimai ir vartojimo vietos pažeidimai</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55C222F"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Reakcijos injekcijos vietoje*</w:t>
            </w: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98467A"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xml:space="preserve">Karščiavimas, </w:t>
            </w:r>
            <w:proofErr w:type="spellStart"/>
            <w:r w:rsidRPr="00162DB2">
              <w:rPr>
                <w:rFonts w:ascii="Times New Roman" w:hAnsi="Times New Roman" w:cs="Times New Roman"/>
                <w:color w:val="000000"/>
              </w:rPr>
              <w:t>šaltkrėtis</w:t>
            </w:r>
            <w:proofErr w:type="spellEnd"/>
            <w:r w:rsidRPr="00162DB2">
              <w:rPr>
                <w:rFonts w:ascii="Times New Roman" w:hAnsi="Times New Roman" w:cs="Times New Roman"/>
                <w:color w:val="000000"/>
              </w:rPr>
              <w:t xml:space="preserve"> ar drebulys, infekcija, </w:t>
            </w:r>
            <w:r w:rsidRPr="00162DB2">
              <w:rPr>
                <w:rFonts w:ascii="Times New Roman" w:eastAsia="Calibri" w:hAnsi="Times New Roman" w:cs="Times New Roman"/>
                <w:lang w:eastAsia="lt-LT"/>
              </w:rPr>
              <w:t>vietinė flebito reakcija, odos pleiskanojimas</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D4BB9E"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 xml:space="preserve">Negalavimas, į gripą </w:t>
            </w:r>
            <w:r w:rsidRPr="00162DB2">
              <w:rPr>
                <w:rFonts w:ascii="Times New Roman" w:eastAsia="Calibri" w:hAnsi="Times New Roman" w:cs="Times New Roman"/>
                <w:lang w:eastAsia="lt-LT"/>
              </w:rPr>
              <w:t xml:space="preserve"> panaši liga.**</w:t>
            </w:r>
          </w:p>
        </w:tc>
        <w:tc>
          <w:tcPr>
            <w:tcW w:w="956" w:type="pct"/>
            <w:tcBorders>
              <w:top w:val="outset" w:sz="6" w:space="0" w:color="auto"/>
              <w:left w:val="outset" w:sz="6" w:space="0" w:color="auto"/>
              <w:bottom w:val="outset" w:sz="6" w:space="0" w:color="auto"/>
              <w:right w:val="outset" w:sz="6" w:space="0" w:color="auto"/>
            </w:tcBorders>
          </w:tcPr>
          <w:p w14:paraId="022E7BA3" w14:textId="77777777" w:rsidR="005A24FA" w:rsidRPr="00162DB2" w:rsidRDefault="005A24FA" w:rsidP="00FA250C">
            <w:pPr>
              <w:spacing w:after="200" w:line="276" w:lineRule="auto"/>
              <w:rPr>
                <w:rFonts w:ascii="Times New Roman" w:hAnsi="Times New Roman" w:cs="Times New Roman"/>
                <w:color w:val="000000"/>
              </w:rPr>
            </w:pPr>
          </w:p>
        </w:tc>
      </w:tr>
      <w:tr w:rsidR="005A24FA" w:rsidRPr="00162DB2" w14:paraId="2D947016" w14:textId="77777777" w:rsidTr="00FA250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5EB33E6"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b/>
                <w:bCs/>
                <w:color w:val="000000"/>
              </w:rPr>
              <w:t xml:space="preserve">Tyrimai </w:t>
            </w:r>
          </w:p>
        </w:tc>
        <w:tc>
          <w:tcPr>
            <w:tcW w:w="9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B32D864" w14:textId="77777777" w:rsidR="005A24FA" w:rsidRPr="00162DB2" w:rsidRDefault="005A24FA" w:rsidP="00FA250C">
            <w:pPr>
              <w:spacing w:after="200" w:line="276" w:lineRule="auto"/>
              <w:rPr>
                <w:rFonts w:ascii="Times New Roman" w:hAnsi="Times New Roman" w:cs="Times New Roman"/>
                <w:lang w:eastAsia="en-GB"/>
              </w:rPr>
            </w:pPr>
          </w:p>
        </w:tc>
        <w:tc>
          <w:tcPr>
            <w:tcW w:w="9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8A46C5E" w14:textId="77777777" w:rsidR="005A24FA" w:rsidRPr="00162DB2" w:rsidRDefault="005A24FA" w:rsidP="00FA250C">
            <w:pPr>
              <w:spacing w:after="200" w:line="276" w:lineRule="auto"/>
              <w:rPr>
                <w:rFonts w:ascii="Times New Roman" w:hAnsi="Times New Roman" w:cs="Times New Roman"/>
                <w:color w:val="000000"/>
              </w:rPr>
            </w:pPr>
            <w:r w:rsidRPr="00162DB2">
              <w:rPr>
                <w:rFonts w:ascii="Times New Roman" w:hAnsi="Times New Roman" w:cs="Times New Roman"/>
                <w:color w:val="000000"/>
              </w:rPr>
              <w:t>Kepenų fermentų kiekio padidėjimas</w:t>
            </w:r>
          </w:p>
        </w:tc>
        <w:tc>
          <w:tcPr>
            <w:tcW w:w="13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6DE0552" w14:textId="77777777" w:rsidR="005A24FA" w:rsidRPr="00162DB2" w:rsidRDefault="005A24FA" w:rsidP="00FA250C">
            <w:pPr>
              <w:spacing w:after="200" w:line="276" w:lineRule="auto"/>
              <w:rPr>
                <w:rFonts w:ascii="Times New Roman" w:hAnsi="Times New Roman" w:cs="Times New Roman"/>
                <w:lang w:eastAsia="en-GB"/>
              </w:rPr>
            </w:pPr>
          </w:p>
        </w:tc>
        <w:tc>
          <w:tcPr>
            <w:tcW w:w="956" w:type="pct"/>
            <w:tcBorders>
              <w:top w:val="outset" w:sz="6" w:space="0" w:color="auto"/>
              <w:left w:val="outset" w:sz="6" w:space="0" w:color="auto"/>
              <w:bottom w:val="outset" w:sz="6" w:space="0" w:color="auto"/>
              <w:right w:val="outset" w:sz="6" w:space="0" w:color="auto"/>
            </w:tcBorders>
          </w:tcPr>
          <w:p w14:paraId="3E7F1D51" w14:textId="77777777" w:rsidR="005A24FA" w:rsidRPr="00162DB2" w:rsidRDefault="005A24FA" w:rsidP="00FA250C">
            <w:pPr>
              <w:spacing w:after="200" w:line="276" w:lineRule="auto"/>
              <w:rPr>
                <w:rFonts w:ascii="Times New Roman" w:hAnsi="Times New Roman" w:cs="Times New Roman"/>
                <w:lang w:eastAsia="en-GB"/>
              </w:rPr>
            </w:pPr>
          </w:p>
        </w:tc>
      </w:tr>
    </w:tbl>
    <w:p w14:paraId="329CD6A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5E3BCA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*Apima šiuos nepageidaujamus reiškinius, pvz. </w:t>
      </w:r>
      <w:proofErr w:type="spellStart"/>
      <w:r w:rsidRPr="00162DB2">
        <w:rPr>
          <w:rFonts w:ascii="Times New Roman" w:eastAsia="Calibri" w:hAnsi="Times New Roman" w:cs="Times New Roman"/>
          <w:lang w:eastAsia="lt-LT"/>
        </w:rPr>
        <w:t>eritema</w:t>
      </w:r>
      <w:proofErr w:type="spellEnd"/>
      <w:r w:rsidRPr="00162DB2">
        <w:rPr>
          <w:rFonts w:ascii="Times New Roman" w:eastAsia="Calibri" w:hAnsi="Times New Roman" w:cs="Times New Roman"/>
          <w:lang w:eastAsia="lt-LT"/>
        </w:rPr>
        <w:t xml:space="preserve"> injekcijos vietoje, prakaitavimas, deginimo jausmas, skausmas, kraujosruvos, spalvos pakitimas, </w:t>
      </w:r>
      <w:proofErr w:type="spellStart"/>
      <w:r w:rsidRPr="00162DB2">
        <w:rPr>
          <w:rFonts w:ascii="Times New Roman" w:eastAsia="Calibri" w:hAnsi="Times New Roman" w:cs="Times New Roman"/>
          <w:lang w:eastAsia="lt-LT"/>
        </w:rPr>
        <w:t>ekstravazacija</w:t>
      </w:r>
      <w:proofErr w:type="spellEnd"/>
      <w:r w:rsidRPr="00162DB2">
        <w:rPr>
          <w:rFonts w:ascii="Times New Roman" w:eastAsia="Calibri" w:hAnsi="Times New Roman" w:cs="Times New Roman"/>
          <w:lang w:eastAsia="lt-LT"/>
        </w:rPr>
        <w:t>, sudirginimas.</w:t>
      </w:r>
    </w:p>
    <w:p w14:paraId="4CC83EE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**Į gripą panaši liga, kuri gali pasireikšti po kelių valandų / dienų.</w:t>
      </w:r>
    </w:p>
    <w:p w14:paraId="392242F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270D5A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hAnsi="Times New Roman" w:cs="Times New Roman"/>
          <w:u w:val="single"/>
        </w:rPr>
        <w:t>Atrinktų nepageidaujamų reakcijų apibūdinimas</w:t>
      </w:r>
      <w:r w:rsidRPr="00162DB2">
        <w:rPr>
          <w:rFonts w:ascii="Times New Roman" w:eastAsia="Calibri" w:hAnsi="Times New Roman" w:cs="Times New Roman"/>
          <w:lang w:eastAsia="lt-LT"/>
        </w:rPr>
        <w:t xml:space="preserve"> </w:t>
      </w:r>
    </w:p>
    <w:p w14:paraId="6DC1372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Vėlyvo tipo reakcijos taip pat gali pasireikšti, vartojant </w:t>
      </w:r>
      <w:proofErr w:type="spellStart"/>
      <w:r w:rsidRPr="00162DB2">
        <w:rPr>
          <w:rFonts w:ascii="Times New Roman" w:eastAsia="Calibri" w:hAnsi="Times New Roman" w:cs="Times New Roman"/>
          <w:lang w:eastAsia="lt-LT"/>
        </w:rPr>
        <w:t>parenterinius</w:t>
      </w:r>
      <w:proofErr w:type="spellEnd"/>
      <w:r w:rsidRPr="00162DB2">
        <w:rPr>
          <w:rFonts w:ascii="Times New Roman" w:eastAsia="Calibri" w:hAnsi="Times New Roman" w:cs="Times New Roman"/>
          <w:lang w:eastAsia="lt-LT"/>
        </w:rPr>
        <w:t xml:space="preserve"> geležies preparatus, ir jos gali būti sunkios. Tai sąnarių skausmas, raumenų skausmas , kartais karščiavimas. Pradžia keičiasi nuo kelių valandų iki kelių dienų po pavartojimo. Jos gali atsirasti praėjus keletui valandų ir iki keturių dienų po vaisto skyrimo. Simptomai dažniausiai trunka dvi-keturias dienas ir išnyksta savaime arba pavartojus įprastų preparatų nuo skausmo.</w:t>
      </w:r>
    </w:p>
    <w:p w14:paraId="286E3BD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7F9C0F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r w:rsidRPr="00162DB2">
        <w:rPr>
          <w:rFonts w:ascii="Times New Roman" w:eastAsia="Calibri" w:hAnsi="Times New Roman" w:cs="Times New Roman"/>
          <w:u w:val="single"/>
          <w:lang w:eastAsia="lt-LT"/>
        </w:rPr>
        <w:t>Pranešimas apie įtariamas nepageidaujamas reakcijas</w:t>
      </w:r>
    </w:p>
    <w:p w14:paraId="336D20EB" w14:textId="77777777" w:rsidR="005A24FA" w:rsidRPr="00E60F21" w:rsidRDefault="005A24FA" w:rsidP="005A24FA">
      <w:pPr>
        <w:spacing w:after="0" w:line="240" w:lineRule="auto"/>
        <w:jc w:val="both"/>
        <w:rPr>
          <w:rFonts w:ascii="Times New Roman" w:eastAsia="Times New Roman" w:hAnsi="Times New Roman" w:cs="Times New Roman"/>
          <w:lang w:eastAsia="lt-LT"/>
        </w:rPr>
      </w:pPr>
      <w:r w:rsidRPr="00E60F21">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60F21">
        <w:rPr>
          <w:rFonts w:ascii="Times New Roman" w:eastAsia="Times New Roman" w:hAnsi="Times New Roman" w:cs="Times New Roman"/>
          <w:color w:val="0000EE"/>
          <w:u w:val="single"/>
          <w:lang w:eastAsia="lt-LT"/>
        </w:rPr>
        <w:t>https://vvkt.lrv.lt/lt/</w:t>
      </w:r>
      <w:r w:rsidRPr="00E60F21">
        <w:rPr>
          <w:rFonts w:ascii="Times New Roman" w:eastAsia="Times New Roman" w:hAnsi="Times New Roman" w:cs="Times New Roman"/>
          <w:lang w:eastAsia="lt-LT"/>
        </w:rPr>
        <w:t xml:space="preserve"> nurodytais būdais.</w:t>
      </w:r>
    </w:p>
    <w:p w14:paraId="7C94B900"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4.9</w:t>
      </w:r>
      <w:r w:rsidRPr="00162DB2">
        <w:rPr>
          <w:rFonts w:ascii="Times New Roman" w:eastAsia="Calibri" w:hAnsi="Times New Roman" w:cs="Times New Roman"/>
          <w:b/>
          <w:bCs/>
          <w:lang w:eastAsia="lt-LT"/>
        </w:rPr>
        <w:tab/>
        <w:t>Perdozavimas</w:t>
      </w:r>
    </w:p>
    <w:p w14:paraId="708A28D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F4D930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tirpale esantis geležies(III) </w:t>
      </w:r>
      <w:proofErr w:type="spellStart"/>
      <w:r w:rsidRPr="00E92F00">
        <w:rPr>
          <w:rFonts w:ascii="Times New Roman" w:eastAsia="Calibri" w:hAnsi="Times New Roman" w:cs="Times New Roman"/>
          <w:lang w:eastAsia="lt-LT"/>
        </w:rPr>
        <w:t>derisomaltozės</w:t>
      </w:r>
      <w:proofErr w:type="spellEnd"/>
      <w:r w:rsidRPr="00E92F00" w:rsidDel="00E92F00">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kompleksas yra mažai toksiškas. Preparatas yra gerai toleruojamas ir atsitiktinio perdozavimo rizika yra nedidelė.</w:t>
      </w:r>
    </w:p>
    <w:p w14:paraId="5E0F368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8ACE7E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Perdozavimas gali sukelti ūmų geležies perteklių, kuris pasireiškia </w:t>
      </w:r>
      <w:proofErr w:type="spellStart"/>
      <w:r w:rsidRPr="00162DB2">
        <w:rPr>
          <w:rFonts w:ascii="Times New Roman" w:eastAsia="Calibri" w:hAnsi="Times New Roman" w:cs="Times New Roman"/>
          <w:bCs/>
          <w:lang w:eastAsia="lt-LT"/>
        </w:rPr>
        <w:t>hemosideroze</w:t>
      </w:r>
      <w:proofErr w:type="spellEnd"/>
      <w:r w:rsidRPr="00162DB2">
        <w:rPr>
          <w:rFonts w:ascii="Times New Roman" w:eastAsia="Calibri" w:hAnsi="Times New Roman" w:cs="Times New Roman"/>
          <w:bCs/>
          <w:lang w:eastAsia="lt-LT"/>
        </w:rPr>
        <w:t xml:space="preserve">. </w:t>
      </w:r>
    </w:p>
    <w:p w14:paraId="6C48C46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Geležies rodiklių (tokių kaip </w:t>
      </w:r>
      <w:proofErr w:type="spellStart"/>
      <w:r w:rsidRPr="00162DB2">
        <w:rPr>
          <w:rFonts w:ascii="Times New Roman" w:eastAsia="Calibri" w:hAnsi="Times New Roman" w:cs="Times New Roman"/>
          <w:bCs/>
          <w:lang w:eastAsia="lt-LT"/>
        </w:rPr>
        <w:t>feritinas</w:t>
      </w:r>
      <w:proofErr w:type="spellEnd"/>
      <w:r w:rsidRPr="00162DB2">
        <w:rPr>
          <w:rFonts w:ascii="Times New Roman" w:eastAsia="Calibri" w:hAnsi="Times New Roman" w:cs="Times New Roman"/>
          <w:bCs/>
          <w:lang w:eastAsia="lt-LT"/>
        </w:rPr>
        <w:t xml:space="preserve"> serume) stebėjimas gali būti naudingas identifikuojant geležies kaupimąsi. Gali būti naudojamos palaikomosios priemonės, tokios kaip geležį surišantys preparatai.</w:t>
      </w:r>
    </w:p>
    <w:p w14:paraId="3EA4AF6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caps/>
          <w:lang w:eastAsia="lt-LT"/>
        </w:rPr>
      </w:pPr>
    </w:p>
    <w:p w14:paraId="4EEA4E4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caps/>
          <w:lang w:eastAsia="lt-LT"/>
        </w:rPr>
      </w:pPr>
    </w:p>
    <w:p w14:paraId="0DCA9CD1"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caps/>
          <w:lang w:eastAsia="lt-LT"/>
        </w:rPr>
      </w:pPr>
      <w:r w:rsidRPr="00162DB2">
        <w:rPr>
          <w:rFonts w:ascii="Times New Roman" w:eastAsia="Calibri" w:hAnsi="Times New Roman" w:cs="Times New Roman"/>
          <w:b/>
          <w:caps/>
          <w:lang w:eastAsia="lt-LT"/>
        </w:rPr>
        <w:t>5.</w:t>
      </w:r>
      <w:r w:rsidRPr="00162DB2">
        <w:rPr>
          <w:rFonts w:ascii="Times New Roman" w:eastAsia="Calibri" w:hAnsi="Times New Roman" w:cs="Times New Roman"/>
          <w:b/>
          <w:caps/>
          <w:lang w:eastAsia="lt-LT"/>
        </w:rPr>
        <w:tab/>
        <w:t>FARMAKOLOGINĖS savybės</w:t>
      </w:r>
    </w:p>
    <w:p w14:paraId="30EEC449"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lang w:eastAsia="lt-LT"/>
        </w:rPr>
      </w:pPr>
    </w:p>
    <w:p w14:paraId="52ECED80"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5.1</w:t>
      </w:r>
      <w:r w:rsidRPr="00162DB2">
        <w:rPr>
          <w:rFonts w:ascii="Times New Roman" w:eastAsia="Calibri" w:hAnsi="Times New Roman" w:cs="Times New Roman"/>
          <w:b/>
          <w:bCs/>
          <w:lang w:eastAsia="lt-LT"/>
        </w:rPr>
        <w:tab/>
      </w:r>
      <w:proofErr w:type="spellStart"/>
      <w:r w:rsidRPr="00162DB2">
        <w:rPr>
          <w:rFonts w:ascii="Times New Roman" w:eastAsia="Calibri" w:hAnsi="Times New Roman" w:cs="Times New Roman"/>
          <w:b/>
          <w:bCs/>
          <w:lang w:eastAsia="lt-LT"/>
        </w:rPr>
        <w:t>Farmakodinaminės</w:t>
      </w:r>
      <w:proofErr w:type="spellEnd"/>
      <w:r w:rsidRPr="00162DB2">
        <w:rPr>
          <w:rFonts w:ascii="Times New Roman" w:eastAsia="Calibri" w:hAnsi="Times New Roman" w:cs="Times New Roman"/>
          <w:b/>
          <w:bCs/>
          <w:lang w:eastAsia="lt-LT"/>
        </w:rPr>
        <w:t xml:space="preserve"> savybės</w:t>
      </w:r>
    </w:p>
    <w:p w14:paraId="66601E3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10731DB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roofErr w:type="spellStart"/>
      <w:r w:rsidRPr="00162DB2">
        <w:rPr>
          <w:rFonts w:ascii="Times New Roman" w:eastAsia="Calibri" w:hAnsi="Times New Roman" w:cs="Times New Roman"/>
          <w:bCs/>
          <w:lang w:eastAsia="lt-LT"/>
        </w:rPr>
        <w:t>Farmakoterapinė</w:t>
      </w:r>
      <w:proofErr w:type="spellEnd"/>
      <w:r w:rsidRPr="00162DB2">
        <w:rPr>
          <w:rFonts w:ascii="Times New Roman" w:eastAsia="Calibri" w:hAnsi="Times New Roman" w:cs="Times New Roman"/>
          <w:bCs/>
          <w:lang w:eastAsia="lt-LT"/>
        </w:rPr>
        <w:t xml:space="preserve"> grupė</w:t>
      </w:r>
      <w:r w:rsidRPr="00162DB2">
        <w:rPr>
          <w:rFonts w:ascii="Times New Roman" w:eastAsia="Calibri" w:hAnsi="Times New Roman" w:cs="Times New Roman"/>
          <w:lang w:eastAsia="lt-LT"/>
        </w:rPr>
        <w:t xml:space="preserve">: Geležies </w:t>
      </w:r>
      <w:proofErr w:type="spellStart"/>
      <w:r w:rsidRPr="00162DB2">
        <w:rPr>
          <w:rFonts w:ascii="Times New Roman" w:eastAsia="Calibri" w:hAnsi="Times New Roman" w:cs="Times New Roman"/>
          <w:lang w:eastAsia="lt-LT"/>
        </w:rPr>
        <w:t>parenteralinis</w:t>
      </w:r>
      <w:proofErr w:type="spellEnd"/>
      <w:r w:rsidRPr="00162DB2">
        <w:rPr>
          <w:rFonts w:ascii="Times New Roman" w:eastAsia="Calibri" w:hAnsi="Times New Roman" w:cs="Times New Roman"/>
          <w:lang w:eastAsia="lt-LT"/>
        </w:rPr>
        <w:t xml:space="preserve"> preparatas,</w:t>
      </w:r>
      <w:r w:rsidRPr="00162DB2">
        <w:rPr>
          <w:rFonts w:ascii="Times New Roman" w:eastAsia="Calibri" w:hAnsi="Times New Roman" w:cs="Times New Roman"/>
          <w:iCs/>
          <w:lang w:eastAsia="lt-LT"/>
        </w:rPr>
        <w:t xml:space="preserve"> ATC kodas: B03AC.</w:t>
      </w:r>
    </w:p>
    <w:p w14:paraId="2B4795C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
    <w:p w14:paraId="7449B1C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roofErr w:type="spellStart"/>
      <w:r w:rsidRPr="00162DB2">
        <w:rPr>
          <w:rFonts w:ascii="Times New Roman" w:eastAsia="Calibri" w:hAnsi="Times New Roman" w:cs="Times New Roman"/>
          <w:iCs/>
          <w:lang w:eastAsia="lt-LT"/>
        </w:rPr>
        <w:t>Monofer</w:t>
      </w:r>
      <w:proofErr w:type="spellEnd"/>
      <w:r w:rsidRPr="00162DB2">
        <w:rPr>
          <w:rFonts w:ascii="Times New Roman" w:eastAsia="Calibri" w:hAnsi="Times New Roman" w:cs="Times New Roman"/>
          <w:iCs/>
          <w:lang w:eastAsia="lt-LT"/>
        </w:rPr>
        <w:t xml:space="preserve"> injekcinis tirpalas yra koloidas su stipriai prijungta geležimi sferinėmis geležies-angliavandenių dalelėmis. </w:t>
      </w:r>
    </w:p>
    <w:p w14:paraId="4A36323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
    <w:p w14:paraId="1C31BC8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roofErr w:type="spellStart"/>
      <w:r w:rsidRPr="00162DB2">
        <w:rPr>
          <w:rFonts w:ascii="Times New Roman" w:eastAsia="Calibri" w:hAnsi="Times New Roman" w:cs="Times New Roman"/>
          <w:iCs/>
          <w:lang w:eastAsia="lt-LT"/>
        </w:rPr>
        <w:t>Monofer</w:t>
      </w:r>
      <w:proofErr w:type="spellEnd"/>
      <w:r w:rsidRPr="00162DB2">
        <w:rPr>
          <w:rFonts w:ascii="Times New Roman" w:eastAsia="Calibri" w:hAnsi="Times New Roman" w:cs="Times New Roman"/>
          <w:iCs/>
          <w:lang w:eastAsia="lt-LT"/>
        </w:rPr>
        <w:t xml:space="preserve"> sudarytas iš geležies komplekso, kuris leidžia kontroliuoti ir lėtai išlaisvinti biologiškai aktyvią geležį į geležį surišančius baltymus bei nedidelį kiekį laisvos geležies.</w:t>
      </w:r>
    </w:p>
    <w:p w14:paraId="3B1B532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
    <w:p w14:paraId="2250CDA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r w:rsidRPr="00162DB2">
        <w:rPr>
          <w:rFonts w:ascii="Times New Roman" w:eastAsia="Calibri" w:hAnsi="Times New Roman" w:cs="Times New Roman"/>
          <w:iCs/>
          <w:lang w:eastAsia="lt-LT"/>
        </w:rPr>
        <w:t xml:space="preserve">Kiekviena dalelė sudaryta iš geležies (III) atomų matricos ir </w:t>
      </w:r>
      <w:proofErr w:type="spellStart"/>
      <w:r w:rsidRPr="005C20C9">
        <w:rPr>
          <w:rFonts w:ascii="Times New Roman" w:eastAsia="Calibri" w:hAnsi="Times New Roman" w:cs="Times New Roman"/>
          <w:iCs/>
          <w:lang w:eastAsia="lt-LT"/>
        </w:rPr>
        <w:t>derisomaltozės</w:t>
      </w:r>
      <w:proofErr w:type="spellEnd"/>
      <w:r w:rsidRPr="00162DB2">
        <w:rPr>
          <w:rFonts w:ascii="Times New Roman" w:eastAsia="Calibri" w:hAnsi="Times New Roman" w:cs="Times New Roman"/>
          <w:iCs/>
          <w:lang w:eastAsia="lt-LT"/>
        </w:rPr>
        <w:t xml:space="preserve">, kurių vidutinė molekulinė masė yra 1000 </w:t>
      </w:r>
      <w:proofErr w:type="spellStart"/>
      <w:r w:rsidRPr="00162DB2">
        <w:rPr>
          <w:rFonts w:ascii="Times New Roman" w:eastAsia="Calibri" w:hAnsi="Times New Roman" w:cs="Times New Roman"/>
          <w:iCs/>
          <w:lang w:eastAsia="lt-LT"/>
        </w:rPr>
        <w:t>Da</w:t>
      </w:r>
      <w:proofErr w:type="spellEnd"/>
      <w:r w:rsidRPr="00162DB2">
        <w:rPr>
          <w:rFonts w:ascii="Times New Roman" w:eastAsia="Calibri" w:hAnsi="Times New Roman" w:cs="Times New Roman"/>
          <w:iCs/>
          <w:lang w:eastAsia="lt-LT"/>
        </w:rPr>
        <w:t xml:space="preserve"> ir siauras molekulinės masės pasiskirstymas kuriame beveik nėra </w:t>
      </w:r>
      <w:proofErr w:type="spellStart"/>
      <w:r w:rsidRPr="00162DB2">
        <w:rPr>
          <w:rFonts w:ascii="Times New Roman" w:eastAsia="Calibri" w:hAnsi="Times New Roman" w:cs="Times New Roman"/>
          <w:iCs/>
          <w:lang w:eastAsia="lt-LT"/>
        </w:rPr>
        <w:t>mono</w:t>
      </w:r>
      <w:proofErr w:type="spellEnd"/>
      <w:r w:rsidRPr="00162DB2">
        <w:rPr>
          <w:rFonts w:ascii="Times New Roman" w:eastAsia="Calibri" w:hAnsi="Times New Roman" w:cs="Times New Roman"/>
          <w:iCs/>
          <w:lang w:eastAsia="lt-LT"/>
        </w:rPr>
        <w:t xml:space="preserve">- ir </w:t>
      </w:r>
      <w:proofErr w:type="spellStart"/>
      <w:r w:rsidRPr="00162DB2">
        <w:rPr>
          <w:rFonts w:ascii="Times New Roman" w:eastAsia="Calibri" w:hAnsi="Times New Roman" w:cs="Times New Roman"/>
          <w:iCs/>
          <w:lang w:eastAsia="lt-LT"/>
        </w:rPr>
        <w:t>disacharidų</w:t>
      </w:r>
      <w:proofErr w:type="spellEnd"/>
      <w:r w:rsidRPr="00162DB2">
        <w:rPr>
          <w:rFonts w:ascii="Times New Roman" w:eastAsia="Calibri" w:hAnsi="Times New Roman" w:cs="Times New Roman"/>
          <w:iCs/>
          <w:lang w:eastAsia="lt-LT"/>
        </w:rPr>
        <w:t xml:space="preserve">. </w:t>
      </w:r>
    </w:p>
    <w:p w14:paraId="10EEC0D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r w:rsidRPr="00162DB2">
        <w:rPr>
          <w:rFonts w:ascii="Times New Roman" w:eastAsia="Calibri" w:hAnsi="Times New Roman" w:cs="Times New Roman"/>
          <w:iCs/>
          <w:lang w:eastAsia="lt-LT"/>
        </w:rPr>
        <w:t xml:space="preserve">INN pavadinimas: geležies (III) </w:t>
      </w:r>
      <w:proofErr w:type="spellStart"/>
      <w:r w:rsidRPr="00162DB2">
        <w:rPr>
          <w:rFonts w:ascii="Times New Roman" w:eastAsia="Calibri" w:hAnsi="Times New Roman" w:cs="Times New Roman"/>
          <w:iCs/>
          <w:lang w:eastAsia="lt-LT"/>
        </w:rPr>
        <w:t>derisomaltozė</w:t>
      </w:r>
      <w:proofErr w:type="spellEnd"/>
      <w:r>
        <w:rPr>
          <w:rFonts w:ascii="Times New Roman" w:eastAsia="Calibri" w:hAnsi="Times New Roman" w:cs="Times New Roman"/>
          <w:iCs/>
          <w:lang w:eastAsia="lt-LT"/>
        </w:rPr>
        <w:t xml:space="preserve"> (taip pat žinoma kaip geležies (III) </w:t>
      </w:r>
      <w:proofErr w:type="spellStart"/>
      <w:r>
        <w:rPr>
          <w:rFonts w:ascii="Times New Roman" w:eastAsia="Calibri" w:hAnsi="Times New Roman" w:cs="Times New Roman"/>
          <w:iCs/>
          <w:lang w:eastAsia="lt-LT"/>
        </w:rPr>
        <w:t>izomaltozidas</w:t>
      </w:r>
      <w:proofErr w:type="spellEnd"/>
      <w:r>
        <w:rPr>
          <w:rFonts w:ascii="Times New Roman" w:eastAsia="Calibri" w:hAnsi="Times New Roman" w:cs="Times New Roman"/>
          <w:iCs/>
          <w:lang w:eastAsia="lt-LT"/>
        </w:rPr>
        <w:t xml:space="preserve"> 1000 )</w:t>
      </w:r>
      <w:r w:rsidRPr="00162DB2">
        <w:rPr>
          <w:rFonts w:ascii="Times New Roman" w:eastAsia="Calibri" w:hAnsi="Times New Roman" w:cs="Times New Roman"/>
          <w:iCs/>
          <w:lang w:eastAsia="lt-LT"/>
        </w:rPr>
        <w:t>.</w:t>
      </w:r>
    </w:p>
    <w:p w14:paraId="32688F8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
    <w:p w14:paraId="7058352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r w:rsidRPr="00162DB2">
        <w:rPr>
          <w:rFonts w:ascii="Times New Roman" w:eastAsia="Calibri" w:hAnsi="Times New Roman" w:cs="Times New Roman"/>
          <w:iCs/>
          <w:lang w:eastAsia="lt-LT"/>
        </w:rPr>
        <w:t xml:space="preserve">Geležies (III) ir angliavandenių </w:t>
      </w:r>
      <w:proofErr w:type="spellStart"/>
      <w:r w:rsidRPr="00162DB2">
        <w:rPr>
          <w:rFonts w:ascii="Times New Roman" w:eastAsia="Calibri" w:hAnsi="Times New Roman" w:cs="Times New Roman"/>
          <w:iCs/>
          <w:lang w:eastAsia="lt-LT"/>
        </w:rPr>
        <w:t>chelato</w:t>
      </w:r>
      <w:proofErr w:type="spellEnd"/>
      <w:r w:rsidRPr="00162DB2">
        <w:rPr>
          <w:rFonts w:ascii="Times New Roman" w:eastAsia="Calibri" w:hAnsi="Times New Roman" w:cs="Times New Roman"/>
          <w:iCs/>
          <w:lang w:eastAsia="lt-LT"/>
        </w:rPr>
        <w:t xml:space="preserve"> dalelių struktūra atkartoja </w:t>
      </w:r>
      <w:proofErr w:type="spellStart"/>
      <w:r w:rsidRPr="00162DB2">
        <w:rPr>
          <w:rFonts w:ascii="Times New Roman" w:eastAsia="Calibri" w:hAnsi="Times New Roman" w:cs="Times New Roman"/>
          <w:iCs/>
          <w:lang w:eastAsia="lt-LT"/>
        </w:rPr>
        <w:t>feritino</w:t>
      </w:r>
      <w:proofErr w:type="spellEnd"/>
      <w:r w:rsidRPr="00162DB2">
        <w:rPr>
          <w:rFonts w:ascii="Times New Roman" w:eastAsia="Calibri" w:hAnsi="Times New Roman" w:cs="Times New Roman"/>
          <w:iCs/>
          <w:lang w:eastAsia="lt-LT"/>
        </w:rPr>
        <w:t xml:space="preserve"> struktūra, taigi manoma, kad šis kompleksas apsaugo nuo neprisijungusio neorganinio geležies (III) </w:t>
      </w:r>
      <w:proofErr w:type="spellStart"/>
      <w:r w:rsidRPr="00162DB2">
        <w:rPr>
          <w:rFonts w:ascii="Times New Roman" w:eastAsia="Calibri" w:hAnsi="Times New Roman" w:cs="Times New Roman"/>
          <w:iCs/>
          <w:lang w:eastAsia="lt-LT"/>
        </w:rPr>
        <w:t>toksiškumo</w:t>
      </w:r>
      <w:proofErr w:type="spellEnd"/>
      <w:r w:rsidRPr="00162DB2">
        <w:rPr>
          <w:rFonts w:ascii="Times New Roman" w:eastAsia="Calibri" w:hAnsi="Times New Roman" w:cs="Times New Roman"/>
          <w:iCs/>
          <w:lang w:eastAsia="lt-LT"/>
        </w:rPr>
        <w:t>.</w:t>
      </w:r>
    </w:p>
    <w:p w14:paraId="02FC92C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
    <w:p w14:paraId="2E96D1C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r w:rsidRPr="00162DB2">
        <w:rPr>
          <w:rFonts w:ascii="Times New Roman" w:eastAsia="Calibri" w:hAnsi="Times New Roman" w:cs="Times New Roman"/>
          <w:iCs/>
          <w:lang w:eastAsia="lt-LT"/>
        </w:rPr>
        <w:t xml:space="preserve">Geležis būna </w:t>
      </w:r>
      <w:proofErr w:type="spellStart"/>
      <w:r w:rsidRPr="00162DB2">
        <w:rPr>
          <w:rFonts w:ascii="Times New Roman" w:eastAsia="Calibri" w:hAnsi="Times New Roman" w:cs="Times New Roman"/>
          <w:iCs/>
          <w:lang w:eastAsia="lt-LT"/>
        </w:rPr>
        <w:t>nejoninėje</w:t>
      </w:r>
      <w:proofErr w:type="spellEnd"/>
      <w:r w:rsidRPr="00162DB2">
        <w:rPr>
          <w:rFonts w:ascii="Times New Roman" w:eastAsia="Calibri" w:hAnsi="Times New Roman" w:cs="Times New Roman"/>
          <w:iCs/>
          <w:lang w:eastAsia="lt-LT"/>
        </w:rPr>
        <w:t xml:space="preserve">, vandenyje tirpioje formoje vandeniniame tirpale, kai pH = 5 – 7. </w:t>
      </w:r>
    </w:p>
    <w:p w14:paraId="6AF9923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Cs/>
          <w:lang w:eastAsia="lt-LT"/>
        </w:rPr>
      </w:pPr>
    </w:p>
    <w:p w14:paraId="036AFBD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r w:rsidRPr="00162DB2">
        <w:rPr>
          <w:rFonts w:ascii="Times New Roman" w:eastAsia="Calibri" w:hAnsi="Times New Roman" w:cs="Times New Roman"/>
          <w:bCs/>
          <w:iCs/>
          <w:lang w:eastAsia="lt-LT"/>
        </w:rPr>
        <w:t xml:space="preserve">Terapinis atsakas pastebimas po kelių dienų po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pavartojimo, kadangi padidėja </w:t>
      </w:r>
      <w:proofErr w:type="spellStart"/>
      <w:r w:rsidRPr="00162DB2">
        <w:rPr>
          <w:rFonts w:ascii="Times New Roman" w:eastAsia="Calibri" w:hAnsi="Times New Roman" w:cs="Times New Roman"/>
          <w:bCs/>
          <w:iCs/>
          <w:lang w:eastAsia="lt-LT"/>
        </w:rPr>
        <w:t>retikuliocitų</w:t>
      </w:r>
      <w:proofErr w:type="spellEnd"/>
      <w:r w:rsidRPr="00162DB2">
        <w:rPr>
          <w:rFonts w:ascii="Times New Roman" w:eastAsia="Calibri" w:hAnsi="Times New Roman" w:cs="Times New Roman"/>
          <w:bCs/>
          <w:iCs/>
          <w:lang w:eastAsia="lt-LT"/>
        </w:rPr>
        <w:t xml:space="preserve"> skaičius. Dėl lėto biologiškai aktyvios geležies atpalaidavimo </w:t>
      </w:r>
      <w:proofErr w:type="spellStart"/>
      <w:r w:rsidRPr="00162DB2">
        <w:rPr>
          <w:rFonts w:ascii="Times New Roman" w:eastAsia="Calibri" w:hAnsi="Times New Roman" w:cs="Times New Roman"/>
          <w:bCs/>
          <w:iCs/>
          <w:lang w:eastAsia="lt-LT"/>
        </w:rPr>
        <w:t>feritino</w:t>
      </w:r>
      <w:proofErr w:type="spellEnd"/>
      <w:r w:rsidRPr="00162DB2">
        <w:rPr>
          <w:rFonts w:ascii="Times New Roman" w:eastAsia="Calibri" w:hAnsi="Times New Roman" w:cs="Times New Roman"/>
          <w:bCs/>
          <w:iCs/>
          <w:lang w:eastAsia="lt-LT"/>
        </w:rPr>
        <w:t xml:space="preserve"> koncentracija kraujo serume būna didžiausia po kelių dienų po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intraveninės dozės ir po savaitės lėtai sugrįžta į pradinį lygį.</w:t>
      </w:r>
    </w:p>
    <w:p w14:paraId="3A4BE88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p>
    <w:p w14:paraId="0D246E3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u w:val="single"/>
          <w:lang w:eastAsia="lt-LT"/>
        </w:rPr>
      </w:pPr>
      <w:r w:rsidRPr="00162DB2">
        <w:rPr>
          <w:rFonts w:ascii="Times New Roman" w:eastAsia="Calibri" w:hAnsi="Times New Roman" w:cs="Times New Roman"/>
          <w:bCs/>
          <w:iCs/>
          <w:u w:val="single"/>
          <w:lang w:eastAsia="lt-LT"/>
        </w:rPr>
        <w:t>Klinikinis veiksmingumas</w:t>
      </w:r>
    </w:p>
    <w:p w14:paraId="49A41DE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u w:val="single"/>
          <w:lang w:eastAsia="lt-LT"/>
        </w:rPr>
      </w:pPr>
    </w:p>
    <w:p w14:paraId="381BE11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veiksmingumas buvo tirtas įvairiose terapinėse srityse, kuriose reikia į veną leidžiamo geležies, siekiant ištaisyti geležies trūkumą. Žemiau pateikti pagrindiniai tyrimų aprašymai. </w:t>
      </w:r>
    </w:p>
    <w:p w14:paraId="2095FAD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p>
    <w:p w14:paraId="34C5677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u w:val="single"/>
          <w:lang w:eastAsia="lt-LT"/>
        </w:rPr>
      </w:pPr>
      <w:r w:rsidRPr="00162DB2">
        <w:rPr>
          <w:rFonts w:ascii="Times New Roman" w:eastAsia="Calibri" w:hAnsi="Times New Roman" w:cs="Times New Roman"/>
          <w:bCs/>
          <w:iCs/>
          <w:u w:val="single"/>
          <w:lang w:eastAsia="lt-LT"/>
        </w:rPr>
        <w:t>Geležies stokos anemija nesusijusi su LIL</w:t>
      </w:r>
    </w:p>
    <w:p w14:paraId="141E499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r w:rsidRPr="00162DB2">
        <w:rPr>
          <w:rFonts w:ascii="Times New Roman" w:eastAsia="Calibri" w:hAnsi="Times New Roman" w:cs="Times New Roman"/>
          <w:bCs/>
          <w:iCs/>
          <w:lang w:eastAsia="lt-LT"/>
        </w:rPr>
        <w:t xml:space="preserve">Atviras, lyginamasis, atsitiktinių imčių, </w:t>
      </w:r>
      <w:proofErr w:type="spellStart"/>
      <w:r w:rsidRPr="00162DB2">
        <w:rPr>
          <w:rFonts w:ascii="Times New Roman" w:eastAsia="Calibri" w:hAnsi="Times New Roman" w:cs="Times New Roman"/>
          <w:bCs/>
          <w:iCs/>
          <w:lang w:eastAsia="lt-LT"/>
        </w:rPr>
        <w:t>daugiacentris</w:t>
      </w:r>
      <w:proofErr w:type="spellEnd"/>
      <w:r w:rsidRPr="00162DB2">
        <w:rPr>
          <w:rFonts w:ascii="Times New Roman" w:eastAsia="Calibri" w:hAnsi="Times New Roman" w:cs="Times New Roman"/>
          <w:bCs/>
          <w:iCs/>
          <w:lang w:eastAsia="lt-LT"/>
        </w:rPr>
        <w:t xml:space="preserve">, neprastesnis P-Monofer-IDA-01 tyrimas buvo atliktas su 511 ligonių, su atsitiktiniu 2:1 IDA santykiu, skiriant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arba geležies sacharozės. 90% į tyrimą įtraukti pacientai buvo moterys.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dozavimas buvo atliekamas pagal sutrumpintą lentelę, kaip aprašyta 4.2 skyriuje, o geležies sacharozės dozavimas buvo apskaičiuotas pagal </w:t>
      </w:r>
      <w:proofErr w:type="spellStart"/>
      <w:r w:rsidRPr="00162DB2">
        <w:rPr>
          <w:rFonts w:ascii="Times New Roman" w:eastAsia="Calibri" w:hAnsi="Times New Roman" w:cs="Times New Roman"/>
          <w:bCs/>
          <w:iCs/>
          <w:lang w:eastAsia="lt-LT"/>
        </w:rPr>
        <w:t>Ganzoni</w:t>
      </w:r>
      <w:proofErr w:type="spellEnd"/>
      <w:r w:rsidRPr="00162DB2">
        <w:rPr>
          <w:rFonts w:ascii="Times New Roman" w:eastAsia="Calibri" w:hAnsi="Times New Roman" w:cs="Times New Roman"/>
          <w:bCs/>
          <w:iCs/>
          <w:lang w:eastAsia="lt-LT"/>
        </w:rPr>
        <w:t xml:space="preserve"> ir vartojamas kaip 200 mg infuzija. Pirminė vertinamoji baigtis buvo pacientai, kurių </w:t>
      </w:r>
      <w:proofErr w:type="spellStart"/>
      <w:r w:rsidRPr="00162DB2">
        <w:rPr>
          <w:rFonts w:ascii="Times New Roman" w:eastAsia="Calibri" w:hAnsi="Times New Roman" w:cs="Times New Roman"/>
          <w:bCs/>
          <w:iCs/>
          <w:lang w:eastAsia="lt-LT"/>
        </w:rPr>
        <w:t>Hb</w:t>
      </w:r>
      <w:proofErr w:type="spellEnd"/>
      <w:r w:rsidRPr="00162DB2">
        <w:rPr>
          <w:rFonts w:ascii="Times New Roman" w:eastAsia="Calibri" w:hAnsi="Times New Roman" w:cs="Times New Roman"/>
          <w:bCs/>
          <w:iCs/>
          <w:lang w:eastAsia="lt-LT"/>
        </w:rPr>
        <w:t xml:space="preserve"> didėjimas buvo daugiau kaip 2 g/dl lyginant su pradiniu, vertinant bet kuriuo metu tarp 1 iki 5 savaitės. Didesnei daliai pacientų, gydytų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buvo nustatytas pirminis tikslas, lyginant su tais, kuriems buvo skirta geležies sacharozės, atitinkamai 68,5% lyginant su 51,6% (FAS, p&lt;0,0001).</w:t>
      </w:r>
    </w:p>
    <w:p w14:paraId="68FB1DF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p>
    <w:p w14:paraId="04BA933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r w:rsidRPr="00162DB2">
        <w:rPr>
          <w:rFonts w:ascii="Times New Roman" w:eastAsia="Calibri" w:hAnsi="Times New Roman" w:cs="Times New Roman"/>
          <w:bCs/>
          <w:iCs/>
          <w:lang w:eastAsia="lt-LT"/>
        </w:rPr>
        <w:t xml:space="preserve">Atviras, lyginamasis, atsitiktinių imčių, </w:t>
      </w:r>
      <w:proofErr w:type="spellStart"/>
      <w:r w:rsidRPr="00162DB2">
        <w:rPr>
          <w:rFonts w:ascii="Times New Roman" w:eastAsia="Calibri" w:hAnsi="Times New Roman" w:cs="Times New Roman"/>
          <w:bCs/>
          <w:iCs/>
          <w:lang w:eastAsia="lt-LT"/>
        </w:rPr>
        <w:t>daugiacentris</w:t>
      </w:r>
      <w:proofErr w:type="spellEnd"/>
      <w:r w:rsidRPr="00162DB2">
        <w:rPr>
          <w:rFonts w:ascii="Times New Roman" w:eastAsia="Calibri" w:hAnsi="Times New Roman" w:cs="Times New Roman"/>
          <w:bCs/>
          <w:iCs/>
          <w:lang w:eastAsia="lt-LT"/>
        </w:rPr>
        <w:t xml:space="preserve"> P-Monofer-IDA03 tyrimas buvo atliktas su 1512 pacientais su atsitiktiniu 2:1 IDA santykiu, skiriant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1000 mg per 20 min. (1009 tiriamųjų) arba geležies sacharozės, skiriant 200 mg IV injekcijomis kartojant jas iki bendros 1000 mg dozės (503 tiriamųjų). Vertinant pirminį veiksmingumą, </w:t>
      </w:r>
      <w:proofErr w:type="spellStart"/>
      <w:r w:rsidRPr="00162DB2">
        <w:rPr>
          <w:rFonts w:ascii="Times New Roman" w:eastAsia="Calibri" w:hAnsi="Times New Roman" w:cs="Times New Roman"/>
          <w:bCs/>
          <w:iCs/>
          <w:lang w:eastAsia="lt-LT"/>
        </w:rPr>
        <w:t>Hb</w:t>
      </w:r>
      <w:proofErr w:type="spellEnd"/>
      <w:r w:rsidRPr="00162DB2">
        <w:rPr>
          <w:rFonts w:ascii="Times New Roman" w:eastAsia="Calibri" w:hAnsi="Times New Roman" w:cs="Times New Roman"/>
          <w:bCs/>
          <w:iCs/>
          <w:lang w:eastAsia="lt-LT"/>
        </w:rPr>
        <w:t xml:space="preserve"> pokytis nuo pradinio lygio iki 8 savaitės buvo 2,49 g/</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grupėje ir 2.49 d/</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geležies sacharozės grupėje. Apskaičiuotas geležies </w:t>
      </w:r>
      <w:proofErr w:type="spellStart"/>
      <w:r w:rsidRPr="00162DB2">
        <w:rPr>
          <w:rFonts w:ascii="Times New Roman" w:eastAsia="Calibri" w:hAnsi="Times New Roman" w:cs="Times New Roman"/>
          <w:bCs/>
          <w:iCs/>
          <w:lang w:eastAsia="lt-LT"/>
        </w:rPr>
        <w:t>izomaltozido</w:t>
      </w:r>
      <w:proofErr w:type="spellEnd"/>
      <w:r w:rsidRPr="00162DB2">
        <w:rPr>
          <w:rFonts w:ascii="Times New Roman" w:eastAsia="Calibri" w:hAnsi="Times New Roman" w:cs="Times New Roman"/>
          <w:bCs/>
          <w:iCs/>
          <w:lang w:eastAsia="lt-LT"/>
        </w:rPr>
        <w:t xml:space="preserve"> ir geležies sacharozės gydymo skirtumas [95 % PI] buvo 0,00 g/</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[-0,13; 0,13]. Apatinė 95% PI riba buvo didesnė kaip -0,5 g / </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todėl buvo nustatytas lygiavertiškumas. Kalbant apie pirminį saugumo rodiklį, pasireiškė </w:t>
      </w:r>
      <w:r w:rsidRPr="00162DB2">
        <w:rPr>
          <w:rFonts w:ascii="Times New Roman" w:eastAsia="Calibri" w:hAnsi="Times New Roman" w:cs="Times New Roman"/>
          <w:bCs/>
          <w:iCs/>
          <w:lang w:eastAsia="lt-LT"/>
        </w:rPr>
        <w:lastRenderedPageBreak/>
        <w:t xml:space="preserve">3 sunkios padidėjusio jautrumo reakcijos 989 tiriamųjų grupėje (0,3 %), kurios buvo patvirtintos tyrimo komisijos geležies </w:t>
      </w:r>
      <w:proofErr w:type="spellStart"/>
      <w:r w:rsidRPr="00162DB2">
        <w:rPr>
          <w:rFonts w:ascii="Times New Roman" w:eastAsia="Calibri" w:hAnsi="Times New Roman" w:cs="Times New Roman"/>
          <w:bCs/>
          <w:iCs/>
          <w:lang w:eastAsia="lt-LT"/>
        </w:rPr>
        <w:t>izomaldozido</w:t>
      </w:r>
      <w:proofErr w:type="spellEnd"/>
      <w:r w:rsidRPr="00162DB2">
        <w:rPr>
          <w:rFonts w:ascii="Times New Roman" w:eastAsia="Calibri" w:hAnsi="Times New Roman" w:cs="Times New Roman"/>
          <w:bCs/>
          <w:iCs/>
          <w:lang w:eastAsia="lt-LT"/>
        </w:rPr>
        <w:t xml:space="preserve"> grupėje. PI buvo 95 % [0,06%; 0,88%], viršutinė riba buvo </w:t>
      </w:r>
      <w:r w:rsidRPr="00162DB2">
        <w:rPr>
          <w:rFonts w:ascii="Times New Roman" w:hAnsi="Times New Roman" w:cs="Times New Roman"/>
        </w:rPr>
        <w:t>&lt;3 %, todėl</w:t>
      </w:r>
      <w:r w:rsidRPr="00162DB2">
        <w:t xml:space="preserve"> </w:t>
      </w:r>
      <w:r w:rsidRPr="00162DB2">
        <w:rPr>
          <w:rFonts w:ascii="Times New Roman" w:hAnsi="Times New Roman" w:cs="Times New Roman"/>
        </w:rPr>
        <w:t xml:space="preserve">laikoma, jog pagrindinis saugumo tikslas pasiektas. Geležies sacharozę vartojusių pacientų grupėje buvo nustatytos ir tyrimo komisijos pripažintos 2 gydymo sukeltos sunkios padidėjusio jautrumo reakcijos 494 tiriamųjų grupėje (0.4 %). Apskaičiuotas rizikos skirtumas tarp geležies </w:t>
      </w:r>
      <w:proofErr w:type="spellStart"/>
      <w:r w:rsidRPr="00162DB2">
        <w:rPr>
          <w:rFonts w:ascii="Times New Roman" w:hAnsi="Times New Roman" w:cs="Times New Roman"/>
        </w:rPr>
        <w:t>izomaltozido</w:t>
      </w:r>
      <w:proofErr w:type="spellEnd"/>
      <w:r w:rsidRPr="00162DB2">
        <w:rPr>
          <w:rFonts w:ascii="Times New Roman" w:hAnsi="Times New Roman" w:cs="Times New Roman"/>
        </w:rPr>
        <w:t xml:space="preserve"> ir geležies sacharozės yra </w:t>
      </w:r>
      <w:r w:rsidRPr="00162DB2">
        <w:rPr>
          <w:rFonts w:ascii="Times New Roman" w:eastAsia="Calibri" w:hAnsi="Times New Roman" w:cs="Times New Roman"/>
          <w:bCs/>
          <w:iCs/>
          <w:lang w:eastAsia="lt-LT"/>
        </w:rPr>
        <w:t>–0,10% [95% PI: –0,91; 0,71].</w:t>
      </w:r>
    </w:p>
    <w:p w14:paraId="04AD39D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p>
    <w:p w14:paraId="049160D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u w:val="single"/>
          <w:lang w:eastAsia="lt-LT"/>
        </w:rPr>
      </w:pPr>
      <w:r w:rsidRPr="00162DB2">
        <w:rPr>
          <w:rFonts w:ascii="Times New Roman" w:eastAsia="Calibri" w:hAnsi="Times New Roman" w:cs="Times New Roman"/>
          <w:bCs/>
          <w:iCs/>
          <w:u w:val="single"/>
          <w:lang w:eastAsia="lt-LT"/>
        </w:rPr>
        <w:t>Nefrologija</w:t>
      </w:r>
    </w:p>
    <w:p w14:paraId="583D39F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
          <w:iCs/>
          <w:lang w:eastAsia="lt-LT"/>
        </w:rPr>
      </w:pPr>
      <w:r w:rsidRPr="00162DB2">
        <w:rPr>
          <w:rFonts w:ascii="Times New Roman" w:eastAsia="Calibri" w:hAnsi="Times New Roman" w:cs="Times New Roman"/>
          <w:bCs/>
          <w:i/>
          <w:iCs/>
          <w:lang w:eastAsia="lt-LT"/>
        </w:rPr>
        <w:t>Inkstų liga, kai netaikoma dializė</w:t>
      </w:r>
    </w:p>
    <w:p w14:paraId="3FE5064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r w:rsidRPr="00162DB2">
        <w:rPr>
          <w:rFonts w:ascii="Times New Roman" w:eastAsia="Calibri" w:hAnsi="Times New Roman" w:cs="Times New Roman"/>
          <w:bCs/>
          <w:iCs/>
          <w:lang w:eastAsia="lt-LT"/>
        </w:rPr>
        <w:t xml:space="preserve">Atviras, lyginamasis, atsitiktinių imčių, </w:t>
      </w:r>
      <w:proofErr w:type="spellStart"/>
      <w:r w:rsidRPr="00162DB2">
        <w:rPr>
          <w:rFonts w:ascii="Times New Roman" w:eastAsia="Calibri" w:hAnsi="Times New Roman" w:cs="Times New Roman"/>
          <w:bCs/>
          <w:iCs/>
          <w:lang w:eastAsia="lt-LT"/>
        </w:rPr>
        <w:t>daugiacentris</w:t>
      </w:r>
      <w:proofErr w:type="spellEnd"/>
      <w:r w:rsidRPr="00162DB2">
        <w:rPr>
          <w:rFonts w:ascii="Times New Roman" w:eastAsia="Calibri" w:hAnsi="Times New Roman" w:cs="Times New Roman"/>
          <w:bCs/>
          <w:iCs/>
          <w:lang w:eastAsia="lt-LT"/>
        </w:rPr>
        <w:t xml:space="preserve">, ne prastesnis </w:t>
      </w:r>
      <w:proofErr w:type="spellStart"/>
      <w:r w:rsidRPr="00162DB2">
        <w:rPr>
          <w:rFonts w:ascii="Times New Roman" w:eastAsia="Calibri" w:hAnsi="Times New Roman" w:cs="Times New Roman"/>
          <w:bCs/>
          <w:iCs/>
          <w:lang w:eastAsia="lt-LT"/>
        </w:rPr>
        <w:t>The</w:t>
      </w:r>
      <w:proofErr w:type="spellEnd"/>
      <w:r w:rsidRPr="00162DB2">
        <w:rPr>
          <w:rFonts w:ascii="Times New Roman" w:eastAsia="Calibri" w:hAnsi="Times New Roman" w:cs="Times New Roman"/>
          <w:bCs/>
          <w:iCs/>
          <w:lang w:eastAsia="lt-LT"/>
        </w:rPr>
        <w:t xml:space="preserve"> P-Monofer-CKD-02 tyrimas buvo atliktas su 351 lėtine inkstų liga (LIL), kai netaikoma dializė, sergančiais pacientams, su atsitiktine 2:1 imtimi, vartojant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arba skiriant 100 mg geriamojo geležies sulfato 2 kartus dienoje (200 mg per dieną) 8 savaites.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grupėje esantiems pacientams buvo taikoma atsitiktinė 1000 mg vienkartinės dozės infuzija arba 500 mg </w:t>
      </w:r>
      <w:proofErr w:type="spellStart"/>
      <w:r w:rsidRPr="00162DB2">
        <w:rPr>
          <w:rFonts w:ascii="Times New Roman" w:eastAsia="Calibri" w:hAnsi="Times New Roman" w:cs="Times New Roman"/>
          <w:bCs/>
          <w:iCs/>
          <w:lang w:eastAsia="lt-LT"/>
        </w:rPr>
        <w:t>boliuso</w:t>
      </w:r>
      <w:proofErr w:type="spellEnd"/>
      <w:r w:rsidRPr="00162DB2">
        <w:rPr>
          <w:rFonts w:ascii="Times New Roman" w:eastAsia="Calibri" w:hAnsi="Times New Roman" w:cs="Times New Roman"/>
          <w:bCs/>
          <w:iCs/>
          <w:lang w:eastAsia="lt-LT"/>
        </w:rPr>
        <w:t xml:space="preserve"> injekcija. 4 savaitę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parodė ne prastesnius rezultatus lyginant su geriamąja geležimi (p&lt;0,001), o didžiausias geležies padidėjimas, lyginant su geriamąja geležimi, buvo stebėtas nuo 3 savaitės iki 8 tyrimo pabaigos savaitės (p=0,009, 3 savaitę).</w:t>
      </w:r>
    </w:p>
    <w:p w14:paraId="502FAEC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p>
    <w:p w14:paraId="5052182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r w:rsidRPr="00162DB2">
        <w:rPr>
          <w:rFonts w:ascii="Times New Roman" w:eastAsia="Calibri" w:hAnsi="Times New Roman" w:cs="Times New Roman"/>
          <w:bCs/>
          <w:iCs/>
          <w:lang w:eastAsia="lt-LT"/>
        </w:rPr>
        <w:t xml:space="preserve">Atviras, lyginamasis, atsitiktinių imčių, </w:t>
      </w:r>
      <w:proofErr w:type="spellStart"/>
      <w:r w:rsidRPr="00162DB2">
        <w:rPr>
          <w:rFonts w:ascii="Times New Roman" w:eastAsia="Calibri" w:hAnsi="Times New Roman" w:cs="Times New Roman"/>
          <w:bCs/>
          <w:iCs/>
          <w:lang w:eastAsia="lt-LT"/>
        </w:rPr>
        <w:t>daugiacentris</w:t>
      </w:r>
      <w:proofErr w:type="spellEnd"/>
      <w:r w:rsidRPr="00162DB2">
        <w:rPr>
          <w:rFonts w:ascii="Times New Roman" w:eastAsia="Calibri" w:hAnsi="Times New Roman" w:cs="Times New Roman"/>
          <w:bCs/>
          <w:iCs/>
          <w:lang w:eastAsia="lt-LT"/>
        </w:rPr>
        <w:t xml:space="preserve"> P-Monofer-CKD-04 tyrimas buvo atliktas su 1538 lėtine inkstų liga (LIL), kai netaikoma dializė, sergančiais pacientais, su atsitiktine imtimi 2:1, vartojant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1000 mg infuzija per 20 min. (1027 tiriamųjų) arba geležies sacharozę 200 mg injekcijomis, kartojant iki 1000 mg kumuliacinės dozės (511 tiriamųjų). Vertinant pirminį veiksmingumą, </w:t>
      </w:r>
      <w:proofErr w:type="spellStart"/>
      <w:r w:rsidRPr="00162DB2">
        <w:rPr>
          <w:rFonts w:ascii="Times New Roman" w:eastAsia="Calibri" w:hAnsi="Times New Roman" w:cs="Times New Roman"/>
          <w:bCs/>
          <w:iCs/>
          <w:lang w:eastAsia="lt-LT"/>
        </w:rPr>
        <w:t>Hb</w:t>
      </w:r>
      <w:proofErr w:type="spellEnd"/>
      <w:r w:rsidRPr="00162DB2">
        <w:rPr>
          <w:rFonts w:ascii="Times New Roman" w:eastAsia="Calibri" w:hAnsi="Times New Roman" w:cs="Times New Roman"/>
          <w:bCs/>
          <w:iCs/>
          <w:lang w:eastAsia="lt-LT"/>
        </w:rPr>
        <w:t xml:space="preserve"> pokytis nuo pradinio lygio iki 8 savaitės buvo 1.22 g/</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grupėje ir 1,14 g/</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geležies sacharozės grupėje. </w:t>
      </w:r>
      <w:proofErr w:type="spellStart"/>
      <w:r w:rsidRPr="00162DB2">
        <w:rPr>
          <w:rFonts w:ascii="Times New Roman" w:eastAsia="Calibri" w:hAnsi="Times New Roman" w:cs="Times New Roman"/>
          <w:bCs/>
          <w:iCs/>
          <w:lang w:eastAsia="lt-LT"/>
        </w:rPr>
        <w:t>Apskačiuotas</w:t>
      </w:r>
      <w:proofErr w:type="spellEnd"/>
      <w:r w:rsidRPr="00162DB2">
        <w:rPr>
          <w:rFonts w:ascii="Times New Roman" w:eastAsia="Calibri" w:hAnsi="Times New Roman" w:cs="Times New Roman"/>
          <w:bCs/>
          <w:iCs/>
          <w:lang w:eastAsia="lt-LT"/>
        </w:rPr>
        <w:t xml:space="preserve"> skirtumas tarp gydymų buvo 0,08 g/</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[95% PI: -0,06; 0,23]. Apatinė 95% PI riba buvo didesnė kaip -0,5 g / </w:t>
      </w:r>
      <w:proofErr w:type="spellStart"/>
      <w:r w:rsidRPr="00162DB2">
        <w:rPr>
          <w:rFonts w:ascii="Times New Roman" w:eastAsia="Calibri" w:hAnsi="Times New Roman" w:cs="Times New Roman"/>
          <w:bCs/>
          <w:iCs/>
          <w:lang w:eastAsia="lt-LT"/>
        </w:rPr>
        <w:t>dL</w:t>
      </w:r>
      <w:proofErr w:type="spellEnd"/>
      <w:r w:rsidRPr="00162DB2">
        <w:rPr>
          <w:rFonts w:ascii="Times New Roman" w:eastAsia="Calibri" w:hAnsi="Times New Roman" w:cs="Times New Roman"/>
          <w:bCs/>
          <w:iCs/>
          <w:lang w:eastAsia="lt-LT"/>
        </w:rPr>
        <w:t xml:space="preserve">, todėl buvo nustatytas lygiavertiškumas. Kalbant apie pirminį saugumo rodiklį, pasireiškė 3 sunkios padidėjusio jautrumo reakcijos 1019 tiriamųjų grupėje (0,3 %), kurios buvo patvirtintos tyrimo komisijos geležies </w:t>
      </w:r>
      <w:proofErr w:type="spellStart"/>
      <w:r w:rsidRPr="00162DB2">
        <w:rPr>
          <w:rFonts w:ascii="Times New Roman" w:eastAsia="Calibri" w:hAnsi="Times New Roman" w:cs="Times New Roman"/>
          <w:bCs/>
          <w:iCs/>
          <w:lang w:eastAsia="lt-LT"/>
        </w:rPr>
        <w:t>izomaldozido</w:t>
      </w:r>
      <w:proofErr w:type="spellEnd"/>
      <w:r w:rsidRPr="00162DB2">
        <w:rPr>
          <w:rFonts w:ascii="Times New Roman" w:eastAsia="Calibri" w:hAnsi="Times New Roman" w:cs="Times New Roman"/>
          <w:bCs/>
          <w:iCs/>
          <w:lang w:eastAsia="lt-LT"/>
        </w:rPr>
        <w:t xml:space="preserve"> grupėje. PI buvo 95 % [0,06%; 0,86%], viršutinė riba buvo </w:t>
      </w:r>
      <w:r w:rsidRPr="00162DB2">
        <w:rPr>
          <w:rFonts w:ascii="Times New Roman" w:hAnsi="Times New Roman" w:cs="Times New Roman"/>
        </w:rPr>
        <w:t>&lt;3 %, todėl</w:t>
      </w:r>
      <w:r w:rsidRPr="00162DB2">
        <w:t xml:space="preserve"> </w:t>
      </w:r>
      <w:r w:rsidRPr="00162DB2">
        <w:rPr>
          <w:rFonts w:ascii="Times New Roman" w:hAnsi="Times New Roman" w:cs="Times New Roman"/>
        </w:rPr>
        <w:t xml:space="preserve">laikoma, jog pagrindinis saugumo tikslas pasiektas. Geležies sacharozę vartojusių pacientų grupėje nebuvo nustatytos nei vienos gydymo sukeltos ir patvirtintos tyrimo komisijos sunkios padidėjusio jautrumo reakcijos. Apskaičiuotas rizikos skirtumas tarp geležies </w:t>
      </w:r>
      <w:proofErr w:type="spellStart"/>
      <w:r w:rsidRPr="00162DB2">
        <w:rPr>
          <w:rFonts w:ascii="Times New Roman" w:hAnsi="Times New Roman" w:cs="Times New Roman"/>
        </w:rPr>
        <w:t>izomaltozido</w:t>
      </w:r>
      <w:proofErr w:type="spellEnd"/>
      <w:r w:rsidRPr="00162DB2">
        <w:rPr>
          <w:rFonts w:ascii="Times New Roman" w:hAnsi="Times New Roman" w:cs="Times New Roman"/>
        </w:rPr>
        <w:t xml:space="preserve"> ir geležies sacharozės yra </w:t>
      </w:r>
      <w:r w:rsidRPr="00162DB2">
        <w:rPr>
          <w:rFonts w:ascii="Times New Roman" w:eastAsia="Calibri" w:hAnsi="Times New Roman" w:cs="Times New Roman"/>
          <w:bCs/>
          <w:iCs/>
          <w:lang w:eastAsia="lt-LT"/>
        </w:rPr>
        <w:t>–0,29% [95% PI: –0,19; 0,77].</w:t>
      </w:r>
    </w:p>
    <w:p w14:paraId="7876ACD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p>
    <w:p w14:paraId="7BD2D32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
          <w:iCs/>
          <w:lang w:eastAsia="lt-LT"/>
        </w:rPr>
      </w:pPr>
      <w:r w:rsidRPr="00162DB2">
        <w:rPr>
          <w:rFonts w:ascii="Times New Roman" w:eastAsia="Calibri" w:hAnsi="Times New Roman" w:cs="Times New Roman"/>
          <w:bCs/>
          <w:i/>
          <w:iCs/>
          <w:lang w:eastAsia="lt-LT"/>
        </w:rPr>
        <w:t>Nuo hemodializės priklausoma inkstų liga</w:t>
      </w:r>
    </w:p>
    <w:p w14:paraId="61FA9D6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Cs/>
          <w:lang w:eastAsia="lt-LT"/>
        </w:rPr>
      </w:pPr>
      <w:r w:rsidRPr="00162DB2">
        <w:rPr>
          <w:rFonts w:ascii="Times New Roman" w:eastAsia="Calibri" w:hAnsi="Times New Roman" w:cs="Times New Roman"/>
          <w:bCs/>
          <w:iCs/>
          <w:lang w:eastAsia="lt-LT"/>
        </w:rPr>
        <w:t xml:space="preserve">Atviras, lyginamasis, atsitiktinių imčių, </w:t>
      </w:r>
      <w:proofErr w:type="spellStart"/>
      <w:r w:rsidRPr="00162DB2">
        <w:rPr>
          <w:rFonts w:ascii="Times New Roman" w:eastAsia="Calibri" w:hAnsi="Times New Roman" w:cs="Times New Roman"/>
          <w:bCs/>
          <w:iCs/>
          <w:lang w:eastAsia="lt-LT"/>
        </w:rPr>
        <w:t>daugiacentris</w:t>
      </w:r>
      <w:proofErr w:type="spellEnd"/>
      <w:r w:rsidRPr="00162DB2">
        <w:rPr>
          <w:rFonts w:ascii="Times New Roman" w:eastAsia="Calibri" w:hAnsi="Times New Roman" w:cs="Times New Roman"/>
          <w:bCs/>
          <w:iCs/>
          <w:lang w:eastAsia="lt-LT"/>
        </w:rPr>
        <w:t xml:space="preserve"> P-Monofer-CKD-03 tyrimas buvo atliktas su 351 pacientais, kuriems atliekama hemodializė, atsitiktiniu santykiu 2:1, skiriant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arba geležies sacharozės. Pacientai buvo parinkti atsitiktinai skiriant vienkartinę 500 mg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injekciją arba 500 mg </w:t>
      </w:r>
      <w:proofErr w:type="spellStart"/>
      <w:r w:rsidRPr="00162DB2">
        <w:rPr>
          <w:rFonts w:ascii="Times New Roman" w:eastAsia="Calibri" w:hAnsi="Times New Roman" w:cs="Times New Roman"/>
          <w:bCs/>
          <w:iCs/>
          <w:lang w:eastAsia="lt-LT"/>
        </w:rPr>
        <w:t>Monofer</w:t>
      </w:r>
      <w:proofErr w:type="spellEnd"/>
      <w:r w:rsidRPr="00162DB2">
        <w:rPr>
          <w:rFonts w:ascii="Times New Roman" w:eastAsia="Calibri" w:hAnsi="Times New Roman" w:cs="Times New Roman"/>
          <w:bCs/>
          <w:iCs/>
          <w:lang w:eastAsia="lt-LT"/>
        </w:rPr>
        <w:t xml:space="preserve"> atskiromis dozėmis, arba skiriant 500 mg geležies sacharozės atskiromis dozėmis. Abu gydymo metodai parodė panašų veiksmingumą daugiau nei 82% pacientų su tiksliniu </w:t>
      </w:r>
      <w:proofErr w:type="spellStart"/>
      <w:r w:rsidRPr="00162DB2">
        <w:rPr>
          <w:rFonts w:ascii="Times New Roman" w:eastAsia="Calibri" w:hAnsi="Times New Roman" w:cs="Times New Roman"/>
          <w:bCs/>
          <w:iCs/>
          <w:lang w:eastAsia="lt-LT"/>
        </w:rPr>
        <w:t>Hb</w:t>
      </w:r>
      <w:proofErr w:type="spellEnd"/>
      <w:r w:rsidRPr="00162DB2">
        <w:rPr>
          <w:rFonts w:ascii="Times New Roman" w:eastAsia="Calibri" w:hAnsi="Times New Roman" w:cs="Times New Roman"/>
          <w:bCs/>
          <w:iCs/>
          <w:lang w:eastAsia="lt-LT"/>
        </w:rPr>
        <w:t xml:space="preserve"> veikimu (ne prastesni rezultatai, p=0,01). </w:t>
      </w:r>
    </w:p>
    <w:p w14:paraId="6674B74E"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p>
    <w:p w14:paraId="26A90B19"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u w:val="single"/>
          <w:lang w:eastAsia="lt-LT"/>
        </w:rPr>
      </w:pPr>
      <w:r w:rsidRPr="00162DB2">
        <w:rPr>
          <w:rFonts w:ascii="Times New Roman" w:eastAsia="Calibri" w:hAnsi="Times New Roman" w:cs="Times New Roman"/>
          <w:bCs/>
          <w:u w:val="single"/>
          <w:lang w:eastAsia="lt-LT"/>
        </w:rPr>
        <w:t>Onkologija</w:t>
      </w:r>
    </w:p>
    <w:p w14:paraId="3E1B76CE"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i/>
          <w:lang w:eastAsia="lt-LT"/>
        </w:rPr>
      </w:pPr>
      <w:r w:rsidRPr="00162DB2">
        <w:rPr>
          <w:rFonts w:ascii="Times New Roman" w:eastAsia="Calibri" w:hAnsi="Times New Roman" w:cs="Times New Roman"/>
          <w:bCs/>
          <w:i/>
          <w:lang w:eastAsia="lt-LT"/>
        </w:rPr>
        <w:t>Vėžio įtakota anemija</w:t>
      </w:r>
    </w:p>
    <w:p w14:paraId="3EA98392"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Atviras, lyginamasis, atsitiktinių imčių, </w:t>
      </w:r>
      <w:proofErr w:type="spellStart"/>
      <w:r w:rsidRPr="00162DB2">
        <w:rPr>
          <w:rFonts w:ascii="Times New Roman" w:eastAsia="Calibri" w:hAnsi="Times New Roman" w:cs="Times New Roman"/>
          <w:bCs/>
          <w:lang w:eastAsia="lt-LT"/>
        </w:rPr>
        <w:t>daugiacentris</w:t>
      </w:r>
      <w:proofErr w:type="spellEnd"/>
      <w:r w:rsidRPr="00162DB2">
        <w:rPr>
          <w:rFonts w:ascii="Times New Roman" w:eastAsia="Calibri" w:hAnsi="Times New Roman" w:cs="Times New Roman"/>
          <w:bCs/>
          <w:lang w:eastAsia="lt-LT"/>
        </w:rPr>
        <w:t xml:space="preserve">, ne prastesnis P-Monofer-CIA-01 tyrimas buvo atliktas su 350 vėžiu, kartu su anemija, sergančiais pacientais, su atsitiktine 2:1 imtimi, skiriant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arba skiriant geriamojo geležies sulfato, vartojant 100 mg </w:t>
      </w:r>
      <w:proofErr w:type="spellStart"/>
      <w:r w:rsidRPr="00162DB2">
        <w:rPr>
          <w:rFonts w:ascii="Times New Roman" w:eastAsia="Calibri" w:hAnsi="Times New Roman" w:cs="Times New Roman"/>
          <w:bCs/>
          <w:lang w:eastAsia="lt-LT"/>
        </w:rPr>
        <w:t>elementinės</w:t>
      </w:r>
      <w:proofErr w:type="spellEnd"/>
      <w:r w:rsidRPr="00162DB2">
        <w:rPr>
          <w:rFonts w:ascii="Times New Roman" w:eastAsia="Calibri" w:hAnsi="Times New Roman" w:cs="Times New Roman"/>
          <w:bCs/>
          <w:lang w:eastAsia="lt-LT"/>
        </w:rPr>
        <w:t xml:space="preserve"> geriamosios geležies du kartus per dieną (200 mg per dieną) 12 savaičių. Pacientams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grupėje buvo atsitiktinai skiriama 1000 mg vienkartinė infuzija, suleidžiant per 15 min. arba 500 mg injekcija </w:t>
      </w:r>
      <w:proofErr w:type="spellStart"/>
      <w:r w:rsidRPr="00162DB2">
        <w:rPr>
          <w:rFonts w:ascii="Times New Roman" w:eastAsia="Calibri" w:hAnsi="Times New Roman" w:cs="Times New Roman"/>
          <w:bCs/>
          <w:lang w:eastAsia="lt-LT"/>
        </w:rPr>
        <w:t>boliusu</w:t>
      </w:r>
      <w:proofErr w:type="spellEnd"/>
      <w:r w:rsidRPr="00162DB2">
        <w:rPr>
          <w:rFonts w:ascii="Times New Roman" w:eastAsia="Calibri" w:hAnsi="Times New Roman" w:cs="Times New Roman"/>
          <w:bCs/>
          <w:lang w:eastAsia="lt-LT"/>
        </w:rPr>
        <w:t xml:space="preserve"> per 2 min. Pagrindinė vertinamoji baigtis buvo pasiekta 4 savaitę, kai lyginant su pradine keitėsi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koncentracija.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4 savaitę parodė ne prastesnius rezultatus lyginant su geriamaisiais geležies preparatais (p&lt;0,001), o greitesnis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atsakas buvo stebėtas skiriant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infuzijas.</w:t>
      </w:r>
    </w:p>
    <w:p w14:paraId="08293D80"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p>
    <w:p w14:paraId="31291997"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u w:val="single"/>
          <w:lang w:eastAsia="lt-LT"/>
        </w:rPr>
      </w:pPr>
      <w:proofErr w:type="spellStart"/>
      <w:r w:rsidRPr="00162DB2">
        <w:rPr>
          <w:rFonts w:ascii="Times New Roman" w:eastAsia="Calibri" w:hAnsi="Times New Roman" w:cs="Times New Roman"/>
          <w:bCs/>
          <w:u w:val="single"/>
          <w:lang w:eastAsia="lt-LT"/>
        </w:rPr>
        <w:t>Gastroenterologija</w:t>
      </w:r>
      <w:proofErr w:type="spellEnd"/>
    </w:p>
    <w:p w14:paraId="10C77147"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i/>
          <w:lang w:eastAsia="lt-LT"/>
        </w:rPr>
      </w:pPr>
      <w:r w:rsidRPr="00162DB2">
        <w:rPr>
          <w:rFonts w:ascii="Times New Roman" w:eastAsia="Calibri" w:hAnsi="Times New Roman" w:cs="Times New Roman"/>
          <w:bCs/>
          <w:i/>
          <w:lang w:eastAsia="lt-LT"/>
        </w:rPr>
        <w:t xml:space="preserve">Uždegiminė žarnyno liga </w:t>
      </w:r>
    </w:p>
    <w:p w14:paraId="4E5165D7"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lastRenderedPageBreak/>
        <w:t xml:space="preserve">Atviras, lyginamasis, atsitiktinių imčių, </w:t>
      </w:r>
      <w:proofErr w:type="spellStart"/>
      <w:r w:rsidRPr="00162DB2">
        <w:rPr>
          <w:rFonts w:ascii="Times New Roman" w:eastAsia="Calibri" w:hAnsi="Times New Roman" w:cs="Times New Roman"/>
          <w:bCs/>
          <w:lang w:eastAsia="lt-LT"/>
        </w:rPr>
        <w:t>daugiacentris</w:t>
      </w:r>
      <w:proofErr w:type="spellEnd"/>
      <w:r w:rsidRPr="00162DB2">
        <w:rPr>
          <w:rFonts w:ascii="Times New Roman" w:eastAsia="Calibri" w:hAnsi="Times New Roman" w:cs="Times New Roman"/>
          <w:bCs/>
          <w:lang w:eastAsia="lt-LT"/>
        </w:rPr>
        <w:t xml:space="preserve">, ne prastesnis P-Monofer-IBD-01 tyrimas buvo atliktas su 338 uždegimine žarnyno liga (UŽL) sergančiais pacientais, atsitiktiniu santykiu 2:1, skiriant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arba geriamąjį geležies sulfatą – 100 mg </w:t>
      </w:r>
      <w:proofErr w:type="spellStart"/>
      <w:r w:rsidRPr="00162DB2">
        <w:rPr>
          <w:rFonts w:ascii="Times New Roman" w:eastAsia="Calibri" w:hAnsi="Times New Roman" w:cs="Times New Roman"/>
          <w:bCs/>
          <w:lang w:eastAsia="lt-LT"/>
        </w:rPr>
        <w:t>elementinės</w:t>
      </w:r>
      <w:proofErr w:type="spellEnd"/>
      <w:r w:rsidRPr="00162DB2">
        <w:rPr>
          <w:rFonts w:ascii="Times New Roman" w:eastAsia="Calibri" w:hAnsi="Times New Roman" w:cs="Times New Roman"/>
          <w:bCs/>
          <w:lang w:eastAsia="lt-LT"/>
        </w:rPr>
        <w:t xml:space="preserve"> geležies du kartus dienoje, 8 savaites (200 mg per dieną).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grupėje esantiems pacientams buvo atsitiktinai skiriama 1000 mg vienos dozės infuzija per 15 min. arba 500 mg </w:t>
      </w:r>
      <w:proofErr w:type="spellStart"/>
      <w:r w:rsidRPr="00162DB2">
        <w:rPr>
          <w:rFonts w:ascii="Times New Roman" w:eastAsia="Calibri" w:hAnsi="Times New Roman" w:cs="Times New Roman"/>
          <w:bCs/>
          <w:lang w:eastAsia="lt-LT"/>
        </w:rPr>
        <w:t>boliusio</w:t>
      </w:r>
      <w:proofErr w:type="spellEnd"/>
      <w:r w:rsidRPr="00162DB2">
        <w:rPr>
          <w:rFonts w:ascii="Times New Roman" w:eastAsia="Calibri" w:hAnsi="Times New Roman" w:cs="Times New Roman"/>
          <w:bCs/>
          <w:lang w:eastAsia="lt-LT"/>
        </w:rPr>
        <w:t xml:space="preserve"> injekcija per 2 min. Į veną leidžiamos geležies poreikio apskaičiavimui su 13 g/dl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taikiniu buvo naudojama modifikuota </w:t>
      </w:r>
      <w:proofErr w:type="spellStart"/>
      <w:r w:rsidRPr="00162DB2">
        <w:rPr>
          <w:rFonts w:ascii="Times New Roman" w:eastAsia="Calibri" w:hAnsi="Times New Roman" w:cs="Times New Roman"/>
          <w:bCs/>
          <w:lang w:eastAsia="lt-LT"/>
        </w:rPr>
        <w:t>Ganzoni</w:t>
      </w:r>
      <w:proofErr w:type="spellEnd"/>
      <w:r w:rsidRPr="00162DB2">
        <w:rPr>
          <w:rFonts w:ascii="Times New Roman" w:eastAsia="Calibri" w:hAnsi="Times New Roman" w:cs="Times New Roman"/>
          <w:bCs/>
          <w:lang w:eastAsia="lt-LT"/>
        </w:rPr>
        <w:t xml:space="preserve"> formulė, dėl to vidutinė 884 mg </w:t>
      </w:r>
      <w:proofErr w:type="spellStart"/>
      <w:r w:rsidRPr="00162DB2">
        <w:rPr>
          <w:rFonts w:ascii="Times New Roman" w:eastAsia="Calibri" w:hAnsi="Times New Roman" w:cs="Times New Roman"/>
          <w:bCs/>
          <w:lang w:eastAsia="lt-LT"/>
        </w:rPr>
        <w:t>elementinės</w:t>
      </w:r>
      <w:proofErr w:type="spellEnd"/>
      <w:r w:rsidRPr="00162DB2">
        <w:rPr>
          <w:rFonts w:ascii="Times New Roman" w:eastAsia="Calibri" w:hAnsi="Times New Roman" w:cs="Times New Roman"/>
          <w:bCs/>
          <w:lang w:eastAsia="lt-LT"/>
        </w:rPr>
        <w:t xml:space="preserve"> geležies dozė buvo lyginama su 200 mg geriamosios geležies sulfato doze vieną kartą dienoje, 8 savaites (iš viso 11,200 mg geriamosios </w:t>
      </w:r>
      <w:proofErr w:type="spellStart"/>
      <w:r w:rsidRPr="00162DB2">
        <w:rPr>
          <w:rFonts w:ascii="Times New Roman" w:eastAsia="Calibri" w:hAnsi="Times New Roman" w:cs="Times New Roman"/>
          <w:bCs/>
          <w:lang w:eastAsia="lt-LT"/>
        </w:rPr>
        <w:t>elementinės</w:t>
      </w:r>
      <w:proofErr w:type="spellEnd"/>
      <w:r w:rsidRPr="00162DB2">
        <w:rPr>
          <w:rFonts w:ascii="Times New Roman" w:eastAsia="Calibri" w:hAnsi="Times New Roman" w:cs="Times New Roman"/>
          <w:bCs/>
          <w:lang w:eastAsia="lt-LT"/>
        </w:rPr>
        <w:t xml:space="preserve"> geležies).</w:t>
      </w:r>
    </w:p>
    <w:p w14:paraId="23BCDA06"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Pagrindinė vertinamoji baigtis buvo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koncentracijos pokytis lyginant su pradiniu, 8 savaites. Pacientams buvo nustatytas lengvas arba vidutinis ligos aktyvumas. Ne prastesni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koncentracijos pokyčiai buvo stebėti 8 savaitę. Dozės ir atsako tarpusavio ryšys buvo stebėtas su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ir parodė, kad tikrasis geležies poreikis buvo nepakankamas taikant modifikuotą </w:t>
      </w:r>
      <w:proofErr w:type="spellStart"/>
      <w:r w:rsidRPr="00162DB2">
        <w:rPr>
          <w:rFonts w:ascii="Times New Roman" w:eastAsia="Calibri" w:hAnsi="Times New Roman" w:cs="Times New Roman"/>
          <w:bCs/>
          <w:lang w:eastAsia="lt-LT"/>
        </w:rPr>
        <w:t>Ganzoni</w:t>
      </w:r>
      <w:proofErr w:type="spellEnd"/>
      <w:r w:rsidRPr="00162DB2">
        <w:rPr>
          <w:rFonts w:ascii="Times New Roman" w:eastAsia="Calibri" w:hAnsi="Times New Roman" w:cs="Times New Roman"/>
          <w:bCs/>
          <w:lang w:eastAsia="lt-LT"/>
        </w:rPr>
        <w:t xml:space="preserve"> formulę.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atsako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padidėjimas ≥2 g/dl) dažnis buvo stebėtas 93% pacientų, vartojusiu daugiau kaip 1000 mg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w:t>
      </w:r>
    </w:p>
    <w:p w14:paraId="1F04E7C2"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p>
    <w:p w14:paraId="1A3BAD35"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u w:val="single"/>
          <w:lang w:eastAsia="lt-LT"/>
        </w:rPr>
      </w:pPr>
      <w:r w:rsidRPr="00162DB2">
        <w:rPr>
          <w:rFonts w:ascii="Times New Roman" w:eastAsia="Calibri" w:hAnsi="Times New Roman" w:cs="Times New Roman"/>
          <w:bCs/>
          <w:u w:val="single"/>
          <w:lang w:eastAsia="lt-LT"/>
        </w:rPr>
        <w:t>Moterų sveikatos būklė</w:t>
      </w:r>
    </w:p>
    <w:p w14:paraId="7E7098C6"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i/>
          <w:lang w:eastAsia="lt-LT"/>
        </w:rPr>
      </w:pPr>
      <w:r w:rsidRPr="00162DB2">
        <w:rPr>
          <w:rFonts w:ascii="Times New Roman" w:eastAsia="Calibri" w:hAnsi="Times New Roman" w:cs="Times New Roman"/>
          <w:bCs/>
          <w:i/>
          <w:lang w:eastAsia="lt-LT"/>
        </w:rPr>
        <w:t>Po gimdymo</w:t>
      </w:r>
    </w:p>
    <w:p w14:paraId="40A1F1EB"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Atviras, lyginamasis, atsitiktinių imčių, vieno centro P-Monofer-PP-01 tyrimas buvo atliktas su 200 sveikų, kraujavimą po gimdymo patyrusių moterų, kurioms buvo nustatytas 700 ml ir ≤1000 ml arba PPH &gt; 1000 ml ir </w:t>
      </w:r>
      <w:proofErr w:type="spellStart"/>
      <w:r w:rsidRPr="00162DB2">
        <w:rPr>
          <w:rFonts w:ascii="Times New Roman" w:eastAsia="Calibri" w:hAnsi="Times New Roman" w:cs="Times New Roman"/>
          <w:bCs/>
          <w:lang w:eastAsia="lt-LT"/>
        </w:rPr>
        <w:t>Hb</w:t>
      </w:r>
      <w:proofErr w:type="spellEnd"/>
      <w:r w:rsidRPr="00162DB2">
        <w:rPr>
          <w:rFonts w:ascii="Times New Roman" w:eastAsia="Calibri" w:hAnsi="Times New Roman" w:cs="Times New Roman"/>
          <w:bCs/>
          <w:lang w:eastAsia="lt-LT"/>
        </w:rPr>
        <w:t xml:space="preserve"> &gt; 6,5 g/dl, matuojant &gt; 12 valandų po gimdymo. Moterys buvo suskirstytos atsitiktiniu būdu, santykiu 1:1, skiriant 1200 mg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vienkartinę dozę arba taikant standartinę medicininę priežiūrą. Pirminė vertinamoji baigtis buvo apibūdinta kaip fizinio nuovargio per 12 savaičių po gimdymo jutimas. Apibendrinant rezultatus, per 12 savaičių po gimdymo, fizinis nuovargis buvo -0,97 (p=0,006)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naudai.</w:t>
      </w:r>
      <w:r w:rsidRPr="00162DB2">
        <w:rPr>
          <w:rFonts w:ascii="Times New Roman" w:eastAsia="Calibri" w:hAnsi="Times New Roman" w:cs="Times New Roman"/>
          <w:bCs/>
          <w:lang w:eastAsia="lt-LT"/>
        </w:rPr>
        <w:br/>
        <w:t xml:space="preserve"> </w:t>
      </w:r>
    </w:p>
    <w:p w14:paraId="1FCAA64E"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5.2</w:t>
      </w:r>
      <w:r w:rsidRPr="00162DB2">
        <w:rPr>
          <w:rFonts w:ascii="Times New Roman" w:eastAsia="Calibri" w:hAnsi="Times New Roman" w:cs="Times New Roman"/>
          <w:b/>
          <w:bCs/>
          <w:lang w:eastAsia="lt-LT"/>
        </w:rPr>
        <w:tab/>
      </w:r>
      <w:proofErr w:type="spellStart"/>
      <w:r w:rsidRPr="00162DB2">
        <w:rPr>
          <w:rFonts w:ascii="Times New Roman" w:eastAsia="Calibri" w:hAnsi="Times New Roman" w:cs="Times New Roman"/>
          <w:b/>
          <w:bCs/>
          <w:lang w:eastAsia="lt-LT"/>
        </w:rPr>
        <w:t>Farmakokinetinės</w:t>
      </w:r>
      <w:proofErr w:type="spellEnd"/>
      <w:r w:rsidRPr="00162DB2">
        <w:rPr>
          <w:rFonts w:ascii="Times New Roman" w:eastAsia="Calibri" w:hAnsi="Times New Roman" w:cs="Times New Roman"/>
          <w:b/>
          <w:bCs/>
          <w:lang w:eastAsia="lt-LT"/>
        </w:rPr>
        <w:t xml:space="preserve"> savybės</w:t>
      </w:r>
    </w:p>
    <w:p w14:paraId="3C5AC15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0B74F7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forma yra komplekse stipriomis jungtimis prijungta geležis. Ši forma suteikia galimybę kontroliuojamam ir lėtam </w:t>
      </w:r>
      <w:proofErr w:type="spellStart"/>
      <w:r w:rsidRPr="00162DB2">
        <w:rPr>
          <w:rFonts w:ascii="Times New Roman" w:eastAsia="Calibri" w:hAnsi="Times New Roman" w:cs="Times New Roman"/>
          <w:lang w:eastAsia="lt-LT"/>
        </w:rPr>
        <w:t>bioprieinamo</w:t>
      </w:r>
      <w:proofErr w:type="spellEnd"/>
      <w:r w:rsidRPr="00162DB2">
        <w:rPr>
          <w:rFonts w:ascii="Times New Roman" w:eastAsia="Calibri" w:hAnsi="Times New Roman" w:cs="Times New Roman"/>
          <w:lang w:eastAsia="lt-LT"/>
        </w:rPr>
        <w:t xml:space="preserve"> geležies atsipalaidavimui į geležį sujungiančius baltymus su nedideliu atsipalaidavusio laisvo geležies </w:t>
      </w:r>
      <w:proofErr w:type="spellStart"/>
      <w:r w:rsidRPr="00162DB2">
        <w:rPr>
          <w:rFonts w:ascii="Times New Roman" w:eastAsia="Calibri" w:hAnsi="Times New Roman" w:cs="Times New Roman"/>
          <w:lang w:eastAsia="lt-LT"/>
        </w:rPr>
        <w:t>toksiškumo</w:t>
      </w:r>
      <w:proofErr w:type="spellEnd"/>
      <w:r w:rsidRPr="00162DB2">
        <w:rPr>
          <w:rFonts w:ascii="Times New Roman" w:eastAsia="Calibri" w:hAnsi="Times New Roman" w:cs="Times New Roman"/>
          <w:lang w:eastAsia="lt-LT"/>
        </w:rPr>
        <w:t xml:space="preserve"> pavojumi. </w:t>
      </w:r>
      <w:proofErr w:type="spellStart"/>
      <w:r w:rsidRPr="00162DB2">
        <w:rPr>
          <w:rFonts w:ascii="Times New Roman" w:eastAsia="Calibri" w:hAnsi="Times New Roman" w:cs="Times New Roman"/>
          <w:lang w:eastAsia="lt-LT"/>
        </w:rPr>
        <w:t>Farmakokinetinių</w:t>
      </w:r>
      <w:proofErr w:type="spellEnd"/>
      <w:r w:rsidRPr="00162DB2">
        <w:rPr>
          <w:rFonts w:ascii="Times New Roman" w:eastAsia="Calibri" w:hAnsi="Times New Roman" w:cs="Times New Roman"/>
          <w:lang w:eastAsia="lt-LT"/>
        </w:rPr>
        <w:t xml:space="preserve"> tyrimų metu skiriant nuo 100 iki 1000 mg vienkartinę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dozę injekcijos arba infuzijos būdu vaisto pašalinamo iš kraujo plazmos </w:t>
      </w:r>
      <w:proofErr w:type="spellStart"/>
      <w:r w:rsidRPr="00162DB2">
        <w:rPr>
          <w:rFonts w:ascii="Times New Roman" w:eastAsia="Calibri" w:hAnsi="Times New Roman" w:cs="Times New Roman"/>
          <w:lang w:eastAsia="lt-LT"/>
        </w:rPr>
        <w:t>pusperiodis</w:t>
      </w:r>
      <w:proofErr w:type="spellEnd"/>
      <w:r w:rsidRPr="00162DB2">
        <w:rPr>
          <w:rFonts w:ascii="Times New Roman" w:eastAsia="Calibri" w:hAnsi="Times New Roman" w:cs="Times New Roman"/>
          <w:lang w:eastAsia="lt-LT"/>
        </w:rPr>
        <w:t xml:space="preserve"> svyravo nuo 1 iki 4 dienų. Vaisto pašalinimas per inkstus buvo nežymus. </w:t>
      </w:r>
    </w:p>
    <w:p w14:paraId="1370588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8020EA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Po geležies </w:t>
      </w:r>
      <w:proofErr w:type="spellStart"/>
      <w:r>
        <w:rPr>
          <w:rFonts w:ascii="Times New Roman" w:eastAsia="Calibri" w:hAnsi="Times New Roman" w:cs="Times New Roman"/>
          <w:lang w:eastAsia="lt-LT"/>
        </w:rPr>
        <w:t>derisomaltozės</w:t>
      </w:r>
      <w:proofErr w:type="spellEnd"/>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 xml:space="preserve">komplekso infuzijos į veną, jis yra greitai paimamas </w:t>
      </w:r>
      <w:proofErr w:type="spellStart"/>
      <w:r w:rsidRPr="00162DB2">
        <w:rPr>
          <w:rFonts w:ascii="Times New Roman" w:eastAsia="Calibri" w:hAnsi="Times New Roman" w:cs="Times New Roman"/>
          <w:lang w:eastAsia="lt-LT"/>
        </w:rPr>
        <w:t>retikuloendotelinių</w:t>
      </w:r>
      <w:proofErr w:type="spellEnd"/>
      <w:r w:rsidRPr="00162DB2">
        <w:rPr>
          <w:rFonts w:ascii="Times New Roman" w:eastAsia="Calibri" w:hAnsi="Times New Roman" w:cs="Times New Roman"/>
          <w:lang w:eastAsia="lt-LT"/>
        </w:rPr>
        <w:t xml:space="preserve"> ląstelių sistemos (RES), ypatingai kepenyse ir blužnyje, iš kur geležis lėtai atpalaiduojama. </w:t>
      </w:r>
    </w:p>
    <w:p w14:paraId="61F85A6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Cirkuliuojančią plazmoje geležį sugauna </w:t>
      </w:r>
      <w:proofErr w:type="spellStart"/>
      <w:r w:rsidRPr="00162DB2">
        <w:rPr>
          <w:rFonts w:ascii="Times New Roman" w:eastAsia="Calibri" w:hAnsi="Times New Roman" w:cs="Times New Roman"/>
          <w:lang w:eastAsia="lt-LT"/>
        </w:rPr>
        <w:t>retikuloendotelinės</w:t>
      </w:r>
      <w:proofErr w:type="spellEnd"/>
      <w:r w:rsidRPr="00162DB2">
        <w:rPr>
          <w:rFonts w:ascii="Times New Roman" w:eastAsia="Calibri" w:hAnsi="Times New Roman" w:cs="Times New Roman"/>
          <w:lang w:eastAsia="lt-LT"/>
        </w:rPr>
        <w:t xml:space="preserve"> sistemos ląstelės, kurios kompleksą išskaido į komponentus </w:t>
      </w:r>
      <w:r w:rsidRPr="00162DB2">
        <w:rPr>
          <w:rFonts w:ascii="Times New Roman" w:eastAsia="Calibri" w:hAnsi="Times New Roman" w:cs="Times New Roman"/>
          <w:lang w:eastAsia="lt-LT"/>
        </w:rPr>
        <w:sym w:font="Symbol" w:char="F02D"/>
      </w:r>
      <w:r w:rsidRPr="00162DB2">
        <w:rPr>
          <w:rFonts w:ascii="Times New Roman" w:eastAsia="Calibri" w:hAnsi="Times New Roman" w:cs="Times New Roman"/>
          <w:lang w:eastAsia="lt-LT"/>
        </w:rPr>
        <w:t xml:space="preserve"> į geležį ir </w:t>
      </w:r>
      <w:proofErr w:type="spellStart"/>
      <w:r>
        <w:rPr>
          <w:rFonts w:ascii="Times New Roman" w:eastAsia="Calibri" w:hAnsi="Times New Roman" w:cs="Times New Roman"/>
          <w:lang w:eastAsia="lt-LT"/>
        </w:rPr>
        <w:t>derisomaltozę</w:t>
      </w:r>
      <w:proofErr w:type="spellEnd"/>
      <w:r w:rsidRPr="00162DB2">
        <w:rPr>
          <w:rFonts w:ascii="Times New Roman" w:eastAsia="Calibri" w:hAnsi="Times New Roman" w:cs="Times New Roman"/>
          <w:lang w:eastAsia="lt-LT"/>
        </w:rPr>
        <w:t xml:space="preserve">. Geležis yra iš karto sujungiama su prieinama baltymų dalimi, formuojant </w:t>
      </w:r>
      <w:proofErr w:type="spellStart"/>
      <w:r w:rsidRPr="00162DB2">
        <w:rPr>
          <w:rFonts w:ascii="Times New Roman" w:eastAsia="Calibri" w:hAnsi="Times New Roman" w:cs="Times New Roman"/>
          <w:lang w:eastAsia="lt-LT"/>
        </w:rPr>
        <w:t>hemosideriną</w:t>
      </w:r>
      <w:proofErr w:type="spellEnd"/>
      <w:r w:rsidRPr="00162DB2">
        <w:rPr>
          <w:rFonts w:ascii="Times New Roman" w:eastAsia="Calibri" w:hAnsi="Times New Roman" w:cs="Times New Roman"/>
          <w:lang w:eastAsia="lt-LT"/>
        </w:rPr>
        <w:t xml:space="preserve"> arba </w:t>
      </w:r>
      <w:proofErr w:type="spellStart"/>
      <w:r w:rsidRPr="00162DB2">
        <w:rPr>
          <w:rFonts w:ascii="Times New Roman" w:eastAsia="Calibri" w:hAnsi="Times New Roman" w:cs="Times New Roman"/>
          <w:lang w:eastAsia="lt-LT"/>
        </w:rPr>
        <w:t>feritiną</w:t>
      </w:r>
      <w:proofErr w:type="spellEnd"/>
      <w:r w:rsidRPr="00162DB2">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sym w:font="Symbol" w:char="F02D"/>
      </w:r>
      <w:r w:rsidRPr="00162DB2">
        <w:rPr>
          <w:rFonts w:ascii="Times New Roman" w:eastAsia="Calibri" w:hAnsi="Times New Roman" w:cs="Times New Roman"/>
          <w:lang w:eastAsia="lt-LT"/>
        </w:rPr>
        <w:t xml:space="preserve"> fiziologines geležies formas, arba mažesnė jos dalis su </w:t>
      </w:r>
      <w:proofErr w:type="spellStart"/>
      <w:r w:rsidRPr="00162DB2">
        <w:rPr>
          <w:rFonts w:ascii="Times New Roman" w:eastAsia="Calibri" w:hAnsi="Times New Roman" w:cs="Times New Roman"/>
          <w:lang w:eastAsia="lt-LT"/>
        </w:rPr>
        <w:t>transferinu</w:t>
      </w:r>
      <w:proofErr w:type="spellEnd"/>
      <w:r w:rsidRPr="00162DB2">
        <w:rPr>
          <w:rFonts w:ascii="Times New Roman" w:eastAsia="Calibri" w:hAnsi="Times New Roman" w:cs="Times New Roman"/>
          <w:lang w:eastAsia="lt-LT"/>
        </w:rPr>
        <w:t>. Ši geležis yra naudojama hemoglobinui gaminti ir geležies atsargoms papildyti.</w:t>
      </w:r>
    </w:p>
    <w:p w14:paraId="0FB0A85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735D3D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Geležis nėra lengvai pašalinama iš organizmo ir jos kaupimasis gali būti toksiškas. Dėl geležies komplekso dydžio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nėra šalinamas per inkstus. Nedidelis geležies kiekis yra šalinamas su šlapimu ir išmatomis.</w:t>
      </w:r>
    </w:p>
    <w:p w14:paraId="370BA8B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554E36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roofErr w:type="spellStart"/>
      <w:r>
        <w:rPr>
          <w:rFonts w:ascii="Times New Roman" w:eastAsia="Calibri" w:hAnsi="Times New Roman" w:cs="Times New Roman"/>
          <w:bCs/>
          <w:lang w:eastAsia="lt-LT"/>
        </w:rPr>
        <w:t>Derisomaltozė</w:t>
      </w:r>
      <w:proofErr w:type="spellEnd"/>
      <w:r w:rsidRPr="00162DB2">
        <w:rPr>
          <w:rFonts w:ascii="Times New Roman" w:eastAsia="Calibri" w:hAnsi="Times New Roman" w:cs="Times New Roman"/>
          <w:bCs/>
          <w:lang w:eastAsia="lt-LT"/>
        </w:rPr>
        <w:t xml:space="preserve"> yra arba </w:t>
      </w:r>
      <w:proofErr w:type="spellStart"/>
      <w:r w:rsidRPr="00162DB2">
        <w:rPr>
          <w:rFonts w:ascii="Times New Roman" w:eastAsia="Calibri" w:hAnsi="Times New Roman" w:cs="Times New Roman"/>
          <w:bCs/>
          <w:lang w:eastAsia="lt-LT"/>
        </w:rPr>
        <w:t>metabolizuojamas</w:t>
      </w:r>
      <w:proofErr w:type="spellEnd"/>
      <w:r w:rsidRPr="00162DB2">
        <w:rPr>
          <w:rFonts w:ascii="Times New Roman" w:eastAsia="Calibri" w:hAnsi="Times New Roman" w:cs="Times New Roman"/>
          <w:bCs/>
          <w:lang w:eastAsia="lt-LT"/>
        </w:rPr>
        <w:t>, arba pašalinamas.</w:t>
      </w:r>
    </w:p>
    <w:p w14:paraId="34A5B01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5361B7AD"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5.3</w:t>
      </w:r>
      <w:r w:rsidRPr="00162DB2">
        <w:rPr>
          <w:rFonts w:ascii="Times New Roman" w:eastAsia="Calibri" w:hAnsi="Times New Roman" w:cs="Times New Roman"/>
          <w:b/>
          <w:lang w:eastAsia="lt-LT"/>
        </w:rPr>
        <w:tab/>
      </w:r>
      <w:proofErr w:type="spellStart"/>
      <w:r w:rsidRPr="00162DB2">
        <w:rPr>
          <w:rFonts w:ascii="Times New Roman" w:eastAsia="Calibri" w:hAnsi="Times New Roman" w:cs="Times New Roman"/>
          <w:b/>
          <w:lang w:eastAsia="lt-LT"/>
        </w:rPr>
        <w:t>Ikiklinikinių</w:t>
      </w:r>
      <w:proofErr w:type="spellEnd"/>
      <w:r w:rsidRPr="00162DB2">
        <w:rPr>
          <w:rFonts w:ascii="Times New Roman" w:eastAsia="Calibri" w:hAnsi="Times New Roman" w:cs="Times New Roman"/>
          <w:b/>
          <w:lang w:eastAsia="lt-LT"/>
        </w:rPr>
        <w:t xml:space="preserve"> saugumo tyrimų duomenys</w:t>
      </w:r>
    </w:p>
    <w:p w14:paraId="66D046B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F3565F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Įrodyta, kad geležies kompleksai pasižymi </w:t>
      </w:r>
      <w:proofErr w:type="spellStart"/>
      <w:r w:rsidRPr="00162DB2">
        <w:rPr>
          <w:rFonts w:ascii="Times New Roman" w:eastAsia="Calibri" w:hAnsi="Times New Roman" w:cs="Times New Roman"/>
          <w:lang w:eastAsia="lt-LT"/>
        </w:rPr>
        <w:t>teratogeniniu</w:t>
      </w:r>
      <w:proofErr w:type="spellEnd"/>
      <w:r w:rsidRPr="00162DB2">
        <w:rPr>
          <w:rFonts w:ascii="Times New Roman" w:eastAsia="Calibri" w:hAnsi="Times New Roman" w:cs="Times New Roman"/>
          <w:lang w:eastAsia="lt-LT"/>
        </w:rPr>
        <w:t xml:space="preserve"> ir </w:t>
      </w:r>
      <w:proofErr w:type="spellStart"/>
      <w:r w:rsidRPr="00162DB2">
        <w:rPr>
          <w:rFonts w:ascii="Times New Roman" w:eastAsia="Calibri" w:hAnsi="Times New Roman" w:cs="Times New Roman"/>
          <w:lang w:eastAsia="lt-LT"/>
        </w:rPr>
        <w:t>embriotoksiniu</w:t>
      </w:r>
      <w:proofErr w:type="spellEnd"/>
      <w:r w:rsidRPr="00162DB2">
        <w:rPr>
          <w:rFonts w:ascii="Times New Roman" w:eastAsia="Calibri" w:hAnsi="Times New Roman" w:cs="Times New Roman"/>
          <w:lang w:eastAsia="lt-LT"/>
        </w:rPr>
        <w:t xml:space="preserve"> poveikiu, kai juos vartoja anemija nesergantys, besilaukiantys gyvūnai didelėmis dozėmis, didesnėmis negu 125 mg/kg. Didžiausia rekomenduojama klinikinė dozė yra 20 mg/kg. </w:t>
      </w:r>
    </w:p>
    <w:p w14:paraId="1E94C6B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C99019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vaisingumo tyrimas su žiurkėmis neparodė poveikio patelių vaisingumui arba patinėlių reprodukcinei funkcijai bei </w:t>
      </w:r>
      <w:proofErr w:type="spellStart"/>
      <w:r w:rsidRPr="00162DB2">
        <w:rPr>
          <w:rFonts w:ascii="Times New Roman" w:eastAsia="Calibri" w:hAnsi="Times New Roman" w:cs="Times New Roman"/>
          <w:bCs/>
          <w:lang w:eastAsia="lt-LT"/>
        </w:rPr>
        <w:t>spermatogeniniams</w:t>
      </w:r>
      <w:proofErr w:type="spellEnd"/>
      <w:r w:rsidRPr="00162DB2">
        <w:rPr>
          <w:rFonts w:ascii="Times New Roman" w:eastAsia="Calibri" w:hAnsi="Times New Roman" w:cs="Times New Roman"/>
          <w:bCs/>
          <w:lang w:eastAsia="lt-LT"/>
        </w:rPr>
        <w:t xml:space="preserve"> parametrams, esant visiems dozėms lygiams.</w:t>
      </w:r>
    </w:p>
    <w:p w14:paraId="24E01D1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caps/>
          <w:lang w:eastAsia="lt-LT"/>
        </w:rPr>
      </w:pPr>
    </w:p>
    <w:p w14:paraId="44C987A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caps/>
          <w:lang w:eastAsia="lt-LT"/>
        </w:rPr>
      </w:pPr>
    </w:p>
    <w:p w14:paraId="0266BCC9"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bCs/>
          <w:caps/>
          <w:lang w:eastAsia="lt-LT"/>
        </w:rPr>
      </w:pPr>
      <w:r w:rsidRPr="00162DB2">
        <w:rPr>
          <w:rFonts w:ascii="Times New Roman" w:eastAsia="Calibri" w:hAnsi="Times New Roman" w:cs="Times New Roman"/>
          <w:b/>
          <w:bCs/>
          <w:caps/>
          <w:lang w:eastAsia="lt-LT"/>
        </w:rPr>
        <w:t>6.</w:t>
      </w:r>
      <w:r w:rsidRPr="00162DB2">
        <w:rPr>
          <w:rFonts w:ascii="Times New Roman" w:eastAsia="Calibri" w:hAnsi="Times New Roman" w:cs="Times New Roman"/>
          <w:b/>
          <w:bCs/>
          <w:caps/>
          <w:lang w:eastAsia="lt-LT"/>
        </w:rPr>
        <w:tab/>
        <w:t>FARMACINĖ INFORMACIJA</w:t>
      </w:r>
    </w:p>
    <w:p w14:paraId="3A6522B1"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
          <w:u w:val="single"/>
          <w:lang w:eastAsia="lt-LT"/>
        </w:rPr>
      </w:pPr>
    </w:p>
    <w:p w14:paraId="54F0B891" w14:textId="77777777" w:rsidR="005A24FA" w:rsidRPr="00162DB2" w:rsidRDefault="005A24FA" w:rsidP="005A24FA">
      <w:pPr>
        <w:tabs>
          <w:tab w:val="left" w:pos="120"/>
          <w:tab w:val="left" w:pos="567"/>
          <w:tab w:val="left" w:pos="7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
          <w:bCs/>
          <w:lang w:eastAsia="lt-LT"/>
        </w:rPr>
        <w:t>6.1</w:t>
      </w:r>
      <w:r w:rsidRPr="00162DB2">
        <w:rPr>
          <w:rFonts w:ascii="Times New Roman" w:eastAsia="Calibri" w:hAnsi="Times New Roman" w:cs="Times New Roman"/>
          <w:b/>
          <w:bCs/>
          <w:lang w:eastAsia="lt-LT"/>
        </w:rPr>
        <w:tab/>
        <w:t>Pagalbinių medžiagų sąrašas</w:t>
      </w:r>
    </w:p>
    <w:p w14:paraId="31E5827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CCB0FBB"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Injekcinis vanduo</w:t>
      </w:r>
    </w:p>
    <w:p w14:paraId="2527667B"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Natrio </w:t>
      </w:r>
      <w:proofErr w:type="spellStart"/>
      <w:r w:rsidRPr="00162DB2">
        <w:rPr>
          <w:rFonts w:ascii="Times New Roman" w:eastAsia="Calibri" w:hAnsi="Times New Roman" w:cs="Times New Roman"/>
          <w:lang w:eastAsia="lt-LT"/>
        </w:rPr>
        <w:t>hidroksidas</w:t>
      </w:r>
      <w:proofErr w:type="spellEnd"/>
      <w:r w:rsidRPr="00162DB2">
        <w:rPr>
          <w:rFonts w:ascii="Times New Roman" w:eastAsia="Calibri" w:hAnsi="Times New Roman" w:cs="Times New Roman"/>
          <w:lang w:eastAsia="lt-LT"/>
        </w:rPr>
        <w:t xml:space="preserve"> (pH koreguoti)</w:t>
      </w:r>
    </w:p>
    <w:p w14:paraId="73934596"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Vandenilio chlorido rūgštis (pH koreguoti)</w:t>
      </w:r>
    </w:p>
    <w:p w14:paraId="73E18194"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p>
    <w:p w14:paraId="2D34EECC"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6.2</w:t>
      </w:r>
      <w:r w:rsidRPr="00162DB2">
        <w:rPr>
          <w:rFonts w:ascii="Times New Roman" w:eastAsia="Calibri" w:hAnsi="Times New Roman" w:cs="Times New Roman"/>
          <w:b/>
          <w:bCs/>
          <w:lang w:eastAsia="lt-LT"/>
        </w:rPr>
        <w:tab/>
        <w:t>Nesuderinamumas</w:t>
      </w:r>
    </w:p>
    <w:p w14:paraId="62B9CE77"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p>
    <w:p w14:paraId="0D329A94" w14:textId="77777777" w:rsidR="005A24FA" w:rsidRPr="00162DB2" w:rsidRDefault="005A24FA" w:rsidP="005A24FA">
      <w:pPr>
        <w:tabs>
          <w:tab w:val="left" w:pos="567"/>
          <w:tab w:val="left" w:pos="851"/>
          <w:tab w:val="left" w:pos="900"/>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Šio vaistinio preparato negalima maišyti su kitais, išskyrus nurodytus 6.6 skyriuje.</w:t>
      </w:r>
    </w:p>
    <w:p w14:paraId="6960D018"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p>
    <w:p w14:paraId="421C08A1"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6.3</w:t>
      </w:r>
      <w:r w:rsidRPr="00162DB2">
        <w:rPr>
          <w:rFonts w:ascii="Times New Roman" w:eastAsia="Calibri" w:hAnsi="Times New Roman" w:cs="Times New Roman"/>
          <w:b/>
          <w:bCs/>
          <w:lang w:eastAsia="lt-LT"/>
        </w:rPr>
        <w:tab/>
        <w:t>Tinkamumo laikas</w:t>
      </w:r>
    </w:p>
    <w:p w14:paraId="4883CF2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3AEA34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lang w:eastAsia="lt-LT"/>
        </w:rPr>
      </w:pPr>
      <w:r w:rsidRPr="00162DB2">
        <w:rPr>
          <w:rFonts w:ascii="Times New Roman" w:eastAsia="Calibri" w:hAnsi="Times New Roman" w:cs="Times New Roman"/>
          <w:i/>
          <w:lang w:eastAsia="lt-LT"/>
        </w:rPr>
        <w:t xml:space="preserve">Pardavimui skirta ampulių pakuotė </w:t>
      </w:r>
    </w:p>
    <w:p w14:paraId="5DBB60D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3 metai</w:t>
      </w:r>
    </w:p>
    <w:p w14:paraId="787E135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17B882D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lang w:eastAsia="lt-LT"/>
        </w:rPr>
      </w:pPr>
      <w:r w:rsidRPr="00162DB2">
        <w:rPr>
          <w:rFonts w:ascii="Times New Roman" w:eastAsia="Calibri" w:hAnsi="Times New Roman" w:cs="Times New Roman"/>
          <w:i/>
          <w:lang w:eastAsia="lt-LT"/>
        </w:rPr>
        <w:t>Pardavimui skirta flakonų pakuotė</w:t>
      </w:r>
    </w:p>
    <w:p w14:paraId="1C7F44C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3 metai</w:t>
      </w:r>
    </w:p>
    <w:p w14:paraId="597F1AC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C3327D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lang w:eastAsia="lt-LT"/>
        </w:rPr>
      </w:pPr>
      <w:r w:rsidRPr="00162DB2">
        <w:rPr>
          <w:rFonts w:ascii="Times New Roman" w:eastAsia="Calibri" w:hAnsi="Times New Roman" w:cs="Times New Roman"/>
          <w:i/>
          <w:lang w:eastAsia="lt-LT"/>
        </w:rPr>
        <w:t>Tinkamumo laikas po pirmojo atidarymo (neskiedžiant)</w:t>
      </w:r>
    </w:p>
    <w:p w14:paraId="518D7F3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C56155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Mikrobiologiniu požiūriu, preparatas turi būti suvartotas iš karto, nebent atidarymo metodas neleidžia atsirasti mikrobiologinei taršai.</w:t>
      </w:r>
    </w:p>
    <w:p w14:paraId="4D7E1CA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A1CF46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 jis tuoj pat nevartojamas, už laikymo trukmę vartojimo metu ir sąlygas atsako vartotojas.</w:t>
      </w:r>
    </w:p>
    <w:p w14:paraId="43D9CC5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15802DA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lang w:eastAsia="lt-LT"/>
        </w:rPr>
      </w:pPr>
      <w:r w:rsidRPr="00162DB2">
        <w:rPr>
          <w:rFonts w:ascii="Times New Roman" w:eastAsia="Calibri" w:hAnsi="Times New Roman" w:cs="Times New Roman"/>
          <w:i/>
          <w:lang w:eastAsia="lt-LT"/>
        </w:rPr>
        <w:t>Tinkamumo laikas po praskiedimo steriliu 0,9% natrio chlorido tirpalu</w:t>
      </w:r>
    </w:p>
    <w:p w14:paraId="7163F43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29C198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Mikrobiologiniu požiūriu, preparatas turi būti suvartotas iš karto. </w:t>
      </w:r>
    </w:p>
    <w:p w14:paraId="598C112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p>
    <w:p w14:paraId="6D7AFF73"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6.4</w:t>
      </w:r>
      <w:r w:rsidRPr="00162DB2">
        <w:rPr>
          <w:rFonts w:ascii="Times New Roman" w:eastAsia="Calibri" w:hAnsi="Times New Roman" w:cs="Times New Roman"/>
          <w:b/>
          <w:bCs/>
          <w:lang w:eastAsia="lt-LT"/>
        </w:rPr>
        <w:tab/>
        <w:t>Specialios laikymo sąlygos</w:t>
      </w:r>
    </w:p>
    <w:p w14:paraId="22A6C967"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p>
    <w:p w14:paraId="73893A2C"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Šiam vaistiniam preparatui specialių laikymo sąlygų nereikia.</w:t>
      </w:r>
    </w:p>
    <w:p w14:paraId="7289AE4E"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Praskiesto tirpalo laikymo sąlygos pateikiamos</w:t>
      </w:r>
      <w:r w:rsidRPr="00162DB2">
        <w:rPr>
          <w:rFonts w:ascii="Times New Roman" w:eastAsia="SimSun" w:hAnsi="Times New Roman" w:cs="Times New Roman"/>
          <w:lang w:eastAsia="lt-LT"/>
        </w:rPr>
        <w:t xml:space="preserve"> </w:t>
      </w:r>
      <w:r w:rsidRPr="00162DB2">
        <w:rPr>
          <w:rFonts w:ascii="Times New Roman" w:eastAsia="Calibri" w:hAnsi="Times New Roman" w:cs="Times New Roman"/>
          <w:lang w:eastAsia="lt-LT"/>
        </w:rPr>
        <w:t>6.3 skyriuje.</w:t>
      </w:r>
    </w:p>
    <w:p w14:paraId="26F0DE26"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p>
    <w:p w14:paraId="01871C5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b/>
          <w:bCs/>
          <w:lang w:eastAsia="lt-LT"/>
        </w:rPr>
        <w:t>6.5</w:t>
      </w:r>
      <w:r w:rsidRPr="00162DB2">
        <w:rPr>
          <w:rFonts w:ascii="Times New Roman" w:eastAsia="Calibri" w:hAnsi="Times New Roman" w:cs="Times New Roman"/>
          <w:b/>
          <w:bCs/>
          <w:lang w:eastAsia="lt-LT"/>
        </w:rPr>
        <w:tab/>
      </w:r>
      <w:proofErr w:type="spellStart"/>
      <w:r w:rsidRPr="00162DB2">
        <w:rPr>
          <w:rFonts w:ascii="Times New Roman" w:eastAsia="Calibri" w:hAnsi="Times New Roman" w:cs="Times New Roman"/>
          <w:b/>
          <w:bCs/>
          <w:lang w:eastAsia="lt-LT"/>
        </w:rPr>
        <w:t>Talpyklės</w:t>
      </w:r>
      <w:proofErr w:type="spellEnd"/>
      <w:r w:rsidRPr="00162DB2">
        <w:rPr>
          <w:rFonts w:ascii="Times New Roman" w:eastAsia="Calibri" w:hAnsi="Times New Roman" w:cs="Times New Roman"/>
          <w:b/>
          <w:bCs/>
          <w:lang w:eastAsia="lt-LT"/>
        </w:rPr>
        <w:t xml:space="preserve"> pobūdis ir jos turinys</w:t>
      </w:r>
    </w:p>
    <w:p w14:paraId="3757FD5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59EDF7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I tipo stiklo ampulė. </w:t>
      </w:r>
    </w:p>
    <w:p w14:paraId="7AF02DB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Pakuotės dydžiai: 5 × 1 ml, 10 × 1 ml, 5 × 2 ml, 10 × 2 ml, 2 × 5 ml, 5 × 5 ml, 2 × 10 ml ir 5 × 10 ml.</w:t>
      </w:r>
    </w:p>
    <w:p w14:paraId="6B1618D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9C3269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I tipo stiklo flakonas su </w:t>
      </w:r>
      <w:proofErr w:type="spellStart"/>
      <w:r w:rsidRPr="00162DB2">
        <w:rPr>
          <w:rFonts w:ascii="Times New Roman" w:eastAsia="Calibri" w:hAnsi="Times New Roman" w:cs="Times New Roman"/>
          <w:lang w:eastAsia="lt-LT"/>
        </w:rPr>
        <w:t>chlorobutilo</w:t>
      </w:r>
      <w:proofErr w:type="spellEnd"/>
      <w:r w:rsidRPr="00162DB2">
        <w:rPr>
          <w:rFonts w:ascii="Times New Roman" w:eastAsia="Calibri" w:hAnsi="Times New Roman" w:cs="Times New Roman"/>
          <w:lang w:eastAsia="lt-LT"/>
        </w:rPr>
        <w:t xml:space="preserve"> gumos kamščiu ir aliuminio dangteliu.</w:t>
      </w:r>
    </w:p>
    <w:p w14:paraId="5EACB49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Pakuotės dydžiai: 1 x 1 ml, 5 × 1 ml, 10 × 1 ml, 5 × 2 ml, 10 × 2 ml, 1 x 5 ml, 2 × 5 ml, 5 × 5 ml, </w:t>
      </w:r>
      <w:r w:rsidRPr="00162DB2">
        <w:rPr>
          <w:rFonts w:ascii="Times New Roman" w:eastAsia="Calibri" w:hAnsi="Times New Roman" w:cs="Times New Roman"/>
          <w:lang w:eastAsia="lt-LT"/>
        </w:rPr>
        <w:br/>
        <w:t>1 x 10 ml, 2 × 10 ml ir 5 × 10 ml.</w:t>
      </w:r>
    </w:p>
    <w:p w14:paraId="2298EC1C" w14:textId="77777777" w:rsidR="005A24FA" w:rsidRPr="00162DB2" w:rsidRDefault="005A24FA" w:rsidP="005A24FA">
      <w:pPr>
        <w:tabs>
          <w:tab w:val="left" w:pos="567"/>
          <w:tab w:val="left" w:pos="851"/>
        </w:tabs>
        <w:spacing w:after="0" w:line="240" w:lineRule="auto"/>
        <w:rPr>
          <w:rFonts w:ascii="Times New Roman" w:eastAsia="Calibri" w:hAnsi="Times New Roman" w:cs="Times New Roman"/>
          <w:lang w:eastAsia="lt-LT"/>
        </w:rPr>
      </w:pPr>
    </w:p>
    <w:p w14:paraId="5FA6AD2F" w14:textId="77777777" w:rsidR="005A24FA" w:rsidRPr="00162DB2" w:rsidRDefault="005A24FA" w:rsidP="005A24FA">
      <w:pPr>
        <w:tabs>
          <w:tab w:val="left" w:pos="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Gali būti tiekiamos ne visų dydžių pakuotės.</w:t>
      </w:r>
    </w:p>
    <w:p w14:paraId="184EDB10" w14:textId="77777777" w:rsidR="005A24FA" w:rsidRPr="00162DB2" w:rsidRDefault="005A24FA" w:rsidP="005A24FA">
      <w:pPr>
        <w:tabs>
          <w:tab w:val="left" w:pos="120"/>
          <w:tab w:val="left" w:pos="567"/>
        </w:tabs>
        <w:spacing w:after="0" w:line="240" w:lineRule="auto"/>
        <w:rPr>
          <w:rFonts w:ascii="Times New Roman" w:hAnsi="Times New Roman"/>
          <w:u w:val="single"/>
        </w:rPr>
      </w:pPr>
    </w:p>
    <w:p w14:paraId="2436B960"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6.6</w:t>
      </w:r>
      <w:r w:rsidRPr="00162DB2">
        <w:rPr>
          <w:rFonts w:ascii="Times New Roman" w:eastAsia="Calibri" w:hAnsi="Times New Roman" w:cs="Times New Roman"/>
          <w:b/>
          <w:bCs/>
          <w:lang w:eastAsia="lt-LT"/>
        </w:rPr>
        <w:tab/>
      </w:r>
      <w:r w:rsidRPr="00162DB2">
        <w:rPr>
          <w:rFonts w:ascii="Times New Roman" w:eastAsia="Calibri" w:hAnsi="Times New Roman" w:cs="Times New Roman"/>
          <w:b/>
          <w:lang w:eastAsia="lt-LT"/>
        </w:rPr>
        <w:t>Specialūs reikalavimai atliekoms tvarkyti ir vaistiniam preparatui ruošti</w:t>
      </w:r>
    </w:p>
    <w:p w14:paraId="6272531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6E9A00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Apžiūrėkite flakonus/ampules prieš vartojimą, ar nėra juose/jose nusėdusių dalelių ir pažeidimo žymių. Vartokite tik tuos, kuriuose nėra nuosėdų ir kurie yra homogeniški. </w:t>
      </w:r>
    </w:p>
    <w:p w14:paraId="5BADC34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429493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skirtas vienkartiniam vartojimui. Nesuvartotą tirpalą reikia tvarkyti laikantis vietinių reikalavimų</w:t>
      </w:r>
    </w:p>
    <w:p w14:paraId="2EEBB02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2D2BAB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maišomas tik su 0,9% natrio chlorido tirpalu. Negali būti vartojami jokie kiti į veną skiriamų preparatų skiedimo tirpalai. Negali būti pridedama jokių kitų vaistų. Kaip skiesti tirpalą, žiūrėkite 4.2 skyrių.</w:t>
      </w:r>
    </w:p>
    <w:p w14:paraId="0950D3F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br/>
        <w:t>Praskiestas injekcinis tirpalas prieš vartojimą turi būti apžiūrimas. Galima vartoti tik skaidrius, be nuosėdų tirpalus.</w:t>
      </w:r>
    </w:p>
    <w:p w14:paraId="7CDFB4D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D2A8D3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p>
    <w:p w14:paraId="5477D4BD"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caps/>
          <w:lang w:eastAsia="lt-LT"/>
        </w:rPr>
      </w:pPr>
      <w:r w:rsidRPr="00162DB2">
        <w:rPr>
          <w:rFonts w:ascii="Times New Roman" w:eastAsia="Calibri" w:hAnsi="Times New Roman" w:cs="Times New Roman"/>
          <w:b/>
          <w:bCs/>
          <w:caps/>
          <w:lang w:eastAsia="lt-LT"/>
        </w:rPr>
        <w:t>7.</w:t>
      </w:r>
      <w:r w:rsidRPr="00162DB2">
        <w:rPr>
          <w:rFonts w:ascii="Times New Roman" w:eastAsia="Calibri" w:hAnsi="Times New Roman" w:cs="Times New Roman"/>
          <w:b/>
          <w:bCs/>
          <w:caps/>
          <w:lang w:eastAsia="lt-LT"/>
        </w:rPr>
        <w:tab/>
      </w:r>
      <w:r w:rsidRPr="00162DB2">
        <w:rPr>
          <w:rFonts w:ascii="Times New Roman" w:eastAsia="Calibri" w:hAnsi="Times New Roman" w:cs="Times New Roman"/>
          <w:b/>
          <w:lang w:eastAsia="lt-LT"/>
        </w:rPr>
        <w:t>REGISTRUOTOJAS</w:t>
      </w:r>
    </w:p>
    <w:p w14:paraId="1429302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0B2810D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Pharmacosmos</w:t>
      </w:r>
      <w:proofErr w:type="spellEnd"/>
      <w:r w:rsidRPr="00162DB2">
        <w:rPr>
          <w:rFonts w:ascii="Times New Roman" w:eastAsia="Calibri" w:hAnsi="Times New Roman" w:cs="Times New Roman"/>
          <w:lang w:eastAsia="lt-LT"/>
        </w:rPr>
        <w:t xml:space="preserve"> A/S</w:t>
      </w:r>
    </w:p>
    <w:p w14:paraId="1B1A0FE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Roervangsvej</w:t>
      </w:r>
      <w:proofErr w:type="spellEnd"/>
      <w:r w:rsidRPr="00162DB2">
        <w:rPr>
          <w:rFonts w:ascii="Times New Roman" w:eastAsia="Calibri" w:hAnsi="Times New Roman" w:cs="Times New Roman"/>
          <w:lang w:eastAsia="lt-LT"/>
        </w:rPr>
        <w:t xml:space="preserve"> 30</w:t>
      </w:r>
    </w:p>
    <w:p w14:paraId="51E19D1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4300 </w:t>
      </w:r>
      <w:proofErr w:type="spellStart"/>
      <w:r w:rsidRPr="00162DB2">
        <w:rPr>
          <w:rFonts w:ascii="Times New Roman" w:eastAsia="Calibri" w:hAnsi="Times New Roman" w:cs="Times New Roman"/>
          <w:lang w:eastAsia="lt-LT"/>
        </w:rPr>
        <w:t>Holbaek</w:t>
      </w:r>
      <w:proofErr w:type="spellEnd"/>
    </w:p>
    <w:p w14:paraId="5754325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Danija</w:t>
      </w:r>
    </w:p>
    <w:p w14:paraId="541C8CF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65903F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FFA4749"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
          <w:bCs/>
          <w:caps/>
          <w:lang w:eastAsia="lt-LT"/>
        </w:rPr>
        <w:t>8.</w:t>
      </w:r>
      <w:r w:rsidRPr="00162DB2">
        <w:rPr>
          <w:rFonts w:ascii="Times New Roman" w:eastAsia="Calibri" w:hAnsi="Times New Roman" w:cs="Times New Roman"/>
          <w:b/>
          <w:bCs/>
          <w:caps/>
          <w:lang w:eastAsia="lt-LT"/>
        </w:rPr>
        <w:tab/>
      </w:r>
      <w:r w:rsidRPr="00162DB2">
        <w:rPr>
          <w:rFonts w:ascii="Times New Roman" w:eastAsia="Calibri" w:hAnsi="Times New Roman" w:cs="Times New Roman"/>
          <w:b/>
          <w:lang w:eastAsia="lt-LT"/>
        </w:rPr>
        <w:t xml:space="preserve">REGISTRACIJOS PAŽYMĖJIMO NUMERIS (-IAI)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5A24FA" w:rsidRPr="00162DB2" w14:paraId="5B6D54DA" w14:textId="77777777" w:rsidTr="00FA250C">
        <w:tc>
          <w:tcPr>
            <w:tcW w:w="4810" w:type="dxa"/>
          </w:tcPr>
          <w:p w14:paraId="3F8DC7EF" w14:textId="77777777" w:rsidR="005A24FA" w:rsidRPr="00162DB2" w:rsidRDefault="005A24FA" w:rsidP="00FA250C">
            <w:pPr>
              <w:tabs>
                <w:tab w:val="left" w:pos="120"/>
                <w:tab w:val="left" w:pos="567"/>
                <w:tab w:val="left" w:pos="900"/>
              </w:tabs>
              <w:spacing w:line="276" w:lineRule="auto"/>
              <w:rPr>
                <w:rFonts w:ascii="Times New Roman" w:eastAsia="Calibri" w:hAnsi="Times New Roman" w:cs="Times New Roman"/>
                <w:bCs/>
                <w:u w:val="single"/>
                <w:lang w:eastAsia="lt-LT"/>
              </w:rPr>
            </w:pPr>
          </w:p>
          <w:p w14:paraId="3D3C04F3" w14:textId="77777777" w:rsidR="005A24FA" w:rsidRPr="00162DB2" w:rsidRDefault="005A24FA" w:rsidP="00FA250C">
            <w:pPr>
              <w:tabs>
                <w:tab w:val="left" w:pos="120"/>
                <w:tab w:val="left" w:pos="567"/>
                <w:tab w:val="left" w:pos="900"/>
              </w:tabs>
              <w:spacing w:line="276" w:lineRule="auto"/>
              <w:rPr>
                <w:rFonts w:ascii="Times New Roman" w:eastAsia="Calibri" w:hAnsi="Times New Roman" w:cs="Times New Roman"/>
                <w:bCs/>
                <w:u w:val="single"/>
                <w:lang w:eastAsia="lt-LT"/>
              </w:rPr>
            </w:pPr>
            <w:r w:rsidRPr="00162DB2">
              <w:rPr>
                <w:rFonts w:ascii="Times New Roman" w:eastAsia="Calibri" w:hAnsi="Times New Roman" w:cs="Times New Roman"/>
                <w:bCs/>
                <w:u w:val="single"/>
                <w:lang w:eastAsia="lt-LT"/>
              </w:rPr>
              <w:t>Ampulė:</w:t>
            </w:r>
          </w:p>
          <w:p w14:paraId="4296B20C"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 ml, N5 – LT/1/10/1898/001</w:t>
            </w:r>
          </w:p>
          <w:p w14:paraId="2A39530C"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 ml, N10 – LT/1/10/1898/002</w:t>
            </w:r>
          </w:p>
          <w:p w14:paraId="7433C148"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2 ml, N5 – LT/1/10/1898/003</w:t>
            </w:r>
          </w:p>
          <w:p w14:paraId="008AE3C4"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2 ml, N10 – LT/1/10/1898/004</w:t>
            </w:r>
          </w:p>
          <w:p w14:paraId="6B508C60"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5 ml, N2 – LT/1/10/1898/005</w:t>
            </w:r>
          </w:p>
          <w:p w14:paraId="0C26253B"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5 ml, N5 – LT/1/10/1898/006</w:t>
            </w:r>
          </w:p>
          <w:p w14:paraId="2E6F0C18"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10 ml, N2 – LT/1/10/1898/007</w:t>
            </w:r>
          </w:p>
          <w:p w14:paraId="752FCF61" w14:textId="77777777" w:rsidR="005A24FA" w:rsidRPr="00162DB2" w:rsidRDefault="005A24FA" w:rsidP="00FA250C">
            <w:pPr>
              <w:spacing w:line="276" w:lineRule="auto"/>
              <w:rPr>
                <w:rFonts w:ascii="Times New Roman" w:eastAsia="Calibri" w:hAnsi="Times New Roman" w:cs="Times New Roman"/>
                <w:bCs/>
                <w:lang w:eastAsia="lt-LT"/>
              </w:rPr>
            </w:pPr>
            <w:r w:rsidRPr="00162DB2">
              <w:rPr>
                <w:rFonts w:ascii="Times New Roman" w:eastAsia="Calibri" w:hAnsi="Times New Roman" w:cs="Times New Roman"/>
                <w:lang w:eastAsia="lt-LT"/>
              </w:rPr>
              <w:t>10 ml, N5 – LT/1/10/1898/008</w:t>
            </w:r>
          </w:p>
        </w:tc>
        <w:tc>
          <w:tcPr>
            <w:tcW w:w="4810" w:type="dxa"/>
          </w:tcPr>
          <w:p w14:paraId="4633B433" w14:textId="77777777" w:rsidR="005A24FA" w:rsidRPr="00162DB2" w:rsidRDefault="005A24FA" w:rsidP="00FA250C">
            <w:pPr>
              <w:tabs>
                <w:tab w:val="left" w:pos="120"/>
                <w:tab w:val="left" w:pos="567"/>
                <w:tab w:val="left" w:pos="900"/>
              </w:tabs>
              <w:spacing w:line="276" w:lineRule="auto"/>
              <w:rPr>
                <w:rFonts w:ascii="Times New Roman" w:eastAsia="Calibri" w:hAnsi="Times New Roman" w:cs="Times New Roman"/>
                <w:bCs/>
                <w:u w:val="single"/>
                <w:lang w:eastAsia="lt-LT"/>
              </w:rPr>
            </w:pPr>
          </w:p>
          <w:p w14:paraId="4894DB06" w14:textId="77777777" w:rsidR="005A24FA" w:rsidRPr="00162DB2" w:rsidRDefault="005A24FA" w:rsidP="00FA250C">
            <w:pPr>
              <w:tabs>
                <w:tab w:val="left" w:pos="120"/>
                <w:tab w:val="left" w:pos="567"/>
                <w:tab w:val="left" w:pos="900"/>
              </w:tabs>
              <w:spacing w:line="276" w:lineRule="auto"/>
              <w:rPr>
                <w:rFonts w:ascii="Times New Roman" w:eastAsia="Calibri" w:hAnsi="Times New Roman" w:cs="Times New Roman"/>
                <w:bCs/>
                <w:u w:val="single"/>
                <w:lang w:eastAsia="lt-LT"/>
              </w:rPr>
            </w:pPr>
            <w:r w:rsidRPr="00162DB2">
              <w:rPr>
                <w:rFonts w:ascii="Times New Roman" w:eastAsia="Calibri" w:hAnsi="Times New Roman" w:cs="Times New Roman"/>
                <w:bCs/>
                <w:u w:val="single"/>
                <w:lang w:eastAsia="lt-LT"/>
              </w:rPr>
              <w:t>Flakonas:</w:t>
            </w:r>
          </w:p>
          <w:p w14:paraId="11A34E7F"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 ml, N1 – LT/1/10/1898/017</w:t>
            </w:r>
          </w:p>
          <w:p w14:paraId="41072565"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 ml, N5 – LT/1/10/1898/009</w:t>
            </w:r>
          </w:p>
          <w:p w14:paraId="4A326391"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 ml, N10 – LT/1/10/1898/010</w:t>
            </w:r>
          </w:p>
          <w:p w14:paraId="0A227D48"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2 ml, N5 – LT/1/10/1898/011</w:t>
            </w:r>
          </w:p>
          <w:p w14:paraId="682CF132"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2 ml, N10 – LT/1/10/1898/012</w:t>
            </w:r>
          </w:p>
          <w:p w14:paraId="1F2DF44A"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5 ml, N1 – LT/1/10/1898/018</w:t>
            </w:r>
          </w:p>
          <w:p w14:paraId="41018EA7"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5 ml, N2 – LT/1/10/1898/013</w:t>
            </w:r>
          </w:p>
          <w:p w14:paraId="73CA795A"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5 ml, N5 – LT/1/10/1898/014</w:t>
            </w:r>
          </w:p>
          <w:p w14:paraId="399E65FC"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10 ml, N1 – LT/1/10/1898/019</w:t>
            </w:r>
          </w:p>
          <w:p w14:paraId="0CBB4ACB" w14:textId="77777777" w:rsidR="005A24FA" w:rsidRPr="00162DB2" w:rsidRDefault="005A24FA" w:rsidP="00FA250C">
            <w:pPr>
              <w:spacing w:line="276" w:lineRule="auto"/>
              <w:rPr>
                <w:rFonts w:ascii="Times New Roman" w:eastAsia="Calibri" w:hAnsi="Times New Roman" w:cs="Times New Roman"/>
                <w:lang w:eastAsia="lt-LT"/>
              </w:rPr>
            </w:pPr>
            <w:r w:rsidRPr="00162DB2">
              <w:rPr>
                <w:rFonts w:ascii="Times New Roman" w:eastAsia="Calibri" w:hAnsi="Times New Roman" w:cs="Times New Roman"/>
                <w:lang w:eastAsia="lt-LT"/>
              </w:rPr>
              <w:t>10 ml, N2 – LT/1/10/1898/015</w:t>
            </w:r>
          </w:p>
          <w:p w14:paraId="083103D9" w14:textId="77777777" w:rsidR="005A24FA" w:rsidRPr="00162DB2" w:rsidRDefault="005A24FA" w:rsidP="00FA250C">
            <w:pPr>
              <w:spacing w:line="276" w:lineRule="auto"/>
              <w:rPr>
                <w:rFonts w:ascii="Times New Roman" w:eastAsia="Calibri" w:hAnsi="Times New Roman" w:cs="Times New Roman"/>
                <w:bCs/>
                <w:lang w:eastAsia="lt-LT"/>
              </w:rPr>
            </w:pPr>
            <w:r w:rsidRPr="00162DB2">
              <w:rPr>
                <w:rFonts w:ascii="Times New Roman" w:eastAsia="Calibri" w:hAnsi="Times New Roman" w:cs="Times New Roman"/>
                <w:lang w:eastAsia="lt-LT"/>
              </w:rPr>
              <w:t>10 ml, N5 – LT/1/10/1898/016</w:t>
            </w:r>
          </w:p>
        </w:tc>
      </w:tr>
    </w:tbl>
    <w:p w14:paraId="0C5D11CE"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Cs/>
          <w:lang w:eastAsia="lt-LT"/>
        </w:rPr>
      </w:pPr>
    </w:p>
    <w:p w14:paraId="6980C0CF"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Cs/>
          <w:lang w:eastAsia="lt-LT"/>
        </w:rPr>
      </w:pPr>
    </w:p>
    <w:p w14:paraId="0B71AF27"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b/>
          <w:bCs/>
          <w:caps/>
          <w:lang w:eastAsia="lt-LT"/>
        </w:rPr>
        <w:t>9.</w:t>
      </w:r>
      <w:r w:rsidRPr="00162DB2">
        <w:rPr>
          <w:rFonts w:ascii="Times New Roman" w:eastAsia="Calibri" w:hAnsi="Times New Roman" w:cs="Times New Roman"/>
          <w:b/>
          <w:bCs/>
          <w:caps/>
          <w:lang w:eastAsia="lt-LT"/>
        </w:rPr>
        <w:tab/>
      </w:r>
      <w:r w:rsidRPr="00162DB2">
        <w:rPr>
          <w:rFonts w:ascii="Times New Roman" w:eastAsia="Calibri" w:hAnsi="Times New Roman" w:cs="Times New Roman"/>
          <w:b/>
          <w:lang w:eastAsia="lt-LT"/>
        </w:rPr>
        <w:t>REGISTRAVIMO / PERREGISTRAVIMO DATA</w:t>
      </w:r>
      <w:r w:rsidRPr="00162DB2" w:rsidDel="00AB2CD8">
        <w:rPr>
          <w:rFonts w:ascii="Times New Roman" w:eastAsia="Calibri" w:hAnsi="Times New Roman" w:cs="Times New Roman"/>
          <w:b/>
          <w:bCs/>
          <w:caps/>
          <w:lang w:eastAsia="lt-LT"/>
        </w:rPr>
        <w:t xml:space="preserve"> </w:t>
      </w:r>
    </w:p>
    <w:p w14:paraId="23591880"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p>
    <w:p w14:paraId="2C0DBC38"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Registravimo data 2010 m. kovo 5 d.</w:t>
      </w:r>
    </w:p>
    <w:p w14:paraId="25FA8264" w14:textId="77777777" w:rsidR="005A24FA" w:rsidRPr="00162DB2" w:rsidRDefault="005A24FA" w:rsidP="005A24FA">
      <w:pPr>
        <w:spacing w:after="0" w:line="240" w:lineRule="auto"/>
        <w:rPr>
          <w:rFonts w:ascii="Times New Roman" w:eastAsia="Times New Roman" w:hAnsi="Times New Roman" w:cs="Times New Roman"/>
        </w:rPr>
      </w:pPr>
      <w:r w:rsidRPr="00162DB2">
        <w:rPr>
          <w:rFonts w:ascii="Times New Roman" w:eastAsia="Times New Roman" w:hAnsi="Times New Roman" w:cs="Times New Roman"/>
        </w:rPr>
        <w:t>Paskutinio perregistravimo data 2015 m. gegužės 26 d.</w:t>
      </w:r>
    </w:p>
    <w:p w14:paraId="16690C33"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p>
    <w:p w14:paraId="5705BA25"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lang w:eastAsia="lt-LT"/>
        </w:rPr>
      </w:pPr>
    </w:p>
    <w:p w14:paraId="11C3116F" w14:textId="77777777" w:rsidR="005A24FA" w:rsidRPr="00162DB2" w:rsidRDefault="005A24FA" w:rsidP="005A24FA">
      <w:pPr>
        <w:tabs>
          <w:tab w:val="left" w:pos="120"/>
          <w:tab w:val="left" w:pos="567"/>
          <w:tab w:val="left" w:pos="900"/>
        </w:tabs>
        <w:spacing w:after="0" w:line="240" w:lineRule="auto"/>
        <w:rPr>
          <w:rFonts w:ascii="Times New Roman" w:eastAsia="Calibri" w:hAnsi="Times New Roman" w:cs="Times New Roman"/>
          <w:b/>
          <w:bCs/>
          <w:caps/>
          <w:lang w:eastAsia="lt-LT"/>
        </w:rPr>
      </w:pPr>
      <w:r w:rsidRPr="00162DB2">
        <w:rPr>
          <w:rFonts w:ascii="Times New Roman" w:eastAsia="Calibri" w:hAnsi="Times New Roman" w:cs="Times New Roman"/>
          <w:b/>
          <w:bCs/>
          <w:caps/>
          <w:lang w:eastAsia="lt-LT"/>
        </w:rPr>
        <w:t>10.</w:t>
      </w:r>
      <w:r w:rsidRPr="00162DB2">
        <w:rPr>
          <w:rFonts w:ascii="Times New Roman" w:eastAsia="Calibri" w:hAnsi="Times New Roman" w:cs="Times New Roman"/>
          <w:b/>
          <w:bCs/>
          <w:caps/>
          <w:lang w:eastAsia="lt-LT"/>
        </w:rPr>
        <w:tab/>
        <w:t>TEKSTO PERŽIŪROS DATA</w:t>
      </w:r>
    </w:p>
    <w:p w14:paraId="038089B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52F383E" w14:textId="77777777" w:rsidR="005A24FA" w:rsidRPr="00162DB2" w:rsidRDefault="005A24FA" w:rsidP="005A24FA">
      <w:pPr>
        <w:tabs>
          <w:tab w:val="left" w:pos="5954"/>
          <w:tab w:val="left" w:pos="6237"/>
          <w:tab w:val="left" w:pos="6663"/>
          <w:tab w:val="left" w:pos="6946"/>
        </w:tabs>
        <w:spacing w:after="0" w:line="240" w:lineRule="auto"/>
        <w:rPr>
          <w:rFonts w:ascii="Times New Roman" w:eastAsia="SimSun" w:hAnsi="Times New Roman" w:cs="Times New Roman"/>
        </w:rPr>
      </w:pPr>
      <w:bookmarkStart w:id="0" w:name="_Hlk114036430"/>
      <w:r>
        <w:rPr>
          <w:rFonts w:ascii="Times New Roman" w:eastAsia="SimSun" w:hAnsi="Times New Roman" w:cs="Times New Roman"/>
        </w:rPr>
        <w:t>2025 m. kovo 28 d.</w:t>
      </w:r>
      <w:bookmarkEnd w:id="0"/>
    </w:p>
    <w:p w14:paraId="6F76D05F" w14:textId="77777777" w:rsidR="005A24FA" w:rsidRDefault="005A24FA" w:rsidP="005A24FA">
      <w:pPr>
        <w:tabs>
          <w:tab w:val="left" w:pos="5954"/>
          <w:tab w:val="left" w:pos="6237"/>
          <w:tab w:val="left" w:pos="6663"/>
          <w:tab w:val="left" w:pos="6946"/>
        </w:tabs>
        <w:spacing w:after="0" w:line="240" w:lineRule="auto"/>
        <w:rPr>
          <w:rFonts w:ascii="Times New Roman" w:eastAsia="SimSun" w:hAnsi="Times New Roman" w:cs="Times New Roman"/>
        </w:rPr>
      </w:pPr>
    </w:p>
    <w:p w14:paraId="2F8DA6C6" w14:textId="7A06BC68" w:rsidR="005A24FA" w:rsidRPr="00162DB2" w:rsidRDefault="005A24FA" w:rsidP="005A24FA">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162DB2">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162DB2">
        <w:rPr>
          <w:rFonts w:ascii="Times New Roman" w:eastAsia="SimSun" w:hAnsi="Times New Roman" w:cs="Times New Roman"/>
          <w:i/>
        </w:rPr>
        <w:t xml:space="preserve"> </w:t>
      </w:r>
      <w:hyperlink r:id="rId11" w:history="1">
        <w:r w:rsidRPr="00162DB2">
          <w:rPr>
            <w:rFonts w:ascii="Times New Roman" w:eastAsia="SimSun" w:hAnsi="Times New Roman" w:cs="Times New Roman"/>
            <w:color w:val="0000FF"/>
            <w:u w:val="single"/>
          </w:rPr>
          <w:t>http://www.vvkt.lt</w:t>
        </w:r>
      </w:hyperlink>
    </w:p>
    <w:p w14:paraId="6C4A844F" w14:textId="77777777" w:rsidR="00FF25E5" w:rsidRDefault="00FF25E5">
      <w:pPr>
        <w:rPr>
          <w:rFonts w:ascii="Times New Roman" w:eastAsia="SimSun" w:hAnsi="Times New Roman" w:cs="Times New Roman"/>
          <w:b/>
        </w:rPr>
      </w:pPr>
      <w:r>
        <w:rPr>
          <w:rFonts w:ascii="Times New Roman" w:eastAsia="SimSun" w:hAnsi="Times New Roman" w:cs="Times New Roman"/>
          <w:b/>
        </w:rPr>
        <w:br w:type="page"/>
      </w:r>
    </w:p>
    <w:p w14:paraId="7E03FD7B"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7C"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7D"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7E"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7F"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0"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1"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2"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3"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4"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5"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6"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7"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8"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9"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A"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B"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C"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D"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E"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8F"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90"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91"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92"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93"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r w:rsidRPr="00162DB2">
        <w:rPr>
          <w:rFonts w:ascii="Times New Roman" w:eastAsia="Calibri" w:hAnsi="Times New Roman" w:cs="Times New Roman"/>
          <w:b/>
          <w:lang w:eastAsia="lt-LT"/>
        </w:rPr>
        <w:t>II PRIEDAS</w:t>
      </w:r>
    </w:p>
    <w:p w14:paraId="7E03FD94"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p>
    <w:p w14:paraId="7E03FD95"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r w:rsidRPr="00162DB2">
        <w:rPr>
          <w:rFonts w:ascii="Times New Roman" w:eastAsia="Calibri" w:hAnsi="Times New Roman" w:cs="Times New Roman"/>
          <w:b/>
          <w:lang w:eastAsia="lt-LT"/>
        </w:rPr>
        <w:t>REGISTRACIJOS SĄLYGOS</w:t>
      </w:r>
    </w:p>
    <w:p w14:paraId="7E03FD96"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b/>
          <w:lang w:eastAsia="lt-LT"/>
        </w:rPr>
      </w:pPr>
    </w:p>
    <w:p w14:paraId="7E03FD97" w14:textId="77777777" w:rsidR="00162DB2" w:rsidRPr="00162DB2" w:rsidRDefault="00162DB2" w:rsidP="00162DB2">
      <w:pPr>
        <w:tabs>
          <w:tab w:val="left" w:pos="1701"/>
        </w:tabs>
        <w:spacing w:after="0" w:line="240" w:lineRule="auto"/>
        <w:ind w:left="1701" w:hanging="567"/>
        <w:rPr>
          <w:rFonts w:ascii="Times New Roman" w:eastAsia="Calibri" w:hAnsi="Times New Roman" w:cs="Times New Roman"/>
          <w:b/>
          <w:bCs/>
          <w:iCs/>
          <w:lang w:eastAsia="lt-LT"/>
        </w:rPr>
      </w:pPr>
      <w:r w:rsidRPr="00162DB2">
        <w:rPr>
          <w:rFonts w:ascii="Times New Roman" w:eastAsia="Calibri" w:hAnsi="Times New Roman" w:cs="Times New Roman"/>
          <w:b/>
          <w:bCs/>
          <w:iCs/>
          <w:lang w:eastAsia="lt-LT"/>
        </w:rPr>
        <w:t xml:space="preserve">A. </w:t>
      </w:r>
      <w:r w:rsidRPr="00162DB2">
        <w:rPr>
          <w:rFonts w:ascii="Times New Roman" w:eastAsia="Calibri" w:hAnsi="Times New Roman" w:cs="Times New Roman"/>
          <w:b/>
          <w:bCs/>
          <w:iCs/>
          <w:lang w:eastAsia="lt-LT"/>
        </w:rPr>
        <w:tab/>
        <w:t>GAMINTOJAS, ATSAKINGAS UŽ SERIJŲ IŠLEIDIMĄ</w:t>
      </w:r>
    </w:p>
    <w:p w14:paraId="7E03FD98" w14:textId="77777777" w:rsidR="00162DB2" w:rsidRPr="00162DB2" w:rsidRDefault="00162DB2" w:rsidP="00162DB2">
      <w:pPr>
        <w:tabs>
          <w:tab w:val="left" w:pos="1701"/>
        </w:tabs>
        <w:spacing w:after="0" w:line="240" w:lineRule="auto"/>
        <w:ind w:left="1701" w:hanging="567"/>
        <w:rPr>
          <w:rFonts w:ascii="Times New Roman" w:eastAsia="Calibri" w:hAnsi="Times New Roman" w:cs="Times New Roman"/>
          <w:b/>
          <w:bCs/>
          <w:lang w:eastAsia="lt-LT"/>
        </w:rPr>
      </w:pPr>
    </w:p>
    <w:p w14:paraId="7E03FD99" w14:textId="77777777" w:rsidR="00162DB2" w:rsidRPr="00162DB2" w:rsidRDefault="00162DB2" w:rsidP="00162DB2">
      <w:pPr>
        <w:tabs>
          <w:tab w:val="left" w:pos="1701"/>
        </w:tabs>
        <w:spacing w:after="0" w:line="240" w:lineRule="auto"/>
        <w:ind w:left="1701" w:hanging="567"/>
        <w:rPr>
          <w:rFonts w:ascii="Times New Roman" w:eastAsia="Calibri" w:hAnsi="Times New Roman" w:cs="Times New Roman"/>
          <w:b/>
          <w:lang w:eastAsia="lt-LT"/>
        </w:rPr>
      </w:pPr>
      <w:r w:rsidRPr="00162DB2">
        <w:rPr>
          <w:rFonts w:ascii="Times New Roman" w:eastAsia="Calibri" w:hAnsi="Times New Roman" w:cs="Times New Roman"/>
          <w:b/>
          <w:bCs/>
          <w:iCs/>
          <w:lang w:eastAsia="lt-LT"/>
        </w:rPr>
        <w:t xml:space="preserve">B. </w:t>
      </w:r>
      <w:r w:rsidRPr="00162DB2">
        <w:rPr>
          <w:rFonts w:ascii="Times New Roman" w:eastAsia="Calibri" w:hAnsi="Times New Roman" w:cs="Times New Roman"/>
          <w:b/>
          <w:bCs/>
          <w:iCs/>
          <w:lang w:eastAsia="lt-LT"/>
        </w:rPr>
        <w:tab/>
        <w:t xml:space="preserve">TIEKIMO IR VARTOJIMO SĄLYGOS AR APRIBOJIMAI </w:t>
      </w:r>
    </w:p>
    <w:p w14:paraId="7E03FD9A" w14:textId="77777777" w:rsidR="00162DB2" w:rsidRPr="00162DB2" w:rsidRDefault="00162DB2" w:rsidP="00162DB2">
      <w:pPr>
        <w:spacing w:after="0" w:line="240" w:lineRule="auto"/>
        <w:ind w:left="1701" w:right="1558" w:hanging="850"/>
        <w:rPr>
          <w:rFonts w:ascii="Times New Roman" w:eastAsia="Calibri" w:hAnsi="Times New Roman" w:cs="Times New Roman"/>
          <w:b/>
          <w:lang w:eastAsia="lt-LT"/>
        </w:rPr>
      </w:pPr>
    </w:p>
    <w:p w14:paraId="7E03FD9B" w14:textId="77777777" w:rsidR="00162DB2" w:rsidRPr="00162DB2" w:rsidRDefault="00162DB2" w:rsidP="00162DB2">
      <w:pPr>
        <w:spacing w:after="0" w:line="240" w:lineRule="auto"/>
        <w:ind w:left="567" w:hanging="567"/>
        <w:rPr>
          <w:rFonts w:ascii="Times New Roman" w:eastAsia="Calibri" w:hAnsi="Times New Roman" w:cs="Times New Roman"/>
          <w:lang w:eastAsia="lt-LT"/>
        </w:rPr>
      </w:pPr>
    </w:p>
    <w:p w14:paraId="7E03FD9C" w14:textId="77777777" w:rsidR="00162DB2" w:rsidRPr="00162DB2" w:rsidRDefault="00162DB2" w:rsidP="00162DB2">
      <w:pPr>
        <w:spacing w:after="0" w:line="240" w:lineRule="auto"/>
        <w:ind w:right="-1"/>
        <w:rPr>
          <w:rFonts w:ascii="Times New Roman" w:eastAsia="Calibri" w:hAnsi="Times New Roman" w:cs="Times New Roman"/>
          <w:lang w:eastAsia="lt-LT"/>
        </w:rPr>
      </w:pPr>
    </w:p>
    <w:p w14:paraId="7E03FD9D"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lang w:eastAsia="lt-LT"/>
        </w:rPr>
        <w:br w:type="page"/>
      </w:r>
      <w:r w:rsidRPr="00162DB2">
        <w:rPr>
          <w:rFonts w:ascii="Times New Roman" w:eastAsia="Calibri" w:hAnsi="Times New Roman" w:cs="Times New Roman"/>
          <w:b/>
          <w:lang w:eastAsia="lt-LT"/>
        </w:rPr>
        <w:lastRenderedPageBreak/>
        <w:t xml:space="preserve">A. </w:t>
      </w:r>
      <w:r w:rsidRPr="00162DB2">
        <w:rPr>
          <w:rFonts w:ascii="Times New Roman" w:eastAsia="Calibri" w:hAnsi="Times New Roman" w:cs="Times New Roman"/>
          <w:b/>
          <w:lang w:eastAsia="lt-LT"/>
        </w:rPr>
        <w:tab/>
        <w:t>GAMINTOJAS, ATSAKINGAS UŽ SERIJŲ IŠLEIDIMĄ</w:t>
      </w:r>
    </w:p>
    <w:p w14:paraId="7E03FD9E"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
    <w:p w14:paraId="7E03FD9F" w14:textId="77777777" w:rsidR="00162DB2" w:rsidRPr="00162DB2" w:rsidRDefault="00162DB2" w:rsidP="00162DB2">
      <w:pPr>
        <w:tabs>
          <w:tab w:val="left" w:pos="567"/>
        </w:tabs>
        <w:spacing w:after="0" w:line="240" w:lineRule="auto"/>
        <w:rPr>
          <w:rFonts w:ascii="Times New Roman" w:eastAsia="Times New Roman" w:hAnsi="Times New Roman" w:cs="Times New Roman"/>
          <w:u w:val="single"/>
        </w:rPr>
      </w:pPr>
      <w:r w:rsidRPr="00162DB2">
        <w:rPr>
          <w:rFonts w:ascii="Times New Roman" w:eastAsia="Times New Roman" w:hAnsi="Times New Roman" w:cs="Times New Roman"/>
          <w:u w:val="single"/>
        </w:rPr>
        <w:t>Gamintojo, atsakingo už serijų išleidimą, pavadinimas ir adresas</w:t>
      </w:r>
    </w:p>
    <w:p w14:paraId="7E03FDA0"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
    <w:p w14:paraId="7E03FDA1"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Pharmacosmos</w:t>
      </w:r>
      <w:proofErr w:type="spellEnd"/>
      <w:r w:rsidRPr="00162DB2">
        <w:rPr>
          <w:rFonts w:ascii="Times New Roman" w:eastAsia="Calibri" w:hAnsi="Times New Roman" w:cs="Times New Roman"/>
          <w:lang w:eastAsia="lt-LT"/>
        </w:rPr>
        <w:t xml:space="preserve"> A/S </w:t>
      </w:r>
    </w:p>
    <w:p w14:paraId="7E03FDA2"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Roervangsvej</w:t>
      </w:r>
      <w:proofErr w:type="spellEnd"/>
      <w:r w:rsidRPr="00162DB2">
        <w:rPr>
          <w:rFonts w:ascii="Times New Roman" w:eastAsia="Calibri" w:hAnsi="Times New Roman" w:cs="Times New Roman"/>
          <w:lang w:eastAsia="lt-LT"/>
        </w:rPr>
        <w:t xml:space="preserve"> 30</w:t>
      </w:r>
    </w:p>
    <w:p w14:paraId="7E03FDA3"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4300 </w:t>
      </w:r>
      <w:proofErr w:type="spellStart"/>
      <w:r w:rsidRPr="00162DB2">
        <w:rPr>
          <w:rFonts w:ascii="Times New Roman" w:eastAsia="Calibri" w:hAnsi="Times New Roman" w:cs="Times New Roman"/>
          <w:lang w:eastAsia="lt-LT"/>
        </w:rPr>
        <w:t>Holbaek</w:t>
      </w:r>
      <w:proofErr w:type="spellEnd"/>
    </w:p>
    <w:p w14:paraId="7E03FDA4"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Danija</w:t>
      </w:r>
    </w:p>
    <w:p w14:paraId="7E03FDA5"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
    <w:p w14:paraId="7E03FDA6"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
    <w:p w14:paraId="7E03FDA7" w14:textId="77777777" w:rsidR="00162DB2" w:rsidRPr="00162DB2" w:rsidRDefault="00162DB2" w:rsidP="00162DB2">
      <w:pPr>
        <w:keepNext/>
        <w:tabs>
          <w:tab w:val="left" w:pos="567"/>
        </w:tabs>
        <w:spacing w:after="0" w:line="240" w:lineRule="auto"/>
        <w:ind w:left="567" w:hanging="567"/>
        <w:outlineLvl w:val="1"/>
        <w:rPr>
          <w:rFonts w:ascii="Times New Roman" w:eastAsia="Times New Roman" w:hAnsi="Times New Roman" w:cs="Times New Roman"/>
          <w:b/>
        </w:rPr>
      </w:pPr>
      <w:bookmarkStart w:id="1" w:name="_Toc129243129"/>
      <w:bookmarkStart w:id="2" w:name="_Toc129243254"/>
      <w:r w:rsidRPr="00162DB2">
        <w:rPr>
          <w:rFonts w:ascii="Times New Roman" w:eastAsia="Times New Roman" w:hAnsi="Times New Roman" w:cs="Times New Roman"/>
          <w:b/>
        </w:rPr>
        <w:t>B.</w:t>
      </w:r>
      <w:r w:rsidRPr="00162DB2">
        <w:rPr>
          <w:rFonts w:ascii="Times New Roman" w:eastAsia="Times New Roman" w:hAnsi="Times New Roman" w:cs="Times New Roman"/>
          <w:b/>
        </w:rPr>
        <w:tab/>
        <w:t>TIEKIMO IR VARTOJIMO SĄLYGOS AR APRIBOJIMAI</w:t>
      </w:r>
      <w:bookmarkEnd w:id="1"/>
      <w:bookmarkEnd w:id="2"/>
    </w:p>
    <w:p w14:paraId="7E03FDA8"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
    <w:p w14:paraId="7E03FDA9" w14:textId="77777777" w:rsidR="00162DB2" w:rsidRPr="00162DB2" w:rsidRDefault="00162DB2" w:rsidP="00162DB2">
      <w:pPr>
        <w:tabs>
          <w:tab w:val="left" w:pos="567"/>
        </w:tabs>
        <w:spacing w:after="0" w:line="240" w:lineRule="auto"/>
        <w:rPr>
          <w:rFonts w:ascii="Times New Roman" w:eastAsia="SimSun" w:hAnsi="Times New Roman" w:cs="Times New Roman"/>
        </w:rPr>
      </w:pPr>
      <w:r w:rsidRPr="00162DB2">
        <w:rPr>
          <w:rFonts w:ascii="Times New Roman" w:eastAsia="SimSun" w:hAnsi="Times New Roman" w:cs="Times New Roman"/>
        </w:rPr>
        <w:t>Receptinis vaistinis preparatas.</w:t>
      </w:r>
    </w:p>
    <w:p w14:paraId="7E03FDA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br w:type="page"/>
      </w:r>
    </w:p>
    <w:p w14:paraId="7E03FDA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A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A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A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A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4"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8"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B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B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B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C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C1" w14:textId="77777777" w:rsidR="00162DB2" w:rsidRPr="00162DB2" w:rsidRDefault="00162DB2" w:rsidP="00162DB2">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134"/>
      <w:bookmarkStart w:id="4" w:name="_Toc129243259"/>
    </w:p>
    <w:p w14:paraId="7E03FDC2" w14:textId="77777777" w:rsidR="00162DB2" w:rsidRPr="00162DB2" w:rsidRDefault="00162DB2" w:rsidP="00162DB2">
      <w:pPr>
        <w:tabs>
          <w:tab w:val="left" w:pos="567"/>
        </w:tabs>
        <w:spacing w:after="0" w:line="240" w:lineRule="auto"/>
        <w:ind w:left="567" w:hanging="567"/>
        <w:jc w:val="center"/>
        <w:outlineLvl w:val="0"/>
        <w:rPr>
          <w:rFonts w:ascii="Times New Roman" w:eastAsia="Times New Roman" w:hAnsi="Times New Roman" w:cs="Times New Roman"/>
          <w:b/>
          <w:caps/>
        </w:rPr>
      </w:pPr>
      <w:r w:rsidRPr="00162DB2">
        <w:rPr>
          <w:rFonts w:ascii="Times New Roman" w:eastAsia="Times New Roman" w:hAnsi="Times New Roman" w:cs="Times New Roman"/>
          <w:b/>
          <w:caps/>
        </w:rPr>
        <w:t>III PRIEDAS</w:t>
      </w:r>
      <w:bookmarkEnd w:id="3"/>
      <w:bookmarkEnd w:id="4"/>
    </w:p>
    <w:p w14:paraId="7E03FDC3" w14:textId="77777777" w:rsidR="00162DB2" w:rsidRPr="00162DB2" w:rsidRDefault="00162DB2" w:rsidP="00162DB2">
      <w:pPr>
        <w:tabs>
          <w:tab w:val="left" w:pos="567"/>
        </w:tabs>
        <w:spacing w:after="0" w:line="240" w:lineRule="auto"/>
        <w:jc w:val="both"/>
        <w:rPr>
          <w:rFonts w:ascii="Times New Roman" w:eastAsia="SimSun" w:hAnsi="Times New Roman" w:cs="Times New Roman"/>
        </w:rPr>
      </w:pPr>
    </w:p>
    <w:p w14:paraId="7E03FDC4" w14:textId="77777777" w:rsidR="00162DB2" w:rsidRPr="00162DB2" w:rsidRDefault="00162DB2" w:rsidP="00162DB2">
      <w:pPr>
        <w:tabs>
          <w:tab w:val="left" w:pos="567"/>
        </w:tabs>
        <w:spacing w:after="0" w:line="240" w:lineRule="auto"/>
        <w:ind w:left="567" w:hanging="567"/>
        <w:jc w:val="center"/>
        <w:outlineLvl w:val="0"/>
        <w:rPr>
          <w:rFonts w:ascii="Times New Roman" w:eastAsia="Times New Roman" w:hAnsi="Times New Roman" w:cs="Times New Roman"/>
          <w:b/>
          <w:caps/>
        </w:rPr>
      </w:pPr>
      <w:bookmarkStart w:id="5" w:name="_Toc129243135"/>
      <w:bookmarkStart w:id="6" w:name="_Toc129243260"/>
      <w:r w:rsidRPr="00162DB2">
        <w:rPr>
          <w:rFonts w:ascii="Times New Roman" w:eastAsia="Times New Roman" w:hAnsi="Times New Roman" w:cs="Times New Roman"/>
          <w:b/>
          <w:caps/>
        </w:rPr>
        <w:t>ŽENKLINIMAS IR PAKUOTĖS LAPELIS</w:t>
      </w:r>
      <w:bookmarkEnd w:id="5"/>
      <w:bookmarkEnd w:id="6"/>
    </w:p>
    <w:p w14:paraId="7E03FDC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C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b/>
          <w:lang w:eastAsia="lt-LT"/>
        </w:rPr>
        <w:br w:type="page"/>
      </w:r>
    </w:p>
    <w:p w14:paraId="7E03FDC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8"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C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4"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D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DD8"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DD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DD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DD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DD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DDD"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bCs/>
          <w:lang w:eastAsia="lt-LT"/>
        </w:rPr>
      </w:pPr>
    </w:p>
    <w:p w14:paraId="7E03FDDE"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r w:rsidRPr="00162DB2">
        <w:rPr>
          <w:rFonts w:ascii="Times New Roman" w:eastAsia="Calibri" w:hAnsi="Times New Roman" w:cs="Times New Roman"/>
          <w:b/>
          <w:bCs/>
          <w:lang w:eastAsia="lt-LT"/>
        </w:rPr>
        <w:t>A. ŽENKLINIMAS</w:t>
      </w:r>
    </w:p>
    <w:p w14:paraId="7E03FDDF"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bCs/>
          <w:lang w:eastAsia="lt-LT"/>
        </w:rPr>
      </w:pPr>
      <w:r w:rsidRPr="00162DB2">
        <w:rPr>
          <w:rFonts w:ascii="Times New Roman" w:eastAsia="Calibri" w:hAnsi="Times New Roman" w:cs="Times New Roman"/>
          <w:lang w:eastAsia="lt-LT"/>
        </w:rPr>
        <w:br w:type="page"/>
      </w:r>
      <w:r w:rsidRPr="00162DB2">
        <w:rPr>
          <w:rFonts w:ascii="Times New Roman" w:eastAsia="Calibri" w:hAnsi="Times New Roman" w:cs="Times New Roman"/>
          <w:b/>
          <w:bCs/>
          <w:lang w:eastAsia="lt-LT"/>
        </w:rPr>
        <w:lastRenderedPageBreak/>
        <w:t>INFORMACIJA ANT IŠORINĖS PAKUOTĖS</w:t>
      </w:r>
    </w:p>
    <w:p w14:paraId="7E03FDE0"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Calibri" w:hAnsi="Times New Roman" w:cs="Times New Roman"/>
          <w:lang w:eastAsia="lt-LT"/>
        </w:rPr>
      </w:pPr>
    </w:p>
    <w:p w14:paraId="7E03FDE1"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b/>
          <w:lang w:eastAsia="lt-LT"/>
        </w:rPr>
        <w:t>KARTONO DĖŽUTĖ flakonui/ampulei</w:t>
      </w:r>
    </w:p>
    <w:p w14:paraId="7E03FDE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E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E4"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1.</w:t>
      </w:r>
      <w:r w:rsidRPr="00162DB2">
        <w:rPr>
          <w:rFonts w:ascii="Times New Roman" w:eastAsia="Calibri" w:hAnsi="Times New Roman" w:cs="Times New Roman"/>
          <w:b/>
          <w:bCs/>
          <w:lang w:eastAsia="lt-LT"/>
        </w:rPr>
        <w:tab/>
      </w:r>
      <w:r w:rsidRPr="00162DB2">
        <w:rPr>
          <w:rFonts w:ascii="Times New Roman" w:eastAsia="Calibri" w:hAnsi="Times New Roman" w:cs="Times New Roman"/>
          <w:b/>
          <w:bCs/>
          <w:caps/>
          <w:lang w:eastAsia="lt-LT"/>
        </w:rPr>
        <w:t>VAISTINIO</w:t>
      </w:r>
      <w:r w:rsidRPr="00162DB2">
        <w:rPr>
          <w:rFonts w:ascii="Times New Roman" w:eastAsia="Calibri" w:hAnsi="Times New Roman" w:cs="Times New Roman"/>
          <w:b/>
          <w:bCs/>
          <w:lang w:eastAsia="lt-LT"/>
        </w:rPr>
        <w:t xml:space="preserve"> PREPARATO PAVADINIMAS</w:t>
      </w:r>
    </w:p>
    <w:p w14:paraId="7E03FDE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E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100 mg/ml injekcinis ar infuzinis tirpalas</w:t>
      </w:r>
    </w:p>
    <w:p w14:paraId="3C026C52" w14:textId="77777777" w:rsidR="00162DB2" w:rsidRPr="00520F9D" w:rsidRDefault="005A6176" w:rsidP="00162DB2">
      <w:pPr>
        <w:tabs>
          <w:tab w:val="left" w:pos="120"/>
          <w:tab w:val="left" w:pos="567"/>
        </w:tabs>
        <w:spacing w:after="0" w:line="240" w:lineRule="auto"/>
        <w:jc w:val="both"/>
        <w:rPr>
          <w:rFonts w:ascii="Times New Roman" w:eastAsia="Calibri" w:hAnsi="Times New Roman" w:cs="Times New Roman"/>
          <w:i/>
          <w:iCs/>
          <w:lang w:eastAsia="lt-LT"/>
        </w:rPr>
      </w:pPr>
      <w:proofErr w:type="spellStart"/>
      <w:r w:rsidRPr="00520F9D">
        <w:rPr>
          <w:rFonts w:ascii="Times New Roman" w:eastAsia="Calibri" w:hAnsi="Times New Roman" w:cs="Times New Roman"/>
          <w:i/>
          <w:iCs/>
          <w:lang w:eastAsia="lt-LT"/>
        </w:rPr>
        <w:t>ferricum</w:t>
      </w:r>
      <w:proofErr w:type="spellEnd"/>
      <w:r w:rsidRPr="00520F9D">
        <w:rPr>
          <w:rFonts w:ascii="Times New Roman" w:eastAsia="Calibri" w:hAnsi="Times New Roman" w:cs="Times New Roman"/>
          <w:i/>
          <w:iCs/>
          <w:lang w:eastAsia="lt-LT"/>
        </w:rPr>
        <w:t xml:space="preserve"> </w:t>
      </w:r>
      <w:proofErr w:type="spellStart"/>
      <w:r w:rsidRPr="00520F9D">
        <w:rPr>
          <w:rFonts w:ascii="Times New Roman" w:eastAsia="Calibri" w:hAnsi="Times New Roman" w:cs="Times New Roman"/>
          <w:i/>
          <w:iCs/>
          <w:lang w:eastAsia="lt-LT"/>
        </w:rPr>
        <w:t>derisomaltosum</w:t>
      </w:r>
      <w:proofErr w:type="spellEnd"/>
    </w:p>
    <w:p w14:paraId="7E03FDE8" w14:textId="31FD5E5F" w:rsid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601A2C51" w14:textId="77777777" w:rsidR="00520F9D" w:rsidRPr="00162DB2" w:rsidRDefault="00520F9D" w:rsidP="00162DB2">
      <w:pPr>
        <w:tabs>
          <w:tab w:val="left" w:pos="120"/>
          <w:tab w:val="left" w:pos="567"/>
        </w:tabs>
        <w:spacing w:after="0" w:line="240" w:lineRule="auto"/>
        <w:jc w:val="both"/>
        <w:rPr>
          <w:rFonts w:ascii="Times New Roman" w:eastAsia="Calibri" w:hAnsi="Times New Roman" w:cs="Times New Roman"/>
          <w:lang w:eastAsia="lt-LT"/>
        </w:rPr>
      </w:pPr>
    </w:p>
    <w:p w14:paraId="7E03FDE9"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2.</w:t>
      </w:r>
      <w:r w:rsidRPr="00162DB2">
        <w:rPr>
          <w:rFonts w:ascii="Times New Roman" w:eastAsia="Calibri" w:hAnsi="Times New Roman" w:cs="Times New Roman"/>
          <w:b/>
          <w:bCs/>
          <w:lang w:eastAsia="lt-LT"/>
        </w:rPr>
        <w:tab/>
        <w:t>VEIKLIOJI (-IOS) MEDŽIAGA (-OS) IR JOS (-Ų) KIEKIS (-IAI)</w:t>
      </w:r>
    </w:p>
    <w:p w14:paraId="7E03FDE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EB" w14:textId="6300BE7F"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Viename mililitre tirpalo yra 100 mg geležies (geležies (III) </w:t>
      </w:r>
      <w:proofErr w:type="spellStart"/>
      <w:r w:rsidR="00EE0463" w:rsidRPr="00EE0463">
        <w:rPr>
          <w:rFonts w:ascii="Times New Roman" w:eastAsia="Calibri" w:hAnsi="Times New Roman" w:cs="Times New Roman"/>
          <w:lang w:eastAsia="lt-LT"/>
        </w:rPr>
        <w:t>derisomaltozės</w:t>
      </w:r>
      <w:proofErr w:type="spellEnd"/>
      <w:r w:rsidR="00EE0463" w:rsidRPr="00EE0463" w:rsidDel="00EE0463">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 xml:space="preserve">pavidalu). </w:t>
      </w:r>
    </w:p>
    <w:p w14:paraId="7E03FDE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ED" w14:textId="2E990041" w:rsidR="00162DB2" w:rsidRPr="00162DB2" w:rsidRDefault="00162DB2" w:rsidP="00162DB2">
      <w:pPr>
        <w:tabs>
          <w:tab w:val="left" w:pos="567"/>
          <w:tab w:val="left" w:pos="851"/>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 ml ampulėje/flakone yra 100 mg geležies (geležies (III) </w:t>
      </w:r>
      <w:proofErr w:type="spellStart"/>
      <w:r w:rsidR="00EE0463" w:rsidRPr="00EE0463">
        <w:rPr>
          <w:rFonts w:ascii="Times New Roman" w:eastAsia="Calibri" w:hAnsi="Times New Roman" w:cs="Times New Roman"/>
          <w:lang w:eastAsia="lt-LT"/>
        </w:rPr>
        <w:t>derisomaltozės</w:t>
      </w:r>
      <w:proofErr w:type="spellEnd"/>
      <w:r w:rsidR="00EE0463" w:rsidRPr="00EE0463" w:rsidDel="00EE0463">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14:paraId="7E03FDEE" w14:textId="3EAB8997" w:rsidR="00162DB2" w:rsidRPr="00EE0463" w:rsidRDefault="00162DB2" w:rsidP="00162DB2">
      <w:pPr>
        <w:tabs>
          <w:tab w:val="left" w:pos="567"/>
          <w:tab w:val="left" w:pos="851"/>
        </w:tabs>
        <w:spacing w:after="0" w:line="240" w:lineRule="auto"/>
        <w:jc w:val="both"/>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2 ml ampulėje/flakone yra 200 mg geležies (geležies (</w:t>
      </w:r>
      <w:r w:rsidRPr="00EE0463">
        <w:rPr>
          <w:rFonts w:ascii="Times New Roman" w:eastAsia="Calibri" w:hAnsi="Times New Roman" w:cs="Times New Roman"/>
          <w:highlight w:val="lightGray"/>
          <w:lang w:eastAsia="lt-LT"/>
        </w:rPr>
        <w:t xml:space="preserve">III) </w:t>
      </w:r>
      <w:proofErr w:type="spellStart"/>
      <w:r w:rsidR="00EE0463" w:rsidRPr="00701F70">
        <w:rPr>
          <w:rFonts w:ascii="Times New Roman" w:eastAsia="Calibri" w:hAnsi="Times New Roman" w:cs="Times New Roman"/>
          <w:highlight w:val="lightGray"/>
          <w:lang w:eastAsia="lt-LT"/>
        </w:rPr>
        <w:t>derisomaltozės</w:t>
      </w:r>
      <w:proofErr w:type="spellEnd"/>
      <w:r w:rsidR="00EE0463" w:rsidRPr="00EE0463" w:rsidDel="00EE0463">
        <w:rPr>
          <w:rFonts w:ascii="Times New Roman" w:eastAsia="Calibri" w:hAnsi="Times New Roman" w:cs="Times New Roman"/>
          <w:highlight w:val="lightGray"/>
          <w:lang w:eastAsia="lt-LT"/>
        </w:rPr>
        <w:t xml:space="preserve"> </w:t>
      </w:r>
      <w:r w:rsidRPr="00EE0463">
        <w:rPr>
          <w:rFonts w:ascii="Times New Roman" w:eastAsia="Calibri" w:hAnsi="Times New Roman" w:cs="Times New Roman"/>
          <w:highlight w:val="lightGray"/>
          <w:lang w:eastAsia="lt-LT"/>
        </w:rPr>
        <w:t>pavidalu)</w:t>
      </w:r>
    </w:p>
    <w:p w14:paraId="7E03FDEF" w14:textId="55CA46BD" w:rsidR="00162DB2" w:rsidRPr="00EE0463" w:rsidRDefault="00162DB2" w:rsidP="00162DB2">
      <w:pPr>
        <w:tabs>
          <w:tab w:val="left" w:pos="567"/>
          <w:tab w:val="left" w:pos="851"/>
        </w:tabs>
        <w:spacing w:after="0" w:line="240" w:lineRule="auto"/>
        <w:jc w:val="both"/>
        <w:rPr>
          <w:rFonts w:ascii="Times New Roman" w:eastAsia="Calibri" w:hAnsi="Times New Roman" w:cs="Times New Roman"/>
          <w:highlight w:val="lightGray"/>
          <w:lang w:eastAsia="lt-LT"/>
        </w:rPr>
      </w:pPr>
      <w:r w:rsidRPr="00EE0463">
        <w:rPr>
          <w:rFonts w:ascii="Times New Roman" w:eastAsia="Calibri" w:hAnsi="Times New Roman" w:cs="Times New Roman"/>
          <w:highlight w:val="lightGray"/>
          <w:lang w:eastAsia="lt-LT"/>
        </w:rPr>
        <w:t xml:space="preserve">5 ml ampulėje/flakone yra 500 mg geležies (geležies (III) </w:t>
      </w:r>
      <w:proofErr w:type="spellStart"/>
      <w:r w:rsidR="00EE0463" w:rsidRPr="00701F70">
        <w:rPr>
          <w:rFonts w:ascii="Times New Roman" w:eastAsia="Calibri" w:hAnsi="Times New Roman" w:cs="Times New Roman"/>
          <w:highlight w:val="lightGray"/>
          <w:lang w:eastAsia="lt-LT"/>
        </w:rPr>
        <w:t>derisomaltozės</w:t>
      </w:r>
      <w:proofErr w:type="spellEnd"/>
      <w:r w:rsidR="00EE0463" w:rsidRPr="00EE0463" w:rsidDel="00EE0463">
        <w:rPr>
          <w:rFonts w:ascii="Times New Roman" w:eastAsia="Calibri" w:hAnsi="Times New Roman" w:cs="Times New Roman"/>
          <w:highlight w:val="lightGray"/>
          <w:lang w:eastAsia="lt-LT"/>
        </w:rPr>
        <w:t xml:space="preserve"> </w:t>
      </w:r>
      <w:r w:rsidRPr="00EE0463">
        <w:rPr>
          <w:rFonts w:ascii="Times New Roman" w:eastAsia="Calibri" w:hAnsi="Times New Roman" w:cs="Times New Roman"/>
          <w:highlight w:val="lightGray"/>
          <w:lang w:eastAsia="lt-LT"/>
        </w:rPr>
        <w:t>pavidalu)</w:t>
      </w:r>
    </w:p>
    <w:p w14:paraId="7E03FDF0" w14:textId="004FDB5C" w:rsidR="00162DB2" w:rsidRPr="00162DB2" w:rsidRDefault="00162DB2" w:rsidP="00162DB2">
      <w:pPr>
        <w:tabs>
          <w:tab w:val="left" w:pos="567"/>
          <w:tab w:val="left" w:pos="851"/>
        </w:tabs>
        <w:spacing w:after="0" w:line="240" w:lineRule="auto"/>
        <w:jc w:val="both"/>
        <w:rPr>
          <w:rFonts w:ascii="Times New Roman" w:eastAsia="Calibri" w:hAnsi="Times New Roman" w:cs="Times New Roman"/>
          <w:lang w:eastAsia="lt-LT"/>
        </w:rPr>
      </w:pPr>
      <w:r w:rsidRPr="00EE0463">
        <w:rPr>
          <w:rFonts w:ascii="Times New Roman" w:eastAsia="Calibri" w:hAnsi="Times New Roman" w:cs="Times New Roman"/>
          <w:highlight w:val="lightGray"/>
          <w:lang w:eastAsia="lt-LT"/>
        </w:rPr>
        <w:t xml:space="preserve">10 ml ampulėje/flakone yra 1000 mg geležies (geležies (III) </w:t>
      </w:r>
      <w:proofErr w:type="spellStart"/>
      <w:r w:rsidR="00EE0463" w:rsidRPr="00701F70">
        <w:rPr>
          <w:rFonts w:ascii="Times New Roman" w:eastAsia="Calibri" w:hAnsi="Times New Roman" w:cs="Times New Roman"/>
          <w:highlight w:val="lightGray"/>
          <w:lang w:eastAsia="lt-LT"/>
        </w:rPr>
        <w:t>derisomaltozės</w:t>
      </w:r>
      <w:proofErr w:type="spellEnd"/>
      <w:r w:rsidR="00EE0463" w:rsidRPr="00EE0463" w:rsidDel="00EE0463">
        <w:rPr>
          <w:rFonts w:ascii="Times New Roman" w:eastAsia="Calibri" w:hAnsi="Times New Roman" w:cs="Times New Roman"/>
          <w:highlight w:val="lightGray"/>
          <w:lang w:eastAsia="lt-LT"/>
        </w:rPr>
        <w:t xml:space="preserve"> </w:t>
      </w:r>
      <w:r w:rsidRPr="00162DB2">
        <w:rPr>
          <w:rFonts w:ascii="Times New Roman" w:eastAsia="Calibri" w:hAnsi="Times New Roman" w:cs="Times New Roman"/>
          <w:highlight w:val="lightGray"/>
          <w:lang w:eastAsia="lt-LT"/>
        </w:rPr>
        <w:t>pavidalu)</w:t>
      </w:r>
    </w:p>
    <w:p w14:paraId="7E03FDF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F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F3"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highlight w:val="lightGray"/>
          <w:lang w:eastAsia="lt-LT"/>
        </w:rPr>
      </w:pPr>
      <w:r w:rsidRPr="00162DB2">
        <w:rPr>
          <w:rFonts w:ascii="Times New Roman" w:eastAsia="Calibri" w:hAnsi="Times New Roman" w:cs="Times New Roman"/>
          <w:b/>
          <w:bCs/>
          <w:lang w:eastAsia="lt-LT"/>
        </w:rPr>
        <w:t>3.</w:t>
      </w:r>
      <w:r w:rsidRPr="00162DB2">
        <w:rPr>
          <w:rFonts w:ascii="Times New Roman" w:eastAsia="Calibri" w:hAnsi="Times New Roman" w:cs="Times New Roman"/>
          <w:b/>
          <w:bCs/>
          <w:lang w:eastAsia="lt-LT"/>
        </w:rPr>
        <w:tab/>
        <w:t>PAGALBINIŲ MEDŽIAGŲ SĄRAŠAS</w:t>
      </w:r>
    </w:p>
    <w:p w14:paraId="7E03FDF4"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F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Injekcinis vanduo, natrio </w:t>
      </w:r>
      <w:proofErr w:type="spellStart"/>
      <w:r w:rsidRPr="00162DB2">
        <w:rPr>
          <w:rFonts w:ascii="Times New Roman" w:eastAsia="Calibri" w:hAnsi="Times New Roman" w:cs="Times New Roman"/>
          <w:lang w:eastAsia="lt-LT"/>
        </w:rPr>
        <w:t>hidroksidas</w:t>
      </w:r>
      <w:proofErr w:type="spellEnd"/>
      <w:r w:rsidRPr="00162DB2">
        <w:rPr>
          <w:rFonts w:ascii="Times New Roman" w:eastAsia="Calibri" w:hAnsi="Times New Roman" w:cs="Times New Roman"/>
          <w:lang w:eastAsia="lt-LT"/>
        </w:rPr>
        <w:t>, vandenilio chlorido rūgštis.</w:t>
      </w:r>
    </w:p>
    <w:p w14:paraId="7E03FDF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F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DF8"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4.</w:t>
      </w:r>
      <w:r w:rsidRPr="00162DB2">
        <w:rPr>
          <w:rFonts w:ascii="Times New Roman" w:eastAsia="Calibri" w:hAnsi="Times New Roman" w:cs="Times New Roman"/>
          <w:b/>
          <w:bCs/>
          <w:lang w:eastAsia="lt-LT"/>
        </w:rPr>
        <w:tab/>
        <w:t>FARMACINĖ FORMA</w:t>
      </w:r>
      <w:r w:rsidRPr="00162DB2" w:rsidDel="00A6382A">
        <w:rPr>
          <w:rFonts w:ascii="Times New Roman" w:eastAsia="Calibri" w:hAnsi="Times New Roman" w:cs="Times New Roman"/>
          <w:b/>
          <w:bCs/>
          <w:lang w:eastAsia="lt-LT"/>
        </w:rPr>
        <w:t xml:space="preserve"> </w:t>
      </w:r>
      <w:r w:rsidRPr="00162DB2">
        <w:rPr>
          <w:rFonts w:ascii="Times New Roman" w:eastAsia="Calibri" w:hAnsi="Times New Roman" w:cs="Times New Roman"/>
          <w:b/>
          <w:bCs/>
          <w:lang w:eastAsia="lt-LT"/>
        </w:rPr>
        <w:t>IR KIEKIS PAKUOTĖJE</w:t>
      </w:r>
    </w:p>
    <w:p w14:paraId="7E03FDF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DF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Injekcinis ar infuzinis tirpalas</w:t>
      </w:r>
      <w:r w:rsidRPr="00162DB2">
        <w:rPr>
          <w:rFonts w:ascii="Times New Roman" w:eastAsia="Calibri" w:hAnsi="Times New Roman" w:cs="Times New Roman"/>
          <w:lang w:eastAsia="lt-LT"/>
        </w:rPr>
        <w:t xml:space="preserve"> </w:t>
      </w:r>
    </w:p>
    <w:p w14:paraId="7E03FDFB"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p>
    <w:p w14:paraId="7E03FDFC" w14:textId="77777777" w:rsidR="00162DB2" w:rsidRPr="00162DB2" w:rsidRDefault="00162DB2" w:rsidP="00162DB2">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Ampulės</w:t>
      </w:r>
    </w:p>
    <w:p w14:paraId="7E03FDFD" w14:textId="77777777" w:rsidR="00162DB2" w:rsidRPr="00162DB2" w:rsidRDefault="00162DB2" w:rsidP="00162DB2">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5 x 1 ml </w:t>
      </w:r>
    </w:p>
    <w:p w14:paraId="7E03FDFE"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10 x 1 ml 5 x 2 ml 10 x 2 ml </w:t>
      </w:r>
    </w:p>
    <w:p w14:paraId="7E03FDFF"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2 x 5 ml </w:t>
      </w:r>
    </w:p>
    <w:p w14:paraId="7E03FE00"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5 x 5 ml 2 x 10 ml </w:t>
      </w:r>
    </w:p>
    <w:p w14:paraId="7E03FE01" w14:textId="77777777" w:rsidR="00162DB2" w:rsidRPr="00162DB2" w:rsidRDefault="00162DB2" w:rsidP="00162DB2">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 xml:space="preserve">5 x 10 ml </w:t>
      </w:r>
    </w:p>
    <w:p w14:paraId="7E03FE02"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p>
    <w:p w14:paraId="7E03FE03" w14:textId="77777777" w:rsidR="00162DB2" w:rsidRPr="00162DB2" w:rsidRDefault="00162DB2" w:rsidP="00162DB2">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Flakonai</w:t>
      </w:r>
    </w:p>
    <w:p w14:paraId="7E03FE04" w14:textId="77777777" w:rsidR="00162DB2" w:rsidRPr="00162DB2" w:rsidRDefault="00162DB2" w:rsidP="00162DB2">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 x 1 ml </w:t>
      </w:r>
      <w:r w:rsidRPr="00162DB2">
        <w:rPr>
          <w:rFonts w:ascii="Times New Roman" w:eastAsia="Calibri" w:hAnsi="Times New Roman" w:cs="Times New Roman"/>
          <w:highlight w:val="lightGray"/>
          <w:lang w:eastAsia="lt-LT"/>
        </w:rPr>
        <w:t>5 x 1 mli</w:t>
      </w:r>
    </w:p>
    <w:p w14:paraId="7E03FE05"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10 x 1 ml </w:t>
      </w:r>
    </w:p>
    <w:p w14:paraId="7E03FE06"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5 x 2 ml </w:t>
      </w:r>
    </w:p>
    <w:p w14:paraId="7E03FE07"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10 x 2 ml </w:t>
      </w:r>
    </w:p>
    <w:p w14:paraId="7E03FE08"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2 x 5 ml 1 x 5 ml </w:t>
      </w:r>
    </w:p>
    <w:p w14:paraId="7E03FE09"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 xml:space="preserve">5 x 5 ml 1 x 10 ml 2 x 10 ml </w:t>
      </w:r>
    </w:p>
    <w:p w14:paraId="7E03FE0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 xml:space="preserve">5 x 10 ml </w:t>
      </w:r>
    </w:p>
    <w:p w14:paraId="7E03FE0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0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0D"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highlight w:val="lightGray"/>
          <w:lang w:eastAsia="lt-LT"/>
        </w:rPr>
      </w:pPr>
      <w:r w:rsidRPr="00162DB2">
        <w:rPr>
          <w:rFonts w:ascii="Times New Roman" w:eastAsia="Calibri" w:hAnsi="Times New Roman" w:cs="Times New Roman"/>
          <w:b/>
          <w:bCs/>
          <w:lang w:eastAsia="lt-LT"/>
        </w:rPr>
        <w:t>5.</w:t>
      </w:r>
      <w:r w:rsidRPr="00162DB2">
        <w:rPr>
          <w:rFonts w:ascii="Times New Roman" w:eastAsia="Calibri" w:hAnsi="Times New Roman" w:cs="Times New Roman"/>
          <w:b/>
          <w:bCs/>
          <w:lang w:eastAsia="lt-LT"/>
        </w:rPr>
        <w:tab/>
        <w:t>VARTOJIMO METODAS IR BŪDAS</w:t>
      </w:r>
    </w:p>
    <w:p w14:paraId="7E03FE0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iCs/>
          <w:lang w:eastAsia="lt-LT"/>
        </w:rPr>
      </w:pPr>
    </w:p>
    <w:p w14:paraId="7E03FE0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Leisti į veną. </w:t>
      </w:r>
    </w:p>
    <w:p w14:paraId="7E03FE1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Prieš vartojimą perskaitykite pakuotės lapelį.</w:t>
      </w:r>
    </w:p>
    <w:p w14:paraId="7E03FE1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1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13"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6.</w:t>
      </w:r>
      <w:r w:rsidRPr="00162DB2">
        <w:rPr>
          <w:rFonts w:ascii="Times New Roman" w:eastAsia="Calibri" w:hAnsi="Times New Roman" w:cs="Times New Roman"/>
          <w:b/>
          <w:bCs/>
          <w:lang w:eastAsia="lt-LT"/>
        </w:rPr>
        <w:tab/>
        <w:t>SPECIALUS ĮSPĖJIMAS, KAD VAISTINĮ PREPARATĄ BŪTINA LAIKYTI VAIKAMS    NEPASTEBIMOJE IR NEPASIEKIAMOJE VIETOJE</w:t>
      </w:r>
    </w:p>
    <w:p w14:paraId="7E03FE14"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E1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Laikyti vaikams nepastebimoje ir nepasiekiamoje vietoje.</w:t>
      </w:r>
    </w:p>
    <w:p w14:paraId="7E03FE1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1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18"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highlight w:val="lightGray"/>
          <w:lang w:eastAsia="lt-LT"/>
        </w:rPr>
      </w:pPr>
      <w:r w:rsidRPr="00162DB2">
        <w:rPr>
          <w:rFonts w:ascii="Times New Roman" w:eastAsia="Calibri" w:hAnsi="Times New Roman" w:cs="Times New Roman"/>
          <w:b/>
          <w:bCs/>
          <w:lang w:eastAsia="lt-LT"/>
        </w:rPr>
        <w:t>7.</w:t>
      </w:r>
      <w:r w:rsidRPr="00162DB2">
        <w:rPr>
          <w:rFonts w:ascii="Times New Roman" w:eastAsia="Calibri" w:hAnsi="Times New Roman" w:cs="Times New Roman"/>
          <w:b/>
          <w:bCs/>
          <w:lang w:eastAsia="lt-LT"/>
        </w:rPr>
        <w:tab/>
        <w:t>KITI SPECIALŪS ĮSPĖJIMAI (JEI REIKIA)</w:t>
      </w:r>
    </w:p>
    <w:p w14:paraId="7E03FE1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E1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1B"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highlight w:val="lightGray"/>
          <w:lang w:eastAsia="lt-LT"/>
        </w:rPr>
      </w:pPr>
      <w:r w:rsidRPr="00162DB2">
        <w:rPr>
          <w:rFonts w:ascii="Times New Roman" w:eastAsia="Calibri" w:hAnsi="Times New Roman" w:cs="Times New Roman"/>
          <w:b/>
          <w:bCs/>
          <w:lang w:eastAsia="lt-LT"/>
        </w:rPr>
        <w:t>8.</w:t>
      </w:r>
      <w:r w:rsidRPr="00162DB2">
        <w:rPr>
          <w:rFonts w:ascii="Times New Roman" w:eastAsia="Calibri" w:hAnsi="Times New Roman" w:cs="Times New Roman"/>
          <w:b/>
          <w:bCs/>
          <w:lang w:eastAsia="lt-LT"/>
        </w:rPr>
        <w:tab/>
        <w:t>TINKAMUMO LAIKAS</w:t>
      </w:r>
    </w:p>
    <w:p w14:paraId="7E03FE1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1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EXP &lt;mm/MMMM&gt;</w:t>
      </w:r>
    </w:p>
    <w:p w14:paraId="7E03FE1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Po pirmojo atidarymo, suvartoti nedelsiant.</w:t>
      </w:r>
    </w:p>
    <w:p w14:paraId="7E03FE1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2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21"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9.</w:t>
      </w:r>
      <w:r w:rsidRPr="00162DB2">
        <w:rPr>
          <w:rFonts w:ascii="Times New Roman" w:eastAsia="Calibri" w:hAnsi="Times New Roman" w:cs="Times New Roman"/>
          <w:b/>
          <w:bCs/>
          <w:lang w:eastAsia="lt-LT"/>
        </w:rPr>
        <w:tab/>
        <w:t>SPECIALIOS LAIKYMO SĄLYGOS</w:t>
      </w:r>
    </w:p>
    <w:p w14:paraId="7E03FE2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iCs/>
          <w:color w:val="008000"/>
          <w:lang w:eastAsia="lt-LT"/>
        </w:rPr>
      </w:pPr>
    </w:p>
    <w:p w14:paraId="7E03FE2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bCs/>
          <w:lang w:eastAsia="lt-LT"/>
        </w:rPr>
      </w:pPr>
    </w:p>
    <w:p w14:paraId="7E03FE24" w14:textId="77777777" w:rsidR="00162DB2" w:rsidRPr="00162DB2" w:rsidRDefault="00162DB2" w:rsidP="00162DB2">
      <w:pPr>
        <w:pBdr>
          <w:top w:val="single" w:sz="4" w:space="1" w:color="auto"/>
          <w:left w:val="single" w:sz="4" w:space="1" w:color="auto"/>
          <w:bottom w:val="single" w:sz="4" w:space="1" w:color="auto"/>
          <w:right w:val="single" w:sz="4" w:space="4" w:color="auto"/>
        </w:pBd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10.</w:t>
      </w:r>
      <w:r w:rsidRPr="00162DB2">
        <w:rPr>
          <w:rFonts w:ascii="Times New Roman" w:eastAsia="Calibri" w:hAnsi="Times New Roman" w:cs="Times New Roman"/>
          <w:b/>
          <w:bCs/>
          <w:lang w:eastAsia="lt-LT"/>
        </w:rPr>
        <w:tab/>
      </w:r>
      <w:r w:rsidRPr="00162DB2">
        <w:rPr>
          <w:rFonts w:ascii="Times New Roman" w:eastAsia="Calibri" w:hAnsi="Times New Roman" w:cs="Times New Roman"/>
          <w:b/>
          <w:bCs/>
          <w:caps/>
          <w:lang w:eastAsia="lt-LT"/>
        </w:rPr>
        <w:t>specialios atsargumo priemonės DĖL NESUVARTOTO VAISTINIO PREPARATO AR JO ATLIEKŲ TVARKYMO (JEI REIKIA)</w:t>
      </w:r>
    </w:p>
    <w:p w14:paraId="7E03FE2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26"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skirtas vienkartiniam vartojimui. </w:t>
      </w:r>
    </w:p>
    <w:p w14:paraId="7E03FE27" w14:textId="77777777" w:rsidR="00162DB2" w:rsidRPr="00162DB2" w:rsidRDefault="00162DB2" w:rsidP="00162DB2">
      <w:pPr>
        <w:tabs>
          <w:tab w:val="left" w:pos="120"/>
          <w:tab w:val="left" w:pos="567"/>
        </w:tabs>
        <w:spacing w:after="0" w:line="240" w:lineRule="auto"/>
        <w:rPr>
          <w:rFonts w:ascii="Times New Roman" w:eastAsia="Calibri" w:hAnsi="Times New Roman" w:cs="Times New Roman"/>
          <w:lang w:eastAsia="lt-LT"/>
        </w:rPr>
      </w:pPr>
    </w:p>
    <w:p w14:paraId="7E03FE28" w14:textId="77777777" w:rsidR="00162DB2" w:rsidRPr="00162DB2" w:rsidRDefault="00162DB2" w:rsidP="00162DB2">
      <w:pPr>
        <w:tabs>
          <w:tab w:val="left" w:pos="567"/>
        </w:tabs>
        <w:spacing w:after="0" w:line="260" w:lineRule="exact"/>
        <w:rPr>
          <w:rFonts w:ascii="Times New Roman" w:eastAsia="Times New Roman" w:hAnsi="Times New Roman" w:cs="Times New Roman"/>
          <w:snapToGrid w:val="0"/>
          <w:szCs w:val="24"/>
        </w:rPr>
      </w:pPr>
    </w:p>
    <w:p w14:paraId="7E03FE29"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62DB2">
        <w:rPr>
          <w:rFonts w:ascii="Times New Roman" w:eastAsia="Times New Roman" w:hAnsi="Times New Roman" w:cs="Times New Roman"/>
          <w:b/>
          <w:snapToGrid w:val="0"/>
          <w:szCs w:val="24"/>
        </w:rPr>
        <w:t>11.</w:t>
      </w:r>
      <w:r w:rsidRPr="00162DB2">
        <w:rPr>
          <w:rFonts w:ascii="Times New Roman" w:eastAsia="Times New Roman" w:hAnsi="Times New Roman" w:cs="Times New Roman"/>
          <w:b/>
          <w:snapToGrid w:val="0"/>
          <w:szCs w:val="24"/>
        </w:rPr>
        <w:tab/>
        <w:t xml:space="preserve">REGISTRUOTOJO </w:t>
      </w:r>
      <w:r w:rsidRPr="00162DB2">
        <w:rPr>
          <w:rFonts w:ascii="Times New Roman" w:eastAsia="Times New Roman" w:hAnsi="Times New Roman" w:cs="Times New Roman"/>
          <w:b/>
          <w:caps/>
          <w:snapToGrid w:val="0"/>
          <w:szCs w:val="24"/>
        </w:rPr>
        <w:t>PAVADINIMAS IR ADRESAS</w:t>
      </w:r>
    </w:p>
    <w:p w14:paraId="7E03FE2A" w14:textId="77777777" w:rsidR="00162DB2" w:rsidRPr="00162DB2" w:rsidRDefault="00162DB2" w:rsidP="00162DB2">
      <w:pPr>
        <w:tabs>
          <w:tab w:val="left" w:pos="567"/>
        </w:tabs>
        <w:spacing w:after="0" w:line="260" w:lineRule="exact"/>
        <w:rPr>
          <w:rFonts w:ascii="Times New Roman" w:eastAsia="Times New Roman" w:hAnsi="Times New Roman" w:cs="Times New Roman"/>
          <w:snapToGrid w:val="0"/>
          <w:szCs w:val="24"/>
        </w:rPr>
      </w:pPr>
    </w:p>
    <w:p w14:paraId="7E03FE2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Pharmacosmos</w:t>
      </w:r>
      <w:proofErr w:type="spellEnd"/>
      <w:r w:rsidRPr="00162DB2">
        <w:rPr>
          <w:rFonts w:ascii="Times New Roman" w:eastAsia="Calibri" w:hAnsi="Times New Roman" w:cs="Times New Roman"/>
          <w:lang w:eastAsia="lt-LT"/>
        </w:rPr>
        <w:t xml:space="preserve"> A/S</w:t>
      </w:r>
    </w:p>
    <w:p w14:paraId="7E03FE2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Roervangsvej</w:t>
      </w:r>
      <w:proofErr w:type="spellEnd"/>
      <w:r w:rsidRPr="00162DB2">
        <w:rPr>
          <w:rFonts w:ascii="Times New Roman" w:eastAsia="Calibri" w:hAnsi="Times New Roman" w:cs="Times New Roman"/>
          <w:lang w:eastAsia="lt-LT"/>
        </w:rPr>
        <w:t xml:space="preserve"> 30</w:t>
      </w:r>
    </w:p>
    <w:p w14:paraId="7E03FE2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4300 </w:t>
      </w:r>
      <w:proofErr w:type="spellStart"/>
      <w:r w:rsidRPr="00162DB2">
        <w:rPr>
          <w:rFonts w:ascii="Times New Roman" w:eastAsia="Calibri" w:hAnsi="Times New Roman" w:cs="Times New Roman"/>
          <w:lang w:eastAsia="lt-LT"/>
        </w:rPr>
        <w:t>Holbaek</w:t>
      </w:r>
      <w:proofErr w:type="spellEnd"/>
    </w:p>
    <w:p w14:paraId="7E03FE2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Danija</w:t>
      </w:r>
    </w:p>
    <w:p w14:paraId="7E03FE2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3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31"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12.</w:t>
      </w:r>
      <w:r w:rsidRPr="00162DB2">
        <w:rPr>
          <w:rFonts w:ascii="Times New Roman" w:eastAsia="Calibri" w:hAnsi="Times New Roman" w:cs="Times New Roman"/>
          <w:b/>
          <w:bCs/>
          <w:lang w:eastAsia="lt-LT"/>
        </w:rPr>
        <w:tab/>
        <w:t>REGISTRACIJOS PAŽYMĖJIMO NUMERIS (-IAI)</w:t>
      </w:r>
    </w:p>
    <w:p w14:paraId="7E03FE3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33" w14:textId="77777777" w:rsidR="00162DB2" w:rsidRPr="00162DB2" w:rsidRDefault="00162DB2" w:rsidP="00162DB2">
      <w:pPr>
        <w:tabs>
          <w:tab w:val="left" w:pos="120"/>
          <w:tab w:val="left" w:pos="567"/>
          <w:tab w:val="left" w:pos="900"/>
        </w:tabs>
        <w:spacing w:after="0" w:line="240" w:lineRule="auto"/>
        <w:rPr>
          <w:rFonts w:ascii="Times New Roman" w:eastAsia="Calibri" w:hAnsi="Times New Roman" w:cs="Times New Roman"/>
          <w:bCs/>
          <w:highlight w:val="lightGray"/>
          <w:u w:val="single"/>
          <w:lang w:eastAsia="lt-LT"/>
        </w:rPr>
      </w:pPr>
      <w:r w:rsidRPr="00162DB2">
        <w:rPr>
          <w:rFonts w:ascii="Times New Roman" w:eastAsia="Calibri" w:hAnsi="Times New Roman" w:cs="Times New Roman"/>
          <w:bCs/>
          <w:highlight w:val="lightGray"/>
          <w:u w:val="single"/>
          <w:lang w:eastAsia="lt-LT"/>
        </w:rPr>
        <w:t>Ampulė:</w:t>
      </w:r>
    </w:p>
    <w:p w14:paraId="7E03FE34"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(1 ml), N5 – LT/1/10/1898/001</w:t>
      </w:r>
    </w:p>
    <w:p w14:paraId="7E03FE35"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(1 ml), N10 – LT/1/10/1898/002</w:t>
      </w:r>
    </w:p>
    <w:p w14:paraId="7E03FE36"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(2 ml), N5 – LT/1/10/1898/003</w:t>
      </w:r>
    </w:p>
    <w:p w14:paraId="7E03FE37"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(2 ml), N10 – LT/1/10/1898/004</w:t>
      </w:r>
    </w:p>
    <w:p w14:paraId="7E03FE38"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(5 ml), N2 – LT/1/10/1898/005</w:t>
      </w:r>
    </w:p>
    <w:p w14:paraId="7E03FE39"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(5 ml), N5 – LT/1/10/1898/006</w:t>
      </w:r>
    </w:p>
    <w:p w14:paraId="7E03FE3A"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(10 ml), N2 – LT/1/10/1898/007</w:t>
      </w:r>
    </w:p>
    <w:p w14:paraId="7E03FE3B" w14:textId="77777777" w:rsidR="00162DB2" w:rsidRPr="00162DB2" w:rsidRDefault="00162DB2" w:rsidP="00162DB2">
      <w:pPr>
        <w:spacing w:after="0" w:line="240" w:lineRule="auto"/>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(10 ml), N5 – LT/1/10/1898/008</w:t>
      </w:r>
    </w:p>
    <w:p w14:paraId="7E03FE3C" w14:textId="77777777" w:rsidR="00162DB2" w:rsidRPr="00162DB2" w:rsidRDefault="00162DB2" w:rsidP="00162DB2">
      <w:pPr>
        <w:spacing w:after="0" w:line="240" w:lineRule="auto"/>
        <w:rPr>
          <w:rFonts w:ascii="Times New Roman" w:eastAsia="Calibri" w:hAnsi="Times New Roman" w:cs="Times New Roman"/>
          <w:lang w:eastAsia="lt-LT"/>
        </w:rPr>
      </w:pPr>
    </w:p>
    <w:p w14:paraId="7E03FE3D" w14:textId="77777777" w:rsidR="00162DB2" w:rsidRPr="00162DB2" w:rsidRDefault="00162DB2" w:rsidP="00162DB2">
      <w:pPr>
        <w:tabs>
          <w:tab w:val="left" w:pos="120"/>
          <w:tab w:val="left" w:pos="567"/>
          <w:tab w:val="left" w:pos="900"/>
        </w:tabs>
        <w:spacing w:after="0" w:line="240" w:lineRule="auto"/>
        <w:rPr>
          <w:rFonts w:ascii="Times New Roman" w:eastAsia="Calibri" w:hAnsi="Times New Roman" w:cs="Times New Roman"/>
          <w:bCs/>
          <w:highlight w:val="lightGray"/>
          <w:u w:val="single"/>
          <w:lang w:eastAsia="lt-LT"/>
        </w:rPr>
      </w:pPr>
      <w:r w:rsidRPr="00162DB2">
        <w:rPr>
          <w:rFonts w:ascii="Times New Roman" w:eastAsia="Calibri" w:hAnsi="Times New Roman" w:cs="Times New Roman"/>
          <w:bCs/>
          <w:highlight w:val="lightGray"/>
          <w:u w:val="single"/>
          <w:lang w:eastAsia="lt-LT"/>
        </w:rPr>
        <w:t>Flakonas:</w:t>
      </w:r>
    </w:p>
    <w:p w14:paraId="7E03FE3E" w14:textId="77777777" w:rsidR="00162DB2" w:rsidRPr="00162DB2" w:rsidRDefault="00162DB2" w:rsidP="00162DB2">
      <w:pPr>
        <w:spacing w:after="0" w:line="240" w:lineRule="auto"/>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(1 ml), N1 – LT/1/10/1898/017</w:t>
      </w:r>
    </w:p>
    <w:p w14:paraId="7E03FE3F" w14:textId="77777777" w:rsidR="00162DB2" w:rsidRPr="00162DB2" w:rsidRDefault="00162DB2" w:rsidP="00162DB2">
      <w:pPr>
        <w:spacing w:after="0" w:line="240" w:lineRule="auto"/>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(1 ml),</w:t>
      </w:r>
      <w:r w:rsidRPr="00162DB2">
        <w:rPr>
          <w:rFonts w:ascii="Times New Roman" w:eastAsia="Calibri" w:hAnsi="Times New Roman" w:cs="Times New Roman"/>
          <w:lang w:eastAsia="lt-LT"/>
        </w:rPr>
        <w:t xml:space="preserve"> N5 – LT/1/10/1898/009</w:t>
      </w:r>
    </w:p>
    <w:p w14:paraId="7E03FE40"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(1 ml), N10 – LT/1/10/1898/010</w:t>
      </w:r>
    </w:p>
    <w:p w14:paraId="7E03FE41"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(2 ml), N5 – LT/1/10/1898/011</w:t>
      </w:r>
    </w:p>
    <w:p w14:paraId="7E03FE42"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(2 ml), N10 – LT/1/10/1898/012</w:t>
      </w:r>
    </w:p>
    <w:p w14:paraId="7E03FE43"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lastRenderedPageBreak/>
        <w:t>(5 ml), N1 – LT/1/10/1898/018</w:t>
      </w:r>
    </w:p>
    <w:p w14:paraId="7E03FE44"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(5 ml), N2 – LT/1/10/1898/013</w:t>
      </w:r>
    </w:p>
    <w:p w14:paraId="7E03FE45"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(5 ml), N15 – LT/1/10/1898/014</w:t>
      </w:r>
    </w:p>
    <w:p w14:paraId="7E03FE46"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(10 ml), N1 – LT/1/10/1898/019</w:t>
      </w:r>
    </w:p>
    <w:p w14:paraId="7E03FE47" w14:textId="77777777" w:rsidR="00162DB2" w:rsidRPr="00162DB2" w:rsidRDefault="00162DB2" w:rsidP="00162DB2">
      <w:pPr>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(10 ml), N2 – LT/1/10/1898/015</w:t>
      </w:r>
    </w:p>
    <w:p w14:paraId="7E03FE48" w14:textId="77777777" w:rsidR="00162DB2" w:rsidRPr="00162DB2" w:rsidRDefault="00162DB2" w:rsidP="00162DB2">
      <w:pPr>
        <w:spacing w:after="0" w:line="240" w:lineRule="auto"/>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(10 ml), N15 – LT/1/10/1898/016</w:t>
      </w:r>
    </w:p>
    <w:p w14:paraId="7E03FE4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4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4B"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13.</w:t>
      </w:r>
      <w:r w:rsidRPr="00162DB2">
        <w:rPr>
          <w:rFonts w:ascii="Times New Roman" w:eastAsia="Calibri" w:hAnsi="Times New Roman" w:cs="Times New Roman"/>
          <w:b/>
          <w:bCs/>
          <w:lang w:eastAsia="lt-LT"/>
        </w:rPr>
        <w:tab/>
        <w:t>SERIJOS NUMERIS</w:t>
      </w:r>
    </w:p>
    <w:p w14:paraId="7E03FE4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4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Lot</w:t>
      </w:r>
      <w:proofErr w:type="spellEnd"/>
    </w:p>
    <w:p w14:paraId="7E03FE4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4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50"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14.</w:t>
      </w:r>
      <w:r w:rsidRPr="00162DB2">
        <w:rPr>
          <w:rFonts w:ascii="Times New Roman" w:eastAsia="Calibri" w:hAnsi="Times New Roman" w:cs="Times New Roman"/>
          <w:b/>
          <w:bCs/>
          <w:lang w:eastAsia="lt-LT"/>
        </w:rPr>
        <w:tab/>
        <w:t>PARDAVIMO (IŠDAVIMO)  TVARKA</w:t>
      </w:r>
    </w:p>
    <w:p w14:paraId="7E03FE5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5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Receptinis vaistas.</w:t>
      </w:r>
    </w:p>
    <w:p w14:paraId="7E03FE5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54"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55"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15.</w:t>
      </w:r>
      <w:r w:rsidRPr="00162DB2">
        <w:rPr>
          <w:rFonts w:ascii="Times New Roman" w:eastAsia="Calibri" w:hAnsi="Times New Roman" w:cs="Times New Roman"/>
          <w:b/>
          <w:bCs/>
          <w:lang w:eastAsia="lt-LT"/>
        </w:rPr>
        <w:tab/>
        <w:t>VARTOJIMO INSTRUKCIJA</w:t>
      </w:r>
    </w:p>
    <w:p w14:paraId="7E03FE5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E5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E58"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bCs/>
          <w:lang w:eastAsia="lt-LT"/>
        </w:rPr>
        <w:t>16.</w:t>
      </w:r>
      <w:r w:rsidRPr="00162DB2">
        <w:rPr>
          <w:rFonts w:ascii="Times New Roman" w:eastAsia="Calibri" w:hAnsi="Times New Roman" w:cs="Times New Roman"/>
          <w:b/>
          <w:bCs/>
          <w:lang w:eastAsia="lt-LT"/>
        </w:rPr>
        <w:tab/>
        <w:t>INFORMACIJA BRAILIO RAŠTU</w:t>
      </w:r>
    </w:p>
    <w:p w14:paraId="7E03FE59" w14:textId="77777777" w:rsidR="00162DB2" w:rsidRPr="00162DB2" w:rsidRDefault="00162DB2" w:rsidP="00FF25E5">
      <w:pPr>
        <w:tabs>
          <w:tab w:val="left" w:pos="120"/>
          <w:tab w:val="left" w:pos="567"/>
        </w:tabs>
        <w:spacing w:after="0" w:line="240" w:lineRule="auto"/>
        <w:jc w:val="both"/>
        <w:rPr>
          <w:rFonts w:ascii="Times New Roman" w:eastAsia="Calibri" w:hAnsi="Times New Roman" w:cs="Times New Roman"/>
          <w:b/>
          <w:lang w:eastAsia="lt-LT"/>
        </w:rPr>
      </w:pPr>
    </w:p>
    <w:p w14:paraId="7E03FE5A" w14:textId="77777777" w:rsidR="00162DB2" w:rsidRPr="00162DB2" w:rsidRDefault="00162DB2" w:rsidP="00FF25E5">
      <w:pPr>
        <w:tabs>
          <w:tab w:val="left" w:pos="567"/>
        </w:tabs>
        <w:spacing w:after="0" w:line="240" w:lineRule="auto"/>
        <w:rPr>
          <w:rFonts w:ascii="Times New Roman" w:eastAsia="Times New Roman" w:hAnsi="Times New Roman" w:cs="Times New Roman"/>
          <w:snapToGrid w:val="0"/>
          <w:szCs w:val="24"/>
        </w:rPr>
      </w:pPr>
      <w:r w:rsidRPr="00162DB2">
        <w:rPr>
          <w:rFonts w:ascii="Times New Roman" w:eastAsia="Times New Roman" w:hAnsi="Times New Roman" w:cs="Times New Roman"/>
          <w:snapToGrid w:val="0"/>
          <w:szCs w:val="24"/>
          <w:highlight w:val="lightGray"/>
        </w:rPr>
        <w:t>Priimtas pagrindimas informacijos Brailio raštu nepateikti.</w:t>
      </w:r>
    </w:p>
    <w:p w14:paraId="7E03FE5B" w14:textId="77777777" w:rsidR="00162DB2" w:rsidRPr="00162DB2" w:rsidRDefault="00162DB2" w:rsidP="00FF25E5">
      <w:pPr>
        <w:tabs>
          <w:tab w:val="left" w:pos="567"/>
        </w:tabs>
        <w:spacing w:after="0" w:line="240" w:lineRule="auto"/>
        <w:rPr>
          <w:rFonts w:ascii="Times New Roman" w:eastAsia="Times New Roman" w:hAnsi="Times New Roman" w:cs="Times New Roman"/>
          <w:snapToGrid w:val="0"/>
          <w:szCs w:val="24"/>
        </w:rPr>
      </w:pPr>
    </w:p>
    <w:p w14:paraId="7E03FE5C" w14:textId="77777777" w:rsidR="00162DB2" w:rsidRPr="00162DB2" w:rsidRDefault="00162DB2" w:rsidP="00FF25E5">
      <w:pPr>
        <w:spacing w:after="0" w:line="240" w:lineRule="auto"/>
        <w:rPr>
          <w:shd w:val="clear" w:color="auto" w:fill="CCCCCC"/>
        </w:rPr>
      </w:pPr>
    </w:p>
    <w:p w14:paraId="7E03FE5D" w14:textId="77777777" w:rsidR="00162DB2" w:rsidRPr="00162DB2" w:rsidRDefault="00162DB2" w:rsidP="00FF25E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rPr>
      </w:pPr>
      <w:r w:rsidRPr="00162DB2">
        <w:rPr>
          <w:rFonts w:ascii="Times New Roman" w:hAnsi="Times New Roman" w:cs="Times New Roman"/>
          <w:b/>
        </w:rPr>
        <w:t>17.</w:t>
      </w:r>
      <w:r w:rsidRPr="00162DB2">
        <w:rPr>
          <w:rFonts w:ascii="Times New Roman" w:hAnsi="Times New Roman" w:cs="Times New Roman"/>
          <w:b/>
        </w:rPr>
        <w:tab/>
        <w:t>UNIKALUS IDENTIFIKATORIUS – 2D BRŪKŠNINIS KODAS</w:t>
      </w:r>
    </w:p>
    <w:p w14:paraId="7E03FE5E" w14:textId="77777777" w:rsidR="00162DB2" w:rsidRPr="00162DB2" w:rsidRDefault="00162DB2" w:rsidP="00FF25E5">
      <w:pPr>
        <w:spacing w:after="0" w:line="240" w:lineRule="auto"/>
        <w:rPr>
          <w:rFonts w:ascii="Times New Roman" w:hAnsi="Times New Roman" w:cs="Times New Roman"/>
        </w:rPr>
      </w:pPr>
    </w:p>
    <w:p w14:paraId="7E03FE5F" w14:textId="77777777" w:rsidR="00162DB2" w:rsidRPr="00162DB2" w:rsidRDefault="00162DB2" w:rsidP="00FF25E5">
      <w:pPr>
        <w:spacing w:after="0" w:line="240" w:lineRule="auto"/>
        <w:rPr>
          <w:rFonts w:ascii="Times New Roman" w:hAnsi="Times New Roman" w:cs="Times New Roman"/>
          <w:shd w:val="clear" w:color="auto" w:fill="CCCCCC"/>
        </w:rPr>
      </w:pPr>
      <w:r w:rsidRPr="00162DB2">
        <w:rPr>
          <w:rFonts w:ascii="Times New Roman" w:hAnsi="Times New Roman" w:cs="Times New Roman"/>
          <w:highlight w:val="lightGray"/>
        </w:rPr>
        <w:t>2D brūkšninis kodas su nurodytu unikaliu identifikatoriumi.</w:t>
      </w:r>
    </w:p>
    <w:p w14:paraId="7E03FE64" w14:textId="62A529C8" w:rsidR="00162DB2" w:rsidRPr="00FF25E5" w:rsidRDefault="00162DB2" w:rsidP="00FF25E5">
      <w:pPr>
        <w:spacing w:after="0" w:line="240" w:lineRule="auto"/>
        <w:rPr>
          <w:rFonts w:ascii="Times New Roman" w:hAnsi="Times New Roman"/>
        </w:rPr>
      </w:pPr>
    </w:p>
    <w:p w14:paraId="7540C069" w14:textId="77777777" w:rsidR="00816B4F" w:rsidRPr="00162DB2" w:rsidRDefault="00816B4F" w:rsidP="00FF25E5">
      <w:pPr>
        <w:spacing w:after="0" w:line="240" w:lineRule="auto"/>
        <w:rPr>
          <w:rFonts w:ascii="Times New Roman" w:hAnsi="Times New Roman" w:cs="Times New Roman"/>
        </w:rPr>
      </w:pPr>
    </w:p>
    <w:p w14:paraId="7E03FE65" w14:textId="77777777" w:rsidR="00162DB2" w:rsidRPr="00162DB2" w:rsidRDefault="00162DB2" w:rsidP="00FF25E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rPr>
      </w:pPr>
      <w:r w:rsidRPr="00162DB2">
        <w:rPr>
          <w:rFonts w:ascii="Times New Roman" w:hAnsi="Times New Roman" w:cs="Times New Roman"/>
          <w:b/>
        </w:rPr>
        <w:t>18.</w:t>
      </w:r>
      <w:r w:rsidRPr="00162DB2">
        <w:rPr>
          <w:rFonts w:ascii="Times New Roman" w:hAnsi="Times New Roman" w:cs="Times New Roman"/>
          <w:b/>
        </w:rPr>
        <w:tab/>
        <w:t>UNIKALUS IDENTIFIKATORIUS – ŽMONĖMS SUPRANTAMI DUOMENYS</w:t>
      </w:r>
    </w:p>
    <w:p w14:paraId="66116C7A" w14:textId="77777777" w:rsidR="00FF25E5" w:rsidRDefault="00FF25E5" w:rsidP="00FF25E5">
      <w:pPr>
        <w:spacing w:after="0" w:line="240" w:lineRule="auto"/>
        <w:rPr>
          <w:rFonts w:ascii="Times New Roman" w:hAnsi="Times New Roman" w:cs="Times New Roman"/>
          <w:color w:val="000000" w:themeColor="text1"/>
        </w:rPr>
      </w:pPr>
    </w:p>
    <w:p w14:paraId="7E03FE66" w14:textId="739CEBDD" w:rsidR="00162DB2" w:rsidRPr="00162DB2" w:rsidRDefault="00162DB2" w:rsidP="00FF25E5">
      <w:pPr>
        <w:spacing w:after="0" w:line="240" w:lineRule="auto"/>
        <w:rPr>
          <w:rFonts w:ascii="Times New Roman" w:hAnsi="Times New Roman" w:cs="Times New Roman"/>
          <w:color w:val="000000" w:themeColor="text1"/>
        </w:rPr>
      </w:pPr>
      <w:r w:rsidRPr="00162DB2">
        <w:rPr>
          <w:rFonts w:ascii="Times New Roman" w:hAnsi="Times New Roman" w:cs="Times New Roman"/>
          <w:color w:val="000000" w:themeColor="text1"/>
        </w:rPr>
        <w:t xml:space="preserve">PC: {numeris} SN: {numeris} </w:t>
      </w:r>
    </w:p>
    <w:p w14:paraId="7E03FE67" w14:textId="77777777" w:rsidR="00162DB2" w:rsidRPr="00162DB2" w:rsidRDefault="00162DB2" w:rsidP="00FF25E5">
      <w:pPr>
        <w:spacing w:after="0" w:line="240" w:lineRule="auto"/>
        <w:rPr>
          <w:rFonts w:ascii="Times New Roman" w:hAnsi="Times New Roman" w:cs="Times New Roman"/>
          <w:color w:val="000000" w:themeColor="text1"/>
        </w:rPr>
      </w:pPr>
      <w:r w:rsidRPr="00162DB2">
        <w:rPr>
          <w:rFonts w:ascii="Times New Roman" w:hAnsi="Times New Roman" w:cs="Times New Roman"/>
          <w:color w:val="000000" w:themeColor="text1"/>
        </w:rPr>
        <w:t>NN: {numeris}</w:t>
      </w:r>
    </w:p>
    <w:p w14:paraId="7E03FE68" w14:textId="77777777" w:rsidR="00162DB2" w:rsidRPr="00162DB2" w:rsidRDefault="00162DB2" w:rsidP="00FF25E5">
      <w:pPr>
        <w:spacing w:after="0" w:line="240" w:lineRule="auto"/>
        <w:rPr>
          <w:rFonts w:ascii="Times New Roman" w:hAnsi="Times New Roman" w:cs="Times New Roman"/>
        </w:rPr>
      </w:pPr>
      <w:r w:rsidRPr="00162DB2">
        <w:rPr>
          <w:rFonts w:ascii="Times New Roman" w:hAnsi="Times New Roman" w:cs="Times New Roman"/>
        </w:rPr>
        <w:br w:type="page"/>
      </w:r>
    </w:p>
    <w:p w14:paraId="7E03FE69" w14:textId="77777777" w:rsidR="00162DB2" w:rsidRPr="00162DB2" w:rsidRDefault="00162DB2" w:rsidP="00162DB2">
      <w:pPr>
        <w:spacing w:after="200" w:line="276" w:lineRule="auto"/>
        <w:ind w:left="-198"/>
        <w:rPr>
          <w:rFonts w:ascii="Times New Roman" w:hAnsi="Times New Roman" w:cs="Times New Roman"/>
        </w:rPr>
      </w:pPr>
    </w:p>
    <w:p w14:paraId="7E03FE6A" w14:textId="77777777" w:rsidR="00162DB2" w:rsidRPr="00162DB2" w:rsidRDefault="00162DB2" w:rsidP="00162DB2">
      <w:pPr>
        <w:pBdr>
          <w:top w:val="single" w:sz="4" w:space="1" w:color="auto"/>
          <w:left w:val="single" w:sz="4" w:space="1"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bCs/>
          <w:lang w:eastAsia="lt-LT"/>
        </w:rPr>
      </w:pPr>
      <w:r w:rsidRPr="00162DB2">
        <w:rPr>
          <w:rFonts w:ascii="Times New Roman" w:eastAsia="Calibri" w:hAnsi="Times New Roman" w:cs="Times New Roman"/>
          <w:b/>
          <w:bCs/>
          <w:caps/>
          <w:lang w:eastAsia="lt-LT"/>
        </w:rPr>
        <w:t xml:space="preserve">Minimali informacija ant mažų </w:t>
      </w:r>
      <w:r w:rsidRPr="00162DB2">
        <w:rPr>
          <w:rFonts w:ascii="Times New Roman" w:eastAsia="Calibri" w:hAnsi="Times New Roman" w:cs="Times New Roman"/>
          <w:b/>
          <w:bCs/>
          <w:lang w:eastAsia="lt-LT"/>
        </w:rPr>
        <w:t xml:space="preserve">VIDINIŲ </w:t>
      </w:r>
      <w:r w:rsidRPr="00162DB2">
        <w:rPr>
          <w:rFonts w:ascii="Times New Roman" w:eastAsia="Calibri" w:hAnsi="Times New Roman" w:cs="Times New Roman"/>
          <w:b/>
          <w:bCs/>
          <w:caps/>
          <w:lang w:eastAsia="lt-LT"/>
        </w:rPr>
        <w:t>pakuočių</w:t>
      </w:r>
    </w:p>
    <w:p w14:paraId="7E03FE6B" w14:textId="77777777" w:rsidR="00162DB2" w:rsidRPr="00162DB2" w:rsidRDefault="00162DB2" w:rsidP="00162DB2">
      <w:pPr>
        <w:pBdr>
          <w:top w:val="single" w:sz="4" w:space="1" w:color="auto"/>
          <w:left w:val="single" w:sz="4" w:space="1"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lang w:eastAsia="lt-LT"/>
        </w:rPr>
      </w:pPr>
    </w:p>
    <w:p w14:paraId="7E03FE6C" w14:textId="77777777" w:rsidR="00162DB2" w:rsidRPr="00162DB2" w:rsidRDefault="00162DB2" w:rsidP="00162DB2">
      <w:pPr>
        <w:pBdr>
          <w:top w:val="single" w:sz="4" w:space="1" w:color="auto"/>
          <w:left w:val="single" w:sz="4" w:space="1"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lang w:eastAsia="lt-LT"/>
        </w:rPr>
      </w:pPr>
      <w:r w:rsidRPr="00162DB2">
        <w:rPr>
          <w:rFonts w:ascii="Times New Roman" w:eastAsia="Calibri" w:hAnsi="Times New Roman" w:cs="Times New Roman"/>
          <w:b/>
          <w:lang w:eastAsia="lt-LT"/>
        </w:rPr>
        <w:t>ETIKETĖ flakono/ampulės</w:t>
      </w:r>
    </w:p>
    <w:p w14:paraId="7E03FE6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6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6F"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1.</w:t>
      </w:r>
      <w:r w:rsidRPr="00162DB2">
        <w:rPr>
          <w:rFonts w:ascii="Times New Roman" w:eastAsia="Calibri" w:hAnsi="Times New Roman" w:cs="Times New Roman"/>
          <w:b/>
          <w:bCs/>
          <w:lang w:eastAsia="lt-LT"/>
        </w:rPr>
        <w:tab/>
        <w:t>VAISTINIO PREPARATO PAVADINIMAS IR VARTOJIMO BŪDAS</w:t>
      </w:r>
    </w:p>
    <w:p w14:paraId="7E03FE7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E7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100 mg/ml injekcinis ar infuzinis tirpalas</w:t>
      </w:r>
    </w:p>
    <w:p w14:paraId="7E03FE73" w14:textId="7E753B14" w:rsidR="00162DB2" w:rsidRPr="00520F9D" w:rsidRDefault="00E321C2" w:rsidP="00162DB2">
      <w:pPr>
        <w:tabs>
          <w:tab w:val="left" w:pos="120"/>
          <w:tab w:val="left" w:pos="567"/>
        </w:tabs>
        <w:spacing w:after="0" w:line="240" w:lineRule="auto"/>
        <w:jc w:val="both"/>
        <w:rPr>
          <w:rFonts w:ascii="Times New Roman" w:eastAsia="Calibri" w:hAnsi="Times New Roman" w:cs="Times New Roman"/>
          <w:i/>
          <w:lang w:eastAsia="lt-LT"/>
        </w:rPr>
      </w:pPr>
      <w:proofErr w:type="spellStart"/>
      <w:r w:rsidRPr="00520F9D">
        <w:rPr>
          <w:rFonts w:ascii="Times New Roman" w:eastAsia="Calibri" w:hAnsi="Times New Roman" w:cs="Times New Roman"/>
          <w:i/>
          <w:lang w:eastAsia="lt-LT"/>
        </w:rPr>
        <w:t>ferricum</w:t>
      </w:r>
      <w:proofErr w:type="spellEnd"/>
      <w:r w:rsidRPr="00520F9D">
        <w:rPr>
          <w:rFonts w:ascii="Times New Roman" w:eastAsia="Calibri" w:hAnsi="Times New Roman" w:cs="Times New Roman"/>
          <w:i/>
          <w:lang w:eastAsia="lt-LT"/>
        </w:rPr>
        <w:t xml:space="preserve"> </w:t>
      </w:r>
      <w:proofErr w:type="spellStart"/>
      <w:r w:rsidRPr="00520F9D">
        <w:rPr>
          <w:rFonts w:ascii="Times New Roman" w:eastAsia="Calibri" w:hAnsi="Times New Roman" w:cs="Times New Roman"/>
          <w:i/>
          <w:lang w:eastAsia="lt-LT"/>
        </w:rPr>
        <w:t>derisomaltosum</w:t>
      </w:r>
      <w:proofErr w:type="spellEnd"/>
    </w:p>
    <w:p w14:paraId="7E03FE74" w14:textId="100CB626" w:rsid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52B481EE" w14:textId="77777777" w:rsidR="00520F9D" w:rsidRPr="00162DB2" w:rsidRDefault="00520F9D" w:rsidP="00162DB2">
      <w:pPr>
        <w:tabs>
          <w:tab w:val="left" w:pos="120"/>
          <w:tab w:val="left" w:pos="567"/>
        </w:tabs>
        <w:spacing w:after="0" w:line="240" w:lineRule="auto"/>
        <w:jc w:val="both"/>
        <w:rPr>
          <w:rFonts w:ascii="Times New Roman" w:eastAsia="Calibri" w:hAnsi="Times New Roman" w:cs="Times New Roman"/>
          <w:lang w:eastAsia="lt-LT"/>
        </w:rPr>
      </w:pPr>
    </w:p>
    <w:p w14:paraId="7E03FE75"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bCs/>
          <w:highlight w:val="lightGray"/>
          <w:lang w:eastAsia="lt-LT"/>
        </w:rPr>
      </w:pPr>
      <w:r w:rsidRPr="00162DB2">
        <w:rPr>
          <w:rFonts w:ascii="Times New Roman" w:eastAsia="Calibri" w:hAnsi="Times New Roman" w:cs="Times New Roman"/>
          <w:b/>
          <w:bCs/>
          <w:lang w:eastAsia="lt-LT"/>
        </w:rPr>
        <w:t>2.</w:t>
      </w:r>
      <w:r w:rsidRPr="00162DB2">
        <w:rPr>
          <w:rFonts w:ascii="Times New Roman" w:eastAsia="Calibri" w:hAnsi="Times New Roman" w:cs="Times New Roman"/>
          <w:b/>
          <w:bCs/>
          <w:lang w:eastAsia="lt-LT"/>
        </w:rPr>
        <w:tab/>
        <w:t>VARTOJIMO METODAS</w:t>
      </w:r>
    </w:p>
    <w:p w14:paraId="7E03FE7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7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i.v</w:t>
      </w:r>
      <w:proofErr w:type="spellEnd"/>
      <w:r w:rsidRPr="00162DB2">
        <w:rPr>
          <w:rFonts w:ascii="Times New Roman" w:eastAsia="Calibri" w:hAnsi="Times New Roman" w:cs="Times New Roman"/>
          <w:lang w:eastAsia="lt-LT"/>
        </w:rPr>
        <w:t>.</w:t>
      </w:r>
    </w:p>
    <w:p w14:paraId="7E03FE78"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7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7A"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3.</w:t>
      </w:r>
      <w:r w:rsidRPr="00162DB2">
        <w:rPr>
          <w:rFonts w:ascii="Times New Roman" w:eastAsia="Calibri" w:hAnsi="Times New Roman" w:cs="Times New Roman"/>
          <w:b/>
          <w:bCs/>
          <w:lang w:eastAsia="lt-LT"/>
        </w:rPr>
        <w:tab/>
        <w:t>TINKAMUMO LAIKAS</w:t>
      </w:r>
    </w:p>
    <w:p w14:paraId="7E03FE7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iCs/>
          <w:lang w:eastAsia="lt-LT"/>
        </w:rPr>
      </w:pPr>
    </w:p>
    <w:p w14:paraId="7E03FE7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EXP &lt;mm/MMMM&gt;</w:t>
      </w:r>
    </w:p>
    <w:p w14:paraId="7E03FE7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7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7F"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bCs/>
          <w:highlight w:val="lightGray"/>
          <w:lang w:eastAsia="lt-LT"/>
        </w:rPr>
      </w:pPr>
      <w:r w:rsidRPr="00162DB2">
        <w:rPr>
          <w:rFonts w:ascii="Times New Roman" w:eastAsia="Calibri" w:hAnsi="Times New Roman" w:cs="Times New Roman"/>
          <w:b/>
          <w:bCs/>
          <w:lang w:eastAsia="lt-LT"/>
        </w:rPr>
        <w:t>4.</w:t>
      </w:r>
      <w:r w:rsidRPr="00162DB2">
        <w:rPr>
          <w:rFonts w:ascii="Times New Roman" w:eastAsia="Calibri" w:hAnsi="Times New Roman" w:cs="Times New Roman"/>
          <w:b/>
          <w:bCs/>
          <w:lang w:eastAsia="lt-LT"/>
        </w:rPr>
        <w:tab/>
        <w:t>SERIJOS NUMERIS</w:t>
      </w:r>
    </w:p>
    <w:p w14:paraId="7E03FE8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iCs/>
          <w:lang w:eastAsia="lt-LT"/>
        </w:rPr>
      </w:pPr>
    </w:p>
    <w:p w14:paraId="7E03FE8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iCs/>
          <w:lang w:eastAsia="lt-LT"/>
        </w:rPr>
      </w:pPr>
      <w:proofErr w:type="spellStart"/>
      <w:r w:rsidRPr="00162DB2">
        <w:rPr>
          <w:rFonts w:ascii="Times New Roman" w:eastAsia="Calibri" w:hAnsi="Times New Roman" w:cs="Times New Roman"/>
          <w:lang w:eastAsia="lt-LT"/>
        </w:rPr>
        <w:t>Lot</w:t>
      </w:r>
      <w:proofErr w:type="spellEnd"/>
    </w:p>
    <w:p w14:paraId="7E03FE8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iCs/>
          <w:lang w:eastAsia="lt-LT"/>
        </w:rPr>
      </w:pPr>
    </w:p>
    <w:p w14:paraId="7E03FE8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iCs/>
          <w:lang w:eastAsia="lt-LT"/>
        </w:rPr>
      </w:pPr>
    </w:p>
    <w:p w14:paraId="7E03FE84"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b/>
          <w:bCs/>
          <w:highlight w:val="lightGray"/>
          <w:lang w:eastAsia="lt-LT"/>
        </w:rPr>
      </w:pPr>
      <w:r w:rsidRPr="00162DB2">
        <w:rPr>
          <w:rFonts w:ascii="Times New Roman" w:eastAsia="Calibri" w:hAnsi="Times New Roman" w:cs="Times New Roman"/>
          <w:b/>
          <w:bCs/>
          <w:lang w:eastAsia="lt-LT"/>
        </w:rPr>
        <w:t>5.</w:t>
      </w:r>
      <w:r w:rsidRPr="00162DB2">
        <w:rPr>
          <w:rFonts w:ascii="Times New Roman" w:eastAsia="Calibri" w:hAnsi="Times New Roman" w:cs="Times New Roman"/>
          <w:b/>
          <w:bCs/>
          <w:lang w:eastAsia="lt-LT"/>
        </w:rPr>
        <w:tab/>
      </w:r>
      <w:r w:rsidRPr="00162DB2">
        <w:rPr>
          <w:rFonts w:ascii="Times New Roman" w:eastAsia="Calibri" w:hAnsi="Times New Roman" w:cs="Times New Roman"/>
          <w:b/>
          <w:bCs/>
          <w:caps/>
          <w:lang w:eastAsia="lt-LT"/>
        </w:rPr>
        <w:t>kiekis</w:t>
      </w:r>
      <w:r w:rsidRPr="00162DB2">
        <w:rPr>
          <w:rFonts w:ascii="Times New Roman" w:eastAsia="Calibri" w:hAnsi="Times New Roman" w:cs="Times New Roman"/>
          <w:b/>
          <w:bCs/>
          <w:lang w:eastAsia="lt-LT"/>
        </w:rPr>
        <w:t xml:space="preserve"> (MASĖ, TŪRIS ARBA VIENETAI)</w:t>
      </w:r>
    </w:p>
    <w:p w14:paraId="7E03FE8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8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lang w:eastAsia="lt-LT"/>
        </w:rPr>
        <w:t>1 ml = 100 mg</w:t>
      </w:r>
    </w:p>
    <w:p w14:paraId="7E03FE87"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2 ml = 200 mg</w:t>
      </w:r>
    </w:p>
    <w:p w14:paraId="7E03FE88" w14:textId="77777777" w:rsidR="00162DB2" w:rsidRPr="00162DB2" w:rsidRDefault="00162DB2" w:rsidP="00162DB2">
      <w:pPr>
        <w:tabs>
          <w:tab w:val="left" w:pos="567"/>
        </w:tabs>
        <w:spacing w:after="0" w:line="240" w:lineRule="auto"/>
        <w:rPr>
          <w:rFonts w:ascii="Times New Roman" w:eastAsia="Calibri" w:hAnsi="Times New Roman" w:cs="Times New Roman"/>
          <w:highlight w:val="lightGray"/>
          <w:lang w:eastAsia="lt-LT"/>
        </w:rPr>
      </w:pPr>
      <w:r w:rsidRPr="00162DB2">
        <w:rPr>
          <w:rFonts w:ascii="Times New Roman" w:eastAsia="Calibri" w:hAnsi="Times New Roman" w:cs="Times New Roman"/>
          <w:highlight w:val="lightGray"/>
          <w:lang w:eastAsia="lt-LT"/>
        </w:rPr>
        <w:t>5 ml = 500 mg</w:t>
      </w:r>
    </w:p>
    <w:p w14:paraId="7E03FE8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highlight w:val="lightGray"/>
          <w:lang w:eastAsia="lt-LT"/>
        </w:rPr>
        <w:t>10 ml = 1000 mg</w:t>
      </w:r>
    </w:p>
    <w:p w14:paraId="7E03FE8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8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8C" w14:textId="77777777" w:rsidR="00162DB2" w:rsidRPr="00162DB2" w:rsidRDefault="00162DB2" w:rsidP="00162DB2">
      <w:pPr>
        <w:pBdr>
          <w:top w:val="single" w:sz="4" w:space="1" w:color="auto"/>
          <w:left w:val="single" w:sz="4" w:space="4" w:color="auto"/>
          <w:bottom w:val="single" w:sz="4" w:space="1" w:color="auto"/>
          <w:right w:val="single" w:sz="4" w:space="4" w:color="auto"/>
        </w:pBdr>
        <w:tabs>
          <w:tab w:val="left" w:pos="120"/>
          <w:tab w:val="left" w:pos="567"/>
        </w:tabs>
        <w:spacing w:after="0" w:line="240" w:lineRule="auto"/>
        <w:jc w:val="both"/>
        <w:rPr>
          <w:rFonts w:ascii="Times New Roman" w:eastAsia="Calibri" w:hAnsi="Times New Roman" w:cs="Times New Roman"/>
          <w:lang w:eastAsia="lt-LT"/>
        </w:rPr>
      </w:pPr>
      <w:r w:rsidRPr="00162DB2">
        <w:rPr>
          <w:rFonts w:ascii="Times New Roman" w:eastAsia="Calibri" w:hAnsi="Times New Roman" w:cs="Times New Roman"/>
          <w:b/>
          <w:bCs/>
          <w:lang w:eastAsia="lt-LT"/>
        </w:rPr>
        <w:t>6. KITA</w:t>
      </w:r>
    </w:p>
    <w:p w14:paraId="7E03FE8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8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8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r w:rsidRPr="00162DB2">
        <w:rPr>
          <w:rFonts w:ascii="Times New Roman" w:eastAsia="Calibri" w:hAnsi="Times New Roman" w:cs="Times New Roman"/>
          <w:lang w:eastAsia="lt-LT"/>
        </w:rPr>
        <w:br w:type="page"/>
      </w:r>
    </w:p>
    <w:p w14:paraId="7E03FE9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4"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8"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Cs/>
          <w:lang w:eastAsia="lt-LT"/>
        </w:rPr>
      </w:pPr>
    </w:p>
    <w:p w14:paraId="7E03FE9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bCs/>
          <w:lang w:eastAsia="lt-LT"/>
        </w:rPr>
      </w:pPr>
    </w:p>
    <w:p w14:paraId="7E03FE9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bCs/>
          <w:lang w:eastAsia="lt-LT"/>
        </w:rPr>
      </w:pPr>
    </w:p>
    <w:p w14:paraId="7E03FEA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bCs/>
          <w:lang w:eastAsia="lt-LT"/>
        </w:rPr>
      </w:pPr>
    </w:p>
    <w:p w14:paraId="7E03FEA1"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bCs/>
          <w:lang w:eastAsia="lt-LT"/>
        </w:rPr>
      </w:pPr>
    </w:p>
    <w:p w14:paraId="7E03FEA2"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bCs/>
          <w:lang w:eastAsia="lt-LT"/>
        </w:rPr>
      </w:pPr>
    </w:p>
    <w:p w14:paraId="7E03FEA3"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bCs/>
          <w:lang w:eastAsia="lt-LT"/>
        </w:rPr>
      </w:pPr>
    </w:p>
    <w:p w14:paraId="7E03FEA4"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bCs/>
          <w:lang w:eastAsia="lt-LT"/>
        </w:rPr>
      </w:pPr>
    </w:p>
    <w:p w14:paraId="7E03FEA5"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bCs/>
          <w:lang w:eastAsia="lt-LT"/>
        </w:rPr>
      </w:pPr>
    </w:p>
    <w:p w14:paraId="7E03FEA6"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bCs/>
          <w:lang w:eastAsia="lt-LT"/>
        </w:rPr>
      </w:pPr>
    </w:p>
    <w:p w14:paraId="7E03FEA7" w14:textId="77777777" w:rsidR="00162DB2" w:rsidRPr="00162DB2" w:rsidRDefault="00162DB2" w:rsidP="00162DB2">
      <w:pPr>
        <w:tabs>
          <w:tab w:val="left" w:pos="120"/>
          <w:tab w:val="left" w:pos="567"/>
        </w:tabs>
        <w:spacing w:after="0" w:line="240" w:lineRule="auto"/>
        <w:jc w:val="center"/>
        <w:rPr>
          <w:rFonts w:ascii="Times New Roman" w:eastAsia="Calibri" w:hAnsi="Times New Roman" w:cs="Times New Roman"/>
          <w:b/>
          <w:lang w:eastAsia="lt-LT"/>
        </w:rPr>
      </w:pPr>
      <w:r w:rsidRPr="00162DB2">
        <w:rPr>
          <w:rFonts w:ascii="Times New Roman" w:eastAsia="Calibri" w:hAnsi="Times New Roman" w:cs="Times New Roman"/>
          <w:b/>
          <w:bCs/>
          <w:lang w:eastAsia="lt-LT"/>
        </w:rPr>
        <w:t>B. PAKUOTĖS LAPELIS</w:t>
      </w:r>
    </w:p>
    <w:p w14:paraId="7E03FEA8"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b/>
          <w:lang w:eastAsia="lt-LT"/>
        </w:rPr>
      </w:pPr>
    </w:p>
    <w:p w14:paraId="7E03FEA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A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A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A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A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A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A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4"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5"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6"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7"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8"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9"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A"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B"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C"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D"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E"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BF"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C0"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C1"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C2"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E03FEC3" w14:textId="77777777" w:rsidR="00162DB2" w:rsidRPr="00162DB2" w:rsidRDefault="00162DB2" w:rsidP="00162DB2">
      <w:pPr>
        <w:tabs>
          <w:tab w:val="left" w:pos="120"/>
          <w:tab w:val="left" w:pos="567"/>
        </w:tabs>
        <w:spacing w:after="0" w:line="240" w:lineRule="auto"/>
        <w:jc w:val="both"/>
        <w:rPr>
          <w:rFonts w:ascii="Times New Roman" w:eastAsia="Calibri" w:hAnsi="Times New Roman" w:cs="Times New Roman"/>
          <w:lang w:eastAsia="lt-LT"/>
        </w:rPr>
      </w:pPr>
    </w:p>
    <w:p w14:paraId="7CDF6596" w14:textId="77777777" w:rsidR="005A24FA" w:rsidRPr="00162DB2" w:rsidRDefault="00816B4F" w:rsidP="005A24FA">
      <w:pPr>
        <w:spacing w:after="0" w:line="240" w:lineRule="auto"/>
        <w:jc w:val="center"/>
        <w:outlineLvl w:val="0"/>
        <w:rPr>
          <w:rFonts w:ascii="Times New Roman" w:eastAsia="Calibri" w:hAnsi="Times New Roman" w:cs="Times New Roman"/>
          <w:b/>
          <w:lang w:eastAsia="lt-LT"/>
        </w:rPr>
      </w:pPr>
      <w:r>
        <w:rPr>
          <w:rFonts w:ascii="Times New Roman" w:eastAsia="Calibri" w:hAnsi="Times New Roman" w:cs="Times New Roman"/>
          <w:lang w:eastAsia="lt-LT"/>
        </w:rPr>
        <w:br w:type="page"/>
      </w:r>
      <w:r w:rsidR="005A24FA" w:rsidRPr="00162DB2">
        <w:rPr>
          <w:rFonts w:ascii="Times New Roman" w:eastAsia="Calibri" w:hAnsi="Times New Roman" w:cs="Times New Roman"/>
          <w:b/>
          <w:lang w:eastAsia="lt-LT"/>
        </w:rPr>
        <w:lastRenderedPageBreak/>
        <w:t>Pakuotės lapelis: informacija vartotojui</w:t>
      </w:r>
    </w:p>
    <w:p w14:paraId="21491644" w14:textId="77777777" w:rsidR="005A24FA" w:rsidRPr="00162DB2" w:rsidRDefault="005A24FA" w:rsidP="005A24FA">
      <w:pPr>
        <w:tabs>
          <w:tab w:val="left" w:pos="120"/>
          <w:tab w:val="left" w:pos="567"/>
        </w:tabs>
        <w:spacing w:after="0" w:line="240" w:lineRule="auto"/>
        <w:jc w:val="center"/>
        <w:rPr>
          <w:rFonts w:ascii="Times New Roman" w:eastAsia="Calibri" w:hAnsi="Times New Roman" w:cs="Times New Roman"/>
          <w:b/>
          <w:lang w:eastAsia="lt-LT"/>
        </w:rPr>
      </w:pPr>
    </w:p>
    <w:p w14:paraId="0BE80267" w14:textId="77777777" w:rsidR="005A24FA" w:rsidRPr="00162DB2" w:rsidRDefault="005A24FA" w:rsidP="005A24FA">
      <w:pPr>
        <w:numPr>
          <w:ilvl w:val="12"/>
          <w:numId w:val="0"/>
        </w:numPr>
        <w:tabs>
          <w:tab w:val="left" w:pos="567"/>
        </w:tabs>
        <w:spacing w:after="0" w:line="240" w:lineRule="auto"/>
        <w:jc w:val="center"/>
        <w:rPr>
          <w:rFonts w:ascii="Times New Roman" w:eastAsia="Calibri" w:hAnsi="Times New Roman" w:cs="Times New Roman"/>
          <w:b/>
          <w:bCs/>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100 mg/ml injekcinis ar infuzinis tirpalas</w:t>
      </w:r>
    </w:p>
    <w:p w14:paraId="5EB0D8C5" w14:textId="77777777" w:rsidR="005A24FA" w:rsidRPr="000C6C45" w:rsidRDefault="005A24FA" w:rsidP="005A24FA">
      <w:pPr>
        <w:tabs>
          <w:tab w:val="left" w:pos="120"/>
          <w:tab w:val="left" w:pos="567"/>
        </w:tabs>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 xml:space="preserve">geležies </w:t>
      </w:r>
      <w:proofErr w:type="spellStart"/>
      <w:r>
        <w:rPr>
          <w:rFonts w:ascii="Times New Roman" w:eastAsia="Calibri" w:hAnsi="Times New Roman" w:cs="Times New Roman"/>
          <w:bCs/>
          <w:lang w:eastAsia="lt-LT"/>
        </w:rPr>
        <w:t>derisomaltozė</w:t>
      </w:r>
      <w:proofErr w:type="spellEnd"/>
    </w:p>
    <w:p w14:paraId="4178F5FA" w14:textId="77777777" w:rsidR="005A24FA" w:rsidRPr="00162DB2" w:rsidRDefault="005A24FA" w:rsidP="005A24FA">
      <w:pPr>
        <w:tabs>
          <w:tab w:val="left" w:pos="120"/>
          <w:tab w:val="left" w:pos="567"/>
        </w:tabs>
        <w:spacing w:after="0" w:line="240" w:lineRule="auto"/>
        <w:jc w:val="both"/>
        <w:rPr>
          <w:rFonts w:ascii="Times New Roman" w:eastAsia="Calibri" w:hAnsi="Times New Roman" w:cs="Times New Roman"/>
          <w:lang w:eastAsia="lt-LT"/>
        </w:rPr>
      </w:pPr>
    </w:p>
    <w:p w14:paraId="58814DB0" w14:textId="77777777" w:rsidR="005A24FA" w:rsidRPr="00162DB2" w:rsidRDefault="005A24FA" w:rsidP="005A24FA">
      <w:pPr>
        <w:spacing w:after="0" w:line="240" w:lineRule="auto"/>
        <w:rPr>
          <w:rFonts w:ascii="Times New Roman" w:eastAsia="Calibri" w:hAnsi="Times New Roman" w:cs="Times New Roman"/>
          <w:b/>
          <w:lang w:eastAsia="lt-LT"/>
        </w:rPr>
      </w:pPr>
    </w:p>
    <w:p w14:paraId="738E38EB" w14:textId="77777777" w:rsidR="005A24FA" w:rsidRPr="00162DB2" w:rsidRDefault="005A24FA" w:rsidP="005A24FA">
      <w:pPr>
        <w:tabs>
          <w:tab w:val="left" w:pos="567"/>
        </w:tabs>
        <w:spacing w:after="0" w:line="240" w:lineRule="auto"/>
        <w:rPr>
          <w:rFonts w:ascii="Times New Roman" w:eastAsia="Times New Roman" w:hAnsi="Times New Roman" w:cs="Times New Roman"/>
          <w:b/>
        </w:rPr>
      </w:pPr>
      <w:r w:rsidRPr="00162DB2">
        <w:rPr>
          <w:rFonts w:ascii="Times New Roman" w:eastAsia="Times New Roman" w:hAnsi="Times New Roman" w:cs="Times New Roman"/>
          <w:b/>
        </w:rPr>
        <w:t xml:space="preserve">Atidžiai perskaitykite visą šį lapelį, prieš pradėdami vartoti vaistą, nes jame pateikiama Jums svarbi informacija. </w:t>
      </w:r>
    </w:p>
    <w:p w14:paraId="322A835C" w14:textId="77777777" w:rsidR="005A24FA" w:rsidRPr="00162DB2" w:rsidRDefault="005A24FA" w:rsidP="005A24FA">
      <w:pPr>
        <w:tabs>
          <w:tab w:val="num" w:pos="360"/>
        </w:tabs>
        <w:spacing w:after="0" w:line="240" w:lineRule="auto"/>
        <w:jc w:val="both"/>
        <w:rPr>
          <w:rFonts w:ascii="Times New Roman" w:eastAsia="Times New Roman" w:hAnsi="Times New Roman" w:cs="Times New Roman"/>
        </w:rPr>
      </w:pPr>
      <w:r w:rsidRPr="00162DB2">
        <w:rPr>
          <w:rFonts w:ascii="Times New Roman" w:eastAsia="Times New Roman" w:hAnsi="Times New Roman" w:cs="Times New Roman"/>
        </w:rPr>
        <w:t>-</w:t>
      </w:r>
      <w:r w:rsidRPr="00162DB2">
        <w:rPr>
          <w:rFonts w:ascii="Times New Roman" w:eastAsia="Times New Roman" w:hAnsi="Times New Roman" w:cs="Times New Roman"/>
        </w:rPr>
        <w:tab/>
        <w:t>Neišmeskite šio lapelio, nes vėl gali prireikti jį perskaityti.</w:t>
      </w:r>
    </w:p>
    <w:p w14:paraId="23FE4128" w14:textId="77777777" w:rsidR="005A24FA" w:rsidRPr="00162DB2" w:rsidRDefault="005A24FA" w:rsidP="005A24FA">
      <w:pPr>
        <w:tabs>
          <w:tab w:val="num" w:pos="360"/>
        </w:tabs>
        <w:spacing w:after="0" w:line="240" w:lineRule="auto"/>
        <w:jc w:val="both"/>
        <w:rPr>
          <w:rFonts w:ascii="Times New Roman" w:eastAsia="Times New Roman" w:hAnsi="Times New Roman" w:cs="Times New Roman"/>
        </w:rPr>
      </w:pPr>
      <w:r w:rsidRPr="00162DB2">
        <w:rPr>
          <w:rFonts w:ascii="Times New Roman" w:eastAsia="Times New Roman" w:hAnsi="Times New Roman" w:cs="Times New Roman"/>
        </w:rPr>
        <w:t>-</w:t>
      </w:r>
      <w:r w:rsidRPr="00162DB2">
        <w:rPr>
          <w:rFonts w:ascii="Times New Roman" w:eastAsia="Times New Roman" w:hAnsi="Times New Roman" w:cs="Times New Roman"/>
        </w:rPr>
        <w:tab/>
        <w:t>Jeigu kiltų daugiau klausimų, kreipkitės į gydytoją arba slaugytoją.</w:t>
      </w:r>
    </w:p>
    <w:p w14:paraId="6C16621D" w14:textId="77777777" w:rsidR="005A24FA" w:rsidRPr="00162DB2" w:rsidRDefault="005A24FA" w:rsidP="005A24FA">
      <w:pPr>
        <w:tabs>
          <w:tab w:val="num" w:pos="360"/>
        </w:tabs>
        <w:spacing w:after="0" w:line="240" w:lineRule="auto"/>
        <w:ind w:left="360" w:hanging="360"/>
        <w:jc w:val="both"/>
        <w:rPr>
          <w:rFonts w:ascii="Times New Roman" w:eastAsia="Times New Roman" w:hAnsi="Times New Roman" w:cs="Times New Roman"/>
        </w:rPr>
      </w:pPr>
      <w:r w:rsidRPr="00162DB2">
        <w:rPr>
          <w:rFonts w:ascii="Times New Roman" w:eastAsia="Times New Roman" w:hAnsi="Times New Roman" w:cs="Times New Roman"/>
        </w:rPr>
        <w:t>-</w:t>
      </w:r>
      <w:r w:rsidRPr="00162DB2">
        <w:rPr>
          <w:rFonts w:ascii="Times New Roman" w:eastAsia="Times New Roman" w:hAnsi="Times New Roman" w:cs="Times New Roman"/>
        </w:rPr>
        <w:tab/>
        <w:t>Jeigu pasireiškė šalutinis poveikis (net jeigu jis šiame lapelyje nenurodytas), kreipkitės į gydytoją arba slaugytoją. Žr. 4 skyrių.</w:t>
      </w:r>
    </w:p>
    <w:p w14:paraId="31BED06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04E89A4" w14:textId="77777777" w:rsidR="005A24FA" w:rsidRPr="00162DB2" w:rsidRDefault="005A24FA" w:rsidP="005A24FA">
      <w:pPr>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Apie ką rašoma šiame lapelyje?</w:t>
      </w:r>
    </w:p>
    <w:p w14:paraId="60031A3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 Kas yra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ir kam jis vartojamas </w:t>
      </w:r>
    </w:p>
    <w:p w14:paraId="72118E5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Kas žinotina prieš vartojant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vertAlign w:val="superscript"/>
          <w:lang w:eastAsia="lt-LT"/>
        </w:rPr>
        <w:t xml:space="preserve"> </w:t>
      </w:r>
    </w:p>
    <w:p w14:paraId="268D959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3. Kaip vartoti </w:t>
      </w:r>
      <w:proofErr w:type="spellStart"/>
      <w:r w:rsidRPr="00162DB2">
        <w:rPr>
          <w:rFonts w:ascii="Times New Roman" w:eastAsia="Calibri" w:hAnsi="Times New Roman" w:cs="Times New Roman"/>
          <w:lang w:eastAsia="lt-LT"/>
        </w:rPr>
        <w:t>Monofer</w:t>
      </w:r>
      <w:proofErr w:type="spellEnd"/>
    </w:p>
    <w:p w14:paraId="20B0858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4. Galimas šalutinis poveikis</w:t>
      </w:r>
    </w:p>
    <w:p w14:paraId="2EFEF39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5. Kaip laikyti </w:t>
      </w:r>
      <w:proofErr w:type="spellStart"/>
      <w:r w:rsidRPr="00162DB2">
        <w:rPr>
          <w:rFonts w:ascii="Times New Roman" w:eastAsia="Calibri" w:hAnsi="Times New Roman" w:cs="Times New Roman"/>
          <w:lang w:eastAsia="lt-LT"/>
        </w:rPr>
        <w:t>Monofer</w:t>
      </w:r>
      <w:proofErr w:type="spellEnd"/>
    </w:p>
    <w:p w14:paraId="05D4C60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6. Pakuotės turinys ir kita informacija</w:t>
      </w:r>
    </w:p>
    <w:p w14:paraId="4EBC9A0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46F03C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1F1747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1. Kas yra </w:t>
      </w: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ir kam jis vartojamas</w:t>
      </w:r>
    </w:p>
    <w:p w14:paraId="470EAEE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1958EFC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sudėtyje yra geležies, esančios komplekse su </w:t>
      </w:r>
      <w:proofErr w:type="spellStart"/>
      <w:r>
        <w:rPr>
          <w:rFonts w:ascii="Times New Roman" w:eastAsia="Calibri" w:hAnsi="Times New Roman" w:cs="Times New Roman"/>
          <w:lang w:eastAsia="lt-LT"/>
        </w:rPr>
        <w:t>derisomaltoze</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 xml:space="preserve">(ilgos grandinės cukraus molekulė). Šis geležies tipas yra analogiškas </w:t>
      </w:r>
      <w:proofErr w:type="spellStart"/>
      <w:r w:rsidRPr="00162DB2">
        <w:rPr>
          <w:rFonts w:ascii="Times New Roman" w:eastAsia="Calibri" w:hAnsi="Times New Roman" w:cs="Times New Roman"/>
          <w:lang w:eastAsia="lt-LT"/>
        </w:rPr>
        <w:t>feritinui</w:t>
      </w:r>
      <w:proofErr w:type="spellEnd"/>
      <w:r w:rsidRPr="00162DB2">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sym w:font="Symbol" w:char="F02D"/>
      </w:r>
      <w:r w:rsidRPr="00162DB2">
        <w:rPr>
          <w:rFonts w:ascii="Times New Roman" w:eastAsia="Calibri" w:hAnsi="Times New Roman" w:cs="Times New Roman"/>
          <w:lang w:eastAsia="lt-LT"/>
        </w:rPr>
        <w:t xml:space="preserve"> fiziologinei organizme esančiai geležies formai. Dėl to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pacientui gali būti švirkščiama didelėmis dozėmis.</w:t>
      </w:r>
    </w:p>
    <w:p w14:paraId="03F32B3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2CD9DD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yra skirtas per mažiems geležies kiekiams (vadinamajam geležies trūkumui arba geležies stokos anemijai) gydyti, kai:</w:t>
      </w:r>
    </w:p>
    <w:p w14:paraId="452E3307" w14:textId="77777777" w:rsidR="005A24FA" w:rsidRPr="00162DB2" w:rsidRDefault="005A24FA" w:rsidP="005A24FA">
      <w:pPr>
        <w:numPr>
          <w:ilvl w:val="0"/>
          <w:numId w:val="21"/>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gydymas geriama geležimi yra neveiksmingas arba Jūs negalite jo toleruoti; </w:t>
      </w:r>
    </w:p>
    <w:p w14:paraId="1868642B" w14:textId="77777777" w:rsidR="005A24FA" w:rsidRPr="00162DB2" w:rsidRDefault="005A24FA" w:rsidP="005A24FA">
      <w:pPr>
        <w:numPr>
          <w:ilvl w:val="0"/>
          <w:numId w:val="21"/>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gydytojas nusprendžia, kad būtina greitai papildyti geležies atsargas.</w:t>
      </w:r>
    </w:p>
    <w:p w14:paraId="77D78A2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2DCE84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FC765B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2. Kas žinotina prieš vartojant </w:t>
      </w:r>
      <w:proofErr w:type="spellStart"/>
      <w:r w:rsidRPr="00162DB2">
        <w:rPr>
          <w:rFonts w:ascii="Times New Roman" w:eastAsia="Calibri" w:hAnsi="Times New Roman" w:cs="Times New Roman"/>
          <w:b/>
          <w:bCs/>
          <w:lang w:eastAsia="lt-LT"/>
        </w:rPr>
        <w:t>Monofer</w:t>
      </w:r>
      <w:proofErr w:type="spellEnd"/>
    </w:p>
    <w:p w14:paraId="6F964F0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463DF0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vartoti negalima:</w:t>
      </w:r>
    </w:p>
    <w:p w14:paraId="366FA44D" w14:textId="77777777" w:rsidR="005A24FA" w:rsidRPr="00162DB2" w:rsidRDefault="005A24FA" w:rsidP="005A24FA">
      <w:pPr>
        <w:numPr>
          <w:ilvl w:val="0"/>
          <w:numId w:val="35"/>
        </w:numPr>
        <w:tabs>
          <w:tab w:val="left" w:pos="120"/>
          <w:tab w:val="left" w:pos="567"/>
        </w:tabs>
        <w:spacing w:after="0" w:line="240" w:lineRule="auto"/>
        <w:ind w:left="567" w:hanging="207"/>
        <w:rPr>
          <w:rFonts w:ascii="Times New Roman" w:eastAsia="Calibri" w:hAnsi="Times New Roman" w:cs="Times New Roman"/>
          <w:lang w:eastAsia="lt-LT"/>
        </w:rPr>
      </w:pPr>
      <w:r w:rsidRPr="00162DB2">
        <w:rPr>
          <w:rFonts w:ascii="Times New Roman" w:eastAsia="Calibri" w:hAnsi="Times New Roman" w:cs="Times New Roman"/>
          <w:lang w:eastAsia="lt-LT"/>
        </w:rPr>
        <w:t>jeigu yra alergija (padidėjęs jautrumas) šiam vaistui ar bet kuriai pagalbinei šio vaisto medžiagai (jos išvardytos 6 skyriuje);</w:t>
      </w:r>
    </w:p>
    <w:p w14:paraId="73FEDD95" w14:textId="77777777" w:rsidR="005A24FA" w:rsidRPr="00162DB2" w:rsidRDefault="005A24FA" w:rsidP="005A24FA">
      <w:pPr>
        <w:numPr>
          <w:ilvl w:val="0"/>
          <w:numId w:val="35"/>
        </w:numPr>
        <w:tabs>
          <w:tab w:val="left" w:pos="120"/>
          <w:tab w:val="left" w:pos="567"/>
        </w:tabs>
        <w:spacing w:after="0" w:line="240" w:lineRule="auto"/>
        <w:ind w:left="567" w:hanging="207"/>
        <w:rPr>
          <w:rFonts w:ascii="Times New Roman" w:eastAsia="Calibri" w:hAnsi="Times New Roman" w:cs="Times New Roman"/>
          <w:lang w:eastAsia="lt-LT"/>
        </w:rPr>
      </w:pPr>
      <w:r w:rsidRPr="00162DB2">
        <w:rPr>
          <w:rFonts w:ascii="Times New Roman" w:eastAsia="Calibri" w:hAnsi="Times New Roman" w:cs="Times New Roman"/>
          <w:lang w:eastAsia="lt-LT"/>
        </w:rPr>
        <w:t>jeigu yra pasireiškusi sunki alerginė (padidėjusio jautrumo) reakcija kitiems leidžiamiesiems geležies preparatams;</w:t>
      </w:r>
    </w:p>
    <w:p w14:paraId="1387A580" w14:textId="77777777" w:rsidR="005A24FA" w:rsidRPr="00162DB2" w:rsidRDefault="005A24FA" w:rsidP="005A24FA">
      <w:pPr>
        <w:numPr>
          <w:ilvl w:val="0"/>
          <w:numId w:val="35"/>
        </w:numPr>
        <w:tabs>
          <w:tab w:val="left" w:pos="120"/>
          <w:tab w:val="left" w:pos="567"/>
        </w:tabs>
        <w:spacing w:after="0" w:line="240" w:lineRule="auto"/>
        <w:ind w:left="567" w:hanging="207"/>
        <w:rPr>
          <w:rFonts w:ascii="Times New Roman" w:eastAsia="Calibri" w:hAnsi="Times New Roman" w:cs="Times New Roman"/>
          <w:bCs/>
          <w:lang w:eastAsia="lt-LT"/>
        </w:rPr>
      </w:pPr>
      <w:r w:rsidRPr="00162DB2">
        <w:rPr>
          <w:rFonts w:ascii="Times New Roman" w:eastAsia="Calibri" w:hAnsi="Times New Roman" w:cs="Times New Roman"/>
          <w:lang w:eastAsia="lt-LT"/>
        </w:rPr>
        <w:t xml:space="preserve">jeigu sergate anemija </w:t>
      </w:r>
      <w:r w:rsidRPr="0056355F">
        <w:rPr>
          <w:rFonts w:ascii="Times New Roman" w:eastAsia="Calibri" w:hAnsi="Times New Roman" w:cs="Times New Roman"/>
          <w:lang w:eastAsia="lt-LT"/>
        </w:rPr>
        <w:t>ne</w:t>
      </w:r>
      <w:r w:rsidRPr="00162DB2">
        <w:rPr>
          <w:rFonts w:ascii="Times New Roman" w:eastAsia="Calibri" w:hAnsi="Times New Roman" w:cs="Times New Roman"/>
          <w:lang w:eastAsia="lt-LT"/>
        </w:rPr>
        <w:t xml:space="preserve"> dėl geležies trūkumo; </w:t>
      </w:r>
    </w:p>
    <w:p w14:paraId="55E4E974" w14:textId="77777777" w:rsidR="005A24FA" w:rsidRPr="00162DB2" w:rsidRDefault="005A24FA" w:rsidP="005A24FA">
      <w:pPr>
        <w:numPr>
          <w:ilvl w:val="0"/>
          <w:numId w:val="35"/>
        </w:numPr>
        <w:tabs>
          <w:tab w:val="left" w:pos="120"/>
          <w:tab w:val="left" w:pos="567"/>
        </w:tabs>
        <w:spacing w:after="0" w:line="240" w:lineRule="auto"/>
        <w:ind w:left="567" w:hanging="207"/>
        <w:rPr>
          <w:rFonts w:ascii="Times New Roman" w:eastAsia="Calibri" w:hAnsi="Times New Roman" w:cs="Times New Roman"/>
          <w:bCs/>
          <w:lang w:eastAsia="lt-LT"/>
        </w:rPr>
      </w:pPr>
      <w:r w:rsidRPr="00162DB2">
        <w:rPr>
          <w:rFonts w:ascii="Times New Roman" w:eastAsia="Calibri" w:hAnsi="Times New Roman" w:cs="Times New Roman"/>
          <w:lang w:eastAsia="lt-LT"/>
        </w:rPr>
        <w:t>jeigu jūsų organizme yra per daug geležies (perteklius) arba sutrikęs organizmo geležies suvartojimas;</w:t>
      </w:r>
    </w:p>
    <w:p w14:paraId="49DCEBB2" w14:textId="77777777" w:rsidR="005A24FA" w:rsidRPr="00162DB2" w:rsidRDefault="005A24FA" w:rsidP="005A24FA">
      <w:pPr>
        <w:numPr>
          <w:ilvl w:val="0"/>
          <w:numId w:val="35"/>
        </w:numPr>
        <w:tabs>
          <w:tab w:val="left" w:pos="120"/>
          <w:tab w:val="left" w:pos="567"/>
        </w:tabs>
        <w:spacing w:after="0" w:line="240" w:lineRule="auto"/>
        <w:ind w:left="567" w:hanging="207"/>
        <w:rPr>
          <w:rFonts w:ascii="Times New Roman" w:eastAsia="Calibri" w:hAnsi="Times New Roman" w:cs="Times New Roman"/>
          <w:lang w:eastAsia="lt-LT"/>
        </w:rPr>
      </w:pPr>
      <w:r w:rsidRPr="00162DB2">
        <w:rPr>
          <w:rFonts w:ascii="Times New Roman" w:eastAsia="Calibri" w:hAnsi="Times New Roman" w:cs="Times New Roman"/>
          <w:lang w:eastAsia="lt-LT"/>
        </w:rPr>
        <w:t>jeigu sergate kepenų liga, pvz. ciroze.</w:t>
      </w:r>
    </w:p>
    <w:p w14:paraId="3B4ADC5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p>
    <w:p w14:paraId="41F4A750" w14:textId="77777777" w:rsidR="005A24FA" w:rsidRPr="00162DB2" w:rsidRDefault="005A24FA" w:rsidP="005A24FA">
      <w:pPr>
        <w:spacing w:after="0" w:line="240" w:lineRule="auto"/>
        <w:ind w:left="567" w:hanging="567"/>
        <w:rPr>
          <w:rFonts w:ascii="Times New Roman" w:eastAsia="Calibri" w:hAnsi="Times New Roman" w:cs="Times New Roman"/>
          <w:b/>
          <w:lang w:eastAsia="lt-LT"/>
        </w:rPr>
      </w:pPr>
      <w:r w:rsidRPr="00162DB2">
        <w:rPr>
          <w:rFonts w:ascii="Times New Roman" w:eastAsia="Calibri" w:hAnsi="Times New Roman" w:cs="Times New Roman"/>
          <w:b/>
          <w:lang w:eastAsia="lt-LT"/>
        </w:rPr>
        <w:t>Įspėjimai ir atsargumo priemonės</w:t>
      </w:r>
    </w:p>
    <w:p w14:paraId="61C3857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24E54662" w14:textId="77777777" w:rsidR="005A24FA" w:rsidRPr="00162DB2" w:rsidRDefault="005A24FA" w:rsidP="005A24FA">
      <w:pPr>
        <w:tabs>
          <w:tab w:val="left" w:pos="120"/>
          <w:tab w:val="left" w:pos="567"/>
        </w:tabs>
        <w:spacing w:after="0" w:line="240" w:lineRule="auto"/>
        <w:ind w:left="360" w:hanging="36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Pasitarkite su gydytoju arba slaugytoju prieš pradėdami vartoti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w:t>
      </w:r>
    </w:p>
    <w:p w14:paraId="0AC9F100" w14:textId="77777777" w:rsidR="005A24FA" w:rsidRPr="00162DB2" w:rsidRDefault="005A24FA" w:rsidP="005A24FA">
      <w:pPr>
        <w:numPr>
          <w:ilvl w:val="0"/>
          <w:numId w:val="33"/>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yra pasireiškusi alergija vaistams;</w:t>
      </w:r>
    </w:p>
    <w:p w14:paraId="002F46D9" w14:textId="77777777" w:rsidR="005A24FA" w:rsidRPr="00162DB2" w:rsidRDefault="005A24FA" w:rsidP="005A24FA">
      <w:pPr>
        <w:numPr>
          <w:ilvl w:val="0"/>
          <w:numId w:val="33"/>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sergate sistemine raudonąja vilklige;</w:t>
      </w:r>
    </w:p>
    <w:p w14:paraId="30BDAF00" w14:textId="77777777" w:rsidR="005A24FA" w:rsidRPr="00162DB2" w:rsidRDefault="005A24FA" w:rsidP="005A24FA">
      <w:pPr>
        <w:numPr>
          <w:ilvl w:val="0"/>
          <w:numId w:val="33"/>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sergate reumatoidiniu artritu;</w:t>
      </w:r>
    </w:p>
    <w:p w14:paraId="77EF675E" w14:textId="77777777" w:rsidR="005A24FA" w:rsidRPr="00162DB2" w:rsidRDefault="005A24FA" w:rsidP="005A24FA">
      <w:pPr>
        <w:numPr>
          <w:ilvl w:val="0"/>
          <w:numId w:val="33"/>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lastRenderedPageBreak/>
        <w:t>jeigu sergate sunkios formos astma, egzema ar kitomis alergijomis;</w:t>
      </w:r>
    </w:p>
    <w:p w14:paraId="365D7D9B" w14:textId="77777777" w:rsidR="005A24FA" w:rsidRPr="00162DB2" w:rsidRDefault="005A24FA" w:rsidP="005A24FA">
      <w:pPr>
        <w:numPr>
          <w:ilvl w:val="0"/>
          <w:numId w:val="33"/>
        </w:numPr>
        <w:tabs>
          <w:tab w:val="left" w:pos="120"/>
          <w:tab w:val="left" w:pos="567"/>
        </w:tabs>
        <w:spacing w:after="0" w:line="240" w:lineRule="auto"/>
      </w:pPr>
      <w:r w:rsidRPr="00162DB2">
        <w:rPr>
          <w:rFonts w:ascii="Times New Roman" w:eastAsia="Calibri" w:hAnsi="Times New Roman" w:cs="Times New Roman"/>
          <w:lang w:eastAsia="lt-LT"/>
        </w:rPr>
        <w:t>jeigu Jūsų kraujyje pasireiškia bakterijų sukelta infekcija</w:t>
      </w:r>
      <w:r>
        <w:rPr>
          <w:rFonts w:ascii="Times New Roman" w:eastAsia="Calibri" w:hAnsi="Times New Roman" w:cs="Times New Roman"/>
          <w:lang w:eastAsia="lt-LT"/>
        </w:rPr>
        <w:t>;</w:t>
      </w:r>
    </w:p>
    <w:p w14:paraId="3BA871E9" w14:textId="77777777" w:rsidR="005A24FA" w:rsidRPr="00162DB2" w:rsidRDefault="005A24FA" w:rsidP="005A24FA">
      <w:pPr>
        <w:numPr>
          <w:ilvl w:val="0"/>
          <w:numId w:val="33"/>
        </w:numPr>
        <w:tabs>
          <w:tab w:val="left" w:pos="120"/>
          <w:tab w:val="left" w:pos="567"/>
        </w:tabs>
        <w:spacing w:after="0" w:line="240" w:lineRule="auto"/>
        <w:rPr>
          <w:rFonts w:eastAsia="Calibri"/>
          <w:lang w:eastAsia="lt-LT"/>
        </w:rPr>
      </w:pPr>
      <w:r w:rsidRPr="00162DB2">
        <w:rPr>
          <w:rFonts w:ascii="Times New Roman" w:eastAsia="Calibri" w:hAnsi="Times New Roman" w:cs="Times New Roman"/>
          <w:lang w:eastAsia="lt-LT"/>
        </w:rPr>
        <w:t>jeigu Jūsų kepenų veikla sutrikusi.</w:t>
      </w:r>
    </w:p>
    <w:p w14:paraId="4826BFE0" w14:textId="77777777" w:rsidR="005A24FA" w:rsidRPr="00162DB2" w:rsidRDefault="005A24FA" w:rsidP="005A24FA">
      <w:pPr>
        <w:tabs>
          <w:tab w:val="left" w:pos="120"/>
          <w:tab w:val="left" w:pos="567"/>
        </w:tabs>
        <w:spacing w:after="0" w:line="240" w:lineRule="auto"/>
        <w:ind w:left="720"/>
        <w:rPr>
          <w:rFonts w:ascii="Times New Roman" w:eastAsia="Calibri" w:hAnsi="Times New Roman" w:cs="Times New Roman"/>
          <w:lang w:eastAsia="lt-LT"/>
        </w:rPr>
      </w:pPr>
    </w:p>
    <w:p w14:paraId="119BD21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Neteisingas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vartojimas gali sukelti vaisto nutekėjimą injekcijos vietoje, kuris gali sukelti odos sudirginimą bei ilgai trunkantį odos spalvos pakitimą (oda gali tapti ruda) injekcijos vietoje. Patekus į aplinkinius audinius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vartojimą reikia nedelsiant nutraukti.</w:t>
      </w:r>
      <w:r w:rsidRPr="00162DB2">
        <w:rPr>
          <w:rFonts w:ascii="Times New Roman" w:eastAsia="Calibri" w:hAnsi="Times New Roman" w:cs="Times New Roman"/>
          <w:lang w:eastAsia="lt-LT"/>
        </w:rPr>
        <w:br/>
      </w:r>
    </w:p>
    <w:p w14:paraId="21D85EEE" w14:textId="77777777" w:rsidR="005A24FA" w:rsidRPr="00162DB2" w:rsidRDefault="005A24FA" w:rsidP="005A24FA">
      <w:pPr>
        <w:numPr>
          <w:ilvl w:val="12"/>
          <w:numId w:val="0"/>
        </w:numPr>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Vaikams ir paaugliams</w:t>
      </w:r>
    </w:p>
    <w:p w14:paraId="04BE936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yra skiriamas tik suaugusiems žmonėms. Jo draudžiama vartoti vaikams ir paaugliams.</w:t>
      </w:r>
    </w:p>
    <w:p w14:paraId="1E28853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p>
    <w:p w14:paraId="138B89CA" w14:textId="77777777" w:rsidR="005A24FA" w:rsidRPr="00162DB2" w:rsidRDefault="005A24FA" w:rsidP="005A24FA">
      <w:pPr>
        <w:numPr>
          <w:ilvl w:val="12"/>
          <w:numId w:val="0"/>
        </w:numPr>
        <w:spacing w:after="0" w:line="240" w:lineRule="auto"/>
        <w:ind w:right="-2"/>
        <w:rPr>
          <w:rFonts w:ascii="Times New Roman" w:eastAsia="Calibri" w:hAnsi="Times New Roman" w:cs="Times New Roman"/>
          <w:lang w:eastAsia="lt-LT"/>
        </w:rPr>
      </w:pPr>
      <w:r w:rsidRPr="00162DB2">
        <w:rPr>
          <w:rFonts w:ascii="Times New Roman" w:eastAsia="Calibri" w:hAnsi="Times New Roman" w:cs="Times New Roman"/>
          <w:b/>
          <w:lang w:eastAsia="lt-LT"/>
        </w:rPr>
        <w:t xml:space="preserve">Kiti vaistai ir </w:t>
      </w:r>
      <w:proofErr w:type="spellStart"/>
      <w:r w:rsidRPr="00162DB2">
        <w:rPr>
          <w:rFonts w:ascii="Times New Roman" w:eastAsia="Calibri" w:hAnsi="Times New Roman" w:cs="Times New Roman"/>
          <w:b/>
          <w:lang w:eastAsia="lt-LT"/>
        </w:rPr>
        <w:t>Monofer</w:t>
      </w:r>
      <w:proofErr w:type="spellEnd"/>
    </w:p>
    <w:p w14:paraId="6B31D90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Jeigu vartojate ar neseniai </w:t>
      </w:r>
      <w:r w:rsidRPr="004151D9">
        <w:rPr>
          <w:rFonts w:ascii="Times New Roman" w:hAnsi="Times New Roman" w:cs="Times New Roman"/>
          <w:color w:val="000000"/>
        </w:rPr>
        <w:t>vartojote kitų</w:t>
      </w:r>
      <w:r w:rsidRPr="00162DB2">
        <w:rPr>
          <w:rFonts w:ascii="Times New Roman" w:eastAsia="Calibri" w:hAnsi="Times New Roman" w:cs="Times New Roman"/>
          <w:lang w:eastAsia="lt-LT"/>
        </w:rPr>
        <w:t xml:space="preserve"> vaistų arba dėl to nesate tikri, apie tai pasakykite gydytojui.</w:t>
      </w:r>
    </w:p>
    <w:p w14:paraId="7260E3A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skiriamas kartu su geriamaisiais geležies preparatais gali sumažinti geriamosios geležies absorbciją. </w:t>
      </w:r>
    </w:p>
    <w:p w14:paraId="0A0A30F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4066A72" w14:textId="77777777" w:rsidR="005A24FA" w:rsidRPr="00162DB2" w:rsidRDefault="005A24FA" w:rsidP="005A24FA">
      <w:pPr>
        <w:spacing w:after="0" w:line="240" w:lineRule="auto"/>
        <w:ind w:left="567" w:hanging="567"/>
        <w:rPr>
          <w:rFonts w:ascii="Times New Roman" w:eastAsia="Calibri" w:hAnsi="Times New Roman" w:cs="Times New Roman"/>
          <w:b/>
          <w:lang w:eastAsia="lt-LT"/>
        </w:rPr>
      </w:pPr>
      <w:r w:rsidRPr="00162DB2">
        <w:rPr>
          <w:rFonts w:ascii="Times New Roman" w:eastAsia="Calibri" w:hAnsi="Times New Roman" w:cs="Times New Roman"/>
          <w:b/>
          <w:lang w:eastAsia="lt-LT"/>
        </w:rPr>
        <w:t>Nėštumas, žindymo laikotarpis ir vaisingumas</w:t>
      </w:r>
    </w:p>
    <w:p w14:paraId="452E800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Duomenų apie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w:t>
      </w:r>
      <w:r>
        <w:rPr>
          <w:rFonts w:ascii="Times New Roman" w:eastAsia="Calibri" w:hAnsi="Times New Roman" w:cs="Times New Roman"/>
          <w:lang w:eastAsia="lt-LT"/>
        </w:rPr>
        <w:t>ą</w:t>
      </w:r>
      <w:r w:rsidRPr="00162DB2">
        <w:rPr>
          <w:rFonts w:ascii="Times New Roman" w:eastAsia="Calibri" w:hAnsi="Times New Roman" w:cs="Times New Roman"/>
          <w:lang w:eastAsia="lt-LT"/>
        </w:rPr>
        <w:t xml:space="preserve"> nėš</w:t>
      </w:r>
      <w:r>
        <w:rPr>
          <w:rFonts w:ascii="Times New Roman" w:eastAsia="Calibri" w:hAnsi="Times New Roman" w:cs="Times New Roman"/>
          <w:lang w:eastAsia="lt-LT"/>
        </w:rPr>
        <w:t>čioms moterims yra mažai</w:t>
      </w:r>
      <w:r w:rsidRPr="00162DB2">
        <w:rPr>
          <w:rFonts w:ascii="Times New Roman" w:eastAsia="Calibri" w:hAnsi="Times New Roman" w:cs="Times New Roman"/>
          <w:lang w:eastAsia="lt-LT"/>
        </w:rPr>
        <w:t>. Jeigu esate nėščia, manote, kad galbūt esate nėščia, arba planuojate pastoti, būtinai pasakykite apie tai gydytojui.</w:t>
      </w:r>
    </w:p>
    <w:p w14:paraId="23F1E2C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 pastojote gydymo metu, pasitarkite su gydytoju. Gydytojas nuspręs, ar jums galima vartoti šio vaisto.</w:t>
      </w:r>
    </w:p>
    <w:p w14:paraId="1196F25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6DCF1D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Jeigu žindote kūdikį, tai prieš vartodama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pasitarkite su gydytoju. Mažai tikėtina, kad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kelia riziką kūdikiui.</w:t>
      </w:r>
    </w:p>
    <w:p w14:paraId="4535A77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p>
    <w:p w14:paraId="366606C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Vairavimas ir mechanizmų valdymas</w:t>
      </w:r>
    </w:p>
    <w:p w14:paraId="031DC60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bCs/>
          <w:lang w:eastAsia="lt-LT"/>
        </w:rPr>
        <w:t xml:space="preserve">Pasitarkite su gydytoju, ar galite vairuoti ir valdyti mechanizmus po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pavartojimo.</w:t>
      </w:r>
    </w:p>
    <w:p w14:paraId="28429897" w14:textId="77777777" w:rsidR="005A24FA" w:rsidRDefault="005A24FA" w:rsidP="005A24FA">
      <w:pPr>
        <w:tabs>
          <w:tab w:val="left" w:pos="120"/>
          <w:tab w:val="left" w:pos="567"/>
        </w:tabs>
        <w:spacing w:after="0" w:line="240" w:lineRule="auto"/>
        <w:rPr>
          <w:rFonts w:ascii="Times New Roman" w:eastAsia="Calibri" w:hAnsi="Times New Roman" w:cs="Times New Roman"/>
          <w:lang w:eastAsia="lt-LT"/>
        </w:rPr>
      </w:pPr>
    </w:p>
    <w:p w14:paraId="1DE4AC7B" w14:textId="77777777" w:rsidR="005A24FA" w:rsidRPr="00E112EF" w:rsidRDefault="005A24FA" w:rsidP="005A24FA">
      <w:pPr>
        <w:numPr>
          <w:ilvl w:val="12"/>
          <w:numId w:val="0"/>
        </w:numPr>
        <w:rPr>
          <w:rFonts w:ascii="Times New Roman" w:hAnsi="Times New Roman" w:cs="Times New Roman"/>
          <w:b/>
          <w:bCs/>
        </w:rPr>
      </w:pPr>
      <w:proofErr w:type="spellStart"/>
      <w:r w:rsidRPr="00E112EF">
        <w:rPr>
          <w:rFonts w:ascii="Times New Roman" w:hAnsi="Times New Roman" w:cs="Times New Roman"/>
          <w:b/>
          <w:bCs/>
        </w:rPr>
        <w:t>Monofer</w:t>
      </w:r>
      <w:proofErr w:type="spellEnd"/>
      <w:r w:rsidRPr="00E112EF">
        <w:rPr>
          <w:rFonts w:ascii="Times New Roman" w:hAnsi="Times New Roman" w:cs="Times New Roman"/>
          <w:b/>
          <w:bCs/>
        </w:rPr>
        <w:t xml:space="preserve"> sudėtyje yra natrio</w:t>
      </w:r>
    </w:p>
    <w:p w14:paraId="68B9AA12" w14:textId="77777777" w:rsidR="005A24FA" w:rsidRPr="00C62510" w:rsidRDefault="005A24FA" w:rsidP="005A24FA">
      <w:pPr>
        <w:tabs>
          <w:tab w:val="left" w:pos="120"/>
          <w:tab w:val="left" w:pos="567"/>
        </w:tabs>
        <w:spacing w:after="0" w:line="240" w:lineRule="auto"/>
        <w:rPr>
          <w:rFonts w:ascii="Times New Roman" w:hAnsi="Times New Roman" w:cs="Times New Roman"/>
        </w:rPr>
      </w:pPr>
      <w:r w:rsidRPr="00E112EF">
        <w:rPr>
          <w:rFonts w:ascii="Times New Roman" w:hAnsi="Times New Roman" w:cs="Times New Roman"/>
        </w:rPr>
        <w:t xml:space="preserve">Šio vaisto </w:t>
      </w:r>
      <w:r>
        <w:rPr>
          <w:rFonts w:ascii="Times New Roman" w:hAnsi="Times New Roman" w:cs="Times New Roman"/>
        </w:rPr>
        <w:t xml:space="preserve">kiekvienoje </w:t>
      </w:r>
      <w:r w:rsidRPr="00C62510">
        <w:rPr>
          <w:rFonts w:ascii="Times New Roman" w:hAnsi="Times New Roman" w:cs="Times New Roman"/>
        </w:rPr>
        <w:t>100</w:t>
      </w:r>
      <w:r>
        <w:rPr>
          <w:rFonts w:ascii="Times New Roman" w:hAnsi="Times New Roman" w:cs="Times New Roman"/>
        </w:rPr>
        <w:t> </w:t>
      </w:r>
      <w:r w:rsidRPr="00C62510">
        <w:rPr>
          <w:rFonts w:ascii="Times New Roman" w:hAnsi="Times New Roman" w:cs="Times New Roman"/>
        </w:rPr>
        <w:t>mg geležies doz</w:t>
      </w:r>
      <w:r>
        <w:rPr>
          <w:rFonts w:ascii="Times New Roman" w:hAnsi="Times New Roman" w:cs="Times New Roman"/>
        </w:rPr>
        <w:t>ėje</w:t>
      </w:r>
      <w:r w:rsidRPr="00E112EF">
        <w:rPr>
          <w:rFonts w:ascii="Times New Roman" w:hAnsi="Times New Roman" w:cs="Times New Roman"/>
        </w:rPr>
        <w:t xml:space="preserve">  yra iki 9,4</w:t>
      </w:r>
      <w:r>
        <w:rPr>
          <w:rFonts w:ascii="Times New Roman" w:hAnsi="Times New Roman" w:cs="Times New Roman"/>
        </w:rPr>
        <w:t> </w:t>
      </w:r>
      <w:r w:rsidRPr="00E112EF">
        <w:rPr>
          <w:rFonts w:ascii="Times New Roman" w:hAnsi="Times New Roman" w:cs="Times New Roman"/>
        </w:rPr>
        <w:t>mg natrio (pagrindinis valgomosios druskos komponentas)</w:t>
      </w:r>
      <w:r w:rsidRPr="00C62510">
        <w:rPr>
          <w:rFonts w:ascii="Times New Roman" w:hAnsi="Times New Roman" w:cs="Times New Roman"/>
        </w:rPr>
        <w:t>. Tai atitinka 0,47</w:t>
      </w:r>
      <w:r>
        <w:rPr>
          <w:rFonts w:ascii="Times New Roman" w:hAnsi="Times New Roman" w:cs="Times New Roman"/>
        </w:rPr>
        <w:t> </w:t>
      </w:r>
      <w:r w:rsidRPr="00C62510">
        <w:rPr>
          <w:rFonts w:ascii="Times New Roman" w:hAnsi="Times New Roman" w:cs="Times New Roman"/>
        </w:rPr>
        <w:t>% rekomenduojamos didžiausios natrio paros normos suaugusiam žmogui.</w:t>
      </w:r>
    </w:p>
    <w:p w14:paraId="35BE6801" w14:textId="77777777" w:rsidR="005A24FA" w:rsidRDefault="005A24FA" w:rsidP="005A24FA">
      <w:pPr>
        <w:tabs>
          <w:tab w:val="left" w:pos="120"/>
          <w:tab w:val="left" w:pos="567"/>
        </w:tabs>
        <w:spacing w:after="0" w:line="240" w:lineRule="auto"/>
        <w:rPr>
          <w:rFonts w:ascii="Times New Roman" w:eastAsia="Calibri" w:hAnsi="Times New Roman" w:cs="Times New Roman"/>
          <w:lang w:eastAsia="lt-LT"/>
        </w:rPr>
      </w:pPr>
    </w:p>
    <w:p w14:paraId="64A8C4A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98E2AA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3. Kaip vartoti </w:t>
      </w:r>
      <w:proofErr w:type="spellStart"/>
      <w:r w:rsidRPr="00162DB2">
        <w:rPr>
          <w:rFonts w:ascii="Times New Roman" w:eastAsia="Calibri" w:hAnsi="Times New Roman" w:cs="Times New Roman"/>
          <w:b/>
          <w:bCs/>
          <w:lang w:eastAsia="lt-LT"/>
        </w:rPr>
        <w:t>Monofer</w:t>
      </w:r>
      <w:proofErr w:type="spellEnd"/>
    </w:p>
    <w:p w14:paraId="1E06B0D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1BB0B17" w14:textId="77777777" w:rsidR="005A24FA" w:rsidRPr="00162DB2" w:rsidRDefault="005A24FA" w:rsidP="005A24FA">
      <w:pPr>
        <w:tabs>
          <w:tab w:val="num" w:pos="360"/>
        </w:tabs>
        <w:spacing w:after="0" w:line="240" w:lineRule="auto"/>
        <w:jc w:val="both"/>
        <w:rPr>
          <w:rFonts w:ascii="Times New Roman" w:eastAsia="Times New Roman" w:hAnsi="Times New Roman" w:cs="Times New Roman"/>
          <w:noProof/>
        </w:rPr>
      </w:pPr>
      <w:r w:rsidRPr="00162DB2">
        <w:rPr>
          <w:rFonts w:ascii="Times New Roman" w:eastAsia="Times New Roman" w:hAnsi="Times New Roman" w:cs="Times New Roman"/>
          <w:noProof/>
        </w:rPr>
        <w:t>Prieš vartojimą gydytojas atliks kraujo tyrimą, kad nustatytų Jums reikalingą Monofer dozę.</w:t>
      </w:r>
    </w:p>
    <w:p w14:paraId="7FA522CE" w14:textId="77777777" w:rsidR="005A24FA" w:rsidRPr="00162DB2" w:rsidRDefault="005A24FA" w:rsidP="005A24FA">
      <w:pPr>
        <w:tabs>
          <w:tab w:val="num" w:pos="360"/>
        </w:tabs>
        <w:spacing w:after="0" w:line="240" w:lineRule="auto"/>
        <w:jc w:val="both"/>
        <w:rPr>
          <w:rFonts w:ascii="Times New Roman" w:eastAsia="Times New Roman" w:hAnsi="Times New Roman" w:cs="Times New Roman"/>
          <w:noProof/>
        </w:rPr>
      </w:pPr>
    </w:p>
    <w:p w14:paraId="7D35348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Gydytojas arba slaugytoja paskirs vartoti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injekcija arba infuzija į veną; </w:t>
      </w:r>
    </w:p>
    <w:p w14:paraId="7D2DA510" w14:textId="77777777" w:rsidR="005A24FA" w:rsidRPr="00162DB2" w:rsidRDefault="005A24FA" w:rsidP="005A24FA">
      <w:pPr>
        <w:numPr>
          <w:ilvl w:val="0"/>
          <w:numId w:val="44"/>
        </w:numPr>
        <w:tabs>
          <w:tab w:val="left" w:pos="120"/>
          <w:tab w:val="left" w:pos="567"/>
        </w:tabs>
        <w:spacing w:after="0" w:line="240" w:lineRule="auto"/>
        <w:contextualSpacing/>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injekcijomis į veną iki 500 mg iki trijų kartų per savaitę.</w:t>
      </w:r>
    </w:p>
    <w:p w14:paraId="5B225EA8" w14:textId="77777777" w:rsidR="005A24FA" w:rsidRPr="00162DB2" w:rsidRDefault="005A24FA" w:rsidP="005A24FA">
      <w:pPr>
        <w:numPr>
          <w:ilvl w:val="0"/>
          <w:numId w:val="44"/>
        </w:numPr>
        <w:tabs>
          <w:tab w:val="left" w:pos="120"/>
          <w:tab w:val="left" w:pos="567"/>
        </w:tabs>
        <w:spacing w:after="0" w:line="240" w:lineRule="auto"/>
        <w:contextualSpacing/>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dializės metu. </w:t>
      </w:r>
    </w:p>
    <w:p w14:paraId="50963902" w14:textId="77777777" w:rsidR="005A24FA" w:rsidRPr="00162DB2" w:rsidRDefault="005A24FA" w:rsidP="005A24FA">
      <w:pPr>
        <w:numPr>
          <w:ilvl w:val="0"/>
          <w:numId w:val="44"/>
        </w:numPr>
        <w:tabs>
          <w:tab w:val="left" w:pos="120"/>
          <w:tab w:val="left" w:pos="567"/>
        </w:tabs>
        <w:spacing w:after="0" w:line="240" w:lineRule="auto"/>
        <w:ind w:left="567" w:hanging="207"/>
        <w:contextualSpacing/>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kaip infuzija į veną iki 20 mg geležies/kg kūno svorio doze arba kaip infuzijos kas savaitę, kol bus suleista visa dozė. </w:t>
      </w:r>
    </w:p>
    <w:p w14:paraId="2E15E3B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18CE6D4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bus leidžiamas aplinkoje, kurioje bus prieinama tinkama skubi pagalba imuninių alerginių reiškinių atveju. </w:t>
      </w:r>
    </w:p>
    <w:p w14:paraId="424214CE"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C24F38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Kiekvieną kartą po vaisto vartojimo gydytojas arba slaugytoja jus stebės mažiausiai 30 minučių.</w:t>
      </w:r>
    </w:p>
    <w:p w14:paraId="309F9A4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5EF330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Ką daryti pavartojus per didelę </w:t>
      </w: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dozę?</w:t>
      </w:r>
    </w:p>
    <w:p w14:paraId="74861A3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Jums leis kvalifikuotas sveikatos priežiūros specialistas. Nėra tikėtina, kad bus suleista per daug. Kad Jūsų organizme nesikauptų geležis, jie stebės Jūsų dozę ir kraujo tyrimų rodmenis. </w:t>
      </w:r>
    </w:p>
    <w:p w14:paraId="57A9901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1F08CA6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vanish/>
          <w:lang w:eastAsia="lt-LT"/>
        </w:rPr>
      </w:pPr>
    </w:p>
    <w:p w14:paraId="2F4965F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lang w:eastAsia="lt-LT"/>
        </w:rPr>
        <w:t xml:space="preserve"> </w:t>
      </w:r>
      <w:r w:rsidRPr="00162DB2">
        <w:rPr>
          <w:rFonts w:ascii="Times New Roman" w:eastAsia="Calibri" w:hAnsi="Times New Roman" w:cs="Times New Roman"/>
          <w:b/>
          <w:bCs/>
          <w:lang w:eastAsia="lt-LT"/>
        </w:rPr>
        <w:t>4. Galimas šalutinis poveikis</w:t>
      </w:r>
    </w:p>
    <w:p w14:paraId="2DD8EC4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p>
    <w:p w14:paraId="75ED20D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lang w:eastAsia="lt-LT"/>
        </w:rPr>
        <w:t xml:space="preserve">Šis vaistas, kaip ir visi kiti, gali sukelti šalutinį poveikį, nors jis pasireiškia ne visiems žmonėms. </w:t>
      </w:r>
      <w:r w:rsidRPr="00162DB2">
        <w:rPr>
          <w:rFonts w:ascii="Times New Roman" w:eastAsia="Calibri" w:hAnsi="Times New Roman" w:cs="Times New Roman"/>
          <w:lang w:eastAsia="lt-LT"/>
        </w:rPr>
        <w:br/>
      </w:r>
      <w:r w:rsidRPr="00162DB2">
        <w:rPr>
          <w:rFonts w:ascii="Times New Roman" w:eastAsia="Calibri" w:hAnsi="Times New Roman" w:cs="Times New Roman"/>
          <w:lang w:eastAsia="lt-LT"/>
        </w:rPr>
        <w:br/>
      </w:r>
      <w:r w:rsidRPr="00162DB2">
        <w:rPr>
          <w:rFonts w:ascii="Times New Roman" w:eastAsia="Calibri" w:hAnsi="Times New Roman" w:cs="Times New Roman"/>
          <w:b/>
          <w:bCs/>
          <w:lang w:eastAsia="lt-LT"/>
        </w:rPr>
        <w:t>Alerginės reakcijos</w:t>
      </w:r>
    </w:p>
    <w:p w14:paraId="2511585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25767D56" w14:textId="77777777" w:rsidR="005A24FA" w:rsidRPr="00162DB2" w:rsidRDefault="005A24FA" w:rsidP="005A24FA">
      <w:pPr>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Gali pasireikšti sunkios alerginės reakcijos, tačiau jos dažniausiai būna retos. Nedelsdami pasakykite gydytojui ar slaugytojai kad nutrauktų infuziją, jei reikia, jeigu Jums pasireikštų bent vienas iš toliau nurodytų požymių ir simptomų: ištinęs veidas, liežuvis arba gerklė, sunkumas ryjant, dilgėlinė ir pasunkėjęs kvėpavimas</w:t>
      </w:r>
      <w:r w:rsidRPr="00162DB2">
        <w:rPr>
          <w:rFonts w:ascii="Times New Roman" w:hAnsi="Times New Roman" w:cs="Times New Roman"/>
          <w:lang w:eastAsia="lt-LT"/>
        </w:rPr>
        <w:t xml:space="preserve">, ir skausmas krūtinės srityje, kuris gali būti galimai sunkios alerginės reakcijos, vadinamos </w:t>
      </w:r>
      <w:proofErr w:type="spellStart"/>
      <w:r w:rsidRPr="00162DB2">
        <w:rPr>
          <w:rFonts w:ascii="Times New Roman" w:hAnsi="Times New Roman" w:cs="Times New Roman"/>
          <w:lang w:eastAsia="lt-LT"/>
        </w:rPr>
        <w:t>Kounis</w:t>
      </w:r>
      <w:proofErr w:type="spellEnd"/>
      <w:r w:rsidRPr="00162DB2">
        <w:rPr>
          <w:rFonts w:ascii="Times New Roman" w:hAnsi="Times New Roman" w:cs="Times New Roman"/>
          <w:lang w:eastAsia="lt-LT"/>
        </w:rPr>
        <w:t xml:space="preserve"> sindromu, požymis.</w:t>
      </w:r>
    </w:p>
    <w:p w14:paraId="4DB3188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p>
    <w:p w14:paraId="6AC07CB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513081">
        <w:rPr>
          <w:rFonts w:ascii="Times New Roman" w:eastAsia="Calibri" w:hAnsi="Times New Roman" w:cs="Times New Roman"/>
          <w:b/>
          <w:i/>
          <w:iCs/>
          <w:lang w:eastAsia="lt-LT"/>
        </w:rPr>
        <w:t>Dažnas</w:t>
      </w:r>
      <w:r w:rsidRPr="00162DB2">
        <w:rPr>
          <w:rFonts w:ascii="Times New Roman" w:eastAsia="Calibri" w:hAnsi="Times New Roman" w:cs="Times New Roman"/>
          <w:lang w:eastAsia="lt-LT"/>
        </w:rPr>
        <w:t xml:space="preserve"> </w:t>
      </w:r>
      <w:r w:rsidRPr="00162DB2">
        <w:rPr>
          <w:rFonts w:ascii="Times New Roman" w:eastAsia="Calibri" w:hAnsi="Times New Roman" w:cs="Times New Roman"/>
          <w:i/>
          <w:lang w:eastAsia="lt-LT"/>
        </w:rPr>
        <w:t>(gali pasireikšti ne daugiau kaip 1 iš 10 žmonių):</w:t>
      </w:r>
      <w:r w:rsidRPr="00162DB2">
        <w:rPr>
          <w:rFonts w:ascii="Symbol" w:eastAsia="Calibri" w:hAnsi="Symbol" w:cs="Times New Roman"/>
          <w:lang w:eastAsia="lt-LT"/>
        </w:rPr>
        <w:t></w:t>
      </w:r>
    </w:p>
    <w:p w14:paraId="757D1626"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Pykinimas; </w:t>
      </w:r>
    </w:p>
    <w:p w14:paraId="5AC7AD4F" w14:textId="77777777" w:rsidR="005A24FA" w:rsidRPr="00162DB2" w:rsidRDefault="005A24FA" w:rsidP="005A24FA">
      <w:pPr>
        <w:numPr>
          <w:ilvl w:val="0"/>
          <w:numId w:val="28"/>
        </w:numPr>
        <w:tabs>
          <w:tab w:val="clear" w:pos="1080"/>
        </w:tabs>
        <w:spacing w:after="0" w:line="240" w:lineRule="auto"/>
        <w:ind w:left="142" w:hanging="142"/>
        <w:rPr>
          <w:rFonts w:ascii="Times New Roman" w:eastAsia="Calibri" w:hAnsi="Times New Roman" w:cs="Times New Roman"/>
          <w:lang w:eastAsia="lt-LT"/>
        </w:rPr>
      </w:pPr>
      <w:r w:rsidRPr="00162DB2">
        <w:rPr>
          <w:rFonts w:ascii="Times New Roman" w:eastAsia="Calibri" w:hAnsi="Times New Roman" w:cs="Times New Roman"/>
          <w:lang w:eastAsia="lt-LT"/>
        </w:rPr>
        <w:t>Odos reakcijos aplink injekcijos vietą, pvz., odos paraudimas, patinimas, deginimas, skausmas, kraujosruvos, spalvos pakitimas, taip pat sudirginimas, suleistam vaistui patekus į aplinkinius audinius po oda;</w:t>
      </w:r>
    </w:p>
    <w:p w14:paraId="39509321"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Bėrimas.</w:t>
      </w:r>
    </w:p>
    <w:p w14:paraId="63293440" w14:textId="77777777" w:rsidR="005A24FA" w:rsidRPr="00162DB2" w:rsidRDefault="005A24FA" w:rsidP="005A24FA">
      <w:pPr>
        <w:tabs>
          <w:tab w:val="left" w:pos="567"/>
          <w:tab w:val="left" w:pos="7920"/>
        </w:tabs>
        <w:spacing w:after="0" w:line="240" w:lineRule="auto"/>
        <w:ind w:right="1440"/>
        <w:rPr>
          <w:rFonts w:ascii="Times New Roman" w:eastAsia="Calibri" w:hAnsi="Times New Roman" w:cs="Times New Roman"/>
          <w:b/>
          <w:lang w:eastAsia="lt-LT"/>
        </w:rPr>
      </w:pPr>
    </w:p>
    <w:p w14:paraId="3EC65E3B" w14:textId="77777777" w:rsidR="005A24FA" w:rsidRPr="00162DB2" w:rsidRDefault="005A24FA" w:rsidP="005A24FA">
      <w:pPr>
        <w:tabs>
          <w:tab w:val="left" w:pos="567"/>
          <w:tab w:val="left" w:pos="7920"/>
        </w:tabs>
        <w:spacing w:after="0" w:line="240" w:lineRule="auto"/>
        <w:ind w:right="1440"/>
        <w:rPr>
          <w:rFonts w:ascii="Times New Roman" w:eastAsia="Calibri" w:hAnsi="Times New Roman" w:cs="Times New Roman"/>
          <w:i/>
          <w:lang w:eastAsia="lt-LT"/>
        </w:rPr>
      </w:pPr>
      <w:r w:rsidRPr="00162DB2">
        <w:rPr>
          <w:rFonts w:ascii="Times New Roman" w:eastAsia="Calibri" w:hAnsi="Times New Roman" w:cs="Times New Roman"/>
          <w:b/>
          <w:i/>
          <w:lang w:eastAsia="lt-LT"/>
        </w:rPr>
        <w:t>Nedažnas</w:t>
      </w:r>
      <w:r w:rsidRPr="00162DB2">
        <w:rPr>
          <w:rFonts w:ascii="Times New Roman" w:eastAsia="Calibri" w:hAnsi="Times New Roman" w:cs="Times New Roman"/>
          <w:i/>
          <w:lang w:eastAsia="lt-LT"/>
        </w:rPr>
        <w:t xml:space="preserve"> (gali pasireikšti ne daugiau kaip 1 iš 100 žmonių)</w:t>
      </w:r>
      <w:r w:rsidRPr="00EE565B">
        <w:rPr>
          <w:rFonts w:ascii="Times New Roman" w:eastAsia="Calibri" w:hAnsi="Times New Roman" w:cs="Times New Roman"/>
          <w:i/>
          <w:lang w:eastAsia="lt-LT"/>
        </w:rPr>
        <w:t>:</w:t>
      </w:r>
    </w:p>
    <w:p w14:paraId="5B19D540"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Padidėjusio jautrumo reakcijos – galimas dusulys ir bronchų spazmas;</w:t>
      </w:r>
    </w:p>
    <w:p w14:paraId="0916CD99"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Galvos skausmas;</w:t>
      </w:r>
    </w:p>
    <w:p w14:paraId="4ADA15C9"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Sustingimas;</w:t>
      </w:r>
    </w:p>
    <w:p w14:paraId="2B82AA7F"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Iškreiptas skonio pojūtis;</w:t>
      </w:r>
    </w:p>
    <w:p w14:paraId="4ED381E2"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Sutrikęs regėjimas;</w:t>
      </w:r>
    </w:p>
    <w:p w14:paraId="232A9A56"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Sąmonės netekimas;</w:t>
      </w:r>
    </w:p>
    <w:p w14:paraId="346FA9EA"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Galvos svaigimas;</w:t>
      </w:r>
    </w:p>
    <w:p w14:paraId="3AD6333A"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Nuovargis;</w:t>
      </w:r>
    </w:p>
    <w:p w14:paraId="4677FAE8"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Padidėjęs širdies susitraukimo dažnis;</w:t>
      </w:r>
    </w:p>
    <w:p w14:paraId="03E17106"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Žemas arba aukštas kraujospūdis</w:t>
      </w:r>
      <w:r>
        <w:rPr>
          <w:rFonts w:ascii="Times New Roman" w:eastAsia="Calibri" w:hAnsi="Times New Roman" w:cs="Times New Roman"/>
          <w:lang w:eastAsia="lt-LT"/>
        </w:rPr>
        <w:t>;</w:t>
      </w:r>
    </w:p>
    <w:p w14:paraId="7AB9A561"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Krūtinės skausmas, nugaros skausmas, raumenų ar sąnarių skausmas, raumenų spazmai;</w:t>
      </w:r>
    </w:p>
    <w:p w14:paraId="3F0A6EE7"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Skrandžio skausmas, vėmimas, sutrikęs virškinimas, vidurių užkietėjimas, viduriavimas;</w:t>
      </w:r>
    </w:p>
    <w:p w14:paraId="0E4D66B8"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Niežulys, dilgėlinė, odos uždegimas;</w:t>
      </w:r>
    </w:p>
    <w:p w14:paraId="4A6A494E"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Paraudimas, prakaitavimas, karščiavimas, šalčio pojūtis, drebulys;</w:t>
      </w:r>
    </w:p>
    <w:p w14:paraId="6A8B1278"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Žemas fosfatų kiekis kraujyje;</w:t>
      </w:r>
    </w:p>
    <w:p w14:paraId="74507D54"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Infekcija;</w:t>
      </w:r>
    </w:p>
    <w:p w14:paraId="4EE4E365"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Kepenų fermentų aktyvumo padidėjimas;</w:t>
      </w:r>
    </w:p>
    <w:p w14:paraId="3DF4787A" w14:textId="77777777" w:rsidR="005A24FA" w:rsidRPr="00162DB2"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Paviršinis venų uždegimas; </w:t>
      </w:r>
    </w:p>
    <w:p w14:paraId="66BEB18A" w14:textId="77777777" w:rsidR="005A24FA" w:rsidRPr="006F03F3" w:rsidRDefault="005A24FA" w:rsidP="005A24FA">
      <w:pPr>
        <w:numPr>
          <w:ilvl w:val="0"/>
          <w:numId w:val="28"/>
        </w:numPr>
        <w:tabs>
          <w:tab w:val="left" w:pos="120"/>
          <w:tab w:val="left" w:pos="567"/>
        </w:tabs>
        <w:spacing w:after="0" w:line="240" w:lineRule="auto"/>
        <w:ind w:hanging="1080"/>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Odos pleiskanojimas.</w:t>
      </w:r>
    </w:p>
    <w:p w14:paraId="3CADF770" w14:textId="77777777" w:rsidR="005A24FA" w:rsidRPr="00162DB2" w:rsidRDefault="005A24FA" w:rsidP="005A24FA">
      <w:pPr>
        <w:tabs>
          <w:tab w:val="left" w:pos="120"/>
          <w:tab w:val="left" w:pos="567"/>
        </w:tabs>
        <w:spacing w:after="0" w:line="240" w:lineRule="auto"/>
        <w:ind w:left="720"/>
        <w:rPr>
          <w:rFonts w:ascii="Times New Roman" w:eastAsia="Calibri" w:hAnsi="Times New Roman" w:cs="Times New Roman"/>
          <w:lang w:eastAsia="lt-LT"/>
        </w:rPr>
      </w:pPr>
    </w:p>
    <w:p w14:paraId="78FA6AA3" w14:textId="77777777" w:rsidR="005A24FA" w:rsidRPr="00162DB2" w:rsidRDefault="005A24FA" w:rsidP="005A24FA">
      <w:pPr>
        <w:tabs>
          <w:tab w:val="left" w:pos="567"/>
        </w:tabs>
        <w:spacing w:after="0" w:line="240" w:lineRule="auto"/>
        <w:ind w:right="1440"/>
        <w:rPr>
          <w:rFonts w:ascii="Times New Roman" w:eastAsia="Calibri" w:hAnsi="Times New Roman" w:cs="Times New Roman"/>
          <w:i/>
          <w:lang w:eastAsia="lt-LT"/>
        </w:rPr>
      </w:pPr>
      <w:r w:rsidRPr="00162DB2">
        <w:rPr>
          <w:rFonts w:ascii="Times New Roman" w:eastAsia="Calibri" w:hAnsi="Times New Roman" w:cs="Times New Roman"/>
          <w:b/>
          <w:i/>
          <w:lang w:eastAsia="lt-LT"/>
        </w:rPr>
        <w:t>Retas</w:t>
      </w:r>
      <w:r w:rsidRPr="00162DB2">
        <w:rPr>
          <w:rFonts w:ascii="Times New Roman" w:eastAsia="Calibri" w:hAnsi="Times New Roman" w:cs="Times New Roman"/>
          <w:i/>
          <w:lang w:eastAsia="lt-LT"/>
        </w:rPr>
        <w:t xml:space="preserve"> (gali pasireikšti ne daugiau kaip 1 iš 1000 žmonių)</w:t>
      </w:r>
      <w:r>
        <w:rPr>
          <w:rFonts w:ascii="Times New Roman" w:eastAsia="Calibri" w:hAnsi="Times New Roman" w:cs="Times New Roman"/>
          <w:i/>
          <w:lang w:eastAsia="lt-LT"/>
        </w:rPr>
        <w:t>:</w:t>
      </w:r>
    </w:p>
    <w:p w14:paraId="39D9DF15" w14:textId="77777777" w:rsidR="005A24FA" w:rsidRPr="00162DB2" w:rsidRDefault="005A24FA" w:rsidP="005A24FA">
      <w:pPr>
        <w:numPr>
          <w:ilvl w:val="0"/>
          <w:numId w:val="29"/>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Nereguliarus širdies ritmas</w:t>
      </w:r>
      <w:r>
        <w:rPr>
          <w:rFonts w:ascii="Times New Roman" w:eastAsia="Calibri" w:hAnsi="Times New Roman" w:cs="Times New Roman"/>
          <w:lang w:eastAsia="lt-LT"/>
        </w:rPr>
        <w:t>;</w:t>
      </w:r>
    </w:p>
    <w:p w14:paraId="765009CF" w14:textId="77777777" w:rsidR="005A24FA" w:rsidRPr="00162DB2" w:rsidRDefault="005A24FA" w:rsidP="005A24FA">
      <w:pPr>
        <w:numPr>
          <w:ilvl w:val="0"/>
          <w:numId w:val="29"/>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Užkimimas;</w:t>
      </w:r>
    </w:p>
    <w:p w14:paraId="77953A97" w14:textId="77777777" w:rsidR="005A24FA" w:rsidRPr="00162DB2" w:rsidRDefault="005A24FA" w:rsidP="005A24FA">
      <w:pPr>
        <w:numPr>
          <w:ilvl w:val="0"/>
          <w:numId w:val="29"/>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Traukuliai;</w:t>
      </w:r>
    </w:p>
    <w:p w14:paraId="32F59E61" w14:textId="77777777" w:rsidR="005A24FA" w:rsidRPr="00162DB2" w:rsidRDefault="005A24FA" w:rsidP="005A24FA">
      <w:pPr>
        <w:numPr>
          <w:ilvl w:val="0"/>
          <w:numId w:val="29"/>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Drebulys;</w:t>
      </w:r>
    </w:p>
    <w:p w14:paraId="13C9BBE5" w14:textId="77777777" w:rsidR="005A24FA" w:rsidRPr="00162DB2" w:rsidRDefault="005A24FA" w:rsidP="005A24FA">
      <w:pPr>
        <w:numPr>
          <w:ilvl w:val="0"/>
          <w:numId w:val="29"/>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Psichikos sutrikimas;</w:t>
      </w:r>
    </w:p>
    <w:p w14:paraId="3D39ECB3" w14:textId="77777777" w:rsidR="005A24FA" w:rsidRPr="00162DB2" w:rsidRDefault="005A24FA" w:rsidP="005A24FA">
      <w:pPr>
        <w:numPr>
          <w:ilvl w:val="0"/>
          <w:numId w:val="29"/>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Bendras negalavimas.</w:t>
      </w:r>
    </w:p>
    <w:p w14:paraId="723A64D1" w14:textId="77777777" w:rsidR="005A24FA" w:rsidRPr="00162DB2" w:rsidRDefault="005A24FA" w:rsidP="005A24FA">
      <w:pPr>
        <w:tabs>
          <w:tab w:val="left" w:pos="120"/>
          <w:tab w:val="left" w:pos="567"/>
        </w:tabs>
        <w:spacing w:after="0" w:line="240" w:lineRule="auto"/>
        <w:ind w:left="1440"/>
        <w:rPr>
          <w:rFonts w:ascii="Times New Roman" w:eastAsia="Calibri" w:hAnsi="Times New Roman" w:cs="Times New Roman"/>
          <w:lang w:eastAsia="lt-LT"/>
        </w:rPr>
      </w:pPr>
    </w:p>
    <w:p w14:paraId="453AA54E" w14:textId="77777777" w:rsidR="005A24FA" w:rsidRPr="00162DB2" w:rsidRDefault="005A24FA" w:rsidP="005A24FA">
      <w:pPr>
        <w:tabs>
          <w:tab w:val="left" w:pos="120"/>
          <w:tab w:val="left" w:pos="567"/>
        </w:tabs>
        <w:spacing w:after="0" w:line="240" w:lineRule="auto"/>
        <w:rPr>
          <w:rFonts w:ascii="Times New Roman" w:hAnsi="Times New Roman" w:cs="Times New Roman"/>
        </w:rPr>
      </w:pPr>
      <w:r w:rsidRPr="00162DB2">
        <w:rPr>
          <w:rFonts w:ascii="Times New Roman" w:hAnsi="Times New Roman" w:cs="Times New Roman"/>
        </w:rPr>
        <w:t>Į gripą panaši liga (</w:t>
      </w:r>
      <w:r w:rsidRPr="00162DB2">
        <w:rPr>
          <w:rFonts w:ascii="Times New Roman" w:eastAsia="Calibri" w:hAnsi="Times New Roman" w:cs="Times New Roman"/>
          <w:lang w:eastAsia="lt-LT"/>
        </w:rPr>
        <w:t>gali pasireikšti ne daugiau kaip 1 iš 1000 žmonių</w:t>
      </w:r>
      <w:r w:rsidRPr="00162DB2">
        <w:rPr>
          <w:rFonts w:ascii="Times New Roman" w:hAnsi="Times New Roman" w:cs="Times New Roman"/>
        </w:rPr>
        <w:t>) gali pasireikšti po kelių valandų ar dienų po injekcijos ir jai paprastai būdingi tokie simptomai kaip aukšta temperatūra ir raumenų bei sąnarių skausmai.</w:t>
      </w:r>
    </w:p>
    <w:p w14:paraId="75E47314" w14:textId="77777777" w:rsidR="005A24FA" w:rsidRPr="00162DB2" w:rsidRDefault="005A24FA" w:rsidP="005A24FA">
      <w:pPr>
        <w:tabs>
          <w:tab w:val="left" w:pos="120"/>
          <w:tab w:val="left" w:pos="567"/>
        </w:tabs>
        <w:spacing w:after="0" w:line="240" w:lineRule="auto"/>
        <w:rPr>
          <w:rFonts w:ascii="Times New Roman" w:hAnsi="Times New Roman" w:cs="Times New Roman"/>
        </w:rPr>
      </w:pPr>
    </w:p>
    <w:p w14:paraId="581FCCFC" w14:textId="77777777" w:rsidR="005A24FA" w:rsidRPr="00162DB2" w:rsidRDefault="005A24FA" w:rsidP="005A24FA">
      <w:pPr>
        <w:tabs>
          <w:tab w:val="left" w:pos="120"/>
          <w:tab w:val="left" w:pos="567"/>
        </w:tabs>
        <w:spacing w:after="0" w:line="240" w:lineRule="auto"/>
        <w:rPr>
          <w:rFonts w:ascii="Times New Roman" w:hAnsi="Times New Roman" w:cs="Times New Roman"/>
          <w:b/>
          <w:bCs/>
          <w:i/>
          <w:iCs/>
        </w:rPr>
      </w:pPr>
      <w:r w:rsidRPr="00162DB2">
        <w:rPr>
          <w:rFonts w:ascii="Times New Roman" w:hAnsi="Times New Roman" w:cs="Times New Roman"/>
          <w:b/>
          <w:bCs/>
          <w:i/>
          <w:iCs/>
        </w:rPr>
        <w:t>Dažnis nežinomas</w:t>
      </w:r>
    </w:p>
    <w:p w14:paraId="5707D02A" w14:textId="77777777" w:rsidR="005A24FA" w:rsidRPr="00162DB2" w:rsidRDefault="005A24FA" w:rsidP="005A24FA">
      <w:pPr>
        <w:numPr>
          <w:ilvl w:val="0"/>
          <w:numId w:val="45"/>
        </w:numPr>
        <w:tabs>
          <w:tab w:val="left" w:pos="120"/>
          <w:tab w:val="left" w:pos="567"/>
        </w:tabs>
        <w:spacing w:after="0" w:line="240" w:lineRule="auto"/>
        <w:ind w:hanging="720"/>
        <w:contextualSpacing/>
        <w:rPr>
          <w:rFonts w:ascii="Times New Roman" w:hAnsi="Times New Roman" w:cs="Times New Roman"/>
        </w:rPr>
      </w:pPr>
      <w:r w:rsidRPr="00162DB2">
        <w:rPr>
          <w:rFonts w:ascii="Times New Roman" w:hAnsi="Times New Roman" w:cs="Times New Roman"/>
        </w:rPr>
        <w:t>Odos spalvos pokyčiai kitose kūno vietose nei injekcijos vieta</w:t>
      </w:r>
      <w:r>
        <w:rPr>
          <w:rFonts w:ascii="Times New Roman" w:hAnsi="Times New Roman" w:cs="Times New Roman"/>
        </w:rPr>
        <w:t>.</w:t>
      </w:r>
    </w:p>
    <w:p w14:paraId="61C9B552" w14:textId="77777777" w:rsidR="005A24FA" w:rsidRPr="00162DB2" w:rsidRDefault="005A24FA" w:rsidP="005A24FA">
      <w:pPr>
        <w:tabs>
          <w:tab w:val="left" w:pos="120"/>
          <w:tab w:val="left" w:pos="567"/>
        </w:tabs>
        <w:spacing w:after="0" w:line="240" w:lineRule="auto"/>
        <w:rPr>
          <w:rFonts w:ascii="Times New Roman" w:hAnsi="Times New Roman"/>
        </w:rPr>
      </w:pPr>
    </w:p>
    <w:p w14:paraId="123DF15E" w14:textId="77777777" w:rsidR="005A24FA" w:rsidRPr="00162DB2" w:rsidRDefault="005A24FA" w:rsidP="005A24FA">
      <w:pPr>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Pranešimas apie šalutinį poveikį</w:t>
      </w:r>
    </w:p>
    <w:p w14:paraId="6D61702C" w14:textId="77777777" w:rsidR="005A24FA"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pasireiškė šalutinis poveikis, įskaitant šiame lapelyje nenurodytą, pasakykite gydytojui arba slaugytojui.</w:t>
      </w:r>
      <w:r>
        <w:rPr>
          <w:rFonts w:ascii="Times New Roman" w:eastAsia="Calibri" w:hAnsi="Times New Roman" w:cs="Times New Roman"/>
          <w:lang w:eastAsia="lt-LT"/>
        </w:rPr>
        <w:t xml:space="preserve"> </w:t>
      </w:r>
      <w:r w:rsidRPr="00BA58A4">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A58A4">
        <w:rPr>
          <w:rFonts w:ascii="Times New Roman" w:eastAsia="Times New Roman" w:hAnsi="Times New Roman" w:cs="Times New Roman"/>
          <w:color w:val="0000EE"/>
          <w:u w:val="single"/>
          <w:lang w:eastAsia="lt-LT"/>
        </w:rPr>
        <w:t>https://vvkt.lrv.lt/lt/</w:t>
      </w:r>
      <w:r w:rsidRPr="00BA58A4">
        <w:rPr>
          <w:rFonts w:ascii="Times New Roman" w:eastAsia="Times New Roman" w:hAnsi="Times New Roman" w:cs="Times New Roman"/>
          <w:lang w:eastAsia="lt-LT"/>
        </w:rPr>
        <w:t xml:space="preserve"> nurodytais būdais arba paskambinti nemokamu telefonu </w:t>
      </w:r>
      <w:r>
        <w:rPr>
          <w:rFonts w:ascii="Times New Roman" w:eastAsia="Times New Roman" w:hAnsi="Times New Roman" w:cs="Times New Roman"/>
          <w:lang w:eastAsia="lt-LT"/>
        </w:rPr>
        <w:t>+370</w:t>
      </w:r>
      <w:r w:rsidRPr="00BA58A4">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162DB2">
        <w:rPr>
          <w:rFonts w:ascii="Times New Roman" w:eastAsia="Calibri" w:hAnsi="Times New Roman" w:cs="Times New Roman"/>
          <w:lang w:eastAsia="lt-LT"/>
        </w:rPr>
        <w:t xml:space="preserve"> </w:t>
      </w:r>
    </w:p>
    <w:p w14:paraId="4E193DB2" w14:textId="77777777" w:rsidR="005A24FA" w:rsidRDefault="005A24FA" w:rsidP="005A24FA">
      <w:pPr>
        <w:tabs>
          <w:tab w:val="left" w:pos="120"/>
          <w:tab w:val="left" w:pos="567"/>
        </w:tabs>
        <w:spacing w:after="0" w:line="240" w:lineRule="auto"/>
        <w:rPr>
          <w:rFonts w:ascii="Times New Roman" w:eastAsia="Calibri" w:hAnsi="Times New Roman" w:cs="Times New Roman"/>
          <w:lang w:eastAsia="lt-LT"/>
        </w:rPr>
      </w:pPr>
    </w:p>
    <w:p w14:paraId="3960BD4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F4AA1B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5. Kaip laikyti </w:t>
      </w:r>
      <w:proofErr w:type="spellStart"/>
      <w:r w:rsidRPr="00162DB2">
        <w:rPr>
          <w:rFonts w:ascii="Times New Roman" w:eastAsia="Calibri" w:hAnsi="Times New Roman" w:cs="Times New Roman"/>
          <w:b/>
          <w:bCs/>
          <w:lang w:eastAsia="lt-LT"/>
        </w:rPr>
        <w:t>Monofer</w:t>
      </w:r>
      <w:proofErr w:type="spellEnd"/>
    </w:p>
    <w:p w14:paraId="7D2BB20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105A166F" w14:textId="77777777" w:rsidR="005A24FA" w:rsidRPr="00162DB2" w:rsidRDefault="005A24FA" w:rsidP="005A24FA">
      <w:pPr>
        <w:tabs>
          <w:tab w:val="left" w:pos="567"/>
        </w:tabs>
        <w:spacing w:after="0" w:line="240" w:lineRule="auto"/>
        <w:rPr>
          <w:rFonts w:ascii="Times New Roman" w:eastAsia="SimSun" w:hAnsi="Times New Roman" w:cs="Times New Roman"/>
        </w:rPr>
      </w:pPr>
      <w:r w:rsidRPr="00162DB2">
        <w:rPr>
          <w:rFonts w:ascii="Times New Roman" w:eastAsia="SimSun" w:hAnsi="Times New Roman" w:cs="Times New Roman"/>
        </w:rPr>
        <w:t xml:space="preserve">Šį vaistą laikykite vaikams </w:t>
      </w:r>
      <w:r w:rsidRPr="00162DB2">
        <w:rPr>
          <w:rFonts w:ascii="Times New Roman" w:eastAsia="Calibri" w:hAnsi="Times New Roman" w:cs="Times New Roman"/>
          <w:lang w:eastAsia="lt-LT"/>
        </w:rPr>
        <w:t>nepastebimoje ir nepasiekiamoje</w:t>
      </w:r>
      <w:r w:rsidRPr="00162DB2">
        <w:rPr>
          <w:rFonts w:ascii="Times New Roman" w:eastAsia="SimSun" w:hAnsi="Times New Roman" w:cs="Times New Roman"/>
        </w:rPr>
        <w:t xml:space="preserve"> vietoje.</w:t>
      </w:r>
    </w:p>
    <w:p w14:paraId="6B1B49E8" w14:textId="77777777" w:rsidR="005A24FA" w:rsidRPr="00162DB2" w:rsidRDefault="005A24FA" w:rsidP="005A24FA">
      <w:pPr>
        <w:tabs>
          <w:tab w:val="left" w:pos="567"/>
        </w:tabs>
        <w:spacing w:after="0" w:line="240" w:lineRule="auto"/>
        <w:rPr>
          <w:rFonts w:ascii="Times New Roman" w:eastAsia="SimSun" w:hAnsi="Times New Roman" w:cs="Times New Roman"/>
        </w:rPr>
      </w:pPr>
    </w:p>
    <w:p w14:paraId="10EF4238" w14:textId="77777777" w:rsidR="005A24FA" w:rsidRDefault="005A24FA" w:rsidP="005A24FA">
      <w:pPr>
        <w:tabs>
          <w:tab w:val="left" w:pos="567"/>
        </w:tabs>
        <w:spacing w:after="0" w:line="240" w:lineRule="auto"/>
        <w:rPr>
          <w:rFonts w:ascii="Times New Roman" w:eastAsia="SimSun" w:hAnsi="Times New Roman" w:cs="Times New Roman"/>
        </w:rPr>
      </w:pPr>
      <w:r w:rsidRPr="00162DB2">
        <w:rPr>
          <w:rFonts w:ascii="Times New Roman" w:eastAsia="SimSun" w:hAnsi="Times New Roman" w:cs="Times New Roman"/>
        </w:rPr>
        <w:t>Ant ampulės, flakono ir dėžutės po „EXP“ nurodytam tinkamumo laikui pasibaigus, šio vaisto vartoti negalima. Vaistas tinkamas vartoti iki paskutinės nurodyto mėnesio dienos.</w:t>
      </w:r>
    </w:p>
    <w:p w14:paraId="45CC186A" w14:textId="77777777" w:rsidR="005A24FA" w:rsidRDefault="005A24FA" w:rsidP="005A24FA">
      <w:pPr>
        <w:tabs>
          <w:tab w:val="left" w:pos="567"/>
        </w:tabs>
        <w:spacing w:after="0" w:line="240" w:lineRule="auto"/>
        <w:rPr>
          <w:rFonts w:ascii="Times New Roman" w:eastAsia="SimSun" w:hAnsi="Times New Roman" w:cs="Times New Roman"/>
        </w:rPr>
      </w:pPr>
    </w:p>
    <w:p w14:paraId="41D16B95" w14:textId="77777777" w:rsidR="005A24FA" w:rsidRPr="00156126" w:rsidRDefault="005A24FA" w:rsidP="005A24FA">
      <w:pPr>
        <w:numPr>
          <w:ilvl w:val="12"/>
          <w:numId w:val="0"/>
        </w:numPr>
        <w:tabs>
          <w:tab w:val="left" w:pos="567"/>
        </w:tabs>
        <w:spacing w:after="0" w:line="240" w:lineRule="auto"/>
        <w:ind w:right="-2"/>
        <w:rPr>
          <w:rFonts w:ascii="Times New Roman" w:eastAsia="Calibri" w:hAnsi="Times New Roman" w:cs="Times New Roman"/>
          <w:lang w:eastAsia="lt-LT"/>
        </w:rPr>
      </w:pPr>
      <w:r w:rsidRPr="00156126">
        <w:rPr>
          <w:rFonts w:ascii="Times New Roman" w:eastAsia="Calibri" w:hAnsi="Times New Roman" w:cs="Times New Roman"/>
          <w:lang w:eastAsia="lt-LT"/>
        </w:rPr>
        <w:t>Prieš vartojimą apžiūrėkite ar flakonuose/ampulėse nėra nusėdusių dalelių ar pažeidimo žymių. Vartokite tik tuos/tas, kuriuose/kuriose tirpalas yra be nusėdusių dalelių ir homogeniškas.</w:t>
      </w:r>
    </w:p>
    <w:p w14:paraId="1A18FB23" w14:textId="77777777" w:rsidR="005A24FA" w:rsidRPr="00156126" w:rsidRDefault="005A24FA" w:rsidP="005A24FA">
      <w:pPr>
        <w:numPr>
          <w:ilvl w:val="12"/>
          <w:numId w:val="0"/>
        </w:numPr>
        <w:tabs>
          <w:tab w:val="left" w:pos="567"/>
        </w:tabs>
        <w:spacing w:after="0" w:line="240" w:lineRule="auto"/>
        <w:ind w:right="-2"/>
        <w:rPr>
          <w:rFonts w:ascii="Times New Roman" w:eastAsia="Calibri" w:hAnsi="Times New Roman" w:cs="Times New Roman"/>
          <w:lang w:eastAsia="lt-LT"/>
        </w:rPr>
      </w:pPr>
    </w:p>
    <w:p w14:paraId="4B67368B" w14:textId="77777777" w:rsidR="005A24FA" w:rsidRPr="00156126" w:rsidRDefault="005A24FA" w:rsidP="005A24FA">
      <w:pPr>
        <w:numPr>
          <w:ilvl w:val="12"/>
          <w:numId w:val="0"/>
        </w:numPr>
        <w:tabs>
          <w:tab w:val="left" w:pos="567"/>
        </w:tabs>
        <w:spacing w:after="0" w:line="240" w:lineRule="auto"/>
        <w:ind w:right="-2"/>
        <w:rPr>
          <w:rFonts w:ascii="Times New Roman" w:eastAsia="Calibri" w:hAnsi="Times New Roman" w:cs="Times New Roman"/>
          <w:lang w:eastAsia="lt-LT"/>
        </w:rPr>
      </w:pPr>
      <w:r w:rsidRPr="00156126">
        <w:rPr>
          <w:rFonts w:ascii="Times New Roman" w:eastAsia="Calibri" w:hAnsi="Times New Roman" w:cs="Times New Roman"/>
          <w:lang w:eastAsia="lt-LT"/>
        </w:rPr>
        <w:t>Praskiestą injekcinį tirpalą prieš vartojimą reikia apžiūrėti. Galima vartoti tik skaidrius, be nuosėdų tirpalus.</w:t>
      </w:r>
    </w:p>
    <w:p w14:paraId="51A4619D" w14:textId="77777777" w:rsidR="005A24FA" w:rsidRPr="00156126" w:rsidRDefault="005A24FA" w:rsidP="005A24FA">
      <w:pPr>
        <w:numPr>
          <w:ilvl w:val="12"/>
          <w:numId w:val="0"/>
        </w:numPr>
        <w:tabs>
          <w:tab w:val="left" w:pos="567"/>
        </w:tabs>
        <w:spacing w:after="0" w:line="240" w:lineRule="auto"/>
        <w:ind w:right="-2"/>
        <w:rPr>
          <w:rFonts w:ascii="Times New Roman" w:eastAsia="Calibri" w:hAnsi="Times New Roman" w:cs="Times New Roman"/>
          <w:lang w:eastAsia="lt-LT"/>
        </w:rPr>
      </w:pPr>
    </w:p>
    <w:p w14:paraId="2A41AC30" w14:textId="77777777" w:rsidR="005A24FA" w:rsidRPr="00162DB2" w:rsidRDefault="005A24FA" w:rsidP="005A24FA">
      <w:pPr>
        <w:numPr>
          <w:ilvl w:val="12"/>
          <w:numId w:val="0"/>
        </w:numPr>
        <w:tabs>
          <w:tab w:val="left" w:pos="567"/>
        </w:tabs>
        <w:spacing w:after="0" w:line="240" w:lineRule="auto"/>
        <w:ind w:right="-2"/>
        <w:rPr>
          <w:rFonts w:ascii="Times New Roman" w:eastAsia="Calibri" w:hAnsi="Times New Roman" w:cs="Times New Roman"/>
          <w:lang w:eastAsia="lt-LT"/>
        </w:rPr>
      </w:pPr>
      <w:r w:rsidRPr="00156126">
        <w:rPr>
          <w:rFonts w:ascii="Times New Roman" w:eastAsia="Calibri" w:hAnsi="Times New Roman" w:cs="Times New Roman"/>
          <w:lang w:eastAsia="lt-LT"/>
        </w:rPr>
        <w:t>Šiam vaistui specialių laikymo sąlygų nereikia. Ligoninės personalas pasirūpins, kad vaistas būtų laikomas ir išmetamas tinkamai.</w:t>
      </w:r>
    </w:p>
    <w:p w14:paraId="3477735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p>
    <w:p w14:paraId="6590E2D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6.</w:t>
      </w:r>
      <w:r w:rsidRPr="00162DB2">
        <w:rPr>
          <w:rFonts w:ascii="Times New Roman" w:eastAsia="Calibri" w:hAnsi="Times New Roman" w:cs="Times New Roman"/>
          <w:b/>
          <w:bCs/>
          <w:lang w:eastAsia="lt-LT"/>
        </w:rPr>
        <w:tab/>
        <w:t>Pakuotės turinys ir kita informacija</w:t>
      </w:r>
    </w:p>
    <w:p w14:paraId="025C27B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lang w:eastAsia="lt-LT"/>
        </w:rPr>
      </w:pPr>
    </w:p>
    <w:p w14:paraId="246C020E" w14:textId="77777777" w:rsidR="005A24FA" w:rsidRPr="00162DB2" w:rsidRDefault="005A24FA" w:rsidP="005A24FA">
      <w:pPr>
        <w:numPr>
          <w:ilvl w:val="12"/>
          <w:numId w:val="0"/>
        </w:numPr>
        <w:tabs>
          <w:tab w:val="left" w:pos="567"/>
        </w:tabs>
        <w:spacing w:after="0" w:line="240" w:lineRule="auto"/>
        <w:ind w:right="-2"/>
        <w:rPr>
          <w:rFonts w:ascii="Times New Roman" w:eastAsia="Calibri" w:hAnsi="Times New Roman" w:cs="Times New Roman"/>
          <w:b/>
          <w:bCs/>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sudėtis</w:t>
      </w:r>
    </w:p>
    <w:p w14:paraId="5E978883" w14:textId="77777777" w:rsidR="005A24FA" w:rsidRPr="00162DB2" w:rsidRDefault="005A24FA" w:rsidP="005A24FA">
      <w:pPr>
        <w:numPr>
          <w:ilvl w:val="12"/>
          <w:numId w:val="0"/>
        </w:numPr>
        <w:tabs>
          <w:tab w:val="left" w:pos="567"/>
        </w:tabs>
        <w:spacing w:after="0" w:line="240" w:lineRule="auto"/>
        <w:ind w:right="-2"/>
        <w:rPr>
          <w:rFonts w:ascii="Times New Roman" w:eastAsia="Calibri" w:hAnsi="Times New Roman" w:cs="Times New Roman"/>
          <w:b/>
          <w:bCs/>
          <w:lang w:eastAsia="lt-LT"/>
        </w:rPr>
      </w:pPr>
    </w:p>
    <w:p w14:paraId="765CE79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Veiklioji medžiaga yra geležis (geležies (III) </w:t>
      </w:r>
      <w:proofErr w:type="spellStart"/>
      <w:r>
        <w:rPr>
          <w:rFonts w:ascii="Times New Roman" w:eastAsia="Calibri" w:hAnsi="Times New Roman" w:cs="Times New Roman"/>
          <w:lang w:eastAsia="lt-LT"/>
        </w:rPr>
        <w:t>derisomaltozė</w:t>
      </w:r>
      <w:proofErr w:type="spellEnd"/>
      <w:r w:rsidRPr="00162DB2">
        <w:rPr>
          <w:rFonts w:ascii="Times New Roman" w:eastAsia="Calibri" w:hAnsi="Times New Roman" w:cs="Times New Roman"/>
          <w:lang w:eastAsia="lt-LT"/>
        </w:rPr>
        <w:t xml:space="preserve">, geležies angliavandenių junginys). Geležies koncentracija vaiste yra 100 mg viename mililitre. Pagalbinės medžiagos yra natrio </w:t>
      </w:r>
      <w:proofErr w:type="spellStart"/>
      <w:r w:rsidRPr="00162DB2">
        <w:rPr>
          <w:rFonts w:ascii="Times New Roman" w:eastAsia="Calibri" w:hAnsi="Times New Roman" w:cs="Times New Roman"/>
          <w:lang w:eastAsia="lt-LT"/>
        </w:rPr>
        <w:t>hidroksidas</w:t>
      </w:r>
      <w:proofErr w:type="spellEnd"/>
      <w:r w:rsidRPr="00162DB2">
        <w:rPr>
          <w:rFonts w:ascii="Times New Roman" w:eastAsia="Calibri" w:hAnsi="Times New Roman" w:cs="Times New Roman"/>
          <w:lang w:eastAsia="lt-LT"/>
        </w:rPr>
        <w:t xml:space="preserve"> (pH koregavimui), druskos rūgštis (pH koregavimui) ir injekcinis vanduo. </w:t>
      </w:r>
    </w:p>
    <w:p w14:paraId="652EBD6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p>
    <w:p w14:paraId="4D247E4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išvaizda ir kiekis pakuotėje</w:t>
      </w:r>
    </w:p>
    <w:p w14:paraId="0C0CE7D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yra tamsiai rudas, neskaidrus injekcinis ar infuzinis tirpalas.</w:t>
      </w:r>
    </w:p>
    <w:p w14:paraId="66272DF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tiekiamas stiklinėmis ampulėmis ar stikliniais flakonais turinčiais:</w:t>
      </w:r>
    </w:p>
    <w:p w14:paraId="081A8D03" w14:textId="77777777" w:rsidR="005A24FA" w:rsidRPr="00162DB2" w:rsidRDefault="005A24FA" w:rsidP="005A24FA">
      <w:pPr>
        <w:numPr>
          <w:ilvl w:val="0"/>
          <w:numId w:val="45"/>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 ml tirpalo yra 100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14:paraId="7DA0555F" w14:textId="77777777" w:rsidR="005A24FA" w:rsidRPr="00162DB2" w:rsidRDefault="005A24FA" w:rsidP="005A24FA">
      <w:pPr>
        <w:numPr>
          <w:ilvl w:val="0"/>
          <w:numId w:val="45"/>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ml tirpalo yra 200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14:paraId="0AF820F1" w14:textId="77777777" w:rsidR="005A24FA" w:rsidRPr="00162DB2" w:rsidRDefault="005A24FA" w:rsidP="005A24FA">
      <w:pPr>
        <w:numPr>
          <w:ilvl w:val="0"/>
          <w:numId w:val="45"/>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5 ml tirpalo yra 500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14:paraId="6C1461BD" w14:textId="77777777" w:rsidR="005A24FA" w:rsidRPr="00162DB2" w:rsidRDefault="005A24FA" w:rsidP="005A24FA">
      <w:pPr>
        <w:numPr>
          <w:ilvl w:val="0"/>
          <w:numId w:val="45"/>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10 ml tirpalo yra 1000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14:paraId="64F6859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07014D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Pakuočių dydžiai:</w:t>
      </w:r>
    </w:p>
    <w:p w14:paraId="46DBBF1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Ampulės: 5 × 1 ml, 10 × 1 ml, 5 × 2 ml, 10 × 2 ml, 2 × 5 ml, 5 × 5 ml, 2 × 10 ml ir 5 × 10 ml.</w:t>
      </w:r>
    </w:p>
    <w:p w14:paraId="773F9AE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Flakonai: 1 x 1 ml, 5 × 1 ml, 10 × 1 ml, 5 × 2 ml, 10 × 2 ml, 1 x 5 ml, 2 × 5 ml, 5 × 5 ml, 1 x 10 ml, </w:t>
      </w:r>
      <w:r w:rsidRPr="00162DB2">
        <w:rPr>
          <w:rFonts w:ascii="Times New Roman" w:eastAsia="Calibri" w:hAnsi="Times New Roman" w:cs="Times New Roman"/>
          <w:lang w:eastAsia="lt-LT"/>
        </w:rPr>
        <w:br/>
        <w:t>2 × 10 ml ir 5 × 10 ml.</w:t>
      </w:r>
    </w:p>
    <w:p w14:paraId="5E270BF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p>
    <w:p w14:paraId="1B03512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Gali būti tiekiamos ne visų dydžių pakuotės. </w:t>
      </w:r>
    </w:p>
    <w:p w14:paraId="694D557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p>
    <w:p w14:paraId="56D5236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lang w:eastAsia="lt-LT"/>
        </w:rPr>
        <w:t>Registruotojas ir gamintojas</w:t>
      </w:r>
      <w:r w:rsidRPr="00162DB2" w:rsidDel="008A6F3C">
        <w:rPr>
          <w:rFonts w:ascii="Times New Roman" w:eastAsia="Calibri" w:hAnsi="Times New Roman" w:cs="Times New Roman"/>
          <w:b/>
          <w:bCs/>
          <w:lang w:eastAsia="lt-LT"/>
        </w:rPr>
        <w:t xml:space="preserve"> </w:t>
      </w:r>
    </w:p>
    <w:p w14:paraId="49BB15F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Pharmacosmos</w:t>
      </w:r>
      <w:proofErr w:type="spellEnd"/>
      <w:r w:rsidRPr="00162DB2">
        <w:rPr>
          <w:rFonts w:ascii="Times New Roman" w:eastAsia="Calibri" w:hAnsi="Times New Roman" w:cs="Times New Roman"/>
          <w:lang w:eastAsia="lt-LT"/>
        </w:rPr>
        <w:t xml:space="preserve"> A/S</w:t>
      </w:r>
    </w:p>
    <w:p w14:paraId="29462A0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lastRenderedPageBreak/>
        <w:t>Roervangsvej</w:t>
      </w:r>
      <w:proofErr w:type="spellEnd"/>
      <w:r w:rsidRPr="00162DB2">
        <w:rPr>
          <w:rFonts w:ascii="Times New Roman" w:eastAsia="Calibri" w:hAnsi="Times New Roman" w:cs="Times New Roman"/>
          <w:lang w:eastAsia="lt-LT"/>
        </w:rPr>
        <w:t xml:space="preserve"> 30</w:t>
      </w:r>
    </w:p>
    <w:p w14:paraId="03C80A9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DK-4300 </w:t>
      </w:r>
      <w:proofErr w:type="spellStart"/>
      <w:r w:rsidRPr="00162DB2">
        <w:rPr>
          <w:rFonts w:ascii="Times New Roman" w:eastAsia="Calibri" w:hAnsi="Times New Roman" w:cs="Times New Roman"/>
          <w:lang w:eastAsia="lt-LT"/>
        </w:rPr>
        <w:t>Holbaek</w:t>
      </w:r>
      <w:proofErr w:type="spellEnd"/>
    </w:p>
    <w:p w14:paraId="2C4B22D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Danija</w:t>
      </w:r>
    </w:p>
    <w:p w14:paraId="59845FB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Tel.: +45 59 48 59 59</w:t>
      </w:r>
    </w:p>
    <w:p w14:paraId="465969A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Faks.: +45 59 48 59 60</w:t>
      </w:r>
    </w:p>
    <w:p w14:paraId="6F378BB3" w14:textId="77777777" w:rsidR="005A24FA" w:rsidRDefault="005A24FA" w:rsidP="005A24FA">
      <w:pPr>
        <w:tabs>
          <w:tab w:val="left" w:pos="120"/>
          <w:tab w:val="left" w:pos="567"/>
        </w:tabs>
        <w:spacing w:after="0" w:line="240" w:lineRule="auto"/>
        <w:rPr>
          <w:rFonts w:ascii="Times New Roman" w:eastAsia="Calibri" w:hAnsi="Times New Roman" w:cs="Times New Roman"/>
          <w:color w:val="0000FF"/>
          <w:u w:val="single"/>
          <w:lang w:eastAsia="lt-LT"/>
        </w:rPr>
      </w:pPr>
      <w:r w:rsidRPr="00162DB2">
        <w:rPr>
          <w:rFonts w:ascii="Times New Roman" w:eastAsia="Calibri" w:hAnsi="Times New Roman" w:cs="Times New Roman"/>
          <w:lang w:eastAsia="lt-LT"/>
        </w:rPr>
        <w:t xml:space="preserve">El. paštas: </w:t>
      </w:r>
      <w:hyperlink r:id="rId12" w:history="1">
        <w:r w:rsidRPr="00162DB2">
          <w:rPr>
            <w:rFonts w:ascii="Times New Roman" w:eastAsia="Calibri" w:hAnsi="Times New Roman" w:cs="Times New Roman"/>
            <w:color w:val="0000FF"/>
            <w:u w:val="single"/>
            <w:lang w:eastAsia="lt-LT"/>
          </w:rPr>
          <w:t>info@pharmacosmos.com</w:t>
        </w:r>
      </w:hyperlink>
    </w:p>
    <w:p w14:paraId="40F75647" w14:textId="77777777" w:rsidR="005A24FA" w:rsidRDefault="005A24FA" w:rsidP="005A24FA">
      <w:pPr>
        <w:tabs>
          <w:tab w:val="left" w:pos="120"/>
          <w:tab w:val="left" w:pos="567"/>
        </w:tabs>
        <w:spacing w:after="0" w:line="240" w:lineRule="auto"/>
        <w:rPr>
          <w:rFonts w:ascii="Times New Roman" w:eastAsia="Calibri" w:hAnsi="Times New Roman" w:cs="Times New Roman"/>
          <w:color w:val="0000FF"/>
          <w:u w:val="single"/>
          <w:lang w:eastAsia="lt-LT"/>
        </w:rPr>
      </w:pPr>
    </w:p>
    <w:p w14:paraId="6BB5AC32" w14:textId="77777777" w:rsidR="005A24FA" w:rsidRPr="0049425A" w:rsidRDefault="005A24FA" w:rsidP="005A24FA">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Jeigu apie šį vaistą norite sužinoti daugiau, kreipkitės į vietinį registruotojo atstovą:</w:t>
      </w:r>
    </w:p>
    <w:p w14:paraId="339BE22A" w14:textId="77777777" w:rsidR="005A24FA" w:rsidRPr="0049425A" w:rsidRDefault="005A24FA" w:rsidP="005A24FA">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UAB „</w:t>
      </w:r>
      <w:proofErr w:type="spellStart"/>
      <w:r w:rsidRPr="0049425A">
        <w:rPr>
          <w:rFonts w:ascii="Times New Roman" w:eastAsia="Calibri" w:hAnsi="Times New Roman" w:cs="Times New Roman"/>
          <w:lang w:eastAsia="lt-LT"/>
        </w:rPr>
        <w:t>Orivas</w:t>
      </w:r>
      <w:proofErr w:type="spellEnd"/>
      <w:r w:rsidRPr="0049425A">
        <w:rPr>
          <w:rFonts w:ascii="Times New Roman" w:eastAsia="Calibri" w:hAnsi="Times New Roman" w:cs="Times New Roman"/>
          <w:lang w:eastAsia="lt-LT"/>
        </w:rPr>
        <w:t>“</w:t>
      </w:r>
    </w:p>
    <w:p w14:paraId="7E404397" w14:textId="77777777" w:rsidR="005A24FA" w:rsidRPr="0049425A" w:rsidRDefault="005A24FA" w:rsidP="005A24FA">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 xml:space="preserve">J. Jasinskio g. 16B </w:t>
      </w:r>
    </w:p>
    <w:p w14:paraId="026DEC00" w14:textId="77777777" w:rsidR="005A24FA" w:rsidRPr="0049425A" w:rsidRDefault="005A24FA" w:rsidP="005A24FA">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LT-0</w:t>
      </w:r>
      <w:r>
        <w:rPr>
          <w:rFonts w:ascii="Times New Roman" w:eastAsia="Calibri" w:hAnsi="Times New Roman" w:cs="Times New Roman"/>
          <w:lang w:eastAsia="lt-LT"/>
        </w:rPr>
        <w:t>3163</w:t>
      </w:r>
      <w:r w:rsidRPr="0049425A">
        <w:rPr>
          <w:rFonts w:ascii="Times New Roman" w:eastAsia="Calibri" w:hAnsi="Times New Roman" w:cs="Times New Roman"/>
          <w:lang w:eastAsia="lt-LT"/>
        </w:rPr>
        <w:t xml:space="preserve"> Vilnius</w:t>
      </w:r>
    </w:p>
    <w:p w14:paraId="4E035E18" w14:textId="77777777" w:rsidR="005A24FA" w:rsidRPr="0049425A" w:rsidRDefault="005A24FA" w:rsidP="005A24FA">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Lietuva</w:t>
      </w:r>
    </w:p>
    <w:p w14:paraId="723D8AFF" w14:textId="77777777" w:rsidR="005A24FA" w:rsidRPr="0049425A" w:rsidRDefault="005A24FA" w:rsidP="005A24FA">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Tel. +370 5 252 65 70</w:t>
      </w:r>
    </w:p>
    <w:p w14:paraId="3E0A4608"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El. paštas info@orivas.lt</w:t>
      </w:r>
    </w:p>
    <w:p w14:paraId="2B2D823D" w14:textId="77777777" w:rsidR="005A24FA" w:rsidRDefault="005A24FA" w:rsidP="005A24FA">
      <w:pPr>
        <w:tabs>
          <w:tab w:val="left" w:pos="120"/>
          <w:tab w:val="left" w:pos="567"/>
        </w:tabs>
        <w:spacing w:after="0" w:line="240" w:lineRule="auto"/>
        <w:rPr>
          <w:rFonts w:ascii="Times New Roman" w:eastAsia="Calibri" w:hAnsi="Times New Roman" w:cs="Times New Roman"/>
          <w:lang w:eastAsia="lt-LT"/>
        </w:rPr>
      </w:pPr>
    </w:p>
    <w:p w14:paraId="0BEA3621" w14:textId="77777777" w:rsidR="005A24FA" w:rsidRPr="00E112EF" w:rsidRDefault="005A24FA" w:rsidP="005A24FA">
      <w:pPr>
        <w:numPr>
          <w:ilvl w:val="12"/>
          <w:numId w:val="0"/>
        </w:numPr>
        <w:ind w:right="-2"/>
        <w:rPr>
          <w:rFonts w:ascii="Times New Roman" w:hAnsi="Times New Roman" w:cs="Times New Roman"/>
        </w:rPr>
      </w:pPr>
      <w:r w:rsidRPr="00E112EF">
        <w:rPr>
          <w:rFonts w:ascii="Times New Roman" w:hAnsi="Times New Roman" w:cs="Times New Roman"/>
          <w:b/>
        </w:rPr>
        <w:t xml:space="preserve">Šis vaistas Europos ekonominės erdvės valstybėse narėse </w:t>
      </w:r>
      <w:r w:rsidRPr="00E112EF">
        <w:rPr>
          <w:rFonts w:ascii="Times New Roman" w:hAnsi="Times New Roman" w:cs="Times New Roman"/>
          <w:b/>
          <w:noProof/>
        </w:rPr>
        <w:t xml:space="preserve">ir Jungtinėje Karalystėje (Šiaurės Airijoje) </w:t>
      </w:r>
      <w:r w:rsidRPr="00E112EF">
        <w:rPr>
          <w:rFonts w:ascii="Times New Roman" w:hAnsi="Times New Roman" w:cs="Times New Roman"/>
          <w:b/>
        </w:rPr>
        <w:t>registruotas tokiais pavadinimais:</w:t>
      </w:r>
    </w:p>
    <w:p w14:paraId="332B4CE8" w14:textId="77777777" w:rsidR="005A24FA" w:rsidRPr="00E112EF" w:rsidRDefault="005A24FA" w:rsidP="005A24FA">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Austrija, Bulgarija, Kroatija, Danija, Suomija, Estija, Vokietija, Islandija, Latvija, Lietuva, Nyderlandai, Norvegija, Rumunija, Slovėnija, Švedija, Jungtinė Karalystė </w:t>
      </w:r>
      <w:r w:rsidRPr="00E112EF">
        <w:rPr>
          <w:rFonts w:ascii="Times New Roman" w:eastAsia="Calibri" w:hAnsi="Times New Roman" w:cs="Times New Roman"/>
          <w:bCs/>
          <w:noProof/>
        </w:rPr>
        <w:t>(Šiaurės Airija)</w:t>
      </w:r>
      <w:r w:rsidRPr="00E112EF">
        <w:rPr>
          <w:rFonts w:ascii="Times New Roman" w:eastAsia="Calibri" w:hAnsi="Times New Roman" w:cs="Times New Roman"/>
          <w:lang w:eastAsia="lt-LT"/>
        </w:rPr>
        <w:t xml:space="preserve">: </w:t>
      </w:r>
      <w:proofErr w:type="spellStart"/>
      <w:r w:rsidRPr="00E112EF">
        <w:rPr>
          <w:rFonts w:ascii="Times New Roman" w:eastAsia="Calibri" w:hAnsi="Times New Roman" w:cs="Times New Roman"/>
          <w:lang w:eastAsia="lt-LT"/>
        </w:rPr>
        <w:t>Monofer</w:t>
      </w:r>
      <w:proofErr w:type="spellEnd"/>
      <w:r w:rsidRPr="00E112EF">
        <w:rPr>
          <w:rFonts w:ascii="Times New Roman" w:eastAsia="Calibri" w:hAnsi="Times New Roman" w:cs="Times New Roman"/>
          <w:lang w:eastAsia="lt-LT"/>
        </w:rPr>
        <w:t>®</w:t>
      </w:r>
    </w:p>
    <w:p w14:paraId="1F322D9C" w14:textId="77777777" w:rsidR="005A24FA" w:rsidRPr="00E112EF" w:rsidRDefault="005A24FA" w:rsidP="005A24FA">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Belgija, Italija: </w:t>
      </w:r>
      <w:proofErr w:type="spellStart"/>
      <w:r w:rsidRPr="00E112EF">
        <w:rPr>
          <w:rFonts w:ascii="Times New Roman" w:eastAsia="Calibri" w:hAnsi="Times New Roman" w:cs="Times New Roman"/>
          <w:lang w:eastAsia="lt-LT"/>
        </w:rPr>
        <w:t>Monoferric</w:t>
      </w:r>
      <w:proofErr w:type="spellEnd"/>
      <w:r w:rsidRPr="00E112EF">
        <w:rPr>
          <w:rFonts w:ascii="Times New Roman" w:eastAsia="Calibri" w:hAnsi="Times New Roman" w:cs="Times New Roman"/>
          <w:lang w:eastAsia="lt-LT"/>
        </w:rPr>
        <w:t>®</w:t>
      </w:r>
    </w:p>
    <w:p w14:paraId="630C7E87" w14:textId="77777777" w:rsidR="005A24FA" w:rsidRPr="00E112EF" w:rsidRDefault="005A24FA" w:rsidP="005A24FA">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Airija, Liuksemburgas, Lenkija: </w:t>
      </w:r>
      <w:proofErr w:type="spellStart"/>
      <w:r w:rsidRPr="00E112EF">
        <w:rPr>
          <w:rFonts w:ascii="Times New Roman" w:eastAsia="Calibri" w:hAnsi="Times New Roman" w:cs="Times New Roman"/>
          <w:lang w:eastAsia="lt-LT"/>
        </w:rPr>
        <w:t>Monover</w:t>
      </w:r>
      <w:proofErr w:type="spellEnd"/>
      <w:r w:rsidRPr="00E112EF">
        <w:rPr>
          <w:rFonts w:ascii="Times New Roman" w:eastAsia="Calibri" w:hAnsi="Times New Roman" w:cs="Times New Roman"/>
          <w:lang w:eastAsia="lt-LT"/>
        </w:rPr>
        <w:t>®</w:t>
      </w:r>
    </w:p>
    <w:p w14:paraId="715EFE78" w14:textId="77777777" w:rsidR="005A24FA" w:rsidRPr="00E112EF" w:rsidRDefault="005A24FA" w:rsidP="005A24FA">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Portugalija: </w:t>
      </w:r>
      <w:proofErr w:type="spellStart"/>
      <w:r w:rsidRPr="00E112EF">
        <w:rPr>
          <w:rFonts w:ascii="Times New Roman" w:eastAsia="Calibri" w:hAnsi="Times New Roman" w:cs="Times New Roman"/>
          <w:lang w:eastAsia="lt-LT"/>
        </w:rPr>
        <w:t>Monofar</w:t>
      </w:r>
      <w:proofErr w:type="spellEnd"/>
      <w:r w:rsidRPr="00E112EF">
        <w:rPr>
          <w:rFonts w:ascii="Times New Roman" w:eastAsia="Calibri" w:hAnsi="Times New Roman" w:cs="Times New Roman"/>
          <w:lang w:eastAsia="lt-LT"/>
        </w:rPr>
        <w:t>®</w:t>
      </w:r>
    </w:p>
    <w:p w14:paraId="64554457" w14:textId="77777777" w:rsidR="005A24FA" w:rsidRPr="00E112EF" w:rsidRDefault="005A24FA" w:rsidP="005A24FA">
      <w:pPr>
        <w:tabs>
          <w:tab w:val="left" w:pos="120"/>
          <w:tab w:val="left" w:pos="567"/>
        </w:tabs>
        <w:spacing w:after="0" w:line="240" w:lineRule="auto"/>
        <w:rPr>
          <w:rFonts w:ascii="Times New Roman" w:eastAsia="Calibri" w:hAnsi="Times New Roman" w:cs="Times New Roman"/>
          <w:lang w:eastAsia="lt-LT"/>
        </w:rPr>
      </w:pPr>
    </w:p>
    <w:p w14:paraId="362BBC76" w14:textId="77777777" w:rsidR="005A24FA" w:rsidRPr="00E112EF" w:rsidRDefault="005A24FA" w:rsidP="005A24FA">
      <w:pPr>
        <w:tabs>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b/>
          <w:lang w:eastAsia="lt-LT"/>
        </w:rPr>
        <w:t xml:space="preserve">Šis pakuotės lapelis paskutinį kartą peržiūrėtas </w:t>
      </w:r>
      <w:r>
        <w:rPr>
          <w:rFonts w:ascii="Times New Roman" w:eastAsia="Calibri" w:hAnsi="Times New Roman" w:cs="Times New Roman"/>
          <w:b/>
          <w:lang w:eastAsia="lt-LT"/>
        </w:rPr>
        <w:t>2025-03-28.</w:t>
      </w:r>
    </w:p>
    <w:p w14:paraId="46E9C233" w14:textId="77777777" w:rsidR="005A24FA" w:rsidRPr="00E112EF" w:rsidRDefault="005A24FA" w:rsidP="005A24FA">
      <w:pPr>
        <w:tabs>
          <w:tab w:val="left" w:pos="567"/>
        </w:tabs>
        <w:spacing w:after="0" w:line="240" w:lineRule="auto"/>
        <w:rPr>
          <w:rFonts w:ascii="Times New Roman" w:eastAsia="Calibri" w:hAnsi="Times New Roman" w:cs="Times New Roman"/>
          <w:lang w:eastAsia="lt-LT"/>
        </w:rPr>
      </w:pPr>
    </w:p>
    <w:p w14:paraId="10CBF55F" w14:textId="77777777" w:rsidR="005A24FA" w:rsidRPr="00E112EF" w:rsidRDefault="005A24FA" w:rsidP="005A24FA">
      <w:pPr>
        <w:tabs>
          <w:tab w:val="left" w:pos="567"/>
        </w:tabs>
        <w:spacing w:after="0" w:line="240" w:lineRule="auto"/>
        <w:rPr>
          <w:rFonts w:ascii="Times New Roman" w:eastAsia="Calibri" w:hAnsi="Times New Roman" w:cs="Times New Roman"/>
          <w:color w:val="0000FF"/>
          <w:u w:val="single"/>
          <w:lang w:eastAsia="lt-LT"/>
        </w:rPr>
      </w:pPr>
      <w:r w:rsidRPr="00E112EF">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E112EF">
        <w:rPr>
          <w:rFonts w:ascii="Times New Roman" w:eastAsia="Calibri" w:hAnsi="Times New Roman" w:cs="Times New Roman"/>
          <w:i/>
          <w:lang w:eastAsia="lt-LT"/>
        </w:rPr>
        <w:t xml:space="preserve"> </w:t>
      </w:r>
      <w:hyperlink r:id="rId13" w:history="1">
        <w:r w:rsidRPr="00E112EF">
          <w:rPr>
            <w:rFonts w:ascii="Times New Roman" w:eastAsia="Calibri" w:hAnsi="Times New Roman" w:cs="Times New Roman"/>
            <w:color w:val="0000FF"/>
            <w:u w:val="single"/>
            <w:lang w:eastAsia="lt-LT"/>
          </w:rPr>
          <w:t>http://www.vvkt.lt</w:t>
        </w:r>
      </w:hyperlink>
    </w:p>
    <w:p w14:paraId="7B9104FD"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p>
    <w:p w14:paraId="0579690E" w14:textId="77777777" w:rsidR="005A24FA" w:rsidRPr="00162DB2" w:rsidRDefault="005A24FA" w:rsidP="005A24FA">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w:t>
      </w:r>
    </w:p>
    <w:p w14:paraId="1DBFFD67" w14:textId="77777777" w:rsidR="005A24FA" w:rsidRPr="00162DB2" w:rsidRDefault="005A24FA" w:rsidP="005A24FA">
      <w:pPr>
        <w:tabs>
          <w:tab w:val="left" w:pos="567"/>
        </w:tabs>
        <w:spacing w:after="0" w:line="240" w:lineRule="auto"/>
        <w:rPr>
          <w:rFonts w:ascii="Times New Roman" w:eastAsia="SimSun" w:hAnsi="Times New Roman" w:cs="Times New Roman"/>
        </w:rPr>
      </w:pPr>
      <w:r w:rsidRPr="00162DB2">
        <w:rPr>
          <w:rFonts w:ascii="Times New Roman" w:eastAsia="SimSun" w:hAnsi="Times New Roman" w:cs="Times New Roman"/>
        </w:rPr>
        <w:t>Toliau pateikta informacija skirta tik sveikatos priežiūros specialistams</w:t>
      </w:r>
      <w:r>
        <w:rPr>
          <w:rFonts w:ascii="Times New Roman" w:eastAsia="SimSun" w:hAnsi="Times New Roman" w:cs="Times New Roman"/>
        </w:rPr>
        <w:t>.</w:t>
      </w:r>
    </w:p>
    <w:p w14:paraId="69691E8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u w:val="single"/>
          <w:lang w:eastAsia="lt-LT"/>
        </w:rPr>
      </w:pPr>
    </w:p>
    <w:p w14:paraId="00C5E1AA" w14:textId="77777777" w:rsidR="005A24FA" w:rsidRPr="00162DB2" w:rsidRDefault="005A24FA" w:rsidP="005A24FA">
      <w:pPr>
        <w:tabs>
          <w:tab w:val="left" w:pos="120"/>
          <w:tab w:val="left" w:pos="567"/>
        </w:tabs>
        <w:spacing w:after="0" w:line="240" w:lineRule="auto"/>
        <w:rPr>
          <w:rFonts w:ascii="Times New Roman" w:hAnsi="Times New Roman" w:cs="Times New Roman"/>
        </w:rPr>
      </w:pPr>
      <w:r w:rsidRPr="00162DB2">
        <w:rPr>
          <w:rFonts w:ascii="Times New Roman" w:hAnsi="Times New Roman" w:cs="Times New Roman"/>
        </w:rPr>
        <w:t xml:space="preserve">Kiekvieną kartą atidžiai stebėkite, ar </w:t>
      </w: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vartojimo metu ir po vartojimo pacientams nepasireiškė padidėjusio jautrumo požymių ar simptomų.</w:t>
      </w:r>
    </w:p>
    <w:p w14:paraId="426EF373" w14:textId="77777777" w:rsidR="005A24FA" w:rsidRPr="00162DB2" w:rsidRDefault="005A24FA" w:rsidP="005A24FA">
      <w:pPr>
        <w:tabs>
          <w:tab w:val="left" w:pos="120"/>
          <w:tab w:val="left" w:pos="567"/>
        </w:tabs>
        <w:spacing w:after="0" w:line="240" w:lineRule="auto"/>
        <w:rPr>
          <w:rFonts w:ascii="Times New Roman" w:hAnsi="Times New Roman" w:cs="Times New Roman"/>
        </w:rPr>
      </w:pPr>
    </w:p>
    <w:p w14:paraId="357E6190" w14:textId="77777777" w:rsidR="005A24FA" w:rsidRPr="00162DB2" w:rsidRDefault="005A24FA" w:rsidP="005A24FA">
      <w:pPr>
        <w:tabs>
          <w:tab w:val="left" w:pos="120"/>
          <w:tab w:val="left" w:pos="567"/>
        </w:tabs>
        <w:spacing w:after="0" w:line="240" w:lineRule="auto"/>
        <w:rPr>
          <w:rFonts w:ascii="Times New Roman" w:hAnsi="Times New Roman" w:cs="Times New Roman"/>
        </w:rPr>
      </w:pP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turėtų būti vartojamas tik visa būtina gaivinimo įranga aprūpintoje aplinkoje ir kai netoliese yra personalo, išmokyto atpažinti ir suvaldyti anafilaksines reakcijas. Mažiausiai 30 minučių po kiekvienos </w:t>
      </w: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injekcijos reikia stebėti, ar pacientui nepasireiškė nepageidaujamas poveikis.</w:t>
      </w:r>
    </w:p>
    <w:p w14:paraId="4C71AE00" w14:textId="77777777" w:rsidR="005A24FA" w:rsidRPr="00162DB2" w:rsidRDefault="005A24FA" w:rsidP="005A24FA">
      <w:pPr>
        <w:tabs>
          <w:tab w:val="left" w:pos="120"/>
          <w:tab w:val="left" w:pos="567"/>
        </w:tabs>
        <w:spacing w:after="0" w:line="240" w:lineRule="auto"/>
        <w:rPr>
          <w:rFonts w:ascii="Times New Roman" w:hAnsi="Times New Roman" w:cs="Times New Roman"/>
        </w:rPr>
      </w:pPr>
    </w:p>
    <w:p w14:paraId="402D03ED" w14:textId="77777777" w:rsidR="005A24FA" w:rsidRPr="00162DB2" w:rsidRDefault="005A24FA" w:rsidP="005A24FA">
      <w:pPr>
        <w:spacing w:after="200" w:line="276" w:lineRule="auto"/>
        <w:rPr>
          <w:rFonts w:ascii="Times New Roman" w:hAnsi="Times New Roman" w:cs="Times New Roman"/>
        </w:rPr>
      </w:pPr>
      <w:r w:rsidRPr="00162DB2">
        <w:rPr>
          <w:rFonts w:ascii="Times New Roman" w:hAnsi="Times New Roman" w:cs="Times New Roman"/>
        </w:rPr>
        <w:t xml:space="preserve">Kiekvienas intraveninis geležies vartojimas yra susijęs su padidėjusio jautrumo reakcijos rizika. Todėl norint sumažinti riziką, reikia iki minimumo sumažinti vienkartinių intraveninių geležies skyrimų skaičių. </w:t>
      </w:r>
    </w:p>
    <w:p w14:paraId="19FC7158" w14:textId="77777777" w:rsidR="005A24FA" w:rsidRPr="00426658" w:rsidRDefault="005A24FA" w:rsidP="005A24FA">
      <w:pPr>
        <w:spacing w:after="200" w:line="276" w:lineRule="auto"/>
        <w:rPr>
          <w:rFonts w:ascii="Times New Roman" w:hAnsi="Times New Roman" w:cs="Times New Roman"/>
        </w:rPr>
      </w:pPr>
      <w:r w:rsidRPr="00426658">
        <w:rPr>
          <w:rFonts w:ascii="Times New Roman" w:hAnsi="Times New Roman" w:cs="Times New Roman"/>
        </w:rPr>
        <w:t>Dozavimas</w:t>
      </w:r>
    </w:p>
    <w:p w14:paraId="0494F312" w14:textId="77777777" w:rsidR="005A24FA" w:rsidRPr="00162DB2" w:rsidRDefault="005A24FA" w:rsidP="005A24FA">
      <w:pPr>
        <w:spacing w:after="200" w:line="276" w:lineRule="auto"/>
        <w:rPr>
          <w:rFonts w:ascii="Times New Roman" w:hAnsi="Times New Roman" w:cs="Times New Roman"/>
        </w:rPr>
      </w:pP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dozavimas atliekamas palaipsniui: [1] individualaus geležies poreikio </w:t>
      </w:r>
      <w:proofErr w:type="spellStart"/>
      <w:r w:rsidRPr="00162DB2">
        <w:rPr>
          <w:rFonts w:ascii="Times New Roman" w:hAnsi="Times New Roman" w:cs="Times New Roman"/>
        </w:rPr>
        <w:t>nusatymas</w:t>
      </w:r>
      <w:proofErr w:type="spellEnd"/>
      <w:r w:rsidRPr="00162DB2">
        <w:rPr>
          <w:rFonts w:ascii="Times New Roman" w:hAnsi="Times New Roman" w:cs="Times New Roman"/>
        </w:rPr>
        <w:t xml:space="preserve"> ir [2] geležies dozės (-</w:t>
      </w:r>
      <w:proofErr w:type="spellStart"/>
      <w:r w:rsidRPr="00162DB2">
        <w:rPr>
          <w:rFonts w:ascii="Times New Roman" w:hAnsi="Times New Roman" w:cs="Times New Roman"/>
        </w:rPr>
        <w:t>ių</w:t>
      </w:r>
      <w:proofErr w:type="spellEnd"/>
      <w:r w:rsidRPr="00162DB2">
        <w:rPr>
          <w:rFonts w:ascii="Times New Roman" w:hAnsi="Times New Roman" w:cs="Times New Roman"/>
        </w:rPr>
        <w:t xml:space="preserve">) apskaičiavimas ir vartojimas. Žingsniai gali būti kartojami po [3] geležies atsargų įvertinimo. </w:t>
      </w:r>
    </w:p>
    <w:p w14:paraId="613DB28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1 žingsnis</w:t>
      </w:r>
      <w:r w:rsidRPr="00162DB2">
        <w:rPr>
          <w:rFonts w:ascii="Times New Roman" w:eastAsia="Calibri" w:hAnsi="Times New Roman" w:cs="Times New Roman"/>
          <w:lang w:eastAsia="lt-LT"/>
        </w:rPr>
        <w:t xml:space="preserve">. </w:t>
      </w:r>
      <w:r w:rsidRPr="00162DB2">
        <w:rPr>
          <w:rFonts w:ascii="Times New Roman" w:eastAsia="Calibri" w:hAnsi="Times New Roman" w:cs="Times New Roman"/>
          <w:i/>
          <w:iCs/>
          <w:lang w:eastAsia="lt-LT"/>
        </w:rPr>
        <w:t>Geležies poreikio nustatymas</w:t>
      </w:r>
      <w:r w:rsidRPr="00EE565B">
        <w:rPr>
          <w:rFonts w:ascii="Times New Roman" w:eastAsia="Calibri" w:hAnsi="Times New Roman" w:cs="Times New Roman"/>
          <w:i/>
          <w:iCs/>
          <w:lang w:eastAsia="lt-LT"/>
        </w:rPr>
        <w:t>:</w:t>
      </w:r>
    </w:p>
    <w:p w14:paraId="16F7FA8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4253F4E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 xml:space="preserve">Geležies poreikis gali būti apskaičiuojamas pagal žemiau pateiktą supaprastintą dozavimo lentelę (i) arba naudojant </w:t>
      </w:r>
      <w:proofErr w:type="spellStart"/>
      <w:r w:rsidRPr="00162DB2">
        <w:rPr>
          <w:rFonts w:ascii="Times New Roman" w:eastAsia="Calibri" w:hAnsi="Times New Roman" w:cs="Times New Roman"/>
          <w:i/>
          <w:iCs/>
          <w:lang w:eastAsia="lt-LT"/>
        </w:rPr>
        <w:t>Ganzoni</w:t>
      </w:r>
      <w:proofErr w:type="spellEnd"/>
      <w:r w:rsidRPr="00162DB2">
        <w:rPr>
          <w:rFonts w:ascii="Times New Roman" w:eastAsia="Calibri" w:hAnsi="Times New Roman" w:cs="Times New Roman"/>
          <w:i/>
          <w:iCs/>
          <w:lang w:eastAsia="lt-LT"/>
        </w:rPr>
        <w:t xml:space="preserve"> formulę (ii). </w:t>
      </w:r>
    </w:p>
    <w:p w14:paraId="29E7EBA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41496C4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 xml:space="preserve">Geležies poreikis turi būti išreikštas </w:t>
      </w:r>
      <w:proofErr w:type="spellStart"/>
      <w:r w:rsidRPr="00162DB2">
        <w:rPr>
          <w:rFonts w:ascii="Times New Roman" w:eastAsia="Calibri" w:hAnsi="Times New Roman" w:cs="Times New Roman"/>
          <w:i/>
          <w:iCs/>
          <w:lang w:eastAsia="lt-LT"/>
        </w:rPr>
        <w:t>elementine</w:t>
      </w:r>
      <w:proofErr w:type="spellEnd"/>
      <w:r w:rsidRPr="00162DB2">
        <w:rPr>
          <w:rFonts w:ascii="Times New Roman" w:eastAsia="Calibri" w:hAnsi="Times New Roman" w:cs="Times New Roman"/>
          <w:i/>
          <w:iCs/>
          <w:lang w:eastAsia="lt-LT"/>
        </w:rPr>
        <w:t xml:space="preserve"> geležimi miligramais. </w:t>
      </w:r>
    </w:p>
    <w:p w14:paraId="38CB68C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6E7FB910" w14:textId="77777777" w:rsidR="005A24FA" w:rsidRPr="00162DB2" w:rsidRDefault="005A24FA" w:rsidP="005A24FA">
      <w:pPr>
        <w:numPr>
          <w:ilvl w:val="0"/>
          <w:numId w:val="42"/>
        </w:numPr>
        <w:tabs>
          <w:tab w:val="left" w:pos="120"/>
          <w:tab w:val="left" w:pos="567"/>
        </w:tabs>
        <w:spacing w:after="0" w:line="240" w:lineRule="auto"/>
        <w:contextualSpacing/>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Supaprastinta lentelė:</w:t>
      </w:r>
    </w:p>
    <w:p w14:paraId="34EB970B"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p>
    <w:p w14:paraId="4D0E6121"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r w:rsidRPr="00162DB2">
        <w:rPr>
          <w:rFonts w:ascii="Times New Roman" w:eastAsia="Calibri" w:hAnsi="Times New Roman" w:cs="Times New Roman"/>
          <w:lang w:eastAsia="lt-LT"/>
        </w:rPr>
        <w:t>1 Lentelė. Supaprastinta lentelė</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2500"/>
        <w:gridCol w:w="2500"/>
        <w:gridCol w:w="2501"/>
      </w:tblGrid>
      <w:tr w:rsidR="005A24FA" w:rsidRPr="00162DB2" w14:paraId="7804D41E" w14:textId="77777777" w:rsidTr="00FA250C">
        <w:tc>
          <w:tcPr>
            <w:tcW w:w="1010" w:type="dxa"/>
            <w:shd w:val="clear" w:color="auto" w:fill="auto"/>
            <w:vAlign w:val="center"/>
          </w:tcPr>
          <w:p w14:paraId="3BB10A8D"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Hb</w:t>
            </w:r>
            <w:proofErr w:type="spellEnd"/>
            <w:r w:rsidRPr="00162DB2">
              <w:rPr>
                <w:rFonts w:ascii="Times New Roman" w:hAnsi="Times New Roman" w:cs="Times New Roman"/>
                <w:lang w:val="en-US"/>
              </w:rPr>
              <w:t xml:space="preserve"> (g/dl)</w:t>
            </w:r>
          </w:p>
        </w:tc>
        <w:tc>
          <w:tcPr>
            <w:tcW w:w="1010" w:type="dxa"/>
          </w:tcPr>
          <w:p w14:paraId="11EE9BB7"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Hb</w:t>
            </w:r>
            <w:proofErr w:type="spellEnd"/>
            <w:r>
              <w:rPr>
                <w:rFonts w:ascii="Times New Roman" w:hAnsi="Times New Roman" w:cs="Times New Roman"/>
                <w:lang w:val="en-US"/>
              </w:rPr>
              <w:t xml:space="preserve"> </w:t>
            </w:r>
            <w:r w:rsidRPr="00162DB2">
              <w:rPr>
                <w:rFonts w:ascii="Times New Roman" w:hAnsi="Times New Roman" w:cs="Times New Roman"/>
                <w:lang w:val="en-US"/>
              </w:rPr>
              <w:t>(</w:t>
            </w:r>
            <w:proofErr w:type="spellStart"/>
            <w:r w:rsidRPr="00162DB2">
              <w:rPr>
                <w:rFonts w:ascii="Times New Roman" w:hAnsi="Times New Roman" w:cs="Times New Roman"/>
                <w:lang w:val="en-US"/>
              </w:rPr>
              <w:t>mmol</w:t>
            </w:r>
            <w:proofErr w:type="spellEnd"/>
            <w:r w:rsidRPr="00162DB2">
              <w:rPr>
                <w:rFonts w:ascii="Times New Roman" w:hAnsi="Times New Roman" w:cs="Times New Roman"/>
                <w:lang w:val="en-US"/>
              </w:rPr>
              <w:t>/l)</w:t>
            </w:r>
          </w:p>
        </w:tc>
        <w:tc>
          <w:tcPr>
            <w:tcW w:w="2500" w:type="dxa"/>
          </w:tcPr>
          <w:p w14:paraId="09D882D1"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Pacientams</w:t>
            </w:r>
            <w:proofErr w:type="spellEnd"/>
            <w:r>
              <w:rPr>
                <w:rFonts w:ascii="Times New Roman" w:hAnsi="Times New Roman" w:cs="Times New Roman"/>
                <w:lang w:val="en-US"/>
              </w:rPr>
              <w:t>,</w:t>
            </w:r>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sveriantiems</w:t>
            </w:r>
            <w:proofErr w:type="spellEnd"/>
            <w:r w:rsidRPr="00162DB2">
              <w:rPr>
                <w:rFonts w:ascii="Times New Roman" w:hAnsi="Times New Roman" w:cs="Times New Roman"/>
                <w:lang w:val="en-US"/>
              </w:rPr>
              <w:t xml:space="preserve">  &lt;50 kg</w:t>
            </w:r>
          </w:p>
        </w:tc>
        <w:tc>
          <w:tcPr>
            <w:tcW w:w="2500" w:type="dxa"/>
            <w:shd w:val="clear" w:color="auto" w:fill="auto"/>
            <w:vAlign w:val="center"/>
          </w:tcPr>
          <w:p w14:paraId="521F3C67" w14:textId="77777777" w:rsidR="005A24FA" w:rsidRPr="004D5306" w:rsidRDefault="005A24FA" w:rsidP="00FA250C">
            <w:pPr>
              <w:autoSpaceDE w:val="0"/>
              <w:autoSpaceDN w:val="0"/>
              <w:adjustRightInd w:val="0"/>
              <w:spacing w:after="200" w:line="240" w:lineRule="auto"/>
              <w:rPr>
                <w:rFonts w:ascii="Times New Roman" w:hAnsi="Times New Roman" w:cs="Times New Roman"/>
                <w:lang w:val="es-ES"/>
              </w:rPr>
            </w:pPr>
            <w:proofErr w:type="spellStart"/>
            <w:r w:rsidRPr="004D5306">
              <w:rPr>
                <w:rFonts w:ascii="Times New Roman" w:hAnsi="Times New Roman" w:cs="Times New Roman"/>
                <w:lang w:val="es-ES"/>
              </w:rPr>
              <w:t>Pacientams</w:t>
            </w:r>
            <w:proofErr w:type="spellEnd"/>
            <w:r w:rsidRPr="004D5306">
              <w:rPr>
                <w:rFonts w:ascii="Times New Roman" w:hAnsi="Times New Roman" w:cs="Times New Roman"/>
                <w:lang w:val="es-ES"/>
              </w:rPr>
              <w:t xml:space="preserve">, </w:t>
            </w:r>
            <w:proofErr w:type="spellStart"/>
            <w:r w:rsidRPr="004D5306">
              <w:rPr>
                <w:rFonts w:ascii="Times New Roman" w:hAnsi="Times New Roman" w:cs="Times New Roman"/>
                <w:lang w:val="es-ES"/>
              </w:rPr>
              <w:t>sveriantiems</w:t>
            </w:r>
            <w:proofErr w:type="spellEnd"/>
            <w:r w:rsidRPr="004D5306">
              <w:rPr>
                <w:rFonts w:ascii="Times New Roman" w:hAnsi="Times New Roman" w:cs="Times New Roman"/>
                <w:lang w:val="es-ES"/>
              </w:rPr>
              <w:t xml:space="preserve"> </w:t>
            </w:r>
            <w:proofErr w:type="spellStart"/>
            <w:r w:rsidRPr="004D5306">
              <w:rPr>
                <w:rFonts w:ascii="Times New Roman" w:hAnsi="Times New Roman" w:cs="Times New Roman"/>
                <w:lang w:val="es-ES"/>
              </w:rPr>
              <w:t>nuo</w:t>
            </w:r>
            <w:proofErr w:type="spellEnd"/>
            <w:r w:rsidRPr="004D5306">
              <w:rPr>
                <w:rFonts w:ascii="Times New Roman" w:hAnsi="Times New Roman" w:cs="Times New Roman"/>
                <w:lang w:val="es-ES"/>
              </w:rPr>
              <w:t xml:space="preserve"> 50 kg </w:t>
            </w:r>
            <w:proofErr w:type="spellStart"/>
            <w:r w:rsidRPr="004D5306">
              <w:rPr>
                <w:rFonts w:ascii="Times New Roman" w:hAnsi="Times New Roman" w:cs="Times New Roman"/>
                <w:lang w:val="es-ES"/>
              </w:rPr>
              <w:t>iki</w:t>
            </w:r>
            <w:proofErr w:type="spellEnd"/>
            <w:r w:rsidRPr="004D5306">
              <w:rPr>
                <w:rFonts w:ascii="Times New Roman" w:hAnsi="Times New Roman" w:cs="Times New Roman"/>
                <w:lang w:val="es-ES"/>
              </w:rPr>
              <w:t xml:space="preserve"> &lt;70 kg</w:t>
            </w:r>
          </w:p>
        </w:tc>
        <w:tc>
          <w:tcPr>
            <w:tcW w:w="2501" w:type="dxa"/>
            <w:shd w:val="clear" w:color="auto" w:fill="auto"/>
            <w:vAlign w:val="center"/>
          </w:tcPr>
          <w:p w14:paraId="135D2944"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Pacientams</w:t>
            </w:r>
            <w:proofErr w:type="spellEnd"/>
            <w:r>
              <w:rPr>
                <w:rFonts w:ascii="Times New Roman" w:hAnsi="Times New Roman" w:cs="Times New Roman"/>
                <w:lang w:val="en-US"/>
              </w:rPr>
              <w:t>,</w:t>
            </w:r>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sveriantiems</w:t>
            </w:r>
            <w:proofErr w:type="spellEnd"/>
            <w:r w:rsidRPr="00162DB2">
              <w:rPr>
                <w:rFonts w:ascii="Times New Roman" w:hAnsi="Times New Roman" w:cs="Times New Roman"/>
                <w:lang w:val="en-US"/>
              </w:rPr>
              <w:t xml:space="preserve">  ≥70 kg</w:t>
            </w:r>
          </w:p>
        </w:tc>
      </w:tr>
      <w:tr w:rsidR="005A24FA" w:rsidRPr="00162DB2" w14:paraId="180E5E62" w14:textId="77777777" w:rsidTr="00FA250C">
        <w:tc>
          <w:tcPr>
            <w:tcW w:w="1010" w:type="dxa"/>
            <w:shd w:val="clear" w:color="auto" w:fill="auto"/>
            <w:vAlign w:val="center"/>
          </w:tcPr>
          <w:p w14:paraId="6C4A6880"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eastAsia="T4" w:hAnsi="Times New Roman" w:cs="Times New Roman"/>
                <w:lang w:val="en-US"/>
              </w:rPr>
              <w:t>≥</w:t>
            </w:r>
            <w:r w:rsidRPr="00162DB2">
              <w:rPr>
                <w:rFonts w:ascii="Times New Roman" w:hAnsi="Times New Roman" w:cs="Times New Roman"/>
                <w:lang w:val="en-US"/>
              </w:rPr>
              <w:t>10</w:t>
            </w:r>
          </w:p>
        </w:tc>
        <w:tc>
          <w:tcPr>
            <w:tcW w:w="1010" w:type="dxa"/>
          </w:tcPr>
          <w:p w14:paraId="7D97DC06"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≥6,2</w:t>
            </w:r>
          </w:p>
        </w:tc>
        <w:tc>
          <w:tcPr>
            <w:tcW w:w="2500" w:type="dxa"/>
          </w:tcPr>
          <w:p w14:paraId="45E0D72D"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500 mg</w:t>
            </w:r>
          </w:p>
        </w:tc>
        <w:tc>
          <w:tcPr>
            <w:tcW w:w="2500" w:type="dxa"/>
            <w:shd w:val="clear" w:color="auto" w:fill="auto"/>
            <w:vAlign w:val="center"/>
          </w:tcPr>
          <w:p w14:paraId="5DABC312"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1000 mg</w:t>
            </w:r>
          </w:p>
        </w:tc>
        <w:tc>
          <w:tcPr>
            <w:tcW w:w="2501" w:type="dxa"/>
            <w:shd w:val="clear" w:color="auto" w:fill="auto"/>
            <w:vAlign w:val="center"/>
          </w:tcPr>
          <w:p w14:paraId="21676EB2"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1500 mg</w:t>
            </w:r>
          </w:p>
        </w:tc>
      </w:tr>
      <w:tr w:rsidR="005A24FA" w:rsidRPr="00162DB2" w14:paraId="022192F5" w14:textId="77777777" w:rsidTr="00FA250C">
        <w:tc>
          <w:tcPr>
            <w:tcW w:w="1010" w:type="dxa"/>
            <w:shd w:val="clear" w:color="auto" w:fill="auto"/>
            <w:vAlign w:val="center"/>
          </w:tcPr>
          <w:p w14:paraId="7A47A685" w14:textId="77777777" w:rsidR="005A24FA" w:rsidRPr="00162DB2" w:rsidRDefault="005A24FA" w:rsidP="00FA250C">
            <w:pPr>
              <w:autoSpaceDE w:val="0"/>
              <w:autoSpaceDN w:val="0"/>
              <w:adjustRightInd w:val="0"/>
              <w:spacing w:after="200" w:line="240" w:lineRule="auto"/>
              <w:rPr>
                <w:rFonts w:ascii="Times New Roman" w:eastAsia="T4" w:hAnsi="Times New Roman" w:cs="Times New Roman"/>
                <w:lang w:val="en-US"/>
              </w:rPr>
            </w:pPr>
            <w:r w:rsidRPr="00162DB2">
              <w:rPr>
                <w:rFonts w:ascii="Times New Roman" w:hAnsi="Times New Roman" w:cs="Times New Roman"/>
                <w:lang w:val="en-US"/>
              </w:rPr>
              <w:t>&lt;10</w:t>
            </w:r>
          </w:p>
        </w:tc>
        <w:tc>
          <w:tcPr>
            <w:tcW w:w="1010" w:type="dxa"/>
          </w:tcPr>
          <w:p w14:paraId="29CC431D"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&lt;6,2</w:t>
            </w:r>
          </w:p>
        </w:tc>
        <w:tc>
          <w:tcPr>
            <w:tcW w:w="2500" w:type="dxa"/>
          </w:tcPr>
          <w:p w14:paraId="1C3780AF"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500 mg</w:t>
            </w:r>
          </w:p>
        </w:tc>
        <w:tc>
          <w:tcPr>
            <w:tcW w:w="2500" w:type="dxa"/>
            <w:shd w:val="clear" w:color="auto" w:fill="auto"/>
            <w:vAlign w:val="center"/>
          </w:tcPr>
          <w:p w14:paraId="1850888D" w14:textId="77777777" w:rsidR="005A24FA" w:rsidRPr="00162DB2" w:rsidRDefault="005A24FA"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1500 mg</w:t>
            </w:r>
          </w:p>
        </w:tc>
        <w:tc>
          <w:tcPr>
            <w:tcW w:w="2501" w:type="dxa"/>
            <w:shd w:val="clear" w:color="auto" w:fill="auto"/>
            <w:vAlign w:val="center"/>
          </w:tcPr>
          <w:p w14:paraId="64934DEE" w14:textId="77777777" w:rsidR="005A24FA" w:rsidRPr="00162DB2" w:rsidRDefault="005A24FA" w:rsidP="00FA250C">
            <w:pPr>
              <w:autoSpaceDE w:val="0"/>
              <w:autoSpaceDN w:val="0"/>
              <w:adjustRightInd w:val="0"/>
              <w:spacing w:after="200" w:line="240" w:lineRule="auto"/>
              <w:ind w:left="360" w:hanging="360"/>
              <w:contextualSpacing/>
              <w:rPr>
                <w:rFonts w:ascii="Times New Roman" w:hAnsi="Times New Roman" w:cs="Times New Roman"/>
                <w:lang w:val="en-US"/>
              </w:rPr>
            </w:pPr>
            <w:r>
              <w:rPr>
                <w:rFonts w:ascii="Times New Roman" w:hAnsi="Times New Roman" w:cs="Times New Roman"/>
                <w:lang w:val="en-US"/>
              </w:rPr>
              <w:t>2000 mg</w:t>
            </w:r>
          </w:p>
        </w:tc>
      </w:tr>
    </w:tbl>
    <w:p w14:paraId="5D0F7F45" w14:textId="77777777" w:rsidR="005A24FA" w:rsidRPr="00162DB2" w:rsidRDefault="005A24FA" w:rsidP="005A24FA">
      <w:pPr>
        <w:tabs>
          <w:tab w:val="left" w:pos="120"/>
          <w:tab w:val="left" w:pos="567"/>
        </w:tabs>
        <w:spacing w:after="0" w:line="240" w:lineRule="auto"/>
        <w:ind w:left="720" w:hanging="360"/>
        <w:rPr>
          <w:rFonts w:ascii="Times New Roman" w:eastAsia="Calibri" w:hAnsi="Times New Roman" w:cs="Times New Roman"/>
          <w:lang w:eastAsia="lt-LT"/>
        </w:rPr>
      </w:pPr>
    </w:p>
    <w:p w14:paraId="369251BC" w14:textId="77777777" w:rsidR="005A24FA" w:rsidRPr="00162DB2" w:rsidRDefault="005A24FA" w:rsidP="005A24FA">
      <w:pPr>
        <w:tabs>
          <w:tab w:val="left" w:pos="120"/>
          <w:tab w:val="left" w:pos="567"/>
        </w:tabs>
        <w:spacing w:after="0" w:line="240" w:lineRule="auto"/>
        <w:ind w:left="720" w:hanging="36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ii. </w:t>
      </w:r>
      <w:r w:rsidRPr="00162DB2">
        <w:rPr>
          <w:rFonts w:ascii="Times New Roman" w:eastAsia="Calibri" w:hAnsi="Times New Roman" w:cs="Times New Roman"/>
          <w:lang w:eastAsia="lt-LT"/>
        </w:rPr>
        <w:tab/>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w:t>
      </w:r>
    </w:p>
    <w:p w14:paraId="265677B5" w14:textId="77777777" w:rsidR="005A24FA" w:rsidRPr="00162DB2" w:rsidRDefault="005A24FA" w:rsidP="005A24FA">
      <w:pPr>
        <w:tabs>
          <w:tab w:val="left" w:pos="120"/>
          <w:tab w:val="left" w:pos="567"/>
        </w:tabs>
        <w:spacing w:after="0" w:line="240" w:lineRule="auto"/>
        <w:ind w:left="720" w:hanging="360"/>
        <w:rPr>
          <w:rFonts w:ascii="Times New Roman" w:eastAsia="Calibri" w:hAnsi="Times New Roman" w:cs="Times New Roman"/>
          <w:lang w:eastAsia="lt-LT"/>
        </w:rPr>
      </w:pPr>
    </w:p>
    <w:p w14:paraId="5E3B2F7F"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Lentelė.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w:t>
      </w:r>
    </w:p>
    <w:tbl>
      <w:tblPr>
        <w:tblStyle w:val="Lentelstinklelis"/>
        <w:tblW w:w="0" w:type="auto"/>
        <w:tblLook w:val="04A0" w:firstRow="1" w:lastRow="0" w:firstColumn="1" w:lastColumn="0" w:noHBand="0" w:noVBand="1"/>
      </w:tblPr>
      <w:tblGrid>
        <w:gridCol w:w="9394"/>
      </w:tblGrid>
      <w:tr w:rsidR="005A24FA" w:rsidRPr="00162DB2" w14:paraId="3D1A31B3" w14:textId="77777777" w:rsidTr="00FA250C">
        <w:tc>
          <w:tcPr>
            <w:tcW w:w="9628" w:type="dxa"/>
          </w:tcPr>
          <w:p w14:paraId="1F9A05B0" w14:textId="77777777" w:rsidR="005A24FA" w:rsidRPr="00162DB2" w:rsidRDefault="005A24FA" w:rsidP="00FA250C">
            <w:pPr>
              <w:spacing w:line="276" w:lineRule="auto"/>
              <w:rPr>
                <w:rFonts w:ascii="Times New Roman" w:hAnsi="Times New Roman" w:cs="Times New Roman"/>
              </w:rPr>
            </w:pPr>
            <w:r w:rsidRPr="00162DB2">
              <w:rPr>
                <w:rFonts w:ascii="Times New Roman" w:hAnsi="Times New Roman" w:cs="Times New Roman"/>
              </w:rPr>
              <w:t>Geležies poreikis  =  Kūno svoris</w:t>
            </w:r>
            <w:r w:rsidRPr="00162DB2">
              <w:rPr>
                <w:rFonts w:ascii="Times New Roman" w:hAnsi="Times New Roman" w:cs="Times New Roman"/>
                <w:vertAlign w:val="superscript"/>
              </w:rPr>
              <w:t>(A)</w:t>
            </w:r>
            <w:r w:rsidRPr="00162DB2">
              <w:rPr>
                <w:rFonts w:ascii="Times New Roman" w:hAnsi="Times New Roman" w:cs="Times New Roman"/>
              </w:rPr>
              <w:t xml:space="preserve"> x (Siekiamas </w:t>
            </w:r>
            <w:r>
              <w:rPr>
                <w:rFonts w:ascii="Times New Roman" w:hAnsi="Times New Roman" w:cs="Times New Roman"/>
              </w:rPr>
              <w:t>tikslinis</w:t>
            </w:r>
            <w:r w:rsidRPr="00162DB2">
              <w:rPr>
                <w:rFonts w:ascii="Times New Roman" w:hAnsi="Times New Roman" w:cs="Times New Roman"/>
              </w:rPr>
              <w:t xml:space="preserve"> </w:t>
            </w:r>
            <w:proofErr w:type="spellStart"/>
            <w:r w:rsidRPr="00162DB2">
              <w:rPr>
                <w:rFonts w:ascii="Times New Roman" w:hAnsi="Times New Roman" w:cs="Times New Roman"/>
              </w:rPr>
              <w:t>Hb</w:t>
            </w:r>
            <w:proofErr w:type="spellEnd"/>
            <w:r w:rsidRPr="00162DB2">
              <w:rPr>
                <w:rFonts w:ascii="Times New Roman" w:hAnsi="Times New Roman" w:cs="Times New Roman"/>
                <w:vertAlign w:val="superscript"/>
              </w:rPr>
              <w:t>(D)</w:t>
            </w:r>
            <w:r w:rsidRPr="00162DB2">
              <w:rPr>
                <w:rFonts w:ascii="Times New Roman" w:hAnsi="Times New Roman" w:cs="Times New Roman"/>
              </w:rPr>
              <w:t xml:space="preserve">  – Esamas </w:t>
            </w:r>
            <w:proofErr w:type="spellStart"/>
            <w:r w:rsidRPr="00162DB2">
              <w:rPr>
                <w:rFonts w:ascii="Times New Roman" w:hAnsi="Times New Roman" w:cs="Times New Roman"/>
              </w:rPr>
              <w:t>Hb</w:t>
            </w:r>
            <w:proofErr w:type="spellEnd"/>
            <w:r w:rsidRPr="00162DB2">
              <w:rPr>
                <w:rFonts w:ascii="Times New Roman" w:hAnsi="Times New Roman" w:cs="Times New Roman"/>
              </w:rPr>
              <w:t>)</w:t>
            </w:r>
            <w:r w:rsidRPr="00162DB2">
              <w:rPr>
                <w:rFonts w:ascii="Times New Roman" w:hAnsi="Times New Roman" w:cs="Times New Roman"/>
                <w:vertAlign w:val="superscript"/>
              </w:rPr>
              <w:t>(B)</w:t>
            </w:r>
            <w:r w:rsidRPr="00162DB2">
              <w:rPr>
                <w:rFonts w:ascii="Times New Roman" w:hAnsi="Times New Roman" w:cs="Times New Roman"/>
              </w:rPr>
              <w:t xml:space="preserve"> x 2,4 + Geležis atsargoms</w:t>
            </w:r>
            <w:r w:rsidRPr="00162DB2">
              <w:rPr>
                <w:rFonts w:ascii="Times New Roman" w:hAnsi="Times New Roman" w:cs="Times New Roman"/>
                <w:vertAlign w:val="superscript"/>
              </w:rPr>
              <w:t>(C)</w:t>
            </w:r>
          </w:p>
          <w:p w14:paraId="72D8EFA6" w14:textId="77777777" w:rsidR="005A24FA" w:rsidRPr="00B5230C" w:rsidRDefault="005A24FA" w:rsidP="00FA250C">
            <w:pPr>
              <w:tabs>
                <w:tab w:val="center" w:pos="1440"/>
                <w:tab w:val="left" w:pos="2410"/>
                <w:tab w:val="center" w:pos="4820"/>
                <w:tab w:val="center" w:pos="8080"/>
              </w:tabs>
              <w:spacing w:line="276" w:lineRule="auto"/>
              <w:rPr>
                <w:rFonts w:ascii="Times New Roman" w:hAnsi="Times New Roman" w:cs="Times New Roman"/>
                <w:lang w:val="de-DE"/>
              </w:rPr>
            </w:pPr>
            <w:r w:rsidRPr="00B5230C">
              <w:rPr>
                <w:rFonts w:ascii="Times New Roman" w:hAnsi="Times New Roman" w:cs="Times New Roman"/>
                <w:lang w:val="de-DE"/>
              </w:rPr>
              <w:t xml:space="preserve">[mg </w:t>
            </w:r>
            <w:proofErr w:type="spellStart"/>
            <w:r w:rsidRPr="00B5230C">
              <w:rPr>
                <w:rFonts w:ascii="Times New Roman" w:hAnsi="Times New Roman" w:cs="Times New Roman"/>
                <w:lang w:val="de-DE"/>
              </w:rPr>
              <w:t>geležies</w:t>
            </w:r>
            <w:proofErr w:type="spellEnd"/>
            <w:r w:rsidRPr="00B5230C">
              <w:rPr>
                <w:rFonts w:ascii="Times New Roman" w:hAnsi="Times New Roman" w:cs="Times New Roman"/>
                <w:lang w:val="de-DE"/>
              </w:rPr>
              <w:t>]</w:t>
            </w:r>
            <w:r w:rsidRPr="00B5230C">
              <w:rPr>
                <w:rFonts w:ascii="Times New Roman" w:hAnsi="Times New Roman" w:cs="Times New Roman"/>
                <w:lang w:val="de-DE"/>
              </w:rPr>
              <w:tab/>
              <w:t xml:space="preserve">               </w:t>
            </w:r>
            <w:proofErr w:type="gramStart"/>
            <w:r w:rsidRPr="00B5230C">
              <w:rPr>
                <w:rFonts w:ascii="Times New Roman" w:hAnsi="Times New Roman" w:cs="Times New Roman"/>
                <w:lang w:val="de-DE"/>
              </w:rPr>
              <w:t xml:space="preserve">   [</w:t>
            </w:r>
            <w:proofErr w:type="gramEnd"/>
            <w:r w:rsidRPr="00B5230C">
              <w:rPr>
                <w:rFonts w:ascii="Times New Roman" w:hAnsi="Times New Roman" w:cs="Times New Roman"/>
                <w:lang w:val="de-DE"/>
              </w:rPr>
              <w:t>kg]</w:t>
            </w:r>
            <w:r w:rsidRPr="00B5230C">
              <w:rPr>
                <w:rFonts w:ascii="Times New Roman" w:hAnsi="Times New Roman" w:cs="Times New Roman"/>
                <w:lang w:val="de-DE"/>
              </w:rPr>
              <w:tab/>
              <w:t xml:space="preserve">                                        [g/dl]                                     [mg </w:t>
            </w:r>
            <w:proofErr w:type="spellStart"/>
            <w:r w:rsidRPr="00B5230C">
              <w:rPr>
                <w:rFonts w:ascii="Times New Roman" w:hAnsi="Times New Roman" w:cs="Times New Roman"/>
                <w:lang w:val="de-DE"/>
              </w:rPr>
              <w:t>geležies</w:t>
            </w:r>
            <w:proofErr w:type="spellEnd"/>
            <w:r w:rsidRPr="00B5230C">
              <w:rPr>
                <w:rFonts w:ascii="Times New Roman" w:hAnsi="Times New Roman" w:cs="Times New Roman"/>
                <w:lang w:val="de-DE"/>
              </w:rPr>
              <w:t>]</w:t>
            </w:r>
          </w:p>
          <w:p w14:paraId="076EB4C9" w14:textId="77777777" w:rsidR="005A24FA" w:rsidRPr="00162DB2" w:rsidRDefault="005A24FA" w:rsidP="00FA250C">
            <w:pPr>
              <w:tabs>
                <w:tab w:val="left" w:pos="120"/>
                <w:tab w:val="left" w:pos="567"/>
              </w:tabs>
              <w:rPr>
                <w:rFonts w:ascii="Times New Roman" w:eastAsia="Calibri" w:hAnsi="Times New Roman" w:cs="Times New Roman"/>
                <w:lang w:eastAsia="lt-LT"/>
              </w:rPr>
            </w:pPr>
          </w:p>
        </w:tc>
      </w:tr>
    </w:tbl>
    <w:p w14:paraId="30F1801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3BCBA096" w14:textId="77777777" w:rsidR="005A24FA" w:rsidRPr="00162DB2" w:rsidRDefault="005A24FA" w:rsidP="005A24FA">
      <w:pPr>
        <w:tabs>
          <w:tab w:val="left" w:pos="120"/>
          <w:tab w:val="left" w:pos="567"/>
        </w:tabs>
        <w:spacing w:after="0" w:line="240" w:lineRule="auto"/>
        <w:ind w:left="567" w:hanging="567"/>
        <w:rPr>
          <w:rFonts w:ascii="Times New Roman" w:eastAsia="Calibri" w:hAnsi="Times New Roman" w:cs="Times New Roman"/>
          <w:lang w:eastAsia="lt-LT"/>
        </w:rPr>
      </w:pPr>
      <w:r w:rsidRPr="00162DB2" w:rsidDel="003D34B3">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 xml:space="preserve">(A) </w:t>
      </w:r>
      <w:r w:rsidRPr="00162DB2">
        <w:rPr>
          <w:rFonts w:ascii="Times New Roman" w:eastAsia="Calibri" w:hAnsi="Times New Roman" w:cs="Times New Roman"/>
          <w:lang w:eastAsia="lt-LT"/>
        </w:rPr>
        <w:tab/>
        <w:t>Rekomenduojama skaičiuojant naudoti idealų paciento svorį nutukusiems arba moters svorį prieš nėštumą nėščiosioms. Visiems kitiems pacientams naudoti esamą kūno svorį. Idealus kūno svoris gali būti apskaičiuojamas įvairiais būdais, pvz., apskaičiuojant kūno svorį, kai KMI 25, pvz., idealus kūno svoris = 25*(ūgis metrais)</w:t>
      </w:r>
      <w:r w:rsidRPr="00162DB2">
        <w:rPr>
          <w:rFonts w:ascii="Times New Roman" w:eastAsia="Calibri" w:hAnsi="Times New Roman" w:cs="Times New Roman"/>
          <w:vertAlign w:val="superscript"/>
          <w:lang w:eastAsia="lt-LT"/>
        </w:rPr>
        <w:t>2</w:t>
      </w:r>
      <w:r w:rsidRPr="00162DB2">
        <w:rPr>
          <w:rFonts w:ascii="Times New Roman" w:eastAsia="Calibri" w:hAnsi="Times New Roman" w:cs="Times New Roman"/>
          <w:lang w:eastAsia="lt-LT"/>
        </w:rPr>
        <w:t xml:space="preserve">. </w:t>
      </w:r>
    </w:p>
    <w:p w14:paraId="0DDC771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(B) </w:t>
      </w:r>
      <w:r w:rsidRPr="00162DB2">
        <w:rPr>
          <w:rFonts w:ascii="Times New Roman" w:eastAsia="Calibri" w:hAnsi="Times New Roman" w:cs="Times New Roman"/>
          <w:lang w:eastAsia="lt-LT"/>
        </w:rPr>
        <w:tab/>
        <w:t xml:space="preserve">Perskaičiuojant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mM</w:t>
      </w:r>
      <w:proofErr w:type="spellEnd"/>
      <w:r w:rsidRPr="00162DB2">
        <w:rPr>
          <w:rFonts w:ascii="Times New Roman" w:eastAsia="Calibri" w:hAnsi="Times New Roman" w:cs="Times New Roman"/>
          <w:lang w:eastAsia="lt-LT"/>
        </w:rPr>
        <w:t xml:space="preserve">] į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[g/dl], reikia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mM</w:t>
      </w:r>
      <w:proofErr w:type="spellEnd"/>
      <w:r w:rsidRPr="00162DB2">
        <w:rPr>
          <w:rFonts w:ascii="Times New Roman" w:eastAsia="Calibri" w:hAnsi="Times New Roman" w:cs="Times New Roman"/>
          <w:lang w:eastAsia="lt-LT"/>
        </w:rPr>
        <w:t>] dauginti iš koeficiento 1,61145</w:t>
      </w:r>
      <w:r>
        <w:rPr>
          <w:rFonts w:ascii="Times New Roman" w:eastAsia="Calibri" w:hAnsi="Times New Roman" w:cs="Times New Roman"/>
          <w:lang w:eastAsia="lt-LT"/>
        </w:rPr>
        <w:t>.</w:t>
      </w:r>
    </w:p>
    <w:p w14:paraId="5DD20DC4" w14:textId="77777777" w:rsidR="005A24FA" w:rsidRPr="00162DB2" w:rsidRDefault="005A24FA" w:rsidP="005A24FA">
      <w:pPr>
        <w:tabs>
          <w:tab w:val="left" w:pos="120"/>
          <w:tab w:val="left" w:pos="567"/>
        </w:tabs>
        <w:spacing w:after="0" w:line="240" w:lineRule="auto"/>
        <w:ind w:left="567" w:hanging="567"/>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(C) </w:t>
      </w:r>
      <w:r w:rsidRPr="00162DB2">
        <w:rPr>
          <w:rFonts w:ascii="Times New Roman" w:eastAsia="Calibri" w:hAnsi="Times New Roman" w:cs="Times New Roman"/>
          <w:lang w:eastAsia="lt-LT"/>
        </w:rPr>
        <w:tab/>
        <w:t>Paciento, kurio svoris didesnis kaip 35 kg, geležies atsargos sudaro apie 500 mg arba daugiau.   Mažesnės kaip 500 mg geležies atsargos yra mažiausia norma smulkaus sudėjimo moterims. Kai kurios rekomendacijos siūlo naudoti 10-15 mg geležies/kg kūno svoriui.</w:t>
      </w:r>
    </w:p>
    <w:p w14:paraId="5E66F291" w14:textId="77777777" w:rsidR="005A24FA" w:rsidRPr="00162DB2" w:rsidRDefault="005A24FA" w:rsidP="005A24FA">
      <w:pPr>
        <w:tabs>
          <w:tab w:val="left" w:pos="120"/>
          <w:tab w:val="left" w:pos="567"/>
        </w:tabs>
        <w:spacing w:after="0" w:line="240" w:lineRule="auto"/>
        <w:ind w:left="567" w:hanging="567"/>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(D)  </w:t>
      </w:r>
      <w:r w:rsidRPr="00162DB2">
        <w:rPr>
          <w:rFonts w:ascii="Times New Roman" w:eastAsia="Calibri" w:hAnsi="Times New Roman" w:cs="Times New Roman"/>
          <w:lang w:eastAsia="lt-LT"/>
        </w:rPr>
        <w:tab/>
        <w:t xml:space="preserve">Nustatytas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tikslas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formulėje yra 15 g/dl. Ypatingais atvejais, tokiais kaip nėštumas, yra naudojama mažesnis hemoglobino tikslas.</w:t>
      </w:r>
    </w:p>
    <w:p w14:paraId="2E7480C4" w14:textId="77777777" w:rsidR="005A24FA" w:rsidRDefault="005A24FA" w:rsidP="005A24FA">
      <w:pPr>
        <w:tabs>
          <w:tab w:val="left" w:pos="120"/>
          <w:tab w:val="left" w:pos="567"/>
        </w:tabs>
        <w:spacing w:after="0" w:line="240" w:lineRule="auto"/>
        <w:rPr>
          <w:rFonts w:ascii="Times New Roman" w:eastAsia="Calibri" w:hAnsi="Times New Roman" w:cs="Times New Roman"/>
          <w:lang w:eastAsia="lt-LT"/>
        </w:rPr>
      </w:pPr>
    </w:p>
    <w:p w14:paraId="467C9BBF" w14:textId="77777777" w:rsidR="005A24FA" w:rsidRPr="00162DB2" w:rsidRDefault="005A24FA" w:rsidP="005A24FA">
      <w:pPr>
        <w:tabs>
          <w:tab w:val="left" w:pos="567"/>
        </w:tabs>
        <w:spacing w:after="0" w:line="240" w:lineRule="auto"/>
        <w:ind w:firstLine="426"/>
        <w:rPr>
          <w:rFonts w:ascii="Times New Roman" w:eastAsia="Calibri" w:hAnsi="Times New Roman" w:cs="Times New Roman"/>
          <w:lang w:eastAsia="lt-LT"/>
        </w:rPr>
      </w:pPr>
      <w:r w:rsidRPr="00162DB2">
        <w:rPr>
          <w:rFonts w:ascii="Times New Roman" w:eastAsia="Calibri" w:hAnsi="Times New Roman" w:cs="Times New Roman"/>
          <w:lang w:eastAsia="lt-LT"/>
        </w:rPr>
        <w:t>iii.</w:t>
      </w:r>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Fiksuotas geležies poreikis</w:t>
      </w:r>
    </w:p>
    <w:p w14:paraId="356FBF3C" w14:textId="77777777" w:rsidR="005A24FA" w:rsidRPr="00162DB2" w:rsidRDefault="005A24FA" w:rsidP="005A24FA">
      <w:pPr>
        <w:tabs>
          <w:tab w:val="left" w:pos="120"/>
          <w:tab w:val="left" w:pos="567"/>
        </w:tabs>
        <w:spacing w:after="0" w:line="240" w:lineRule="auto"/>
        <w:ind w:left="360"/>
        <w:rPr>
          <w:rFonts w:ascii="Times New Roman" w:eastAsia="Calibri" w:hAnsi="Times New Roman" w:cs="Times New Roman"/>
          <w:lang w:eastAsia="lt-LT"/>
        </w:rPr>
      </w:pPr>
    </w:p>
    <w:p w14:paraId="1B083A4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Skiriama fiksuota 1000 mg dozė ir pacientas pakartotinai vertinamas dėl tolesnio geležies poreikio pagal „3 žingsnį“: „geležies atsargų įvertinimas“. Pacientams, sveriantiems mažiau nei 50 kg, geležies poreikiui apskaičiuoti naudokite supaprastintą lentelę arba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formulę. </w:t>
      </w:r>
    </w:p>
    <w:p w14:paraId="25AFF18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9D1DC6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2 žingsnis</w:t>
      </w:r>
      <w:r>
        <w:rPr>
          <w:rFonts w:ascii="Times New Roman" w:eastAsia="Calibri" w:hAnsi="Times New Roman" w:cs="Times New Roman"/>
          <w:i/>
          <w:iCs/>
          <w:lang w:eastAsia="lt-LT"/>
        </w:rPr>
        <w:t>.</w:t>
      </w:r>
      <w:r w:rsidRPr="00162DB2">
        <w:rPr>
          <w:rFonts w:ascii="Times New Roman" w:eastAsia="Calibri" w:hAnsi="Times New Roman" w:cs="Times New Roman"/>
          <w:i/>
          <w:iCs/>
          <w:lang w:eastAsia="lt-LT"/>
        </w:rPr>
        <w:t xml:space="preserve"> Didžiausios individualios geležies dozės (-</w:t>
      </w:r>
      <w:proofErr w:type="spellStart"/>
      <w:r w:rsidRPr="00162DB2">
        <w:rPr>
          <w:rFonts w:ascii="Times New Roman" w:eastAsia="Calibri" w:hAnsi="Times New Roman" w:cs="Times New Roman"/>
          <w:i/>
          <w:iCs/>
          <w:lang w:eastAsia="lt-LT"/>
        </w:rPr>
        <w:t>ių</w:t>
      </w:r>
      <w:proofErr w:type="spellEnd"/>
      <w:r w:rsidRPr="00162DB2">
        <w:rPr>
          <w:rFonts w:ascii="Times New Roman" w:eastAsia="Calibri" w:hAnsi="Times New Roman" w:cs="Times New Roman"/>
          <w:i/>
          <w:iCs/>
          <w:lang w:eastAsia="lt-LT"/>
        </w:rPr>
        <w:t>) apskaičiavimas ir skyrimas:</w:t>
      </w:r>
    </w:p>
    <w:p w14:paraId="330127C5"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E5F8DE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Remiantis nustatytu geležies poreikiu, reikia skirti tinkamą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dozę atsižvelgiant į:</w:t>
      </w:r>
    </w:p>
    <w:p w14:paraId="42D4A360"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728C716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Bendra dozė per savaitę neturėtų viršyti 20 mg geležies/ kg kūno svorio.</w:t>
      </w:r>
    </w:p>
    <w:p w14:paraId="10E6E92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infuzija neturi viršyti 20 mg geležies/ kg kūno svorio. </w:t>
      </w:r>
    </w:p>
    <w:p w14:paraId="058BB00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injekcija neturi viršyti 500 mg geležies. </w:t>
      </w:r>
    </w:p>
    <w:p w14:paraId="5AEC9FC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2B9BD8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3 žingsnis</w:t>
      </w:r>
      <w:r>
        <w:rPr>
          <w:rFonts w:ascii="Times New Roman" w:eastAsia="Calibri" w:hAnsi="Times New Roman" w:cs="Times New Roman"/>
          <w:i/>
          <w:iCs/>
          <w:lang w:eastAsia="lt-LT"/>
        </w:rPr>
        <w:t>.</w:t>
      </w:r>
      <w:r w:rsidRPr="00162DB2">
        <w:rPr>
          <w:rFonts w:ascii="Times New Roman" w:eastAsia="Calibri" w:hAnsi="Times New Roman" w:cs="Times New Roman"/>
          <w:i/>
          <w:iCs/>
          <w:lang w:eastAsia="lt-LT"/>
        </w:rPr>
        <w:t xml:space="preserve"> Geležies atsargų įvertinimas:</w:t>
      </w:r>
    </w:p>
    <w:p w14:paraId="6AA9AF8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ABF97B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Pakartotinį vertinimą, įskaitant kraujo tyrimus, turėtų atlikti gydytojas, atsižvelgdamas į kiekvieno paciento būklę. Norint įvertinti gydymo geležimi IV poveikį,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kiekis turėtų būti pakartotinai įvertintas ne anksčiau kaip praėjus 4 savaitėms po paskutinio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vartojimo, kad būtų pakankamai laiko </w:t>
      </w:r>
      <w:proofErr w:type="spellStart"/>
      <w:r w:rsidRPr="00162DB2">
        <w:rPr>
          <w:rFonts w:ascii="Times New Roman" w:eastAsia="Calibri" w:hAnsi="Times New Roman" w:cs="Times New Roman"/>
          <w:lang w:eastAsia="lt-LT"/>
        </w:rPr>
        <w:t>eritropoezei</w:t>
      </w:r>
      <w:proofErr w:type="spellEnd"/>
      <w:r w:rsidRPr="00162DB2">
        <w:rPr>
          <w:rFonts w:ascii="Times New Roman" w:eastAsia="Calibri" w:hAnsi="Times New Roman" w:cs="Times New Roman"/>
          <w:lang w:eastAsia="lt-LT"/>
        </w:rPr>
        <w:t xml:space="preserve"> ir geležies sunaudojimui. Jei pacientui reikia tolimesnio geležies papildymo, geležies poreikis turi būti perskaičiuotas. </w:t>
      </w:r>
    </w:p>
    <w:p w14:paraId="732B76B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6575DEEF" w14:textId="77777777" w:rsidR="005A24FA" w:rsidRPr="00426658" w:rsidRDefault="005A24FA" w:rsidP="005A24FA">
      <w:pPr>
        <w:tabs>
          <w:tab w:val="left" w:pos="120"/>
          <w:tab w:val="left" w:pos="567"/>
        </w:tabs>
        <w:spacing w:after="0" w:line="240" w:lineRule="auto"/>
        <w:rPr>
          <w:rFonts w:ascii="Times New Roman" w:eastAsia="Calibri" w:hAnsi="Times New Roman" w:cs="Times New Roman"/>
          <w:i/>
          <w:iCs/>
          <w:u w:val="single"/>
          <w:lang w:eastAsia="lt-LT"/>
        </w:rPr>
      </w:pPr>
      <w:r w:rsidRPr="00426658">
        <w:rPr>
          <w:rFonts w:ascii="Times New Roman" w:eastAsia="Calibri" w:hAnsi="Times New Roman" w:cs="Times New Roman"/>
          <w:i/>
          <w:iCs/>
          <w:u w:val="single"/>
          <w:lang w:eastAsia="lt-LT"/>
        </w:rPr>
        <w:lastRenderedPageBreak/>
        <w:t>Vaikai ir paaugliai:</w:t>
      </w:r>
    </w:p>
    <w:p w14:paraId="75F6674A"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08E57460" w14:textId="77777777" w:rsidR="005A24FA"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nerekomenduojama vartoti vaikams ir paaugliams, jaunesniems kaip 18 metų, dėl nepakankamų saugumo ir efektyvumo duomenų.</w:t>
      </w:r>
    </w:p>
    <w:p w14:paraId="65AE4F5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iCs/>
          <w:lang w:eastAsia="lt-LT"/>
        </w:rPr>
      </w:pPr>
    </w:p>
    <w:p w14:paraId="6B263C2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u w:val="single"/>
          <w:lang w:eastAsia="lt-LT"/>
        </w:rPr>
      </w:pPr>
      <w:r w:rsidRPr="00162DB2">
        <w:rPr>
          <w:rFonts w:ascii="Times New Roman" w:eastAsia="Calibri" w:hAnsi="Times New Roman" w:cs="Times New Roman"/>
          <w:bCs/>
          <w:u w:val="single"/>
          <w:lang w:eastAsia="lt-LT"/>
        </w:rPr>
        <w:t>Vartojimo metodas</w:t>
      </w:r>
    </w:p>
    <w:p w14:paraId="34DEA0E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p>
    <w:p w14:paraId="5BD06835" w14:textId="77777777" w:rsidR="005A24FA" w:rsidRPr="00426658" w:rsidRDefault="005A24FA" w:rsidP="005A24FA">
      <w:pPr>
        <w:tabs>
          <w:tab w:val="left" w:pos="120"/>
          <w:tab w:val="left" w:pos="567"/>
        </w:tabs>
        <w:spacing w:after="0" w:line="240" w:lineRule="auto"/>
        <w:rPr>
          <w:rFonts w:ascii="Times New Roman" w:eastAsia="Calibri" w:hAnsi="Times New Roman" w:cs="Times New Roman"/>
          <w:u w:val="single"/>
          <w:lang w:eastAsia="lt-LT"/>
        </w:rPr>
      </w:pPr>
      <w:proofErr w:type="spellStart"/>
      <w:r w:rsidRPr="00426658">
        <w:rPr>
          <w:rFonts w:ascii="Times New Roman" w:eastAsia="Calibri" w:hAnsi="Times New Roman" w:cs="Times New Roman"/>
          <w:u w:val="single"/>
          <w:lang w:eastAsia="lt-LT"/>
        </w:rPr>
        <w:t>Monofer</w:t>
      </w:r>
      <w:proofErr w:type="spellEnd"/>
      <w:r w:rsidRPr="00426658">
        <w:rPr>
          <w:rFonts w:ascii="Times New Roman" w:eastAsia="Calibri" w:hAnsi="Times New Roman" w:cs="Times New Roman"/>
          <w:u w:val="single"/>
          <w:lang w:eastAsia="lt-LT"/>
        </w:rPr>
        <w:t xml:space="preserve"> turi būti skiriamas intraveniniam vartojimui injekcijomis arba infuzijomis. </w:t>
      </w:r>
    </w:p>
    <w:p w14:paraId="653A975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p>
    <w:p w14:paraId="13CDAA06"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Negalima vartoti geriamųjų geležies preparatų kartu su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nes geriamosios geležies absorbcija gali sumažėti.</w:t>
      </w:r>
    </w:p>
    <w:p w14:paraId="5400567C"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u w:val="single"/>
          <w:lang w:eastAsia="lt-LT"/>
        </w:rPr>
      </w:pPr>
    </w:p>
    <w:p w14:paraId="2C02B6A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i/>
          <w:lang w:eastAsia="lt-LT"/>
        </w:rPr>
        <w:t>B</w:t>
      </w:r>
      <w:r w:rsidRPr="00162DB2">
        <w:rPr>
          <w:rFonts w:ascii="Times New Roman" w:eastAsia="Calibri" w:hAnsi="Times New Roman" w:cs="Times New Roman"/>
          <w:bCs/>
          <w:i/>
          <w:lang w:eastAsia="lt-LT"/>
        </w:rPr>
        <w:t>olus</w:t>
      </w:r>
      <w:proofErr w:type="spellEnd"/>
      <w:r w:rsidRPr="00162DB2">
        <w:rPr>
          <w:rFonts w:ascii="Times New Roman" w:eastAsia="Calibri" w:hAnsi="Times New Roman" w:cs="Times New Roman"/>
          <w:bCs/>
          <w:i/>
          <w:lang w:eastAsia="lt-LT"/>
        </w:rPr>
        <w:t xml:space="preserve"> (smūginė)</w:t>
      </w:r>
      <w:r w:rsidRPr="00162DB2">
        <w:rPr>
          <w:rFonts w:ascii="Times New Roman" w:eastAsia="Calibri" w:hAnsi="Times New Roman" w:cs="Times New Roman"/>
          <w:b/>
          <w:bCs/>
          <w:i/>
          <w:lang w:eastAsia="lt-LT"/>
        </w:rPr>
        <w:t xml:space="preserve"> </w:t>
      </w:r>
      <w:r w:rsidRPr="00162DB2">
        <w:rPr>
          <w:rFonts w:ascii="Times New Roman" w:eastAsia="Calibri" w:hAnsi="Times New Roman" w:cs="Times New Roman"/>
          <w:bCs/>
          <w:i/>
          <w:lang w:eastAsia="lt-LT"/>
        </w:rPr>
        <w:t>injekcija į veną</w:t>
      </w:r>
      <w:r w:rsidRPr="00162DB2">
        <w:rPr>
          <w:rFonts w:ascii="Times New Roman" w:eastAsia="Calibri" w:hAnsi="Times New Roman" w:cs="Times New Roman"/>
          <w:lang w:eastAsia="lt-LT"/>
        </w:rPr>
        <w:br/>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kaip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injekcija į veną, skiriant iki 500 mg iki 3 kartų per savaitę, vartojant iki 250 mg geležies per minutę greičiu. Preparatas gali būti vartojamas nepraskiestas arba praskiestas iki 20 ml steriliu 0,9% natrio chlorido tirpalu. </w:t>
      </w:r>
    </w:p>
    <w:p w14:paraId="7F25015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49B0A7E4"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3 lentelė.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injekcijos į veną vartojimo normos</w:t>
      </w:r>
    </w:p>
    <w:tbl>
      <w:tblPr>
        <w:tblStyle w:val="Lentelstinklelis"/>
        <w:tblW w:w="0" w:type="auto"/>
        <w:tblLook w:val="04A0" w:firstRow="1" w:lastRow="0" w:firstColumn="1" w:lastColumn="0" w:noHBand="0" w:noVBand="1"/>
      </w:tblPr>
      <w:tblGrid>
        <w:gridCol w:w="2344"/>
        <w:gridCol w:w="2352"/>
        <w:gridCol w:w="2361"/>
        <w:gridCol w:w="2337"/>
      </w:tblGrid>
      <w:tr w:rsidR="005A24FA" w:rsidRPr="00162DB2" w14:paraId="3A991066" w14:textId="77777777" w:rsidTr="00FA250C">
        <w:tc>
          <w:tcPr>
            <w:tcW w:w="2407" w:type="dxa"/>
          </w:tcPr>
          <w:p w14:paraId="1925AE79" w14:textId="77777777" w:rsidR="005A24FA" w:rsidRPr="00162DB2" w:rsidRDefault="005A24FA" w:rsidP="00FA250C">
            <w:pPr>
              <w:tabs>
                <w:tab w:val="left" w:pos="120"/>
                <w:tab w:val="left" w:pos="567"/>
              </w:tabs>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tūris</w:t>
            </w:r>
          </w:p>
        </w:tc>
        <w:tc>
          <w:tcPr>
            <w:tcW w:w="2407" w:type="dxa"/>
          </w:tcPr>
          <w:p w14:paraId="55A306DC"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Lygiavertė geležies dozė</w:t>
            </w:r>
          </w:p>
        </w:tc>
        <w:tc>
          <w:tcPr>
            <w:tcW w:w="2407" w:type="dxa"/>
          </w:tcPr>
          <w:p w14:paraId="6A4B1AE2"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Vartojimo greitis / Minimalus vartojimo laikas</w:t>
            </w:r>
          </w:p>
        </w:tc>
        <w:tc>
          <w:tcPr>
            <w:tcW w:w="2407" w:type="dxa"/>
          </w:tcPr>
          <w:p w14:paraId="5E533EB2" w14:textId="77777777" w:rsidR="005A24FA" w:rsidRPr="00162DB2" w:rsidRDefault="005A24FA" w:rsidP="00FA250C">
            <w:pPr>
              <w:tabs>
                <w:tab w:val="left" w:pos="120"/>
                <w:tab w:val="left" w:pos="567"/>
              </w:tabs>
              <w:jc w:val="center"/>
              <w:rPr>
                <w:rFonts w:ascii="Times New Roman" w:eastAsia="Calibri" w:hAnsi="Times New Roman" w:cs="Times New Roman"/>
                <w:lang w:eastAsia="lt-LT"/>
              </w:rPr>
            </w:pPr>
            <w:r w:rsidRPr="00162DB2">
              <w:rPr>
                <w:rFonts w:ascii="Times New Roman" w:eastAsia="Calibri" w:hAnsi="Times New Roman" w:cs="Times New Roman"/>
                <w:lang w:eastAsia="lt-LT"/>
              </w:rPr>
              <w:t>Dažnis</w:t>
            </w:r>
          </w:p>
        </w:tc>
      </w:tr>
      <w:tr w:rsidR="005A24FA" w:rsidRPr="00162DB2" w14:paraId="77AEDB90" w14:textId="77777777" w:rsidTr="00FA250C">
        <w:tc>
          <w:tcPr>
            <w:tcW w:w="2407" w:type="dxa"/>
          </w:tcPr>
          <w:p w14:paraId="1D16FBD0"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≤5 ml</w:t>
            </w:r>
          </w:p>
        </w:tc>
        <w:tc>
          <w:tcPr>
            <w:tcW w:w="2407" w:type="dxa"/>
          </w:tcPr>
          <w:p w14:paraId="15C71D7A"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≤500 mg</w:t>
            </w:r>
          </w:p>
        </w:tc>
        <w:tc>
          <w:tcPr>
            <w:tcW w:w="2407" w:type="dxa"/>
          </w:tcPr>
          <w:p w14:paraId="12C28CAB"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250 mg geležies/min.</w:t>
            </w:r>
          </w:p>
        </w:tc>
        <w:tc>
          <w:tcPr>
            <w:tcW w:w="2407" w:type="dxa"/>
          </w:tcPr>
          <w:p w14:paraId="4C9B2A34"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1-3 kartus per savaitę</w:t>
            </w:r>
          </w:p>
        </w:tc>
      </w:tr>
    </w:tbl>
    <w:p w14:paraId="0A2A18E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0C092311"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i/>
          <w:lang w:eastAsia="lt-LT"/>
        </w:rPr>
        <w:t>Infuzija į veną</w:t>
      </w:r>
    </w:p>
    <w:p w14:paraId="559306E9"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Reikalinga geležies dozė gali būti suvartojama viena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infuzija, skiriant iki 20 mg geležies kilogramui kūno svorio arba infuzijomis vieną kartą per savaitę iki tol, kol suvartojamas reikalingas geležies kiekis.</w:t>
      </w:r>
    </w:p>
    <w:p w14:paraId="047CFA48"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p>
    <w:p w14:paraId="499A4345"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Jei geležies poreikis viršija 20 mg kilogramui kūno svorio, dozė turėtų būti padalinta į dvi dalis ir vartojama su mažiausiai vienos savaitės intervalu. Jei įmanoma</w:t>
      </w:r>
      <w:r>
        <w:rPr>
          <w:rFonts w:ascii="Times New Roman" w:eastAsia="Calibri" w:hAnsi="Times New Roman" w:cs="Times New Roman"/>
          <w:bCs/>
          <w:lang w:eastAsia="lt-LT"/>
        </w:rPr>
        <w:t>,</w:t>
      </w:r>
      <w:r w:rsidRPr="00162DB2">
        <w:rPr>
          <w:rFonts w:ascii="Times New Roman" w:eastAsia="Calibri" w:hAnsi="Times New Roman" w:cs="Times New Roman"/>
          <w:bCs/>
          <w:lang w:eastAsia="lt-LT"/>
        </w:rPr>
        <w:t xml:space="preserve"> pirmą kartą vartojant rekomenduojama skirti 20 mg geležies/kilogramui kūno svorio. Priklausomai nuo klinikinės situacijos, antrasis vartojimas skiriamas remiantis laboratoriniais tyrimais.</w:t>
      </w:r>
    </w:p>
    <w:p w14:paraId="3E1380DD" w14:textId="77777777" w:rsidR="005A24FA" w:rsidRPr="00162DB2" w:rsidRDefault="005A24FA" w:rsidP="005A24FA">
      <w:pPr>
        <w:tabs>
          <w:tab w:val="left" w:pos="120"/>
          <w:tab w:val="left" w:pos="567"/>
          <w:tab w:val="left" w:pos="3420"/>
        </w:tabs>
        <w:spacing w:after="0" w:line="240" w:lineRule="auto"/>
        <w:rPr>
          <w:rFonts w:ascii="Times New Roman" w:eastAsia="Calibri" w:hAnsi="Times New Roman" w:cs="Times New Roman"/>
          <w:bCs/>
          <w:lang w:eastAsia="lt-LT"/>
        </w:rPr>
      </w:pPr>
    </w:p>
    <w:p w14:paraId="0D436D1D"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4 lentelė. Infuzijos į veną vartojimo normos</w:t>
      </w:r>
    </w:p>
    <w:tbl>
      <w:tblPr>
        <w:tblStyle w:val="Lentelstinklelis"/>
        <w:tblW w:w="0" w:type="auto"/>
        <w:tblLook w:val="04A0" w:firstRow="1" w:lastRow="0" w:firstColumn="1" w:lastColumn="0" w:noHBand="0" w:noVBand="1"/>
      </w:tblPr>
      <w:tblGrid>
        <w:gridCol w:w="4694"/>
        <w:gridCol w:w="4700"/>
      </w:tblGrid>
      <w:tr w:rsidR="005A24FA" w:rsidRPr="00162DB2" w14:paraId="6BE58691" w14:textId="77777777" w:rsidTr="00FA250C">
        <w:tc>
          <w:tcPr>
            <w:tcW w:w="4814" w:type="dxa"/>
          </w:tcPr>
          <w:p w14:paraId="6EBDA84E"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Geležies dozė</w:t>
            </w:r>
          </w:p>
        </w:tc>
        <w:tc>
          <w:tcPr>
            <w:tcW w:w="4814" w:type="dxa"/>
          </w:tcPr>
          <w:p w14:paraId="7CEEB011"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Minimalus vartojimo laikas</w:t>
            </w:r>
          </w:p>
        </w:tc>
      </w:tr>
      <w:tr w:rsidR="005A24FA" w:rsidRPr="00162DB2" w14:paraId="735609BA" w14:textId="77777777" w:rsidTr="00FA250C">
        <w:tc>
          <w:tcPr>
            <w:tcW w:w="4814" w:type="dxa"/>
          </w:tcPr>
          <w:p w14:paraId="5F685565" w14:textId="77777777" w:rsidR="005A24FA" w:rsidRPr="00162DB2" w:rsidRDefault="005A24FA" w:rsidP="00FA250C">
            <w:pPr>
              <w:rPr>
                <w:rFonts w:ascii="Times New Roman" w:hAnsi="Times New Roman" w:cs="Times New Roman"/>
                <w:iCs/>
                <w:color w:val="000000"/>
                <w:lang w:eastAsia="en-GB"/>
              </w:rPr>
            </w:pPr>
            <w:r w:rsidRPr="00162DB2">
              <w:rPr>
                <w:rFonts w:ascii="Times New Roman" w:hAnsi="Times New Roman" w:cs="Times New Roman"/>
                <w:iCs/>
                <w:color w:val="000000"/>
                <w:lang w:eastAsia="en-GB"/>
              </w:rPr>
              <w:t>≤1000 mg</w:t>
            </w:r>
          </w:p>
          <w:p w14:paraId="40A0F31C"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iCs/>
                <w:color w:val="000000"/>
                <w:lang w:eastAsia="en-GB"/>
              </w:rPr>
              <w:t>&gt;1000 mg</w:t>
            </w:r>
          </w:p>
        </w:tc>
        <w:tc>
          <w:tcPr>
            <w:tcW w:w="4814" w:type="dxa"/>
          </w:tcPr>
          <w:p w14:paraId="799B56D4"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Ilgiau nei 15 min.</w:t>
            </w:r>
          </w:p>
          <w:p w14:paraId="575F052A" w14:textId="77777777" w:rsidR="005A24FA" w:rsidRPr="00162DB2" w:rsidRDefault="005A24FA"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30 min. ir ilgiau</w:t>
            </w:r>
          </w:p>
        </w:tc>
      </w:tr>
    </w:tbl>
    <w:p w14:paraId="46C00CDF"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
    <w:p w14:paraId="50BA9ADB"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turi būti leidžiamas neskiestas arba praskiestas steriliu 0,9% natrio chlorido tirpalu. </w:t>
      </w:r>
    </w:p>
    <w:p w14:paraId="21D3A737"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Dėl stabilumo,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neturėtų būti skiedžiamas iki mažesnės kaip 1 mg geležies/ml koncentracijos (neįskaitant geležies </w:t>
      </w:r>
      <w:proofErr w:type="spellStart"/>
      <w:r w:rsidRPr="00732FBD">
        <w:rPr>
          <w:rFonts w:ascii="Times New Roman" w:eastAsia="Calibri" w:hAnsi="Times New Roman" w:cs="Times New Roman"/>
          <w:lang w:eastAsia="lt-LT"/>
        </w:rPr>
        <w:t>derisomaltozės</w:t>
      </w:r>
      <w:proofErr w:type="spellEnd"/>
      <w:r w:rsidRPr="00162DB2">
        <w:rPr>
          <w:rFonts w:ascii="Times New Roman" w:eastAsia="Calibri" w:hAnsi="Times New Roman" w:cs="Times New Roman"/>
          <w:lang w:eastAsia="lt-LT"/>
        </w:rPr>
        <w:t xml:space="preserve"> tirpalo tūrio) ir niekada neturėtų būti skiedžiamas daugiau kaip 500 ml. </w:t>
      </w:r>
    </w:p>
    <w:p w14:paraId="4FC2B2C9" w14:textId="77777777" w:rsidR="005A24FA" w:rsidRDefault="005A24FA" w:rsidP="005A24FA">
      <w:pPr>
        <w:tabs>
          <w:tab w:val="left" w:pos="120"/>
          <w:tab w:val="left" w:pos="567"/>
        </w:tabs>
        <w:spacing w:after="0" w:line="240" w:lineRule="auto"/>
        <w:rPr>
          <w:rFonts w:ascii="Times New Roman" w:eastAsia="Calibri" w:hAnsi="Times New Roman" w:cs="Times New Roman"/>
          <w:bCs/>
          <w:i/>
          <w:lang w:eastAsia="lt-LT"/>
        </w:rPr>
      </w:pPr>
    </w:p>
    <w:p w14:paraId="7B519FA2"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bCs/>
          <w:i/>
          <w:lang w:eastAsia="lt-LT"/>
        </w:rPr>
      </w:pPr>
      <w:r w:rsidRPr="00162DB2">
        <w:rPr>
          <w:rFonts w:ascii="Times New Roman" w:eastAsia="Calibri" w:hAnsi="Times New Roman" w:cs="Times New Roman"/>
          <w:bCs/>
          <w:i/>
          <w:lang w:eastAsia="lt-LT"/>
        </w:rPr>
        <w:t>Injekcija į dializės aparatą</w:t>
      </w:r>
    </w:p>
    <w:p w14:paraId="05660929"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i/>
          <w:lang w:eastAsia="lt-LT"/>
        </w:rPr>
      </w:pPr>
    </w:p>
    <w:p w14:paraId="367A0E63" w14:textId="77777777" w:rsidR="005A24FA" w:rsidRPr="00162DB2" w:rsidRDefault="005A24FA" w:rsidP="005A24FA">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skiriamas tiesiogiai į dializės aparato veninę dalį hemodializės metu, tokia pačia procedūra, kaip nurodyta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(smūginės dozės) injekcijos vartojimo į veną metoduose. </w:t>
      </w:r>
    </w:p>
    <w:p w14:paraId="0386B10E" w14:textId="77777777" w:rsidR="005A24FA" w:rsidRPr="00162DB2" w:rsidRDefault="005A24FA" w:rsidP="005A24FA">
      <w:pPr>
        <w:tabs>
          <w:tab w:val="left" w:pos="567"/>
        </w:tabs>
        <w:spacing w:after="0" w:line="240" w:lineRule="auto"/>
        <w:rPr>
          <w:rFonts w:ascii="Times New Roman" w:eastAsia="SimSun" w:hAnsi="Times New Roman" w:cs="Times New Roman"/>
        </w:rPr>
      </w:pPr>
    </w:p>
    <w:p w14:paraId="61430554" w14:textId="77777777" w:rsidR="005A24FA" w:rsidRPr="00162DB2" w:rsidRDefault="005A24FA" w:rsidP="005A24FA">
      <w:pPr>
        <w:tabs>
          <w:tab w:val="left" w:pos="567"/>
        </w:tabs>
        <w:spacing w:after="0" w:line="240" w:lineRule="auto"/>
      </w:pPr>
      <w:r w:rsidRPr="00162DB2">
        <w:rPr>
          <w:rFonts w:ascii="Times New Roman" w:eastAsia="SimSun" w:hAnsi="Times New Roman" w:cs="Times New Roman"/>
        </w:rPr>
        <w:t xml:space="preserve">Daugiau informacijos apie </w:t>
      </w:r>
      <w:proofErr w:type="spellStart"/>
      <w:r w:rsidRPr="00162DB2">
        <w:rPr>
          <w:rFonts w:ascii="Times New Roman" w:eastAsia="SimSun" w:hAnsi="Times New Roman" w:cs="Times New Roman"/>
        </w:rPr>
        <w:t>Monofer</w:t>
      </w:r>
      <w:proofErr w:type="spellEnd"/>
      <w:r w:rsidRPr="00162DB2">
        <w:rPr>
          <w:rFonts w:ascii="Times New Roman" w:eastAsia="SimSun" w:hAnsi="Times New Roman" w:cs="Times New Roman"/>
        </w:rPr>
        <w:t xml:space="preserve"> pateikta PCS.</w:t>
      </w:r>
    </w:p>
    <w:p w14:paraId="63305DE7" w14:textId="77777777" w:rsidR="005A24FA" w:rsidRDefault="005A24FA" w:rsidP="005A24FA">
      <w:bookmarkStart w:id="7" w:name="_GoBack"/>
      <w:bookmarkEnd w:id="7"/>
    </w:p>
    <w:p w14:paraId="7E040002" w14:textId="24E4E985" w:rsidR="00283A72" w:rsidRDefault="00283A72" w:rsidP="005A24FA">
      <w:pPr>
        <w:spacing w:after="0" w:line="240" w:lineRule="auto"/>
        <w:jc w:val="center"/>
        <w:outlineLvl w:val="0"/>
      </w:pPr>
    </w:p>
    <w:sectPr w:rsidR="00283A72" w:rsidSect="00F31ECD">
      <w:headerReference w:type="default" r:id="rId14"/>
      <w:footerReference w:type="default" r:id="rId15"/>
      <w:pgSz w:w="12240" w:h="15840" w:code="1"/>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0DC86" w14:textId="77777777" w:rsidR="00FF25E5" w:rsidRDefault="00FF25E5">
      <w:pPr>
        <w:spacing w:after="0" w:line="240" w:lineRule="auto"/>
      </w:pPr>
      <w:r>
        <w:separator/>
      </w:r>
    </w:p>
  </w:endnote>
  <w:endnote w:type="continuationSeparator" w:id="0">
    <w:p w14:paraId="4DD75ECA" w14:textId="77777777" w:rsidR="00FF25E5" w:rsidRDefault="00FF25E5">
      <w:pPr>
        <w:spacing w:after="0" w:line="240" w:lineRule="auto"/>
      </w:pPr>
      <w:r>
        <w:continuationSeparator/>
      </w:r>
    </w:p>
  </w:endnote>
  <w:endnote w:type="continuationNotice" w:id="1">
    <w:p w14:paraId="69E4FBAA" w14:textId="77777777" w:rsidR="00FF25E5" w:rsidRDefault="00FF2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4">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095277"/>
      <w:docPartObj>
        <w:docPartGallery w:val="Page Numbers (Bottom of Page)"/>
        <w:docPartUnique/>
      </w:docPartObj>
    </w:sdtPr>
    <w:sdtEndPr>
      <w:rPr>
        <w:rFonts w:ascii="Times New Roman" w:hAnsi="Times New Roman" w:cs="Times New Roman"/>
      </w:rPr>
    </w:sdtEndPr>
    <w:sdtContent>
      <w:p w14:paraId="7E040007" w14:textId="7732C2DA" w:rsidR="00996C40" w:rsidRPr="00871B31" w:rsidRDefault="00996C40">
        <w:pPr>
          <w:pStyle w:val="Porat"/>
          <w:jc w:val="center"/>
          <w:rPr>
            <w:rFonts w:ascii="Times New Roman" w:hAnsi="Times New Roman" w:cs="Times New Roman"/>
          </w:rPr>
        </w:pPr>
        <w:r w:rsidRPr="00871B31">
          <w:rPr>
            <w:rFonts w:ascii="Times New Roman" w:hAnsi="Times New Roman" w:cs="Times New Roman"/>
          </w:rPr>
          <w:fldChar w:fldCharType="begin"/>
        </w:r>
        <w:r w:rsidRPr="00871B31">
          <w:rPr>
            <w:rFonts w:ascii="Times New Roman" w:hAnsi="Times New Roman" w:cs="Times New Roman"/>
          </w:rPr>
          <w:instrText>PAGE   \* MERGEFORMAT</w:instrText>
        </w:r>
        <w:r w:rsidRPr="00871B31">
          <w:rPr>
            <w:rFonts w:ascii="Times New Roman" w:hAnsi="Times New Roman" w:cs="Times New Roman"/>
          </w:rPr>
          <w:fldChar w:fldCharType="separate"/>
        </w:r>
        <w:r w:rsidR="005A24FA" w:rsidRPr="005A24FA">
          <w:rPr>
            <w:rFonts w:ascii="Times New Roman" w:hAnsi="Times New Roman" w:cs="Times New Roman"/>
            <w:noProof/>
            <w:lang w:val="lt-LT"/>
          </w:rPr>
          <w:t>29</w:t>
        </w:r>
        <w:r w:rsidRPr="00871B31">
          <w:rPr>
            <w:rFonts w:ascii="Times New Roman" w:hAnsi="Times New Roman" w:cs="Times New Roman"/>
          </w:rPr>
          <w:fldChar w:fldCharType="end"/>
        </w:r>
      </w:p>
    </w:sdtContent>
  </w:sdt>
  <w:p w14:paraId="7E040008" w14:textId="77777777" w:rsidR="00996C40" w:rsidRDefault="00996C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B7707" w14:textId="77777777" w:rsidR="00FF25E5" w:rsidRDefault="00FF25E5">
      <w:pPr>
        <w:spacing w:after="0" w:line="240" w:lineRule="auto"/>
      </w:pPr>
      <w:r>
        <w:separator/>
      </w:r>
    </w:p>
  </w:footnote>
  <w:footnote w:type="continuationSeparator" w:id="0">
    <w:p w14:paraId="12719F54" w14:textId="77777777" w:rsidR="00FF25E5" w:rsidRDefault="00FF25E5">
      <w:pPr>
        <w:spacing w:after="0" w:line="240" w:lineRule="auto"/>
      </w:pPr>
      <w:r>
        <w:continuationSeparator/>
      </w:r>
    </w:p>
  </w:footnote>
  <w:footnote w:type="continuationNotice" w:id="1">
    <w:p w14:paraId="1C05F649" w14:textId="77777777" w:rsidR="00FF25E5" w:rsidRDefault="00FF25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5EE0" w14:textId="77777777" w:rsidR="00FF25E5" w:rsidRDefault="00FF25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B0C0F"/>
    <w:multiLevelType w:val="multilevel"/>
    <w:tmpl w:val="0B145C2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CD5346"/>
    <w:multiLevelType w:val="hybridMultilevel"/>
    <w:tmpl w:val="F1C0D6F8"/>
    <w:lvl w:ilvl="0" w:tplc="89F02A1C">
      <w:start w:val="3"/>
      <w:numFmt w:val="bullet"/>
      <w:lvlText w:val="-"/>
      <w:lvlJc w:val="left"/>
      <w:pPr>
        <w:tabs>
          <w:tab w:val="num" w:pos="840"/>
        </w:tabs>
        <w:ind w:left="840" w:hanging="360"/>
      </w:pPr>
      <w:rPr>
        <w:rFonts w:ascii="Times New Roman" w:eastAsia="SimSu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F00AFB"/>
    <w:multiLevelType w:val="hybridMultilevel"/>
    <w:tmpl w:val="C20C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3606"/>
    <w:multiLevelType w:val="hybridMultilevel"/>
    <w:tmpl w:val="C20C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F1D84"/>
    <w:multiLevelType w:val="hybridMultilevel"/>
    <w:tmpl w:val="EE04CA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E0CEE"/>
    <w:multiLevelType w:val="hybridMultilevel"/>
    <w:tmpl w:val="69D21A28"/>
    <w:lvl w:ilvl="0" w:tplc="04060001">
      <w:start w:val="1"/>
      <w:numFmt w:val="bullet"/>
      <w:lvlText w:val=""/>
      <w:lvlJc w:val="left"/>
      <w:pPr>
        <w:tabs>
          <w:tab w:val="num" w:pos="720"/>
        </w:tabs>
        <w:ind w:left="720" w:hanging="360"/>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Times New Roman" w:hAnsi="Times New Roman" w:cs="Times New Roman"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Times New Roman" w:hAnsi="Times New Roman" w:cs="Times New Roman"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2D4754A"/>
    <w:multiLevelType w:val="hybridMultilevel"/>
    <w:tmpl w:val="E32A58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D1AB8"/>
    <w:multiLevelType w:val="multilevel"/>
    <w:tmpl w:val="6E0E780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0D46769"/>
    <w:multiLevelType w:val="hybridMultilevel"/>
    <w:tmpl w:val="EEF010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A165C"/>
    <w:multiLevelType w:val="hybridMultilevel"/>
    <w:tmpl w:val="CA942596"/>
    <w:lvl w:ilvl="0" w:tplc="042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5286E"/>
    <w:multiLevelType w:val="hybridMultilevel"/>
    <w:tmpl w:val="7144A5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246D71"/>
    <w:multiLevelType w:val="hybridMultilevel"/>
    <w:tmpl w:val="B36E2970"/>
    <w:lvl w:ilvl="0" w:tplc="0409000F">
      <w:start w:val="1"/>
      <w:numFmt w:val="decimal"/>
      <w:lvlText w:val="%1."/>
      <w:lvlJc w:val="left"/>
      <w:pPr>
        <w:tabs>
          <w:tab w:val="num" w:pos="-131"/>
        </w:tabs>
        <w:ind w:left="-131" w:hanging="360"/>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6" w15:restartNumberingAfterBreak="0">
    <w:nsid w:val="396E5F66"/>
    <w:multiLevelType w:val="hybridMultilevel"/>
    <w:tmpl w:val="20C236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B2DDF"/>
    <w:multiLevelType w:val="hybridMultilevel"/>
    <w:tmpl w:val="D21AAD2A"/>
    <w:lvl w:ilvl="0" w:tplc="15780B96">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F321389"/>
    <w:multiLevelType w:val="hybridMultilevel"/>
    <w:tmpl w:val="620A837A"/>
    <w:lvl w:ilvl="0" w:tplc="4614D2CC">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B010B"/>
    <w:multiLevelType w:val="hybridMultilevel"/>
    <w:tmpl w:val="5AA6F0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AB42D40"/>
    <w:multiLevelType w:val="hybridMultilevel"/>
    <w:tmpl w:val="731A0F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130BE"/>
    <w:multiLevelType w:val="hybridMultilevel"/>
    <w:tmpl w:val="5CF46DE8"/>
    <w:lvl w:ilvl="0" w:tplc="04060001">
      <w:start w:val="1"/>
      <w:numFmt w:val="bullet"/>
      <w:lvlText w:val=""/>
      <w:lvlJc w:val="left"/>
      <w:pPr>
        <w:tabs>
          <w:tab w:val="num" w:pos="720"/>
        </w:tabs>
        <w:ind w:left="720" w:hanging="360"/>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Times New Roman" w:hAnsi="Times New Roman" w:cs="Times New Roman"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Times New Roman" w:hAnsi="Times New Roman" w:cs="Times New Roman"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4CEE1C2C"/>
    <w:multiLevelType w:val="multilevel"/>
    <w:tmpl w:val="D1006952"/>
    <w:lvl w:ilvl="0">
      <w:start w:val="7"/>
      <w:numFmt w:val="decimal"/>
      <w:lvlText w:val="%1."/>
      <w:lvlJc w:val="left"/>
      <w:pPr>
        <w:tabs>
          <w:tab w:val="num" w:pos="705"/>
        </w:tabs>
        <w:ind w:left="705" w:hanging="7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57DC0"/>
    <w:multiLevelType w:val="hybridMultilevel"/>
    <w:tmpl w:val="14D0F71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5" w15:restartNumberingAfterBreak="0">
    <w:nsid w:val="4E1B3068"/>
    <w:multiLevelType w:val="hybridMultilevel"/>
    <w:tmpl w:val="67BCFF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1D1744"/>
    <w:multiLevelType w:val="hybridMultilevel"/>
    <w:tmpl w:val="9BC8F5A2"/>
    <w:lvl w:ilvl="0" w:tplc="CD7EF05C">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926D0"/>
    <w:multiLevelType w:val="hybridMultilevel"/>
    <w:tmpl w:val="648CBA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665ED"/>
    <w:multiLevelType w:val="hybridMultilevel"/>
    <w:tmpl w:val="1BFE23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FC1418"/>
    <w:multiLevelType w:val="hybridMultilevel"/>
    <w:tmpl w:val="FF3E7D9A"/>
    <w:lvl w:ilvl="0" w:tplc="96027180">
      <w:start w:val="1"/>
      <w:numFmt w:val="bullet"/>
      <w:lvlText w:val=""/>
      <w:lvlJc w:val="left"/>
      <w:pPr>
        <w:tabs>
          <w:tab w:val="num" w:pos="1429"/>
        </w:tabs>
        <w:ind w:left="1429"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726AB2"/>
    <w:multiLevelType w:val="hybridMultilevel"/>
    <w:tmpl w:val="EE90A7AA"/>
    <w:lvl w:ilvl="0" w:tplc="897A760A">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58933B77"/>
    <w:multiLevelType w:val="hybridMultilevel"/>
    <w:tmpl w:val="2104D7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56C73"/>
    <w:multiLevelType w:val="hybridMultilevel"/>
    <w:tmpl w:val="306CFFEA"/>
    <w:lvl w:ilvl="0" w:tplc="EF94C522">
      <w:start w:val="2"/>
      <w:numFmt w:val="decimal"/>
      <w:lvlText w:val="%1."/>
      <w:lvlJc w:val="left"/>
      <w:pPr>
        <w:tabs>
          <w:tab w:val="num" w:pos="570"/>
        </w:tabs>
        <w:ind w:left="570" w:hanging="570"/>
      </w:pPr>
      <w:rPr>
        <w:rFonts w:hint="default"/>
      </w:rPr>
    </w:lvl>
    <w:lvl w:ilvl="1" w:tplc="04060001">
      <w:start w:val="1"/>
      <w:numFmt w:val="bullet"/>
      <w:lvlText w:val=""/>
      <w:lvlJc w:val="left"/>
      <w:pPr>
        <w:tabs>
          <w:tab w:val="num" w:pos="720"/>
        </w:tabs>
        <w:ind w:left="720" w:hanging="360"/>
      </w:pPr>
      <w:rPr>
        <w:rFonts w:ascii="Symbol" w:hAnsi="Symbol"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58FE451D"/>
    <w:multiLevelType w:val="multilevel"/>
    <w:tmpl w:val="58F8A1B4"/>
    <w:lvl w:ilvl="0">
      <w:start w:val="10"/>
      <w:numFmt w:val="decimal"/>
      <w:lvlText w:val="%1."/>
      <w:lvlJc w:val="left"/>
      <w:pPr>
        <w:tabs>
          <w:tab w:val="num" w:pos="705"/>
        </w:tabs>
        <w:ind w:left="705" w:hanging="7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D12DA"/>
    <w:multiLevelType w:val="hybridMultilevel"/>
    <w:tmpl w:val="186C546E"/>
    <w:lvl w:ilvl="0" w:tplc="797E7800">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691668"/>
    <w:multiLevelType w:val="hybridMultilevel"/>
    <w:tmpl w:val="7408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37865"/>
    <w:multiLevelType w:val="hybridMultilevel"/>
    <w:tmpl w:val="67E89A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60B3A"/>
    <w:multiLevelType w:val="hybridMultilevel"/>
    <w:tmpl w:val="6D4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F1105"/>
    <w:multiLevelType w:val="hybridMultilevel"/>
    <w:tmpl w:val="385CA94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946B82"/>
    <w:multiLevelType w:val="hybridMultilevel"/>
    <w:tmpl w:val="57DC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7928D5"/>
    <w:multiLevelType w:val="hybridMultilevel"/>
    <w:tmpl w:val="3B768A6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A2BFE"/>
    <w:multiLevelType w:val="hybridMultilevel"/>
    <w:tmpl w:val="B7A26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9C7DFF"/>
    <w:multiLevelType w:val="hybridMultilevel"/>
    <w:tmpl w:val="8304B74E"/>
    <w:lvl w:ilvl="0" w:tplc="EBB0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3"/>
  </w:num>
  <w:num w:numId="3">
    <w:abstractNumId w:val="0"/>
    <w:lvlOverride w:ilvl="0">
      <w:lvl w:ilvl="0">
        <w:start w:val="1"/>
        <w:numFmt w:val="bullet"/>
        <w:lvlText w:val=""/>
        <w:lvlJc w:val="left"/>
        <w:pPr>
          <w:ind w:left="283" w:hanging="283"/>
        </w:pPr>
        <w:rPr>
          <w:rFonts w:ascii="Symbol" w:hAnsi="Symbol" w:cs="Symbol" w:hint="default"/>
          <w:b w:val="0"/>
          <w:bCs w:val="0"/>
          <w:i w:val="0"/>
          <w:iCs w:val="0"/>
          <w:sz w:val="24"/>
          <w:szCs w:val="24"/>
        </w:rPr>
      </w:lvl>
    </w:lvlOverride>
  </w:num>
  <w:num w:numId="4">
    <w:abstractNumId w:val="17"/>
  </w:num>
  <w:num w:numId="5">
    <w:abstractNumId w:val="32"/>
  </w:num>
  <w:num w:numId="6">
    <w:abstractNumId w:val="9"/>
  </w:num>
  <w:num w:numId="7">
    <w:abstractNumId w:val="24"/>
  </w:num>
  <w:num w:numId="8">
    <w:abstractNumId w:val="6"/>
  </w:num>
  <w:num w:numId="9">
    <w:abstractNumId w:val="22"/>
  </w:num>
  <w:num w:numId="10">
    <w:abstractNumId w:val="0"/>
    <w:lvlOverride w:ilvl="0">
      <w:lvl w:ilvl="0">
        <w:start w:val="1"/>
        <w:numFmt w:val="bullet"/>
        <w:lvlText w:val="-"/>
        <w:lvlJc w:val="left"/>
        <w:pPr>
          <w:ind w:left="360" w:hanging="360"/>
        </w:pPr>
      </w:lvl>
    </w:lvlOverride>
  </w:num>
  <w:num w:numId="11">
    <w:abstractNumId w:val="0"/>
    <w:lvlOverride w:ilvl="0">
      <w:lvl w:ilvl="0">
        <w:start w:val="1"/>
        <w:numFmt w:val="bullet"/>
        <w:lvlText w:val=""/>
        <w:lvlJc w:val="left"/>
        <w:pPr>
          <w:ind w:left="1134" w:hanging="283"/>
        </w:pPr>
        <w:rPr>
          <w:rFonts w:ascii="Symbol" w:hAnsi="Symbol" w:cs="Symbol" w:hint="default"/>
          <w:b w:val="0"/>
          <w:bCs w:val="0"/>
          <w:i w:val="0"/>
          <w:iCs w:val="0"/>
          <w:sz w:val="24"/>
          <w:szCs w:val="24"/>
        </w:rPr>
      </w:lvl>
    </w:lvlOverride>
  </w:num>
  <w:num w:numId="12">
    <w:abstractNumId w:val="29"/>
  </w:num>
  <w:num w:numId="13">
    <w:abstractNumId w:val="30"/>
  </w:num>
  <w:num w:numId="14">
    <w:abstractNumId w:val="8"/>
  </w:num>
  <w:num w:numId="15">
    <w:abstractNumId w:val="34"/>
  </w:num>
  <w:num w:numId="16">
    <w:abstractNumId w:val="26"/>
  </w:num>
  <w:num w:numId="17">
    <w:abstractNumId w:val="2"/>
  </w:num>
  <w:num w:numId="18">
    <w:abstractNumId w:val="15"/>
  </w:num>
  <w:num w:numId="19">
    <w:abstractNumId w:val="7"/>
  </w:num>
  <w:num w:numId="20">
    <w:abstractNumId w:val="11"/>
  </w:num>
  <w:num w:numId="21">
    <w:abstractNumId w:val="19"/>
  </w:num>
  <w:num w:numId="22">
    <w:abstractNumId w:val="36"/>
  </w:num>
  <w:num w:numId="23">
    <w:abstractNumId w:val="40"/>
  </w:num>
  <w:num w:numId="24">
    <w:abstractNumId w:val="13"/>
  </w:num>
  <w:num w:numId="25">
    <w:abstractNumId w:val="21"/>
  </w:num>
  <w:num w:numId="26">
    <w:abstractNumId w:val="5"/>
  </w:num>
  <w:num w:numId="27">
    <w:abstractNumId w:val="10"/>
  </w:num>
  <w:num w:numId="28">
    <w:abstractNumId w:val="38"/>
  </w:num>
  <w:num w:numId="29">
    <w:abstractNumId w:val="14"/>
  </w:num>
  <w:num w:numId="30">
    <w:abstractNumId w:val="28"/>
  </w:num>
  <w:num w:numId="31">
    <w:abstractNumId w:val="1"/>
  </w:num>
  <w:num w:numId="32">
    <w:abstractNumId w:val="12"/>
  </w:num>
  <w:num w:numId="33">
    <w:abstractNumId w:val="27"/>
  </w:num>
  <w:num w:numId="34">
    <w:abstractNumId w:val="16"/>
  </w:num>
  <w:num w:numId="35">
    <w:abstractNumId w:val="31"/>
  </w:num>
  <w:num w:numId="36">
    <w:abstractNumId w:val="4"/>
  </w:num>
  <w:num w:numId="37">
    <w:abstractNumId w:val="20"/>
  </w:num>
  <w:num w:numId="38">
    <w:abstractNumId w:val="3"/>
  </w:num>
  <w:num w:numId="39">
    <w:abstractNumId w:val="25"/>
  </w:num>
  <w:num w:numId="40">
    <w:abstractNumId w:val="39"/>
  </w:num>
  <w:num w:numId="41">
    <w:abstractNumId w:val="41"/>
  </w:num>
  <w:num w:numId="42">
    <w:abstractNumId w:val="42"/>
  </w:num>
  <w:num w:numId="43">
    <w:abstractNumId w:val="18"/>
  </w:num>
  <w:num w:numId="44">
    <w:abstractNumId w:val="35"/>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6C"/>
    <w:rsid w:val="00005EF2"/>
    <w:rsid w:val="00026F15"/>
    <w:rsid w:val="000715BA"/>
    <w:rsid w:val="000D7FA7"/>
    <w:rsid w:val="000E46D4"/>
    <w:rsid w:val="001547A0"/>
    <w:rsid w:val="00156126"/>
    <w:rsid w:val="00157BE5"/>
    <w:rsid w:val="00162DB2"/>
    <w:rsid w:val="001C33BD"/>
    <w:rsid w:val="00212735"/>
    <w:rsid w:val="00283A72"/>
    <w:rsid w:val="002D369B"/>
    <w:rsid w:val="003012DA"/>
    <w:rsid w:val="00325A14"/>
    <w:rsid w:val="003C1B19"/>
    <w:rsid w:val="00441030"/>
    <w:rsid w:val="00487A5E"/>
    <w:rsid w:val="0049425A"/>
    <w:rsid w:val="004E702A"/>
    <w:rsid w:val="00520F9D"/>
    <w:rsid w:val="00522198"/>
    <w:rsid w:val="00566C65"/>
    <w:rsid w:val="005A24FA"/>
    <w:rsid w:val="005A6176"/>
    <w:rsid w:val="005C20C9"/>
    <w:rsid w:val="005D14DA"/>
    <w:rsid w:val="005E4F4D"/>
    <w:rsid w:val="00607A6C"/>
    <w:rsid w:val="00642600"/>
    <w:rsid w:val="00685D20"/>
    <w:rsid w:val="00701F70"/>
    <w:rsid w:val="007273C6"/>
    <w:rsid w:val="00732FBD"/>
    <w:rsid w:val="00773244"/>
    <w:rsid w:val="007F1ADB"/>
    <w:rsid w:val="00816B4F"/>
    <w:rsid w:val="00884775"/>
    <w:rsid w:val="008E04C9"/>
    <w:rsid w:val="00955C81"/>
    <w:rsid w:val="009727AB"/>
    <w:rsid w:val="00996C40"/>
    <w:rsid w:val="009B0A7F"/>
    <w:rsid w:val="009C16D6"/>
    <w:rsid w:val="00A315ED"/>
    <w:rsid w:val="00A53EFD"/>
    <w:rsid w:val="00AF5A51"/>
    <w:rsid w:val="00B01EB1"/>
    <w:rsid w:val="00BA3D9C"/>
    <w:rsid w:val="00BD3423"/>
    <w:rsid w:val="00BD57FB"/>
    <w:rsid w:val="00BE685D"/>
    <w:rsid w:val="00C475D8"/>
    <w:rsid w:val="00D1674A"/>
    <w:rsid w:val="00E07BD1"/>
    <w:rsid w:val="00E321C2"/>
    <w:rsid w:val="00E7387E"/>
    <w:rsid w:val="00E92F00"/>
    <w:rsid w:val="00EE0463"/>
    <w:rsid w:val="00F12DB6"/>
    <w:rsid w:val="00F31ECD"/>
    <w:rsid w:val="00F70641"/>
    <w:rsid w:val="00F90113"/>
    <w:rsid w:val="00FD116C"/>
    <w:rsid w:val="00FF25E5"/>
  </w:rsids>
  <m:mathPr>
    <m:mathFont m:val="Cambria Math"/>
    <m:brkBin m:val="before"/>
    <m:brkBinSub m:val="--"/>
    <m:smallFrac m:val="0"/>
    <m:dispDef/>
    <m:lMargin m:val="0"/>
    <m:rMargin m:val="0"/>
    <m:defJc m:val="centerGroup"/>
    <m:wrapIndent m:val="1440"/>
    <m:intLim m:val="subSup"/>
    <m:naryLim m:val="undOvr"/>
  </m:mathPr>
  <w:themeFontLang w:val="lt-LT"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03F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62DB2"/>
    <w:pPr>
      <w:keepNext/>
      <w:spacing w:before="240" w:after="60" w:line="240" w:lineRule="auto"/>
      <w:outlineLvl w:val="0"/>
    </w:pPr>
    <w:rPr>
      <w:rFonts w:ascii="Arial" w:eastAsia="SimSun" w:hAnsi="Arial" w:cs="Arial"/>
      <w:b/>
      <w:bCs/>
      <w:kern w:val="32"/>
      <w:sz w:val="32"/>
      <w:szCs w:val="32"/>
      <w:lang w:eastAsia="zh-CN"/>
    </w:rPr>
  </w:style>
  <w:style w:type="paragraph" w:styleId="Antrat2">
    <w:name w:val="heading 2"/>
    <w:basedOn w:val="prastasis"/>
    <w:next w:val="prastasis"/>
    <w:link w:val="Antrat2Diagrama"/>
    <w:qFormat/>
    <w:rsid w:val="00162DB2"/>
    <w:pPr>
      <w:keepNext/>
      <w:spacing w:before="240" w:after="60" w:line="240" w:lineRule="auto"/>
      <w:outlineLvl w:val="1"/>
    </w:pPr>
    <w:rPr>
      <w:rFonts w:ascii="Arial" w:eastAsia="SimSun" w:hAnsi="Arial" w:cs="Arial"/>
      <w:b/>
      <w:bCs/>
      <w:i/>
      <w:iCs/>
      <w:sz w:val="28"/>
      <w:szCs w:val="28"/>
      <w:lang w:eastAsia="zh-CN"/>
    </w:rPr>
  </w:style>
  <w:style w:type="paragraph" w:styleId="Antrat3">
    <w:name w:val="heading 3"/>
    <w:basedOn w:val="prastasis"/>
    <w:next w:val="prastasis"/>
    <w:link w:val="Antrat3Diagrama"/>
    <w:qFormat/>
    <w:rsid w:val="00162DB2"/>
    <w:pPr>
      <w:keepNext/>
      <w:spacing w:before="240" w:after="60" w:line="240" w:lineRule="auto"/>
      <w:outlineLvl w:val="2"/>
    </w:pPr>
    <w:rPr>
      <w:rFonts w:ascii="Arial" w:eastAsia="SimSun" w:hAnsi="Arial" w:cs="Arial"/>
      <w:b/>
      <w:bCs/>
      <w:sz w:val="26"/>
      <w:szCs w:val="26"/>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2DB2"/>
    <w:rPr>
      <w:rFonts w:ascii="Arial" w:eastAsia="SimSun" w:hAnsi="Arial" w:cs="Arial"/>
      <w:b/>
      <w:bCs/>
      <w:kern w:val="32"/>
      <w:sz w:val="32"/>
      <w:szCs w:val="32"/>
      <w:lang w:eastAsia="zh-CN"/>
    </w:rPr>
  </w:style>
  <w:style w:type="character" w:customStyle="1" w:styleId="Antrat2Diagrama">
    <w:name w:val="Antraštė 2 Diagrama"/>
    <w:basedOn w:val="Numatytasispastraiposriftas"/>
    <w:link w:val="Antrat2"/>
    <w:rsid w:val="00162DB2"/>
    <w:rPr>
      <w:rFonts w:ascii="Arial" w:eastAsia="SimSun" w:hAnsi="Arial" w:cs="Arial"/>
      <w:b/>
      <w:bCs/>
      <w:i/>
      <w:iCs/>
      <w:sz w:val="28"/>
      <w:szCs w:val="28"/>
      <w:lang w:eastAsia="zh-CN"/>
    </w:rPr>
  </w:style>
  <w:style w:type="character" w:customStyle="1" w:styleId="Antrat3Diagrama">
    <w:name w:val="Antraštė 3 Diagrama"/>
    <w:basedOn w:val="Numatytasispastraiposriftas"/>
    <w:link w:val="Antrat3"/>
    <w:rsid w:val="00162DB2"/>
    <w:rPr>
      <w:rFonts w:ascii="Arial" w:eastAsia="SimSun" w:hAnsi="Arial" w:cs="Arial"/>
      <w:b/>
      <w:bCs/>
      <w:sz w:val="26"/>
      <w:szCs w:val="26"/>
      <w:lang w:eastAsia="zh-CN"/>
    </w:rPr>
  </w:style>
  <w:style w:type="numbering" w:customStyle="1" w:styleId="NoList1">
    <w:name w:val="No List1"/>
    <w:next w:val="Sraonra"/>
    <w:uiPriority w:val="99"/>
    <w:semiHidden/>
    <w:unhideWhenUsed/>
    <w:rsid w:val="00162DB2"/>
  </w:style>
  <w:style w:type="numbering" w:customStyle="1" w:styleId="Sraonra1">
    <w:name w:val="Sąrašo nėra1"/>
    <w:next w:val="Sraonra"/>
    <w:uiPriority w:val="99"/>
    <w:semiHidden/>
    <w:unhideWhenUsed/>
    <w:rsid w:val="00162DB2"/>
  </w:style>
  <w:style w:type="paragraph" w:styleId="Pavadinimas">
    <w:name w:val="Title"/>
    <w:basedOn w:val="prastasis"/>
    <w:link w:val="PavadinimasDiagrama"/>
    <w:autoRedefine/>
    <w:qFormat/>
    <w:rsid w:val="00162DB2"/>
    <w:pPr>
      <w:tabs>
        <w:tab w:val="left" w:pos="567"/>
      </w:tabs>
      <w:spacing w:after="0" w:line="240" w:lineRule="auto"/>
      <w:outlineLvl w:val="0"/>
    </w:pPr>
    <w:rPr>
      <w:rFonts w:ascii="Times New Roman" w:eastAsia="Times New Roman" w:hAnsi="Times New Roman" w:cs="Times New Roman"/>
      <w:kern w:val="28"/>
      <w:lang w:eastAsia="lt-LT"/>
    </w:rPr>
  </w:style>
  <w:style w:type="character" w:customStyle="1" w:styleId="PavadinimasDiagrama">
    <w:name w:val="Pavadinimas Diagrama"/>
    <w:basedOn w:val="Numatytasispastraiposriftas"/>
    <w:link w:val="Pavadinimas"/>
    <w:rsid w:val="00162DB2"/>
    <w:rPr>
      <w:rFonts w:ascii="Times New Roman" w:eastAsia="Times New Roman" w:hAnsi="Times New Roman" w:cs="Times New Roman"/>
      <w:kern w:val="28"/>
      <w:lang w:eastAsia="lt-LT"/>
    </w:rPr>
  </w:style>
  <w:style w:type="paragraph" w:styleId="Porat">
    <w:name w:val="footer"/>
    <w:basedOn w:val="prastasis"/>
    <w:link w:val="PoratDiagrama"/>
    <w:uiPriority w:val="99"/>
    <w:rsid w:val="00162DB2"/>
    <w:pPr>
      <w:tabs>
        <w:tab w:val="center" w:pos="4819"/>
        <w:tab w:val="right" w:pos="9638"/>
      </w:tabs>
      <w:spacing w:after="0" w:line="240" w:lineRule="auto"/>
    </w:pPr>
    <w:rPr>
      <w:rFonts w:ascii="Arial" w:eastAsia="Times New Roman" w:hAnsi="Arial" w:cs="Arial"/>
      <w:snapToGrid w:val="0"/>
      <w:lang w:val="en-GB" w:eastAsia="lt-LT"/>
    </w:rPr>
  </w:style>
  <w:style w:type="character" w:customStyle="1" w:styleId="PoratDiagrama">
    <w:name w:val="Poraštė Diagrama"/>
    <w:basedOn w:val="Numatytasispastraiposriftas"/>
    <w:link w:val="Porat"/>
    <w:uiPriority w:val="99"/>
    <w:rsid w:val="00162DB2"/>
    <w:rPr>
      <w:rFonts w:ascii="Arial" w:eastAsia="Times New Roman" w:hAnsi="Arial" w:cs="Arial"/>
      <w:snapToGrid w:val="0"/>
      <w:lang w:val="en-GB" w:eastAsia="lt-LT"/>
    </w:rPr>
  </w:style>
  <w:style w:type="paragraph" w:customStyle="1" w:styleId="BTEMEASMCA">
    <w:name w:val="BT EMEA_SMCA"/>
    <w:basedOn w:val="prastasis"/>
    <w:link w:val="BTEMEASMCAChar"/>
    <w:autoRedefine/>
    <w:rsid w:val="00162DB2"/>
    <w:pPr>
      <w:spacing w:after="0" w:line="240" w:lineRule="auto"/>
      <w:jc w:val="both"/>
    </w:pPr>
    <w:rPr>
      <w:rFonts w:ascii="Times New Roman" w:eastAsia="SimSun" w:hAnsi="Times New Roman" w:cs="Times New Roman"/>
      <w:noProof/>
    </w:rPr>
  </w:style>
  <w:style w:type="character" w:customStyle="1" w:styleId="BTEMEASMCAChar">
    <w:name w:val="BT EMEA_SMCA Char"/>
    <w:link w:val="BTEMEASMCA"/>
    <w:rsid w:val="00162DB2"/>
    <w:rPr>
      <w:rFonts w:ascii="Times New Roman" w:eastAsia="SimSun" w:hAnsi="Times New Roman" w:cs="Times New Roman"/>
      <w:noProof/>
    </w:rPr>
  </w:style>
  <w:style w:type="character" w:styleId="Puslapionumeris">
    <w:name w:val="page number"/>
    <w:basedOn w:val="Numatytasispastraiposriftas"/>
    <w:rsid w:val="00162DB2"/>
  </w:style>
  <w:style w:type="paragraph" w:styleId="Debesliotekstas">
    <w:name w:val="Balloon Text"/>
    <w:basedOn w:val="prastasis"/>
    <w:link w:val="DebesliotekstasDiagrama"/>
    <w:semiHidden/>
    <w:rsid w:val="00162DB2"/>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semiHidden/>
    <w:rsid w:val="00162DB2"/>
    <w:rPr>
      <w:rFonts w:ascii="Tahoma" w:eastAsia="SimSun" w:hAnsi="Tahoma" w:cs="Tahoma"/>
      <w:sz w:val="16"/>
      <w:szCs w:val="16"/>
      <w:lang w:eastAsia="zh-CN"/>
    </w:rPr>
  </w:style>
  <w:style w:type="paragraph" w:customStyle="1" w:styleId="BT-EMEASMCA">
    <w:name w:val="BT- EMEA_SMCA"/>
    <w:basedOn w:val="BTEMEASMCA"/>
    <w:autoRedefine/>
    <w:uiPriority w:val="99"/>
    <w:rsid w:val="00162DB2"/>
    <w:pPr>
      <w:numPr>
        <w:numId w:val="20"/>
      </w:numPr>
      <w:tabs>
        <w:tab w:val="clear" w:pos="720"/>
        <w:tab w:val="num" w:pos="360"/>
      </w:tabs>
      <w:ind w:left="0" w:firstLine="0"/>
    </w:pPr>
    <w:rPr>
      <w:rFonts w:eastAsia="Times New Roman"/>
    </w:rPr>
  </w:style>
  <w:style w:type="paragraph" w:customStyle="1" w:styleId="BTbEMEASMCA">
    <w:name w:val="BT(b) EMEA_SMCA"/>
    <w:basedOn w:val="BTEMEASMCA"/>
    <w:autoRedefine/>
    <w:rsid w:val="00162DB2"/>
    <w:rPr>
      <w:rFonts w:eastAsia="Times New Roman"/>
      <w:bCs/>
    </w:rPr>
  </w:style>
  <w:style w:type="paragraph" w:customStyle="1" w:styleId="PI-3EMEASMCA">
    <w:name w:val="PI-3 EMEA_SMCA"/>
    <w:basedOn w:val="prastasis"/>
    <w:autoRedefine/>
    <w:rsid w:val="00162DB2"/>
    <w:pPr>
      <w:spacing w:after="0" w:line="220" w:lineRule="exact"/>
    </w:pPr>
    <w:rPr>
      <w:rFonts w:ascii="Times New Roman" w:eastAsia="Times New Roman" w:hAnsi="Times New Roman" w:cs="Times New Roman"/>
      <w:b/>
      <w:bCs/>
    </w:rPr>
  </w:style>
  <w:style w:type="paragraph" w:customStyle="1" w:styleId="TTEMEASMCA">
    <w:name w:val="TT EMEA_SMCA"/>
    <w:basedOn w:val="Antrat1"/>
    <w:link w:val="TTEMEASMCAChar"/>
    <w:autoRedefine/>
    <w:rsid w:val="00162DB2"/>
    <w:pPr>
      <w:keepNext w:val="0"/>
      <w:tabs>
        <w:tab w:val="left" w:pos="567"/>
      </w:tabs>
      <w:spacing w:before="0" w:after="0"/>
      <w:ind w:left="567" w:hanging="567"/>
      <w:jc w:val="center"/>
    </w:pPr>
    <w:rPr>
      <w:rFonts w:ascii="Times New Roman" w:eastAsia="Times New Roman" w:hAnsi="Times New Roman" w:cs="Times New Roman"/>
      <w:bCs w:val="0"/>
      <w:caps/>
      <w:kern w:val="0"/>
      <w:sz w:val="22"/>
      <w:szCs w:val="22"/>
      <w:lang w:val="en-US" w:eastAsia="en-US"/>
    </w:rPr>
  </w:style>
  <w:style w:type="character" w:customStyle="1" w:styleId="TTEMEASMCAChar">
    <w:name w:val="TT EMEA_SMCA Char"/>
    <w:link w:val="TTEMEASMCA"/>
    <w:rsid w:val="00162DB2"/>
    <w:rPr>
      <w:rFonts w:ascii="Times New Roman" w:eastAsia="Times New Roman" w:hAnsi="Times New Roman" w:cs="Times New Roman"/>
      <w:b/>
      <w:caps/>
      <w:lang w:val="en-US"/>
    </w:rPr>
  </w:style>
  <w:style w:type="paragraph" w:customStyle="1" w:styleId="BTuEMEASMCA">
    <w:name w:val="BT(u) EMEA_SMCA"/>
    <w:basedOn w:val="BTEMEASMCA"/>
    <w:autoRedefine/>
    <w:rsid w:val="00162DB2"/>
    <w:rPr>
      <w:rFonts w:eastAsia="Times New Roman"/>
      <w:u w:val="single"/>
    </w:rPr>
  </w:style>
  <w:style w:type="paragraph" w:customStyle="1" w:styleId="PI-1EMEASMCA">
    <w:name w:val="PI-1 EMEA_SMCA"/>
    <w:basedOn w:val="Antrat2"/>
    <w:autoRedefine/>
    <w:rsid w:val="00162DB2"/>
    <w:pPr>
      <w:tabs>
        <w:tab w:val="left" w:pos="567"/>
      </w:tabs>
      <w:spacing w:before="0" w:after="0"/>
      <w:ind w:left="567" w:hanging="567"/>
    </w:pPr>
    <w:rPr>
      <w:rFonts w:ascii="Times New Roman" w:eastAsia="Times New Roman" w:hAnsi="Times New Roman" w:cs="Times New Roman"/>
      <w:bCs w:val="0"/>
      <w:i w:val="0"/>
      <w:iCs w:val="0"/>
      <w:sz w:val="22"/>
      <w:szCs w:val="22"/>
      <w:lang w:eastAsia="en-US"/>
    </w:rPr>
  </w:style>
  <w:style w:type="paragraph" w:customStyle="1" w:styleId="PI-2EMEASMCA">
    <w:name w:val="PI-2 EMEA_SMCA"/>
    <w:basedOn w:val="Antrat3"/>
    <w:autoRedefine/>
    <w:rsid w:val="00162DB2"/>
    <w:pPr>
      <w:keepLines/>
      <w:tabs>
        <w:tab w:val="left" w:pos="567"/>
      </w:tabs>
      <w:spacing w:before="0" w:after="0"/>
      <w:ind w:left="567" w:hanging="567"/>
    </w:pPr>
    <w:rPr>
      <w:rFonts w:ascii="Times New Roman" w:eastAsia="Times New Roman" w:hAnsi="Times New Roman" w:cs="Times New Roman"/>
      <w:bCs w:val="0"/>
      <w:kern w:val="28"/>
      <w:sz w:val="22"/>
      <w:szCs w:val="22"/>
      <w:lang w:eastAsia="en-US"/>
    </w:rPr>
  </w:style>
  <w:style w:type="character" w:styleId="Hipersaitas">
    <w:name w:val="Hyperlink"/>
    <w:rsid w:val="00162DB2"/>
    <w:rPr>
      <w:color w:val="0000FF"/>
      <w:u w:val="single"/>
    </w:rPr>
  </w:style>
  <w:style w:type="paragraph" w:styleId="Dokumentoinaostekstas">
    <w:name w:val="endnote text"/>
    <w:basedOn w:val="prastasis"/>
    <w:link w:val="DokumentoinaostekstasDiagrama"/>
    <w:semiHidden/>
    <w:rsid w:val="00162DB2"/>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162DB2"/>
    <w:rPr>
      <w:rFonts w:ascii="Times New Roman" w:eastAsia="Times New Roman" w:hAnsi="Times New Roman" w:cs="Times New Roman"/>
      <w:szCs w:val="20"/>
      <w:lang w:val="en-GB"/>
    </w:rPr>
  </w:style>
  <w:style w:type="character" w:styleId="Komentaronuoroda">
    <w:name w:val="annotation reference"/>
    <w:semiHidden/>
    <w:rsid w:val="00162DB2"/>
    <w:rPr>
      <w:sz w:val="16"/>
      <w:szCs w:val="16"/>
    </w:rPr>
  </w:style>
  <w:style w:type="paragraph" w:styleId="Komentarotekstas">
    <w:name w:val="annotation text"/>
    <w:basedOn w:val="prastasis"/>
    <w:link w:val="KomentarotekstasDiagrama"/>
    <w:semiHidden/>
    <w:rsid w:val="00162DB2"/>
    <w:pPr>
      <w:spacing w:after="0" w:line="240" w:lineRule="auto"/>
    </w:pPr>
    <w:rPr>
      <w:rFonts w:ascii="Times New Roman" w:eastAsia="SimSun" w:hAnsi="Times New Roman" w:cs="Times New Roman"/>
      <w:sz w:val="20"/>
      <w:szCs w:val="20"/>
      <w:lang w:eastAsia="zh-CN"/>
    </w:rPr>
  </w:style>
  <w:style w:type="character" w:customStyle="1" w:styleId="KomentarotekstasDiagrama">
    <w:name w:val="Komentaro tekstas Diagrama"/>
    <w:basedOn w:val="Numatytasispastraiposriftas"/>
    <w:link w:val="Komentarotekstas"/>
    <w:semiHidden/>
    <w:rsid w:val="00162DB2"/>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rsid w:val="00162DB2"/>
    <w:rPr>
      <w:b/>
      <w:bCs/>
    </w:rPr>
  </w:style>
  <w:style w:type="character" w:customStyle="1" w:styleId="KomentarotemaDiagrama">
    <w:name w:val="Komentaro tema Diagrama"/>
    <w:basedOn w:val="KomentarotekstasDiagrama"/>
    <w:link w:val="Komentarotema"/>
    <w:uiPriority w:val="99"/>
    <w:rsid w:val="00162DB2"/>
    <w:rPr>
      <w:rFonts w:ascii="Times New Roman" w:eastAsia="SimSun" w:hAnsi="Times New Roman" w:cs="Times New Roman"/>
      <w:b/>
      <w:bCs/>
      <w:sz w:val="20"/>
      <w:szCs w:val="20"/>
      <w:lang w:eastAsia="zh-CN"/>
    </w:rPr>
  </w:style>
  <w:style w:type="paragraph" w:styleId="Antrats">
    <w:name w:val="header"/>
    <w:basedOn w:val="prastasis"/>
    <w:link w:val="AntratsDiagrama"/>
    <w:rsid w:val="00162DB2"/>
    <w:pPr>
      <w:tabs>
        <w:tab w:val="center" w:pos="4819"/>
        <w:tab w:val="right" w:pos="9638"/>
      </w:tabs>
      <w:spacing w:after="0" w:line="240" w:lineRule="auto"/>
    </w:pPr>
    <w:rPr>
      <w:rFonts w:ascii="Times New Roman" w:eastAsia="SimSun" w:hAnsi="Times New Roman" w:cs="Times New Roman"/>
      <w:sz w:val="24"/>
      <w:szCs w:val="24"/>
      <w:lang w:eastAsia="zh-CN"/>
    </w:rPr>
  </w:style>
  <w:style w:type="character" w:customStyle="1" w:styleId="AntratsDiagrama">
    <w:name w:val="Antraštės Diagrama"/>
    <w:basedOn w:val="Numatytasispastraiposriftas"/>
    <w:link w:val="Antrats"/>
    <w:rsid w:val="00162DB2"/>
    <w:rPr>
      <w:rFonts w:ascii="Times New Roman" w:eastAsia="SimSun" w:hAnsi="Times New Roman" w:cs="Times New Roman"/>
      <w:sz w:val="24"/>
      <w:szCs w:val="24"/>
      <w:lang w:eastAsia="zh-CN"/>
    </w:rPr>
  </w:style>
  <w:style w:type="paragraph" w:styleId="Paprastasistekstas">
    <w:name w:val="Plain Text"/>
    <w:basedOn w:val="prastasis"/>
    <w:link w:val="PaprastasistekstasDiagrama"/>
    <w:uiPriority w:val="99"/>
    <w:rsid w:val="00162DB2"/>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62DB2"/>
    <w:rPr>
      <w:rFonts w:ascii="Courier New" w:eastAsia="SimSun" w:hAnsi="Courier New" w:cs="Times New Roman"/>
      <w:sz w:val="20"/>
      <w:szCs w:val="20"/>
      <w:lang w:val="en-US"/>
    </w:rPr>
  </w:style>
  <w:style w:type="character" w:customStyle="1" w:styleId="hps">
    <w:name w:val="hps"/>
    <w:rsid w:val="00162DB2"/>
  </w:style>
  <w:style w:type="paragraph" w:styleId="Sraopastraipa">
    <w:name w:val="List Paragraph"/>
    <w:basedOn w:val="prastasis"/>
    <w:uiPriority w:val="34"/>
    <w:qFormat/>
    <w:rsid w:val="00162DB2"/>
    <w:pPr>
      <w:spacing w:after="200" w:line="276" w:lineRule="auto"/>
      <w:ind w:left="720"/>
      <w:contextualSpacing/>
    </w:pPr>
  </w:style>
  <w:style w:type="table" w:styleId="Lentelstinklelis">
    <w:name w:val="Table Grid"/>
    <w:basedOn w:val="prastojilentel"/>
    <w:uiPriority w:val="39"/>
    <w:rsid w:val="00162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72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harmacosmo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D4C1CF37E504BA59AC409963B5ED3" ma:contentTypeVersion="6" ma:contentTypeDescription="Create a new document." ma:contentTypeScope="" ma:versionID="2f57a87e51adaffcbfb9ab88b6425956">
  <xsd:schema xmlns:xsd="http://www.w3.org/2001/XMLSchema" xmlns:xs="http://www.w3.org/2001/XMLSchema" xmlns:p="http://schemas.microsoft.com/office/2006/metadata/properties" xmlns:ns2="75d038ea-07ad-4019-90a9-a1e0c21b589f" xmlns:ns3="82d6c8fa-9de3-4664-a790-4fc049747599" targetNamespace="http://schemas.microsoft.com/office/2006/metadata/properties" ma:root="true" ma:fieldsID="d52a6cf38a477dc2dd0b65b13edd923d" ns2:_="" ns3:_="">
    <xsd:import namespace="75d038ea-07ad-4019-90a9-a1e0c21b589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038ea-07ad-4019-90a9-a1e0c21b58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0D4C1CF37E504BA59AC409963B5ED3" ma:contentTypeVersion="10" ma:contentTypeDescription="Create a new document." ma:contentTypeScope="" ma:versionID="ae89e3179cb72dee97d9ed7326e34c8d">
  <xsd:schema xmlns:xsd="http://www.w3.org/2001/XMLSchema" xmlns:xs="http://www.w3.org/2001/XMLSchema" xmlns:p="http://schemas.microsoft.com/office/2006/metadata/properties" xmlns:ns2="75d038ea-07ad-4019-90a9-a1e0c21b589f" xmlns:ns3="82d6c8fa-9de3-4664-a790-4fc049747599" targetNamespace="http://schemas.microsoft.com/office/2006/metadata/properties" ma:root="true" ma:fieldsID="ce68d1abf478c8a35df9c36ff73248e3" ns2:_="" ns3:_="">
    <xsd:import namespace="75d038ea-07ad-4019-90a9-a1e0c21b589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038ea-07ad-4019-90a9-a1e0c21b58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1A5D-D561-4444-BE0B-DE0A5BC2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038ea-07ad-4019-90a9-a1e0c21b589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081DE-4E77-4FE5-9035-45A7519A0E4C}">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75d038ea-07ad-4019-90a9-a1e0c21b589f"/>
    <ds:schemaRef ds:uri="http://purl.org/dc/terms/"/>
    <ds:schemaRef ds:uri="http://schemas.openxmlformats.org/package/2006/metadata/core-properties"/>
    <ds:schemaRef ds:uri="82d6c8fa-9de3-4664-a790-4fc049747599"/>
  </ds:schemaRefs>
</ds:datastoreItem>
</file>

<file path=customXml/itemProps3.xml><?xml version="1.0" encoding="utf-8"?>
<ds:datastoreItem xmlns:ds="http://schemas.openxmlformats.org/officeDocument/2006/customXml" ds:itemID="{3B381D72-D0DD-40EB-90E6-869A212A769B}">
  <ds:schemaRefs>
    <ds:schemaRef ds:uri="http://schemas.microsoft.com/sharepoint/v3/contenttype/forms"/>
  </ds:schemaRefs>
</ds:datastoreItem>
</file>

<file path=customXml/itemProps4.xml><?xml version="1.0" encoding="utf-8"?>
<ds:datastoreItem xmlns:ds="http://schemas.openxmlformats.org/officeDocument/2006/customXml" ds:itemID="{D2C9E621-D5D7-4CCA-B411-85ACAA493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038ea-07ad-4019-90a9-a1e0c21b589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32612</Words>
  <Characters>18590</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2025-06-25T06:03:00Z</dcterms:created>
  <dcterms:modified xsi:type="dcterms:W3CDTF">2025-06-25T06:06:00Z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0x010100440D4C1CF37E504BA59AC409963B5ED3</vt:lpwstr>
  </property>
</Properties>
</file>