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3EB" w:rsidRPr="00162DB2" w:rsidRDefault="00DB53EB" w:rsidP="00DB53EB">
      <w:pPr>
        <w:spacing w:after="0" w:line="240" w:lineRule="auto"/>
        <w:jc w:val="center"/>
        <w:outlineLvl w:val="0"/>
        <w:rPr>
          <w:rFonts w:ascii="Times New Roman" w:eastAsia="Calibri" w:hAnsi="Times New Roman" w:cs="Times New Roman"/>
          <w:b/>
          <w:lang w:eastAsia="lt-LT"/>
        </w:rPr>
      </w:pPr>
      <w:r w:rsidRPr="00162DB2">
        <w:rPr>
          <w:rFonts w:ascii="Times New Roman" w:eastAsia="Calibri" w:hAnsi="Times New Roman" w:cs="Times New Roman"/>
          <w:b/>
          <w:lang w:eastAsia="lt-LT"/>
        </w:rPr>
        <w:t>Pakuotės lapelis: informacija vartotojui</w:t>
      </w:r>
    </w:p>
    <w:p w:rsidR="00DB53EB" w:rsidRPr="00162DB2" w:rsidRDefault="00DB53EB" w:rsidP="00DB53EB">
      <w:pPr>
        <w:tabs>
          <w:tab w:val="left" w:pos="120"/>
          <w:tab w:val="left" w:pos="567"/>
        </w:tabs>
        <w:spacing w:after="0" w:line="240" w:lineRule="auto"/>
        <w:jc w:val="center"/>
        <w:rPr>
          <w:rFonts w:ascii="Times New Roman" w:eastAsia="Calibri" w:hAnsi="Times New Roman" w:cs="Times New Roman"/>
          <w:b/>
          <w:lang w:eastAsia="lt-LT"/>
        </w:rPr>
      </w:pPr>
    </w:p>
    <w:p w:rsidR="00DB53EB" w:rsidRPr="00162DB2" w:rsidRDefault="00DB53EB" w:rsidP="00DB53EB">
      <w:pPr>
        <w:numPr>
          <w:ilvl w:val="12"/>
          <w:numId w:val="0"/>
        </w:numPr>
        <w:tabs>
          <w:tab w:val="left" w:pos="567"/>
        </w:tabs>
        <w:spacing w:after="0" w:line="240" w:lineRule="auto"/>
        <w:jc w:val="center"/>
        <w:rPr>
          <w:rFonts w:ascii="Times New Roman" w:eastAsia="Calibri" w:hAnsi="Times New Roman" w:cs="Times New Roman"/>
          <w:b/>
          <w:bCs/>
          <w:lang w:eastAsia="lt-LT"/>
        </w:rPr>
      </w:pP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100 mg/ml injekcinis ar infuzinis tirpalas</w:t>
      </w:r>
    </w:p>
    <w:p w:rsidR="00DB53EB" w:rsidRPr="000C6C45" w:rsidRDefault="00DB53EB" w:rsidP="00DB53EB">
      <w:pPr>
        <w:tabs>
          <w:tab w:val="left" w:pos="120"/>
          <w:tab w:val="left" w:pos="567"/>
        </w:tabs>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 xml:space="preserve">geležies </w:t>
      </w:r>
      <w:proofErr w:type="spellStart"/>
      <w:r>
        <w:rPr>
          <w:rFonts w:ascii="Times New Roman" w:eastAsia="Calibri" w:hAnsi="Times New Roman" w:cs="Times New Roman"/>
          <w:bCs/>
          <w:lang w:eastAsia="lt-LT"/>
        </w:rPr>
        <w:t>derisomaltozė</w:t>
      </w:r>
      <w:proofErr w:type="spellEnd"/>
    </w:p>
    <w:p w:rsidR="00DB53EB" w:rsidRPr="00162DB2" w:rsidRDefault="00DB53EB" w:rsidP="00DB53EB">
      <w:pPr>
        <w:tabs>
          <w:tab w:val="left" w:pos="120"/>
          <w:tab w:val="left" w:pos="567"/>
        </w:tabs>
        <w:spacing w:after="0" w:line="240" w:lineRule="auto"/>
        <w:jc w:val="both"/>
        <w:rPr>
          <w:rFonts w:ascii="Times New Roman" w:eastAsia="Calibri" w:hAnsi="Times New Roman" w:cs="Times New Roman"/>
          <w:lang w:eastAsia="lt-LT"/>
        </w:rPr>
      </w:pPr>
    </w:p>
    <w:p w:rsidR="00DB53EB" w:rsidRPr="00162DB2" w:rsidRDefault="00DB53EB" w:rsidP="00DB53EB">
      <w:pPr>
        <w:spacing w:after="0" w:line="240" w:lineRule="auto"/>
        <w:rPr>
          <w:rFonts w:ascii="Times New Roman" w:eastAsia="Calibri" w:hAnsi="Times New Roman" w:cs="Times New Roman"/>
          <w:b/>
          <w:lang w:eastAsia="lt-LT"/>
        </w:rPr>
      </w:pPr>
    </w:p>
    <w:p w:rsidR="00DB53EB" w:rsidRPr="00162DB2" w:rsidRDefault="00DB53EB" w:rsidP="00DB53EB">
      <w:pPr>
        <w:tabs>
          <w:tab w:val="left" w:pos="567"/>
        </w:tabs>
        <w:spacing w:after="0" w:line="240" w:lineRule="auto"/>
        <w:rPr>
          <w:rFonts w:ascii="Times New Roman" w:eastAsia="Times New Roman" w:hAnsi="Times New Roman" w:cs="Times New Roman"/>
          <w:b/>
        </w:rPr>
      </w:pPr>
      <w:r w:rsidRPr="00162DB2">
        <w:rPr>
          <w:rFonts w:ascii="Times New Roman" w:eastAsia="Times New Roman" w:hAnsi="Times New Roman" w:cs="Times New Roman"/>
          <w:b/>
        </w:rPr>
        <w:t xml:space="preserve">Atidžiai perskaitykite visą šį lapelį, prieš pradėdami vartoti vaistą, nes jame pateikiama Jums svarbi informacija. </w:t>
      </w:r>
    </w:p>
    <w:p w:rsidR="00DB53EB" w:rsidRPr="00162DB2" w:rsidRDefault="00DB53EB" w:rsidP="00DB53EB">
      <w:pPr>
        <w:tabs>
          <w:tab w:val="num" w:pos="360"/>
        </w:tabs>
        <w:spacing w:after="0" w:line="240" w:lineRule="auto"/>
        <w:jc w:val="both"/>
        <w:rPr>
          <w:rFonts w:ascii="Times New Roman" w:eastAsia="Times New Roman" w:hAnsi="Times New Roman" w:cs="Times New Roman"/>
        </w:rPr>
      </w:pPr>
      <w:r w:rsidRPr="00162DB2">
        <w:rPr>
          <w:rFonts w:ascii="Times New Roman" w:eastAsia="Times New Roman" w:hAnsi="Times New Roman" w:cs="Times New Roman"/>
        </w:rPr>
        <w:t>-</w:t>
      </w:r>
      <w:r w:rsidRPr="00162DB2">
        <w:rPr>
          <w:rFonts w:ascii="Times New Roman" w:eastAsia="Times New Roman" w:hAnsi="Times New Roman" w:cs="Times New Roman"/>
        </w:rPr>
        <w:tab/>
        <w:t>Neišmeskite šio lapelio, nes vėl gali prireikti jį perskaityti.</w:t>
      </w:r>
    </w:p>
    <w:p w:rsidR="00DB53EB" w:rsidRPr="00162DB2" w:rsidRDefault="00DB53EB" w:rsidP="00DB53EB">
      <w:pPr>
        <w:tabs>
          <w:tab w:val="num" w:pos="360"/>
        </w:tabs>
        <w:spacing w:after="0" w:line="240" w:lineRule="auto"/>
        <w:jc w:val="both"/>
        <w:rPr>
          <w:rFonts w:ascii="Times New Roman" w:eastAsia="Times New Roman" w:hAnsi="Times New Roman" w:cs="Times New Roman"/>
        </w:rPr>
      </w:pPr>
      <w:r w:rsidRPr="00162DB2">
        <w:rPr>
          <w:rFonts w:ascii="Times New Roman" w:eastAsia="Times New Roman" w:hAnsi="Times New Roman" w:cs="Times New Roman"/>
        </w:rPr>
        <w:t>-</w:t>
      </w:r>
      <w:r w:rsidRPr="00162DB2">
        <w:rPr>
          <w:rFonts w:ascii="Times New Roman" w:eastAsia="Times New Roman" w:hAnsi="Times New Roman" w:cs="Times New Roman"/>
        </w:rPr>
        <w:tab/>
        <w:t>Jeigu kiltų daugiau klausimų, kreipkitės į gydytoją arba slaugytoją.</w:t>
      </w:r>
    </w:p>
    <w:p w:rsidR="00DB53EB" w:rsidRPr="00162DB2" w:rsidRDefault="00DB53EB" w:rsidP="00DB53EB">
      <w:pPr>
        <w:tabs>
          <w:tab w:val="num" w:pos="360"/>
        </w:tabs>
        <w:spacing w:after="0" w:line="240" w:lineRule="auto"/>
        <w:ind w:left="360" w:hanging="360"/>
        <w:jc w:val="both"/>
        <w:rPr>
          <w:rFonts w:ascii="Times New Roman" w:eastAsia="Times New Roman" w:hAnsi="Times New Roman" w:cs="Times New Roman"/>
        </w:rPr>
      </w:pPr>
      <w:r w:rsidRPr="00162DB2">
        <w:rPr>
          <w:rFonts w:ascii="Times New Roman" w:eastAsia="Times New Roman" w:hAnsi="Times New Roman" w:cs="Times New Roman"/>
        </w:rPr>
        <w:t>-</w:t>
      </w:r>
      <w:r w:rsidRPr="00162DB2">
        <w:rPr>
          <w:rFonts w:ascii="Times New Roman" w:eastAsia="Times New Roman" w:hAnsi="Times New Roman" w:cs="Times New Roman"/>
        </w:rPr>
        <w:tab/>
        <w:t>Jeigu pasireiškė šalutinis poveikis (net jeigu jis šiame lapelyje nenurodytas), kreipkitės į gydytoją arba slaugytoją. Žr. 4 skyrių.</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Apie ką rašoma šiame lapelyje?</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 Kas yra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ir kam jis vartojamas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2. Kas žinotina prieš vartojant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vertAlign w:val="superscript"/>
          <w:lang w:eastAsia="lt-LT"/>
        </w:rPr>
        <w:t xml:space="preserve">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3. Kaip vartoti </w:t>
      </w:r>
      <w:proofErr w:type="spellStart"/>
      <w:r w:rsidRPr="00162DB2">
        <w:rPr>
          <w:rFonts w:ascii="Times New Roman" w:eastAsia="Calibri" w:hAnsi="Times New Roman" w:cs="Times New Roman"/>
          <w:lang w:eastAsia="lt-LT"/>
        </w:rPr>
        <w:t>Monofer</w:t>
      </w:r>
      <w:proofErr w:type="spellEnd"/>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4. Galimas šalutinis poveikis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5. Kaip laikyti </w:t>
      </w:r>
      <w:proofErr w:type="spellStart"/>
      <w:r w:rsidRPr="00162DB2">
        <w:rPr>
          <w:rFonts w:ascii="Times New Roman" w:eastAsia="Calibri" w:hAnsi="Times New Roman" w:cs="Times New Roman"/>
          <w:lang w:eastAsia="lt-LT"/>
        </w:rPr>
        <w:t>Monofer</w:t>
      </w:r>
      <w:proofErr w:type="spellEnd"/>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6. Pakuotės turinys ir kita informacija</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1. Kas yra </w:t>
      </w: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ir kam jis vartojamas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sudėtyje yra geležies, esančios komplekse su </w:t>
      </w:r>
      <w:proofErr w:type="spellStart"/>
      <w:r>
        <w:rPr>
          <w:rFonts w:ascii="Times New Roman" w:eastAsia="Calibri" w:hAnsi="Times New Roman" w:cs="Times New Roman"/>
          <w:lang w:eastAsia="lt-LT"/>
        </w:rPr>
        <w:t>derisomaltoze</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 xml:space="preserve">(ilgos grandinės cukraus molekulė). Šis geležies tipas yra analogiškas </w:t>
      </w:r>
      <w:proofErr w:type="spellStart"/>
      <w:r w:rsidRPr="00162DB2">
        <w:rPr>
          <w:rFonts w:ascii="Times New Roman" w:eastAsia="Calibri" w:hAnsi="Times New Roman" w:cs="Times New Roman"/>
          <w:lang w:eastAsia="lt-LT"/>
        </w:rPr>
        <w:t>feritinui</w:t>
      </w:r>
      <w:proofErr w:type="spellEnd"/>
      <w:r w:rsidRPr="00162DB2">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sym w:font="Symbol" w:char="F02D"/>
      </w:r>
      <w:r w:rsidRPr="00162DB2">
        <w:rPr>
          <w:rFonts w:ascii="Times New Roman" w:eastAsia="Calibri" w:hAnsi="Times New Roman" w:cs="Times New Roman"/>
          <w:lang w:eastAsia="lt-LT"/>
        </w:rPr>
        <w:t xml:space="preserve"> fiziologinei organizme esančiai geležies formai. Dėl to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pacientui gali būti švirkščiama didelėmis dozėmis.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yra skirtas per mažiems geležies kiekiams (vadinamajam geležies trūkumui arba geležies stokos anemijai) gydyti, kai:</w:t>
      </w:r>
    </w:p>
    <w:p w:rsidR="00DB53EB" w:rsidRPr="00162DB2" w:rsidRDefault="00DB53EB" w:rsidP="00DB53EB">
      <w:pPr>
        <w:numPr>
          <w:ilvl w:val="0"/>
          <w:numId w:val="1"/>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gydymas geriama geležimi yra neveiksmingas arba Jūs negalite jo toleruoti; </w:t>
      </w:r>
    </w:p>
    <w:p w:rsidR="00DB53EB" w:rsidRPr="00162DB2" w:rsidRDefault="00DB53EB" w:rsidP="00DB53EB">
      <w:pPr>
        <w:numPr>
          <w:ilvl w:val="0"/>
          <w:numId w:val="1"/>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gydytojas nusprendžia, kad būtina greitai papildyti geležies atsargas.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2. Kas žinotina prieš vartojant </w:t>
      </w:r>
      <w:proofErr w:type="spellStart"/>
      <w:r w:rsidRPr="00162DB2">
        <w:rPr>
          <w:rFonts w:ascii="Times New Roman" w:eastAsia="Calibri" w:hAnsi="Times New Roman" w:cs="Times New Roman"/>
          <w:b/>
          <w:bCs/>
          <w:lang w:eastAsia="lt-LT"/>
        </w:rPr>
        <w:t>Monofer</w:t>
      </w:r>
      <w:proofErr w:type="spellEnd"/>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lang w:eastAsia="lt-LT"/>
        </w:rPr>
      </w:pP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vartoti negalima:</w:t>
      </w:r>
    </w:p>
    <w:p w:rsidR="00DB53EB" w:rsidRPr="00162DB2" w:rsidRDefault="00DB53EB" w:rsidP="00DB53EB">
      <w:pPr>
        <w:numPr>
          <w:ilvl w:val="0"/>
          <w:numId w:val="5"/>
        </w:numPr>
        <w:tabs>
          <w:tab w:val="left" w:pos="120"/>
          <w:tab w:val="left" w:pos="567"/>
        </w:tabs>
        <w:spacing w:after="0" w:line="240" w:lineRule="auto"/>
        <w:ind w:left="567" w:hanging="207"/>
        <w:rPr>
          <w:rFonts w:ascii="Times New Roman" w:eastAsia="Calibri" w:hAnsi="Times New Roman" w:cs="Times New Roman"/>
          <w:lang w:eastAsia="lt-LT"/>
        </w:rPr>
      </w:pPr>
      <w:r w:rsidRPr="00162DB2">
        <w:rPr>
          <w:rFonts w:ascii="Times New Roman" w:eastAsia="Calibri" w:hAnsi="Times New Roman" w:cs="Times New Roman"/>
          <w:lang w:eastAsia="lt-LT"/>
        </w:rPr>
        <w:t>jeigu yra alergija (padidėjęs jautrumas) šiam vaistui ar bet kuriai pagalbinei šio vaisto medžiagai (jos išvardytos 6 skyriuje);</w:t>
      </w:r>
    </w:p>
    <w:p w:rsidR="00DB53EB" w:rsidRPr="00162DB2" w:rsidRDefault="00DB53EB" w:rsidP="00DB53EB">
      <w:pPr>
        <w:numPr>
          <w:ilvl w:val="0"/>
          <w:numId w:val="5"/>
        </w:numPr>
        <w:tabs>
          <w:tab w:val="left" w:pos="120"/>
          <w:tab w:val="left" w:pos="567"/>
        </w:tabs>
        <w:spacing w:after="0" w:line="240" w:lineRule="auto"/>
        <w:ind w:left="567" w:hanging="207"/>
        <w:rPr>
          <w:rFonts w:ascii="Times New Roman" w:eastAsia="Calibri" w:hAnsi="Times New Roman" w:cs="Times New Roman"/>
          <w:lang w:eastAsia="lt-LT"/>
        </w:rPr>
      </w:pPr>
      <w:r w:rsidRPr="00162DB2">
        <w:rPr>
          <w:rFonts w:ascii="Times New Roman" w:eastAsia="Calibri" w:hAnsi="Times New Roman" w:cs="Times New Roman"/>
          <w:lang w:eastAsia="lt-LT"/>
        </w:rPr>
        <w:t>jeigu yra pasireiškusi sunki alerginė (padidėjusio jautrumo) reakcija kitiems leidžiamiesiems geležies preparatams;</w:t>
      </w:r>
    </w:p>
    <w:p w:rsidR="00DB53EB" w:rsidRPr="00162DB2" w:rsidRDefault="00DB53EB" w:rsidP="00DB53EB">
      <w:pPr>
        <w:numPr>
          <w:ilvl w:val="0"/>
          <w:numId w:val="5"/>
        </w:numPr>
        <w:tabs>
          <w:tab w:val="left" w:pos="120"/>
          <w:tab w:val="left" w:pos="567"/>
        </w:tabs>
        <w:spacing w:after="0" w:line="240" w:lineRule="auto"/>
        <w:ind w:left="567" w:hanging="207"/>
        <w:rPr>
          <w:rFonts w:ascii="Times New Roman" w:eastAsia="Calibri" w:hAnsi="Times New Roman" w:cs="Times New Roman"/>
          <w:bCs/>
          <w:lang w:eastAsia="lt-LT"/>
        </w:rPr>
      </w:pPr>
      <w:r w:rsidRPr="00162DB2">
        <w:rPr>
          <w:rFonts w:ascii="Times New Roman" w:eastAsia="Calibri" w:hAnsi="Times New Roman" w:cs="Times New Roman"/>
          <w:lang w:eastAsia="lt-LT"/>
        </w:rPr>
        <w:t xml:space="preserve">jeigu sergate anemija </w:t>
      </w:r>
      <w:r w:rsidRPr="0056355F">
        <w:rPr>
          <w:rFonts w:ascii="Times New Roman" w:eastAsia="Calibri" w:hAnsi="Times New Roman" w:cs="Times New Roman"/>
          <w:lang w:eastAsia="lt-LT"/>
        </w:rPr>
        <w:t>ne</w:t>
      </w:r>
      <w:r w:rsidRPr="00162DB2">
        <w:rPr>
          <w:rFonts w:ascii="Times New Roman" w:eastAsia="Calibri" w:hAnsi="Times New Roman" w:cs="Times New Roman"/>
          <w:lang w:eastAsia="lt-LT"/>
        </w:rPr>
        <w:t xml:space="preserve"> dėl geležies trūkumo; </w:t>
      </w:r>
    </w:p>
    <w:p w:rsidR="00DB53EB" w:rsidRPr="00162DB2" w:rsidRDefault="00DB53EB" w:rsidP="00DB53EB">
      <w:pPr>
        <w:numPr>
          <w:ilvl w:val="0"/>
          <w:numId w:val="5"/>
        </w:numPr>
        <w:tabs>
          <w:tab w:val="left" w:pos="120"/>
          <w:tab w:val="left" w:pos="567"/>
        </w:tabs>
        <w:spacing w:after="0" w:line="240" w:lineRule="auto"/>
        <w:ind w:left="567" w:hanging="207"/>
        <w:rPr>
          <w:rFonts w:ascii="Times New Roman" w:eastAsia="Calibri" w:hAnsi="Times New Roman" w:cs="Times New Roman"/>
          <w:bCs/>
          <w:lang w:eastAsia="lt-LT"/>
        </w:rPr>
      </w:pPr>
      <w:r w:rsidRPr="00162DB2">
        <w:rPr>
          <w:rFonts w:ascii="Times New Roman" w:eastAsia="Calibri" w:hAnsi="Times New Roman" w:cs="Times New Roman"/>
          <w:lang w:eastAsia="lt-LT"/>
        </w:rPr>
        <w:t>jeigu jūsų organizme yra per daug geležies (perteklius) arba sutrikęs organizmo geležies suvartojimas;</w:t>
      </w:r>
    </w:p>
    <w:p w:rsidR="00DB53EB" w:rsidRPr="00162DB2" w:rsidRDefault="00DB53EB" w:rsidP="00DB53EB">
      <w:pPr>
        <w:numPr>
          <w:ilvl w:val="0"/>
          <w:numId w:val="5"/>
        </w:numPr>
        <w:tabs>
          <w:tab w:val="left" w:pos="120"/>
          <w:tab w:val="left" w:pos="567"/>
        </w:tabs>
        <w:spacing w:after="0" w:line="240" w:lineRule="auto"/>
        <w:ind w:left="567" w:hanging="207"/>
        <w:rPr>
          <w:rFonts w:ascii="Times New Roman" w:eastAsia="Calibri" w:hAnsi="Times New Roman" w:cs="Times New Roman"/>
          <w:lang w:eastAsia="lt-LT"/>
        </w:rPr>
      </w:pPr>
      <w:r w:rsidRPr="00162DB2">
        <w:rPr>
          <w:rFonts w:ascii="Times New Roman" w:eastAsia="Calibri" w:hAnsi="Times New Roman" w:cs="Times New Roman"/>
          <w:lang w:eastAsia="lt-LT"/>
        </w:rPr>
        <w:t>jeigu sergate kepenų liga, pvz. ciroze.</w:t>
      </w: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p>
    <w:p w:rsidR="00DB53EB" w:rsidRPr="00162DB2" w:rsidRDefault="00DB53EB" w:rsidP="00DB53EB">
      <w:pPr>
        <w:spacing w:after="0" w:line="240" w:lineRule="auto"/>
        <w:ind w:left="567" w:hanging="567"/>
        <w:rPr>
          <w:rFonts w:ascii="Times New Roman" w:eastAsia="Calibri" w:hAnsi="Times New Roman" w:cs="Times New Roman"/>
          <w:b/>
          <w:lang w:eastAsia="lt-LT"/>
        </w:rPr>
      </w:pPr>
      <w:r w:rsidRPr="00162DB2">
        <w:rPr>
          <w:rFonts w:ascii="Times New Roman" w:eastAsia="Calibri" w:hAnsi="Times New Roman" w:cs="Times New Roman"/>
          <w:b/>
          <w:lang w:eastAsia="lt-LT"/>
        </w:rPr>
        <w:t>Įspėjimai ir atsargumo priemonės</w:t>
      </w:r>
    </w:p>
    <w:p w:rsidR="00DB53EB" w:rsidRPr="00162DB2" w:rsidRDefault="00DB53EB" w:rsidP="00DB53EB">
      <w:pPr>
        <w:tabs>
          <w:tab w:val="left" w:pos="120"/>
          <w:tab w:val="left" w:pos="567"/>
        </w:tabs>
        <w:spacing w:after="0" w:line="240" w:lineRule="auto"/>
        <w:rPr>
          <w:rFonts w:ascii="Times New Roman" w:eastAsia="Calibri" w:hAnsi="Times New Roman" w:cs="Times New Roman"/>
          <w:bCs/>
          <w:lang w:eastAsia="lt-LT"/>
        </w:rPr>
      </w:pPr>
    </w:p>
    <w:p w:rsidR="00DB53EB" w:rsidRPr="00162DB2" w:rsidRDefault="00DB53EB" w:rsidP="00DB53EB">
      <w:pPr>
        <w:tabs>
          <w:tab w:val="left" w:pos="120"/>
          <w:tab w:val="left" w:pos="567"/>
        </w:tabs>
        <w:spacing w:after="0" w:line="240" w:lineRule="auto"/>
        <w:ind w:left="360" w:hanging="36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Pasitarkite su gydytoju arba slaugytoju prieš pradėdami vartoti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w:t>
      </w:r>
    </w:p>
    <w:p w:rsidR="00DB53EB" w:rsidRPr="00162DB2" w:rsidRDefault="00DB53EB" w:rsidP="00DB53EB">
      <w:pPr>
        <w:numPr>
          <w:ilvl w:val="0"/>
          <w:numId w:val="4"/>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jeigu yra pasireiškusi alergija vaistams;</w:t>
      </w:r>
    </w:p>
    <w:p w:rsidR="00DB53EB" w:rsidRPr="00162DB2" w:rsidRDefault="00DB53EB" w:rsidP="00DB53EB">
      <w:pPr>
        <w:numPr>
          <w:ilvl w:val="0"/>
          <w:numId w:val="4"/>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jeigu sergate sistemine raudonąja vilklige;</w:t>
      </w:r>
    </w:p>
    <w:p w:rsidR="00DB53EB" w:rsidRPr="00162DB2" w:rsidRDefault="00DB53EB" w:rsidP="00DB53EB">
      <w:pPr>
        <w:numPr>
          <w:ilvl w:val="0"/>
          <w:numId w:val="4"/>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jeigu sergate reumatoidiniu artritu;</w:t>
      </w:r>
    </w:p>
    <w:p w:rsidR="00DB53EB" w:rsidRPr="00162DB2" w:rsidRDefault="00DB53EB" w:rsidP="00DB53EB">
      <w:pPr>
        <w:numPr>
          <w:ilvl w:val="0"/>
          <w:numId w:val="4"/>
        </w:num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jeigu sergate sunkios formos astma, egzema ar kitomis alergijomis;</w:t>
      </w:r>
    </w:p>
    <w:p w:rsidR="00DB53EB" w:rsidRPr="00162DB2" w:rsidRDefault="00DB53EB" w:rsidP="00DB53EB">
      <w:pPr>
        <w:numPr>
          <w:ilvl w:val="0"/>
          <w:numId w:val="4"/>
        </w:numPr>
        <w:tabs>
          <w:tab w:val="left" w:pos="120"/>
          <w:tab w:val="left" w:pos="567"/>
        </w:tabs>
        <w:spacing w:after="0" w:line="240" w:lineRule="auto"/>
      </w:pPr>
      <w:r w:rsidRPr="00162DB2">
        <w:rPr>
          <w:rFonts w:ascii="Times New Roman" w:eastAsia="Calibri" w:hAnsi="Times New Roman" w:cs="Times New Roman"/>
          <w:lang w:eastAsia="lt-LT"/>
        </w:rPr>
        <w:t>jeigu Jūsų kraujyje pasireiškia bakterijų sukelta infekcija</w:t>
      </w:r>
      <w:r>
        <w:rPr>
          <w:rFonts w:ascii="Times New Roman" w:eastAsia="Calibri" w:hAnsi="Times New Roman" w:cs="Times New Roman"/>
          <w:lang w:eastAsia="lt-LT"/>
        </w:rPr>
        <w:t>;</w:t>
      </w:r>
    </w:p>
    <w:p w:rsidR="00DB53EB" w:rsidRPr="00162DB2" w:rsidRDefault="00DB53EB" w:rsidP="00DB53EB">
      <w:pPr>
        <w:numPr>
          <w:ilvl w:val="0"/>
          <w:numId w:val="4"/>
        </w:numPr>
        <w:tabs>
          <w:tab w:val="left" w:pos="120"/>
          <w:tab w:val="left" w:pos="567"/>
        </w:tabs>
        <w:spacing w:after="0" w:line="240" w:lineRule="auto"/>
        <w:rPr>
          <w:rFonts w:eastAsia="Calibri"/>
          <w:lang w:eastAsia="lt-LT"/>
        </w:rPr>
      </w:pPr>
      <w:r w:rsidRPr="00162DB2">
        <w:rPr>
          <w:rFonts w:ascii="Times New Roman" w:eastAsia="Calibri" w:hAnsi="Times New Roman" w:cs="Times New Roman"/>
          <w:lang w:eastAsia="lt-LT"/>
        </w:rPr>
        <w:t>jeigu Jūsų kepenų veikla sutrikusi.</w:t>
      </w:r>
    </w:p>
    <w:p w:rsidR="00DB53EB" w:rsidRPr="00162DB2" w:rsidRDefault="00DB53EB" w:rsidP="00DB53EB">
      <w:pPr>
        <w:tabs>
          <w:tab w:val="left" w:pos="120"/>
          <w:tab w:val="left" w:pos="567"/>
        </w:tabs>
        <w:spacing w:after="0" w:line="240" w:lineRule="auto"/>
        <w:ind w:left="720"/>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lastRenderedPageBreak/>
        <w:t xml:space="preserve">Neteisingas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vartojimas gali sukelti vaisto nutekėjimą injekcijos vietoje, kuris gali sukelti odos sudirginimą bei ilgai trunkantį odos spalvos pakitimą (oda gali tapti ruda) injekcijos vietoje. Patekus į aplinkinius audinius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vartojimą reikia nedelsiant nutraukti.</w:t>
      </w:r>
      <w:r w:rsidRPr="00162DB2">
        <w:rPr>
          <w:rFonts w:ascii="Times New Roman" w:eastAsia="Calibri" w:hAnsi="Times New Roman" w:cs="Times New Roman"/>
          <w:lang w:eastAsia="lt-LT"/>
        </w:rPr>
        <w:br/>
      </w:r>
    </w:p>
    <w:p w:rsidR="00DB53EB" w:rsidRPr="00162DB2" w:rsidRDefault="00DB53EB" w:rsidP="00DB53EB">
      <w:pPr>
        <w:numPr>
          <w:ilvl w:val="12"/>
          <w:numId w:val="0"/>
        </w:numPr>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Vaikams ir paaugliams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yra skiriamas tik suaugusiems žmonėms. Jo draudžiama vartoti vaikams ir paaugliams.</w:t>
      </w: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p>
    <w:p w:rsidR="00DB53EB" w:rsidRPr="00162DB2" w:rsidRDefault="00DB53EB" w:rsidP="00DB53EB">
      <w:pPr>
        <w:numPr>
          <w:ilvl w:val="12"/>
          <w:numId w:val="0"/>
        </w:numPr>
        <w:spacing w:after="0" w:line="240" w:lineRule="auto"/>
        <w:ind w:right="-2"/>
        <w:rPr>
          <w:rFonts w:ascii="Times New Roman" w:eastAsia="Calibri" w:hAnsi="Times New Roman" w:cs="Times New Roman"/>
          <w:lang w:eastAsia="lt-LT"/>
        </w:rPr>
      </w:pPr>
      <w:r w:rsidRPr="00162DB2">
        <w:rPr>
          <w:rFonts w:ascii="Times New Roman" w:eastAsia="Calibri" w:hAnsi="Times New Roman" w:cs="Times New Roman"/>
          <w:b/>
          <w:lang w:eastAsia="lt-LT"/>
        </w:rPr>
        <w:t xml:space="preserve">Kiti vaistai ir </w:t>
      </w:r>
      <w:proofErr w:type="spellStart"/>
      <w:r w:rsidRPr="00162DB2">
        <w:rPr>
          <w:rFonts w:ascii="Times New Roman" w:eastAsia="Calibri" w:hAnsi="Times New Roman" w:cs="Times New Roman"/>
          <w:b/>
          <w:lang w:eastAsia="lt-LT"/>
        </w:rPr>
        <w:t>Monofer</w:t>
      </w:r>
      <w:proofErr w:type="spellEnd"/>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Jeigu vartojate ar neseniai </w:t>
      </w:r>
      <w:r w:rsidRPr="004151D9">
        <w:rPr>
          <w:rFonts w:ascii="Times New Roman" w:hAnsi="Times New Roman" w:cs="Times New Roman"/>
          <w:color w:val="000000"/>
        </w:rPr>
        <w:t>vartojote kitų</w:t>
      </w:r>
      <w:r w:rsidRPr="00162DB2">
        <w:rPr>
          <w:rFonts w:ascii="Times New Roman" w:eastAsia="Calibri" w:hAnsi="Times New Roman" w:cs="Times New Roman"/>
          <w:lang w:eastAsia="lt-LT"/>
        </w:rPr>
        <w:t xml:space="preserve"> vaistų arba dėl to nesate tikri, apie tai pasakykite gydytojui.</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skiriamas kartu su geriamaisiais geležies preparatais gali sumažinti geriamosios geležies absorbciją.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spacing w:after="0" w:line="240" w:lineRule="auto"/>
        <w:ind w:left="567" w:hanging="567"/>
        <w:rPr>
          <w:rFonts w:ascii="Times New Roman" w:eastAsia="Calibri" w:hAnsi="Times New Roman" w:cs="Times New Roman"/>
          <w:b/>
          <w:lang w:eastAsia="lt-LT"/>
        </w:rPr>
      </w:pPr>
      <w:r w:rsidRPr="00162DB2">
        <w:rPr>
          <w:rFonts w:ascii="Times New Roman" w:eastAsia="Calibri" w:hAnsi="Times New Roman" w:cs="Times New Roman"/>
          <w:b/>
          <w:lang w:eastAsia="lt-LT"/>
        </w:rPr>
        <w:t>Nėštumas, žindymo laikotarpis ir vaisingumas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Duomenų apie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w:t>
      </w:r>
      <w:r>
        <w:rPr>
          <w:rFonts w:ascii="Times New Roman" w:eastAsia="Calibri" w:hAnsi="Times New Roman" w:cs="Times New Roman"/>
          <w:lang w:eastAsia="lt-LT"/>
        </w:rPr>
        <w:t>ą</w:t>
      </w:r>
      <w:r w:rsidRPr="00162DB2">
        <w:rPr>
          <w:rFonts w:ascii="Times New Roman" w:eastAsia="Calibri" w:hAnsi="Times New Roman" w:cs="Times New Roman"/>
          <w:lang w:eastAsia="lt-LT"/>
        </w:rPr>
        <w:t xml:space="preserve"> nėš</w:t>
      </w:r>
      <w:r>
        <w:rPr>
          <w:rFonts w:ascii="Times New Roman" w:eastAsia="Calibri" w:hAnsi="Times New Roman" w:cs="Times New Roman"/>
          <w:lang w:eastAsia="lt-LT"/>
        </w:rPr>
        <w:t>čioms moterims yra mažai</w:t>
      </w:r>
      <w:r w:rsidRPr="00162DB2">
        <w:rPr>
          <w:rFonts w:ascii="Times New Roman" w:eastAsia="Calibri" w:hAnsi="Times New Roman" w:cs="Times New Roman"/>
          <w:lang w:eastAsia="lt-LT"/>
        </w:rPr>
        <w:t>. Jeigu esate nėščia, manote, kad galbūt esate nėščia, arba planuojate pastoti, būtinai pasakykite apie tai gydytojui.</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 pastojote gydymo metu, pasitarkite su gydytoju. Gydytojas nuspręs, ar jums galima vartoti šio vaisto.</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Jeigu žindote kūdikį, tai prieš vartodama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pasitarkite su gydytoju. Mažai tikėtina, kad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kelia riziką kūdikiui.</w:t>
      </w:r>
    </w:p>
    <w:p w:rsidR="00DB53EB" w:rsidRPr="00162DB2" w:rsidRDefault="00DB53EB" w:rsidP="00DB53EB">
      <w:pPr>
        <w:tabs>
          <w:tab w:val="left" w:pos="120"/>
          <w:tab w:val="left" w:pos="567"/>
        </w:tabs>
        <w:spacing w:after="0" w:line="240" w:lineRule="auto"/>
        <w:rPr>
          <w:rFonts w:ascii="Times New Roman" w:eastAsia="Calibri" w:hAnsi="Times New Roman" w:cs="Times New Roman"/>
          <w:b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Vairavimas ir mechanizmų valdymas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bCs/>
          <w:lang w:eastAsia="lt-LT"/>
        </w:rPr>
        <w:t xml:space="preserve">Pasitarkite su gydytoju, ar galite vairuoti ir valdyti mechanizmus po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pavartojimo.</w:t>
      </w:r>
    </w:p>
    <w:p w:rsidR="00DB53EB"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E112EF" w:rsidRDefault="00DB53EB" w:rsidP="00DB53EB">
      <w:pPr>
        <w:numPr>
          <w:ilvl w:val="12"/>
          <w:numId w:val="0"/>
        </w:numPr>
        <w:rPr>
          <w:rFonts w:ascii="Times New Roman" w:hAnsi="Times New Roman" w:cs="Times New Roman"/>
          <w:b/>
          <w:bCs/>
        </w:rPr>
      </w:pPr>
      <w:proofErr w:type="spellStart"/>
      <w:r w:rsidRPr="00E112EF">
        <w:rPr>
          <w:rFonts w:ascii="Times New Roman" w:hAnsi="Times New Roman" w:cs="Times New Roman"/>
          <w:b/>
          <w:bCs/>
        </w:rPr>
        <w:t>Monofer</w:t>
      </w:r>
      <w:proofErr w:type="spellEnd"/>
      <w:r w:rsidRPr="00E112EF">
        <w:rPr>
          <w:rFonts w:ascii="Times New Roman" w:hAnsi="Times New Roman" w:cs="Times New Roman"/>
          <w:b/>
          <w:bCs/>
        </w:rPr>
        <w:t xml:space="preserve"> sudėtyje yra natrio</w:t>
      </w:r>
    </w:p>
    <w:p w:rsidR="00DB53EB" w:rsidRPr="00C62510" w:rsidRDefault="00DB53EB" w:rsidP="00DB53EB">
      <w:pPr>
        <w:tabs>
          <w:tab w:val="left" w:pos="120"/>
          <w:tab w:val="left" w:pos="567"/>
        </w:tabs>
        <w:spacing w:after="0" w:line="240" w:lineRule="auto"/>
        <w:rPr>
          <w:rFonts w:ascii="Times New Roman" w:hAnsi="Times New Roman" w:cs="Times New Roman"/>
        </w:rPr>
      </w:pPr>
      <w:r w:rsidRPr="00E112EF">
        <w:rPr>
          <w:rFonts w:ascii="Times New Roman" w:hAnsi="Times New Roman" w:cs="Times New Roman"/>
        </w:rPr>
        <w:t xml:space="preserve">Šio vaisto </w:t>
      </w:r>
      <w:r>
        <w:rPr>
          <w:rFonts w:ascii="Times New Roman" w:hAnsi="Times New Roman" w:cs="Times New Roman"/>
        </w:rPr>
        <w:t xml:space="preserve">kiekvienoje </w:t>
      </w:r>
      <w:r w:rsidRPr="00C62510">
        <w:rPr>
          <w:rFonts w:ascii="Times New Roman" w:hAnsi="Times New Roman" w:cs="Times New Roman"/>
        </w:rPr>
        <w:t>100</w:t>
      </w:r>
      <w:r>
        <w:rPr>
          <w:rFonts w:ascii="Times New Roman" w:hAnsi="Times New Roman" w:cs="Times New Roman"/>
        </w:rPr>
        <w:t> </w:t>
      </w:r>
      <w:r w:rsidRPr="00C62510">
        <w:rPr>
          <w:rFonts w:ascii="Times New Roman" w:hAnsi="Times New Roman" w:cs="Times New Roman"/>
        </w:rPr>
        <w:t>mg geležies doz</w:t>
      </w:r>
      <w:r>
        <w:rPr>
          <w:rFonts w:ascii="Times New Roman" w:hAnsi="Times New Roman" w:cs="Times New Roman"/>
        </w:rPr>
        <w:t>ėje</w:t>
      </w:r>
      <w:r w:rsidRPr="00E112EF">
        <w:rPr>
          <w:rFonts w:ascii="Times New Roman" w:hAnsi="Times New Roman" w:cs="Times New Roman"/>
        </w:rPr>
        <w:t xml:space="preserve">  yra iki 9,4</w:t>
      </w:r>
      <w:r>
        <w:rPr>
          <w:rFonts w:ascii="Times New Roman" w:hAnsi="Times New Roman" w:cs="Times New Roman"/>
        </w:rPr>
        <w:t> </w:t>
      </w:r>
      <w:r w:rsidRPr="00E112EF">
        <w:rPr>
          <w:rFonts w:ascii="Times New Roman" w:hAnsi="Times New Roman" w:cs="Times New Roman"/>
        </w:rPr>
        <w:t>mg natrio (pagrindinis valgomosios druskos komponentas)</w:t>
      </w:r>
      <w:r w:rsidRPr="00C62510">
        <w:rPr>
          <w:rFonts w:ascii="Times New Roman" w:hAnsi="Times New Roman" w:cs="Times New Roman"/>
        </w:rPr>
        <w:t>. Tai atitinka 0,47</w:t>
      </w:r>
      <w:r>
        <w:rPr>
          <w:rFonts w:ascii="Times New Roman" w:hAnsi="Times New Roman" w:cs="Times New Roman"/>
        </w:rPr>
        <w:t> </w:t>
      </w:r>
      <w:r w:rsidRPr="00C62510">
        <w:rPr>
          <w:rFonts w:ascii="Times New Roman" w:hAnsi="Times New Roman" w:cs="Times New Roman"/>
        </w:rPr>
        <w:t>% rekomenduojamos didžiausios natrio paros normos suaugusiam žmogui.</w:t>
      </w:r>
    </w:p>
    <w:p w:rsidR="00DB53EB"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3. Kaip vartoti </w:t>
      </w:r>
      <w:proofErr w:type="spellStart"/>
      <w:r w:rsidRPr="00162DB2">
        <w:rPr>
          <w:rFonts w:ascii="Times New Roman" w:eastAsia="Calibri" w:hAnsi="Times New Roman" w:cs="Times New Roman"/>
          <w:b/>
          <w:bCs/>
          <w:lang w:eastAsia="lt-LT"/>
        </w:rPr>
        <w:t>Monofer</w:t>
      </w:r>
      <w:proofErr w:type="spellEnd"/>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num" w:pos="360"/>
        </w:tabs>
        <w:spacing w:after="0" w:line="240" w:lineRule="auto"/>
        <w:jc w:val="both"/>
        <w:rPr>
          <w:rFonts w:ascii="Times New Roman" w:eastAsia="Times New Roman" w:hAnsi="Times New Roman" w:cs="Times New Roman"/>
          <w:noProof/>
        </w:rPr>
      </w:pPr>
      <w:r w:rsidRPr="00162DB2">
        <w:rPr>
          <w:rFonts w:ascii="Times New Roman" w:eastAsia="Times New Roman" w:hAnsi="Times New Roman" w:cs="Times New Roman"/>
          <w:noProof/>
        </w:rPr>
        <w:t>Prieš vartojimą gydytojas atliks kraujo tyrimą, kad nustatytų Jums reikalingą Monofer dozę.</w:t>
      </w:r>
    </w:p>
    <w:p w:rsidR="00DB53EB" w:rsidRPr="00162DB2" w:rsidRDefault="00DB53EB" w:rsidP="00DB53EB">
      <w:pPr>
        <w:tabs>
          <w:tab w:val="num" w:pos="360"/>
        </w:tabs>
        <w:spacing w:after="0" w:line="240" w:lineRule="auto"/>
        <w:jc w:val="both"/>
        <w:rPr>
          <w:rFonts w:ascii="Times New Roman" w:eastAsia="Times New Roman" w:hAnsi="Times New Roman" w:cs="Times New Roman"/>
          <w:noProof/>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Gydytojas arba slaugytoja paskirs vartoti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injekcija arba infuzija į veną; </w:t>
      </w:r>
    </w:p>
    <w:p w:rsidR="00DB53EB" w:rsidRPr="00162DB2" w:rsidRDefault="00DB53EB" w:rsidP="00DB53EB">
      <w:pPr>
        <w:numPr>
          <w:ilvl w:val="0"/>
          <w:numId w:val="7"/>
        </w:numPr>
        <w:tabs>
          <w:tab w:val="left" w:pos="120"/>
          <w:tab w:val="left" w:pos="567"/>
        </w:tabs>
        <w:spacing w:after="0" w:line="240" w:lineRule="auto"/>
        <w:contextualSpacing/>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vartojamas injekcijomis į veną iki 500 mg iki trijų kartų per savaitę.</w:t>
      </w:r>
    </w:p>
    <w:p w:rsidR="00DB53EB" w:rsidRPr="00162DB2" w:rsidRDefault="00DB53EB" w:rsidP="00DB53EB">
      <w:pPr>
        <w:numPr>
          <w:ilvl w:val="0"/>
          <w:numId w:val="7"/>
        </w:numPr>
        <w:tabs>
          <w:tab w:val="left" w:pos="120"/>
          <w:tab w:val="left" w:pos="567"/>
        </w:tabs>
        <w:spacing w:after="0" w:line="240" w:lineRule="auto"/>
        <w:contextualSpacing/>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vartojamas dializės metu. </w:t>
      </w:r>
    </w:p>
    <w:p w:rsidR="00DB53EB" w:rsidRPr="00162DB2" w:rsidRDefault="00DB53EB" w:rsidP="00DB53EB">
      <w:pPr>
        <w:numPr>
          <w:ilvl w:val="0"/>
          <w:numId w:val="7"/>
        </w:numPr>
        <w:tabs>
          <w:tab w:val="left" w:pos="120"/>
          <w:tab w:val="left" w:pos="567"/>
        </w:tabs>
        <w:spacing w:after="0" w:line="240" w:lineRule="auto"/>
        <w:ind w:left="567" w:hanging="207"/>
        <w:contextualSpacing/>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vartojamas kaip infuzija į veną iki 20 mg geležies/kg kūno svorio doze arba kaip infuzijos kas savaitę, kol bus suleista visa dozė.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bus leidžiamas aplinkoje, kurioje bus prieinama tinkama skubi pagalba imuninių alerginių reiškinių atveju.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Kiekvieną kartą po vaisto vartojimo gydytojas arba slaugytoja jus stebės mažiausiai 30 minučių.</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Ką daryti pavartojus per didelę </w:t>
      </w: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dozę?</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Jums leis kvalifikuotas sveikatos priežiūros specialistas. Nėra tikėtina, kad bus suleista per daug. Kad Jūsų organizme nesikauptų geležis, jie stebės Jūsų dozę ir kraujo tyrimų rodmenis.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vanish/>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lang w:eastAsia="lt-LT"/>
        </w:rPr>
        <w:t xml:space="preserve"> </w:t>
      </w:r>
      <w:r w:rsidRPr="00162DB2">
        <w:rPr>
          <w:rFonts w:ascii="Times New Roman" w:eastAsia="Calibri" w:hAnsi="Times New Roman" w:cs="Times New Roman"/>
          <w:b/>
          <w:bCs/>
          <w:lang w:eastAsia="lt-LT"/>
        </w:rPr>
        <w:t>4. Galimas šalutinis poveikis</w:t>
      </w:r>
    </w:p>
    <w:p w:rsidR="00DB53EB" w:rsidRPr="00162DB2" w:rsidRDefault="00DB53EB" w:rsidP="00DB53EB">
      <w:pPr>
        <w:tabs>
          <w:tab w:val="left" w:pos="120"/>
          <w:tab w:val="left" w:pos="567"/>
        </w:tabs>
        <w:spacing w:after="0" w:line="240" w:lineRule="auto"/>
        <w:rPr>
          <w:rFonts w:ascii="Times New Roman" w:eastAsia="Calibri" w:hAnsi="Times New Roman" w:cs="Times New Roman"/>
          <w:b/>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lang w:eastAsia="lt-LT"/>
        </w:rPr>
        <w:t xml:space="preserve">Šis vaistas, kaip ir visi kiti, gali sukelti šalutinį poveikį, nors jis pasireiškia ne visiems žmonėms. </w:t>
      </w:r>
      <w:r w:rsidRPr="00162DB2">
        <w:rPr>
          <w:rFonts w:ascii="Times New Roman" w:eastAsia="Calibri" w:hAnsi="Times New Roman" w:cs="Times New Roman"/>
          <w:lang w:eastAsia="lt-LT"/>
        </w:rPr>
        <w:br/>
      </w:r>
      <w:r w:rsidRPr="00162DB2">
        <w:rPr>
          <w:rFonts w:ascii="Times New Roman" w:eastAsia="Calibri" w:hAnsi="Times New Roman" w:cs="Times New Roman"/>
          <w:lang w:eastAsia="lt-LT"/>
        </w:rPr>
        <w:br/>
      </w:r>
      <w:r w:rsidRPr="00162DB2">
        <w:rPr>
          <w:rFonts w:ascii="Times New Roman" w:eastAsia="Calibri" w:hAnsi="Times New Roman" w:cs="Times New Roman"/>
          <w:b/>
          <w:bCs/>
          <w:lang w:eastAsia="lt-LT"/>
        </w:rPr>
        <w:t>Alerginės reakcijos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lastRenderedPageBreak/>
        <w:t>Gali pasireikšti sunkios alerginės reakcijos, tačiau jos dažniausiai būna retos. Nedelsdami pasakykite gydytojui ar slaugytojai kad nutrauktų infuziją, jei reikia, jeigu Jums pasireikštų bent vienas iš toliau nurodytų požymių ir simptomų: ištinęs veidas, liežuvis arba gerklė, sunkumas ryjant, dilgėlinė ir pasunkėjęs kvėpavimas</w:t>
      </w:r>
      <w:r w:rsidRPr="00162DB2">
        <w:rPr>
          <w:rFonts w:ascii="Times New Roman" w:hAnsi="Times New Roman" w:cs="Times New Roman"/>
          <w:lang w:eastAsia="lt-LT"/>
        </w:rPr>
        <w:t xml:space="preserve">, ir skausmas krūtinės srityje, kuris gali būti galimai sunkios alerginės reakcijos, vadinamos </w:t>
      </w:r>
      <w:proofErr w:type="spellStart"/>
      <w:r w:rsidRPr="00162DB2">
        <w:rPr>
          <w:rFonts w:ascii="Times New Roman" w:hAnsi="Times New Roman" w:cs="Times New Roman"/>
          <w:lang w:eastAsia="lt-LT"/>
        </w:rPr>
        <w:t>Kounis</w:t>
      </w:r>
      <w:proofErr w:type="spellEnd"/>
      <w:r w:rsidRPr="00162DB2">
        <w:rPr>
          <w:rFonts w:ascii="Times New Roman" w:hAnsi="Times New Roman" w:cs="Times New Roman"/>
          <w:lang w:eastAsia="lt-LT"/>
        </w:rPr>
        <w:t xml:space="preserve"> sindromu, požymis.</w:t>
      </w:r>
    </w:p>
    <w:p w:rsidR="00DB53EB" w:rsidRPr="00162DB2" w:rsidRDefault="00DB53EB" w:rsidP="00DB53EB">
      <w:pPr>
        <w:tabs>
          <w:tab w:val="left" w:pos="120"/>
          <w:tab w:val="left" w:pos="567"/>
        </w:tabs>
        <w:spacing w:after="0" w:line="240" w:lineRule="auto"/>
        <w:rPr>
          <w:rFonts w:ascii="Times New Roman" w:eastAsia="Calibri" w:hAnsi="Times New Roman" w:cs="Times New Roman"/>
          <w:b/>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513081">
        <w:rPr>
          <w:rFonts w:ascii="Times New Roman" w:eastAsia="Calibri" w:hAnsi="Times New Roman" w:cs="Times New Roman"/>
          <w:b/>
          <w:i/>
          <w:iCs/>
          <w:lang w:eastAsia="lt-LT"/>
        </w:rPr>
        <w:t>Dažnas</w:t>
      </w:r>
      <w:r w:rsidRPr="00162DB2">
        <w:rPr>
          <w:rFonts w:ascii="Times New Roman" w:eastAsia="Calibri" w:hAnsi="Times New Roman" w:cs="Times New Roman"/>
          <w:lang w:eastAsia="lt-LT"/>
        </w:rPr>
        <w:t xml:space="preserve"> </w:t>
      </w:r>
      <w:r w:rsidRPr="00162DB2">
        <w:rPr>
          <w:rFonts w:ascii="Times New Roman" w:eastAsia="Calibri" w:hAnsi="Times New Roman" w:cs="Times New Roman"/>
          <w:i/>
          <w:lang w:eastAsia="lt-LT"/>
        </w:rPr>
        <w:t>(gali pasireikšti ne daugiau kaip 1 iš 10 žmonių):</w:t>
      </w:r>
      <w:r w:rsidRPr="00162DB2">
        <w:rPr>
          <w:rFonts w:ascii="Symbol" w:eastAsia="Calibri" w:hAnsi="Symbol" w:cs="Times New Roman"/>
          <w:lang w:eastAsia="lt-LT"/>
        </w:rPr>
        <w:t></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Pykinimas; </w:t>
      </w:r>
    </w:p>
    <w:p w:rsidR="00DB53EB" w:rsidRPr="00162DB2" w:rsidRDefault="00DB53EB" w:rsidP="00DB53EB">
      <w:pPr>
        <w:numPr>
          <w:ilvl w:val="0"/>
          <w:numId w:val="2"/>
        </w:numPr>
        <w:tabs>
          <w:tab w:val="clear" w:pos="1080"/>
        </w:tabs>
        <w:spacing w:after="0" w:line="240" w:lineRule="auto"/>
        <w:ind w:left="142" w:hanging="142"/>
        <w:rPr>
          <w:rFonts w:ascii="Times New Roman" w:eastAsia="Calibri" w:hAnsi="Times New Roman" w:cs="Times New Roman"/>
          <w:lang w:eastAsia="lt-LT"/>
        </w:rPr>
      </w:pPr>
      <w:r w:rsidRPr="00162DB2">
        <w:rPr>
          <w:rFonts w:ascii="Times New Roman" w:eastAsia="Calibri" w:hAnsi="Times New Roman" w:cs="Times New Roman"/>
          <w:lang w:eastAsia="lt-LT"/>
        </w:rPr>
        <w:t>Odos reakcijos aplink injekcijos vietą, pvz., odos paraudimas, patinimas, deginimas, skausmas, kraujosruvos, spalvos pakitimas, taip pat sudirginimas, suleistam vaistui patekus į aplinkinius audinius po oda;</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Bėrimas.</w:t>
      </w:r>
    </w:p>
    <w:p w:rsidR="00DB53EB" w:rsidRPr="00162DB2" w:rsidRDefault="00DB53EB" w:rsidP="00DB53EB">
      <w:pPr>
        <w:tabs>
          <w:tab w:val="left" w:pos="567"/>
          <w:tab w:val="left" w:pos="7920"/>
        </w:tabs>
        <w:spacing w:after="0" w:line="240" w:lineRule="auto"/>
        <w:ind w:right="1440"/>
        <w:rPr>
          <w:rFonts w:ascii="Times New Roman" w:eastAsia="Calibri" w:hAnsi="Times New Roman" w:cs="Times New Roman"/>
          <w:b/>
          <w:lang w:eastAsia="lt-LT"/>
        </w:rPr>
      </w:pPr>
    </w:p>
    <w:p w:rsidR="00DB53EB" w:rsidRPr="00162DB2" w:rsidRDefault="00DB53EB" w:rsidP="00DB53EB">
      <w:pPr>
        <w:tabs>
          <w:tab w:val="left" w:pos="567"/>
          <w:tab w:val="left" w:pos="7920"/>
        </w:tabs>
        <w:spacing w:after="0" w:line="240" w:lineRule="auto"/>
        <w:ind w:right="1440"/>
        <w:rPr>
          <w:rFonts w:ascii="Times New Roman" w:eastAsia="Calibri" w:hAnsi="Times New Roman" w:cs="Times New Roman"/>
          <w:i/>
          <w:lang w:eastAsia="lt-LT"/>
        </w:rPr>
      </w:pPr>
      <w:r w:rsidRPr="00162DB2">
        <w:rPr>
          <w:rFonts w:ascii="Times New Roman" w:eastAsia="Calibri" w:hAnsi="Times New Roman" w:cs="Times New Roman"/>
          <w:b/>
          <w:i/>
          <w:lang w:eastAsia="lt-LT"/>
        </w:rPr>
        <w:t>Nedažnas</w:t>
      </w:r>
      <w:r w:rsidRPr="00162DB2">
        <w:rPr>
          <w:rFonts w:ascii="Times New Roman" w:eastAsia="Calibri" w:hAnsi="Times New Roman" w:cs="Times New Roman"/>
          <w:i/>
          <w:lang w:eastAsia="lt-LT"/>
        </w:rPr>
        <w:t xml:space="preserve"> (gali pasireikšti ne daugiau kaip 1 iš 100 žmonių)</w:t>
      </w:r>
      <w:r w:rsidRPr="00EE565B">
        <w:rPr>
          <w:rFonts w:ascii="Times New Roman" w:eastAsia="Calibri" w:hAnsi="Times New Roman" w:cs="Times New Roman"/>
          <w:i/>
          <w:lang w:eastAsia="lt-LT"/>
        </w:rPr>
        <w:t>:</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Padidėjusio jautrumo reakcijos – galimas dusulys ir bronchų spazmas;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Galvos skausmas;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Sustingimas;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Iškreiptas skonio pojūtis;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Sutrikęs regėjimas;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Sąmonės netekimas;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Galvos svaigimas;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Nuovargis;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Padidėjęs širdies susitraukimo dažnis;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Žemas arba aukštas kraujospūdis</w:t>
      </w:r>
      <w:r>
        <w:rPr>
          <w:rFonts w:ascii="Times New Roman" w:eastAsia="Calibri" w:hAnsi="Times New Roman" w:cs="Times New Roman"/>
          <w:lang w:eastAsia="lt-LT"/>
        </w:rPr>
        <w:t>;</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Krūtinės skausmas, nugaros skausmas, raumenų ar sąnarių skausmas, raumenų spazmai;</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Skrandžio skausmas, vėmimas, sutrikęs virškinimas, vidurių užkietėjimas, viduriavimas;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Niežulys, dilgėlinė, odos uždegimas;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Paraudimas, prakaitavimas, karščiavimas, šalčio pojūtis, drebulys;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Žemas fosfatų kiekis kraujyje;</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Infekcija;</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Kepenų fermentų aktyvumo padidėjimas;</w:t>
      </w:r>
    </w:p>
    <w:p w:rsidR="00DB53EB" w:rsidRPr="00162DB2"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Paviršinis venų uždegimas; </w:t>
      </w:r>
    </w:p>
    <w:p w:rsidR="00DB53EB" w:rsidRPr="006F03F3" w:rsidRDefault="00DB53EB" w:rsidP="00DB53EB">
      <w:pPr>
        <w:numPr>
          <w:ilvl w:val="0"/>
          <w:numId w:val="2"/>
        </w:numPr>
        <w:tabs>
          <w:tab w:val="left" w:pos="120"/>
          <w:tab w:val="left" w:pos="567"/>
        </w:tabs>
        <w:spacing w:after="0" w:line="240" w:lineRule="auto"/>
        <w:ind w:hanging="1080"/>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Odos pleiskanojimas.</w:t>
      </w:r>
    </w:p>
    <w:p w:rsidR="00DB53EB" w:rsidRPr="00162DB2" w:rsidRDefault="00DB53EB" w:rsidP="00DB53EB">
      <w:pPr>
        <w:tabs>
          <w:tab w:val="left" w:pos="120"/>
          <w:tab w:val="left" w:pos="567"/>
        </w:tabs>
        <w:spacing w:after="0" w:line="240" w:lineRule="auto"/>
        <w:ind w:left="720"/>
        <w:rPr>
          <w:rFonts w:ascii="Times New Roman" w:eastAsia="Calibri" w:hAnsi="Times New Roman" w:cs="Times New Roman"/>
          <w:lang w:eastAsia="lt-LT"/>
        </w:rPr>
      </w:pPr>
    </w:p>
    <w:p w:rsidR="00DB53EB" w:rsidRPr="00162DB2" w:rsidRDefault="00DB53EB" w:rsidP="00DB53EB">
      <w:pPr>
        <w:tabs>
          <w:tab w:val="left" w:pos="567"/>
        </w:tabs>
        <w:spacing w:after="0" w:line="240" w:lineRule="auto"/>
        <w:ind w:right="1440"/>
        <w:rPr>
          <w:rFonts w:ascii="Times New Roman" w:eastAsia="Calibri" w:hAnsi="Times New Roman" w:cs="Times New Roman"/>
          <w:i/>
          <w:lang w:eastAsia="lt-LT"/>
        </w:rPr>
      </w:pPr>
      <w:r w:rsidRPr="00162DB2">
        <w:rPr>
          <w:rFonts w:ascii="Times New Roman" w:eastAsia="Calibri" w:hAnsi="Times New Roman" w:cs="Times New Roman"/>
          <w:b/>
          <w:i/>
          <w:lang w:eastAsia="lt-LT"/>
        </w:rPr>
        <w:t>Retas</w:t>
      </w:r>
      <w:r w:rsidRPr="00162DB2">
        <w:rPr>
          <w:rFonts w:ascii="Times New Roman" w:eastAsia="Calibri" w:hAnsi="Times New Roman" w:cs="Times New Roman"/>
          <w:i/>
          <w:lang w:eastAsia="lt-LT"/>
        </w:rPr>
        <w:t xml:space="preserve"> (gali pasireikšti ne daugiau kaip 1 iš 1000 žmonių)</w:t>
      </w:r>
      <w:r>
        <w:rPr>
          <w:rFonts w:ascii="Times New Roman" w:eastAsia="Calibri" w:hAnsi="Times New Roman" w:cs="Times New Roman"/>
          <w:i/>
          <w:lang w:eastAsia="lt-LT"/>
        </w:rPr>
        <w:t>:</w:t>
      </w:r>
    </w:p>
    <w:p w:rsidR="00DB53EB" w:rsidRPr="00162DB2" w:rsidRDefault="00DB53EB" w:rsidP="00DB53EB">
      <w:pPr>
        <w:numPr>
          <w:ilvl w:val="0"/>
          <w:numId w:val="3"/>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Nereguliarus širdies ritmas</w:t>
      </w:r>
      <w:r>
        <w:rPr>
          <w:rFonts w:ascii="Times New Roman" w:eastAsia="Calibri" w:hAnsi="Times New Roman" w:cs="Times New Roman"/>
          <w:lang w:eastAsia="lt-LT"/>
        </w:rPr>
        <w:t>;</w:t>
      </w:r>
    </w:p>
    <w:p w:rsidR="00DB53EB" w:rsidRPr="00162DB2" w:rsidRDefault="00DB53EB" w:rsidP="00DB53EB">
      <w:pPr>
        <w:numPr>
          <w:ilvl w:val="0"/>
          <w:numId w:val="3"/>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Užkimimas;</w:t>
      </w:r>
    </w:p>
    <w:p w:rsidR="00DB53EB" w:rsidRPr="00162DB2" w:rsidRDefault="00DB53EB" w:rsidP="00DB53EB">
      <w:pPr>
        <w:numPr>
          <w:ilvl w:val="0"/>
          <w:numId w:val="3"/>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Traukuliai;</w:t>
      </w:r>
    </w:p>
    <w:p w:rsidR="00DB53EB" w:rsidRPr="00162DB2" w:rsidRDefault="00DB53EB" w:rsidP="00DB53EB">
      <w:pPr>
        <w:numPr>
          <w:ilvl w:val="0"/>
          <w:numId w:val="3"/>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Drebulys;</w:t>
      </w:r>
    </w:p>
    <w:p w:rsidR="00DB53EB" w:rsidRPr="00162DB2" w:rsidRDefault="00DB53EB" w:rsidP="00DB53EB">
      <w:pPr>
        <w:numPr>
          <w:ilvl w:val="0"/>
          <w:numId w:val="3"/>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Psichikos sutrikimas;</w:t>
      </w:r>
    </w:p>
    <w:p w:rsidR="00DB53EB" w:rsidRPr="00162DB2" w:rsidRDefault="00DB53EB" w:rsidP="00DB53EB">
      <w:pPr>
        <w:numPr>
          <w:ilvl w:val="0"/>
          <w:numId w:val="3"/>
        </w:numPr>
        <w:tabs>
          <w:tab w:val="left" w:pos="120"/>
          <w:tab w:val="left" w:pos="567"/>
        </w:tabs>
        <w:spacing w:after="0" w:line="240" w:lineRule="auto"/>
        <w:ind w:hanging="1440"/>
        <w:rPr>
          <w:rFonts w:ascii="Times New Roman" w:eastAsia="Calibri" w:hAnsi="Times New Roman" w:cs="Times New Roman"/>
          <w:lang w:eastAsia="lt-LT"/>
        </w:rPr>
      </w:pPr>
      <w:r w:rsidRPr="00162DB2">
        <w:rPr>
          <w:rFonts w:ascii="Times New Roman" w:eastAsia="Calibri" w:hAnsi="Times New Roman" w:cs="Times New Roman"/>
          <w:lang w:eastAsia="lt-LT"/>
        </w:rPr>
        <w:t>Bendras negalavimas.</w:t>
      </w:r>
    </w:p>
    <w:p w:rsidR="00DB53EB" w:rsidRPr="00162DB2" w:rsidRDefault="00DB53EB" w:rsidP="00DB53EB">
      <w:pPr>
        <w:tabs>
          <w:tab w:val="left" w:pos="120"/>
          <w:tab w:val="left" w:pos="567"/>
        </w:tabs>
        <w:spacing w:after="0" w:line="240" w:lineRule="auto"/>
        <w:ind w:left="1440"/>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hAnsi="Times New Roman" w:cs="Times New Roman"/>
        </w:rPr>
      </w:pPr>
      <w:r w:rsidRPr="00162DB2">
        <w:rPr>
          <w:rFonts w:ascii="Times New Roman" w:hAnsi="Times New Roman" w:cs="Times New Roman"/>
        </w:rPr>
        <w:t>Į gripą panaši liga (</w:t>
      </w:r>
      <w:r w:rsidRPr="00162DB2">
        <w:rPr>
          <w:rFonts w:ascii="Times New Roman" w:eastAsia="Calibri" w:hAnsi="Times New Roman" w:cs="Times New Roman"/>
          <w:lang w:eastAsia="lt-LT"/>
        </w:rPr>
        <w:t>gali pasireikšti ne daugiau kaip 1 iš 1000 žmonių</w:t>
      </w:r>
      <w:r w:rsidRPr="00162DB2">
        <w:rPr>
          <w:rFonts w:ascii="Times New Roman" w:hAnsi="Times New Roman" w:cs="Times New Roman"/>
        </w:rPr>
        <w:t>) gali pasireikšti po kelių valandų ar dienų po injekcijos ir jai paprastai būdingi tokie simptomai kaip aukšta temperatūra ir raumenų bei sąnarių skausmai.</w:t>
      </w:r>
    </w:p>
    <w:p w:rsidR="00DB53EB" w:rsidRPr="00162DB2" w:rsidRDefault="00DB53EB" w:rsidP="00DB53EB">
      <w:pPr>
        <w:tabs>
          <w:tab w:val="left" w:pos="120"/>
          <w:tab w:val="left" w:pos="567"/>
        </w:tabs>
        <w:spacing w:after="0" w:line="240" w:lineRule="auto"/>
        <w:rPr>
          <w:rFonts w:ascii="Times New Roman" w:hAnsi="Times New Roman" w:cs="Times New Roman"/>
        </w:rPr>
      </w:pPr>
    </w:p>
    <w:p w:rsidR="00DB53EB" w:rsidRPr="00162DB2" w:rsidRDefault="00DB53EB" w:rsidP="00DB53EB">
      <w:pPr>
        <w:tabs>
          <w:tab w:val="left" w:pos="120"/>
          <w:tab w:val="left" w:pos="567"/>
        </w:tabs>
        <w:spacing w:after="0" w:line="240" w:lineRule="auto"/>
        <w:rPr>
          <w:rFonts w:ascii="Times New Roman" w:hAnsi="Times New Roman" w:cs="Times New Roman"/>
          <w:b/>
          <w:bCs/>
          <w:i/>
          <w:iCs/>
        </w:rPr>
      </w:pPr>
      <w:r w:rsidRPr="00162DB2">
        <w:rPr>
          <w:rFonts w:ascii="Times New Roman" w:hAnsi="Times New Roman" w:cs="Times New Roman"/>
          <w:b/>
          <w:bCs/>
          <w:i/>
          <w:iCs/>
        </w:rPr>
        <w:t>Dažnis nežinomas</w:t>
      </w:r>
    </w:p>
    <w:p w:rsidR="00DB53EB" w:rsidRPr="00162DB2" w:rsidRDefault="00DB53EB" w:rsidP="00DB53EB">
      <w:pPr>
        <w:numPr>
          <w:ilvl w:val="0"/>
          <w:numId w:val="8"/>
        </w:numPr>
        <w:tabs>
          <w:tab w:val="left" w:pos="120"/>
          <w:tab w:val="left" w:pos="567"/>
        </w:tabs>
        <w:spacing w:after="0" w:line="240" w:lineRule="auto"/>
        <w:ind w:hanging="720"/>
        <w:contextualSpacing/>
        <w:rPr>
          <w:rFonts w:ascii="Times New Roman" w:hAnsi="Times New Roman" w:cs="Times New Roman"/>
        </w:rPr>
      </w:pPr>
      <w:r w:rsidRPr="00162DB2">
        <w:rPr>
          <w:rFonts w:ascii="Times New Roman" w:hAnsi="Times New Roman" w:cs="Times New Roman"/>
        </w:rPr>
        <w:t>Odos spalvos pokyčiai kitose kūno vietose nei injekcijos vieta</w:t>
      </w:r>
      <w:r>
        <w:rPr>
          <w:rFonts w:ascii="Times New Roman" w:hAnsi="Times New Roman" w:cs="Times New Roman"/>
        </w:rPr>
        <w:t>.</w:t>
      </w:r>
    </w:p>
    <w:p w:rsidR="00DB53EB" w:rsidRPr="00162DB2" w:rsidRDefault="00DB53EB" w:rsidP="00DB53EB">
      <w:pPr>
        <w:tabs>
          <w:tab w:val="left" w:pos="120"/>
          <w:tab w:val="left" w:pos="567"/>
        </w:tabs>
        <w:spacing w:after="0" w:line="240" w:lineRule="auto"/>
        <w:rPr>
          <w:rFonts w:ascii="Times New Roman" w:hAnsi="Times New Roman"/>
        </w:rPr>
      </w:pPr>
    </w:p>
    <w:p w:rsidR="00DB53EB" w:rsidRPr="00162DB2" w:rsidRDefault="00DB53EB" w:rsidP="00DB53EB">
      <w:pPr>
        <w:spacing w:after="0" w:line="240" w:lineRule="auto"/>
        <w:rPr>
          <w:rFonts w:ascii="Times New Roman" w:eastAsia="Calibri" w:hAnsi="Times New Roman" w:cs="Times New Roman"/>
          <w:b/>
          <w:lang w:eastAsia="lt-LT"/>
        </w:rPr>
      </w:pPr>
      <w:r w:rsidRPr="00162DB2">
        <w:rPr>
          <w:rFonts w:ascii="Times New Roman" w:eastAsia="Calibri" w:hAnsi="Times New Roman" w:cs="Times New Roman"/>
          <w:b/>
          <w:lang w:eastAsia="lt-LT"/>
        </w:rPr>
        <w:t>Pranešimas apie šalutinį poveikį</w:t>
      </w:r>
    </w:p>
    <w:p w:rsidR="00DB53EB"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Jeigu pasireiškė šalutinis poveikis, įskaitant šiame lapelyje nenurodytą, pasakykite gydytojui arba slaugytojui.</w:t>
      </w:r>
      <w:r>
        <w:rPr>
          <w:rFonts w:ascii="Times New Roman" w:eastAsia="Calibri" w:hAnsi="Times New Roman" w:cs="Times New Roman"/>
          <w:lang w:eastAsia="lt-LT"/>
        </w:rPr>
        <w:t xml:space="preserve"> </w:t>
      </w:r>
      <w:r w:rsidRPr="00BA58A4">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A58A4">
        <w:rPr>
          <w:rFonts w:ascii="Times New Roman" w:eastAsia="Times New Roman" w:hAnsi="Times New Roman" w:cs="Times New Roman"/>
          <w:color w:val="0000EE"/>
          <w:u w:val="single"/>
          <w:lang w:eastAsia="lt-LT"/>
        </w:rPr>
        <w:t>https://vvkt.lrv.lt/lt/</w:t>
      </w:r>
      <w:r w:rsidRPr="00BA58A4">
        <w:rPr>
          <w:rFonts w:ascii="Times New Roman" w:eastAsia="Times New Roman" w:hAnsi="Times New Roman" w:cs="Times New Roman"/>
          <w:lang w:eastAsia="lt-LT"/>
        </w:rPr>
        <w:t xml:space="preserve"> nurodytais būdais arba paskambinti nemokamu telefonu </w:t>
      </w:r>
      <w:r>
        <w:rPr>
          <w:rFonts w:ascii="Times New Roman" w:eastAsia="Times New Roman" w:hAnsi="Times New Roman" w:cs="Times New Roman"/>
          <w:lang w:eastAsia="lt-LT"/>
        </w:rPr>
        <w:t>+370</w:t>
      </w:r>
      <w:r w:rsidRPr="00BA58A4">
        <w:rPr>
          <w:rFonts w:ascii="Times New Roman" w:eastAsia="Times New Roman" w:hAnsi="Times New Roman" w:cs="Times New Roman"/>
          <w:lang w:eastAsia="lt-LT"/>
        </w:rPr>
        <w:t xml:space="preserve"> 800 73 568. Pranešdami apie šalutinį poveikį galite mums padėti gauti daugiau informacijos apie šio vaisto saugumą.</w:t>
      </w:r>
      <w:r w:rsidRPr="00162DB2">
        <w:rPr>
          <w:rFonts w:ascii="Times New Roman" w:eastAsia="Calibri" w:hAnsi="Times New Roman" w:cs="Times New Roman"/>
          <w:lang w:eastAsia="lt-LT"/>
        </w:rPr>
        <w:t xml:space="preserve"> </w:t>
      </w:r>
    </w:p>
    <w:p w:rsidR="00DB53EB"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 xml:space="preserve">5. Kaip laikyti </w:t>
      </w:r>
      <w:proofErr w:type="spellStart"/>
      <w:r w:rsidRPr="00162DB2">
        <w:rPr>
          <w:rFonts w:ascii="Times New Roman" w:eastAsia="Calibri" w:hAnsi="Times New Roman" w:cs="Times New Roman"/>
          <w:b/>
          <w:bCs/>
          <w:lang w:eastAsia="lt-LT"/>
        </w:rPr>
        <w:t>Monofer</w:t>
      </w:r>
      <w:proofErr w:type="spellEnd"/>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567"/>
        </w:tabs>
        <w:spacing w:after="0" w:line="240" w:lineRule="auto"/>
        <w:rPr>
          <w:rFonts w:ascii="Times New Roman" w:eastAsia="SimSun" w:hAnsi="Times New Roman" w:cs="Times New Roman"/>
        </w:rPr>
      </w:pPr>
      <w:r w:rsidRPr="00162DB2">
        <w:rPr>
          <w:rFonts w:ascii="Times New Roman" w:eastAsia="SimSun" w:hAnsi="Times New Roman" w:cs="Times New Roman"/>
        </w:rPr>
        <w:t xml:space="preserve">Šį vaistą laikykite vaikams </w:t>
      </w:r>
      <w:r w:rsidRPr="00162DB2">
        <w:rPr>
          <w:rFonts w:ascii="Times New Roman" w:eastAsia="Calibri" w:hAnsi="Times New Roman" w:cs="Times New Roman"/>
          <w:lang w:eastAsia="lt-LT"/>
        </w:rPr>
        <w:t>nepastebimoje ir nepasiekiamoje</w:t>
      </w:r>
      <w:r w:rsidRPr="00162DB2">
        <w:rPr>
          <w:rFonts w:ascii="Times New Roman" w:eastAsia="SimSun" w:hAnsi="Times New Roman" w:cs="Times New Roman"/>
        </w:rPr>
        <w:t xml:space="preserve"> vietoje.</w:t>
      </w:r>
    </w:p>
    <w:p w:rsidR="00DB53EB" w:rsidRPr="00162DB2" w:rsidRDefault="00DB53EB" w:rsidP="00DB53EB">
      <w:pPr>
        <w:tabs>
          <w:tab w:val="left" w:pos="567"/>
        </w:tabs>
        <w:spacing w:after="0" w:line="240" w:lineRule="auto"/>
        <w:rPr>
          <w:rFonts w:ascii="Times New Roman" w:eastAsia="SimSun" w:hAnsi="Times New Roman" w:cs="Times New Roman"/>
        </w:rPr>
      </w:pPr>
    </w:p>
    <w:p w:rsidR="00DB53EB" w:rsidRDefault="00DB53EB" w:rsidP="00DB53EB">
      <w:pPr>
        <w:tabs>
          <w:tab w:val="left" w:pos="567"/>
        </w:tabs>
        <w:spacing w:after="0" w:line="240" w:lineRule="auto"/>
        <w:rPr>
          <w:rFonts w:ascii="Times New Roman" w:eastAsia="SimSun" w:hAnsi="Times New Roman" w:cs="Times New Roman"/>
        </w:rPr>
      </w:pPr>
      <w:r w:rsidRPr="00162DB2">
        <w:rPr>
          <w:rFonts w:ascii="Times New Roman" w:eastAsia="SimSun" w:hAnsi="Times New Roman" w:cs="Times New Roman"/>
        </w:rPr>
        <w:t>Ant ampulės, flakono ir dėžutės po „EXP“ nurodytam tinkamumo laikui pasibaigus, šio vaisto vartoti negalima. Vaistas tinkamas vartoti iki paskutinės nurodyto mėnesio dienos.</w:t>
      </w:r>
    </w:p>
    <w:p w:rsidR="00DB53EB" w:rsidRDefault="00DB53EB" w:rsidP="00DB53EB">
      <w:pPr>
        <w:tabs>
          <w:tab w:val="left" w:pos="567"/>
        </w:tabs>
        <w:spacing w:after="0" w:line="240" w:lineRule="auto"/>
        <w:rPr>
          <w:rFonts w:ascii="Times New Roman" w:eastAsia="SimSun" w:hAnsi="Times New Roman" w:cs="Times New Roman"/>
        </w:rPr>
      </w:pPr>
    </w:p>
    <w:p w:rsidR="00DB53EB" w:rsidRPr="00156126" w:rsidRDefault="00DB53EB" w:rsidP="00DB53EB">
      <w:pPr>
        <w:numPr>
          <w:ilvl w:val="12"/>
          <w:numId w:val="0"/>
        </w:numPr>
        <w:tabs>
          <w:tab w:val="left" w:pos="567"/>
        </w:tabs>
        <w:spacing w:after="0" w:line="240" w:lineRule="auto"/>
        <w:ind w:right="-2"/>
        <w:rPr>
          <w:rFonts w:ascii="Times New Roman" w:eastAsia="Calibri" w:hAnsi="Times New Roman" w:cs="Times New Roman"/>
          <w:lang w:eastAsia="lt-LT"/>
        </w:rPr>
      </w:pPr>
      <w:r w:rsidRPr="00156126">
        <w:rPr>
          <w:rFonts w:ascii="Times New Roman" w:eastAsia="Calibri" w:hAnsi="Times New Roman" w:cs="Times New Roman"/>
          <w:lang w:eastAsia="lt-LT"/>
        </w:rPr>
        <w:t>Prieš vartojimą apžiūrėkite ar flakonuose/ampulėse nėra nusėdusių dalelių ar pažeidimo žymių. Vartokite tik tuos/tas, kuriuose/kuriose tirpalas yra be nusėdusių dalelių ir homogeniškas.</w:t>
      </w:r>
    </w:p>
    <w:p w:rsidR="00DB53EB" w:rsidRPr="00156126" w:rsidRDefault="00DB53EB" w:rsidP="00DB53EB">
      <w:pPr>
        <w:numPr>
          <w:ilvl w:val="12"/>
          <w:numId w:val="0"/>
        </w:numPr>
        <w:tabs>
          <w:tab w:val="left" w:pos="567"/>
        </w:tabs>
        <w:spacing w:after="0" w:line="240" w:lineRule="auto"/>
        <w:ind w:right="-2"/>
        <w:rPr>
          <w:rFonts w:ascii="Times New Roman" w:eastAsia="Calibri" w:hAnsi="Times New Roman" w:cs="Times New Roman"/>
          <w:lang w:eastAsia="lt-LT"/>
        </w:rPr>
      </w:pPr>
    </w:p>
    <w:p w:rsidR="00DB53EB" w:rsidRPr="00156126" w:rsidRDefault="00DB53EB" w:rsidP="00DB53EB">
      <w:pPr>
        <w:numPr>
          <w:ilvl w:val="12"/>
          <w:numId w:val="0"/>
        </w:numPr>
        <w:tabs>
          <w:tab w:val="left" w:pos="567"/>
        </w:tabs>
        <w:spacing w:after="0" w:line="240" w:lineRule="auto"/>
        <w:ind w:right="-2"/>
        <w:rPr>
          <w:rFonts w:ascii="Times New Roman" w:eastAsia="Calibri" w:hAnsi="Times New Roman" w:cs="Times New Roman"/>
          <w:lang w:eastAsia="lt-LT"/>
        </w:rPr>
      </w:pPr>
      <w:r w:rsidRPr="00156126">
        <w:rPr>
          <w:rFonts w:ascii="Times New Roman" w:eastAsia="Calibri" w:hAnsi="Times New Roman" w:cs="Times New Roman"/>
          <w:lang w:eastAsia="lt-LT"/>
        </w:rPr>
        <w:t>Praskiestą injekcinį tirpalą prieš vartojimą reikia apžiūrėti. Galima vartoti tik skaidrius, be nuosėdų tirpalus.</w:t>
      </w:r>
    </w:p>
    <w:p w:rsidR="00DB53EB" w:rsidRPr="00156126" w:rsidRDefault="00DB53EB" w:rsidP="00DB53EB">
      <w:pPr>
        <w:numPr>
          <w:ilvl w:val="12"/>
          <w:numId w:val="0"/>
        </w:numPr>
        <w:tabs>
          <w:tab w:val="left" w:pos="567"/>
        </w:tabs>
        <w:spacing w:after="0" w:line="240" w:lineRule="auto"/>
        <w:ind w:right="-2"/>
        <w:rPr>
          <w:rFonts w:ascii="Times New Roman" w:eastAsia="Calibri" w:hAnsi="Times New Roman" w:cs="Times New Roman"/>
          <w:lang w:eastAsia="lt-LT"/>
        </w:rPr>
      </w:pPr>
    </w:p>
    <w:p w:rsidR="00DB53EB" w:rsidRPr="00162DB2" w:rsidRDefault="00DB53EB" w:rsidP="00DB53EB">
      <w:pPr>
        <w:numPr>
          <w:ilvl w:val="12"/>
          <w:numId w:val="0"/>
        </w:numPr>
        <w:tabs>
          <w:tab w:val="left" w:pos="567"/>
        </w:tabs>
        <w:spacing w:after="0" w:line="240" w:lineRule="auto"/>
        <w:ind w:right="-2"/>
        <w:rPr>
          <w:rFonts w:ascii="Times New Roman" w:eastAsia="Calibri" w:hAnsi="Times New Roman" w:cs="Times New Roman"/>
          <w:lang w:eastAsia="lt-LT"/>
        </w:rPr>
      </w:pPr>
      <w:r w:rsidRPr="00156126">
        <w:rPr>
          <w:rFonts w:ascii="Times New Roman" w:eastAsia="Calibri" w:hAnsi="Times New Roman" w:cs="Times New Roman"/>
          <w:lang w:eastAsia="lt-LT"/>
        </w:rPr>
        <w:t>Šiam vaistui specialių laikymo sąlygų nereikia. Ligoninės personalas pasirūpins, kad vaistas būtų laikomas ir išmetamas tinkamai.</w:t>
      </w: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bCs/>
          <w:lang w:eastAsia="lt-LT"/>
        </w:rPr>
        <w:t>6.</w:t>
      </w:r>
      <w:r w:rsidRPr="00162DB2">
        <w:rPr>
          <w:rFonts w:ascii="Times New Roman" w:eastAsia="Calibri" w:hAnsi="Times New Roman" w:cs="Times New Roman"/>
          <w:b/>
          <w:bCs/>
          <w:lang w:eastAsia="lt-LT"/>
        </w:rPr>
        <w:tab/>
        <w:t>Pakuotės turinys ir kita informacija</w:t>
      </w:r>
    </w:p>
    <w:p w:rsidR="00DB53EB" w:rsidRPr="00162DB2" w:rsidRDefault="00DB53EB" w:rsidP="00DB53EB">
      <w:pPr>
        <w:tabs>
          <w:tab w:val="left" w:pos="120"/>
          <w:tab w:val="left" w:pos="567"/>
        </w:tabs>
        <w:spacing w:after="0" w:line="240" w:lineRule="auto"/>
        <w:rPr>
          <w:rFonts w:ascii="Times New Roman" w:eastAsia="Calibri" w:hAnsi="Times New Roman" w:cs="Times New Roman"/>
          <w:b/>
          <w:lang w:eastAsia="lt-LT"/>
        </w:rPr>
      </w:pPr>
    </w:p>
    <w:p w:rsidR="00DB53EB" w:rsidRPr="00162DB2" w:rsidRDefault="00DB53EB" w:rsidP="00DB53EB">
      <w:pPr>
        <w:numPr>
          <w:ilvl w:val="12"/>
          <w:numId w:val="0"/>
        </w:numPr>
        <w:tabs>
          <w:tab w:val="left" w:pos="567"/>
        </w:tabs>
        <w:spacing w:after="0" w:line="240" w:lineRule="auto"/>
        <w:ind w:right="-2"/>
        <w:rPr>
          <w:rFonts w:ascii="Times New Roman" w:eastAsia="Calibri" w:hAnsi="Times New Roman" w:cs="Times New Roman"/>
          <w:b/>
          <w:bCs/>
          <w:lang w:eastAsia="lt-LT"/>
        </w:rPr>
      </w:pP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sudėtis</w:t>
      </w:r>
    </w:p>
    <w:p w:rsidR="00DB53EB" w:rsidRPr="00162DB2" w:rsidRDefault="00DB53EB" w:rsidP="00DB53EB">
      <w:pPr>
        <w:numPr>
          <w:ilvl w:val="12"/>
          <w:numId w:val="0"/>
        </w:numPr>
        <w:tabs>
          <w:tab w:val="left" w:pos="567"/>
        </w:tabs>
        <w:spacing w:after="0" w:line="240" w:lineRule="auto"/>
        <w:ind w:right="-2"/>
        <w:rPr>
          <w:rFonts w:ascii="Times New Roman" w:eastAsia="Calibri" w:hAnsi="Times New Roman" w:cs="Times New Roman"/>
          <w:b/>
          <w:b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Veiklioji medžiaga yra geležis (geležies (III) </w:t>
      </w:r>
      <w:proofErr w:type="spellStart"/>
      <w:r>
        <w:rPr>
          <w:rFonts w:ascii="Times New Roman" w:eastAsia="Calibri" w:hAnsi="Times New Roman" w:cs="Times New Roman"/>
          <w:lang w:eastAsia="lt-LT"/>
        </w:rPr>
        <w:t>derisomaltozė</w:t>
      </w:r>
      <w:proofErr w:type="spellEnd"/>
      <w:r w:rsidRPr="00162DB2">
        <w:rPr>
          <w:rFonts w:ascii="Times New Roman" w:eastAsia="Calibri" w:hAnsi="Times New Roman" w:cs="Times New Roman"/>
          <w:lang w:eastAsia="lt-LT"/>
        </w:rPr>
        <w:t xml:space="preserve">, geležies angliavandenių junginys). Geležies koncentracija vaiste yra 100 mg viename mililitre. Pagalbinės medžiagos yra natrio </w:t>
      </w:r>
      <w:proofErr w:type="spellStart"/>
      <w:r w:rsidRPr="00162DB2">
        <w:rPr>
          <w:rFonts w:ascii="Times New Roman" w:eastAsia="Calibri" w:hAnsi="Times New Roman" w:cs="Times New Roman"/>
          <w:lang w:eastAsia="lt-LT"/>
        </w:rPr>
        <w:t>hidroksidas</w:t>
      </w:r>
      <w:proofErr w:type="spellEnd"/>
      <w:r w:rsidRPr="00162DB2">
        <w:rPr>
          <w:rFonts w:ascii="Times New Roman" w:eastAsia="Calibri" w:hAnsi="Times New Roman" w:cs="Times New Roman"/>
          <w:lang w:eastAsia="lt-LT"/>
        </w:rPr>
        <w:t xml:space="preserve"> (pH koregavimui), druskos rūgštis (pH koregavimui) ir injekcinis vanduo. </w:t>
      </w: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proofErr w:type="spellStart"/>
      <w:r w:rsidRPr="00162DB2">
        <w:rPr>
          <w:rFonts w:ascii="Times New Roman" w:eastAsia="Calibri" w:hAnsi="Times New Roman" w:cs="Times New Roman"/>
          <w:b/>
          <w:bCs/>
          <w:lang w:eastAsia="lt-LT"/>
        </w:rPr>
        <w:t>Monofer</w:t>
      </w:r>
      <w:proofErr w:type="spellEnd"/>
      <w:r w:rsidRPr="00162DB2">
        <w:rPr>
          <w:rFonts w:ascii="Times New Roman" w:eastAsia="Calibri" w:hAnsi="Times New Roman" w:cs="Times New Roman"/>
          <w:b/>
          <w:bCs/>
          <w:lang w:eastAsia="lt-LT"/>
        </w:rPr>
        <w:t xml:space="preserve"> išvaizda ir kiekis pakuotėje</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yra tamsiai rudas, neskaidrus injekcinis ar infuzinis tirpalas.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tiekiamas stiklinėmis ampulėmis ar stikliniais flakonais turinčiais:</w:t>
      </w:r>
    </w:p>
    <w:p w:rsidR="00DB53EB" w:rsidRPr="00162DB2" w:rsidRDefault="00DB53EB" w:rsidP="00DB53EB">
      <w:pPr>
        <w:numPr>
          <w:ilvl w:val="0"/>
          <w:numId w:val="8"/>
        </w:numPr>
        <w:tabs>
          <w:tab w:val="left" w:pos="120"/>
          <w:tab w:val="left" w:pos="567"/>
        </w:tabs>
        <w:spacing w:after="0" w:line="240" w:lineRule="auto"/>
        <w:contextualSpacing/>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 ml tirpalo yra 100 mg geležies, geležies (III) </w:t>
      </w:r>
      <w:proofErr w:type="spellStart"/>
      <w:r w:rsidRPr="007F1ADB">
        <w:rPr>
          <w:rFonts w:ascii="Times New Roman" w:eastAsia="Calibri" w:hAnsi="Times New Roman" w:cs="Times New Roman"/>
          <w:lang w:eastAsia="lt-LT"/>
        </w:rPr>
        <w:t>derisomaltozės</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pavidalu.</w:t>
      </w:r>
    </w:p>
    <w:p w:rsidR="00DB53EB" w:rsidRPr="00162DB2" w:rsidRDefault="00DB53EB" w:rsidP="00DB53EB">
      <w:pPr>
        <w:numPr>
          <w:ilvl w:val="0"/>
          <w:numId w:val="8"/>
        </w:numPr>
        <w:tabs>
          <w:tab w:val="left" w:pos="120"/>
          <w:tab w:val="left" w:pos="567"/>
        </w:tabs>
        <w:spacing w:after="0" w:line="240" w:lineRule="auto"/>
        <w:contextualSpacing/>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2 ml tirpalo yra 200 mg geležies, geležies (III) </w:t>
      </w:r>
      <w:proofErr w:type="spellStart"/>
      <w:r w:rsidRPr="007F1ADB">
        <w:rPr>
          <w:rFonts w:ascii="Times New Roman" w:eastAsia="Calibri" w:hAnsi="Times New Roman" w:cs="Times New Roman"/>
          <w:lang w:eastAsia="lt-LT"/>
        </w:rPr>
        <w:t>derisomaltozės</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pavidalu.</w:t>
      </w:r>
    </w:p>
    <w:p w:rsidR="00DB53EB" w:rsidRPr="00162DB2" w:rsidRDefault="00DB53EB" w:rsidP="00DB53EB">
      <w:pPr>
        <w:numPr>
          <w:ilvl w:val="0"/>
          <w:numId w:val="8"/>
        </w:numPr>
        <w:tabs>
          <w:tab w:val="left" w:pos="120"/>
          <w:tab w:val="left" w:pos="567"/>
        </w:tabs>
        <w:spacing w:after="0" w:line="240" w:lineRule="auto"/>
        <w:contextualSpacing/>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5 ml tirpalo yra 500 mg geležies, geležies (III) </w:t>
      </w:r>
      <w:proofErr w:type="spellStart"/>
      <w:r w:rsidRPr="007F1ADB">
        <w:rPr>
          <w:rFonts w:ascii="Times New Roman" w:eastAsia="Calibri" w:hAnsi="Times New Roman" w:cs="Times New Roman"/>
          <w:lang w:eastAsia="lt-LT"/>
        </w:rPr>
        <w:t>derisomaltozės</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pavidalu.</w:t>
      </w:r>
    </w:p>
    <w:p w:rsidR="00DB53EB" w:rsidRPr="00162DB2" w:rsidRDefault="00DB53EB" w:rsidP="00DB53EB">
      <w:pPr>
        <w:numPr>
          <w:ilvl w:val="0"/>
          <w:numId w:val="8"/>
        </w:numPr>
        <w:tabs>
          <w:tab w:val="left" w:pos="120"/>
          <w:tab w:val="left" w:pos="567"/>
        </w:tabs>
        <w:spacing w:after="0" w:line="240" w:lineRule="auto"/>
        <w:contextualSpacing/>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10 ml tirpalo yra 1000 mg geležies, geležies (III) </w:t>
      </w:r>
      <w:proofErr w:type="spellStart"/>
      <w:r w:rsidRPr="007F1ADB">
        <w:rPr>
          <w:rFonts w:ascii="Times New Roman" w:eastAsia="Calibri" w:hAnsi="Times New Roman" w:cs="Times New Roman"/>
          <w:lang w:eastAsia="lt-LT"/>
        </w:rPr>
        <w:t>derisomaltozės</w:t>
      </w:r>
      <w:proofErr w:type="spellEnd"/>
      <w:r w:rsidRPr="007F1ADB" w:rsidDel="007F1ADB">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pavidalu.</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Pakuočių dydžiai:</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Ampulės: 5 × 1 ml, 10 × 1 ml, 5 × 2 ml, 10 × 2 ml, 2 × 5 ml, 5 × 5 ml, 2 × 10 ml ir 5 × 10 ml.</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Flakonai: 1 x 1 ml, 5 × 1 ml, 10 × 1 ml, 5 × 2 ml, 10 × 2 ml, 1 x 5 ml, 2 × 5 ml, 5 × 5 ml, 1 x 10 ml, </w:t>
      </w:r>
      <w:r w:rsidRPr="00162DB2">
        <w:rPr>
          <w:rFonts w:ascii="Times New Roman" w:eastAsia="Calibri" w:hAnsi="Times New Roman" w:cs="Times New Roman"/>
          <w:lang w:eastAsia="lt-LT"/>
        </w:rPr>
        <w:br/>
        <w:t>2 × 10 ml ir 5 × 10 ml.</w:t>
      </w: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Gali būti tiekiamos ne visų dydžių pakuotės. </w:t>
      </w: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
          <w:bCs/>
          <w:lang w:eastAsia="lt-LT"/>
        </w:rPr>
      </w:pPr>
      <w:r w:rsidRPr="00162DB2">
        <w:rPr>
          <w:rFonts w:ascii="Times New Roman" w:eastAsia="Calibri" w:hAnsi="Times New Roman" w:cs="Times New Roman"/>
          <w:b/>
          <w:lang w:eastAsia="lt-LT"/>
        </w:rPr>
        <w:t>Registruotojas ir gamintojas</w:t>
      </w:r>
      <w:r w:rsidRPr="00162DB2" w:rsidDel="008A6F3C">
        <w:rPr>
          <w:rFonts w:ascii="Times New Roman" w:eastAsia="Calibri" w:hAnsi="Times New Roman" w:cs="Times New Roman"/>
          <w:b/>
          <w:bCs/>
          <w:lang w:eastAsia="lt-LT"/>
        </w:rPr>
        <w:t xml:space="preserve">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Pharmacosmos</w:t>
      </w:r>
      <w:proofErr w:type="spellEnd"/>
      <w:r w:rsidRPr="00162DB2">
        <w:rPr>
          <w:rFonts w:ascii="Times New Roman" w:eastAsia="Calibri" w:hAnsi="Times New Roman" w:cs="Times New Roman"/>
          <w:lang w:eastAsia="lt-LT"/>
        </w:rPr>
        <w:t xml:space="preserve"> A/S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Roervangsvej</w:t>
      </w:r>
      <w:proofErr w:type="spellEnd"/>
      <w:r w:rsidRPr="00162DB2">
        <w:rPr>
          <w:rFonts w:ascii="Times New Roman" w:eastAsia="Calibri" w:hAnsi="Times New Roman" w:cs="Times New Roman"/>
          <w:lang w:eastAsia="lt-LT"/>
        </w:rPr>
        <w:t xml:space="preserve"> 30</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DK-4300 </w:t>
      </w:r>
      <w:proofErr w:type="spellStart"/>
      <w:r w:rsidRPr="00162DB2">
        <w:rPr>
          <w:rFonts w:ascii="Times New Roman" w:eastAsia="Calibri" w:hAnsi="Times New Roman" w:cs="Times New Roman"/>
          <w:lang w:eastAsia="lt-LT"/>
        </w:rPr>
        <w:t>Holbaek</w:t>
      </w:r>
      <w:proofErr w:type="spellEnd"/>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Danija</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Tel.: +45 59 48 59 59</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Faks.: +45 59 48 59 60</w:t>
      </w:r>
    </w:p>
    <w:p w:rsidR="00DB53EB" w:rsidRDefault="00DB53EB" w:rsidP="00DB53EB">
      <w:pPr>
        <w:tabs>
          <w:tab w:val="left" w:pos="120"/>
          <w:tab w:val="left" w:pos="567"/>
        </w:tabs>
        <w:spacing w:after="0" w:line="240" w:lineRule="auto"/>
        <w:rPr>
          <w:rFonts w:ascii="Times New Roman" w:eastAsia="Calibri" w:hAnsi="Times New Roman" w:cs="Times New Roman"/>
          <w:color w:val="0000FF"/>
          <w:u w:val="single"/>
          <w:lang w:eastAsia="lt-LT"/>
        </w:rPr>
      </w:pPr>
      <w:r w:rsidRPr="00162DB2">
        <w:rPr>
          <w:rFonts w:ascii="Times New Roman" w:eastAsia="Calibri" w:hAnsi="Times New Roman" w:cs="Times New Roman"/>
          <w:lang w:eastAsia="lt-LT"/>
        </w:rPr>
        <w:t xml:space="preserve">El. paštas: </w:t>
      </w:r>
      <w:hyperlink r:id="rId5" w:history="1">
        <w:r w:rsidRPr="00162DB2">
          <w:rPr>
            <w:rFonts w:ascii="Times New Roman" w:eastAsia="Calibri" w:hAnsi="Times New Roman" w:cs="Times New Roman"/>
            <w:color w:val="0000FF"/>
            <w:u w:val="single"/>
            <w:lang w:eastAsia="lt-LT"/>
          </w:rPr>
          <w:t>info@pharmacosmos.com</w:t>
        </w:r>
      </w:hyperlink>
    </w:p>
    <w:p w:rsidR="00DB53EB" w:rsidRDefault="00DB53EB" w:rsidP="00DB53EB">
      <w:pPr>
        <w:tabs>
          <w:tab w:val="left" w:pos="120"/>
          <w:tab w:val="left" w:pos="567"/>
        </w:tabs>
        <w:spacing w:after="0" w:line="240" w:lineRule="auto"/>
        <w:rPr>
          <w:rFonts w:ascii="Times New Roman" w:eastAsia="Calibri" w:hAnsi="Times New Roman" w:cs="Times New Roman"/>
          <w:color w:val="0000FF"/>
          <w:u w:val="single"/>
          <w:lang w:eastAsia="lt-LT"/>
        </w:rPr>
      </w:pPr>
    </w:p>
    <w:p w:rsidR="00DB53EB" w:rsidRPr="0049425A" w:rsidRDefault="00DB53EB" w:rsidP="00DB53EB">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Jeigu apie šį vaistą norite sužinoti daugiau, kreipkitės į vietinį registruotojo atstovą:</w:t>
      </w:r>
    </w:p>
    <w:p w:rsidR="00DB53EB" w:rsidRPr="0049425A" w:rsidRDefault="00DB53EB" w:rsidP="00DB53EB">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UAB „</w:t>
      </w:r>
      <w:proofErr w:type="spellStart"/>
      <w:r w:rsidRPr="0049425A">
        <w:rPr>
          <w:rFonts w:ascii="Times New Roman" w:eastAsia="Calibri" w:hAnsi="Times New Roman" w:cs="Times New Roman"/>
          <w:lang w:eastAsia="lt-LT"/>
        </w:rPr>
        <w:t>Orivas</w:t>
      </w:r>
      <w:proofErr w:type="spellEnd"/>
      <w:r w:rsidRPr="0049425A">
        <w:rPr>
          <w:rFonts w:ascii="Times New Roman" w:eastAsia="Calibri" w:hAnsi="Times New Roman" w:cs="Times New Roman"/>
          <w:lang w:eastAsia="lt-LT"/>
        </w:rPr>
        <w:t>“</w:t>
      </w:r>
    </w:p>
    <w:p w:rsidR="00DB53EB" w:rsidRPr="0049425A" w:rsidRDefault="00DB53EB" w:rsidP="00DB53EB">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 xml:space="preserve">J. Jasinskio g. 16B </w:t>
      </w:r>
    </w:p>
    <w:p w:rsidR="00DB53EB" w:rsidRPr="0049425A" w:rsidRDefault="00DB53EB" w:rsidP="00DB53EB">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LT-0</w:t>
      </w:r>
      <w:r>
        <w:rPr>
          <w:rFonts w:ascii="Times New Roman" w:eastAsia="Calibri" w:hAnsi="Times New Roman" w:cs="Times New Roman"/>
          <w:lang w:eastAsia="lt-LT"/>
        </w:rPr>
        <w:t>3163</w:t>
      </w:r>
      <w:r w:rsidRPr="0049425A">
        <w:rPr>
          <w:rFonts w:ascii="Times New Roman" w:eastAsia="Calibri" w:hAnsi="Times New Roman" w:cs="Times New Roman"/>
          <w:lang w:eastAsia="lt-LT"/>
        </w:rPr>
        <w:t xml:space="preserve"> Vilnius</w:t>
      </w:r>
    </w:p>
    <w:p w:rsidR="00DB53EB" w:rsidRPr="0049425A" w:rsidRDefault="00DB53EB" w:rsidP="00DB53EB">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Lietuva</w:t>
      </w:r>
    </w:p>
    <w:p w:rsidR="00DB53EB" w:rsidRPr="0049425A" w:rsidRDefault="00DB53EB" w:rsidP="00DB53EB">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Tel. +370 5 252 65 70</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49425A">
        <w:rPr>
          <w:rFonts w:ascii="Times New Roman" w:eastAsia="Calibri" w:hAnsi="Times New Roman" w:cs="Times New Roman"/>
          <w:lang w:eastAsia="lt-LT"/>
        </w:rPr>
        <w:t>El. paštas info@orivas.lt</w:t>
      </w:r>
    </w:p>
    <w:p w:rsidR="00DB53EB"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E112EF" w:rsidRDefault="00DB53EB" w:rsidP="00DB53EB">
      <w:pPr>
        <w:numPr>
          <w:ilvl w:val="12"/>
          <w:numId w:val="0"/>
        </w:numPr>
        <w:ind w:right="-2"/>
        <w:rPr>
          <w:rFonts w:ascii="Times New Roman" w:hAnsi="Times New Roman" w:cs="Times New Roman"/>
        </w:rPr>
      </w:pPr>
      <w:r w:rsidRPr="00E112EF">
        <w:rPr>
          <w:rFonts w:ascii="Times New Roman" w:hAnsi="Times New Roman" w:cs="Times New Roman"/>
          <w:b/>
        </w:rPr>
        <w:t xml:space="preserve">Šis vaistas Europos ekonominės erdvės valstybėse narėse </w:t>
      </w:r>
      <w:r w:rsidRPr="00E112EF">
        <w:rPr>
          <w:rFonts w:ascii="Times New Roman" w:hAnsi="Times New Roman" w:cs="Times New Roman"/>
          <w:b/>
          <w:noProof/>
        </w:rPr>
        <w:t xml:space="preserve">ir Jungtinėje Karalystėje (Šiaurės Airijoje) </w:t>
      </w:r>
      <w:r w:rsidRPr="00E112EF">
        <w:rPr>
          <w:rFonts w:ascii="Times New Roman" w:hAnsi="Times New Roman" w:cs="Times New Roman"/>
          <w:b/>
        </w:rPr>
        <w:t>registruotas tokiais pavadinimais:</w:t>
      </w:r>
    </w:p>
    <w:p w:rsidR="00DB53EB" w:rsidRPr="00E112EF" w:rsidRDefault="00DB53EB" w:rsidP="00DB53EB">
      <w:pPr>
        <w:tabs>
          <w:tab w:val="left" w:pos="120"/>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lang w:eastAsia="lt-LT"/>
        </w:rPr>
        <w:t xml:space="preserve">Austrija, Bulgarija, Kroatija, Danija, Suomija, Estija, Vokietija, Islandija, Latvija, Lietuva, Nyderlandai, Norvegija, Rumunija, Slovėnija, Švedija, Jungtinė Karalystė </w:t>
      </w:r>
      <w:r w:rsidRPr="00E112EF">
        <w:rPr>
          <w:rFonts w:ascii="Times New Roman" w:eastAsia="Calibri" w:hAnsi="Times New Roman" w:cs="Times New Roman"/>
          <w:bCs/>
          <w:noProof/>
        </w:rPr>
        <w:t>(Šiaurės Airija)</w:t>
      </w:r>
      <w:r w:rsidRPr="00E112EF">
        <w:rPr>
          <w:rFonts w:ascii="Times New Roman" w:eastAsia="Calibri" w:hAnsi="Times New Roman" w:cs="Times New Roman"/>
          <w:lang w:eastAsia="lt-LT"/>
        </w:rPr>
        <w:t xml:space="preserve">: </w:t>
      </w:r>
      <w:proofErr w:type="spellStart"/>
      <w:r w:rsidRPr="00E112EF">
        <w:rPr>
          <w:rFonts w:ascii="Times New Roman" w:eastAsia="Calibri" w:hAnsi="Times New Roman" w:cs="Times New Roman"/>
          <w:lang w:eastAsia="lt-LT"/>
        </w:rPr>
        <w:t>Monofer</w:t>
      </w:r>
      <w:proofErr w:type="spellEnd"/>
      <w:r w:rsidRPr="00E112EF">
        <w:rPr>
          <w:rFonts w:ascii="Times New Roman" w:eastAsia="Calibri" w:hAnsi="Times New Roman" w:cs="Times New Roman"/>
          <w:lang w:eastAsia="lt-LT"/>
        </w:rPr>
        <w:t>®</w:t>
      </w:r>
    </w:p>
    <w:p w:rsidR="00DB53EB" w:rsidRPr="00E112EF" w:rsidRDefault="00DB53EB" w:rsidP="00DB53EB">
      <w:pPr>
        <w:tabs>
          <w:tab w:val="left" w:pos="120"/>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lang w:eastAsia="lt-LT"/>
        </w:rPr>
        <w:t xml:space="preserve">Belgija, Italija: </w:t>
      </w:r>
      <w:proofErr w:type="spellStart"/>
      <w:r w:rsidRPr="00E112EF">
        <w:rPr>
          <w:rFonts w:ascii="Times New Roman" w:eastAsia="Calibri" w:hAnsi="Times New Roman" w:cs="Times New Roman"/>
          <w:lang w:eastAsia="lt-LT"/>
        </w:rPr>
        <w:t>Monoferric</w:t>
      </w:r>
      <w:proofErr w:type="spellEnd"/>
      <w:r w:rsidRPr="00E112EF">
        <w:rPr>
          <w:rFonts w:ascii="Times New Roman" w:eastAsia="Calibri" w:hAnsi="Times New Roman" w:cs="Times New Roman"/>
          <w:lang w:eastAsia="lt-LT"/>
        </w:rPr>
        <w:t>®</w:t>
      </w:r>
    </w:p>
    <w:p w:rsidR="00DB53EB" w:rsidRPr="00E112EF" w:rsidRDefault="00DB53EB" w:rsidP="00DB53EB">
      <w:pPr>
        <w:tabs>
          <w:tab w:val="left" w:pos="120"/>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lang w:eastAsia="lt-LT"/>
        </w:rPr>
        <w:t xml:space="preserve">Airija, Liuksemburgas, Lenkija: </w:t>
      </w:r>
      <w:proofErr w:type="spellStart"/>
      <w:r w:rsidRPr="00E112EF">
        <w:rPr>
          <w:rFonts w:ascii="Times New Roman" w:eastAsia="Calibri" w:hAnsi="Times New Roman" w:cs="Times New Roman"/>
          <w:lang w:eastAsia="lt-LT"/>
        </w:rPr>
        <w:t>Monover</w:t>
      </w:r>
      <w:proofErr w:type="spellEnd"/>
      <w:r w:rsidRPr="00E112EF">
        <w:rPr>
          <w:rFonts w:ascii="Times New Roman" w:eastAsia="Calibri" w:hAnsi="Times New Roman" w:cs="Times New Roman"/>
          <w:lang w:eastAsia="lt-LT"/>
        </w:rPr>
        <w:t>®</w:t>
      </w:r>
    </w:p>
    <w:p w:rsidR="00DB53EB" w:rsidRPr="00E112EF" w:rsidRDefault="00DB53EB" w:rsidP="00DB53EB">
      <w:pPr>
        <w:tabs>
          <w:tab w:val="left" w:pos="120"/>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lang w:eastAsia="lt-LT"/>
        </w:rPr>
        <w:t xml:space="preserve">Portugalija: </w:t>
      </w:r>
      <w:proofErr w:type="spellStart"/>
      <w:r w:rsidRPr="00E112EF">
        <w:rPr>
          <w:rFonts w:ascii="Times New Roman" w:eastAsia="Calibri" w:hAnsi="Times New Roman" w:cs="Times New Roman"/>
          <w:lang w:eastAsia="lt-LT"/>
        </w:rPr>
        <w:t>Monofar</w:t>
      </w:r>
      <w:proofErr w:type="spellEnd"/>
      <w:r w:rsidRPr="00E112EF">
        <w:rPr>
          <w:rFonts w:ascii="Times New Roman" w:eastAsia="Calibri" w:hAnsi="Times New Roman" w:cs="Times New Roman"/>
          <w:lang w:eastAsia="lt-LT"/>
        </w:rPr>
        <w:t>®</w:t>
      </w:r>
    </w:p>
    <w:p w:rsidR="00DB53EB" w:rsidRPr="00E112EF"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E112EF" w:rsidRDefault="00DB53EB" w:rsidP="00DB53EB">
      <w:pPr>
        <w:tabs>
          <w:tab w:val="left" w:pos="567"/>
        </w:tabs>
        <w:spacing w:after="0" w:line="240" w:lineRule="auto"/>
        <w:rPr>
          <w:rFonts w:ascii="Times New Roman" w:eastAsia="Calibri" w:hAnsi="Times New Roman" w:cs="Times New Roman"/>
          <w:lang w:eastAsia="lt-LT"/>
        </w:rPr>
      </w:pPr>
      <w:r w:rsidRPr="00E112EF">
        <w:rPr>
          <w:rFonts w:ascii="Times New Roman" w:eastAsia="Calibri" w:hAnsi="Times New Roman" w:cs="Times New Roman"/>
          <w:b/>
          <w:lang w:eastAsia="lt-LT"/>
        </w:rPr>
        <w:t xml:space="preserve">Šis pakuotės lapelis paskutinį kartą peržiūrėtas </w:t>
      </w:r>
      <w:r>
        <w:rPr>
          <w:rFonts w:ascii="Times New Roman" w:eastAsia="Calibri" w:hAnsi="Times New Roman" w:cs="Times New Roman"/>
          <w:b/>
          <w:lang w:eastAsia="lt-LT"/>
        </w:rPr>
        <w:t>2025-03-28.</w:t>
      </w:r>
    </w:p>
    <w:p w:rsidR="00DB53EB" w:rsidRPr="00E112EF" w:rsidRDefault="00DB53EB" w:rsidP="00DB53EB">
      <w:pPr>
        <w:tabs>
          <w:tab w:val="left" w:pos="567"/>
        </w:tabs>
        <w:spacing w:after="0" w:line="240" w:lineRule="auto"/>
        <w:rPr>
          <w:rFonts w:ascii="Times New Roman" w:eastAsia="Calibri" w:hAnsi="Times New Roman" w:cs="Times New Roman"/>
          <w:lang w:eastAsia="lt-LT"/>
        </w:rPr>
      </w:pPr>
    </w:p>
    <w:p w:rsidR="00DB53EB" w:rsidRPr="00E112EF" w:rsidRDefault="00DB53EB" w:rsidP="00DB53EB">
      <w:pPr>
        <w:tabs>
          <w:tab w:val="left" w:pos="567"/>
        </w:tabs>
        <w:spacing w:after="0" w:line="240" w:lineRule="auto"/>
        <w:rPr>
          <w:rFonts w:ascii="Times New Roman" w:eastAsia="Calibri" w:hAnsi="Times New Roman" w:cs="Times New Roman"/>
          <w:color w:val="0000FF"/>
          <w:u w:val="single"/>
          <w:lang w:eastAsia="lt-LT"/>
        </w:rPr>
      </w:pPr>
      <w:r w:rsidRPr="00E112EF">
        <w:rPr>
          <w:rFonts w:ascii="Times New Roman" w:eastAsia="Calibri" w:hAnsi="Times New Roman" w:cs="Times New Roman"/>
          <w:lang w:eastAsia="lt-LT"/>
        </w:rPr>
        <w:t>Išsami informacija apie šį vaistą pateikiama Valstybinės vaistų kontrolės tarnybos prie Lietuvos Respublikos sveikatos apsaugos ministerijos tinklalapyje</w:t>
      </w:r>
      <w:r w:rsidRPr="00E112EF">
        <w:rPr>
          <w:rFonts w:ascii="Times New Roman" w:eastAsia="Calibri" w:hAnsi="Times New Roman" w:cs="Times New Roman"/>
          <w:i/>
          <w:lang w:eastAsia="lt-LT"/>
        </w:rPr>
        <w:t xml:space="preserve"> </w:t>
      </w:r>
      <w:hyperlink r:id="rId6" w:history="1">
        <w:r w:rsidRPr="00E112EF">
          <w:rPr>
            <w:rFonts w:ascii="Times New Roman" w:eastAsia="Calibri" w:hAnsi="Times New Roman" w:cs="Times New Roman"/>
            <w:color w:val="0000FF"/>
            <w:u w:val="single"/>
            <w:lang w:eastAsia="lt-LT"/>
          </w:rPr>
          <w:t>http://www.vvkt.lt</w:t>
        </w:r>
      </w:hyperlink>
    </w:p>
    <w:p w:rsidR="00DB53EB" w:rsidRPr="00162DB2" w:rsidRDefault="00DB53EB" w:rsidP="00DB53EB">
      <w:pPr>
        <w:tabs>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w:t>
      </w:r>
    </w:p>
    <w:p w:rsidR="00DB53EB" w:rsidRPr="00162DB2" w:rsidRDefault="00DB53EB" w:rsidP="00DB53EB">
      <w:pPr>
        <w:tabs>
          <w:tab w:val="left" w:pos="567"/>
        </w:tabs>
        <w:spacing w:after="0" w:line="240" w:lineRule="auto"/>
        <w:rPr>
          <w:rFonts w:ascii="Times New Roman" w:eastAsia="SimSun" w:hAnsi="Times New Roman" w:cs="Times New Roman"/>
        </w:rPr>
      </w:pPr>
      <w:r w:rsidRPr="00162DB2">
        <w:rPr>
          <w:rFonts w:ascii="Times New Roman" w:eastAsia="SimSun" w:hAnsi="Times New Roman" w:cs="Times New Roman"/>
        </w:rPr>
        <w:t>Toliau pateikta informacija skirta tik sveikatos priežiūros specialistams</w:t>
      </w:r>
      <w:r>
        <w:rPr>
          <w:rFonts w:ascii="Times New Roman" w:eastAsia="SimSun" w:hAnsi="Times New Roman" w:cs="Times New Roman"/>
        </w:rPr>
        <w:t>.</w:t>
      </w:r>
    </w:p>
    <w:p w:rsidR="00DB53EB" w:rsidRPr="00162DB2" w:rsidRDefault="00DB53EB" w:rsidP="00DB53EB">
      <w:pPr>
        <w:tabs>
          <w:tab w:val="left" w:pos="120"/>
          <w:tab w:val="left" w:pos="567"/>
        </w:tabs>
        <w:spacing w:after="0" w:line="240" w:lineRule="auto"/>
        <w:rPr>
          <w:rFonts w:ascii="Times New Roman" w:eastAsia="Calibri" w:hAnsi="Times New Roman" w:cs="Times New Roman"/>
          <w:bCs/>
          <w:u w:val="single"/>
          <w:lang w:eastAsia="lt-LT"/>
        </w:rPr>
      </w:pPr>
    </w:p>
    <w:p w:rsidR="00DB53EB" w:rsidRPr="00162DB2" w:rsidRDefault="00DB53EB" w:rsidP="00DB53EB">
      <w:pPr>
        <w:tabs>
          <w:tab w:val="left" w:pos="120"/>
          <w:tab w:val="left" w:pos="567"/>
        </w:tabs>
        <w:spacing w:after="0" w:line="240" w:lineRule="auto"/>
        <w:rPr>
          <w:rFonts w:ascii="Times New Roman" w:hAnsi="Times New Roman" w:cs="Times New Roman"/>
        </w:rPr>
      </w:pPr>
      <w:r w:rsidRPr="00162DB2">
        <w:rPr>
          <w:rFonts w:ascii="Times New Roman" w:hAnsi="Times New Roman" w:cs="Times New Roman"/>
        </w:rPr>
        <w:t xml:space="preserve">Kiekvieną kartą atidžiai stebėkite, ar </w:t>
      </w: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vartojimo metu ir po vartojimo pacientams nepasireiškė padidėjusio jautrumo požymių ar simptomų.</w:t>
      </w:r>
    </w:p>
    <w:p w:rsidR="00DB53EB" w:rsidRPr="00162DB2" w:rsidRDefault="00DB53EB" w:rsidP="00DB53EB">
      <w:pPr>
        <w:tabs>
          <w:tab w:val="left" w:pos="120"/>
          <w:tab w:val="left" w:pos="567"/>
        </w:tabs>
        <w:spacing w:after="0" w:line="240" w:lineRule="auto"/>
        <w:rPr>
          <w:rFonts w:ascii="Times New Roman" w:hAnsi="Times New Roman" w:cs="Times New Roman"/>
        </w:rPr>
      </w:pPr>
    </w:p>
    <w:p w:rsidR="00DB53EB" w:rsidRPr="00162DB2" w:rsidRDefault="00DB53EB" w:rsidP="00DB53EB">
      <w:pPr>
        <w:tabs>
          <w:tab w:val="left" w:pos="120"/>
          <w:tab w:val="left" w:pos="567"/>
        </w:tabs>
        <w:spacing w:after="0" w:line="240" w:lineRule="auto"/>
        <w:rPr>
          <w:rFonts w:ascii="Times New Roman" w:hAnsi="Times New Roman" w:cs="Times New Roman"/>
        </w:rPr>
      </w:pP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turėtų būti vartojamas tik visa būtina gaivinimo įranga aprūpintoje aplinkoje ir kai netoliese yra personalo, išmokyto atpažinti ir suvaldyti anafilaksines reakcijas. Mažiausiai 30 minučių po kiekvienos </w:t>
      </w: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injekcijos reikia stebėti, ar pacientui nepasireiškė nepageidaujamas poveikis.</w:t>
      </w:r>
    </w:p>
    <w:p w:rsidR="00DB53EB" w:rsidRPr="00162DB2" w:rsidRDefault="00DB53EB" w:rsidP="00DB53EB">
      <w:pPr>
        <w:tabs>
          <w:tab w:val="left" w:pos="120"/>
          <w:tab w:val="left" w:pos="567"/>
        </w:tabs>
        <w:spacing w:after="0" w:line="240" w:lineRule="auto"/>
        <w:rPr>
          <w:rFonts w:ascii="Times New Roman" w:hAnsi="Times New Roman" w:cs="Times New Roman"/>
        </w:rPr>
      </w:pPr>
    </w:p>
    <w:p w:rsidR="00DB53EB" w:rsidRPr="00162DB2" w:rsidRDefault="00DB53EB" w:rsidP="00DB53EB">
      <w:pPr>
        <w:spacing w:after="200" w:line="276" w:lineRule="auto"/>
        <w:rPr>
          <w:rFonts w:ascii="Times New Roman" w:hAnsi="Times New Roman" w:cs="Times New Roman"/>
        </w:rPr>
      </w:pPr>
      <w:r w:rsidRPr="00162DB2">
        <w:rPr>
          <w:rFonts w:ascii="Times New Roman" w:hAnsi="Times New Roman" w:cs="Times New Roman"/>
        </w:rPr>
        <w:t xml:space="preserve">Kiekvienas intraveninis geležies vartojimas yra susijęs su padidėjusio jautrumo reakcijos rizika. Todėl norint sumažinti riziką, reikia iki minimumo sumažinti vienkartinių intraveninių geležies skyrimų skaičių. </w:t>
      </w:r>
    </w:p>
    <w:p w:rsidR="00DB53EB" w:rsidRPr="00426658" w:rsidRDefault="00DB53EB" w:rsidP="00DB53EB">
      <w:pPr>
        <w:spacing w:after="200" w:line="276" w:lineRule="auto"/>
        <w:rPr>
          <w:rFonts w:ascii="Times New Roman" w:hAnsi="Times New Roman" w:cs="Times New Roman"/>
        </w:rPr>
      </w:pPr>
      <w:r w:rsidRPr="00426658">
        <w:rPr>
          <w:rFonts w:ascii="Times New Roman" w:hAnsi="Times New Roman" w:cs="Times New Roman"/>
        </w:rPr>
        <w:t>Dozavimas</w:t>
      </w:r>
    </w:p>
    <w:p w:rsidR="00DB53EB" w:rsidRPr="00162DB2" w:rsidRDefault="00DB53EB" w:rsidP="00DB53EB">
      <w:pPr>
        <w:spacing w:after="200" w:line="276" w:lineRule="auto"/>
        <w:rPr>
          <w:rFonts w:ascii="Times New Roman" w:hAnsi="Times New Roman" w:cs="Times New Roman"/>
        </w:rPr>
      </w:pPr>
      <w:proofErr w:type="spellStart"/>
      <w:r w:rsidRPr="00162DB2">
        <w:rPr>
          <w:rFonts w:ascii="Times New Roman" w:hAnsi="Times New Roman" w:cs="Times New Roman"/>
        </w:rPr>
        <w:t>Monofer</w:t>
      </w:r>
      <w:proofErr w:type="spellEnd"/>
      <w:r w:rsidRPr="00162DB2">
        <w:rPr>
          <w:rFonts w:ascii="Times New Roman" w:hAnsi="Times New Roman" w:cs="Times New Roman"/>
        </w:rPr>
        <w:t xml:space="preserve"> dozavimas atliekamas palaipsniui: [1] individualaus geležies poreikio </w:t>
      </w:r>
      <w:proofErr w:type="spellStart"/>
      <w:r w:rsidRPr="00162DB2">
        <w:rPr>
          <w:rFonts w:ascii="Times New Roman" w:hAnsi="Times New Roman" w:cs="Times New Roman"/>
        </w:rPr>
        <w:t>nusatymas</w:t>
      </w:r>
      <w:proofErr w:type="spellEnd"/>
      <w:r w:rsidRPr="00162DB2">
        <w:rPr>
          <w:rFonts w:ascii="Times New Roman" w:hAnsi="Times New Roman" w:cs="Times New Roman"/>
        </w:rPr>
        <w:t xml:space="preserve"> ir [2] geležies dozės (-</w:t>
      </w:r>
      <w:proofErr w:type="spellStart"/>
      <w:r w:rsidRPr="00162DB2">
        <w:rPr>
          <w:rFonts w:ascii="Times New Roman" w:hAnsi="Times New Roman" w:cs="Times New Roman"/>
        </w:rPr>
        <w:t>ių</w:t>
      </w:r>
      <w:proofErr w:type="spellEnd"/>
      <w:r w:rsidRPr="00162DB2">
        <w:rPr>
          <w:rFonts w:ascii="Times New Roman" w:hAnsi="Times New Roman" w:cs="Times New Roman"/>
        </w:rPr>
        <w:t xml:space="preserve">) apskaičiavimas ir vartojimas. Žingsniai gali būti kartojami po [3] geležies atsargų įvertinimo. </w:t>
      </w: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1 žingsnis</w:t>
      </w:r>
      <w:r w:rsidRPr="00162DB2">
        <w:rPr>
          <w:rFonts w:ascii="Times New Roman" w:eastAsia="Calibri" w:hAnsi="Times New Roman" w:cs="Times New Roman"/>
          <w:lang w:eastAsia="lt-LT"/>
        </w:rPr>
        <w:t xml:space="preserve">. </w:t>
      </w:r>
      <w:r w:rsidRPr="00162DB2">
        <w:rPr>
          <w:rFonts w:ascii="Times New Roman" w:eastAsia="Calibri" w:hAnsi="Times New Roman" w:cs="Times New Roman"/>
          <w:i/>
          <w:iCs/>
          <w:lang w:eastAsia="lt-LT"/>
        </w:rPr>
        <w:t>Geležies poreikio nustatymas</w:t>
      </w:r>
      <w:r w:rsidRPr="00EE565B">
        <w:rPr>
          <w:rFonts w:ascii="Times New Roman" w:eastAsia="Calibri" w:hAnsi="Times New Roman" w:cs="Times New Roman"/>
          <w:i/>
          <w:iCs/>
          <w:lang w:eastAsia="lt-LT"/>
        </w:rPr>
        <w:t>:</w:t>
      </w: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 xml:space="preserve">Geležies poreikis gali būti apskaičiuojamas pagal žemiau pateiktą supaprastintą dozavimo lentelę (i) arba naudojant </w:t>
      </w:r>
      <w:proofErr w:type="spellStart"/>
      <w:r w:rsidRPr="00162DB2">
        <w:rPr>
          <w:rFonts w:ascii="Times New Roman" w:eastAsia="Calibri" w:hAnsi="Times New Roman" w:cs="Times New Roman"/>
          <w:i/>
          <w:iCs/>
          <w:lang w:eastAsia="lt-LT"/>
        </w:rPr>
        <w:t>Ganzoni</w:t>
      </w:r>
      <w:proofErr w:type="spellEnd"/>
      <w:r w:rsidRPr="00162DB2">
        <w:rPr>
          <w:rFonts w:ascii="Times New Roman" w:eastAsia="Calibri" w:hAnsi="Times New Roman" w:cs="Times New Roman"/>
          <w:i/>
          <w:iCs/>
          <w:lang w:eastAsia="lt-LT"/>
        </w:rPr>
        <w:t xml:space="preserve"> formulę (ii). </w:t>
      </w: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 xml:space="preserve">Geležies poreikis turi būti išreikštas </w:t>
      </w:r>
      <w:proofErr w:type="spellStart"/>
      <w:r w:rsidRPr="00162DB2">
        <w:rPr>
          <w:rFonts w:ascii="Times New Roman" w:eastAsia="Calibri" w:hAnsi="Times New Roman" w:cs="Times New Roman"/>
          <w:i/>
          <w:iCs/>
          <w:lang w:eastAsia="lt-LT"/>
        </w:rPr>
        <w:t>elementine</w:t>
      </w:r>
      <w:proofErr w:type="spellEnd"/>
      <w:r w:rsidRPr="00162DB2">
        <w:rPr>
          <w:rFonts w:ascii="Times New Roman" w:eastAsia="Calibri" w:hAnsi="Times New Roman" w:cs="Times New Roman"/>
          <w:i/>
          <w:iCs/>
          <w:lang w:eastAsia="lt-LT"/>
        </w:rPr>
        <w:t xml:space="preserve"> geležimi miligramais. </w:t>
      </w: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p>
    <w:p w:rsidR="00DB53EB" w:rsidRPr="00162DB2" w:rsidRDefault="00DB53EB" w:rsidP="00DB53EB">
      <w:pPr>
        <w:numPr>
          <w:ilvl w:val="0"/>
          <w:numId w:val="6"/>
        </w:numPr>
        <w:tabs>
          <w:tab w:val="left" w:pos="120"/>
          <w:tab w:val="left" w:pos="567"/>
        </w:tabs>
        <w:spacing w:after="0" w:line="240" w:lineRule="auto"/>
        <w:contextualSpacing/>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Supaprastinta lentelė:</w:t>
      </w:r>
    </w:p>
    <w:p w:rsidR="00DB53EB" w:rsidRPr="00162DB2" w:rsidRDefault="00DB53EB" w:rsidP="00DB53EB">
      <w:pPr>
        <w:tabs>
          <w:tab w:val="left" w:pos="120"/>
          <w:tab w:val="left" w:pos="567"/>
        </w:tabs>
        <w:spacing w:after="0" w:line="240" w:lineRule="auto"/>
        <w:ind w:left="360"/>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ind w:left="360"/>
        <w:rPr>
          <w:rFonts w:ascii="Times New Roman" w:eastAsia="Calibri" w:hAnsi="Times New Roman" w:cs="Times New Roman"/>
          <w:lang w:eastAsia="lt-LT"/>
        </w:rPr>
      </w:pPr>
      <w:r w:rsidRPr="00162DB2">
        <w:rPr>
          <w:rFonts w:ascii="Times New Roman" w:eastAsia="Calibri" w:hAnsi="Times New Roman" w:cs="Times New Roman"/>
          <w:lang w:eastAsia="lt-LT"/>
        </w:rPr>
        <w:t>1 Lentelė. Supaprastinta lentelė</w:t>
      </w:r>
    </w:p>
    <w:tbl>
      <w:tblPr>
        <w:tblW w:w="9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2500"/>
        <w:gridCol w:w="2500"/>
        <w:gridCol w:w="2501"/>
      </w:tblGrid>
      <w:tr w:rsidR="00DB53EB" w:rsidRPr="00162DB2" w:rsidTr="00FA250C">
        <w:tc>
          <w:tcPr>
            <w:tcW w:w="1010" w:type="dxa"/>
            <w:shd w:val="clear" w:color="auto" w:fill="auto"/>
            <w:vAlign w:val="center"/>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Hb</w:t>
            </w:r>
            <w:proofErr w:type="spellEnd"/>
            <w:r w:rsidRPr="00162DB2">
              <w:rPr>
                <w:rFonts w:ascii="Times New Roman" w:hAnsi="Times New Roman" w:cs="Times New Roman"/>
                <w:lang w:val="en-US"/>
              </w:rPr>
              <w:t xml:space="preserve"> (g/dl)</w:t>
            </w:r>
          </w:p>
        </w:tc>
        <w:tc>
          <w:tcPr>
            <w:tcW w:w="1010" w:type="dxa"/>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Hb</w:t>
            </w:r>
            <w:proofErr w:type="spellEnd"/>
            <w:r>
              <w:rPr>
                <w:rFonts w:ascii="Times New Roman" w:hAnsi="Times New Roman" w:cs="Times New Roman"/>
                <w:lang w:val="en-US"/>
              </w:rPr>
              <w:t xml:space="preserve"> </w:t>
            </w:r>
            <w:r w:rsidRPr="00162DB2">
              <w:rPr>
                <w:rFonts w:ascii="Times New Roman" w:hAnsi="Times New Roman" w:cs="Times New Roman"/>
                <w:lang w:val="en-US"/>
              </w:rPr>
              <w:t>(</w:t>
            </w:r>
            <w:proofErr w:type="spellStart"/>
            <w:r w:rsidRPr="00162DB2">
              <w:rPr>
                <w:rFonts w:ascii="Times New Roman" w:hAnsi="Times New Roman" w:cs="Times New Roman"/>
                <w:lang w:val="en-US"/>
              </w:rPr>
              <w:t>mmol</w:t>
            </w:r>
            <w:proofErr w:type="spellEnd"/>
            <w:r w:rsidRPr="00162DB2">
              <w:rPr>
                <w:rFonts w:ascii="Times New Roman" w:hAnsi="Times New Roman" w:cs="Times New Roman"/>
                <w:lang w:val="en-US"/>
              </w:rPr>
              <w:t>/l)</w:t>
            </w:r>
          </w:p>
        </w:tc>
        <w:tc>
          <w:tcPr>
            <w:tcW w:w="2500" w:type="dxa"/>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Pacientams</w:t>
            </w:r>
            <w:proofErr w:type="spellEnd"/>
            <w:r>
              <w:rPr>
                <w:rFonts w:ascii="Times New Roman" w:hAnsi="Times New Roman" w:cs="Times New Roman"/>
                <w:lang w:val="en-US"/>
              </w:rPr>
              <w:t>,</w:t>
            </w:r>
            <w:r w:rsidRPr="00162DB2">
              <w:rPr>
                <w:rFonts w:ascii="Times New Roman" w:hAnsi="Times New Roman" w:cs="Times New Roman"/>
                <w:lang w:val="en-US"/>
              </w:rPr>
              <w:t xml:space="preserve"> </w:t>
            </w:r>
            <w:proofErr w:type="spellStart"/>
            <w:r w:rsidRPr="00162DB2">
              <w:rPr>
                <w:rFonts w:ascii="Times New Roman" w:hAnsi="Times New Roman" w:cs="Times New Roman"/>
                <w:lang w:val="en-US"/>
              </w:rPr>
              <w:t>sveriantiems</w:t>
            </w:r>
            <w:proofErr w:type="spellEnd"/>
            <w:r w:rsidRPr="00162DB2">
              <w:rPr>
                <w:rFonts w:ascii="Times New Roman" w:hAnsi="Times New Roman" w:cs="Times New Roman"/>
                <w:lang w:val="en-US"/>
              </w:rPr>
              <w:t xml:space="preserve">  &lt;50 kg</w:t>
            </w:r>
          </w:p>
        </w:tc>
        <w:tc>
          <w:tcPr>
            <w:tcW w:w="2500" w:type="dxa"/>
            <w:shd w:val="clear" w:color="auto" w:fill="auto"/>
            <w:vAlign w:val="center"/>
          </w:tcPr>
          <w:p w:rsidR="00DB53EB" w:rsidRPr="004D5306" w:rsidRDefault="00DB53EB" w:rsidP="00FA250C">
            <w:pPr>
              <w:autoSpaceDE w:val="0"/>
              <w:autoSpaceDN w:val="0"/>
              <w:adjustRightInd w:val="0"/>
              <w:spacing w:after="200" w:line="240" w:lineRule="auto"/>
              <w:rPr>
                <w:rFonts w:ascii="Times New Roman" w:hAnsi="Times New Roman" w:cs="Times New Roman"/>
                <w:lang w:val="es-ES"/>
              </w:rPr>
            </w:pPr>
            <w:proofErr w:type="spellStart"/>
            <w:r w:rsidRPr="004D5306">
              <w:rPr>
                <w:rFonts w:ascii="Times New Roman" w:hAnsi="Times New Roman" w:cs="Times New Roman"/>
                <w:lang w:val="es-ES"/>
              </w:rPr>
              <w:t>Pacientams</w:t>
            </w:r>
            <w:proofErr w:type="spellEnd"/>
            <w:r w:rsidRPr="004D5306">
              <w:rPr>
                <w:rFonts w:ascii="Times New Roman" w:hAnsi="Times New Roman" w:cs="Times New Roman"/>
                <w:lang w:val="es-ES"/>
              </w:rPr>
              <w:t xml:space="preserve">, </w:t>
            </w:r>
            <w:proofErr w:type="spellStart"/>
            <w:r w:rsidRPr="004D5306">
              <w:rPr>
                <w:rFonts w:ascii="Times New Roman" w:hAnsi="Times New Roman" w:cs="Times New Roman"/>
                <w:lang w:val="es-ES"/>
              </w:rPr>
              <w:t>sveriantiems</w:t>
            </w:r>
            <w:proofErr w:type="spellEnd"/>
            <w:r w:rsidRPr="004D5306">
              <w:rPr>
                <w:rFonts w:ascii="Times New Roman" w:hAnsi="Times New Roman" w:cs="Times New Roman"/>
                <w:lang w:val="es-ES"/>
              </w:rPr>
              <w:t xml:space="preserve"> </w:t>
            </w:r>
            <w:proofErr w:type="spellStart"/>
            <w:r w:rsidRPr="004D5306">
              <w:rPr>
                <w:rFonts w:ascii="Times New Roman" w:hAnsi="Times New Roman" w:cs="Times New Roman"/>
                <w:lang w:val="es-ES"/>
              </w:rPr>
              <w:t>nuo</w:t>
            </w:r>
            <w:proofErr w:type="spellEnd"/>
            <w:r w:rsidRPr="004D5306">
              <w:rPr>
                <w:rFonts w:ascii="Times New Roman" w:hAnsi="Times New Roman" w:cs="Times New Roman"/>
                <w:lang w:val="es-ES"/>
              </w:rPr>
              <w:t xml:space="preserve"> 50 kg </w:t>
            </w:r>
            <w:proofErr w:type="spellStart"/>
            <w:r w:rsidRPr="004D5306">
              <w:rPr>
                <w:rFonts w:ascii="Times New Roman" w:hAnsi="Times New Roman" w:cs="Times New Roman"/>
                <w:lang w:val="es-ES"/>
              </w:rPr>
              <w:t>iki</w:t>
            </w:r>
            <w:proofErr w:type="spellEnd"/>
            <w:r w:rsidRPr="004D5306">
              <w:rPr>
                <w:rFonts w:ascii="Times New Roman" w:hAnsi="Times New Roman" w:cs="Times New Roman"/>
                <w:lang w:val="es-ES"/>
              </w:rPr>
              <w:t xml:space="preserve"> &lt;70 kg</w:t>
            </w:r>
          </w:p>
        </w:tc>
        <w:tc>
          <w:tcPr>
            <w:tcW w:w="2501" w:type="dxa"/>
            <w:shd w:val="clear" w:color="auto" w:fill="auto"/>
            <w:vAlign w:val="center"/>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proofErr w:type="spellStart"/>
            <w:r w:rsidRPr="00162DB2">
              <w:rPr>
                <w:rFonts w:ascii="Times New Roman" w:hAnsi="Times New Roman" w:cs="Times New Roman"/>
                <w:lang w:val="en-US"/>
              </w:rPr>
              <w:t>Pacientams</w:t>
            </w:r>
            <w:proofErr w:type="spellEnd"/>
            <w:r>
              <w:rPr>
                <w:rFonts w:ascii="Times New Roman" w:hAnsi="Times New Roman" w:cs="Times New Roman"/>
                <w:lang w:val="en-US"/>
              </w:rPr>
              <w:t>,</w:t>
            </w:r>
            <w:r w:rsidRPr="00162DB2">
              <w:rPr>
                <w:rFonts w:ascii="Times New Roman" w:hAnsi="Times New Roman" w:cs="Times New Roman"/>
                <w:lang w:val="en-US"/>
              </w:rPr>
              <w:t xml:space="preserve"> </w:t>
            </w:r>
            <w:proofErr w:type="spellStart"/>
            <w:r w:rsidRPr="00162DB2">
              <w:rPr>
                <w:rFonts w:ascii="Times New Roman" w:hAnsi="Times New Roman" w:cs="Times New Roman"/>
                <w:lang w:val="en-US"/>
              </w:rPr>
              <w:t>sveriantiems</w:t>
            </w:r>
            <w:proofErr w:type="spellEnd"/>
            <w:r w:rsidRPr="00162DB2">
              <w:rPr>
                <w:rFonts w:ascii="Times New Roman" w:hAnsi="Times New Roman" w:cs="Times New Roman"/>
                <w:lang w:val="en-US"/>
              </w:rPr>
              <w:t xml:space="preserve">  ≥70 kg</w:t>
            </w:r>
          </w:p>
        </w:tc>
      </w:tr>
      <w:tr w:rsidR="00DB53EB" w:rsidRPr="00162DB2" w:rsidTr="00FA250C">
        <w:tc>
          <w:tcPr>
            <w:tcW w:w="1010" w:type="dxa"/>
            <w:shd w:val="clear" w:color="auto" w:fill="auto"/>
            <w:vAlign w:val="center"/>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eastAsia="T4" w:hAnsi="Times New Roman" w:cs="Times New Roman"/>
                <w:lang w:val="en-US"/>
              </w:rPr>
              <w:t>≥</w:t>
            </w:r>
            <w:r w:rsidRPr="00162DB2">
              <w:rPr>
                <w:rFonts w:ascii="Times New Roman" w:hAnsi="Times New Roman" w:cs="Times New Roman"/>
                <w:lang w:val="en-US"/>
              </w:rPr>
              <w:t>10</w:t>
            </w:r>
          </w:p>
        </w:tc>
        <w:tc>
          <w:tcPr>
            <w:tcW w:w="1010" w:type="dxa"/>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≥6,2</w:t>
            </w:r>
          </w:p>
        </w:tc>
        <w:tc>
          <w:tcPr>
            <w:tcW w:w="2500" w:type="dxa"/>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500 mg</w:t>
            </w:r>
          </w:p>
        </w:tc>
        <w:tc>
          <w:tcPr>
            <w:tcW w:w="2500" w:type="dxa"/>
            <w:shd w:val="clear" w:color="auto" w:fill="auto"/>
            <w:vAlign w:val="center"/>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1000 mg</w:t>
            </w:r>
          </w:p>
        </w:tc>
        <w:tc>
          <w:tcPr>
            <w:tcW w:w="2501" w:type="dxa"/>
            <w:shd w:val="clear" w:color="auto" w:fill="auto"/>
            <w:vAlign w:val="center"/>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1500 mg</w:t>
            </w:r>
          </w:p>
        </w:tc>
      </w:tr>
      <w:tr w:rsidR="00DB53EB" w:rsidRPr="00162DB2" w:rsidTr="00FA250C">
        <w:tc>
          <w:tcPr>
            <w:tcW w:w="1010" w:type="dxa"/>
            <w:shd w:val="clear" w:color="auto" w:fill="auto"/>
            <w:vAlign w:val="center"/>
          </w:tcPr>
          <w:p w:rsidR="00DB53EB" w:rsidRPr="00162DB2" w:rsidRDefault="00DB53EB" w:rsidP="00FA250C">
            <w:pPr>
              <w:autoSpaceDE w:val="0"/>
              <w:autoSpaceDN w:val="0"/>
              <w:adjustRightInd w:val="0"/>
              <w:spacing w:after="200" w:line="240" w:lineRule="auto"/>
              <w:rPr>
                <w:rFonts w:ascii="Times New Roman" w:eastAsia="T4" w:hAnsi="Times New Roman" w:cs="Times New Roman"/>
                <w:lang w:val="en-US"/>
              </w:rPr>
            </w:pPr>
            <w:r w:rsidRPr="00162DB2">
              <w:rPr>
                <w:rFonts w:ascii="Times New Roman" w:hAnsi="Times New Roman" w:cs="Times New Roman"/>
                <w:lang w:val="en-US"/>
              </w:rPr>
              <w:t>&lt;10</w:t>
            </w:r>
          </w:p>
        </w:tc>
        <w:tc>
          <w:tcPr>
            <w:tcW w:w="1010" w:type="dxa"/>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&lt;6,2</w:t>
            </w:r>
          </w:p>
        </w:tc>
        <w:tc>
          <w:tcPr>
            <w:tcW w:w="2500" w:type="dxa"/>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500 mg</w:t>
            </w:r>
          </w:p>
        </w:tc>
        <w:tc>
          <w:tcPr>
            <w:tcW w:w="2500" w:type="dxa"/>
            <w:shd w:val="clear" w:color="auto" w:fill="auto"/>
            <w:vAlign w:val="center"/>
          </w:tcPr>
          <w:p w:rsidR="00DB53EB" w:rsidRPr="00162DB2" w:rsidRDefault="00DB53EB" w:rsidP="00FA250C">
            <w:pPr>
              <w:autoSpaceDE w:val="0"/>
              <w:autoSpaceDN w:val="0"/>
              <w:adjustRightInd w:val="0"/>
              <w:spacing w:after="200" w:line="240" w:lineRule="auto"/>
              <w:rPr>
                <w:rFonts w:ascii="Times New Roman" w:hAnsi="Times New Roman" w:cs="Times New Roman"/>
                <w:lang w:val="en-US"/>
              </w:rPr>
            </w:pPr>
            <w:r w:rsidRPr="00162DB2">
              <w:rPr>
                <w:rFonts w:ascii="Times New Roman" w:hAnsi="Times New Roman" w:cs="Times New Roman"/>
                <w:lang w:val="en-US"/>
              </w:rPr>
              <w:t>1500 mg</w:t>
            </w:r>
          </w:p>
        </w:tc>
        <w:tc>
          <w:tcPr>
            <w:tcW w:w="2501" w:type="dxa"/>
            <w:shd w:val="clear" w:color="auto" w:fill="auto"/>
            <w:vAlign w:val="center"/>
          </w:tcPr>
          <w:p w:rsidR="00DB53EB" w:rsidRPr="00162DB2" w:rsidRDefault="00DB53EB" w:rsidP="00FA250C">
            <w:pPr>
              <w:autoSpaceDE w:val="0"/>
              <w:autoSpaceDN w:val="0"/>
              <w:adjustRightInd w:val="0"/>
              <w:spacing w:after="200" w:line="240" w:lineRule="auto"/>
              <w:ind w:left="360" w:hanging="360"/>
              <w:contextualSpacing/>
              <w:rPr>
                <w:rFonts w:ascii="Times New Roman" w:hAnsi="Times New Roman" w:cs="Times New Roman"/>
                <w:lang w:val="en-US"/>
              </w:rPr>
            </w:pPr>
            <w:r>
              <w:rPr>
                <w:rFonts w:ascii="Times New Roman" w:hAnsi="Times New Roman" w:cs="Times New Roman"/>
                <w:lang w:val="en-US"/>
              </w:rPr>
              <w:t>2000 mg</w:t>
            </w:r>
          </w:p>
        </w:tc>
      </w:tr>
    </w:tbl>
    <w:p w:rsidR="00DB53EB" w:rsidRPr="00162DB2" w:rsidRDefault="00DB53EB" w:rsidP="00DB53EB">
      <w:pPr>
        <w:tabs>
          <w:tab w:val="left" w:pos="120"/>
          <w:tab w:val="left" w:pos="567"/>
        </w:tabs>
        <w:spacing w:after="0" w:line="240" w:lineRule="auto"/>
        <w:ind w:left="720" w:hanging="360"/>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ind w:left="720" w:hanging="36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ii. </w:t>
      </w:r>
      <w:r w:rsidRPr="00162DB2">
        <w:rPr>
          <w:rFonts w:ascii="Times New Roman" w:eastAsia="Calibri" w:hAnsi="Times New Roman" w:cs="Times New Roman"/>
          <w:lang w:eastAsia="lt-LT"/>
        </w:rPr>
        <w:tab/>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formulė:</w:t>
      </w:r>
    </w:p>
    <w:p w:rsidR="00DB53EB" w:rsidRPr="00162DB2" w:rsidRDefault="00DB53EB" w:rsidP="00DB53EB">
      <w:pPr>
        <w:tabs>
          <w:tab w:val="left" w:pos="120"/>
          <w:tab w:val="left" w:pos="567"/>
        </w:tabs>
        <w:spacing w:after="0" w:line="240" w:lineRule="auto"/>
        <w:ind w:left="720" w:hanging="360"/>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ind w:left="360"/>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2 Lentelė.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formulė</w:t>
      </w:r>
    </w:p>
    <w:tbl>
      <w:tblPr>
        <w:tblStyle w:val="Lentelstinklelis"/>
        <w:tblW w:w="0" w:type="auto"/>
        <w:tblLook w:val="04A0" w:firstRow="1" w:lastRow="0" w:firstColumn="1" w:lastColumn="0" w:noHBand="0" w:noVBand="1"/>
      </w:tblPr>
      <w:tblGrid>
        <w:gridCol w:w="9060"/>
      </w:tblGrid>
      <w:tr w:rsidR="00DB53EB" w:rsidRPr="00162DB2" w:rsidTr="00FA250C">
        <w:tc>
          <w:tcPr>
            <w:tcW w:w="9628" w:type="dxa"/>
          </w:tcPr>
          <w:p w:rsidR="00DB53EB" w:rsidRPr="00162DB2" w:rsidRDefault="00DB53EB" w:rsidP="00FA250C">
            <w:pPr>
              <w:spacing w:line="276" w:lineRule="auto"/>
              <w:rPr>
                <w:rFonts w:ascii="Times New Roman" w:hAnsi="Times New Roman" w:cs="Times New Roman"/>
              </w:rPr>
            </w:pPr>
            <w:r w:rsidRPr="00162DB2">
              <w:rPr>
                <w:rFonts w:ascii="Times New Roman" w:hAnsi="Times New Roman" w:cs="Times New Roman"/>
              </w:rPr>
              <w:lastRenderedPageBreak/>
              <w:t>Geležies poreikis  =  Kūno svoris</w:t>
            </w:r>
            <w:r w:rsidRPr="00162DB2">
              <w:rPr>
                <w:rFonts w:ascii="Times New Roman" w:hAnsi="Times New Roman" w:cs="Times New Roman"/>
                <w:vertAlign w:val="superscript"/>
              </w:rPr>
              <w:t>(A)</w:t>
            </w:r>
            <w:r w:rsidRPr="00162DB2">
              <w:rPr>
                <w:rFonts w:ascii="Times New Roman" w:hAnsi="Times New Roman" w:cs="Times New Roman"/>
              </w:rPr>
              <w:t xml:space="preserve"> x (Siekiamas </w:t>
            </w:r>
            <w:r>
              <w:rPr>
                <w:rFonts w:ascii="Times New Roman" w:hAnsi="Times New Roman" w:cs="Times New Roman"/>
              </w:rPr>
              <w:t>tikslinis</w:t>
            </w:r>
            <w:r w:rsidRPr="00162DB2">
              <w:rPr>
                <w:rFonts w:ascii="Times New Roman" w:hAnsi="Times New Roman" w:cs="Times New Roman"/>
              </w:rPr>
              <w:t xml:space="preserve"> </w:t>
            </w:r>
            <w:proofErr w:type="spellStart"/>
            <w:r w:rsidRPr="00162DB2">
              <w:rPr>
                <w:rFonts w:ascii="Times New Roman" w:hAnsi="Times New Roman" w:cs="Times New Roman"/>
              </w:rPr>
              <w:t>Hb</w:t>
            </w:r>
            <w:proofErr w:type="spellEnd"/>
            <w:r w:rsidRPr="00162DB2">
              <w:rPr>
                <w:rFonts w:ascii="Times New Roman" w:hAnsi="Times New Roman" w:cs="Times New Roman"/>
                <w:vertAlign w:val="superscript"/>
              </w:rPr>
              <w:t>(D)</w:t>
            </w:r>
            <w:r w:rsidRPr="00162DB2">
              <w:rPr>
                <w:rFonts w:ascii="Times New Roman" w:hAnsi="Times New Roman" w:cs="Times New Roman"/>
              </w:rPr>
              <w:t xml:space="preserve">  – Esamas </w:t>
            </w:r>
            <w:proofErr w:type="spellStart"/>
            <w:r w:rsidRPr="00162DB2">
              <w:rPr>
                <w:rFonts w:ascii="Times New Roman" w:hAnsi="Times New Roman" w:cs="Times New Roman"/>
              </w:rPr>
              <w:t>Hb</w:t>
            </w:r>
            <w:proofErr w:type="spellEnd"/>
            <w:r w:rsidRPr="00162DB2">
              <w:rPr>
                <w:rFonts w:ascii="Times New Roman" w:hAnsi="Times New Roman" w:cs="Times New Roman"/>
              </w:rPr>
              <w:t>)</w:t>
            </w:r>
            <w:r w:rsidRPr="00162DB2">
              <w:rPr>
                <w:rFonts w:ascii="Times New Roman" w:hAnsi="Times New Roman" w:cs="Times New Roman"/>
                <w:vertAlign w:val="superscript"/>
              </w:rPr>
              <w:t>(B)</w:t>
            </w:r>
            <w:r w:rsidRPr="00162DB2">
              <w:rPr>
                <w:rFonts w:ascii="Times New Roman" w:hAnsi="Times New Roman" w:cs="Times New Roman"/>
              </w:rPr>
              <w:t xml:space="preserve"> x 2,4 + Geležis atsargoms</w:t>
            </w:r>
            <w:r w:rsidRPr="00162DB2">
              <w:rPr>
                <w:rFonts w:ascii="Times New Roman" w:hAnsi="Times New Roman" w:cs="Times New Roman"/>
                <w:vertAlign w:val="superscript"/>
              </w:rPr>
              <w:t>(C)</w:t>
            </w:r>
          </w:p>
          <w:p w:rsidR="00DB53EB" w:rsidRPr="00B5230C" w:rsidRDefault="00DB53EB" w:rsidP="00FA250C">
            <w:pPr>
              <w:tabs>
                <w:tab w:val="center" w:pos="1440"/>
                <w:tab w:val="left" w:pos="2410"/>
                <w:tab w:val="center" w:pos="4820"/>
                <w:tab w:val="center" w:pos="8080"/>
              </w:tabs>
              <w:spacing w:line="276" w:lineRule="auto"/>
              <w:rPr>
                <w:rFonts w:ascii="Times New Roman" w:hAnsi="Times New Roman" w:cs="Times New Roman"/>
                <w:lang w:val="de-DE"/>
              </w:rPr>
            </w:pPr>
            <w:r w:rsidRPr="00B5230C">
              <w:rPr>
                <w:rFonts w:ascii="Times New Roman" w:hAnsi="Times New Roman" w:cs="Times New Roman"/>
                <w:lang w:val="de-DE"/>
              </w:rPr>
              <w:t xml:space="preserve">[mg </w:t>
            </w:r>
            <w:proofErr w:type="spellStart"/>
            <w:r w:rsidRPr="00B5230C">
              <w:rPr>
                <w:rFonts w:ascii="Times New Roman" w:hAnsi="Times New Roman" w:cs="Times New Roman"/>
                <w:lang w:val="de-DE"/>
              </w:rPr>
              <w:t>geležies</w:t>
            </w:r>
            <w:proofErr w:type="spellEnd"/>
            <w:r w:rsidRPr="00B5230C">
              <w:rPr>
                <w:rFonts w:ascii="Times New Roman" w:hAnsi="Times New Roman" w:cs="Times New Roman"/>
                <w:lang w:val="de-DE"/>
              </w:rPr>
              <w:t>]</w:t>
            </w:r>
            <w:r w:rsidRPr="00B5230C">
              <w:rPr>
                <w:rFonts w:ascii="Times New Roman" w:hAnsi="Times New Roman" w:cs="Times New Roman"/>
                <w:lang w:val="de-DE"/>
              </w:rPr>
              <w:tab/>
              <w:t xml:space="preserve">               </w:t>
            </w:r>
            <w:proofErr w:type="gramStart"/>
            <w:r w:rsidRPr="00B5230C">
              <w:rPr>
                <w:rFonts w:ascii="Times New Roman" w:hAnsi="Times New Roman" w:cs="Times New Roman"/>
                <w:lang w:val="de-DE"/>
              </w:rPr>
              <w:t xml:space="preserve">   [</w:t>
            </w:r>
            <w:proofErr w:type="gramEnd"/>
            <w:r w:rsidRPr="00B5230C">
              <w:rPr>
                <w:rFonts w:ascii="Times New Roman" w:hAnsi="Times New Roman" w:cs="Times New Roman"/>
                <w:lang w:val="de-DE"/>
              </w:rPr>
              <w:t>kg]</w:t>
            </w:r>
            <w:r w:rsidRPr="00B5230C">
              <w:rPr>
                <w:rFonts w:ascii="Times New Roman" w:hAnsi="Times New Roman" w:cs="Times New Roman"/>
                <w:lang w:val="de-DE"/>
              </w:rPr>
              <w:tab/>
              <w:t xml:space="preserve">                                        [g/dl]                                     [mg </w:t>
            </w:r>
            <w:proofErr w:type="spellStart"/>
            <w:r w:rsidRPr="00B5230C">
              <w:rPr>
                <w:rFonts w:ascii="Times New Roman" w:hAnsi="Times New Roman" w:cs="Times New Roman"/>
                <w:lang w:val="de-DE"/>
              </w:rPr>
              <w:t>geležies</w:t>
            </w:r>
            <w:proofErr w:type="spellEnd"/>
            <w:r w:rsidRPr="00B5230C">
              <w:rPr>
                <w:rFonts w:ascii="Times New Roman" w:hAnsi="Times New Roman" w:cs="Times New Roman"/>
                <w:lang w:val="de-DE"/>
              </w:rPr>
              <w:t>]</w:t>
            </w:r>
          </w:p>
          <w:p w:rsidR="00DB53EB" w:rsidRPr="00162DB2" w:rsidRDefault="00DB53EB" w:rsidP="00FA250C">
            <w:pPr>
              <w:tabs>
                <w:tab w:val="left" w:pos="120"/>
                <w:tab w:val="left" w:pos="567"/>
              </w:tabs>
              <w:rPr>
                <w:rFonts w:ascii="Times New Roman" w:eastAsia="Calibri" w:hAnsi="Times New Roman" w:cs="Times New Roman"/>
                <w:lang w:eastAsia="lt-LT"/>
              </w:rPr>
            </w:pPr>
          </w:p>
        </w:tc>
      </w:tr>
    </w:tbl>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ind w:left="567" w:hanging="567"/>
        <w:rPr>
          <w:rFonts w:ascii="Times New Roman" w:eastAsia="Calibri" w:hAnsi="Times New Roman" w:cs="Times New Roman"/>
          <w:lang w:eastAsia="lt-LT"/>
        </w:rPr>
      </w:pPr>
      <w:r w:rsidRPr="00162DB2" w:rsidDel="003D34B3">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 xml:space="preserve">(A) </w:t>
      </w:r>
      <w:r w:rsidRPr="00162DB2">
        <w:rPr>
          <w:rFonts w:ascii="Times New Roman" w:eastAsia="Calibri" w:hAnsi="Times New Roman" w:cs="Times New Roman"/>
          <w:lang w:eastAsia="lt-LT"/>
        </w:rPr>
        <w:tab/>
        <w:t>Rekomenduojama skaičiuojant naudoti idealų paciento svorį nutukusiems arba moters svorį prieš nėštumą nėščiosioms. Visiems kitiems pacientams naudoti esamą kūno svorį. Idealus kūno svoris gali būti apskaičiuojamas įvairiais būdais, pvz., apskaičiuojant kūno svorį, kai KMI 25, pvz., idealus kūno svoris = 25*(ūgis metrais)</w:t>
      </w:r>
      <w:r w:rsidRPr="00162DB2">
        <w:rPr>
          <w:rFonts w:ascii="Times New Roman" w:eastAsia="Calibri" w:hAnsi="Times New Roman" w:cs="Times New Roman"/>
          <w:vertAlign w:val="superscript"/>
          <w:lang w:eastAsia="lt-LT"/>
        </w:rPr>
        <w:t>2</w:t>
      </w:r>
      <w:r w:rsidRPr="00162DB2">
        <w:rPr>
          <w:rFonts w:ascii="Times New Roman" w:eastAsia="Calibri" w:hAnsi="Times New Roman" w:cs="Times New Roman"/>
          <w:lang w:eastAsia="lt-LT"/>
        </w:rPr>
        <w:t xml:space="preserve">.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(B) </w:t>
      </w:r>
      <w:r w:rsidRPr="00162DB2">
        <w:rPr>
          <w:rFonts w:ascii="Times New Roman" w:eastAsia="Calibri" w:hAnsi="Times New Roman" w:cs="Times New Roman"/>
          <w:lang w:eastAsia="lt-LT"/>
        </w:rPr>
        <w:tab/>
        <w:t xml:space="preserve">Perskaičiuojant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mM</w:t>
      </w:r>
      <w:proofErr w:type="spellEnd"/>
      <w:r w:rsidRPr="00162DB2">
        <w:rPr>
          <w:rFonts w:ascii="Times New Roman" w:eastAsia="Calibri" w:hAnsi="Times New Roman" w:cs="Times New Roman"/>
          <w:lang w:eastAsia="lt-LT"/>
        </w:rPr>
        <w:t xml:space="preserve">] į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[g/dl], reikia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mM</w:t>
      </w:r>
      <w:proofErr w:type="spellEnd"/>
      <w:r w:rsidRPr="00162DB2">
        <w:rPr>
          <w:rFonts w:ascii="Times New Roman" w:eastAsia="Calibri" w:hAnsi="Times New Roman" w:cs="Times New Roman"/>
          <w:lang w:eastAsia="lt-LT"/>
        </w:rPr>
        <w:t>] dauginti iš koeficiento 1,61145</w:t>
      </w:r>
      <w:r>
        <w:rPr>
          <w:rFonts w:ascii="Times New Roman" w:eastAsia="Calibri" w:hAnsi="Times New Roman" w:cs="Times New Roman"/>
          <w:lang w:eastAsia="lt-LT"/>
        </w:rPr>
        <w:t>.</w:t>
      </w:r>
    </w:p>
    <w:p w:rsidR="00DB53EB" w:rsidRPr="00162DB2" w:rsidRDefault="00DB53EB" w:rsidP="00DB53EB">
      <w:pPr>
        <w:tabs>
          <w:tab w:val="left" w:pos="120"/>
          <w:tab w:val="left" w:pos="567"/>
        </w:tabs>
        <w:spacing w:after="0" w:line="240" w:lineRule="auto"/>
        <w:ind w:left="567" w:hanging="567"/>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(C) </w:t>
      </w:r>
      <w:r w:rsidRPr="00162DB2">
        <w:rPr>
          <w:rFonts w:ascii="Times New Roman" w:eastAsia="Calibri" w:hAnsi="Times New Roman" w:cs="Times New Roman"/>
          <w:lang w:eastAsia="lt-LT"/>
        </w:rPr>
        <w:tab/>
        <w:t>Paciento, kurio svoris didesnis kaip 35 kg, geležies atsargos sudaro apie 500 mg arba daugiau.   Mažesnės kaip 500 mg geležies atsargos yra mažiausia norma smulkaus sudėjimo moterims. Kai kurios rekomendacijos siūlo naudoti 10-15 mg geležies/kg kūno svoriui.</w:t>
      </w:r>
    </w:p>
    <w:p w:rsidR="00DB53EB" w:rsidRPr="00162DB2" w:rsidRDefault="00DB53EB" w:rsidP="00DB53EB">
      <w:pPr>
        <w:tabs>
          <w:tab w:val="left" w:pos="120"/>
          <w:tab w:val="left" w:pos="567"/>
        </w:tabs>
        <w:spacing w:after="0" w:line="240" w:lineRule="auto"/>
        <w:ind w:left="567" w:hanging="567"/>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(D)  </w:t>
      </w:r>
      <w:r w:rsidRPr="00162DB2">
        <w:rPr>
          <w:rFonts w:ascii="Times New Roman" w:eastAsia="Calibri" w:hAnsi="Times New Roman" w:cs="Times New Roman"/>
          <w:lang w:eastAsia="lt-LT"/>
        </w:rPr>
        <w:tab/>
        <w:t xml:space="preserve">Nustatytas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tikslas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formulėje yra 15 g/dl. Ypatingais atvejais, tokiais kaip nėštumas, yra naudojama mažesnis hemoglobino tikslas.</w:t>
      </w:r>
    </w:p>
    <w:p w:rsidR="00DB53EB"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567"/>
        </w:tabs>
        <w:spacing w:after="0" w:line="240" w:lineRule="auto"/>
        <w:ind w:firstLine="426"/>
        <w:rPr>
          <w:rFonts w:ascii="Times New Roman" w:eastAsia="Calibri" w:hAnsi="Times New Roman" w:cs="Times New Roman"/>
          <w:lang w:eastAsia="lt-LT"/>
        </w:rPr>
      </w:pPr>
      <w:r w:rsidRPr="00162DB2">
        <w:rPr>
          <w:rFonts w:ascii="Times New Roman" w:eastAsia="Calibri" w:hAnsi="Times New Roman" w:cs="Times New Roman"/>
          <w:lang w:eastAsia="lt-LT"/>
        </w:rPr>
        <w:t>iii.</w:t>
      </w:r>
      <w:r>
        <w:rPr>
          <w:rFonts w:ascii="Times New Roman" w:eastAsia="Calibri" w:hAnsi="Times New Roman" w:cs="Times New Roman"/>
          <w:lang w:eastAsia="lt-LT"/>
        </w:rPr>
        <w:t xml:space="preserve">   </w:t>
      </w:r>
      <w:r w:rsidRPr="00162DB2">
        <w:rPr>
          <w:rFonts w:ascii="Times New Roman" w:eastAsia="Calibri" w:hAnsi="Times New Roman" w:cs="Times New Roman"/>
          <w:lang w:eastAsia="lt-LT"/>
        </w:rPr>
        <w:t>Fiksuotas geležies poreikis</w:t>
      </w:r>
    </w:p>
    <w:p w:rsidR="00DB53EB" w:rsidRPr="00162DB2" w:rsidRDefault="00DB53EB" w:rsidP="00DB53EB">
      <w:pPr>
        <w:tabs>
          <w:tab w:val="left" w:pos="120"/>
          <w:tab w:val="left" w:pos="567"/>
        </w:tabs>
        <w:spacing w:after="0" w:line="240" w:lineRule="auto"/>
        <w:ind w:left="360"/>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Skiriama fiksuota 1000 mg dozė ir pacientas pakartotinai vertinamas dėl tolesnio geležies poreikio pagal „3 žingsnį“: „geležies atsargų įvertinimas“. Pacientams, sveriantiems mažiau nei 50 kg, geležies poreikiui apskaičiuoti naudokite supaprastintą lentelę arba </w:t>
      </w:r>
      <w:proofErr w:type="spellStart"/>
      <w:r w:rsidRPr="00162DB2">
        <w:rPr>
          <w:rFonts w:ascii="Times New Roman" w:eastAsia="Calibri" w:hAnsi="Times New Roman" w:cs="Times New Roman"/>
          <w:lang w:eastAsia="lt-LT"/>
        </w:rPr>
        <w:t>Ganzoni</w:t>
      </w:r>
      <w:proofErr w:type="spellEnd"/>
      <w:r w:rsidRPr="00162DB2">
        <w:rPr>
          <w:rFonts w:ascii="Times New Roman" w:eastAsia="Calibri" w:hAnsi="Times New Roman" w:cs="Times New Roman"/>
          <w:lang w:eastAsia="lt-LT"/>
        </w:rPr>
        <w:t xml:space="preserve"> formulę.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2 žingsnis</w:t>
      </w:r>
      <w:r>
        <w:rPr>
          <w:rFonts w:ascii="Times New Roman" w:eastAsia="Calibri" w:hAnsi="Times New Roman" w:cs="Times New Roman"/>
          <w:i/>
          <w:iCs/>
          <w:lang w:eastAsia="lt-LT"/>
        </w:rPr>
        <w:t>.</w:t>
      </w:r>
      <w:r w:rsidRPr="00162DB2">
        <w:rPr>
          <w:rFonts w:ascii="Times New Roman" w:eastAsia="Calibri" w:hAnsi="Times New Roman" w:cs="Times New Roman"/>
          <w:i/>
          <w:iCs/>
          <w:lang w:eastAsia="lt-LT"/>
        </w:rPr>
        <w:t xml:space="preserve"> Didžiausios individualios geležies dozės (-</w:t>
      </w:r>
      <w:proofErr w:type="spellStart"/>
      <w:r w:rsidRPr="00162DB2">
        <w:rPr>
          <w:rFonts w:ascii="Times New Roman" w:eastAsia="Calibri" w:hAnsi="Times New Roman" w:cs="Times New Roman"/>
          <w:i/>
          <w:iCs/>
          <w:lang w:eastAsia="lt-LT"/>
        </w:rPr>
        <w:t>ių</w:t>
      </w:r>
      <w:proofErr w:type="spellEnd"/>
      <w:r w:rsidRPr="00162DB2">
        <w:rPr>
          <w:rFonts w:ascii="Times New Roman" w:eastAsia="Calibri" w:hAnsi="Times New Roman" w:cs="Times New Roman"/>
          <w:i/>
          <w:iCs/>
          <w:lang w:eastAsia="lt-LT"/>
        </w:rPr>
        <w:t>) apskaičiavimas ir skyrimas: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Remiantis nustatytu geležies poreikiu, reikia skirti tinkamą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dozę atsižvelgiant į:</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Bendra dozė per savaitę neturėtų viršyti 20 mg geležies/ kg kūno svorio.</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Viena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infuzija neturi viršyti 20 mg geležies/ kg kūno svorio.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Viena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injekcija neturi viršyti 500 mg geležies.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r w:rsidRPr="00162DB2">
        <w:rPr>
          <w:rFonts w:ascii="Times New Roman" w:eastAsia="Calibri" w:hAnsi="Times New Roman" w:cs="Times New Roman"/>
          <w:i/>
          <w:iCs/>
          <w:lang w:eastAsia="lt-LT"/>
        </w:rPr>
        <w:t>3 žingsnis</w:t>
      </w:r>
      <w:r>
        <w:rPr>
          <w:rFonts w:ascii="Times New Roman" w:eastAsia="Calibri" w:hAnsi="Times New Roman" w:cs="Times New Roman"/>
          <w:i/>
          <w:iCs/>
          <w:lang w:eastAsia="lt-LT"/>
        </w:rPr>
        <w:t>.</w:t>
      </w:r>
      <w:r w:rsidRPr="00162DB2">
        <w:rPr>
          <w:rFonts w:ascii="Times New Roman" w:eastAsia="Calibri" w:hAnsi="Times New Roman" w:cs="Times New Roman"/>
          <w:i/>
          <w:iCs/>
          <w:lang w:eastAsia="lt-LT"/>
        </w:rPr>
        <w:t xml:space="preserve"> Geležies atsargų įvertinimas:</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Pakartotinį vertinimą, įskaitant kraujo tyrimus, turėtų atlikti gydytojas, atsižvelgdamas į kiekvieno paciento būklę. Norint įvertinti gydymo geležimi IV poveikį, </w:t>
      </w:r>
      <w:proofErr w:type="spellStart"/>
      <w:r w:rsidRPr="00162DB2">
        <w:rPr>
          <w:rFonts w:ascii="Times New Roman" w:eastAsia="Calibri" w:hAnsi="Times New Roman" w:cs="Times New Roman"/>
          <w:lang w:eastAsia="lt-LT"/>
        </w:rPr>
        <w:t>Hb</w:t>
      </w:r>
      <w:proofErr w:type="spellEnd"/>
      <w:r w:rsidRPr="00162DB2">
        <w:rPr>
          <w:rFonts w:ascii="Times New Roman" w:eastAsia="Calibri" w:hAnsi="Times New Roman" w:cs="Times New Roman"/>
          <w:lang w:eastAsia="lt-LT"/>
        </w:rPr>
        <w:t xml:space="preserve"> kiekis turėtų būti pakartotinai įvertintas ne anksčiau kaip praėjus 4 savaitėms po paskutinio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vartojimo, kad būtų pakankamai laiko </w:t>
      </w:r>
      <w:proofErr w:type="spellStart"/>
      <w:r w:rsidRPr="00162DB2">
        <w:rPr>
          <w:rFonts w:ascii="Times New Roman" w:eastAsia="Calibri" w:hAnsi="Times New Roman" w:cs="Times New Roman"/>
          <w:lang w:eastAsia="lt-LT"/>
        </w:rPr>
        <w:t>eritropoezei</w:t>
      </w:r>
      <w:proofErr w:type="spellEnd"/>
      <w:r w:rsidRPr="00162DB2">
        <w:rPr>
          <w:rFonts w:ascii="Times New Roman" w:eastAsia="Calibri" w:hAnsi="Times New Roman" w:cs="Times New Roman"/>
          <w:lang w:eastAsia="lt-LT"/>
        </w:rPr>
        <w:t xml:space="preserve"> ir geležies sunaudojimui. Jei pacientui reikia tolimesnio geležies papildymo, geležies poreikis turi būti perskaičiuotas.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426658" w:rsidRDefault="00DB53EB" w:rsidP="00DB53EB">
      <w:pPr>
        <w:tabs>
          <w:tab w:val="left" w:pos="120"/>
          <w:tab w:val="left" w:pos="567"/>
        </w:tabs>
        <w:spacing w:after="0" w:line="240" w:lineRule="auto"/>
        <w:rPr>
          <w:rFonts w:ascii="Times New Roman" w:eastAsia="Calibri" w:hAnsi="Times New Roman" w:cs="Times New Roman"/>
          <w:i/>
          <w:iCs/>
          <w:u w:val="single"/>
          <w:lang w:eastAsia="lt-LT"/>
        </w:rPr>
      </w:pPr>
      <w:r w:rsidRPr="00426658">
        <w:rPr>
          <w:rFonts w:ascii="Times New Roman" w:eastAsia="Calibri" w:hAnsi="Times New Roman" w:cs="Times New Roman"/>
          <w:i/>
          <w:iCs/>
          <w:u w:val="single"/>
          <w:lang w:eastAsia="lt-LT"/>
        </w:rPr>
        <w:t>Vaikai ir paaugliai:</w:t>
      </w: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p>
    <w:p w:rsidR="00DB53EB"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nerekomenduojama vartoti vaikams ir paaugliams, jaunesniems kaip 18 metų, dėl nepakankamų saugumo ir efektyvumo duomenų.</w:t>
      </w:r>
    </w:p>
    <w:p w:rsidR="00DB53EB" w:rsidRPr="00162DB2" w:rsidRDefault="00DB53EB" w:rsidP="00DB53EB">
      <w:pPr>
        <w:tabs>
          <w:tab w:val="left" w:pos="120"/>
          <w:tab w:val="left" w:pos="567"/>
        </w:tabs>
        <w:spacing w:after="0" w:line="240" w:lineRule="auto"/>
        <w:rPr>
          <w:rFonts w:ascii="Times New Roman" w:eastAsia="Calibri" w:hAnsi="Times New Roman" w:cs="Times New Roman"/>
          <w:i/>
          <w:i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Cs/>
          <w:u w:val="single"/>
          <w:lang w:eastAsia="lt-LT"/>
        </w:rPr>
      </w:pPr>
      <w:r w:rsidRPr="00162DB2">
        <w:rPr>
          <w:rFonts w:ascii="Times New Roman" w:eastAsia="Calibri" w:hAnsi="Times New Roman" w:cs="Times New Roman"/>
          <w:bCs/>
          <w:u w:val="single"/>
          <w:lang w:eastAsia="lt-LT"/>
        </w:rPr>
        <w:t>Vartojimo metodas</w:t>
      </w:r>
    </w:p>
    <w:p w:rsidR="00DB53EB" w:rsidRPr="00162DB2" w:rsidRDefault="00DB53EB" w:rsidP="00DB53EB">
      <w:pPr>
        <w:tabs>
          <w:tab w:val="left" w:pos="120"/>
          <w:tab w:val="left" w:pos="567"/>
        </w:tabs>
        <w:spacing w:after="0" w:line="240" w:lineRule="auto"/>
        <w:rPr>
          <w:rFonts w:ascii="Times New Roman" w:eastAsia="Calibri" w:hAnsi="Times New Roman" w:cs="Times New Roman"/>
          <w:u w:val="single"/>
          <w:lang w:eastAsia="lt-LT"/>
        </w:rPr>
      </w:pPr>
    </w:p>
    <w:p w:rsidR="00DB53EB" w:rsidRPr="00426658" w:rsidRDefault="00DB53EB" w:rsidP="00DB53EB">
      <w:pPr>
        <w:tabs>
          <w:tab w:val="left" w:pos="120"/>
          <w:tab w:val="left" w:pos="567"/>
        </w:tabs>
        <w:spacing w:after="0" w:line="240" w:lineRule="auto"/>
        <w:rPr>
          <w:rFonts w:ascii="Times New Roman" w:eastAsia="Calibri" w:hAnsi="Times New Roman" w:cs="Times New Roman"/>
          <w:u w:val="single"/>
          <w:lang w:eastAsia="lt-LT"/>
        </w:rPr>
      </w:pPr>
      <w:proofErr w:type="spellStart"/>
      <w:r w:rsidRPr="00426658">
        <w:rPr>
          <w:rFonts w:ascii="Times New Roman" w:eastAsia="Calibri" w:hAnsi="Times New Roman" w:cs="Times New Roman"/>
          <w:u w:val="single"/>
          <w:lang w:eastAsia="lt-LT"/>
        </w:rPr>
        <w:t>Monofer</w:t>
      </w:r>
      <w:proofErr w:type="spellEnd"/>
      <w:r w:rsidRPr="00426658">
        <w:rPr>
          <w:rFonts w:ascii="Times New Roman" w:eastAsia="Calibri" w:hAnsi="Times New Roman" w:cs="Times New Roman"/>
          <w:u w:val="single"/>
          <w:lang w:eastAsia="lt-LT"/>
        </w:rPr>
        <w:t xml:space="preserve"> turi būti skiriamas intraveniniam vartojimui injekcijomis arba infuzijomis. </w:t>
      </w:r>
    </w:p>
    <w:p w:rsidR="00DB53EB" w:rsidRPr="00162DB2" w:rsidRDefault="00DB53EB" w:rsidP="00DB53EB">
      <w:pPr>
        <w:tabs>
          <w:tab w:val="left" w:pos="120"/>
          <w:tab w:val="left" w:pos="567"/>
        </w:tabs>
        <w:spacing w:after="0" w:line="240" w:lineRule="auto"/>
        <w:rPr>
          <w:rFonts w:ascii="Times New Roman" w:eastAsia="Calibri" w:hAnsi="Times New Roman" w:cs="Times New Roman"/>
          <w:u w:val="single"/>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Negalima vartoti geriamųjų geležies preparatų kartu su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nes geriamosios geležies absorbcija gali sumažėti.</w:t>
      </w:r>
    </w:p>
    <w:p w:rsidR="00DB53EB" w:rsidRPr="00162DB2" w:rsidRDefault="00DB53EB" w:rsidP="00DB53EB">
      <w:pPr>
        <w:tabs>
          <w:tab w:val="left" w:pos="120"/>
          <w:tab w:val="left" w:pos="567"/>
        </w:tabs>
        <w:spacing w:after="0" w:line="240" w:lineRule="auto"/>
        <w:rPr>
          <w:rFonts w:ascii="Times New Roman" w:eastAsia="Calibri" w:hAnsi="Times New Roman" w:cs="Times New Roman"/>
          <w:u w:val="single"/>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i/>
          <w:lang w:eastAsia="lt-LT"/>
        </w:rPr>
        <w:t>B</w:t>
      </w:r>
      <w:r w:rsidRPr="00162DB2">
        <w:rPr>
          <w:rFonts w:ascii="Times New Roman" w:eastAsia="Calibri" w:hAnsi="Times New Roman" w:cs="Times New Roman"/>
          <w:bCs/>
          <w:i/>
          <w:lang w:eastAsia="lt-LT"/>
        </w:rPr>
        <w:t>olus</w:t>
      </w:r>
      <w:proofErr w:type="spellEnd"/>
      <w:r w:rsidRPr="00162DB2">
        <w:rPr>
          <w:rFonts w:ascii="Times New Roman" w:eastAsia="Calibri" w:hAnsi="Times New Roman" w:cs="Times New Roman"/>
          <w:bCs/>
          <w:i/>
          <w:lang w:eastAsia="lt-LT"/>
        </w:rPr>
        <w:t xml:space="preserve"> (smūginė)</w:t>
      </w:r>
      <w:r w:rsidRPr="00162DB2">
        <w:rPr>
          <w:rFonts w:ascii="Times New Roman" w:eastAsia="Calibri" w:hAnsi="Times New Roman" w:cs="Times New Roman"/>
          <w:b/>
          <w:bCs/>
          <w:i/>
          <w:lang w:eastAsia="lt-LT"/>
        </w:rPr>
        <w:t xml:space="preserve"> </w:t>
      </w:r>
      <w:r w:rsidRPr="00162DB2">
        <w:rPr>
          <w:rFonts w:ascii="Times New Roman" w:eastAsia="Calibri" w:hAnsi="Times New Roman" w:cs="Times New Roman"/>
          <w:bCs/>
          <w:i/>
          <w:lang w:eastAsia="lt-LT"/>
        </w:rPr>
        <w:t>injekcija į veną</w:t>
      </w:r>
      <w:r w:rsidRPr="00162DB2">
        <w:rPr>
          <w:rFonts w:ascii="Times New Roman" w:eastAsia="Calibri" w:hAnsi="Times New Roman" w:cs="Times New Roman"/>
          <w:lang w:eastAsia="lt-LT"/>
        </w:rPr>
        <w:br/>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vartojamas kaip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injekcija į veną, skiriant iki 500 mg iki 3 kartų per savaitę, vartojant iki 250 mg geležies per minutę greičiu. Preparatas gali būti vartojamas nepraskiestas arba praskiestas iki 20 ml steriliu 0,9% natrio chlorido tirpalu.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3 lentelė.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injekcijos į veną vartojimo normos</w:t>
      </w:r>
    </w:p>
    <w:tbl>
      <w:tblPr>
        <w:tblStyle w:val="Lentelstinklelis"/>
        <w:tblW w:w="0" w:type="auto"/>
        <w:tblLook w:val="04A0" w:firstRow="1" w:lastRow="0" w:firstColumn="1" w:lastColumn="0" w:noHBand="0" w:noVBand="1"/>
      </w:tblPr>
      <w:tblGrid>
        <w:gridCol w:w="2255"/>
        <w:gridCol w:w="2273"/>
        <w:gridCol w:w="2296"/>
        <w:gridCol w:w="2236"/>
      </w:tblGrid>
      <w:tr w:rsidR="00DB53EB" w:rsidRPr="00162DB2" w:rsidTr="00FA250C">
        <w:tc>
          <w:tcPr>
            <w:tcW w:w="2407" w:type="dxa"/>
          </w:tcPr>
          <w:p w:rsidR="00DB53EB" w:rsidRPr="00162DB2" w:rsidRDefault="00DB53EB" w:rsidP="00FA250C">
            <w:pPr>
              <w:tabs>
                <w:tab w:val="left" w:pos="120"/>
                <w:tab w:val="left" w:pos="567"/>
              </w:tabs>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lastRenderedPageBreak/>
              <w:t>Monofer</w:t>
            </w:r>
            <w:proofErr w:type="spellEnd"/>
            <w:r w:rsidRPr="00162DB2">
              <w:rPr>
                <w:rFonts w:ascii="Times New Roman" w:eastAsia="Calibri" w:hAnsi="Times New Roman" w:cs="Times New Roman"/>
                <w:lang w:eastAsia="lt-LT"/>
              </w:rPr>
              <w:t xml:space="preserve"> tūris</w:t>
            </w:r>
          </w:p>
        </w:tc>
        <w:tc>
          <w:tcPr>
            <w:tcW w:w="2407" w:type="dxa"/>
          </w:tcPr>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Lygiavertė geležies dozė</w:t>
            </w:r>
          </w:p>
        </w:tc>
        <w:tc>
          <w:tcPr>
            <w:tcW w:w="2407" w:type="dxa"/>
          </w:tcPr>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Vartojimo greitis / Minimalus vartojimo laikas</w:t>
            </w:r>
          </w:p>
        </w:tc>
        <w:tc>
          <w:tcPr>
            <w:tcW w:w="2407" w:type="dxa"/>
          </w:tcPr>
          <w:p w:rsidR="00DB53EB" w:rsidRPr="00162DB2" w:rsidRDefault="00DB53EB" w:rsidP="00FA250C">
            <w:pPr>
              <w:tabs>
                <w:tab w:val="left" w:pos="120"/>
                <w:tab w:val="left" w:pos="567"/>
              </w:tabs>
              <w:jc w:val="center"/>
              <w:rPr>
                <w:rFonts w:ascii="Times New Roman" w:eastAsia="Calibri" w:hAnsi="Times New Roman" w:cs="Times New Roman"/>
                <w:lang w:eastAsia="lt-LT"/>
              </w:rPr>
            </w:pPr>
            <w:r w:rsidRPr="00162DB2">
              <w:rPr>
                <w:rFonts w:ascii="Times New Roman" w:eastAsia="Calibri" w:hAnsi="Times New Roman" w:cs="Times New Roman"/>
                <w:lang w:eastAsia="lt-LT"/>
              </w:rPr>
              <w:t>Dažnis</w:t>
            </w:r>
          </w:p>
        </w:tc>
      </w:tr>
      <w:tr w:rsidR="00DB53EB" w:rsidRPr="00162DB2" w:rsidTr="00FA250C">
        <w:tc>
          <w:tcPr>
            <w:tcW w:w="2407" w:type="dxa"/>
          </w:tcPr>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color w:val="000000"/>
                <w:lang w:eastAsia="en-GB"/>
              </w:rPr>
              <w:t>≤5 ml</w:t>
            </w:r>
          </w:p>
        </w:tc>
        <w:tc>
          <w:tcPr>
            <w:tcW w:w="2407" w:type="dxa"/>
          </w:tcPr>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color w:val="000000"/>
                <w:lang w:eastAsia="en-GB"/>
              </w:rPr>
              <w:t>≤500 mg</w:t>
            </w:r>
          </w:p>
        </w:tc>
        <w:tc>
          <w:tcPr>
            <w:tcW w:w="2407" w:type="dxa"/>
          </w:tcPr>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color w:val="000000"/>
                <w:lang w:eastAsia="en-GB"/>
              </w:rPr>
              <w:t>250 mg geležies/min.</w:t>
            </w:r>
          </w:p>
        </w:tc>
        <w:tc>
          <w:tcPr>
            <w:tcW w:w="2407" w:type="dxa"/>
          </w:tcPr>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1-3 kartus per savaitę</w:t>
            </w:r>
          </w:p>
        </w:tc>
      </w:tr>
    </w:tbl>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i/>
          <w:lang w:eastAsia="lt-LT"/>
        </w:rPr>
        <w:t>Infuzija į veną</w:t>
      </w:r>
    </w:p>
    <w:p w:rsidR="00DB53EB" w:rsidRPr="00162DB2" w:rsidRDefault="00DB53EB" w:rsidP="00DB53EB">
      <w:pPr>
        <w:tabs>
          <w:tab w:val="left" w:pos="120"/>
          <w:tab w:val="left" w:pos="567"/>
          <w:tab w:val="left" w:pos="34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 xml:space="preserve">Reikalinga geležies dozė gali būti suvartojama viena </w:t>
      </w:r>
      <w:proofErr w:type="spellStart"/>
      <w:r w:rsidRPr="00162DB2">
        <w:rPr>
          <w:rFonts w:ascii="Times New Roman" w:eastAsia="Calibri" w:hAnsi="Times New Roman" w:cs="Times New Roman"/>
          <w:bCs/>
          <w:lang w:eastAsia="lt-LT"/>
        </w:rPr>
        <w:t>Monofer</w:t>
      </w:r>
      <w:proofErr w:type="spellEnd"/>
      <w:r w:rsidRPr="00162DB2">
        <w:rPr>
          <w:rFonts w:ascii="Times New Roman" w:eastAsia="Calibri" w:hAnsi="Times New Roman" w:cs="Times New Roman"/>
          <w:bCs/>
          <w:lang w:eastAsia="lt-LT"/>
        </w:rPr>
        <w:t xml:space="preserve"> infuzija, skiriant iki 20 mg geležies kilogramui kūno svorio arba infuzijomis vieną kartą per savaitę iki tol, kol suvartojamas reikalingas geležies kiekis.</w:t>
      </w:r>
    </w:p>
    <w:p w:rsidR="00DB53EB" w:rsidRPr="00162DB2" w:rsidRDefault="00DB53EB" w:rsidP="00DB53EB">
      <w:pPr>
        <w:tabs>
          <w:tab w:val="left" w:pos="120"/>
          <w:tab w:val="left" w:pos="567"/>
          <w:tab w:val="left" w:pos="3420"/>
        </w:tabs>
        <w:spacing w:after="0" w:line="240" w:lineRule="auto"/>
        <w:rPr>
          <w:rFonts w:ascii="Times New Roman" w:eastAsia="Calibri" w:hAnsi="Times New Roman" w:cs="Times New Roman"/>
          <w:bCs/>
          <w:lang w:eastAsia="lt-LT"/>
        </w:rPr>
      </w:pPr>
    </w:p>
    <w:p w:rsidR="00DB53EB" w:rsidRPr="00162DB2" w:rsidRDefault="00DB53EB" w:rsidP="00DB53EB">
      <w:pPr>
        <w:tabs>
          <w:tab w:val="left" w:pos="120"/>
          <w:tab w:val="left" w:pos="567"/>
          <w:tab w:val="left" w:pos="3420"/>
        </w:tabs>
        <w:spacing w:after="0" w:line="240" w:lineRule="auto"/>
        <w:rPr>
          <w:rFonts w:ascii="Times New Roman" w:eastAsia="Calibri" w:hAnsi="Times New Roman" w:cs="Times New Roman"/>
          <w:bCs/>
          <w:lang w:eastAsia="lt-LT"/>
        </w:rPr>
      </w:pPr>
      <w:r w:rsidRPr="00162DB2">
        <w:rPr>
          <w:rFonts w:ascii="Times New Roman" w:eastAsia="Calibri" w:hAnsi="Times New Roman" w:cs="Times New Roman"/>
          <w:bCs/>
          <w:lang w:eastAsia="lt-LT"/>
        </w:rPr>
        <w:t>Jei geležies poreikis viršija 20 mg kilogramui kūno svorio, dozė turėtų būti padalinta į dvi dalis ir vartojama su mažiausiai vienos savaitės intervalu. Jei įmanoma</w:t>
      </w:r>
      <w:r>
        <w:rPr>
          <w:rFonts w:ascii="Times New Roman" w:eastAsia="Calibri" w:hAnsi="Times New Roman" w:cs="Times New Roman"/>
          <w:bCs/>
          <w:lang w:eastAsia="lt-LT"/>
        </w:rPr>
        <w:t>,</w:t>
      </w:r>
      <w:r w:rsidRPr="00162DB2">
        <w:rPr>
          <w:rFonts w:ascii="Times New Roman" w:eastAsia="Calibri" w:hAnsi="Times New Roman" w:cs="Times New Roman"/>
          <w:bCs/>
          <w:lang w:eastAsia="lt-LT"/>
        </w:rPr>
        <w:t xml:space="preserve"> pirmą kartą vartojant rekomenduojama skirti 20 mg geležies/kilogramui kūno svorio. Priklausomai nuo klinikinės situacijos, antrasis vartojimas skiriamas remiantis laboratoriniais tyrimais.</w:t>
      </w:r>
    </w:p>
    <w:p w:rsidR="00DB53EB" w:rsidRPr="00162DB2" w:rsidRDefault="00DB53EB" w:rsidP="00DB53EB">
      <w:pPr>
        <w:tabs>
          <w:tab w:val="left" w:pos="120"/>
          <w:tab w:val="left" w:pos="567"/>
          <w:tab w:val="left" w:pos="3420"/>
        </w:tabs>
        <w:spacing w:after="0" w:line="240" w:lineRule="auto"/>
        <w:rPr>
          <w:rFonts w:ascii="Times New Roman" w:eastAsia="Calibri" w:hAnsi="Times New Roman" w:cs="Times New Roman"/>
          <w:bCs/>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4 lentelė. Infuzijos į veną vartojimo normos</w:t>
      </w:r>
    </w:p>
    <w:tbl>
      <w:tblPr>
        <w:tblStyle w:val="Lentelstinklelis"/>
        <w:tblW w:w="0" w:type="auto"/>
        <w:tblLook w:val="04A0" w:firstRow="1" w:lastRow="0" w:firstColumn="1" w:lastColumn="0" w:noHBand="0" w:noVBand="1"/>
      </w:tblPr>
      <w:tblGrid>
        <w:gridCol w:w="4523"/>
        <w:gridCol w:w="4537"/>
      </w:tblGrid>
      <w:tr w:rsidR="00DB53EB" w:rsidRPr="00162DB2" w:rsidTr="00FA250C">
        <w:tc>
          <w:tcPr>
            <w:tcW w:w="4814" w:type="dxa"/>
          </w:tcPr>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Geležies dozė</w:t>
            </w:r>
          </w:p>
        </w:tc>
        <w:tc>
          <w:tcPr>
            <w:tcW w:w="4814" w:type="dxa"/>
          </w:tcPr>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Minimalus vartojimo laikas</w:t>
            </w:r>
          </w:p>
        </w:tc>
      </w:tr>
      <w:tr w:rsidR="00DB53EB" w:rsidRPr="00162DB2" w:rsidTr="00FA250C">
        <w:tc>
          <w:tcPr>
            <w:tcW w:w="4814" w:type="dxa"/>
          </w:tcPr>
          <w:p w:rsidR="00DB53EB" w:rsidRPr="00162DB2" w:rsidRDefault="00DB53EB" w:rsidP="00FA250C">
            <w:pPr>
              <w:rPr>
                <w:rFonts w:ascii="Times New Roman" w:hAnsi="Times New Roman" w:cs="Times New Roman"/>
                <w:iCs/>
                <w:color w:val="000000"/>
                <w:lang w:eastAsia="en-GB"/>
              </w:rPr>
            </w:pPr>
            <w:r w:rsidRPr="00162DB2">
              <w:rPr>
                <w:rFonts w:ascii="Times New Roman" w:hAnsi="Times New Roman" w:cs="Times New Roman"/>
                <w:iCs/>
                <w:color w:val="000000"/>
                <w:lang w:eastAsia="en-GB"/>
              </w:rPr>
              <w:t>≤1000 mg</w:t>
            </w:r>
          </w:p>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hAnsi="Times New Roman" w:cs="Times New Roman"/>
                <w:iCs/>
                <w:color w:val="000000"/>
                <w:lang w:eastAsia="en-GB"/>
              </w:rPr>
              <w:t>&gt;1000 mg</w:t>
            </w:r>
          </w:p>
        </w:tc>
        <w:tc>
          <w:tcPr>
            <w:tcW w:w="4814" w:type="dxa"/>
          </w:tcPr>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Ilgiau nei 15 min.</w:t>
            </w:r>
          </w:p>
          <w:p w:rsidR="00DB53EB" w:rsidRPr="00162DB2" w:rsidRDefault="00DB53EB" w:rsidP="00FA250C">
            <w:pPr>
              <w:tabs>
                <w:tab w:val="left" w:pos="120"/>
                <w:tab w:val="left" w:pos="567"/>
              </w:tabs>
              <w:rPr>
                <w:rFonts w:ascii="Times New Roman" w:eastAsia="Calibri" w:hAnsi="Times New Roman" w:cs="Times New Roman"/>
                <w:lang w:eastAsia="lt-LT"/>
              </w:rPr>
            </w:pPr>
            <w:r w:rsidRPr="00162DB2">
              <w:rPr>
                <w:rFonts w:ascii="Times New Roman" w:eastAsia="Calibri" w:hAnsi="Times New Roman" w:cs="Times New Roman"/>
                <w:lang w:eastAsia="lt-LT"/>
              </w:rPr>
              <w:t>30 min. ir ilgiau</w:t>
            </w:r>
          </w:p>
        </w:tc>
      </w:tr>
    </w:tbl>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turi būti leidžiamas neskiestas arba praskiestas steriliu 0,9% natrio chlorido tirpalu. </w:t>
      </w: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r w:rsidRPr="00162DB2">
        <w:rPr>
          <w:rFonts w:ascii="Times New Roman" w:eastAsia="Calibri" w:hAnsi="Times New Roman" w:cs="Times New Roman"/>
          <w:lang w:eastAsia="lt-LT"/>
        </w:rPr>
        <w:t xml:space="preserve">Dėl stabilumo, </w:t>
      </w: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neturėtų būti skiedžiamas iki mažesnės kaip 1 mg geležies/ml koncentracijos (neįskaitant geležies </w:t>
      </w:r>
      <w:proofErr w:type="spellStart"/>
      <w:r w:rsidRPr="00732FBD">
        <w:rPr>
          <w:rFonts w:ascii="Times New Roman" w:eastAsia="Calibri" w:hAnsi="Times New Roman" w:cs="Times New Roman"/>
          <w:lang w:eastAsia="lt-LT"/>
        </w:rPr>
        <w:t>derisomaltozės</w:t>
      </w:r>
      <w:proofErr w:type="spellEnd"/>
      <w:r w:rsidRPr="00162DB2">
        <w:rPr>
          <w:rFonts w:ascii="Times New Roman" w:eastAsia="Calibri" w:hAnsi="Times New Roman" w:cs="Times New Roman"/>
          <w:lang w:eastAsia="lt-LT"/>
        </w:rPr>
        <w:t xml:space="preserve"> tirpalo tūrio) ir niekada neturėtų būti skiedžiamas daugiau kaip 500 ml. </w:t>
      </w:r>
    </w:p>
    <w:p w:rsidR="00DB53EB" w:rsidRDefault="00DB53EB" w:rsidP="00DB53EB">
      <w:pPr>
        <w:tabs>
          <w:tab w:val="left" w:pos="120"/>
          <w:tab w:val="left" w:pos="567"/>
        </w:tabs>
        <w:spacing w:after="0" w:line="240" w:lineRule="auto"/>
        <w:rPr>
          <w:rFonts w:ascii="Times New Roman" w:eastAsia="Calibri" w:hAnsi="Times New Roman" w:cs="Times New Roman"/>
          <w:bCs/>
          <w:i/>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bCs/>
          <w:i/>
          <w:lang w:eastAsia="lt-LT"/>
        </w:rPr>
      </w:pPr>
      <w:r w:rsidRPr="00162DB2">
        <w:rPr>
          <w:rFonts w:ascii="Times New Roman" w:eastAsia="Calibri" w:hAnsi="Times New Roman" w:cs="Times New Roman"/>
          <w:bCs/>
          <w:i/>
          <w:lang w:eastAsia="lt-LT"/>
        </w:rPr>
        <w:t>Injekcija į dializės aparatą</w:t>
      </w:r>
    </w:p>
    <w:p w:rsidR="00DB53EB" w:rsidRPr="00162DB2" w:rsidRDefault="00DB53EB" w:rsidP="00DB53EB">
      <w:pPr>
        <w:tabs>
          <w:tab w:val="left" w:pos="120"/>
          <w:tab w:val="left" w:pos="567"/>
        </w:tabs>
        <w:spacing w:after="0" w:line="240" w:lineRule="auto"/>
        <w:rPr>
          <w:rFonts w:ascii="Times New Roman" w:eastAsia="Calibri" w:hAnsi="Times New Roman" w:cs="Times New Roman"/>
          <w:i/>
          <w:lang w:eastAsia="lt-LT"/>
        </w:rPr>
      </w:pPr>
    </w:p>
    <w:p w:rsidR="00DB53EB" w:rsidRPr="00162DB2" w:rsidRDefault="00DB53EB" w:rsidP="00DB53EB">
      <w:pPr>
        <w:tabs>
          <w:tab w:val="left" w:pos="120"/>
          <w:tab w:val="left" w:pos="567"/>
        </w:tabs>
        <w:spacing w:after="0" w:line="240" w:lineRule="auto"/>
        <w:rPr>
          <w:rFonts w:ascii="Times New Roman" w:eastAsia="Calibri" w:hAnsi="Times New Roman" w:cs="Times New Roman"/>
          <w:lang w:eastAsia="lt-LT"/>
        </w:rPr>
      </w:pPr>
      <w:proofErr w:type="spellStart"/>
      <w:r w:rsidRPr="00162DB2">
        <w:rPr>
          <w:rFonts w:ascii="Times New Roman" w:eastAsia="Calibri" w:hAnsi="Times New Roman" w:cs="Times New Roman"/>
          <w:lang w:eastAsia="lt-LT"/>
        </w:rPr>
        <w:t>Monofer</w:t>
      </w:r>
      <w:proofErr w:type="spellEnd"/>
      <w:r w:rsidRPr="00162DB2">
        <w:rPr>
          <w:rFonts w:ascii="Times New Roman" w:eastAsia="Calibri" w:hAnsi="Times New Roman" w:cs="Times New Roman"/>
          <w:lang w:eastAsia="lt-LT"/>
        </w:rPr>
        <w:t xml:space="preserve"> gali būti skiriamas tiesiogiai į dializės aparato veninę dalį hemodializės metu, tokia pačia procedūra, kaip nurodyta </w:t>
      </w:r>
      <w:proofErr w:type="spellStart"/>
      <w:r w:rsidRPr="00162DB2">
        <w:rPr>
          <w:rFonts w:ascii="Times New Roman" w:eastAsia="Calibri" w:hAnsi="Times New Roman" w:cs="Times New Roman"/>
          <w:lang w:eastAsia="lt-LT"/>
        </w:rPr>
        <w:t>bolus</w:t>
      </w:r>
      <w:proofErr w:type="spellEnd"/>
      <w:r w:rsidRPr="00162DB2">
        <w:rPr>
          <w:rFonts w:ascii="Times New Roman" w:eastAsia="Calibri" w:hAnsi="Times New Roman" w:cs="Times New Roman"/>
          <w:lang w:eastAsia="lt-LT"/>
        </w:rPr>
        <w:t xml:space="preserve"> (smūginės dozės) injekcijos vartojimo į veną metoduose. </w:t>
      </w:r>
    </w:p>
    <w:p w:rsidR="00DB53EB" w:rsidRPr="00162DB2" w:rsidRDefault="00DB53EB" w:rsidP="00DB53EB">
      <w:pPr>
        <w:tabs>
          <w:tab w:val="left" w:pos="567"/>
        </w:tabs>
        <w:spacing w:after="0" w:line="240" w:lineRule="auto"/>
        <w:rPr>
          <w:rFonts w:ascii="Times New Roman" w:eastAsia="SimSun" w:hAnsi="Times New Roman" w:cs="Times New Roman"/>
        </w:rPr>
      </w:pPr>
    </w:p>
    <w:p w:rsidR="00DB53EB" w:rsidRPr="00162DB2" w:rsidRDefault="00DB53EB" w:rsidP="00DB53EB">
      <w:pPr>
        <w:tabs>
          <w:tab w:val="left" w:pos="567"/>
        </w:tabs>
        <w:spacing w:after="0" w:line="240" w:lineRule="auto"/>
      </w:pPr>
      <w:r w:rsidRPr="00162DB2">
        <w:rPr>
          <w:rFonts w:ascii="Times New Roman" w:eastAsia="SimSun" w:hAnsi="Times New Roman" w:cs="Times New Roman"/>
        </w:rPr>
        <w:t xml:space="preserve">Daugiau informacijos apie </w:t>
      </w:r>
      <w:proofErr w:type="spellStart"/>
      <w:r w:rsidRPr="00162DB2">
        <w:rPr>
          <w:rFonts w:ascii="Times New Roman" w:eastAsia="SimSun" w:hAnsi="Times New Roman" w:cs="Times New Roman"/>
        </w:rPr>
        <w:t>Monofer</w:t>
      </w:r>
      <w:proofErr w:type="spellEnd"/>
      <w:r w:rsidRPr="00162DB2">
        <w:rPr>
          <w:rFonts w:ascii="Times New Roman" w:eastAsia="SimSun" w:hAnsi="Times New Roman" w:cs="Times New Roman"/>
        </w:rPr>
        <w:t xml:space="preserve"> pateikta PCS.</w:t>
      </w:r>
    </w:p>
    <w:p w:rsidR="00DB53EB" w:rsidRDefault="00DB53EB" w:rsidP="00DB53EB"/>
    <w:p w:rsidR="00BA6577" w:rsidRDefault="00BA6577">
      <w:bookmarkStart w:id="0" w:name="_GoBack"/>
      <w:bookmarkEnd w:id="0"/>
    </w:p>
    <w:sectPr w:rsidR="00BA6577" w:rsidSect="00A2363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4">
    <w:altName w:val="Yu Gothic"/>
    <w:panose1 w:val="00000000000000000000"/>
    <w:charset w:val="80"/>
    <w:family w:val="swiss"/>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261DB"/>
    <w:multiLevelType w:val="hybridMultilevel"/>
    <w:tmpl w:val="A056955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1DC6952"/>
    <w:multiLevelType w:val="hybridMultilevel"/>
    <w:tmpl w:val="86C477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4926D0"/>
    <w:multiLevelType w:val="hybridMultilevel"/>
    <w:tmpl w:val="648CBA5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933B77"/>
    <w:multiLevelType w:val="hybridMultilevel"/>
    <w:tmpl w:val="2104D7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691668"/>
    <w:multiLevelType w:val="hybridMultilevel"/>
    <w:tmpl w:val="7408F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260B3A"/>
    <w:multiLevelType w:val="hybridMultilevel"/>
    <w:tmpl w:val="6D4C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F1105"/>
    <w:multiLevelType w:val="hybridMultilevel"/>
    <w:tmpl w:val="385CA94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A9C7DFF"/>
    <w:multiLevelType w:val="hybridMultilevel"/>
    <w:tmpl w:val="8304B74E"/>
    <w:lvl w:ilvl="0" w:tplc="EBB05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3EB"/>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B53EB"/>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B221E-2DC1-4451-AF80-47434A3B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53EB"/>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table" w:styleId="Lentelstinklelis">
    <w:name w:val="Table Grid"/>
    <w:basedOn w:val="prastojilentel"/>
    <w:uiPriority w:val="39"/>
    <w:rsid w:val="00DB53E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info@pharmacosmo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10371</Words>
  <Characters>5913</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2025-06-25T06:06:00Z</dcterms:created>
  <dcterms:modified xsi:type="dcterms:W3CDTF">2025-06-25T06:07:00Z</dcterms:modified>
</cp:coreProperties>
</file>