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836" w:rsidRDefault="008B7836" w:rsidP="008B7836">
      <w:pPr>
        <w:pStyle w:val="BTEMEASMCA"/>
        <w:rPr>
          <w:b/>
        </w:rPr>
      </w:pPr>
      <w:r>
        <w:tab/>
      </w:r>
      <w:r>
        <w:tab/>
      </w:r>
      <w:r>
        <w:tab/>
      </w:r>
      <w:r>
        <w:rPr>
          <w:b/>
        </w:rPr>
        <w:t>Pakuotės lapelis: informacija vartotojui</w:t>
      </w:r>
    </w:p>
    <w:p w:rsidR="008B7836" w:rsidRDefault="008B7836" w:rsidP="008B7836">
      <w:pPr>
        <w:pStyle w:val="BTbeEMEASMCA"/>
      </w:pPr>
    </w:p>
    <w:p w:rsidR="008B7836" w:rsidRDefault="008B7836" w:rsidP="008B7836">
      <w:pPr>
        <w:pStyle w:val="BTbeEMEASMCA"/>
      </w:pPr>
      <w:proofErr w:type="spellStart"/>
      <w:r>
        <w:t>Begsan</w:t>
      </w:r>
      <w:proofErr w:type="spellEnd"/>
      <w:r>
        <w:t xml:space="preserve"> 25 mg/g gelis</w:t>
      </w:r>
    </w:p>
    <w:p w:rsidR="008B7836" w:rsidRDefault="008B7836" w:rsidP="008B7836">
      <w:pPr>
        <w:pStyle w:val="BTeEMEASMCA"/>
      </w:pPr>
      <w:proofErr w:type="spellStart"/>
      <w:r>
        <w:t>Ketoprofenas</w:t>
      </w:r>
      <w:proofErr w:type="spellEnd"/>
    </w:p>
    <w:p w:rsidR="008B7836" w:rsidRDefault="008B7836" w:rsidP="008B7836">
      <w:pPr>
        <w:pStyle w:val="BTEMEASMCA"/>
      </w:pPr>
    </w:p>
    <w:p w:rsidR="008B7836" w:rsidRDefault="008B7836" w:rsidP="008B7836">
      <w:pPr>
        <w:pStyle w:val="BTbEMEASMCA"/>
      </w:pPr>
      <w:r>
        <w:t>Atidžiai perskaitykite visą šį lapelį, prieš pradėdami vartoti vaistą, nes jame pateikiama Jums svarbi informacija.</w:t>
      </w:r>
    </w:p>
    <w:p w:rsidR="008B7836" w:rsidRDefault="008B7836" w:rsidP="008B7836">
      <w:pPr>
        <w:pStyle w:val="BT-EMEASMCA"/>
        <w:tabs>
          <w:tab w:val="clear" w:pos="360"/>
          <w:tab w:val="num" w:pos="930"/>
        </w:tabs>
      </w:pPr>
      <w:r>
        <w:t>Neišmeskite šio lapelio, nes vėl gali prireikti jį perskaityti.</w:t>
      </w:r>
    </w:p>
    <w:p w:rsidR="008B7836" w:rsidRDefault="008B7836" w:rsidP="008B7836">
      <w:pPr>
        <w:pStyle w:val="BT-EMEASMCA"/>
        <w:tabs>
          <w:tab w:val="clear" w:pos="360"/>
          <w:tab w:val="num" w:pos="930"/>
        </w:tabs>
      </w:pPr>
      <w:r>
        <w:t>Jeigu kiltų daugiau klausimų, kreipkitės į gydytoją arba vaistininką.</w:t>
      </w:r>
    </w:p>
    <w:p w:rsidR="008B7836" w:rsidRDefault="008B7836" w:rsidP="008B7836">
      <w:pPr>
        <w:pStyle w:val="BT-EMEASMCA"/>
        <w:tabs>
          <w:tab w:val="clear" w:pos="360"/>
          <w:tab w:val="num" w:pos="930"/>
        </w:tabs>
      </w:pPr>
      <w:r>
        <w:t>Šis vaistas skirtas tik Jums, todėl kitiems žmonėms jo duoti negalima. Vaistas gali jiems pakenkti (net tiems, kurių ligos požymiai yra tokie patys kaip Jūsų).</w:t>
      </w:r>
    </w:p>
    <w:p w:rsidR="008B7836" w:rsidRDefault="008B7836" w:rsidP="008B7836">
      <w:pPr>
        <w:pStyle w:val="BT-EMEASMCA"/>
        <w:tabs>
          <w:tab w:val="clear" w:pos="360"/>
          <w:tab w:val="num" w:pos="930"/>
        </w:tabs>
      </w:pPr>
      <w:r>
        <w:t>Jeigu pasireiškė šalutinis poveikis (net jeigu jis šiame lapelyje nenurodytas), kreipkitės į gydytoją arba vaistininką. Žr. 4 skyrių.</w:t>
      </w:r>
    </w:p>
    <w:p w:rsidR="008B7836" w:rsidRDefault="008B7836" w:rsidP="008B7836">
      <w:pPr>
        <w:pStyle w:val="BTEMEASMCA"/>
      </w:pPr>
    </w:p>
    <w:p w:rsidR="008B7836" w:rsidRDefault="008B7836" w:rsidP="008B7836">
      <w:pPr>
        <w:pStyle w:val="BTbEMEASMCA"/>
      </w:pPr>
      <w:r>
        <w:t>Apie ką rašoma šiame lapelyje?</w:t>
      </w:r>
    </w:p>
    <w:p w:rsidR="008B7836" w:rsidRDefault="008B7836" w:rsidP="008B7836">
      <w:pPr>
        <w:pStyle w:val="BTbEMEASMCA"/>
      </w:pPr>
    </w:p>
    <w:p w:rsidR="008B7836" w:rsidRDefault="008B7836" w:rsidP="008B7836">
      <w:pPr>
        <w:pStyle w:val="BTEMEASMCA"/>
      </w:pPr>
      <w:r>
        <w:t>1.</w:t>
      </w:r>
      <w:r>
        <w:tab/>
        <w:t xml:space="preserve">Kas yra </w:t>
      </w:r>
      <w:proofErr w:type="spellStart"/>
      <w:r>
        <w:t>Begsan</w:t>
      </w:r>
      <w:proofErr w:type="spellEnd"/>
      <w:r>
        <w:t xml:space="preserve"> ir kam jis vartojamas</w:t>
      </w:r>
    </w:p>
    <w:p w:rsidR="008B7836" w:rsidRDefault="008B7836" w:rsidP="008B7836">
      <w:pPr>
        <w:pStyle w:val="BTEMEASMCA"/>
      </w:pPr>
      <w:r>
        <w:t>2.</w:t>
      </w:r>
      <w:r>
        <w:tab/>
        <w:t xml:space="preserve">Kas žinotina prieš vartojant </w:t>
      </w:r>
      <w:proofErr w:type="spellStart"/>
      <w:r>
        <w:t>Begsan</w:t>
      </w:r>
      <w:proofErr w:type="spellEnd"/>
    </w:p>
    <w:p w:rsidR="008B7836" w:rsidRDefault="008B7836" w:rsidP="008B7836">
      <w:pPr>
        <w:pStyle w:val="BTEMEASMCA"/>
      </w:pPr>
      <w:r>
        <w:t>3.</w:t>
      </w:r>
      <w:r>
        <w:tab/>
        <w:t xml:space="preserve">Kaip vartoti </w:t>
      </w:r>
      <w:proofErr w:type="spellStart"/>
      <w:r>
        <w:t>Begsan</w:t>
      </w:r>
      <w:proofErr w:type="spellEnd"/>
    </w:p>
    <w:p w:rsidR="008B7836" w:rsidRDefault="008B7836" w:rsidP="008B7836">
      <w:pPr>
        <w:pStyle w:val="BTEMEASMCA"/>
      </w:pPr>
      <w:r>
        <w:t>4.</w:t>
      </w:r>
      <w:r>
        <w:tab/>
        <w:t>Galimas šalutinis poveikis</w:t>
      </w:r>
    </w:p>
    <w:p w:rsidR="008B7836" w:rsidRDefault="008B7836" w:rsidP="008B7836">
      <w:pPr>
        <w:pStyle w:val="BTEMEASMCA"/>
      </w:pPr>
      <w:r>
        <w:t>5.</w:t>
      </w:r>
      <w:r>
        <w:tab/>
        <w:t xml:space="preserve">Kaip laikyti </w:t>
      </w:r>
      <w:proofErr w:type="spellStart"/>
      <w:r>
        <w:t>Begsan</w:t>
      </w:r>
      <w:proofErr w:type="spellEnd"/>
    </w:p>
    <w:p w:rsidR="008B7836" w:rsidRDefault="008B7836" w:rsidP="008B7836">
      <w:pPr>
        <w:pStyle w:val="BTEMEASMCA"/>
      </w:pPr>
      <w:r>
        <w:t>6.</w:t>
      </w:r>
      <w:r>
        <w:tab/>
        <w:t>Pakuotės turinys ir kita informacija</w:t>
      </w:r>
    </w:p>
    <w:p w:rsidR="008B7836" w:rsidRDefault="008B7836" w:rsidP="008B7836">
      <w:pPr>
        <w:pStyle w:val="BTEMEASMCA"/>
      </w:pPr>
    </w:p>
    <w:p w:rsidR="008B7836" w:rsidRDefault="008B7836" w:rsidP="008B7836">
      <w:pPr>
        <w:pStyle w:val="BTEMEASMCA"/>
      </w:pPr>
    </w:p>
    <w:p w:rsidR="008B7836" w:rsidRDefault="008B7836" w:rsidP="008B7836">
      <w:pPr>
        <w:pStyle w:val="PI-1EMEASMCA"/>
      </w:pPr>
      <w:bookmarkStart w:id="0" w:name="_Toc129243264"/>
      <w:bookmarkStart w:id="1" w:name="_Toc129243139"/>
      <w:r>
        <w:t>1.</w:t>
      </w:r>
      <w:r>
        <w:tab/>
        <w:t xml:space="preserve">Kas yra </w:t>
      </w:r>
      <w:proofErr w:type="spellStart"/>
      <w:r>
        <w:t>Begsan</w:t>
      </w:r>
      <w:proofErr w:type="spellEnd"/>
      <w:r>
        <w:t xml:space="preserve"> ir kam jis vartojamas</w:t>
      </w:r>
      <w:bookmarkEnd w:id="0"/>
      <w:bookmarkEnd w:id="1"/>
    </w:p>
    <w:p w:rsidR="008B7836" w:rsidRDefault="008B7836" w:rsidP="008B7836">
      <w:pPr>
        <w:pStyle w:val="BTEMEASMCA"/>
      </w:pPr>
    </w:p>
    <w:p w:rsidR="008B7836" w:rsidRDefault="008B7836" w:rsidP="008B7836">
      <w:pPr>
        <w:pStyle w:val="BTEMEASMCA"/>
      </w:pPr>
      <w:proofErr w:type="spellStart"/>
      <w:r>
        <w:t>Begsan</w:t>
      </w:r>
      <w:proofErr w:type="spellEnd"/>
      <w:r>
        <w:t xml:space="preserve"> vartojamas lokaliam silpno ir vidutinio stiprumo potrauminio raumenų skausmo malšinimui.</w:t>
      </w:r>
    </w:p>
    <w:p w:rsidR="008B7836" w:rsidRDefault="008B7836" w:rsidP="008B7836">
      <w:pPr>
        <w:pStyle w:val="BTEMEASMCA"/>
      </w:pPr>
      <w:r>
        <w:t xml:space="preserve">Veiklioji medžiaga </w:t>
      </w:r>
      <w:proofErr w:type="spellStart"/>
      <w:r>
        <w:t>ketoprofenas</w:t>
      </w:r>
      <w:proofErr w:type="spellEnd"/>
      <w:r>
        <w:t xml:space="preserve"> arba 2-(3-benzoilfenil) </w:t>
      </w:r>
      <w:proofErr w:type="spellStart"/>
      <w:r>
        <w:t>propionatas</w:t>
      </w:r>
      <w:proofErr w:type="spellEnd"/>
      <w:r>
        <w:t xml:space="preserve"> priklauso nesteroidinių vaistų nuo uždegimo grupei, kurie vietiškai vartojami raumenų skausmui malšinti.</w:t>
      </w:r>
    </w:p>
    <w:p w:rsidR="008B7836" w:rsidRDefault="008B7836" w:rsidP="008B7836">
      <w:pPr>
        <w:pStyle w:val="BTEMEASMCA"/>
      </w:pPr>
    </w:p>
    <w:p w:rsidR="008B7836" w:rsidRDefault="008B7836" w:rsidP="008B7836">
      <w:pPr>
        <w:pStyle w:val="BTEMEASMCA"/>
      </w:pPr>
    </w:p>
    <w:p w:rsidR="008B7836" w:rsidRDefault="008B7836" w:rsidP="008B7836">
      <w:pPr>
        <w:pStyle w:val="PI-1EMEASMCA"/>
      </w:pPr>
      <w:bookmarkStart w:id="2" w:name="_Toc129243265"/>
      <w:bookmarkStart w:id="3" w:name="_Toc129243140"/>
      <w:r>
        <w:t>2.</w:t>
      </w:r>
      <w:r>
        <w:tab/>
        <w:t xml:space="preserve">Kas žinotina prieš vartojant </w:t>
      </w:r>
      <w:proofErr w:type="spellStart"/>
      <w:r>
        <w:t>Begsan</w:t>
      </w:r>
      <w:bookmarkEnd w:id="2"/>
      <w:bookmarkEnd w:id="3"/>
      <w:proofErr w:type="spellEnd"/>
    </w:p>
    <w:p w:rsidR="008B7836" w:rsidRDefault="008B7836" w:rsidP="008B7836">
      <w:pPr>
        <w:pStyle w:val="BTEMEASMCA"/>
      </w:pPr>
    </w:p>
    <w:p w:rsidR="008B7836" w:rsidRDefault="008B7836" w:rsidP="008B7836">
      <w:pPr>
        <w:pStyle w:val="PI-3EMEASMCA"/>
      </w:pPr>
      <w:proofErr w:type="spellStart"/>
      <w:r>
        <w:t>Begsan</w:t>
      </w:r>
      <w:proofErr w:type="spellEnd"/>
      <w:r>
        <w:t xml:space="preserve"> vartoti negalima:</w:t>
      </w:r>
    </w:p>
    <w:p w:rsidR="008B7836" w:rsidRDefault="008B7836" w:rsidP="008B7836">
      <w:pPr>
        <w:pStyle w:val="BT-EMEASMCA"/>
        <w:tabs>
          <w:tab w:val="clear" w:pos="360"/>
          <w:tab w:val="num" w:pos="930"/>
        </w:tabs>
      </w:pPr>
      <w:r>
        <w:rPr>
          <w:color w:val="000000" w:themeColor="text1"/>
        </w:rPr>
        <w:t xml:space="preserve">jeigu yra alergija </w:t>
      </w:r>
      <w:proofErr w:type="spellStart"/>
      <w:r>
        <w:rPr>
          <w:color w:val="000000" w:themeColor="text1"/>
        </w:rPr>
        <w:t>ketoprofenui</w:t>
      </w:r>
      <w:proofErr w:type="spellEnd"/>
      <w:r>
        <w:rPr>
          <w:color w:val="000000" w:themeColor="text1"/>
        </w:rPr>
        <w:t>,</w:t>
      </w:r>
      <w:r>
        <w:t xml:space="preserve"> </w:t>
      </w:r>
      <w:proofErr w:type="spellStart"/>
      <w:r>
        <w:t>tiaprofeno</w:t>
      </w:r>
      <w:proofErr w:type="spellEnd"/>
      <w:r>
        <w:t xml:space="preserve"> rūgščiai, </w:t>
      </w:r>
      <w:proofErr w:type="spellStart"/>
      <w:r>
        <w:t>fenofibratui</w:t>
      </w:r>
      <w:proofErr w:type="spellEnd"/>
      <w:r>
        <w:t xml:space="preserve">, UV blokatoriams arba kvepalams, </w:t>
      </w:r>
      <w:r>
        <w:tab/>
      </w:r>
      <w:proofErr w:type="spellStart"/>
      <w:r>
        <w:t>acetilsalicilo</w:t>
      </w:r>
      <w:proofErr w:type="spellEnd"/>
      <w:r>
        <w:t xml:space="preserve"> rūgščiai, kitiems nesteroidiniams vaistams nuo uždegimo (NVNU), tokiems kaip </w:t>
      </w:r>
      <w:r>
        <w:tab/>
      </w:r>
      <w:proofErr w:type="spellStart"/>
      <w:r>
        <w:t>ibuprofenas</w:t>
      </w:r>
      <w:proofErr w:type="spellEnd"/>
      <w:r>
        <w:t xml:space="preserve">, </w:t>
      </w:r>
      <w:proofErr w:type="spellStart"/>
      <w:r>
        <w:t>diklofenak</w:t>
      </w:r>
      <w:r>
        <w:rPr>
          <w:color w:val="222222"/>
        </w:rPr>
        <w:t>as</w:t>
      </w:r>
      <w:proofErr w:type="spellEnd"/>
      <w:r>
        <w:rPr>
          <w:color w:val="222222"/>
        </w:rPr>
        <w:t xml:space="preserve">, </w:t>
      </w:r>
      <w:proofErr w:type="spellStart"/>
      <w:r>
        <w:rPr>
          <w:color w:val="222222"/>
        </w:rPr>
        <w:t>metamizolas</w:t>
      </w:r>
      <w:proofErr w:type="spellEnd"/>
      <w:r>
        <w:rPr>
          <w:color w:val="222222"/>
        </w:rPr>
        <w:t xml:space="preserve">, </w:t>
      </w:r>
      <w:proofErr w:type="spellStart"/>
      <w:r>
        <w:rPr>
          <w:color w:val="000000" w:themeColor="text1"/>
        </w:rPr>
        <w:t>butadionas</w:t>
      </w:r>
      <w:proofErr w:type="spellEnd"/>
      <w:r>
        <w:rPr>
          <w:color w:val="000000" w:themeColor="text1"/>
        </w:rPr>
        <w:t xml:space="preserve"> arba bet kuriai pagalbinei</w:t>
      </w:r>
      <w:r>
        <w:rPr>
          <w:color w:val="FF0000"/>
        </w:rPr>
        <w:t xml:space="preserve"> </w:t>
      </w:r>
      <w:r>
        <w:t xml:space="preserve">šio vaisto medžiagai </w:t>
      </w:r>
      <w:r>
        <w:tab/>
        <w:t>(jos išvardytos 6 skyriuje);</w:t>
      </w:r>
    </w:p>
    <w:p w:rsidR="008B7836" w:rsidRDefault="008B7836" w:rsidP="008B7836">
      <w:pPr>
        <w:pStyle w:val="BT-EMEASMCA"/>
        <w:tabs>
          <w:tab w:val="clear" w:pos="360"/>
          <w:tab w:val="num" w:pos="930"/>
        </w:tabs>
      </w:pPr>
      <w:r>
        <w:rPr>
          <w:color w:val="000000" w:themeColor="text1"/>
        </w:rPr>
        <w:t>jei praeityje yra buvusios</w:t>
      </w:r>
      <w:r>
        <w:t xml:space="preserve"> </w:t>
      </w:r>
      <w:proofErr w:type="spellStart"/>
      <w:r>
        <w:t>fotosensibilizacijos</w:t>
      </w:r>
      <w:proofErr w:type="spellEnd"/>
      <w:r>
        <w:t xml:space="preserve"> reakcijos (padidėjusio jautrumo reakcijos šviesai);</w:t>
      </w:r>
    </w:p>
    <w:p w:rsidR="008B7836" w:rsidRDefault="008B7836" w:rsidP="008B7836">
      <w:pPr>
        <w:pStyle w:val="BT-EMEASMCA"/>
        <w:tabs>
          <w:tab w:val="clear" w:pos="360"/>
          <w:tab w:val="num" w:pos="930"/>
        </w:tabs>
      </w:pPr>
      <w:r>
        <w:t xml:space="preserve">gydymo metu ir dvi savaites pasibaigus gydymui, vaistu gydytas vietas būtinai saugokite nuo  </w:t>
      </w:r>
      <w:r>
        <w:tab/>
        <w:t>saulės ir soliariumo UV spindulių;</w:t>
      </w:r>
    </w:p>
    <w:p w:rsidR="008B7836" w:rsidRDefault="008B7836" w:rsidP="008B7836">
      <w:pPr>
        <w:pStyle w:val="BT-EMEASMCA"/>
        <w:tabs>
          <w:tab w:val="clear" w:pos="360"/>
          <w:tab w:val="num" w:pos="930"/>
        </w:tabs>
      </w:pPr>
      <w:r>
        <w:t xml:space="preserve">jeigu yra pažeista oda ar jos uždegimas (pvz., egzema, </w:t>
      </w:r>
      <w:proofErr w:type="spellStart"/>
      <w:r>
        <w:t>aknė</w:t>
      </w:r>
      <w:proofErr w:type="spellEnd"/>
      <w:r>
        <w:t>, atviros žaizdos</w:t>
      </w:r>
      <w:r>
        <w:rPr>
          <w:color w:val="505050"/>
          <w:shd w:val="clear" w:color="auto" w:fill="FFFFFF"/>
        </w:rPr>
        <w:t>)</w:t>
      </w:r>
      <w:r>
        <w:t>;</w:t>
      </w:r>
    </w:p>
    <w:p w:rsidR="008B7836" w:rsidRDefault="008B7836" w:rsidP="008B7836">
      <w:pPr>
        <w:pStyle w:val="BT-EMEASMCA"/>
        <w:tabs>
          <w:tab w:val="clear" w:pos="360"/>
          <w:tab w:val="num" w:pos="930"/>
        </w:tabs>
      </w:pPr>
      <w:r>
        <w:t xml:space="preserve">vartojimas paskutiniaisiais 3 nėštumo mėnesiais (žr. </w:t>
      </w:r>
      <w:r>
        <w:rPr>
          <w:i/>
        </w:rPr>
        <w:t>Nėštumas ir žindymo laikotarpis</w:t>
      </w:r>
      <w:r>
        <w:t>).</w:t>
      </w:r>
    </w:p>
    <w:p w:rsidR="008B7836" w:rsidRDefault="008B7836" w:rsidP="008B7836">
      <w:pPr>
        <w:pStyle w:val="BT-EMEASMCA"/>
        <w:numPr>
          <w:ilvl w:val="0"/>
          <w:numId w:val="0"/>
        </w:numPr>
        <w:rPr>
          <w:lang w:val="en-US"/>
        </w:rPr>
      </w:pPr>
    </w:p>
    <w:p w:rsidR="008B7836" w:rsidRDefault="008B7836" w:rsidP="008B7836">
      <w:pPr>
        <w:pStyle w:val="Betarp"/>
      </w:pPr>
      <w:r>
        <w:rPr>
          <w:rStyle w:val="Grietas"/>
        </w:rPr>
        <w:t>Įspėjimai ir atsargumo priemonės</w:t>
      </w:r>
    </w:p>
    <w:p w:rsidR="008B7836" w:rsidRDefault="008B7836" w:rsidP="008B7836">
      <w:pPr>
        <w:numPr>
          <w:ilvl w:val="12"/>
          <w:numId w:val="0"/>
        </w:numPr>
        <w:ind w:right="-2"/>
        <w:rPr>
          <w:sz w:val="22"/>
          <w:szCs w:val="22"/>
        </w:rPr>
      </w:pPr>
      <w:r>
        <w:rPr>
          <w:noProof/>
          <w:sz w:val="22"/>
          <w:szCs w:val="22"/>
        </w:rPr>
        <w:t>Pasitarkite su gydytoju arba vaistininku, prieš pradėdami vartoti Begsan.</w:t>
      </w:r>
    </w:p>
    <w:p w:rsidR="008B7836" w:rsidRDefault="008B7836" w:rsidP="008B7836">
      <w:pPr>
        <w:pStyle w:val="BTEMEASMCA"/>
      </w:pPr>
      <w:r>
        <w:t xml:space="preserve">Reikia saugotis, kad vaisto nepatektų ant gleivinių, analinėje ar genitalinėje srityje, į akis arba ant pažeistos odos. </w:t>
      </w:r>
    </w:p>
    <w:p w:rsidR="008B7836" w:rsidRDefault="008B7836" w:rsidP="008B7836">
      <w:pPr>
        <w:pStyle w:val="BTEMEASMCA"/>
      </w:pPr>
      <w:r>
        <w:t xml:space="preserve">Saulės (netgi esant ūkanai) ar UVA spindulių poveikis sąveikoje su </w:t>
      </w:r>
      <w:proofErr w:type="spellStart"/>
      <w:r>
        <w:t>Begsan</w:t>
      </w:r>
      <w:proofErr w:type="spellEnd"/>
      <w:r>
        <w:t xml:space="preserve"> gali sukelti sunkias odos reakcijas (</w:t>
      </w:r>
      <w:proofErr w:type="spellStart"/>
      <w:r>
        <w:t>fotosensibilizaciją</w:t>
      </w:r>
      <w:proofErr w:type="spellEnd"/>
      <w:r>
        <w:t>). Todėl būtina:</w:t>
      </w:r>
    </w:p>
    <w:p w:rsidR="008B7836" w:rsidRDefault="008B7836" w:rsidP="008B7836">
      <w:pPr>
        <w:pStyle w:val="BTEMEASMCA"/>
      </w:pPr>
      <w:r>
        <w:t xml:space="preserve">- norint išvengti </w:t>
      </w:r>
      <w:proofErr w:type="spellStart"/>
      <w:r>
        <w:t>fotosensibilizacijos</w:t>
      </w:r>
      <w:proofErr w:type="spellEnd"/>
      <w:r>
        <w:t xml:space="preserve"> rizikos, gydymo metu ir dvi savaites pasibaigus gydymui vaisto vartojimo vietas reikia saugoti pridengus drabužiais;</w:t>
      </w:r>
    </w:p>
    <w:p w:rsidR="008B7836" w:rsidRDefault="008B7836" w:rsidP="008B7836">
      <w:pPr>
        <w:tabs>
          <w:tab w:val="left" w:pos="567"/>
        </w:tabs>
        <w:rPr>
          <w:sz w:val="22"/>
          <w:szCs w:val="22"/>
        </w:rPr>
      </w:pPr>
      <w:r>
        <w:rPr>
          <w:sz w:val="22"/>
          <w:szCs w:val="22"/>
        </w:rPr>
        <w:t xml:space="preserve">- kiekvieną kartą po </w:t>
      </w:r>
      <w:proofErr w:type="spellStart"/>
      <w:r>
        <w:rPr>
          <w:sz w:val="22"/>
          <w:szCs w:val="22"/>
        </w:rPr>
        <w:t>Begsan</w:t>
      </w:r>
      <w:proofErr w:type="spellEnd"/>
      <w:r>
        <w:rPr>
          <w:sz w:val="22"/>
          <w:szCs w:val="22"/>
        </w:rPr>
        <w:t xml:space="preserve"> vartojimo švariai nusiplaukite rankas. </w:t>
      </w:r>
    </w:p>
    <w:p w:rsidR="008B7836" w:rsidRDefault="008B7836" w:rsidP="008B7836">
      <w:pPr>
        <w:tabs>
          <w:tab w:val="left" w:pos="567"/>
        </w:tabs>
        <w:rPr>
          <w:sz w:val="22"/>
          <w:szCs w:val="22"/>
        </w:rPr>
      </w:pPr>
      <w:proofErr w:type="spellStart"/>
      <w:r>
        <w:rPr>
          <w:sz w:val="22"/>
          <w:szCs w:val="22"/>
        </w:rPr>
        <w:lastRenderedPageBreak/>
        <w:t>Begsan</w:t>
      </w:r>
      <w:proofErr w:type="spellEnd"/>
      <w:r>
        <w:rPr>
          <w:sz w:val="22"/>
          <w:szCs w:val="22"/>
        </w:rPr>
        <w:t xml:space="preserve"> geliu patepto odos ploto negalima tvarstyti.</w:t>
      </w:r>
    </w:p>
    <w:p w:rsidR="008B7836" w:rsidRDefault="008B7836" w:rsidP="008B7836">
      <w:pPr>
        <w:tabs>
          <w:tab w:val="left" w:pos="567"/>
        </w:tabs>
        <w:rPr>
          <w:sz w:val="22"/>
          <w:szCs w:val="22"/>
        </w:rPr>
      </w:pPr>
      <w:proofErr w:type="spellStart"/>
      <w:r>
        <w:rPr>
          <w:sz w:val="22"/>
          <w:szCs w:val="22"/>
        </w:rPr>
        <w:t>Begsan</w:t>
      </w:r>
      <w:proofErr w:type="spellEnd"/>
      <w:r>
        <w:rPr>
          <w:sz w:val="22"/>
          <w:szCs w:val="22"/>
        </w:rPr>
        <w:t xml:space="preserve"> negalima tepti arti liepsnos, nes vaiste yra alkoholio, kuris yra degus.</w:t>
      </w:r>
    </w:p>
    <w:p w:rsidR="008B7836" w:rsidRDefault="008B7836" w:rsidP="008B7836">
      <w:pPr>
        <w:pStyle w:val="BTEMEASMCA"/>
      </w:pPr>
    </w:p>
    <w:p w:rsidR="008B7836" w:rsidRDefault="008B7836" w:rsidP="008B7836">
      <w:pPr>
        <w:pStyle w:val="BTEMEASMCA"/>
        <w:rPr>
          <w:rStyle w:val="hps"/>
          <w:noProof/>
          <w:color w:val="222222"/>
        </w:rPr>
      </w:pPr>
      <w:proofErr w:type="spellStart"/>
      <w:r>
        <w:t>Begsan</w:t>
      </w:r>
      <w:proofErr w:type="spellEnd"/>
      <w:r>
        <w:t xml:space="preserve"> reikia </w:t>
      </w:r>
      <w:r>
        <w:rPr>
          <w:rStyle w:val="hps"/>
        </w:rPr>
        <w:t xml:space="preserve">atsargiai vartoti, </w:t>
      </w:r>
      <w:r>
        <w:rPr>
          <w:rStyle w:val="hps"/>
          <w:color w:val="000000" w:themeColor="text1"/>
        </w:rPr>
        <w:t xml:space="preserve">jeigu kraujuoja iš virškinimo trakto, yra ūminė ar įtariama </w:t>
      </w:r>
      <w:proofErr w:type="spellStart"/>
      <w:r>
        <w:rPr>
          <w:rStyle w:val="hps"/>
          <w:color w:val="000000" w:themeColor="text1"/>
        </w:rPr>
        <w:t>pepsinė</w:t>
      </w:r>
      <w:proofErr w:type="spellEnd"/>
      <w:r>
        <w:rPr>
          <w:rStyle w:val="hps"/>
          <w:color w:val="000000" w:themeColor="text1"/>
        </w:rPr>
        <w:t xml:space="preserve"> opa </w:t>
      </w:r>
      <w:r>
        <w:rPr>
          <w:color w:val="000000" w:themeColor="text1"/>
        </w:rPr>
        <w:t xml:space="preserve">sutrikusi kepenų ar </w:t>
      </w:r>
      <w:r>
        <w:rPr>
          <w:rStyle w:val="hps"/>
          <w:color w:val="000000" w:themeColor="text1"/>
        </w:rPr>
        <w:t>inkstų funkcija, yra</w:t>
      </w:r>
      <w:r>
        <w:rPr>
          <w:rStyle w:val="hps"/>
        </w:rPr>
        <w:t xml:space="preserve"> sunkus, nekompensuotas širdies nepakankamumas.</w:t>
      </w:r>
    </w:p>
    <w:p w:rsidR="008B7836" w:rsidRDefault="008B7836" w:rsidP="008B7836">
      <w:pPr>
        <w:pStyle w:val="BTEMEASMCA"/>
      </w:pPr>
    </w:p>
    <w:p w:rsidR="008B7836" w:rsidRDefault="008B7836" w:rsidP="008B7836">
      <w:pPr>
        <w:pStyle w:val="BTEMEASMCA"/>
      </w:pPr>
      <w:r>
        <w:t xml:space="preserve">Gelį turi atsargiai </w:t>
      </w:r>
      <w:r>
        <w:rPr>
          <w:rStyle w:val="hps"/>
        </w:rPr>
        <w:t xml:space="preserve">vartoti </w:t>
      </w:r>
      <w:r>
        <w:t>ligoniai</w:t>
      </w:r>
      <w:r>
        <w:rPr>
          <w:rStyle w:val="hps"/>
        </w:rPr>
        <w:t>, sergantys astma</w:t>
      </w:r>
      <w:r>
        <w:t xml:space="preserve"> ir</w:t>
      </w:r>
      <w:r>
        <w:rPr>
          <w:rStyle w:val="hps"/>
        </w:rPr>
        <w:t xml:space="preserve"> lėtiniu rinitu</w:t>
      </w:r>
      <w:r>
        <w:t xml:space="preserve">, </w:t>
      </w:r>
      <w:r>
        <w:rPr>
          <w:rStyle w:val="hps"/>
        </w:rPr>
        <w:t>lėtiniu sinusitu (sinusų uždegimu) ir (arba) turintiems nosies polipų</w:t>
      </w:r>
      <w:r>
        <w:t xml:space="preserve">, nes jie turi didesnę padidėjusio jautrumo riziką </w:t>
      </w:r>
      <w:proofErr w:type="spellStart"/>
      <w:r>
        <w:rPr>
          <w:rStyle w:val="hps"/>
        </w:rPr>
        <w:t>acetilsalicilo</w:t>
      </w:r>
      <w:proofErr w:type="spellEnd"/>
      <w:r>
        <w:rPr>
          <w:rStyle w:val="hps"/>
        </w:rPr>
        <w:t xml:space="preserve"> rūgščiai ir </w:t>
      </w:r>
      <w:r>
        <w:t>(</w:t>
      </w:r>
      <w:r>
        <w:rPr>
          <w:rStyle w:val="hps"/>
        </w:rPr>
        <w:t>ar) kitiems nesteroidiniams vaistams nuo uždegimo (NVNU).</w:t>
      </w:r>
    </w:p>
    <w:p w:rsidR="008B7836" w:rsidRDefault="008B7836" w:rsidP="008B7836">
      <w:pPr>
        <w:pStyle w:val="BTEMEASMCA"/>
      </w:pPr>
      <w:r>
        <w:t xml:space="preserve">Nedelsiant nutraukite </w:t>
      </w:r>
      <w:proofErr w:type="spellStart"/>
      <w:r>
        <w:t>Begsan</w:t>
      </w:r>
      <w:proofErr w:type="spellEnd"/>
      <w:r>
        <w:t xml:space="preserve"> vartojimą, jei atsirado bet kokių odos reakcijų, įskaitant odos reakciją pavartojus kitų vaistų, kurių sudėtyje yra </w:t>
      </w:r>
      <w:proofErr w:type="spellStart"/>
      <w:r>
        <w:t>oktokrileno</w:t>
      </w:r>
      <w:proofErr w:type="spellEnd"/>
      <w:r>
        <w:t xml:space="preserve"> (</w:t>
      </w:r>
      <w:proofErr w:type="spellStart"/>
      <w:r>
        <w:t>oktokrilenas</w:t>
      </w:r>
      <w:proofErr w:type="spellEnd"/>
      <w:r>
        <w:t xml:space="preserve"> yra pagalbinė medžiaga, esanti daugelio kosmetikos bei higienos priemonių, pvz., šampūno, kremo po skutimosi, vonios gelio, odos kremo, lūpų pieštukų, kremo nuo odos senėjimo, makiažo valiklių, plaukų purškalų, sudėtyje, saugantis nuo irimo šviesos poveikyje).</w:t>
      </w:r>
    </w:p>
    <w:p w:rsidR="008B7836" w:rsidRDefault="008B7836" w:rsidP="008B7836">
      <w:pPr>
        <w:pStyle w:val="BTEMEASMCA"/>
      </w:pPr>
      <w:r>
        <w:t>Rekomenduojama gydymo trukmė neturėtų būti viršijama dėl padidėjusios kontaktinio dermatito (odos uždegimo) ir padidėjusio jautrumo saulės šviesai reakcijos išsivystymo rizikos per tam tikrą laiką.</w:t>
      </w:r>
    </w:p>
    <w:p w:rsidR="008B7836" w:rsidRDefault="008B7836" w:rsidP="008B7836">
      <w:pPr>
        <w:pStyle w:val="BTEMEASMCA"/>
        <w:rPr>
          <w:rStyle w:val="hps"/>
          <w:noProof/>
          <w:color w:val="222222"/>
        </w:rPr>
      </w:pPr>
    </w:p>
    <w:p w:rsidR="008B7836" w:rsidRDefault="008B7836" w:rsidP="008B7836">
      <w:pPr>
        <w:pStyle w:val="Citata"/>
        <w:rPr>
          <w:rStyle w:val="Emfaz"/>
          <w:b/>
          <w:iCs/>
          <w:sz w:val="22"/>
          <w:szCs w:val="22"/>
        </w:rPr>
      </w:pPr>
      <w:r>
        <w:rPr>
          <w:rStyle w:val="Emfaz"/>
          <w:b/>
          <w:sz w:val="22"/>
          <w:szCs w:val="22"/>
        </w:rPr>
        <w:t>Vaikams ir paaugliams</w:t>
      </w:r>
    </w:p>
    <w:p w:rsidR="008B7836" w:rsidRDefault="008B7836" w:rsidP="008B7836">
      <w:pPr>
        <w:pStyle w:val="Pagrindinistekstas"/>
        <w:spacing w:line="240" w:lineRule="auto"/>
        <w:rPr>
          <w:rFonts w:ascii="Times New Roman" w:hAnsi="Times New Roman" w:cs="Times New Roman"/>
          <w:lang w:val="lt-LT"/>
        </w:rPr>
      </w:pPr>
      <w:proofErr w:type="spellStart"/>
      <w:r>
        <w:rPr>
          <w:rFonts w:ascii="Times New Roman" w:hAnsi="Times New Roman" w:cs="Times New Roman"/>
          <w:lang w:val="lt-LT"/>
        </w:rPr>
        <w:t>Begsan</w:t>
      </w:r>
      <w:proofErr w:type="spellEnd"/>
      <w:r>
        <w:rPr>
          <w:rFonts w:ascii="Times New Roman" w:hAnsi="Times New Roman" w:cs="Times New Roman"/>
          <w:lang w:val="lt-LT"/>
        </w:rPr>
        <w:t xml:space="preserve"> nerekomenduojama vartoti jaunesniems kaip 15 metų vaikams, </w:t>
      </w:r>
      <w:r>
        <w:rPr>
          <w:noProof/>
          <w:color w:val="222222"/>
          <w:lang w:val="lt-LT"/>
        </w:rPr>
        <w:t>kadangi yra abejonių dėl saugumo ir veiksmingumo (</w:t>
      </w:r>
      <w:r>
        <w:rPr>
          <w:rFonts w:ascii="Times New Roman" w:hAnsi="Times New Roman" w:cs="Times New Roman"/>
          <w:lang w:val="lt-LT"/>
        </w:rPr>
        <w:t xml:space="preserve">žr. </w:t>
      </w:r>
      <w:proofErr w:type="spellStart"/>
      <w:r>
        <w:rPr>
          <w:rFonts w:ascii="Times New Roman" w:hAnsi="Times New Roman" w:cs="Times New Roman"/>
          <w:i/>
          <w:lang w:val="lt-LT"/>
        </w:rPr>
        <w:t>Begsan</w:t>
      </w:r>
      <w:proofErr w:type="spellEnd"/>
      <w:r>
        <w:rPr>
          <w:rFonts w:ascii="Times New Roman" w:hAnsi="Times New Roman" w:cs="Times New Roman"/>
          <w:i/>
          <w:lang w:val="lt-LT"/>
        </w:rPr>
        <w:t xml:space="preserve"> vartoti negalima</w:t>
      </w:r>
      <w:r>
        <w:rPr>
          <w:rFonts w:ascii="Times New Roman" w:hAnsi="Times New Roman" w:cs="Times New Roman"/>
          <w:lang w:val="lt-LT"/>
        </w:rPr>
        <w:t>).</w:t>
      </w:r>
    </w:p>
    <w:p w:rsidR="008B7836" w:rsidRDefault="008B7836" w:rsidP="008B7836">
      <w:pPr>
        <w:pStyle w:val="BTEMEASMCA"/>
      </w:pPr>
    </w:p>
    <w:p w:rsidR="008B7836" w:rsidRDefault="008B7836" w:rsidP="008B7836">
      <w:pPr>
        <w:pStyle w:val="PI-3EMEASMCA"/>
      </w:pPr>
      <w:r>
        <w:t xml:space="preserve">Kiti vaistai ir </w:t>
      </w:r>
      <w:proofErr w:type="spellStart"/>
      <w:r>
        <w:t>Begsan</w:t>
      </w:r>
      <w:proofErr w:type="spellEnd"/>
    </w:p>
    <w:p w:rsidR="008B7836" w:rsidRDefault="008B7836" w:rsidP="008B7836">
      <w:pPr>
        <w:numPr>
          <w:ilvl w:val="12"/>
          <w:numId w:val="0"/>
        </w:numPr>
        <w:ind w:right="-2"/>
        <w:rPr>
          <w:sz w:val="22"/>
          <w:szCs w:val="22"/>
        </w:rPr>
      </w:pPr>
      <w:r>
        <w:rPr>
          <w:noProof/>
          <w:sz w:val="22"/>
          <w:szCs w:val="22"/>
        </w:rPr>
        <w:t>Jeigu vartojate ar neseniai vartojote kitų vaistų arba dėl to nesate tikri, apie tai pasakykite gydytojui arba vaistininkui.</w:t>
      </w:r>
    </w:p>
    <w:p w:rsidR="008B7836" w:rsidRDefault="008B7836" w:rsidP="008B7836">
      <w:pPr>
        <w:pStyle w:val="Pagrindinistekstas3"/>
        <w:adjustRightInd w:val="0"/>
        <w:spacing w:after="0"/>
        <w:rPr>
          <w:sz w:val="22"/>
          <w:szCs w:val="22"/>
        </w:rPr>
      </w:pPr>
      <w:r>
        <w:rPr>
          <w:sz w:val="22"/>
          <w:szCs w:val="22"/>
        </w:rPr>
        <w:t>Sąveikos su kitais vaistais tikimybė nedidelė</w:t>
      </w:r>
      <w:r>
        <w:rPr>
          <w:rStyle w:val="hps"/>
          <w:color w:val="222222"/>
          <w:sz w:val="22"/>
          <w:szCs w:val="22"/>
        </w:rPr>
        <w:t>, tačiau ligonius, kurie gydomi kartu su kumarino tipo antikoaguliantais (vaistais, kurie mažina kraujo krešėjimą</w:t>
      </w:r>
      <w:r>
        <w:rPr>
          <w:color w:val="222222"/>
          <w:sz w:val="22"/>
          <w:szCs w:val="22"/>
        </w:rPr>
        <w:t xml:space="preserve">, </w:t>
      </w:r>
      <w:proofErr w:type="spellStart"/>
      <w:r>
        <w:rPr>
          <w:color w:val="222222"/>
          <w:sz w:val="22"/>
          <w:szCs w:val="22"/>
        </w:rPr>
        <w:t>pvz.</w:t>
      </w:r>
      <w:r>
        <w:rPr>
          <w:rStyle w:val="hps"/>
          <w:color w:val="222222"/>
          <w:sz w:val="22"/>
          <w:szCs w:val="22"/>
        </w:rPr>
        <w:t>varfarinu</w:t>
      </w:r>
      <w:proofErr w:type="spellEnd"/>
      <w:r>
        <w:rPr>
          <w:rStyle w:val="hps"/>
          <w:color w:val="222222"/>
          <w:sz w:val="22"/>
          <w:szCs w:val="22"/>
        </w:rPr>
        <w:t>)</w:t>
      </w:r>
      <w:r>
        <w:rPr>
          <w:color w:val="222222"/>
          <w:sz w:val="22"/>
          <w:szCs w:val="22"/>
        </w:rPr>
        <w:t xml:space="preserve">, </w:t>
      </w:r>
      <w:r>
        <w:rPr>
          <w:rStyle w:val="hps"/>
          <w:color w:val="222222"/>
          <w:sz w:val="22"/>
          <w:szCs w:val="22"/>
        </w:rPr>
        <w:t>reikia atidžiai stebėti</w:t>
      </w:r>
      <w:r>
        <w:rPr>
          <w:color w:val="222222"/>
          <w:sz w:val="22"/>
          <w:szCs w:val="22"/>
        </w:rPr>
        <w:t>.</w:t>
      </w:r>
    </w:p>
    <w:p w:rsidR="008B7836" w:rsidRDefault="008B7836" w:rsidP="008B7836">
      <w:pPr>
        <w:pStyle w:val="BTEMEASMCA"/>
      </w:pPr>
      <w:r>
        <w:rPr>
          <w:noProof/>
        </w:rPr>
        <w:t>Kartu vartoti acetilsalicilo rūgštį ar kitą vaistą nuo uždegimo nerekomenduojama, dėl didesn</w:t>
      </w:r>
      <w:r>
        <w:t xml:space="preserve">ės </w:t>
      </w:r>
      <w:r>
        <w:rPr>
          <w:noProof/>
        </w:rPr>
        <w:t>šalutinio poveikio rizikos.</w:t>
      </w:r>
    </w:p>
    <w:p w:rsidR="008B7836" w:rsidRDefault="008B7836" w:rsidP="008B7836">
      <w:pPr>
        <w:pStyle w:val="BTEMEASMCA"/>
        <w:rPr>
          <w:noProof/>
        </w:rPr>
      </w:pPr>
      <w:r>
        <w:rPr>
          <w:noProof/>
        </w:rPr>
        <w:t>Ketoprofenas, nors ir labai minimaliai, gali slopinti metotreksato ir ličio druskų išsiskyrimą bei silpninti kai kurių diuretikų, pvz., tiazido ir furozemido, poveikį.</w:t>
      </w:r>
    </w:p>
    <w:p w:rsidR="008B7836" w:rsidRDefault="008B7836" w:rsidP="008B7836">
      <w:pPr>
        <w:pStyle w:val="BTEMEASMCA"/>
      </w:pPr>
    </w:p>
    <w:p w:rsidR="008B7836" w:rsidRDefault="008B7836" w:rsidP="008B7836">
      <w:pPr>
        <w:pStyle w:val="PI-3EMEASMCA"/>
      </w:pPr>
      <w:r>
        <w:t>Nėštumas ir žindymo laikotarpis</w:t>
      </w:r>
    </w:p>
    <w:p w:rsidR="008B7836" w:rsidRDefault="008B7836" w:rsidP="008B7836">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rsidR="008B7836" w:rsidRDefault="008B7836" w:rsidP="008B7836">
      <w:pPr>
        <w:pStyle w:val="BTEMEASMCA"/>
      </w:pPr>
      <w:r>
        <w:rPr>
          <w:noProof/>
        </w:rPr>
        <w:t>Pirmaisiais šešiais nėštumo mėnesiais Begsan galima vartoti tik atidžiai įvertinus galimos naudos ir rizikos santykį. Begsan draudžiama vartoti paskutiniaisiais trimis nėštumo mėnesiais (</w:t>
      </w:r>
      <w:r>
        <w:rPr>
          <w:rStyle w:val="CitataDiagrama"/>
        </w:rPr>
        <w:t xml:space="preserve">žr. </w:t>
      </w:r>
      <w:proofErr w:type="spellStart"/>
      <w:r>
        <w:rPr>
          <w:rStyle w:val="CitataDiagrama"/>
        </w:rPr>
        <w:t>Begsan</w:t>
      </w:r>
      <w:proofErr w:type="spellEnd"/>
      <w:r>
        <w:rPr>
          <w:rStyle w:val="CitataDiagrama"/>
        </w:rPr>
        <w:t xml:space="preserve"> vartoti negalima</w:t>
      </w:r>
      <w:r>
        <w:t>)</w:t>
      </w:r>
      <w:r>
        <w:rPr>
          <w:noProof/>
        </w:rPr>
        <w:t>.</w:t>
      </w:r>
    </w:p>
    <w:p w:rsidR="008B7836" w:rsidRDefault="008B7836" w:rsidP="008B7836">
      <w:pPr>
        <w:pStyle w:val="BTEMEASMCA"/>
      </w:pPr>
    </w:p>
    <w:p w:rsidR="008B7836" w:rsidRDefault="008B7836" w:rsidP="008B7836">
      <w:pPr>
        <w:pStyle w:val="BTEMEASMCA"/>
      </w:pPr>
      <w:r>
        <w:rPr>
          <w:noProof/>
        </w:rPr>
        <w:t>Žindymo laikotarpiu Begsan vartoti negalima. Geliu negalima tepti krūtų.</w:t>
      </w:r>
    </w:p>
    <w:p w:rsidR="008B7836" w:rsidRDefault="008B7836" w:rsidP="008B7836">
      <w:pPr>
        <w:pStyle w:val="BTEMEASMCA"/>
      </w:pPr>
    </w:p>
    <w:p w:rsidR="008B7836" w:rsidRDefault="008B7836" w:rsidP="008B7836">
      <w:pPr>
        <w:pStyle w:val="PI-3EMEASMCA"/>
      </w:pPr>
      <w:r>
        <w:t>Vairavimas ir mechanizmų valdymas</w:t>
      </w:r>
    </w:p>
    <w:p w:rsidR="008B7836" w:rsidRDefault="008B7836" w:rsidP="008B7836">
      <w:pPr>
        <w:pStyle w:val="BTEMEASMCA"/>
      </w:pPr>
      <w:r>
        <w:rPr>
          <w:noProof/>
        </w:rPr>
        <w:t>Šis vaistas gebėjimo vairuoti ir valdyti mechanizmus neveikia.</w:t>
      </w:r>
    </w:p>
    <w:p w:rsidR="008B7836" w:rsidRDefault="008B7836" w:rsidP="008B7836">
      <w:pPr>
        <w:pStyle w:val="BTEMEASMCA"/>
      </w:pPr>
    </w:p>
    <w:p w:rsidR="008B7836" w:rsidRDefault="008B7836" w:rsidP="008B7836">
      <w:pPr>
        <w:pStyle w:val="BTEMEASMCA"/>
      </w:pPr>
      <w:proofErr w:type="spellStart"/>
      <w:r>
        <w:rPr>
          <w:b/>
        </w:rPr>
        <w:t>Begsan</w:t>
      </w:r>
      <w:proofErr w:type="spellEnd"/>
      <w:r>
        <w:rPr>
          <w:b/>
        </w:rPr>
        <w:t xml:space="preserve"> sudėtyje yra metilo </w:t>
      </w:r>
      <w:proofErr w:type="spellStart"/>
      <w:r>
        <w:rPr>
          <w:b/>
        </w:rPr>
        <w:t>parahidroksibenzoato</w:t>
      </w:r>
      <w:proofErr w:type="spellEnd"/>
      <w:r>
        <w:rPr>
          <w:b/>
        </w:rPr>
        <w:t xml:space="preserve"> (E218) ir </w:t>
      </w:r>
      <w:proofErr w:type="spellStart"/>
      <w:r>
        <w:rPr>
          <w:b/>
        </w:rPr>
        <w:t>propiloparahidroksibenzoato</w:t>
      </w:r>
      <w:proofErr w:type="spellEnd"/>
      <w:r>
        <w:rPr>
          <w:b/>
        </w:rPr>
        <w:t xml:space="preserve"> (E216)</w:t>
      </w:r>
    </w:p>
    <w:p w:rsidR="008B7836" w:rsidRDefault="008B7836" w:rsidP="008B7836">
      <w:pPr>
        <w:pStyle w:val="BTEMEASMCA"/>
      </w:pPr>
      <w:r>
        <w:t>Šios medžiagos gali sukelti alerginių (padidėjusio jautrumo) reakcijų, kurios gali būti uždelstos, ir išimtinais atvejais bronchų spazmą.</w:t>
      </w:r>
    </w:p>
    <w:p w:rsidR="008B7836" w:rsidRDefault="008B7836" w:rsidP="008B7836">
      <w:pPr>
        <w:pStyle w:val="BTEMEASMCA"/>
      </w:pPr>
    </w:p>
    <w:p w:rsidR="008B7836" w:rsidRDefault="008B7836" w:rsidP="008B7836">
      <w:pPr>
        <w:pStyle w:val="BTEMEASMCA"/>
      </w:pPr>
    </w:p>
    <w:p w:rsidR="008B7836" w:rsidRDefault="008B7836" w:rsidP="008B7836">
      <w:pPr>
        <w:pStyle w:val="PI-1EMEASMCA"/>
      </w:pPr>
      <w:bookmarkStart w:id="4" w:name="_Toc129243266"/>
      <w:bookmarkStart w:id="5" w:name="_Toc129243141"/>
      <w:r w:rsidRPr="003A1FE9">
        <w:rPr>
          <w:rStyle w:val="Grietas"/>
        </w:rPr>
        <w:t>3.</w:t>
      </w:r>
      <w:r>
        <w:rPr>
          <w:rStyle w:val="Grietas"/>
        </w:rPr>
        <w:tab/>
      </w:r>
      <w:r>
        <w:t xml:space="preserve">Kaip vartoti </w:t>
      </w:r>
      <w:proofErr w:type="spellStart"/>
      <w:r>
        <w:t>Begsan</w:t>
      </w:r>
      <w:bookmarkEnd w:id="4"/>
      <w:bookmarkEnd w:id="5"/>
      <w:proofErr w:type="spellEnd"/>
    </w:p>
    <w:p w:rsidR="008B7836" w:rsidRDefault="008B7836" w:rsidP="008B7836">
      <w:pPr>
        <w:pStyle w:val="PI-1EMEASMCA"/>
      </w:pPr>
    </w:p>
    <w:p w:rsidR="008B7836" w:rsidRDefault="008B7836" w:rsidP="008B7836">
      <w:pPr>
        <w:numPr>
          <w:ilvl w:val="12"/>
          <w:numId w:val="0"/>
        </w:numPr>
        <w:ind w:right="-2"/>
        <w:rPr>
          <w:sz w:val="22"/>
          <w:szCs w:val="22"/>
        </w:rPr>
      </w:pPr>
      <w:r>
        <w:rPr>
          <w:noProof/>
          <w:sz w:val="22"/>
          <w:szCs w:val="22"/>
        </w:rPr>
        <w:t>Visada vartokite šį vaistą tiksliai kaip nurodė gydytojas arba vaistininkas. Jeigu abejojate, kreipkitės į  gydytoją arba vaistininką.</w:t>
      </w:r>
    </w:p>
    <w:p w:rsidR="008B7836" w:rsidRDefault="008B7836" w:rsidP="008B7836">
      <w:pPr>
        <w:pStyle w:val="BTEMEASMCA"/>
      </w:pPr>
    </w:p>
    <w:p w:rsidR="008B7836" w:rsidRDefault="008B7836" w:rsidP="008B7836">
      <w:pPr>
        <w:pStyle w:val="BTEMEASMCA"/>
      </w:pPr>
      <w:r>
        <w:rPr>
          <w:noProof/>
        </w:rPr>
        <w:t>Aliuminio tūbelės atidarymas: naudodami vaistą pirmą kartą, apverstu dangteliu pradurkite aliuminio apsauginę plėvelę tūbelės gale.</w:t>
      </w:r>
    </w:p>
    <w:p w:rsidR="008B7836" w:rsidRDefault="008B7836" w:rsidP="008B7836">
      <w:pPr>
        <w:pStyle w:val="BTEMEASMCA"/>
      </w:pPr>
    </w:p>
    <w:p w:rsidR="008B7836" w:rsidRDefault="008B7836" w:rsidP="008B7836">
      <w:pPr>
        <w:pStyle w:val="BTEMEASMCA"/>
        <w:rPr>
          <w:rStyle w:val="Emfaz"/>
        </w:rPr>
      </w:pPr>
      <w:r>
        <w:rPr>
          <w:rStyle w:val="Emfaz"/>
        </w:rPr>
        <w:t>Suaugusiesiems ir vyresniems kaip 15 metų paaugliams</w:t>
      </w:r>
    </w:p>
    <w:p w:rsidR="008B7836" w:rsidRDefault="008B7836" w:rsidP="008B7836">
      <w:pPr>
        <w:pStyle w:val="BTEMEASMCA"/>
      </w:pPr>
      <w:r>
        <w:t xml:space="preserve">Geliu tepti pažeistą vietą ir švelniai įtrinti į odą 1-2 kartus per parą. Vaisto galima tepti tik ant nepažeistos odos. Vartojamo gelio kiekis priklauso nuo pažeistos srities ploto. Negalima tepti daugiau kaip 15 g gelio per parą (7,5 g atitinka maždaug 14 cm ilgio gelio juostelę). </w:t>
      </w:r>
      <w:r>
        <w:rPr>
          <w:noProof/>
        </w:rPr>
        <w:t>Rekomenduojama</w:t>
      </w:r>
      <w:r>
        <w:t xml:space="preserve"> vaistą </w:t>
      </w:r>
      <w:r>
        <w:rPr>
          <w:noProof/>
        </w:rPr>
        <w:t xml:space="preserve">vartoti trumpalaikiam gydymui. Gydymo trukmė individuali (nuo 1 iki 7 dienų), tai priklauso nuo ligos pobūdžio ir sunkumo. </w:t>
      </w:r>
    </w:p>
    <w:p w:rsidR="008B7836" w:rsidRDefault="008B7836" w:rsidP="008B7836">
      <w:pPr>
        <w:tabs>
          <w:tab w:val="left" w:pos="567"/>
        </w:tabs>
        <w:rPr>
          <w:sz w:val="22"/>
          <w:szCs w:val="22"/>
        </w:rPr>
      </w:pPr>
      <w:r>
        <w:rPr>
          <w:sz w:val="22"/>
          <w:szCs w:val="22"/>
        </w:rPr>
        <w:t>Po kiekvieno tepimo būtina kruopščiai plauti rankas.</w:t>
      </w:r>
    </w:p>
    <w:p w:rsidR="008B7836" w:rsidRDefault="008B7836" w:rsidP="008B7836">
      <w:pPr>
        <w:pStyle w:val="BTEMEASMCA"/>
      </w:pPr>
      <w:r>
        <w:rPr>
          <w:noProof/>
        </w:rPr>
        <w:t>Geliu pateptos odos ploto negalima tvarstyti. Drabužius ant pateptos odos vilkėti galima.</w:t>
      </w:r>
    </w:p>
    <w:p w:rsidR="008B7836" w:rsidRDefault="008B7836" w:rsidP="008B7836">
      <w:pPr>
        <w:pStyle w:val="BTEMEASMCA"/>
      </w:pPr>
    </w:p>
    <w:p w:rsidR="008B7836" w:rsidRDefault="008B7836" w:rsidP="008B7836">
      <w:pPr>
        <w:pStyle w:val="Pagrindinistekstas"/>
        <w:spacing w:line="240" w:lineRule="auto"/>
        <w:rPr>
          <w:rFonts w:ascii="Times New Roman" w:hAnsi="Times New Roman" w:cs="Times New Roman"/>
          <w:i/>
          <w:iCs/>
          <w:lang w:val="lt-LT"/>
        </w:rPr>
      </w:pPr>
      <w:r>
        <w:rPr>
          <w:rFonts w:ascii="Times New Roman" w:hAnsi="Times New Roman" w:cs="Times New Roman"/>
          <w:i/>
          <w:iCs/>
          <w:lang w:val="lt-LT"/>
        </w:rPr>
        <w:t xml:space="preserve">Senyvi pacientai </w:t>
      </w:r>
    </w:p>
    <w:p w:rsidR="008B7836" w:rsidRDefault="008B7836" w:rsidP="008B7836">
      <w:pPr>
        <w:pStyle w:val="Pagrindinistekstas"/>
        <w:spacing w:line="240" w:lineRule="auto"/>
        <w:rPr>
          <w:rFonts w:ascii="Times New Roman" w:hAnsi="Times New Roman" w:cs="Times New Roman"/>
          <w:lang w:val="lt-LT"/>
        </w:rPr>
      </w:pPr>
      <w:r>
        <w:rPr>
          <w:rFonts w:ascii="Times New Roman" w:hAnsi="Times New Roman" w:cs="Times New Roman"/>
          <w:lang w:val="lt-LT"/>
        </w:rPr>
        <w:t xml:space="preserve">Dozavimo koreguoti nebūtina. </w:t>
      </w:r>
    </w:p>
    <w:p w:rsidR="008B7836" w:rsidRDefault="008B7836" w:rsidP="008B7836">
      <w:pPr>
        <w:pStyle w:val="Pagrindinistekstas"/>
        <w:spacing w:line="240" w:lineRule="auto"/>
        <w:rPr>
          <w:rFonts w:ascii="Times New Roman" w:hAnsi="Times New Roman" w:cs="Times New Roman"/>
          <w:i/>
          <w:iCs/>
          <w:lang w:val="lt-LT"/>
        </w:rPr>
      </w:pPr>
    </w:p>
    <w:p w:rsidR="008B7836" w:rsidRDefault="008B7836" w:rsidP="008B7836">
      <w:pPr>
        <w:pStyle w:val="Pagrindinistekstas"/>
        <w:spacing w:line="240" w:lineRule="auto"/>
        <w:rPr>
          <w:rFonts w:ascii="Times New Roman" w:hAnsi="Times New Roman" w:cs="Times New Roman"/>
          <w:i/>
          <w:iCs/>
          <w:lang w:val="lt-LT"/>
        </w:rPr>
      </w:pPr>
      <w:r>
        <w:rPr>
          <w:rFonts w:ascii="Times New Roman" w:hAnsi="Times New Roman" w:cs="Times New Roman"/>
          <w:i/>
          <w:iCs/>
          <w:lang w:val="lt-LT"/>
        </w:rPr>
        <w:t xml:space="preserve">Pacientams, kurių sutrikusi inkstų ir (ar) kepenų funkcija </w:t>
      </w:r>
    </w:p>
    <w:p w:rsidR="008B7836" w:rsidRDefault="008B7836" w:rsidP="008B7836">
      <w:pPr>
        <w:pStyle w:val="Pagrindinistekstas"/>
        <w:spacing w:line="240" w:lineRule="auto"/>
        <w:rPr>
          <w:rFonts w:ascii="Times New Roman" w:hAnsi="Times New Roman" w:cs="Times New Roman"/>
          <w:lang w:val="lt-LT"/>
        </w:rPr>
      </w:pPr>
      <w:r>
        <w:rPr>
          <w:rFonts w:ascii="Times New Roman" w:hAnsi="Times New Roman" w:cs="Times New Roman"/>
          <w:lang w:val="lt-LT"/>
        </w:rPr>
        <w:t>Vartoti reikia atsargiai.</w:t>
      </w:r>
    </w:p>
    <w:p w:rsidR="008B7836" w:rsidRDefault="008B7836" w:rsidP="008B7836">
      <w:pPr>
        <w:pStyle w:val="Pagrindinistekstas"/>
        <w:spacing w:line="240" w:lineRule="auto"/>
        <w:rPr>
          <w:rFonts w:ascii="Times New Roman" w:hAnsi="Times New Roman" w:cs="Times New Roman"/>
          <w:lang w:val="lt-LT"/>
        </w:rPr>
      </w:pPr>
    </w:p>
    <w:p w:rsidR="008B7836" w:rsidRDefault="008B7836" w:rsidP="008B7836">
      <w:pPr>
        <w:pStyle w:val="BTEMEASMCA"/>
      </w:pPr>
      <w:r>
        <w:rPr>
          <w:noProof/>
        </w:rPr>
        <w:t>Jeigu manote, kad Begsan veikia per stipriai arba per silpnai, kreipkitės į gydytoją arba vaistininką.</w:t>
      </w:r>
    </w:p>
    <w:p w:rsidR="008B7836" w:rsidRDefault="008B7836" w:rsidP="008B7836">
      <w:pPr>
        <w:pStyle w:val="BTEMEASMCA"/>
      </w:pPr>
      <w:r>
        <w:rPr>
          <w:noProof/>
        </w:rPr>
        <w:t>Begsan skirtas tik išoriniam vartojimui. Nenuryti!</w:t>
      </w:r>
    </w:p>
    <w:p w:rsidR="008B7836" w:rsidRDefault="008B7836" w:rsidP="008B7836">
      <w:pPr>
        <w:pStyle w:val="BTEMEASMCA"/>
      </w:pPr>
    </w:p>
    <w:p w:rsidR="008B7836" w:rsidRDefault="008B7836" w:rsidP="008B7836">
      <w:pPr>
        <w:pStyle w:val="PI-3EMEASMCA"/>
      </w:pPr>
      <w:r>
        <w:t xml:space="preserve">Ką daryti pavartojus per didelę </w:t>
      </w:r>
      <w:proofErr w:type="spellStart"/>
      <w:r>
        <w:t>Begsan</w:t>
      </w:r>
      <w:proofErr w:type="spellEnd"/>
      <w:r>
        <w:t xml:space="preserve"> dozę?</w:t>
      </w:r>
    </w:p>
    <w:p w:rsidR="008B7836" w:rsidRDefault="008B7836" w:rsidP="008B7836">
      <w:pPr>
        <w:pStyle w:val="BTEMEASMCA"/>
      </w:pPr>
      <w:r>
        <w:rPr>
          <w:rStyle w:val="hps"/>
          <w:noProof/>
          <w:color w:val="222222"/>
        </w:rPr>
        <w:t>Perdozavimas nėra tikėtinas, jeigu vaistas vartojamas išoriškai</w:t>
      </w:r>
      <w:r>
        <w:rPr>
          <w:noProof/>
        </w:rPr>
        <w:t>.</w:t>
      </w:r>
      <w:r>
        <w:rPr>
          <w:noProof/>
        </w:rPr>
        <w:br/>
      </w:r>
      <w:r>
        <w:rPr>
          <w:rStyle w:val="hps"/>
          <w:noProof/>
          <w:color w:val="222222"/>
        </w:rPr>
        <w:t xml:space="preserve">Jei </w:t>
      </w:r>
      <w:r>
        <w:rPr>
          <w:noProof/>
        </w:rPr>
        <w:t xml:space="preserve">pavartojote </w:t>
      </w:r>
      <w:r>
        <w:rPr>
          <w:rStyle w:val="hps"/>
          <w:noProof/>
          <w:color w:val="222222"/>
        </w:rPr>
        <w:t>per didelį vaisto kiekį</w:t>
      </w:r>
      <w:r>
        <w:rPr>
          <w:noProof/>
        </w:rPr>
        <w:t xml:space="preserve">, nuplaukite jį </w:t>
      </w:r>
      <w:r>
        <w:rPr>
          <w:rStyle w:val="hps"/>
          <w:noProof/>
          <w:color w:val="222222"/>
        </w:rPr>
        <w:t>švariu vandeniu.</w:t>
      </w:r>
      <w:r>
        <w:rPr>
          <w:noProof/>
        </w:rPr>
        <w:br/>
        <w:t xml:space="preserve">Neteisingai vartojant (prarijus) arba pavartojus didesnę dozę nei rekomenduojama,  gali pasireikšti bendras šalutinis poveikis, pvz., </w:t>
      </w:r>
      <w:r>
        <w:rPr>
          <w:rStyle w:val="hps"/>
          <w:noProof/>
          <w:color w:val="222222"/>
        </w:rPr>
        <w:t>mieguistumas, galvos svaigimas</w:t>
      </w:r>
      <w:r>
        <w:rPr>
          <w:noProof/>
        </w:rPr>
        <w:t xml:space="preserve">, pykinimas, vėmimas, </w:t>
      </w:r>
      <w:r>
        <w:rPr>
          <w:rStyle w:val="hps"/>
          <w:noProof/>
          <w:color w:val="222222"/>
        </w:rPr>
        <w:t xml:space="preserve">viršutinės pilvo dalies skausmas. Sunkiais atvejais gali pasireikšti kvėpavimo </w:t>
      </w:r>
      <w:r>
        <w:rPr>
          <w:rStyle w:val="hps"/>
        </w:rPr>
        <w:t>sutrikimas</w:t>
      </w:r>
      <w:r>
        <w:rPr>
          <w:noProof/>
        </w:rPr>
        <w:t xml:space="preserve">, </w:t>
      </w:r>
      <w:r>
        <w:rPr>
          <w:rStyle w:val="hps"/>
          <w:noProof/>
          <w:color w:val="222222"/>
        </w:rPr>
        <w:t>padidėjęs arba sumažėjęs kraujospūdis, kraujavimas iš virškinimo trakto</w:t>
      </w:r>
      <w:r>
        <w:rPr>
          <w:noProof/>
        </w:rPr>
        <w:t xml:space="preserve">, </w:t>
      </w:r>
      <w:r>
        <w:rPr>
          <w:rStyle w:val="hps"/>
          <w:noProof/>
          <w:color w:val="222222"/>
        </w:rPr>
        <w:t>ūminis inkstų funkcijos nepakankamumas</w:t>
      </w:r>
      <w:r>
        <w:rPr>
          <w:noProof/>
        </w:rPr>
        <w:t xml:space="preserve">, traukuliai </w:t>
      </w:r>
      <w:r>
        <w:rPr>
          <w:rStyle w:val="hps"/>
          <w:noProof/>
          <w:color w:val="222222"/>
        </w:rPr>
        <w:t>ir koma.</w:t>
      </w:r>
      <w:r>
        <w:rPr>
          <w:noProof/>
        </w:rPr>
        <w:br/>
      </w:r>
      <w:r>
        <w:rPr>
          <w:rStyle w:val="hps"/>
          <w:noProof/>
          <w:color w:val="222222"/>
        </w:rPr>
        <w:t xml:space="preserve">Jei Jūs ar kas nors kitas atsitiktinai </w:t>
      </w:r>
      <w:r>
        <w:rPr>
          <w:noProof/>
        </w:rPr>
        <w:t xml:space="preserve">prarijo </w:t>
      </w:r>
      <w:r>
        <w:rPr>
          <w:rStyle w:val="hps"/>
          <w:noProof/>
          <w:color w:val="222222"/>
        </w:rPr>
        <w:t>gelio</w:t>
      </w:r>
      <w:r>
        <w:rPr>
          <w:noProof/>
        </w:rPr>
        <w:t xml:space="preserve">, pasakykite </w:t>
      </w:r>
      <w:r>
        <w:rPr>
          <w:rStyle w:val="hps"/>
          <w:noProof/>
          <w:color w:val="222222"/>
        </w:rPr>
        <w:t>gydytojui arba iš karto kreipkitės į ligoninės skubios pagalbos skyrių. Su savimi paimkite vaisto pakuotę</w:t>
      </w:r>
      <w:r>
        <w:rPr>
          <w:noProof/>
        </w:rPr>
        <w:t>.</w:t>
      </w:r>
    </w:p>
    <w:p w:rsidR="008B7836" w:rsidRDefault="008B7836" w:rsidP="008B7836">
      <w:pPr>
        <w:pStyle w:val="BTEMEASMCA"/>
      </w:pPr>
    </w:p>
    <w:p w:rsidR="008B7836" w:rsidRDefault="008B7836" w:rsidP="008B7836">
      <w:pPr>
        <w:pStyle w:val="PI-3EMEASMCA"/>
      </w:pPr>
      <w:r>
        <w:t xml:space="preserve">Pamiršus pavartoti </w:t>
      </w:r>
      <w:proofErr w:type="spellStart"/>
      <w:r>
        <w:t>Begsan</w:t>
      </w:r>
      <w:proofErr w:type="spellEnd"/>
    </w:p>
    <w:p w:rsidR="008B7836" w:rsidRDefault="008B7836" w:rsidP="008B7836">
      <w:pPr>
        <w:pStyle w:val="BTEMEASMCA"/>
      </w:pPr>
      <w:r>
        <w:rPr>
          <w:noProof/>
        </w:rPr>
        <w:t>Pamiršus pavartoti Begsan, jo tepkite kiek galima greičiau prisiminę. Po to vaisto vartokite įprastai. Jei jau beveik laikas kitam tepimui, tepkite paskirtą gelio kiekį ir toliau vaisto vartokite įprastai. Negalima vartoti dvigubos dozės norint kompensuoti praleistą dozę.</w:t>
      </w:r>
    </w:p>
    <w:p w:rsidR="008B7836" w:rsidRDefault="008B7836" w:rsidP="008B7836">
      <w:pPr>
        <w:pStyle w:val="BTEMEASMCA"/>
      </w:pPr>
    </w:p>
    <w:p w:rsidR="008B7836" w:rsidRDefault="008B7836" w:rsidP="008B7836">
      <w:pPr>
        <w:pStyle w:val="PI-3EMEASMCA"/>
      </w:pPr>
      <w:r>
        <w:t xml:space="preserve">Nustojus vartoti </w:t>
      </w:r>
      <w:proofErr w:type="spellStart"/>
      <w:r>
        <w:t>Begsan</w:t>
      </w:r>
      <w:proofErr w:type="spellEnd"/>
    </w:p>
    <w:p w:rsidR="008B7836" w:rsidRDefault="008B7836" w:rsidP="008B7836">
      <w:pPr>
        <w:pStyle w:val="BTEMEASMCA"/>
      </w:pPr>
      <w:r>
        <w:rPr>
          <w:noProof/>
        </w:rPr>
        <w:t>Jeigu kiltų daugiau klausimų dėl šio vaisto vartojimo, kreipkitės į gydytoją arba vaistininką.</w:t>
      </w:r>
    </w:p>
    <w:p w:rsidR="008B7836" w:rsidRDefault="008B7836" w:rsidP="008B7836">
      <w:pPr>
        <w:pStyle w:val="BTEMEASMCA"/>
      </w:pPr>
    </w:p>
    <w:p w:rsidR="008B7836" w:rsidRDefault="008B7836" w:rsidP="008B7836">
      <w:pPr>
        <w:pStyle w:val="BTEMEASMCA"/>
      </w:pPr>
    </w:p>
    <w:p w:rsidR="008B7836" w:rsidRDefault="008B7836" w:rsidP="008B7836">
      <w:pPr>
        <w:pStyle w:val="PI-1EMEASMCA"/>
      </w:pPr>
      <w:bookmarkStart w:id="6" w:name="_Toc129243267"/>
      <w:bookmarkStart w:id="7" w:name="_Toc129243142"/>
      <w:r>
        <w:t>4.</w:t>
      </w:r>
      <w:r>
        <w:tab/>
        <w:t>Galimas šalutinis poveikis</w:t>
      </w:r>
      <w:bookmarkEnd w:id="6"/>
      <w:bookmarkEnd w:id="7"/>
    </w:p>
    <w:p w:rsidR="008B7836" w:rsidRDefault="008B7836" w:rsidP="008B7836">
      <w:pPr>
        <w:pStyle w:val="BTEMEASMCA"/>
      </w:pPr>
    </w:p>
    <w:p w:rsidR="008B7836" w:rsidRDefault="008B7836" w:rsidP="008B7836">
      <w:pPr>
        <w:pStyle w:val="BTEMEASMCA"/>
      </w:pPr>
      <w:r>
        <w:t>Šis vaistas, kaip ir visi kiti, gali sukelti šalutinį poveikį, nors jis pasireiškia ne visiems žmonėms.</w:t>
      </w:r>
    </w:p>
    <w:p w:rsidR="008B7836" w:rsidRDefault="008B7836" w:rsidP="008B7836">
      <w:pPr>
        <w:pStyle w:val="BTEMEASMCA"/>
      </w:pPr>
      <w:r>
        <w:t xml:space="preserve">Kadangi </w:t>
      </w:r>
      <w:proofErr w:type="spellStart"/>
      <w:r>
        <w:t>Begsan</w:t>
      </w:r>
      <w:proofErr w:type="spellEnd"/>
      <w:r>
        <w:t xml:space="preserve"> sudėtyje yra etilo alkoholio, dažnas gelio vartojimas gali sukelti odos sausumą ir dirginimą.</w:t>
      </w:r>
    </w:p>
    <w:p w:rsidR="008B7836" w:rsidRDefault="008B7836" w:rsidP="008B7836">
      <w:pPr>
        <w:pStyle w:val="BTEMEASMCA"/>
      </w:pPr>
    </w:p>
    <w:p w:rsidR="008B7836" w:rsidRDefault="008B7836" w:rsidP="008B7836">
      <w:pPr>
        <w:pStyle w:val="BTEMEASMCA"/>
      </w:pPr>
      <w:r>
        <w:t>Dažnas (gali pasireikšti mažiau nei 1 iš 10 žmonių):</w:t>
      </w:r>
    </w:p>
    <w:p w:rsidR="008B7836" w:rsidRDefault="008B7836" w:rsidP="008B7836">
      <w:pPr>
        <w:pStyle w:val="BTEMEASMCA"/>
        <w:numPr>
          <w:ilvl w:val="0"/>
          <w:numId w:val="2"/>
        </w:numPr>
        <w:ind w:left="426"/>
      </w:pPr>
      <w:proofErr w:type="spellStart"/>
      <w:r>
        <w:t>ketoprofenas</w:t>
      </w:r>
      <w:proofErr w:type="spellEnd"/>
      <w:r>
        <w:t xml:space="preserve"> gali sukelti bronchų astmos priepuolį pacientams, kurie yra jautrūs </w:t>
      </w:r>
      <w:proofErr w:type="spellStart"/>
      <w:r>
        <w:t>acetilsalicilo</w:t>
      </w:r>
      <w:proofErr w:type="spellEnd"/>
      <w:r>
        <w:t xml:space="preserve"> rūgščiai arba jos dariniams.</w:t>
      </w:r>
    </w:p>
    <w:p w:rsidR="008B7836" w:rsidRDefault="008B7836" w:rsidP="008B7836">
      <w:pPr>
        <w:pStyle w:val="BTEMEASMCA"/>
      </w:pPr>
    </w:p>
    <w:p w:rsidR="008B7836" w:rsidRDefault="008B7836" w:rsidP="008B7836">
      <w:pPr>
        <w:pStyle w:val="BTEMEASMCA"/>
        <w:rPr>
          <w:noProof/>
          <w:color w:val="FF0000"/>
        </w:rPr>
      </w:pPr>
      <w:r>
        <w:rPr>
          <w:noProof/>
        </w:rPr>
        <w:t>Nedažnas (gali pasireikšti mažiau kaip 1 iš 100 žmonių):</w:t>
      </w:r>
      <w:r>
        <w:rPr>
          <w:noProof/>
          <w:color w:val="FF0000"/>
        </w:rPr>
        <w:t xml:space="preserve"> </w:t>
      </w:r>
    </w:p>
    <w:p w:rsidR="008B7836" w:rsidRDefault="008B7836" w:rsidP="008B7836">
      <w:pPr>
        <w:pStyle w:val="BTEMEASMCA"/>
        <w:numPr>
          <w:ilvl w:val="0"/>
          <w:numId w:val="2"/>
        </w:numPr>
        <w:tabs>
          <w:tab w:val="clear" w:pos="0"/>
          <w:tab w:val="clear" w:pos="540"/>
          <w:tab w:val="left" w:pos="720"/>
        </w:tabs>
        <w:ind w:left="426"/>
      </w:pPr>
      <w:r>
        <w:rPr>
          <w:noProof/>
        </w:rPr>
        <w:t>padidėjusio jautrumo odos reakcijos, pvz., paraudimas, egzema (odos uždegimas), niežulys ir deginimo pojūtis.</w:t>
      </w:r>
      <w:r>
        <w:rPr>
          <w:noProof/>
        </w:rPr>
        <w:br/>
      </w:r>
    </w:p>
    <w:p w:rsidR="008B7836" w:rsidRDefault="008B7836" w:rsidP="008B7836">
      <w:pPr>
        <w:pStyle w:val="BTEMEASMCA"/>
        <w:rPr>
          <w:noProof/>
        </w:rPr>
      </w:pPr>
      <w:r>
        <w:rPr>
          <w:noProof/>
        </w:rPr>
        <w:t>Retas (gali pasireikšti mažiau kaip 1 iš 1000 žmonių):</w:t>
      </w:r>
    </w:p>
    <w:p w:rsidR="008B7836" w:rsidRDefault="008B7836" w:rsidP="008B7836">
      <w:pPr>
        <w:pStyle w:val="BTEMEASMCA"/>
        <w:numPr>
          <w:ilvl w:val="0"/>
          <w:numId w:val="3"/>
        </w:numPr>
        <w:rPr>
          <w:color w:val="545454"/>
          <w:shd w:val="clear" w:color="auto" w:fill="FFFFFF"/>
        </w:rPr>
      </w:pPr>
      <w:r>
        <w:rPr>
          <w:noProof/>
        </w:rPr>
        <w:t>sunkesnės odos reakcijos, tokios kaip pūslinė ar flikteninė egzema, kuri gali išsiplėsti arba išplisti visame kūne, dilgėlinė</w:t>
      </w:r>
      <w:r>
        <w:rPr>
          <w:noProof/>
          <w:color w:val="545454"/>
          <w:shd w:val="clear" w:color="auto" w:fill="FFFFFF"/>
        </w:rPr>
        <w:t xml:space="preserve"> </w:t>
      </w:r>
      <w:r>
        <w:rPr>
          <w:noProof/>
          <w:shd w:val="clear" w:color="auto" w:fill="FFFFFF"/>
        </w:rPr>
        <w:t>(staigus odos ir gleivinės bėrimas niežtinčiomis pūkšlėmis);</w:t>
      </w:r>
      <w:r>
        <w:rPr>
          <w:shd w:val="clear" w:color="auto" w:fill="FFFFFF"/>
        </w:rPr>
        <w:t xml:space="preserve"> </w:t>
      </w:r>
    </w:p>
    <w:p w:rsidR="008B7836" w:rsidRDefault="008B7836" w:rsidP="008B7836">
      <w:pPr>
        <w:pStyle w:val="BTEMEASMCA"/>
        <w:numPr>
          <w:ilvl w:val="0"/>
          <w:numId w:val="3"/>
        </w:numPr>
      </w:pPr>
      <w:r>
        <w:rPr>
          <w:noProof/>
          <w:color w:val="545454"/>
          <w:shd w:val="clear" w:color="auto" w:fill="FFFFFF"/>
        </w:rPr>
        <w:t>g</w:t>
      </w:r>
      <w:r>
        <w:rPr>
          <w:noProof/>
        </w:rPr>
        <w:t>ydomiems odos plotams saulės spindulių poveikis gali sukelti fotosensibilizacią (padidėjusio jautrumo rekciją šviesai).</w:t>
      </w:r>
      <w:r>
        <w:rPr>
          <w:noProof/>
        </w:rPr>
        <w:br/>
      </w:r>
    </w:p>
    <w:p w:rsidR="008B7836" w:rsidRDefault="008B7836" w:rsidP="008B7836">
      <w:pPr>
        <w:pStyle w:val="BTEMEASMCA"/>
      </w:pPr>
      <w:r>
        <w:t>Labai retas (gali pasireikšti mažiau nei 1 iš 10000 žmonių):</w:t>
      </w:r>
    </w:p>
    <w:p w:rsidR="008B7836" w:rsidRDefault="008B7836" w:rsidP="008B7836">
      <w:pPr>
        <w:pStyle w:val="BTEMEASMCA"/>
        <w:numPr>
          <w:ilvl w:val="0"/>
          <w:numId w:val="4"/>
        </w:numPr>
      </w:pPr>
      <w:r>
        <w:t>atsinaujinęs jau anksčiau buvęs inkstų funkcijos nepakankamumas, pykinimas, vėmimas.</w:t>
      </w:r>
    </w:p>
    <w:p w:rsidR="008B7836" w:rsidRDefault="008B7836" w:rsidP="008B7836">
      <w:pPr>
        <w:pStyle w:val="BTEMEASMCA"/>
        <w:rPr>
          <w:noProof/>
        </w:rPr>
      </w:pPr>
      <w:r>
        <w:rPr>
          <w:noProof/>
        </w:rPr>
        <w:br/>
        <w:t>Dažnis nežinomas (negali būti  apskaičiuotas pagal turimus duomenis):</w:t>
      </w:r>
    </w:p>
    <w:p w:rsidR="008B7836" w:rsidRDefault="008B7836" w:rsidP="008B7836">
      <w:pPr>
        <w:pStyle w:val="BTEMEASMCA"/>
        <w:numPr>
          <w:ilvl w:val="0"/>
          <w:numId w:val="4"/>
        </w:numPr>
      </w:pPr>
      <w:r>
        <w:rPr>
          <w:noProof/>
        </w:rPr>
        <w:t>padidėjusio jautrumo reakcijos, anafilaksinis šokas (sunki alerginė reakcija), patinimas.</w:t>
      </w:r>
      <w:r>
        <w:t xml:space="preserve">Nutraukite </w:t>
      </w:r>
      <w:proofErr w:type="spellStart"/>
      <w:r>
        <w:t>Begsan</w:t>
      </w:r>
      <w:proofErr w:type="spellEnd"/>
      <w:r>
        <w:t xml:space="preserve"> gelio vartojimą ir nedelsiant kreipkitės medicininės pagalbos, jei gelio vartojimo vietoje atsirado padidėjusio jautrumo reakcija. Jos požymiai gali būti tokie: bėrimas, rijimo ir kvėpavimo sutrikimas, švokštimas, bronchų spazmas, kraujospūdžio sumažėjimas, lūpų, veido, gerklės ar liežuvio patinimas.</w:t>
      </w:r>
    </w:p>
    <w:p w:rsidR="008B7836" w:rsidRDefault="008B7836" w:rsidP="008B7836">
      <w:pPr>
        <w:pStyle w:val="BTEMEASMCA"/>
      </w:pPr>
    </w:p>
    <w:p w:rsidR="008B7836" w:rsidRDefault="008B7836" w:rsidP="008B7836">
      <w:pPr>
        <w:rPr>
          <w:b/>
          <w:bCs/>
          <w:noProof/>
          <w:sz w:val="22"/>
          <w:szCs w:val="22"/>
        </w:rPr>
      </w:pPr>
      <w:r>
        <w:rPr>
          <w:b/>
          <w:bCs/>
          <w:noProof/>
          <w:sz w:val="22"/>
          <w:szCs w:val="22"/>
        </w:rPr>
        <w:t>Pranešimas apie šalutinį poveikį</w:t>
      </w:r>
    </w:p>
    <w:p w:rsidR="008B7836" w:rsidRDefault="008B7836" w:rsidP="008B7836">
      <w:pPr>
        <w:ind w:right="-449"/>
        <w:rPr>
          <w:noProof/>
          <w:sz w:val="22"/>
          <w:szCs w:val="22"/>
        </w:rPr>
      </w:pPr>
      <w:r>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8B7836" w:rsidRDefault="008B7836" w:rsidP="008B7836">
      <w:pPr>
        <w:rPr>
          <w:b/>
          <w:bCs/>
          <w:sz w:val="22"/>
          <w:szCs w:val="22"/>
        </w:rPr>
      </w:pPr>
    </w:p>
    <w:p w:rsidR="008B7836" w:rsidRDefault="008B7836" w:rsidP="008B7836">
      <w:pPr>
        <w:pStyle w:val="BTEMEASMCA"/>
      </w:pPr>
    </w:p>
    <w:p w:rsidR="008B7836" w:rsidRDefault="008B7836" w:rsidP="008B7836">
      <w:pPr>
        <w:pStyle w:val="PI-1EMEASMCA"/>
      </w:pPr>
      <w:bookmarkStart w:id="8" w:name="_Toc129243268"/>
      <w:bookmarkStart w:id="9" w:name="_Toc129243143"/>
      <w:r>
        <w:t>5.</w:t>
      </w:r>
      <w:r>
        <w:tab/>
        <w:t xml:space="preserve">Kaip laikyti </w:t>
      </w:r>
      <w:proofErr w:type="spellStart"/>
      <w:r>
        <w:t>Begsan</w:t>
      </w:r>
      <w:bookmarkEnd w:id="8"/>
      <w:bookmarkEnd w:id="9"/>
      <w:proofErr w:type="spellEnd"/>
    </w:p>
    <w:p w:rsidR="008B7836" w:rsidRDefault="008B7836" w:rsidP="008B7836">
      <w:pPr>
        <w:pStyle w:val="BTEMEASMCA"/>
      </w:pPr>
    </w:p>
    <w:p w:rsidR="008B7836" w:rsidRDefault="008B7836" w:rsidP="008B7836">
      <w:pPr>
        <w:numPr>
          <w:ilvl w:val="12"/>
          <w:numId w:val="0"/>
        </w:numPr>
        <w:ind w:right="-2"/>
        <w:rPr>
          <w:sz w:val="22"/>
          <w:szCs w:val="22"/>
        </w:rPr>
      </w:pPr>
      <w:r>
        <w:rPr>
          <w:noProof/>
          <w:sz w:val="22"/>
          <w:szCs w:val="22"/>
        </w:rPr>
        <w:t>Šį vaistą laikykite vaikams nepastebimoje ir nepasiekiamoje vietoje.</w:t>
      </w:r>
    </w:p>
    <w:p w:rsidR="008B7836" w:rsidRDefault="008B7836" w:rsidP="008B7836">
      <w:pPr>
        <w:pStyle w:val="BTEMEASMCA"/>
      </w:pPr>
      <w:r>
        <w:t xml:space="preserve">Laikyti ne aukštesnėje kaip 25 </w:t>
      </w:r>
      <w:r>
        <w:sym w:font="Symbol" w:char="F0B0"/>
      </w:r>
      <w:r>
        <w:t>C temperatūroje.</w:t>
      </w:r>
    </w:p>
    <w:p w:rsidR="008B7836" w:rsidRDefault="008B7836" w:rsidP="008B7836">
      <w:pPr>
        <w:pStyle w:val="BTEMEASMCA"/>
      </w:pPr>
      <w:r>
        <w:t>Negalima užšaldyti.</w:t>
      </w:r>
    </w:p>
    <w:p w:rsidR="008B7836" w:rsidRDefault="008B7836" w:rsidP="008B7836">
      <w:pPr>
        <w:pStyle w:val="BTEMEASMCA"/>
      </w:pPr>
    </w:p>
    <w:p w:rsidR="008B7836" w:rsidRDefault="008B7836" w:rsidP="008B7836">
      <w:pPr>
        <w:pStyle w:val="BTEMEASMCA"/>
      </w:pPr>
      <w:r>
        <w:t xml:space="preserve">Ant kartono dėžutės po „EXP“ ir tūbelės nurodytam tinkamumo laikui pasibaigus, šio vaisto vartoti negalima. Vaistas tinkamas vartoti iki paskutinės nurodyto mėnesio dienos. </w:t>
      </w:r>
    </w:p>
    <w:p w:rsidR="008B7836" w:rsidRDefault="008B7836" w:rsidP="008B7836">
      <w:pPr>
        <w:pStyle w:val="BTEMEASMCA"/>
      </w:pPr>
      <w:r>
        <w:t>Tinkamumo laikas po pirmojo atidarymo – 2 metai.</w:t>
      </w:r>
    </w:p>
    <w:p w:rsidR="008B7836" w:rsidRDefault="008B7836" w:rsidP="008B7836">
      <w:pPr>
        <w:pStyle w:val="BTEMEASMCA"/>
      </w:pPr>
    </w:p>
    <w:p w:rsidR="008B7836" w:rsidRDefault="008B7836" w:rsidP="008B7836">
      <w:pPr>
        <w:pStyle w:val="BTEMEASMCA"/>
      </w:pPr>
      <w:r>
        <w:t>Vaistų negalima išmesti į kanalizaciją arba su buitinėmis atliekomis. Kaip išmesti nereikalingus vaistus, klauskite vaistininko. Šios priemonės padės apsaugoti aplinką.</w:t>
      </w:r>
    </w:p>
    <w:p w:rsidR="008B7836" w:rsidRDefault="008B7836" w:rsidP="008B7836">
      <w:pPr>
        <w:pStyle w:val="BTEMEASMCA"/>
      </w:pPr>
    </w:p>
    <w:p w:rsidR="008B7836" w:rsidRDefault="008B7836" w:rsidP="008B7836">
      <w:pPr>
        <w:pStyle w:val="BTEMEASMCA"/>
      </w:pPr>
    </w:p>
    <w:p w:rsidR="008B7836" w:rsidRDefault="008B7836" w:rsidP="008B7836">
      <w:pPr>
        <w:pStyle w:val="PI-1EMEASMCA"/>
      </w:pPr>
      <w:bookmarkStart w:id="10" w:name="_Toc129243269"/>
      <w:bookmarkStart w:id="11" w:name="_Toc129243144"/>
      <w:r>
        <w:t>6.</w:t>
      </w:r>
      <w:r>
        <w:tab/>
        <w:t>Pakuotės turinys ir kita informacija</w:t>
      </w:r>
      <w:bookmarkEnd w:id="10"/>
      <w:bookmarkEnd w:id="11"/>
    </w:p>
    <w:p w:rsidR="008B7836" w:rsidRDefault="008B7836" w:rsidP="008B7836">
      <w:pPr>
        <w:pStyle w:val="BTEMEASMCA"/>
      </w:pPr>
    </w:p>
    <w:p w:rsidR="008B7836" w:rsidRDefault="008B7836" w:rsidP="008B7836">
      <w:pPr>
        <w:pStyle w:val="PI-3EMEASMCA"/>
      </w:pPr>
      <w:proofErr w:type="spellStart"/>
      <w:r>
        <w:t>Begsan</w:t>
      </w:r>
      <w:proofErr w:type="spellEnd"/>
      <w:r>
        <w:t xml:space="preserve"> sudėtis</w:t>
      </w:r>
    </w:p>
    <w:p w:rsidR="008B7836" w:rsidRDefault="008B7836" w:rsidP="008B7836">
      <w:pPr>
        <w:pStyle w:val="PI-3EMEASMCA"/>
      </w:pPr>
    </w:p>
    <w:p w:rsidR="008B7836" w:rsidRDefault="008B7836" w:rsidP="008B7836">
      <w:pPr>
        <w:pStyle w:val="BT-EMEASMCA"/>
        <w:tabs>
          <w:tab w:val="clear" w:pos="360"/>
          <w:tab w:val="num" w:pos="930"/>
        </w:tabs>
      </w:pPr>
      <w:r>
        <w:t xml:space="preserve">Veiklioji medžiaga yra </w:t>
      </w:r>
      <w:proofErr w:type="spellStart"/>
      <w:r>
        <w:t>ketoprofenas</w:t>
      </w:r>
      <w:proofErr w:type="spellEnd"/>
      <w:r>
        <w:t xml:space="preserve">. 1 g gelio yra 25 mg </w:t>
      </w:r>
      <w:proofErr w:type="spellStart"/>
      <w:r>
        <w:t>ketoprofeno</w:t>
      </w:r>
      <w:proofErr w:type="spellEnd"/>
      <w:r>
        <w:t>.</w:t>
      </w:r>
    </w:p>
    <w:p w:rsidR="008B7836" w:rsidRDefault="008B7836" w:rsidP="008B7836">
      <w:pPr>
        <w:pStyle w:val="BT-EMEASMCA"/>
        <w:tabs>
          <w:tab w:val="clear" w:pos="360"/>
          <w:tab w:val="num" w:pos="930"/>
        </w:tabs>
      </w:pPr>
      <w:r>
        <w:t xml:space="preserve">Pagalbinės medžiagos yra etanolis (96 %), </w:t>
      </w:r>
      <w:proofErr w:type="spellStart"/>
      <w:r>
        <w:t>karbomerai</w:t>
      </w:r>
      <w:proofErr w:type="spellEnd"/>
      <w:r>
        <w:t xml:space="preserve">, </w:t>
      </w:r>
      <w:proofErr w:type="spellStart"/>
      <w:r>
        <w:t>dietanolaminas</w:t>
      </w:r>
      <w:proofErr w:type="spellEnd"/>
      <w:r>
        <w:t xml:space="preserve">, levandų eterinis aliejus, metilo </w:t>
      </w:r>
      <w:proofErr w:type="spellStart"/>
      <w:r>
        <w:t>parahidroksibenzoatas</w:t>
      </w:r>
      <w:proofErr w:type="spellEnd"/>
      <w:r>
        <w:t xml:space="preserve"> (E218), </w:t>
      </w:r>
      <w:proofErr w:type="spellStart"/>
      <w:r>
        <w:t>karčiavaisių</w:t>
      </w:r>
      <w:proofErr w:type="spellEnd"/>
      <w:r>
        <w:t xml:space="preserve"> citrinmedžių žiedų eterinis aliejus, </w:t>
      </w:r>
      <w:proofErr w:type="spellStart"/>
      <w:r>
        <w:t>propilo</w:t>
      </w:r>
      <w:proofErr w:type="spellEnd"/>
      <w:r>
        <w:t xml:space="preserve"> </w:t>
      </w:r>
      <w:proofErr w:type="spellStart"/>
      <w:r>
        <w:t>parahidroksibenzoatas</w:t>
      </w:r>
      <w:proofErr w:type="spellEnd"/>
      <w:r>
        <w:t xml:space="preserve"> (E216), išgrynintas vanduo.</w:t>
      </w:r>
    </w:p>
    <w:p w:rsidR="008B7836" w:rsidRDefault="008B7836" w:rsidP="008B7836">
      <w:pPr>
        <w:pStyle w:val="BTEMEASMCA"/>
      </w:pPr>
    </w:p>
    <w:p w:rsidR="008B7836" w:rsidRDefault="008B7836" w:rsidP="008B7836">
      <w:pPr>
        <w:pStyle w:val="PI-3EMEASMCA"/>
      </w:pPr>
      <w:proofErr w:type="spellStart"/>
      <w:r>
        <w:t>Begsan</w:t>
      </w:r>
      <w:proofErr w:type="spellEnd"/>
      <w:r>
        <w:t xml:space="preserve"> išvaizda ir kiekis pakuotėje</w:t>
      </w:r>
    </w:p>
    <w:p w:rsidR="008B7836" w:rsidRDefault="008B7836" w:rsidP="008B7836">
      <w:pPr>
        <w:pStyle w:val="BTEMEASMCA"/>
      </w:pPr>
      <w:r>
        <w:t>Skaidrus arba šiek tiek drumstas, bespalvis arba šiek tiek gelsvas, specifinio kvapo gelis.</w:t>
      </w:r>
    </w:p>
    <w:p w:rsidR="008B7836" w:rsidRDefault="008B7836" w:rsidP="008B7836">
      <w:pPr>
        <w:pStyle w:val="BTEMEASMCA"/>
      </w:pPr>
      <w:r>
        <w:t>Pakuotė: aliuminio tūbelė su baltos spalvos užsukamu dangteliu. Tūbelėje yra 30 g arba 50 g gelio.</w:t>
      </w:r>
    </w:p>
    <w:p w:rsidR="008B7836" w:rsidRDefault="008B7836" w:rsidP="008B7836">
      <w:pPr>
        <w:pStyle w:val="BTEMEASMCA"/>
      </w:pPr>
      <w:r>
        <w:t>Kartono dėžutėje yra viena tūbelė.</w:t>
      </w:r>
    </w:p>
    <w:p w:rsidR="008B7836" w:rsidRDefault="008B7836" w:rsidP="008B7836">
      <w:pPr>
        <w:pStyle w:val="BTEMEASMCA"/>
      </w:pPr>
    </w:p>
    <w:p w:rsidR="008B7836" w:rsidRDefault="008B7836" w:rsidP="008B7836">
      <w:pPr>
        <w:pStyle w:val="PI-3EMEASMCA"/>
      </w:pPr>
      <w:r>
        <w:t>Registruotojas ir gamintojas</w:t>
      </w:r>
    </w:p>
    <w:p w:rsidR="008B7836" w:rsidRDefault="008B7836" w:rsidP="008B7836">
      <w:pPr>
        <w:jc w:val="both"/>
        <w:rPr>
          <w:i/>
          <w:noProof/>
          <w:sz w:val="22"/>
          <w:szCs w:val="22"/>
        </w:rPr>
      </w:pPr>
      <w:r>
        <w:rPr>
          <w:i/>
          <w:noProof/>
          <w:sz w:val="22"/>
          <w:szCs w:val="22"/>
        </w:rPr>
        <w:t>Registruotojas</w:t>
      </w:r>
    </w:p>
    <w:p w:rsidR="008B7836" w:rsidRDefault="008B7836" w:rsidP="008B7836">
      <w:pPr>
        <w:jc w:val="both"/>
        <w:rPr>
          <w:noProof/>
          <w:sz w:val="22"/>
          <w:szCs w:val="22"/>
        </w:rPr>
      </w:pPr>
      <w:r>
        <w:rPr>
          <w:noProof/>
          <w:sz w:val="22"/>
          <w:szCs w:val="22"/>
        </w:rPr>
        <w:t>AS GRINDEKS.</w:t>
      </w:r>
    </w:p>
    <w:p w:rsidR="008B7836" w:rsidRDefault="008B7836" w:rsidP="008B7836">
      <w:pPr>
        <w:jc w:val="both"/>
        <w:rPr>
          <w:noProof/>
          <w:sz w:val="22"/>
          <w:szCs w:val="22"/>
        </w:rPr>
      </w:pPr>
      <w:r>
        <w:rPr>
          <w:noProof/>
          <w:sz w:val="22"/>
          <w:szCs w:val="22"/>
        </w:rPr>
        <w:t>Krustpils iela 53, Rīga, LV-1057, Latvija</w:t>
      </w:r>
    </w:p>
    <w:p w:rsidR="008B7836" w:rsidRDefault="008B7836" w:rsidP="008B7836">
      <w:pPr>
        <w:pStyle w:val="BTEMEASMCA"/>
      </w:pPr>
    </w:p>
    <w:p w:rsidR="008B7836" w:rsidRDefault="008B7836" w:rsidP="008B7836">
      <w:pPr>
        <w:jc w:val="both"/>
        <w:rPr>
          <w:i/>
          <w:noProof/>
          <w:sz w:val="22"/>
          <w:szCs w:val="22"/>
        </w:rPr>
      </w:pPr>
      <w:r>
        <w:rPr>
          <w:i/>
          <w:noProof/>
          <w:sz w:val="22"/>
          <w:szCs w:val="22"/>
        </w:rPr>
        <w:t>Gamintojai</w:t>
      </w:r>
    </w:p>
    <w:p w:rsidR="008B7836" w:rsidRDefault="008B7836" w:rsidP="008B7836">
      <w:pPr>
        <w:pStyle w:val="BTEMEASMCA"/>
      </w:pPr>
      <w:r>
        <w:t>TALLINNA FARMAATSIATEHASE AS</w:t>
      </w:r>
    </w:p>
    <w:p w:rsidR="008B7836" w:rsidRDefault="008B7836" w:rsidP="008B7836">
      <w:pPr>
        <w:pStyle w:val="BTEMEASMCA"/>
      </w:pPr>
      <w:proofErr w:type="spellStart"/>
      <w:r>
        <w:t>Tondi</w:t>
      </w:r>
      <w:proofErr w:type="spellEnd"/>
      <w:r>
        <w:t xml:space="preserve"> 33</w:t>
      </w:r>
    </w:p>
    <w:p w:rsidR="008B7836" w:rsidRDefault="008B7836" w:rsidP="008B7836">
      <w:pPr>
        <w:pStyle w:val="BTEMEASMCA"/>
      </w:pPr>
      <w:r>
        <w:t xml:space="preserve">11316, </w:t>
      </w:r>
      <w:proofErr w:type="spellStart"/>
      <w:r>
        <w:t>Tallinn</w:t>
      </w:r>
      <w:proofErr w:type="spellEnd"/>
      <w:r>
        <w:t>, Estija</w:t>
      </w:r>
    </w:p>
    <w:p w:rsidR="008B7836" w:rsidRDefault="008B7836" w:rsidP="008B7836">
      <w:pPr>
        <w:jc w:val="both"/>
        <w:rPr>
          <w:noProof/>
          <w:sz w:val="22"/>
          <w:szCs w:val="22"/>
        </w:rPr>
      </w:pPr>
    </w:p>
    <w:p w:rsidR="008B7836" w:rsidRDefault="008B7836" w:rsidP="008B7836">
      <w:pPr>
        <w:jc w:val="both"/>
        <w:rPr>
          <w:noProof/>
          <w:sz w:val="22"/>
          <w:szCs w:val="22"/>
        </w:rPr>
      </w:pPr>
      <w:r>
        <w:rPr>
          <w:noProof/>
          <w:sz w:val="22"/>
          <w:szCs w:val="22"/>
        </w:rPr>
        <w:t>arba</w:t>
      </w:r>
    </w:p>
    <w:p w:rsidR="008B7836" w:rsidRDefault="008B7836" w:rsidP="008B7836">
      <w:pPr>
        <w:jc w:val="both"/>
        <w:rPr>
          <w:noProof/>
          <w:sz w:val="22"/>
          <w:szCs w:val="22"/>
        </w:rPr>
      </w:pPr>
    </w:p>
    <w:p w:rsidR="008B7836" w:rsidRDefault="008B7836" w:rsidP="008B7836">
      <w:pPr>
        <w:jc w:val="both"/>
        <w:rPr>
          <w:noProof/>
          <w:sz w:val="22"/>
          <w:szCs w:val="22"/>
        </w:rPr>
      </w:pPr>
      <w:r>
        <w:rPr>
          <w:noProof/>
          <w:sz w:val="22"/>
          <w:szCs w:val="22"/>
        </w:rPr>
        <w:t>AS GRINDEKS.</w:t>
      </w:r>
    </w:p>
    <w:p w:rsidR="008B7836" w:rsidRDefault="008B7836" w:rsidP="008B7836">
      <w:pPr>
        <w:jc w:val="both"/>
        <w:rPr>
          <w:noProof/>
          <w:sz w:val="22"/>
          <w:szCs w:val="22"/>
        </w:rPr>
      </w:pPr>
      <w:r>
        <w:rPr>
          <w:noProof/>
          <w:sz w:val="22"/>
          <w:szCs w:val="22"/>
        </w:rPr>
        <w:t>Krustpils iela 53</w:t>
      </w:r>
    </w:p>
    <w:p w:rsidR="008B7836" w:rsidRDefault="008B7836" w:rsidP="008B7836">
      <w:pPr>
        <w:jc w:val="both"/>
        <w:rPr>
          <w:noProof/>
          <w:sz w:val="22"/>
          <w:szCs w:val="22"/>
        </w:rPr>
      </w:pPr>
      <w:r>
        <w:rPr>
          <w:noProof/>
          <w:sz w:val="22"/>
          <w:szCs w:val="22"/>
        </w:rPr>
        <w:t>Rīga, LV-1057, Latvija</w:t>
      </w:r>
    </w:p>
    <w:p w:rsidR="008B7836" w:rsidRDefault="008B7836" w:rsidP="008B7836">
      <w:pPr>
        <w:pStyle w:val="BTEMEASMCA"/>
      </w:pPr>
    </w:p>
    <w:p w:rsidR="008B7836" w:rsidRDefault="008B7836" w:rsidP="008B7836">
      <w:pPr>
        <w:pStyle w:val="BTEMEASMCA"/>
      </w:pPr>
      <w:r>
        <w:t>Jeigu apie šį vaistą norite sužinoti daugiau, kreipkitės į vietinį registruotojo atstovą.</w:t>
      </w:r>
    </w:p>
    <w:p w:rsidR="008B7836" w:rsidRDefault="008B7836" w:rsidP="008B7836">
      <w:pPr>
        <w:rPr>
          <w:sz w:val="22"/>
          <w:szCs w:val="22"/>
        </w:rPr>
      </w:pPr>
    </w:p>
    <w:tbl>
      <w:tblPr>
        <w:tblW w:w="4680" w:type="dxa"/>
        <w:tblInd w:w="2" w:type="dxa"/>
        <w:tblLayout w:type="fixed"/>
        <w:tblLook w:val="04A0" w:firstRow="1" w:lastRow="0" w:firstColumn="1" w:lastColumn="0" w:noHBand="0" w:noVBand="1"/>
      </w:tblPr>
      <w:tblGrid>
        <w:gridCol w:w="4680"/>
      </w:tblGrid>
      <w:tr w:rsidR="008B7836" w:rsidRPr="0032146C" w:rsidTr="00A75A10">
        <w:tc>
          <w:tcPr>
            <w:tcW w:w="4678" w:type="dxa"/>
            <w:hideMark/>
          </w:tcPr>
          <w:p w:rsidR="008B7836" w:rsidRPr="0032146C" w:rsidRDefault="008B7836" w:rsidP="00A75A10">
            <w:pPr>
              <w:rPr>
                <w:sz w:val="22"/>
                <w:szCs w:val="22"/>
              </w:rPr>
            </w:pPr>
            <w:r w:rsidRPr="0032146C">
              <w:rPr>
                <w:sz w:val="22"/>
                <w:szCs w:val="22"/>
              </w:rPr>
              <w:t>„</w:t>
            </w:r>
            <w:proofErr w:type="spellStart"/>
            <w:r w:rsidRPr="0032146C">
              <w:rPr>
                <w:sz w:val="22"/>
                <w:szCs w:val="22"/>
              </w:rPr>
              <w:t>Grindeks</w:t>
            </w:r>
            <w:proofErr w:type="spellEnd"/>
            <w:r w:rsidRPr="0032146C">
              <w:rPr>
                <w:sz w:val="22"/>
                <w:szCs w:val="22"/>
              </w:rPr>
              <w:t xml:space="preserve"> </w:t>
            </w:r>
            <w:proofErr w:type="spellStart"/>
            <w:r w:rsidRPr="0032146C">
              <w:rPr>
                <w:sz w:val="22"/>
                <w:szCs w:val="22"/>
              </w:rPr>
              <w:t>Kalceks</w:t>
            </w:r>
            <w:proofErr w:type="spellEnd"/>
            <w:r w:rsidRPr="0032146C">
              <w:rPr>
                <w:sz w:val="22"/>
                <w:szCs w:val="22"/>
              </w:rPr>
              <w:t xml:space="preserve"> Lietuva“ UAB</w:t>
            </w:r>
          </w:p>
          <w:p w:rsidR="008B7836" w:rsidRPr="0032146C" w:rsidRDefault="008B7836" w:rsidP="00A75A10">
            <w:pPr>
              <w:rPr>
                <w:sz w:val="22"/>
                <w:szCs w:val="22"/>
              </w:rPr>
            </w:pPr>
            <w:r w:rsidRPr="0032146C">
              <w:rPr>
                <w:sz w:val="22"/>
                <w:szCs w:val="22"/>
              </w:rPr>
              <w:t>Kalvarijų g. 300</w:t>
            </w:r>
          </w:p>
          <w:p w:rsidR="008B7836" w:rsidRPr="0032146C" w:rsidRDefault="008B7836" w:rsidP="00A75A10">
            <w:pPr>
              <w:rPr>
                <w:sz w:val="22"/>
                <w:szCs w:val="22"/>
              </w:rPr>
            </w:pPr>
            <w:r w:rsidRPr="0032146C">
              <w:rPr>
                <w:sz w:val="22"/>
                <w:szCs w:val="22"/>
              </w:rPr>
              <w:t xml:space="preserve">Vilnius, LT-08318 </w:t>
            </w:r>
          </w:p>
          <w:p w:rsidR="008B7836" w:rsidRPr="0032146C" w:rsidRDefault="008B7836" w:rsidP="00A75A10">
            <w:pPr>
              <w:rPr>
                <w:sz w:val="22"/>
                <w:szCs w:val="22"/>
              </w:rPr>
            </w:pPr>
            <w:r w:rsidRPr="0032146C">
              <w:rPr>
                <w:sz w:val="22"/>
                <w:szCs w:val="22"/>
              </w:rPr>
              <w:t>Tel. +370 5 2101401</w:t>
            </w:r>
          </w:p>
          <w:p w:rsidR="008B7836" w:rsidRPr="0032146C" w:rsidRDefault="008B7836" w:rsidP="00A75A10">
            <w:pPr>
              <w:pStyle w:val="BTEMEASMCA"/>
            </w:pPr>
          </w:p>
        </w:tc>
      </w:tr>
    </w:tbl>
    <w:p w:rsidR="008B7836" w:rsidRDefault="008B7836" w:rsidP="008B7836">
      <w:pPr>
        <w:pStyle w:val="BTEMEASMCA"/>
      </w:pPr>
    </w:p>
    <w:p w:rsidR="008B7836" w:rsidRDefault="008B7836" w:rsidP="008B7836">
      <w:pPr>
        <w:pStyle w:val="BTEMEASMCA"/>
      </w:pPr>
    </w:p>
    <w:p w:rsidR="008B7836" w:rsidRDefault="008B7836" w:rsidP="008B7836">
      <w:pPr>
        <w:pStyle w:val="BTbEMEASMCA"/>
      </w:pPr>
      <w:r>
        <w:t>Šis pakuotės lapelis paskutinį kartą peržiūrėtas 2024-11-04.</w:t>
      </w:r>
    </w:p>
    <w:p w:rsidR="008B7836" w:rsidRDefault="008B7836" w:rsidP="008B7836">
      <w:pPr>
        <w:pStyle w:val="BTbEMEASMCA"/>
      </w:pPr>
    </w:p>
    <w:p w:rsidR="008B7836" w:rsidRDefault="008B7836" w:rsidP="008B7836">
      <w:pPr>
        <w:pStyle w:val="BTbEMEASMCA"/>
      </w:pPr>
    </w:p>
    <w:p w:rsidR="008B7836" w:rsidRDefault="008B7836" w:rsidP="008B7836">
      <w:pPr>
        <w:numPr>
          <w:ilvl w:val="12"/>
          <w:numId w:val="0"/>
        </w:numPr>
        <w:ind w:right="-2"/>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8" w:history="1">
        <w:r>
          <w:rPr>
            <w:rStyle w:val="Hipersaitas"/>
            <w:rFonts w:eastAsia="SimSun"/>
            <w:sz w:val="22"/>
            <w:szCs w:val="22"/>
          </w:rPr>
          <w:t>http://www.vvkt.lt/</w:t>
        </w:r>
      </w:hyperlink>
      <w:r>
        <w:rPr>
          <w:sz w:val="22"/>
          <w:szCs w:val="22"/>
        </w:rPr>
        <w:t>.</w:t>
      </w:r>
    </w:p>
    <w:p w:rsidR="008B7836" w:rsidRDefault="008B7836" w:rsidP="008B7836">
      <w:pPr>
        <w:pStyle w:val="BTEMEASMCA"/>
      </w:pP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67224"/>
    <w:multiLevelType w:val="hybridMultilevel"/>
    <w:tmpl w:val="F67A372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C8168A44"/>
    <w:lvl w:ilvl="0" w:tplc="E0745930">
      <w:start w:val="1"/>
      <w:numFmt w:val="bullet"/>
      <w:lvlRestart w:val="0"/>
      <w:pStyle w:val="BT-EMEASMCA"/>
      <w:lvlText w:val="-"/>
      <w:lvlJc w:val="left"/>
      <w:pPr>
        <w:tabs>
          <w:tab w:val="num" w:pos="930"/>
        </w:tabs>
        <w:ind w:left="93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6175BC6"/>
    <w:multiLevelType w:val="hybridMultilevel"/>
    <w:tmpl w:val="1AC4144E"/>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AC6757A"/>
    <w:multiLevelType w:val="hybridMultilevel"/>
    <w:tmpl w:val="30E62D9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36"/>
    <w:rsid w:val="00072F85"/>
    <w:rsid w:val="000A5E72"/>
    <w:rsid w:val="000A7B60"/>
    <w:rsid w:val="00181364"/>
    <w:rsid w:val="002945D9"/>
    <w:rsid w:val="00305C48"/>
    <w:rsid w:val="003362C6"/>
    <w:rsid w:val="00497D4D"/>
    <w:rsid w:val="00742EBF"/>
    <w:rsid w:val="008B7836"/>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C912"/>
  <w15:chartTrackingRefBased/>
  <w15:docId w15:val="{497C2671-5D85-47C2-A487-84783D06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7836"/>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8B78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7836"/>
    <w:rPr>
      <w:color w:val="0000FF"/>
      <w:u w:val="single"/>
    </w:rPr>
  </w:style>
  <w:style w:type="paragraph" w:customStyle="1" w:styleId="PI-1EMEASMCA">
    <w:name w:val="PI-1 EMEA_SMCA"/>
    <w:basedOn w:val="Antrat2"/>
    <w:autoRedefine/>
    <w:uiPriority w:val="99"/>
    <w:rsid w:val="008B7836"/>
    <w:pPr>
      <w:keepLines w:val="0"/>
      <w:tabs>
        <w:tab w:val="left" w:pos="567"/>
      </w:tabs>
      <w:spacing w:before="0"/>
      <w:ind w:left="567" w:hanging="567"/>
    </w:pPr>
    <w:rPr>
      <w:rFonts w:ascii="Times New Roman" w:eastAsia="Times New Roman" w:hAnsi="Times New Roman" w:cs="Times New Roman"/>
      <w:b/>
      <w:bCs/>
      <w:color w:val="auto"/>
      <w:sz w:val="22"/>
      <w:szCs w:val="22"/>
    </w:rPr>
  </w:style>
  <w:style w:type="paragraph" w:customStyle="1" w:styleId="BTEMEASMCA">
    <w:name w:val="BT EMEA_SMCA"/>
    <w:basedOn w:val="prastasis"/>
    <w:link w:val="BTEMEASMCAChar"/>
    <w:autoRedefine/>
    <w:rsid w:val="008B7836"/>
    <w:pPr>
      <w:tabs>
        <w:tab w:val="left" w:pos="0"/>
        <w:tab w:val="left" w:pos="540"/>
      </w:tabs>
    </w:pPr>
    <w:rPr>
      <w:sz w:val="22"/>
      <w:szCs w:val="22"/>
    </w:rPr>
  </w:style>
  <w:style w:type="paragraph" w:customStyle="1" w:styleId="BT-EMEASMCA">
    <w:name w:val="BT- EMEA_SMCA"/>
    <w:basedOn w:val="BTEMEASMCA"/>
    <w:autoRedefine/>
    <w:rsid w:val="008B7836"/>
    <w:pPr>
      <w:numPr>
        <w:numId w:val="1"/>
      </w:numPr>
      <w:tabs>
        <w:tab w:val="clear" w:pos="930"/>
        <w:tab w:val="num" w:pos="0"/>
        <w:tab w:val="num" w:pos="360"/>
      </w:tabs>
      <w:ind w:left="0" w:firstLine="0"/>
    </w:pPr>
    <w:rPr>
      <w:bCs/>
    </w:rPr>
  </w:style>
  <w:style w:type="paragraph" w:customStyle="1" w:styleId="PI-3EMEASMCA">
    <w:name w:val="PI-3 EMEA_SMCA"/>
    <w:basedOn w:val="prastasis"/>
    <w:autoRedefine/>
    <w:uiPriority w:val="99"/>
    <w:rsid w:val="008B7836"/>
    <w:pPr>
      <w:spacing w:line="220" w:lineRule="exact"/>
    </w:pPr>
    <w:rPr>
      <w:b/>
      <w:bCs/>
      <w:sz w:val="22"/>
      <w:szCs w:val="22"/>
    </w:rPr>
  </w:style>
  <w:style w:type="paragraph" w:customStyle="1" w:styleId="BTbEMEASMCA">
    <w:name w:val="BT(b) EMEA_SMCA"/>
    <w:basedOn w:val="BTEMEASMCA"/>
    <w:autoRedefine/>
    <w:uiPriority w:val="99"/>
    <w:rsid w:val="008B7836"/>
    <w:rPr>
      <w:b/>
      <w:bCs/>
    </w:rPr>
  </w:style>
  <w:style w:type="paragraph" w:customStyle="1" w:styleId="BTbeEMEASMCA">
    <w:name w:val="BT(be) EMEA_SMCA"/>
    <w:basedOn w:val="BTEMEASMCA"/>
    <w:autoRedefine/>
    <w:uiPriority w:val="99"/>
    <w:rsid w:val="008B7836"/>
    <w:pPr>
      <w:jc w:val="center"/>
    </w:pPr>
    <w:rPr>
      <w:b/>
      <w:bCs/>
    </w:rPr>
  </w:style>
  <w:style w:type="paragraph" w:customStyle="1" w:styleId="BTeEMEASMCA">
    <w:name w:val="BT(e) EMEA_SMCA"/>
    <w:basedOn w:val="BTEMEASMCA"/>
    <w:autoRedefine/>
    <w:uiPriority w:val="99"/>
    <w:rsid w:val="008B7836"/>
    <w:pPr>
      <w:jc w:val="center"/>
    </w:pPr>
  </w:style>
  <w:style w:type="character" w:customStyle="1" w:styleId="BTEMEASMCAChar">
    <w:name w:val="BT EMEA_SMCA Char"/>
    <w:link w:val="BTEMEASMCA"/>
    <w:locked/>
    <w:rsid w:val="008B7836"/>
    <w:rPr>
      <w:rFonts w:ascii="Times New Roman" w:eastAsia="Times New Roman" w:hAnsi="Times New Roman" w:cs="Times New Roman"/>
    </w:rPr>
  </w:style>
  <w:style w:type="paragraph" w:styleId="Pagrindinistekstas">
    <w:name w:val="Body Text"/>
    <w:basedOn w:val="prastasis"/>
    <w:link w:val="PagrindinistekstasDiagrama"/>
    <w:uiPriority w:val="99"/>
    <w:rsid w:val="008B7836"/>
    <w:pPr>
      <w:autoSpaceDE w:val="0"/>
      <w:autoSpaceDN w:val="0"/>
      <w:adjustRightInd w:val="0"/>
      <w:spacing w:line="360" w:lineRule="auto"/>
    </w:pPr>
    <w:rPr>
      <w:rFonts w:ascii="TimesNewRomanPSMT" w:hAnsi="TimesNewRomanPSMT" w:cs="TimesNewRomanPSMT"/>
      <w:sz w:val="22"/>
      <w:szCs w:val="22"/>
      <w:lang w:val="en-US"/>
    </w:rPr>
  </w:style>
  <w:style w:type="character" w:customStyle="1" w:styleId="PagrindinistekstasDiagrama">
    <w:name w:val="Pagrindinis tekstas Diagrama"/>
    <w:basedOn w:val="Numatytasispastraiposriftas"/>
    <w:link w:val="Pagrindinistekstas"/>
    <w:uiPriority w:val="99"/>
    <w:rsid w:val="008B7836"/>
    <w:rPr>
      <w:rFonts w:ascii="TimesNewRomanPSMT" w:eastAsia="Times New Roman" w:hAnsi="TimesNewRomanPSMT" w:cs="TimesNewRomanPSMT"/>
      <w:lang w:val="en-US"/>
    </w:rPr>
  </w:style>
  <w:style w:type="paragraph" w:styleId="Pagrindinistekstas3">
    <w:name w:val="Body Text 3"/>
    <w:basedOn w:val="prastasis"/>
    <w:link w:val="Pagrindinistekstas3Diagrama"/>
    <w:uiPriority w:val="99"/>
    <w:rsid w:val="008B783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B7836"/>
    <w:rPr>
      <w:rFonts w:ascii="Times New Roman" w:eastAsia="Times New Roman" w:hAnsi="Times New Roman" w:cs="Times New Roman"/>
      <w:sz w:val="16"/>
      <w:szCs w:val="16"/>
    </w:rPr>
  </w:style>
  <w:style w:type="character" w:customStyle="1" w:styleId="hps">
    <w:name w:val="hps"/>
    <w:rsid w:val="008B7836"/>
  </w:style>
  <w:style w:type="character" w:styleId="Grietas">
    <w:name w:val="Strong"/>
    <w:basedOn w:val="Numatytasispastraiposriftas"/>
    <w:qFormat/>
    <w:rsid w:val="008B7836"/>
    <w:rPr>
      <w:b/>
      <w:bCs/>
    </w:rPr>
  </w:style>
  <w:style w:type="character" w:styleId="Emfaz">
    <w:name w:val="Emphasis"/>
    <w:basedOn w:val="Numatytasispastraiposriftas"/>
    <w:qFormat/>
    <w:rsid w:val="008B7836"/>
    <w:rPr>
      <w:i/>
      <w:iCs/>
    </w:rPr>
  </w:style>
  <w:style w:type="paragraph" w:styleId="Citata">
    <w:name w:val="Quote"/>
    <w:basedOn w:val="prastasis"/>
    <w:next w:val="prastasis"/>
    <w:link w:val="CitataDiagrama"/>
    <w:uiPriority w:val="29"/>
    <w:qFormat/>
    <w:rsid w:val="008B7836"/>
    <w:rPr>
      <w:i/>
      <w:iCs/>
      <w:color w:val="000000" w:themeColor="text1"/>
    </w:rPr>
  </w:style>
  <w:style w:type="character" w:customStyle="1" w:styleId="CitataDiagrama">
    <w:name w:val="Citata Diagrama"/>
    <w:basedOn w:val="Numatytasispastraiposriftas"/>
    <w:link w:val="Citata"/>
    <w:uiPriority w:val="29"/>
    <w:rsid w:val="008B7836"/>
    <w:rPr>
      <w:rFonts w:ascii="Times New Roman" w:eastAsia="Times New Roman" w:hAnsi="Times New Roman" w:cs="Times New Roman"/>
      <w:i/>
      <w:iCs/>
      <w:color w:val="000000" w:themeColor="text1"/>
      <w:sz w:val="24"/>
      <w:szCs w:val="24"/>
    </w:rPr>
  </w:style>
  <w:style w:type="paragraph" w:styleId="Betarp">
    <w:name w:val="No Spacing"/>
    <w:uiPriority w:val="1"/>
    <w:qFormat/>
    <w:rsid w:val="008B7836"/>
    <w:pPr>
      <w:spacing w:after="0"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8B783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7834</Words>
  <Characters>4466</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1.	Kas yra Begsan ir kam jis vartojamas</vt:lpstr>
      <vt:lpstr>    2.	Kas žinotina prieš vartojant Begsan</vt:lpstr>
      <vt:lpstr>    3.	Kaip vartoti Begsan</vt:lpstr>
      <vt:lpstr>    </vt:lpstr>
      <vt:lpstr>    4.	Galimas šalutinis poveikis</vt:lpstr>
      <vt:lpstr>    5.	Kaip laikyti Begsan</vt:lpstr>
      <vt:lpstr>    6.	Pakuotės turinys ir kita informacija</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2024-11-05T08:50:00Z</dcterms:created>
  <dcterms:modified xsi:type="dcterms:W3CDTF">2024-11-05T08:51:00Z</dcterms:modified>
</cp:coreProperties>
</file>