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4B6F6" w14:textId="77777777" w:rsidR="00D875C0" w:rsidRPr="00F957E7" w:rsidRDefault="00D875C0" w:rsidP="00D875C0">
      <w:pPr>
        <w:tabs>
          <w:tab w:val="left" w:pos="567"/>
        </w:tabs>
        <w:spacing w:after="0" w:line="240" w:lineRule="auto"/>
        <w:ind w:left="567" w:hanging="567"/>
        <w:jc w:val="center"/>
        <w:outlineLvl w:val="0"/>
        <w:rPr>
          <w:rFonts w:ascii="Times New Roman" w:hAnsi="Times New Roman"/>
          <w:b/>
          <w:caps/>
        </w:rPr>
      </w:pPr>
      <w:bookmarkStart w:id="0" w:name="_Toc129243096"/>
      <w:bookmarkStart w:id="1" w:name="_Toc129243221"/>
    </w:p>
    <w:p w14:paraId="0D9BE46C" w14:textId="77777777" w:rsidR="00D875C0" w:rsidRPr="00F957E7" w:rsidRDefault="00D875C0" w:rsidP="00D875C0">
      <w:pPr>
        <w:tabs>
          <w:tab w:val="left" w:pos="567"/>
        </w:tabs>
        <w:spacing w:after="0" w:line="240" w:lineRule="auto"/>
        <w:ind w:left="567" w:hanging="567"/>
        <w:jc w:val="center"/>
        <w:outlineLvl w:val="0"/>
        <w:rPr>
          <w:rFonts w:ascii="Times New Roman" w:hAnsi="Times New Roman"/>
          <w:b/>
          <w:caps/>
        </w:rPr>
      </w:pPr>
    </w:p>
    <w:p w14:paraId="3096A9D3" w14:textId="77777777" w:rsidR="00D875C0" w:rsidRPr="001F2C46" w:rsidRDefault="00D875C0" w:rsidP="00D875C0">
      <w:pPr>
        <w:tabs>
          <w:tab w:val="left" w:pos="567"/>
        </w:tabs>
        <w:spacing w:after="0" w:line="240" w:lineRule="auto"/>
        <w:ind w:left="567" w:hanging="567"/>
        <w:jc w:val="center"/>
        <w:outlineLvl w:val="0"/>
        <w:rPr>
          <w:rFonts w:ascii="Times New Roman" w:hAnsi="Times New Roman"/>
          <w:b/>
          <w:caps/>
        </w:rPr>
      </w:pPr>
    </w:p>
    <w:p w14:paraId="1EFDCC09" w14:textId="77777777" w:rsidR="00D875C0" w:rsidRPr="00427D92" w:rsidRDefault="00D875C0" w:rsidP="00D875C0">
      <w:pPr>
        <w:tabs>
          <w:tab w:val="left" w:pos="567"/>
        </w:tabs>
        <w:spacing w:after="0" w:line="240" w:lineRule="auto"/>
        <w:ind w:left="567" w:hanging="567"/>
        <w:jc w:val="center"/>
        <w:outlineLvl w:val="0"/>
        <w:rPr>
          <w:rFonts w:ascii="Times New Roman" w:hAnsi="Times New Roman"/>
          <w:b/>
          <w:caps/>
        </w:rPr>
      </w:pPr>
    </w:p>
    <w:p w14:paraId="09893A95" w14:textId="77777777" w:rsidR="00D875C0" w:rsidRPr="00C722B4" w:rsidRDefault="00D875C0" w:rsidP="00D875C0">
      <w:pPr>
        <w:tabs>
          <w:tab w:val="left" w:pos="567"/>
        </w:tabs>
        <w:spacing w:after="0" w:line="240" w:lineRule="auto"/>
        <w:ind w:left="567" w:hanging="567"/>
        <w:jc w:val="center"/>
        <w:outlineLvl w:val="0"/>
        <w:rPr>
          <w:rFonts w:ascii="Times New Roman" w:hAnsi="Times New Roman"/>
          <w:b/>
          <w:caps/>
        </w:rPr>
      </w:pPr>
    </w:p>
    <w:p w14:paraId="70991A47"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3C91FFD1"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480FCFAA"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219E8553"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596D8F74"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5B2527DC"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3B771124"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61D97355"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6E2A7B3D"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6EC6BA8F"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58EFF343"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0854402A"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232E312C"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3E213B61"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1BEFBC47"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5716A092"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1A1AE466"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14B8CAFD"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10500CA7"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r w:rsidRPr="007C1A06">
        <w:rPr>
          <w:rFonts w:ascii="Times New Roman" w:hAnsi="Times New Roman"/>
          <w:b/>
          <w:caps/>
        </w:rPr>
        <w:t>I PRIEDAS</w:t>
      </w:r>
      <w:bookmarkEnd w:id="0"/>
      <w:bookmarkEnd w:id="1"/>
    </w:p>
    <w:p w14:paraId="6A0213BE" w14:textId="77777777" w:rsidR="00D875C0" w:rsidRPr="007C1A06" w:rsidRDefault="00D875C0" w:rsidP="00D875C0">
      <w:pPr>
        <w:spacing w:after="0" w:line="240" w:lineRule="auto"/>
        <w:jc w:val="center"/>
        <w:rPr>
          <w:rFonts w:ascii="Times New Roman" w:hAnsi="Times New Roman"/>
        </w:rPr>
      </w:pPr>
    </w:p>
    <w:p w14:paraId="6CBC5F40"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bookmarkStart w:id="2" w:name="_Toc129243097"/>
      <w:bookmarkStart w:id="3" w:name="_Toc129243222"/>
      <w:r w:rsidRPr="007C1A06">
        <w:rPr>
          <w:rFonts w:ascii="Times New Roman" w:hAnsi="Times New Roman"/>
          <w:b/>
          <w:caps/>
        </w:rPr>
        <w:t>PREPARATO CHARAKTERISTIKŲ SANTRAUKA</w:t>
      </w:r>
      <w:bookmarkEnd w:id="2"/>
      <w:bookmarkEnd w:id="3"/>
    </w:p>
    <w:p w14:paraId="119F046D" w14:textId="77777777" w:rsidR="00D875C0" w:rsidRPr="007C1A06" w:rsidRDefault="00D875C0" w:rsidP="00D875C0">
      <w:pPr>
        <w:keepNext/>
        <w:tabs>
          <w:tab w:val="left" w:pos="567"/>
        </w:tabs>
        <w:spacing w:after="0" w:line="240" w:lineRule="auto"/>
        <w:ind w:left="567" w:hanging="567"/>
        <w:outlineLvl w:val="1"/>
        <w:rPr>
          <w:rFonts w:ascii="Times New Roman" w:hAnsi="Times New Roman"/>
          <w:b/>
        </w:rPr>
      </w:pPr>
      <w:r w:rsidRPr="007C1A06">
        <w:rPr>
          <w:rFonts w:ascii="Times New Roman" w:hAnsi="Times New Roman"/>
          <w:b/>
        </w:rPr>
        <w:br w:type="page"/>
      </w:r>
      <w:bookmarkStart w:id="4" w:name="_Toc129243098"/>
      <w:bookmarkStart w:id="5" w:name="_Toc129243223"/>
      <w:r w:rsidRPr="007C1A06">
        <w:rPr>
          <w:rFonts w:ascii="Times New Roman" w:hAnsi="Times New Roman"/>
          <w:b/>
        </w:rPr>
        <w:lastRenderedPageBreak/>
        <w:t>1.</w:t>
      </w:r>
      <w:r w:rsidRPr="007C1A06">
        <w:rPr>
          <w:rFonts w:ascii="Times New Roman" w:hAnsi="Times New Roman"/>
          <w:b/>
        </w:rPr>
        <w:tab/>
        <w:t>VAISTINIO PREPARATO PAVADINIMAS</w:t>
      </w:r>
      <w:bookmarkEnd w:id="4"/>
      <w:bookmarkEnd w:id="5"/>
    </w:p>
    <w:p w14:paraId="1C798BE9" w14:textId="77777777" w:rsidR="00D875C0" w:rsidRPr="007C1A06" w:rsidRDefault="00D875C0" w:rsidP="00D875C0">
      <w:pPr>
        <w:spacing w:after="0" w:line="240" w:lineRule="auto"/>
        <w:rPr>
          <w:rFonts w:ascii="Times New Roman" w:hAnsi="Times New Roman"/>
        </w:rPr>
      </w:pPr>
    </w:p>
    <w:p w14:paraId="7DF939F7"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Docetaxel Ebewe 10 mg/ml koncentratas infuziniam</w:t>
      </w:r>
      <w:r w:rsidR="00AD4B8E">
        <w:rPr>
          <w:rFonts w:ascii="Times New Roman" w:hAnsi="Times New Roman"/>
        </w:rPr>
        <w:t xml:space="preserve"> </w:t>
      </w:r>
      <w:r w:rsidRPr="007C1A06">
        <w:rPr>
          <w:rFonts w:ascii="Times New Roman" w:hAnsi="Times New Roman"/>
        </w:rPr>
        <w:t>tirpalui</w:t>
      </w:r>
    </w:p>
    <w:p w14:paraId="5D31AE24" w14:textId="77777777" w:rsidR="00D875C0" w:rsidRPr="007C1A06" w:rsidRDefault="00D875C0" w:rsidP="00D875C0">
      <w:pPr>
        <w:spacing w:after="0" w:line="240" w:lineRule="auto"/>
        <w:rPr>
          <w:rFonts w:ascii="Times New Roman" w:hAnsi="Times New Roman"/>
        </w:rPr>
      </w:pPr>
    </w:p>
    <w:p w14:paraId="55F28D31" w14:textId="77777777" w:rsidR="00D875C0" w:rsidRPr="007C1A06" w:rsidRDefault="00D875C0" w:rsidP="00D875C0">
      <w:pPr>
        <w:spacing w:after="0" w:line="240" w:lineRule="auto"/>
        <w:rPr>
          <w:rFonts w:ascii="Times New Roman" w:hAnsi="Times New Roman"/>
        </w:rPr>
      </w:pPr>
    </w:p>
    <w:p w14:paraId="551F8324" w14:textId="77777777" w:rsidR="00D875C0" w:rsidRPr="007C1A06" w:rsidRDefault="00D875C0" w:rsidP="00D875C0">
      <w:pPr>
        <w:keepNext/>
        <w:tabs>
          <w:tab w:val="left" w:pos="567"/>
        </w:tabs>
        <w:spacing w:after="0" w:line="240" w:lineRule="auto"/>
        <w:ind w:left="567" w:hanging="567"/>
        <w:outlineLvl w:val="1"/>
        <w:rPr>
          <w:rFonts w:ascii="Times New Roman" w:hAnsi="Times New Roman"/>
          <w:b/>
        </w:rPr>
      </w:pPr>
      <w:bookmarkStart w:id="6" w:name="_Toc129243099"/>
      <w:bookmarkStart w:id="7" w:name="_Toc129243224"/>
      <w:r w:rsidRPr="007C1A06">
        <w:rPr>
          <w:rFonts w:ascii="Times New Roman" w:hAnsi="Times New Roman"/>
          <w:b/>
        </w:rPr>
        <w:t>2.</w:t>
      </w:r>
      <w:r w:rsidRPr="007C1A06">
        <w:rPr>
          <w:rFonts w:ascii="Times New Roman" w:hAnsi="Times New Roman"/>
          <w:b/>
        </w:rPr>
        <w:tab/>
        <w:t>KOKYBINĖ IR KIEKYBINĖ SUDĖTIS</w:t>
      </w:r>
      <w:bookmarkEnd w:id="6"/>
      <w:bookmarkEnd w:id="7"/>
    </w:p>
    <w:p w14:paraId="34F6DCF6" w14:textId="77777777" w:rsidR="00D875C0" w:rsidRPr="007C1A06" w:rsidRDefault="00D875C0" w:rsidP="00D875C0">
      <w:pPr>
        <w:spacing w:after="0" w:line="240" w:lineRule="auto"/>
        <w:rPr>
          <w:rFonts w:ascii="Times New Roman" w:hAnsi="Times New Roman"/>
        </w:rPr>
      </w:pPr>
    </w:p>
    <w:p w14:paraId="7D879DE2" w14:textId="77777777" w:rsidR="00D875C0" w:rsidRPr="00F957E7" w:rsidRDefault="0091343F" w:rsidP="00D875C0">
      <w:pPr>
        <w:spacing w:after="0" w:line="240" w:lineRule="auto"/>
        <w:rPr>
          <w:rFonts w:ascii="Times New Roman" w:hAnsi="Times New Roman"/>
        </w:rPr>
      </w:pPr>
      <w:r w:rsidRPr="007C1A06">
        <w:rPr>
          <w:rFonts w:ascii="Times New Roman" w:eastAsia="Times New Roman" w:hAnsi="Times New Roman" w:cs="Times New Roman"/>
        </w:rPr>
        <w:t>Kiekviename</w:t>
      </w:r>
      <w:r w:rsidR="00D875C0" w:rsidRPr="00F957E7">
        <w:rPr>
          <w:rFonts w:ascii="Times New Roman" w:hAnsi="Times New Roman"/>
        </w:rPr>
        <w:t> ml koncentrato infuziniam tirpalui yra 10 mg docetakselio.</w:t>
      </w:r>
    </w:p>
    <w:p w14:paraId="56C0E31B" w14:textId="77777777" w:rsidR="00D875C0" w:rsidRPr="001F2C46" w:rsidRDefault="00D875C0" w:rsidP="00D875C0">
      <w:pPr>
        <w:spacing w:after="0" w:line="240" w:lineRule="auto"/>
        <w:rPr>
          <w:rFonts w:ascii="Times New Roman" w:hAnsi="Times New Roman"/>
        </w:rPr>
      </w:pPr>
    </w:p>
    <w:p w14:paraId="40D57453" w14:textId="77777777" w:rsidR="00D875C0" w:rsidRPr="00427D92" w:rsidRDefault="00D875C0" w:rsidP="00D875C0">
      <w:pPr>
        <w:spacing w:after="0" w:line="240" w:lineRule="auto"/>
        <w:rPr>
          <w:rFonts w:ascii="Times New Roman" w:hAnsi="Times New Roman"/>
        </w:rPr>
      </w:pPr>
      <w:r w:rsidRPr="00427D92">
        <w:rPr>
          <w:rFonts w:ascii="Times New Roman" w:hAnsi="Times New Roman"/>
        </w:rPr>
        <w:t>Kiekviename 2 ml flakone yra 20 mg bevandenio docetakselio (10 mg/ml).</w:t>
      </w:r>
    </w:p>
    <w:p w14:paraId="57DC751C" w14:textId="77777777" w:rsidR="00D875C0" w:rsidRPr="00453BC4" w:rsidRDefault="00D875C0" w:rsidP="00D875C0">
      <w:pPr>
        <w:spacing w:after="0" w:line="240" w:lineRule="auto"/>
        <w:rPr>
          <w:rFonts w:ascii="Times New Roman" w:hAnsi="Times New Roman"/>
          <w:highlight w:val="lightGray"/>
        </w:rPr>
      </w:pPr>
      <w:r w:rsidRPr="00453BC4">
        <w:rPr>
          <w:rFonts w:ascii="Times New Roman" w:hAnsi="Times New Roman"/>
          <w:highlight w:val="lightGray"/>
        </w:rPr>
        <w:t>Kiekviename 8 ml flakone yra 80 mg bevandenio docetakselio (10 mg/ml).</w:t>
      </w:r>
    </w:p>
    <w:p w14:paraId="3F858EA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453BC4">
        <w:rPr>
          <w:rFonts w:ascii="Times New Roman" w:hAnsi="Times New Roman"/>
          <w:highlight w:val="lightGray"/>
        </w:rPr>
        <w:t>Kiekviename 16 ml flakone yra 160 mg bevandenio docetakselio (10 mg/ml).</w:t>
      </w:r>
    </w:p>
    <w:p w14:paraId="01BEBAEC" w14:textId="77777777" w:rsidR="00D875C0" w:rsidRPr="007C1A06" w:rsidRDefault="00D875C0" w:rsidP="00D875C0">
      <w:pPr>
        <w:autoSpaceDE w:val="0"/>
        <w:autoSpaceDN w:val="0"/>
        <w:adjustRightInd w:val="0"/>
        <w:spacing w:after="0" w:line="240" w:lineRule="auto"/>
        <w:rPr>
          <w:rFonts w:ascii="Times New Roman" w:hAnsi="Times New Roman"/>
        </w:rPr>
      </w:pPr>
    </w:p>
    <w:p w14:paraId="0D1594D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u w:val="single"/>
        </w:rPr>
        <w:t>Pagalbinė medžiaga, kurios poveikis žinomas</w:t>
      </w:r>
      <w:r w:rsidRPr="007C1A06">
        <w:rPr>
          <w:rFonts w:ascii="Times New Roman" w:hAnsi="Times New Roman"/>
        </w:rPr>
        <w:t xml:space="preserve">: kiekviename </w:t>
      </w:r>
      <w:r w:rsidR="00351A14">
        <w:rPr>
          <w:rFonts w:ascii="Times New Roman" w:hAnsi="Times New Roman"/>
        </w:rPr>
        <w:t>mililitre</w:t>
      </w:r>
      <w:r w:rsidR="00715BC6">
        <w:rPr>
          <w:rFonts w:ascii="Times New Roman" w:hAnsi="Times New Roman"/>
        </w:rPr>
        <w:t xml:space="preserve"> </w:t>
      </w:r>
      <w:r w:rsidRPr="007C1A06">
        <w:rPr>
          <w:rFonts w:ascii="Times New Roman" w:hAnsi="Times New Roman"/>
        </w:rPr>
        <w:t xml:space="preserve">koncentrato infuziniam tirpalui </w:t>
      </w:r>
      <w:r w:rsidR="00351A14">
        <w:rPr>
          <w:rFonts w:ascii="Times New Roman" w:hAnsi="Times New Roman"/>
        </w:rPr>
        <w:t>yra 265 mg etanolio</w:t>
      </w:r>
      <w:r w:rsidR="00E54431">
        <w:rPr>
          <w:rFonts w:ascii="Times New Roman" w:hAnsi="Times New Roman"/>
        </w:rPr>
        <w:t>,</w:t>
      </w:r>
      <w:r w:rsidR="00351A14">
        <w:rPr>
          <w:rFonts w:ascii="Times New Roman" w:hAnsi="Times New Roman"/>
        </w:rPr>
        <w:t xml:space="preserve"> atitinkančio 26 </w:t>
      </w:r>
      <w:r w:rsidR="00351A14" w:rsidRPr="00F54C45">
        <w:rPr>
          <w:rFonts w:ascii="Times New Roman" w:hAnsi="Times New Roman"/>
        </w:rPr>
        <w:t>%</w:t>
      </w:r>
      <w:r w:rsidR="00351A14">
        <w:rPr>
          <w:rFonts w:ascii="Times New Roman" w:hAnsi="Times New Roman"/>
        </w:rPr>
        <w:t xml:space="preserve"> </w:t>
      </w:r>
      <w:r w:rsidR="00351A14" w:rsidRPr="007C1A06">
        <w:rPr>
          <w:rFonts w:ascii="Times New Roman" w:hAnsi="Times New Roman"/>
        </w:rPr>
        <w:t xml:space="preserve">(m/m) </w:t>
      </w:r>
      <w:r w:rsidRPr="007C1A06">
        <w:rPr>
          <w:rFonts w:ascii="Times New Roman" w:hAnsi="Times New Roman"/>
        </w:rPr>
        <w:t xml:space="preserve">. </w:t>
      </w:r>
    </w:p>
    <w:p w14:paraId="0FFB3920" w14:textId="77777777" w:rsidR="00D875C0" w:rsidRPr="007C1A06" w:rsidRDefault="00D875C0" w:rsidP="00D875C0">
      <w:pPr>
        <w:spacing w:after="0" w:line="240" w:lineRule="auto"/>
        <w:rPr>
          <w:rFonts w:ascii="Times New Roman" w:hAnsi="Times New Roman"/>
        </w:rPr>
      </w:pPr>
    </w:p>
    <w:p w14:paraId="33CB3C42"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Visos pagalbinės medžiagos išvardytos 6.1 skyriuje.</w:t>
      </w:r>
    </w:p>
    <w:p w14:paraId="16D3910D" w14:textId="77777777" w:rsidR="00D875C0" w:rsidRPr="007C1A06" w:rsidRDefault="00D875C0" w:rsidP="00D875C0">
      <w:pPr>
        <w:spacing w:after="0" w:line="240" w:lineRule="auto"/>
        <w:rPr>
          <w:rFonts w:ascii="Times New Roman" w:hAnsi="Times New Roman"/>
        </w:rPr>
      </w:pPr>
    </w:p>
    <w:p w14:paraId="4D704C1E" w14:textId="77777777" w:rsidR="00D875C0" w:rsidRPr="007C1A06" w:rsidRDefault="00D875C0" w:rsidP="00D875C0">
      <w:pPr>
        <w:spacing w:after="0" w:line="240" w:lineRule="auto"/>
        <w:rPr>
          <w:rFonts w:ascii="Times New Roman" w:hAnsi="Times New Roman"/>
        </w:rPr>
      </w:pPr>
    </w:p>
    <w:p w14:paraId="6824F96B" w14:textId="77777777" w:rsidR="00D875C0" w:rsidRPr="007C1A06" w:rsidRDefault="00D875C0" w:rsidP="00D875C0">
      <w:pPr>
        <w:keepNext/>
        <w:tabs>
          <w:tab w:val="left" w:pos="567"/>
        </w:tabs>
        <w:spacing w:after="0" w:line="240" w:lineRule="auto"/>
        <w:ind w:left="567" w:hanging="567"/>
        <w:outlineLvl w:val="1"/>
        <w:rPr>
          <w:rFonts w:ascii="Times New Roman" w:hAnsi="Times New Roman"/>
          <w:b/>
        </w:rPr>
      </w:pPr>
      <w:bookmarkStart w:id="8" w:name="_Toc129243100"/>
      <w:bookmarkStart w:id="9" w:name="_Toc129243225"/>
      <w:r w:rsidRPr="007C1A06">
        <w:rPr>
          <w:rFonts w:ascii="Times New Roman" w:hAnsi="Times New Roman"/>
          <w:b/>
        </w:rPr>
        <w:t>3.</w:t>
      </w:r>
      <w:r w:rsidRPr="007C1A06">
        <w:rPr>
          <w:rFonts w:ascii="Times New Roman" w:hAnsi="Times New Roman"/>
          <w:b/>
        </w:rPr>
        <w:tab/>
        <w:t>FARMACINĖ FORMA</w:t>
      </w:r>
      <w:bookmarkEnd w:id="8"/>
      <w:bookmarkEnd w:id="9"/>
    </w:p>
    <w:p w14:paraId="6D817036" w14:textId="77777777" w:rsidR="00D875C0" w:rsidRPr="007C1A06" w:rsidRDefault="00D875C0" w:rsidP="00D875C0">
      <w:pPr>
        <w:spacing w:after="0" w:line="240" w:lineRule="auto"/>
        <w:rPr>
          <w:rFonts w:ascii="Times New Roman" w:hAnsi="Times New Roman"/>
        </w:rPr>
      </w:pPr>
    </w:p>
    <w:p w14:paraId="19BAA881" w14:textId="4ACE4895"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Koncentratas infuziniam tirpalui</w:t>
      </w:r>
      <w:r w:rsidR="001D57D6">
        <w:rPr>
          <w:rFonts w:ascii="Times New Roman" w:hAnsi="Times New Roman"/>
        </w:rPr>
        <w:t>.</w:t>
      </w:r>
    </w:p>
    <w:p w14:paraId="78CFE0C0" w14:textId="77777777" w:rsidR="001D57D6" w:rsidRDefault="00D875C0" w:rsidP="00D875C0">
      <w:pPr>
        <w:spacing w:after="0" w:line="240" w:lineRule="auto"/>
        <w:rPr>
          <w:rFonts w:ascii="Times New Roman" w:hAnsi="Times New Roman"/>
        </w:rPr>
      </w:pPr>
      <w:r w:rsidRPr="007C1A06">
        <w:rPr>
          <w:rFonts w:ascii="Times New Roman" w:hAnsi="Times New Roman"/>
        </w:rPr>
        <w:t>Koncentratas yra skaidrus, bespalvis arba blyškiai geltonas tirpalas</w:t>
      </w:r>
      <w:r w:rsidR="001D57D6">
        <w:rPr>
          <w:rFonts w:ascii="Times New Roman" w:hAnsi="Times New Roman"/>
        </w:rPr>
        <w:t>.</w:t>
      </w:r>
    </w:p>
    <w:p w14:paraId="28DF0B19" w14:textId="6511D46C"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pH 3,0</w:t>
      </w:r>
      <w:r w:rsidR="00DA6E7A" w:rsidRPr="007C1A06">
        <w:rPr>
          <w:rFonts w:ascii="Times New Roman" w:hAnsi="Times New Roman"/>
        </w:rPr>
        <w:noBreakHyphen/>
      </w:r>
      <w:r w:rsidRPr="007C1A06">
        <w:rPr>
          <w:rFonts w:ascii="Times New Roman" w:hAnsi="Times New Roman"/>
        </w:rPr>
        <w:t>4,5, be matomų dalelių.</w:t>
      </w:r>
    </w:p>
    <w:p w14:paraId="0FB97455" w14:textId="77777777" w:rsidR="00D875C0" w:rsidRPr="007C1A06" w:rsidRDefault="00D875C0" w:rsidP="00D875C0">
      <w:pPr>
        <w:spacing w:after="0" w:line="240" w:lineRule="auto"/>
        <w:rPr>
          <w:rFonts w:ascii="Times New Roman" w:hAnsi="Times New Roman"/>
        </w:rPr>
      </w:pPr>
    </w:p>
    <w:p w14:paraId="58B0A7D6" w14:textId="77777777" w:rsidR="00D875C0" w:rsidRPr="007C1A06" w:rsidRDefault="00D875C0" w:rsidP="00D875C0">
      <w:pPr>
        <w:spacing w:after="0" w:line="240" w:lineRule="auto"/>
        <w:rPr>
          <w:rFonts w:ascii="Times New Roman" w:hAnsi="Times New Roman"/>
        </w:rPr>
      </w:pPr>
    </w:p>
    <w:p w14:paraId="0C23971C" w14:textId="77777777" w:rsidR="00D875C0" w:rsidRPr="007C1A06" w:rsidRDefault="00D875C0" w:rsidP="00D875C0">
      <w:pPr>
        <w:keepNext/>
        <w:tabs>
          <w:tab w:val="left" w:pos="567"/>
        </w:tabs>
        <w:spacing w:after="0" w:line="240" w:lineRule="auto"/>
        <w:ind w:left="567" w:hanging="567"/>
        <w:outlineLvl w:val="1"/>
        <w:rPr>
          <w:rFonts w:ascii="Times New Roman" w:hAnsi="Times New Roman"/>
          <w:b/>
        </w:rPr>
      </w:pPr>
      <w:bookmarkStart w:id="10" w:name="_Toc129243101"/>
      <w:bookmarkStart w:id="11" w:name="_Toc129243226"/>
      <w:r w:rsidRPr="007C1A06">
        <w:rPr>
          <w:rFonts w:ascii="Times New Roman" w:hAnsi="Times New Roman"/>
          <w:b/>
        </w:rPr>
        <w:t>4.</w:t>
      </w:r>
      <w:r w:rsidRPr="007C1A06">
        <w:rPr>
          <w:rFonts w:ascii="Times New Roman" w:hAnsi="Times New Roman"/>
          <w:b/>
        </w:rPr>
        <w:tab/>
        <w:t>KLINIKINĖ INFORMACIJA</w:t>
      </w:r>
      <w:bookmarkEnd w:id="10"/>
      <w:bookmarkEnd w:id="11"/>
    </w:p>
    <w:p w14:paraId="4C68C2E5" w14:textId="77777777" w:rsidR="00D875C0" w:rsidRPr="007C1A06" w:rsidRDefault="00D875C0" w:rsidP="00D875C0">
      <w:pPr>
        <w:spacing w:after="0" w:line="240" w:lineRule="auto"/>
        <w:rPr>
          <w:rFonts w:ascii="Times New Roman" w:hAnsi="Times New Roman"/>
        </w:rPr>
      </w:pPr>
    </w:p>
    <w:p w14:paraId="6A09AE18" w14:textId="77777777" w:rsidR="00D875C0" w:rsidRPr="007C1A06" w:rsidRDefault="00D875C0" w:rsidP="00D875C0">
      <w:pPr>
        <w:keepNext/>
        <w:keepLines/>
        <w:tabs>
          <w:tab w:val="left" w:pos="567"/>
        </w:tabs>
        <w:spacing w:after="0" w:line="240" w:lineRule="auto"/>
        <w:ind w:left="567" w:hanging="567"/>
        <w:outlineLvl w:val="2"/>
        <w:rPr>
          <w:rFonts w:ascii="Times New Roman" w:hAnsi="Times New Roman"/>
          <w:b/>
          <w:kern w:val="28"/>
        </w:rPr>
      </w:pPr>
      <w:bookmarkStart w:id="12" w:name="_Toc129243102"/>
      <w:bookmarkStart w:id="13" w:name="_Toc129243227"/>
      <w:r w:rsidRPr="007C1A06">
        <w:rPr>
          <w:rFonts w:ascii="Times New Roman" w:hAnsi="Times New Roman"/>
          <w:b/>
          <w:kern w:val="28"/>
        </w:rPr>
        <w:t>4.1</w:t>
      </w:r>
      <w:r w:rsidRPr="007C1A06">
        <w:rPr>
          <w:rFonts w:ascii="Times New Roman" w:hAnsi="Times New Roman"/>
          <w:b/>
          <w:kern w:val="28"/>
        </w:rPr>
        <w:tab/>
        <w:t>Terapinės indikacijos</w:t>
      </w:r>
      <w:bookmarkEnd w:id="12"/>
      <w:bookmarkEnd w:id="13"/>
    </w:p>
    <w:p w14:paraId="1068C5EF" w14:textId="77777777" w:rsidR="00D875C0" w:rsidRPr="007C1A06" w:rsidRDefault="00D875C0" w:rsidP="00D875C0">
      <w:pPr>
        <w:spacing w:after="0" w:line="240" w:lineRule="auto"/>
        <w:rPr>
          <w:rFonts w:ascii="Times New Roman" w:hAnsi="Times New Roman"/>
        </w:rPr>
      </w:pPr>
    </w:p>
    <w:p w14:paraId="1E7E14ED"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Krūties vėžys</w:t>
      </w:r>
    </w:p>
    <w:p w14:paraId="65F59D4A"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Docetaxel Ebewe, derinant su doksorubicinu ir ciklofosfamidu, skirtas adjuvantiniam gydymui pacientams</w:t>
      </w:r>
      <w:r w:rsidR="00F8609A" w:rsidRPr="007C1A06">
        <w:rPr>
          <w:rFonts w:ascii="Times New Roman" w:hAnsi="Times New Roman"/>
        </w:rPr>
        <w:t>,</w:t>
      </w:r>
      <w:r w:rsidRPr="007C1A06">
        <w:rPr>
          <w:rFonts w:ascii="Times New Roman" w:hAnsi="Times New Roman"/>
        </w:rPr>
        <w:t xml:space="preserve"> sergantiems:</w:t>
      </w:r>
    </w:p>
    <w:p w14:paraId="1AA00DE1" w14:textId="77777777" w:rsidR="00D875C0" w:rsidRPr="004E3CD5" w:rsidRDefault="00D875C0" w:rsidP="00D875C0">
      <w:pPr>
        <w:numPr>
          <w:ilvl w:val="0"/>
          <w:numId w:val="17"/>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tinkamu operuoti krūties vėžiu, metastazavusiu į limfmazgius;</w:t>
      </w:r>
    </w:p>
    <w:p w14:paraId="09413D18" w14:textId="77777777" w:rsidR="00D875C0" w:rsidRPr="004E3CD5" w:rsidRDefault="00D875C0" w:rsidP="00D875C0">
      <w:pPr>
        <w:numPr>
          <w:ilvl w:val="0"/>
          <w:numId w:val="17"/>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tinkamu operuoti krūties vėžiu, nemetastazavusiu į limfmazgius.</w:t>
      </w:r>
    </w:p>
    <w:p w14:paraId="26D178B8" w14:textId="77777777" w:rsidR="00D875C0" w:rsidRPr="007C1A06" w:rsidRDefault="00D875C0" w:rsidP="00D875C0">
      <w:pPr>
        <w:autoSpaceDE w:val="0"/>
        <w:autoSpaceDN w:val="0"/>
        <w:adjustRightInd w:val="0"/>
        <w:spacing w:after="0" w:line="240" w:lineRule="auto"/>
        <w:rPr>
          <w:rFonts w:ascii="Times New Roman" w:hAnsi="Times New Roman"/>
        </w:rPr>
      </w:pPr>
    </w:p>
    <w:p w14:paraId="4D10EAC2"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Pacientams, sergantiems tinkamu operuoti į limfmazgius nemetastazavusiu krūties vėžiu, adjuvantinis gydymas gali būti taikomas tik tuo atveju, jei pagal tarptautinius ankstyvo krūties vėžio pirmaeilio gydymo kriterijus, šiems pacientams galima chemoterapija (žr. 5.1 skyrių).</w:t>
      </w:r>
    </w:p>
    <w:p w14:paraId="1D0AEBFF" w14:textId="77777777" w:rsidR="00D875C0" w:rsidRPr="007C1A06" w:rsidRDefault="00D875C0" w:rsidP="00D875C0">
      <w:pPr>
        <w:autoSpaceDE w:val="0"/>
        <w:autoSpaceDN w:val="0"/>
        <w:adjustRightInd w:val="0"/>
        <w:spacing w:after="0" w:line="240" w:lineRule="auto"/>
        <w:rPr>
          <w:rFonts w:ascii="Times New Roman" w:hAnsi="Times New Roman"/>
        </w:rPr>
      </w:pPr>
    </w:p>
    <w:p w14:paraId="470C4F1B"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Docetaxel Ebewe, derinant su doksorubicinu, skirtas lokaliai progresavusiam ar metastaziniam krūties vėžiui gydyti, jei anksčiau nebuvo gydyta nuo šios ligos citotoksiniais vaistiniais preparatais.</w:t>
      </w:r>
    </w:p>
    <w:p w14:paraId="3E43A4DD" w14:textId="77777777" w:rsidR="00D875C0" w:rsidRPr="007C1A06" w:rsidRDefault="00D875C0" w:rsidP="00D875C0">
      <w:pPr>
        <w:autoSpaceDE w:val="0"/>
        <w:autoSpaceDN w:val="0"/>
        <w:adjustRightInd w:val="0"/>
        <w:spacing w:after="0" w:line="240" w:lineRule="auto"/>
        <w:rPr>
          <w:rFonts w:ascii="Times New Roman" w:hAnsi="Times New Roman"/>
        </w:rPr>
      </w:pPr>
    </w:p>
    <w:p w14:paraId="441874E6"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Docetaxel Ebewe skirtas lokaliai progresavusio ar metastazinio krūties vėžio monoterapijai, jei citotoksinė chemoterapija, kurios sudėtyje buvo antraciklinas arba alkilinantis vaistinis preparatas, buvo neveiksminga.</w:t>
      </w:r>
    </w:p>
    <w:p w14:paraId="79496162" w14:textId="77777777" w:rsidR="00D875C0" w:rsidRPr="007C1A06" w:rsidRDefault="00D875C0" w:rsidP="00D875C0">
      <w:pPr>
        <w:autoSpaceDE w:val="0"/>
        <w:autoSpaceDN w:val="0"/>
        <w:adjustRightInd w:val="0"/>
        <w:spacing w:after="0" w:line="240" w:lineRule="auto"/>
        <w:rPr>
          <w:rFonts w:ascii="Times New Roman" w:hAnsi="Times New Roman"/>
        </w:rPr>
      </w:pPr>
    </w:p>
    <w:p w14:paraId="0F29F7E6"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Docetaxel Ebewe, derinant su trastuzumabu, skirtas metastaziniam krūties vėžiui gydyti, jei nustatyta per didelė naviko HER2 ekspresija, o metastazinio vėžio chemoterapija anksčiau netaikyta.</w:t>
      </w:r>
    </w:p>
    <w:p w14:paraId="5817D971" w14:textId="77777777" w:rsidR="00D875C0" w:rsidRPr="007C1A06" w:rsidRDefault="00D875C0" w:rsidP="00D875C0">
      <w:pPr>
        <w:autoSpaceDE w:val="0"/>
        <w:autoSpaceDN w:val="0"/>
        <w:adjustRightInd w:val="0"/>
        <w:spacing w:after="0" w:line="240" w:lineRule="auto"/>
        <w:rPr>
          <w:rFonts w:ascii="Times New Roman" w:hAnsi="Times New Roman"/>
        </w:rPr>
      </w:pPr>
    </w:p>
    <w:p w14:paraId="25FDA84F"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Docetaxel Ebewe, derinant su kapecitabinu, skirtas lokaliai progresavusiam ar metastaziniam krūties vėžiui gydyti, jei citotoksinė chemoterapija, kurios sudėtyje buvo antraciklinas, buvo neveiksminga.</w:t>
      </w:r>
    </w:p>
    <w:p w14:paraId="0F2E9387" w14:textId="77777777" w:rsidR="00D875C0" w:rsidRPr="007C1A06" w:rsidRDefault="00D875C0" w:rsidP="00D875C0">
      <w:pPr>
        <w:autoSpaceDE w:val="0"/>
        <w:autoSpaceDN w:val="0"/>
        <w:adjustRightInd w:val="0"/>
        <w:spacing w:after="0" w:line="240" w:lineRule="auto"/>
        <w:rPr>
          <w:rFonts w:ascii="Times New Roman" w:hAnsi="Times New Roman"/>
        </w:rPr>
      </w:pPr>
    </w:p>
    <w:p w14:paraId="08DE57B2"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Nesmulkialąstelinis plaučių vėžys</w:t>
      </w:r>
    </w:p>
    <w:p w14:paraId="54D6FD3D"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Docetaxel Ebewe skirtas lokaliai progresavusiam ar metastaziniam nesmulkialąsteliniam plaučių vėžiui gydyti, jei ankstesnė chemoterapija buvo neveiksminga.</w:t>
      </w:r>
    </w:p>
    <w:p w14:paraId="56BDE221" w14:textId="77777777" w:rsidR="00D875C0" w:rsidRPr="007C1A06" w:rsidRDefault="00D875C0" w:rsidP="00D875C0">
      <w:pPr>
        <w:autoSpaceDE w:val="0"/>
        <w:autoSpaceDN w:val="0"/>
        <w:adjustRightInd w:val="0"/>
        <w:spacing w:after="0" w:line="240" w:lineRule="auto"/>
        <w:rPr>
          <w:rFonts w:ascii="Times New Roman" w:hAnsi="Times New Roman"/>
        </w:rPr>
      </w:pPr>
    </w:p>
    <w:p w14:paraId="4D98E514" w14:textId="77777777" w:rsidR="00D875C0" w:rsidRPr="00FB5C4B"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Docetaxel Ebewe, derinant su cisplatina, skirtas neoperuotinam lokaliai progresavusiam ar metastaziniam nesmulkialąsteliniam plaučių </w:t>
      </w:r>
      <w:r w:rsidRPr="007C1A06">
        <w:rPr>
          <w:rFonts w:ascii="Times New Roman" w:eastAsia="Times New Roman" w:hAnsi="Times New Roman" w:cs="Times New Roman"/>
        </w:rPr>
        <w:t>vėžiui</w:t>
      </w:r>
      <w:r w:rsidR="00F95B76">
        <w:rPr>
          <w:rFonts w:ascii="Times New Roman" w:eastAsia="Times New Roman" w:hAnsi="Times New Roman" w:cs="Times New Roman"/>
        </w:rPr>
        <w:t xml:space="preserve"> </w:t>
      </w:r>
      <w:r w:rsidRPr="007C1A06">
        <w:rPr>
          <w:rFonts w:ascii="Times New Roman" w:eastAsia="Times New Roman" w:hAnsi="Times New Roman" w:cs="Times New Roman"/>
        </w:rPr>
        <w:t>gydyti</w:t>
      </w:r>
      <w:r w:rsidRPr="00F957E7">
        <w:rPr>
          <w:rFonts w:ascii="Times New Roman" w:hAnsi="Times New Roman"/>
        </w:rPr>
        <w:t xml:space="preserve"> pacientams, kuriems šios ligos chemoterapija anksčiau netaikyta.</w:t>
      </w:r>
    </w:p>
    <w:p w14:paraId="7D9908FA" w14:textId="77777777" w:rsidR="00D875C0" w:rsidRPr="001F2C46" w:rsidRDefault="00D875C0" w:rsidP="00D875C0">
      <w:pPr>
        <w:autoSpaceDE w:val="0"/>
        <w:autoSpaceDN w:val="0"/>
        <w:adjustRightInd w:val="0"/>
        <w:spacing w:after="0" w:line="240" w:lineRule="auto"/>
        <w:rPr>
          <w:rFonts w:ascii="Times New Roman" w:hAnsi="Times New Roman"/>
          <w:u w:val="single"/>
        </w:rPr>
      </w:pPr>
    </w:p>
    <w:p w14:paraId="72FA616B" w14:textId="77777777" w:rsidR="00D875C0" w:rsidRPr="00427D92" w:rsidRDefault="00D875C0" w:rsidP="00D875C0">
      <w:pPr>
        <w:autoSpaceDE w:val="0"/>
        <w:autoSpaceDN w:val="0"/>
        <w:adjustRightInd w:val="0"/>
        <w:spacing w:after="0" w:line="240" w:lineRule="auto"/>
        <w:rPr>
          <w:rFonts w:ascii="Times New Roman" w:hAnsi="Times New Roman"/>
          <w:u w:val="single"/>
        </w:rPr>
      </w:pPr>
      <w:r w:rsidRPr="00427D92">
        <w:rPr>
          <w:rFonts w:ascii="Times New Roman" w:hAnsi="Times New Roman"/>
          <w:u w:val="single"/>
        </w:rPr>
        <w:t>Prostatos vėžys</w:t>
      </w:r>
    </w:p>
    <w:p w14:paraId="0A7836CB" w14:textId="77777777" w:rsidR="00D875C0" w:rsidRPr="00C722B4" w:rsidRDefault="00D875C0" w:rsidP="00D875C0">
      <w:pPr>
        <w:autoSpaceDE w:val="0"/>
        <w:autoSpaceDN w:val="0"/>
        <w:adjustRightInd w:val="0"/>
        <w:spacing w:after="0" w:line="240" w:lineRule="auto"/>
        <w:rPr>
          <w:rFonts w:ascii="Times New Roman" w:hAnsi="Times New Roman"/>
        </w:rPr>
      </w:pPr>
      <w:r w:rsidRPr="00C722B4">
        <w:rPr>
          <w:rFonts w:ascii="Times New Roman" w:hAnsi="Times New Roman"/>
        </w:rPr>
        <w:t>Docetaxel Ebewe, derinant su prednizonu ar prednizolonu, skirtas hormonams atspariam metastaziniam prostatos vėžiui gydyti.</w:t>
      </w:r>
    </w:p>
    <w:p w14:paraId="40DAB308" w14:textId="77777777" w:rsidR="00D875C0" w:rsidRPr="007C1A06" w:rsidRDefault="00D875C0" w:rsidP="00D875C0">
      <w:pPr>
        <w:autoSpaceDE w:val="0"/>
        <w:autoSpaceDN w:val="0"/>
        <w:adjustRightInd w:val="0"/>
        <w:spacing w:after="0" w:line="240" w:lineRule="auto"/>
        <w:rPr>
          <w:rFonts w:ascii="Times New Roman" w:hAnsi="Times New Roman"/>
        </w:rPr>
      </w:pPr>
    </w:p>
    <w:p w14:paraId="211316F8"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Skrandžio adenokarcinoma</w:t>
      </w:r>
    </w:p>
    <w:p w14:paraId="7464F27F"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Docetaxel Ebewe, derinant su cisplatina ir 5-fluorouracilu, skirtas metastazinei skrandžio adenokarcinomai, įskaitant skrandžio ir stemplės jungties adenokarcinomą, gydyti pacientams, kuriems metastazinės ligos chemoterapija anksčiau netaikyta.</w:t>
      </w:r>
    </w:p>
    <w:p w14:paraId="5FB7DA23" w14:textId="77777777" w:rsidR="00D875C0" w:rsidRPr="007C1A06" w:rsidRDefault="00D875C0" w:rsidP="00D875C0">
      <w:pPr>
        <w:autoSpaceDE w:val="0"/>
        <w:autoSpaceDN w:val="0"/>
        <w:adjustRightInd w:val="0"/>
        <w:spacing w:after="0" w:line="240" w:lineRule="auto"/>
        <w:rPr>
          <w:rFonts w:ascii="Times New Roman" w:hAnsi="Times New Roman"/>
        </w:rPr>
      </w:pPr>
    </w:p>
    <w:p w14:paraId="2B384F0D"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Galvos ir kaklo vėžys</w:t>
      </w:r>
    </w:p>
    <w:p w14:paraId="2A3D7380"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Docetaxel Ebewe, derinant su cisplatina ir 5-fluorouracilu, skirtas lokaliai progresavusio plokščialąstelinio galvos ir kaklo vėžio pradiniam gydymui.</w:t>
      </w:r>
    </w:p>
    <w:p w14:paraId="1284BDCF" w14:textId="77777777" w:rsidR="00D875C0" w:rsidRPr="007C1A06" w:rsidRDefault="00D875C0" w:rsidP="00D875C0">
      <w:pPr>
        <w:spacing w:after="0" w:line="240" w:lineRule="auto"/>
        <w:rPr>
          <w:rFonts w:ascii="Times New Roman" w:hAnsi="Times New Roman"/>
        </w:rPr>
      </w:pPr>
    </w:p>
    <w:p w14:paraId="09726C8B" w14:textId="77777777" w:rsidR="00D875C0" w:rsidRPr="007C1A06" w:rsidRDefault="00D875C0" w:rsidP="00D875C0">
      <w:pPr>
        <w:keepNext/>
        <w:keepLines/>
        <w:tabs>
          <w:tab w:val="left" w:pos="567"/>
        </w:tabs>
        <w:spacing w:after="0" w:line="240" w:lineRule="auto"/>
        <w:ind w:left="567" w:hanging="567"/>
        <w:outlineLvl w:val="2"/>
        <w:rPr>
          <w:rFonts w:ascii="Times New Roman" w:hAnsi="Times New Roman"/>
          <w:b/>
          <w:kern w:val="28"/>
        </w:rPr>
      </w:pPr>
      <w:bookmarkStart w:id="14" w:name="_Toc129243103"/>
      <w:bookmarkStart w:id="15" w:name="_Toc129243228"/>
      <w:r w:rsidRPr="007C1A06">
        <w:rPr>
          <w:rFonts w:ascii="Times New Roman" w:hAnsi="Times New Roman"/>
          <w:b/>
          <w:kern w:val="28"/>
        </w:rPr>
        <w:t>4.2</w:t>
      </w:r>
      <w:r w:rsidRPr="007C1A06">
        <w:rPr>
          <w:rFonts w:ascii="Times New Roman" w:hAnsi="Times New Roman"/>
          <w:b/>
          <w:kern w:val="28"/>
        </w:rPr>
        <w:tab/>
        <w:t>Dozavimas ir vartojimo metodas</w:t>
      </w:r>
      <w:bookmarkEnd w:id="14"/>
      <w:bookmarkEnd w:id="15"/>
    </w:p>
    <w:p w14:paraId="05BAC8C5" w14:textId="77777777" w:rsidR="00D875C0" w:rsidRPr="007C1A06" w:rsidRDefault="00D875C0" w:rsidP="00D875C0">
      <w:pPr>
        <w:spacing w:after="0" w:line="240" w:lineRule="auto"/>
        <w:rPr>
          <w:rFonts w:ascii="Times New Roman" w:hAnsi="Times New Roman"/>
        </w:rPr>
      </w:pPr>
    </w:p>
    <w:p w14:paraId="69B4F0DA"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Docetakselis gali būti vartojamas tik specializuotuose citotoksinės chemoterapijos skyriuose, prižiūrint gydytojui – kvalifikuotam priešvėžinės chemoterapijos specialistui (žr. 6.6 skyrių).</w:t>
      </w:r>
    </w:p>
    <w:p w14:paraId="5D88B961" w14:textId="77777777" w:rsidR="00D875C0" w:rsidRPr="007C1A06" w:rsidRDefault="00D875C0" w:rsidP="00D875C0">
      <w:pPr>
        <w:autoSpaceDE w:val="0"/>
        <w:autoSpaceDN w:val="0"/>
        <w:adjustRightInd w:val="0"/>
        <w:spacing w:after="0" w:line="240" w:lineRule="auto"/>
        <w:rPr>
          <w:rFonts w:ascii="Times New Roman" w:hAnsi="Times New Roman"/>
        </w:rPr>
      </w:pPr>
    </w:p>
    <w:p w14:paraId="613CA470" w14:textId="77F65239" w:rsidR="00D875C0" w:rsidRPr="004E3CD5" w:rsidRDefault="001D57D6" w:rsidP="00D875C0">
      <w:pPr>
        <w:autoSpaceDE w:val="0"/>
        <w:autoSpaceDN w:val="0"/>
        <w:adjustRightInd w:val="0"/>
        <w:spacing w:after="0" w:line="240" w:lineRule="auto"/>
        <w:rPr>
          <w:rFonts w:ascii="Times New Roman" w:eastAsiaTheme="minorEastAsia" w:hAnsi="Times New Roman"/>
          <w:u w:val="single"/>
          <w:lang w:eastAsia="zh-TW"/>
        </w:rPr>
      </w:pPr>
      <w:r>
        <w:rPr>
          <w:rFonts w:ascii="Times New Roman" w:hAnsi="Times New Roman"/>
          <w:u w:val="single"/>
        </w:rPr>
        <w:t>Dozavimas</w:t>
      </w:r>
    </w:p>
    <w:p w14:paraId="6E7D5399" w14:textId="67E58EC7" w:rsidR="00D875C0" w:rsidRPr="00FB5C4B"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Jeigu kontraindikacijų nėra, tai, gydant krūties, plaučių nesmulkiųjų ląstelių, skrandžio, galvos ar kaklo vėžį, galima atlikti premedikaciją: 3</w:t>
      </w:r>
      <w:r w:rsidR="00DA6E7A" w:rsidRPr="007C1A06">
        <w:rPr>
          <w:rFonts w:ascii="Times New Roman" w:hAnsi="Times New Roman"/>
        </w:rPr>
        <w:t> </w:t>
      </w:r>
      <w:r w:rsidRPr="007C1A06">
        <w:rPr>
          <w:rFonts w:ascii="Times New Roman" w:hAnsi="Times New Roman"/>
        </w:rPr>
        <w:t>dienas duodama gerti kortikosteroido, pvz., deksametazono 16</w:t>
      </w:r>
      <w:r w:rsidR="00DA6E7A" w:rsidRPr="007C1A06">
        <w:rPr>
          <w:rFonts w:ascii="Times New Roman" w:hAnsi="Times New Roman"/>
        </w:rPr>
        <w:t> </w:t>
      </w:r>
      <w:r w:rsidRPr="007C1A06">
        <w:rPr>
          <w:rFonts w:ascii="Times New Roman" w:hAnsi="Times New Roman"/>
        </w:rPr>
        <w:t>mg per parą (pvz., po 8</w:t>
      </w:r>
      <w:r w:rsidR="00DA6E7A" w:rsidRPr="007C1A06">
        <w:rPr>
          <w:rFonts w:ascii="Times New Roman" w:hAnsi="Times New Roman"/>
        </w:rPr>
        <w:t> </w:t>
      </w:r>
      <w:r w:rsidRPr="007C1A06">
        <w:rPr>
          <w:rFonts w:ascii="Times New Roman" w:hAnsi="Times New Roman"/>
        </w:rPr>
        <w:t>mg 2</w:t>
      </w:r>
      <w:r w:rsidR="00DA6E7A" w:rsidRPr="007C1A06">
        <w:rPr>
          <w:rFonts w:ascii="Times New Roman" w:hAnsi="Times New Roman"/>
        </w:rPr>
        <w:t> </w:t>
      </w:r>
      <w:r w:rsidRPr="007C1A06">
        <w:rPr>
          <w:rFonts w:ascii="Times New Roman" w:hAnsi="Times New Roman"/>
        </w:rPr>
        <w:t>kartus per parą). Deksametazonas pradedamas vartoti likus dienai iki docetakselio (žr. 4.4 skyrių) vartojimo.</w:t>
      </w:r>
    </w:p>
    <w:p w14:paraId="58FCF889" w14:textId="6CA35323" w:rsidR="00D875C0" w:rsidRPr="007C1A06" w:rsidRDefault="00D875C0" w:rsidP="00D875C0">
      <w:pPr>
        <w:autoSpaceDE w:val="0"/>
        <w:autoSpaceDN w:val="0"/>
        <w:adjustRightInd w:val="0"/>
        <w:spacing w:after="0" w:line="240" w:lineRule="auto"/>
        <w:rPr>
          <w:rFonts w:ascii="Times New Roman" w:hAnsi="Times New Roman"/>
        </w:rPr>
      </w:pPr>
      <w:r w:rsidRPr="001F2C46">
        <w:rPr>
          <w:rFonts w:ascii="Times New Roman" w:hAnsi="Times New Roman"/>
        </w:rPr>
        <w:t xml:space="preserve">Gydant </w:t>
      </w:r>
      <w:r w:rsidR="00AB1BD4">
        <w:rPr>
          <w:rFonts w:ascii="Times New Roman" w:hAnsi="Times New Roman"/>
        </w:rPr>
        <w:t xml:space="preserve">metastazinį </w:t>
      </w:r>
      <w:r w:rsidR="00813385">
        <w:rPr>
          <w:rFonts w:ascii="Times New Roman" w:hAnsi="Times New Roman"/>
        </w:rPr>
        <w:t xml:space="preserve">kastracijai atsparų </w:t>
      </w:r>
      <w:r w:rsidRPr="001F2C46">
        <w:rPr>
          <w:rFonts w:ascii="Times New Roman" w:hAnsi="Times New Roman"/>
        </w:rPr>
        <w:t xml:space="preserve">prostatos vėžį, premedikacijai rekomenduojama duoti gerti </w:t>
      </w:r>
      <w:r w:rsidR="00813385" w:rsidRPr="001F2C46">
        <w:rPr>
          <w:rFonts w:ascii="Times New Roman" w:hAnsi="Times New Roman"/>
        </w:rPr>
        <w:t>8</w:t>
      </w:r>
      <w:r w:rsidR="00813385">
        <w:rPr>
          <w:rFonts w:ascii="Times New Roman" w:hAnsi="Times New Roman"/>
        </w:rPr>
        <w:t> </w:t>
      </w:r>
      <w:r w:rsidRPr="001F2C46">
        <w:rPr>
          <w:rFonts w:ascii="Times New Roman" w:hAnsi="Times New Roman"/>
        </w:rPr>
        <w:t>mg deksametazono likus 12</w:t>
      </w:r>
      <w:r w:rsidR="00DA6E7A" w:rsidRPr="00427D92">
        <w:rPr>
          <w:rFonts w:ascii="Times New Roman" w:hAnsi="Times New Roman"/>
        </w:rPr>
        <w:t> </w:t>
      </w:r>
      <w:r w:rsidRPr="00C722B4">
        <w:rPr>
          <w:rFonts w:ascii="Times New Roman" w:hAnsi="Times New Roman"/>
        </w:rPr>
        <w:t>val., 3</w:t>
      </w:r>
      <w:r w:rsidR="00DA6E7A" w:rsidRPr="007C1A06">
        <w:rPr>
          <w:rFonts w:ascii="Times New Roman" w:hAnsi="Times New Roman"/>
        </w:rPr>
        <w:t> </w:t>
      </w:r>
      <w:r w:rsidRPr="007C1A06">
        <w:rPr>
          <w:rFonts w:ascii="Times New Roman" w:hAnsi="Times New Roman"/>
        </w:rPr>
        <w:t>val. ir 1</w:t>
      </w:r>
      <w:r w:rsidR="00DA6E7A" w:rsidRPr="007C1A06">
        <w:rPr>
          <w:rFonts w:ascii="Times New Roman" w:hAnsi="Times New Roman"/>
        </w:rPr>
        <w:t> </w:t>
      </w:r>
      <w:r w:rsidRPr="007C1A06">
        <w:rPr>
          <w:rFonts w:ascii="Times New Roman" w:hAnsi="Times New Roman"/>
        </w:rPr>
        <w:t>val. iki Docetaxel Ebewe infuzijos, atsižvelgiant į faktą, kad kartu vartojamas prednizonas arba prednizolonas (žr. 4.4 skyrių).</w:t>
      </w:r>
    </w:p>
    <w:p w14:paraId="7BD78598" w14:textId="77777777" w:rsidR="00D875C0" w:rsidRDefault="00D875C0" w:rsidP="00D875C0">
      <w:pPr>
        <w:autoSpaceDE w:val="0"/>
        <w:autoSpaceDN w:val="0"/>
        <w:adjustRightInd w:val="0"/>
        <w:spacing w:after="0" w:line="240" w:lineRule="auto"/>
        <w:rPr>
          <w:rFonts w:ascii="Times New Roman" w:hAnsi="Times New Roman"/>
        </w:rPr>
      </w:pPr>
    </w:p>
    <w:p w14:paraId="1CE91ABF" w14:textId="388CD31B" w:rsidR="00813385" w:rsidRPr="007C1A06" w:rsidRDefault="00813385" w:rsidP="00813385">
      <w:pPr>
        <w:autoSpaceDE w:val="0"/>
        <w:autoSpaceDN w:val="0"/>
        <w:adjustRightInd w:val="0"/>
        <w:spacing w:after="0" w:line="240" w:lineRule="auto"/>
        <w:rPr>
          <w:rFonts w:ascii="Times New Roman" w:hAnsi="Times New Roman"/>
        </w:rPr>
      </w:pPr>
      <w:r w:rsidRPr="00813385">
        <w:rPr>
          <w:rFonts w:ascii="Times New Roman" w:hAnsi="Times New Roman"/>
        </w:rPr>
        <w:t>Gydant</w:t>
      </w:r>
      <w:r w:rsidR="00AB1BD4">
        <w:rPr>
          <w:rFonts w:ascii="Times New Roman" w:hAnsi="Times New Roman"/>
        </w:rPr>
        <w:t xml:space="preserve"> metastazinį </w:t>
      </w:r>
      <w:r w:rsidRPr="00813385">
        <w:rPr>
          <w:rFonts w:ascii="Times New Roman" w:hAnsi="Times New Roman"/>
        </w:rPr>
        <w:t xml:space="preserve"> hormonams jautrų prostatos vėžį, premedikacijai rekomenduojama skirti 8</w:t>
      </w:r>
      <w:r>
        <w:rPr>
          <w:rFonts w:ascii="Times New Roman" w:hAnsi="Times New Roman"/>
        </w:rPr>
        <w:t> </w:t>
      </w:r>
      <w:r w:rsidRPr="00813385">
        <w:rPr>
          <w:rFonts w:ascii="Times New Roman" w:hAnsi="Times New Roman"/>
        </w:rPr>
        <w:t>mg geriamojo</w:t>
      </w:r>
      <w:r>
        <w:rPr>
          <w:rFonts w:ascii="Times New Roman" w:hAnsi="Times New Roman"/>
        </w:rPr>
        <w:t xml:space="preserve"> </w:t>
      </w:r>
      <w:r w:rsidRPr="00813385">
        <w:rPr>
          <w:rFonts w:ascii="Times New Roman" w:hAnsi="Times New Roman"/>
        </w:rPr>
        <w:t>deksametazono likus 12</w:t>
      </w:r>
      <w:r>
        <w:rPr>
          <w:rFonts w:ascii="Times New Roman" w:hAnsi="Times New Roman"/>
        </w:rPr>
        <w:t> </w:t>
      </w:r>
      <w:r w:rsidRPr="00813385">
        <w:rPr>
          <w:rFonts w:ascii="Times New Roman" w:hAnsi="Times New Roman"/>
        </w:rPr>
        <w:t>val., 3</w:t>
      </w:r>
      <w:r>
        <w:rPr>
          <w:rFonts w:ascii="Times New Roman" w:hAnsi="Times New Roman"/>
        </w:rPr>
        <w:t> </w:t>
      </w:r>
      <w:r w:rsidRPr="00813385">
        <w:rPr>
          <w:rFonts w:ascii="Times New Roman" w:hAnsi="Times New Roman"/>
        </w:rPr>
        <w:t>val. ir 1</w:t>
      </w:r>
      <w:r>
        <w:rPr>
          <w:rFonts w:ascii="Times New Roman" w:hAnsi="Times New Roman"/>
        </w:rPr>
        <w:t> </w:t>
      </w:r>
      <w:r w:rsidRPr="00813385">
        <w:rPr>
          <w:rFonts w:ascii="Times New Roman" w:hAnsi="Times New Roman"/>
        </w:rPr>
        <w:t>val. iki docetakselio infuzijos, nepriklausomai nuo to, ar kartu</w:t>
      </w:r>
      <w:r>
        <w:rPr>
          <w:rFonts w:ascii="Times New Roman" w:hAnsi="Times New Roman"/>
        </w:rPr>
        <w:t xml:space="preserve"> </w:t>
      </w:r>
      <w:r w:rsidRPr="00813385">
        <w:rPr>
          <w:rFonts w:ascii="Times New Roman" w:hAnsi="Times New Roman"/>
        </w:rPr>
        <w:t>vartojamas prednizonas ar prednizolonas (žr. 4.4 skyrių).</w:t>
      </w:r>
    </w:p>
    <w:p w14:paraId="77A85E78" w14:textId="77777777" w:rsidR="00813385" w:rsidRDefault="00813385" w:rsidP="00D875C0">
      <w:pPr>
        <w:autoSpaceDE w:val="0"/>
        <w:autoSpaceDN w:val="0"/>
        <w:adjustRightInd w:val="0"/>
        <w:spacing w:after="0" w:line="240" w:lineRule="auto"/>
        <w:rPr>
          <w:rFonts w:ascii="Times New Roman" w:hAnsi="Times New Roman"/>
        </w:rPr>
      </w:pPr>
    </w:p>
    <w:p w14:paraId="3C6B294B" w14:textId="74A6245B" w:rsidR="00813385" w:rsidRDefault="00813385" w:rsidP="00813385">
      <w:pPr>
        <w:autoSpaceDE w:val="0"/>
        <w:autoSpaceDN w:val="0"/>
        <w:adjustRightInd w:val="0"/>
        <w:spacing w:after="0" w:line="240" w:lineRule="auto"/>
        <w:rPr>
          <w:rFonts w:ascii="Times New Roman" w:hAnsi="Times New Roman"/>
        </w:rPr>
      </w:pPr>
      <w:r w:rsidRPr="00813385">
        <w:rPr>
          <w:rFonts w:ascii="Times New Roman" w:hAnsi="Times New Roman"/>
        </w:rPr>
        <w:t xml:space="preserve">Hematotoksinio poveikio </w:t>
      </w:r>
      <w:r>
        <w:rPr>
          <w:rFonts w:ascii="Times New Roman" w:hAnsi="Times New Roman"/>
        </w:rPr>
        <w:t>rizikai</w:t>
      </w:r>
      <w:r w:rsidRPr="00813385">
        <w:rPr>
          <w:rFonts w:ascii="Times New Roman" w:hAnsi="Times New Roman"/>
        </w:rPr>
        <w:t xml:space="preserve"> sumažinti profilaktiškai galima vartoti granulocitų kolonijas</w:t>
      </w:r>
      <w:r>
        <w:rPr>
          <w:rFonts w:ascii="Times New Roman" w:hAnsi="Times New Roman"/>
        </w:rPr>
        <w:t xml:space="preserve"> </w:t>
      </w:r>
      <w:r w:rsidRPr="00813385">
        <w:rPr>
          <w:rFonts w:ascii="Times New Roman" w:hAnsi="Times New Roman"/>
        </w:rPr>
        <w:t>stimuliuojan</w:t>
      </w:r>
      <w:r>
        <w:rPr>
          <w:rFonts w:ascii="Times New Roman" w:hAnsi="Times New Roman"/>
        </w:rPr>
        <w:t>čio</w:t>
      </w:r>
      <w:r w:rsidRPr="00813385">
        <w:rPr>
          <w:rFonts w:ascii="Times New Roman" w:hAnsi="Times New Roman"/>
        </w:rPr>
        <w:t xml:space="preserve"> faktori</w:t>
      </w:r>
      <w:r>
        <w:rPr>
          <w:rFonts w:ascii="Times New Roman" w:hAnsi="Times New Roman"/>
        </w:rPr>
        <w:t>aus</w:t>
      </w:r>
      <w:r w:rsidRPr="00813385">
        <w:rPr>
          <w:rFonts w:ascii="Times New Roman" w:hAnsi="Times New Roman"/>
        </w:rPr>
        <w:t xml:space="preserve"> (G-KSF).</w:t>
      </w:r>
    </w:p>
    <w:p w14:paraId="33610086" w14:textId="77777777" w:rsidR="00813385" w:rsidRDefault="00813385" w:rsidP="00D875C0">
      <w:pPr>
        <w:autoSpaceDE w:val="0"/>
        <w:autoSpaceDN w:val="0"/>
        <w:adjustRightInd w:val="0"/>
        <w:spacing w:after="0" w:line="240" w:lineRule="auto"/>
        <w:rPr>
          <w:rFonts w:ascii="Times New Roman" w:hAnsi="Times New Roman"/>
        </w:rPr>
      </w:pPr>
    </w:p>
    <w:p w14:paraId="162D12A8" w14:textId="2D5BBCA6"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Docetakselio infuzuojama per 1</w:t>
      </w:r>
      <w:r w:rsidR="00DA6E7A" w:rsidRPr="007C1A06">
        <w:rPr>
          <w:rFonts w:ascii="Times New Roman" w:hAnsi="Times New Roman"/>
        </w:rPr>
        <w:t> </w:t>
      </w:r>
      <w:r w:rsidRPr="007C1A06">
        <w:rPr>
          <w:rFonts w:ascii="Times New Roman" w:hAnsi="Times New Roman"/>
        </w:rPr>
        <w:t>val. kas 3</w:t>
      </w:r>
      <w:r w:rsidR="00DA6E7A" w:rsidRPr="007C1A06">
        <w:rPr>
          <w:rFonts w:ascii="Times New Roman" w:hAnsi="Times New Roman"/>
        </w:rPr>
        <w:t> </w:t>
      </w:r>
      <w:r w:rsidRPr="007C1A06">
        <w:rPr>
          <w:rFonts w:ascii="Times New Roman" w:hAnsi="Times New Roman"/>
        </w:rPr>
        <w:t>savaites.</w:t>
      </w:r>
    </w:p>
    <w:p w14:paraId="5A316303" w14:textId="77777777" w:rsidR="00D875C0" w:rsidRPr="007C1A06" w:rsidRDefault="00D875C0" w:rsidP="00D875C0">
      <w:pPr>
        <w:autoSpaceDE w:val="0"/>
        <w:autoSpaceDN w:val="0"/>
        <w:adjustRightInd w:val="0"/>
        <w:spacing w:after="0" w:line="240" w:lineRule="auto"/>
        <w:rPr>
          <w:rFonts w:ascii="Times New Roman" w:hAnsi="Times New Roman"/>
        </w:rPr>
      </w:pPr>
    </w:p>
    <w:p w14:paraId="33B05BD5"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u w:val="single"/>
          <w:lang w:eastAsia="zh-TW"/>
        </w:rPr>
      </w:pPr>
      <w:r w:rsidRPr="007C1A06">
        <w:rPr>
          <w:rFonts w:ascii="Times New Roman" w:hAnsi="Times New Roman"/>
          <w:i/>
          <w:u w:val="single"/>
        </w:rPr>
        <w:t>Krūties vėžys</w:t>
      </w:r>
    </w:p>
    <w:p w14:paraId="0FBFC9E2"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Rekomenduojama Docetaxel Ebewe dozė tinkamo operuoti krūties vėžio, į limfmazgius metastazavusio ir nemetastazavusio, pagalbiniam gydymui – 75</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Ji infuzuojama 1</w:t>
      </w:r>
      <w:r w:rsidR="00DA6E7A" w:rsidRPr="007C1A06">
        <w:rPr>
          <w:rFonts w:ascii="Times New Roman" w:hAnsi="Times New Roman"/>
        </w:rPr>
        <w:t> </w:t>
      </w:r>
      <w:r w:rsidRPr="007C1A06">
        <w:rPr>
          <w:rFonts w:ascii="Times New Roman" w:hAnsi="Times New Roman"/>
        </w:rPr>
        <w:t>val. po 50</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doksorubicino ir 500</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ciklofosfamido, kas 3</w:t>
      </w:r>
      <w:r w:rsidR="00DA6E7A" w:rsidRPr="007C1A06">
        <w:rPr>
          <w:rFonts w:ascii="Times New Roman" w:hAnsi="Times New Roman"/>
        </w:rPr>
        <w:t> </w:t>
      </w:r>
      <w:r w:rsidRPr="007C1A06">
        <w:rPr>
          <w:rFonts w:ascii="Times New Roman" w:hAnsi="Times New Roman"/>
        </w:rPr>
        <w:t>savaites, iš viso 6</w:t>
      </w:r>
      <w:r w:rsidR="00DA6E7A" w:rsidRPr="007C1A06">
        <w:rPr>
          <w:rFonts w:ascii="Times New Roman" w:hAnsi="Times New Roman"/>
        </w:rPr>
        <w:t> </w:t>
      </w:r>
      <w:r w:rsidRPr="007C1A06">
        <w:rPr>
          <w:rFonts w:ascii="Times New Roman" w:hAnsi="Times New Roman"/>
        </w:rPr>
        <w:t xml:space="preserve">kursus (taip pat žr. </w:t>
      </w:r>
      <w:r w:rsidR="00DA6E7A" w:rsidRPr="007C1A06">
        <w:rPr>
          <w:rFonts w:ascii="Times New Roman" w:hAnsi="Times New Roman"/>
        </w:rPr>
        <w:t>„</w:t>
      </w:r>
      <w:r w:rsidRPr="007C1A06">
        <w:rPr>
          <w:rFonts w:ascii="Times New Roman" w:hAnsi="Times New Roman"/>
        </w:rPr>
        <w:t>Dozės koregavimas gydymo metu</w:t>
      </w:r>
      <w:r w:rsidR="00DA6E7A" w:rsidRPr="007C1A06">
        <w:rPr>
          <w:rFonts w:ascii="Times New Roman" w:hAnsi="Times New Roman"/>
        </w:rPr>
        <w:t>“</w:t>
      </w:r>
      <w:r w:rsidRPr="007C1A06">
        <w:rPr>
          <w:rFonts w:ascii="Times New Roman" w:hAnsi="Times New Roman"/>
        </w:rPr>
        <w:t>).</w:t>
      </w:r>
    </w:p>
    <w:p w14:paraId="4BB08BDD"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Vietiškai progresavusiam ar metastazavusiam krūties vėžiui gydyti rekomenduojama Docetaxel Ebewe dozė monoterapijai – 100</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Pirmosios eilės gydymui 75</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Docetaxel Ebewe derinamas su 50</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doksorubicino.</w:t>
      </w:r>
    </w:p>
    <w:p w14:paraId="4EF26FEE" w14:textId="77777777" w:rsidR="00D875C0" w:rsidRPr="007C1A06" w:rsidRDefault="00D875C0" w:rsidP="00D875C0">
      <w:pPr>
        <w:autoSpaceDE w:val="0"/>
        <w:autoSpaceDN w:val="0"/>
        <w:adjustRightInd w:val="0"/>
        <w:spacing w:after="0" w:line="240" w:lineRule="auto"/>
        <w:rPr>
          <w:rFonts w:ascii="Times New Roman" w:hAnsi="Times New Roman"/>
        </w:rPr>
      </w:pPr>
    </w:p>
    <w:p w14:paraId="45BCE4B6"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Rekomenduojama Docetaxel Ebewe dozė kartu vartojant trastuzumabą – 100</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kas 3</w:t>
      </w:r>
      <w:r w:rsidR="00DA6E7A" w:rsidRPr="007C1A06">
        <w:rPr>
          <w:rFonts w:ascii="Times New Roman" w:hAnsi="Times New Roman"/>
        </w:rPr>
        <w:t> </w:t>
      </w:r>
      <w:r w:rsidRPr="007C1A06">
        <w:rPr>
          <w:rFonts w:ascii="Times New Roman" w:hAnsi="Times New Roman"/>
        </w:rPr>
        <w:t>savaites (trastuzumabo vartojama kas savaitę). Pagrindinio tyrimo metu pirmoji docetakselio infuzija pradėta kitą dieną po pirmosios trastuzumabo dozės. Kitos docetakselio dozės sulašinamos tuoj pat po trastuzumabo infuzijos, jeigu ankstesnė trastuzumabo dozė buvo gerai toleruota. Kaip dozuoti ir vartoti trastuzumabą, nurodyta jo charakteristikų santraukoje.</w:t>
      </w:r>
    </w:p>
    <w:p w14:paraId="7A9EFF7E" w14:textId="77777777" w:rsidR="00D875C0" w:rsidRPr="007C1A06" w:rsidRDefault="00D875C0" w:rsidP="00D875C0">
      <w:pPr>
        <w:autoSpaceDE w:val="0"/>
        <w:autoSpaceDN w:val="0"/>
        <w:adjustRightInd w:val="0"/>
        <w:spacing w:after="0" w:line="240" w:lineRule="auto"/>
        <w:rPr>
          <w:rFonts w:ascii="Times New Roman" w:hAnsi="Times New Roman"/>
        </w:rPr>
      </w:pPr>
    </w:p>
    <w:p w14:paraId="40BC7BC3" w14:textId="77777777" w:rsidR="00D875C0" w:rsidRPr="00FB5C4B"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Rekomenduojama Docetaxel Ebewe dozė kartu vartojant kapecitabiną – 75</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kas 3</w:t>
      </w:r>
      <w:r w:rsidR="00DA6E7A" w:rsidRPr="007C1A06">
        <w:rPr>
          <w:rFonts w:ascii="Times New Roman" w:hAnsi="Times New Roman"/>
        </w:rPr>
        <w:t> </w:t>
      </w:r>
      <w:r w:rsidRPr="007C1A06">
        <w:rPr>
          <w:rFonts w:ascii="Times New Roman" w:hAnsi="Times New Roman"/>
        </w:rPr>
        <w:t>savaites. Kapecitabino vartojama po 1250</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2</w:t>
      </w:r>
      <w:r w:rsidR="00DA6E7A" w:rsidRPr="007C1A06">
        <w:rPr>
          <w:rFonts w:ascii="Times New Roman" w:hAnsi="Times New Roman"/>
        </w:rPr>
        <w:t> </w:t>
      </w:r>
      <w:r w:rsidRPr="007C1A06">
        <w:rPr>
          <w:rFonts w:ascii="Times New Roman" w:hAnsi="Times New Roman"/>
        </w:rPr>
        <w:t>kartus per parą (per 30</w:t>
      </w:r>
      <w:r w:rsidR="00DA6E7A" w:rsidRPr="007C1A06">
        <w:rPr>
          <w:rFonts w:ascii="Times New Roman" w:hAnsi="Times New Roman"/>
        </w:rPr>
        <w:t> </w:t>
      </w:r>
      <w:r w:rsidRPr="007C1A06">
        <w:rPr>
          <w:rFonts w:ascii="Times New Roman" w:hAnsi="Times New Roman"/>
        </w:rPr>
        <w:t>min. po valgio) 2</w:t>
      </w:r>
      <w:r w:rsidR="00DA6E7A" w:rsidRPr="007C1A06">
        <w:rPr>
          <w:rFonts w:ascii="Times New Roman" w:hAnsi="Times New Roman"/>
        </w:rPr>
        <w:t> </w:t>
      </w:r>
      <w:r w:rsidRPr="007C1A06">
        <w:rPr>
          <w:rFonts w:ascii="Times New Roman" w:hAnsi="Times New Roman"/>
        </w:rPr>
        <w:t xml:space="preserve">savaites, po to daroma savaitės pertrauka. </w:t>
      </w:r>
      <w:r w:rsidRPr="007C1A06">
        <w:rPr>
          <w:rFonts w:ascii="Times New Roman" w:eastAsia="Times New Roman" w:hAnsi="Times New Roman" w:cs="Times New Roman"/>
        </w:rPr>
        <w:t>Kapecitabino</w:t>
      </w:r>
      <w:r w:rsidR="00F95B76">
        <w:rPr>
          <w:rFonts w:ascii="Times New Roman" w:eastAsia="Times New Roman" w:hAnsi="Times New Roman" w:cs="Times New Roman"/>
        </w:rPr>
        <w:t xml:space="preserve"> </w:t>
      </w:r>
      <w:r w:rsidRPr="007C1A06">
        <w:rPr>
          <w:rFonts w:ascii="Times New Roman" w:eastAsia="Times New Roman" w:hAnsi="Times New Roman" w:cs="Times New Roman"/>
        </w:rPr>
        <w:t>charakteristikų</w:t>
      </w:r>
      <w:r w:rsidRPr="00F957E7">
        <w:rPr>
          <w:rFonts w:ascii="Times New Roman" w:hAnsi="Times New Roman"/>
        </w:rPr>
        <w:t xml:space="preserve"> santraukoje nurodyta, kaip apskaičiuoti jo dozę pagal kūno paviršiaus plotą.</w:t>
      </w:r>
    </w:p>
    <w:p w14:paraId="19E4AC67" w14:textId="77777777" w:rsidR="00D875C0" w:rsidRPr="001F2C46" w:rsidRDefault="00D875C0" w:rsidP="00D875C0">
      <w:pPr>
        <w:autoSpaceDE w:val="0"/>
        <w:autoSpaceDN w:val="0"/>
        <w:adjustRightInd w:val="0"/>
        <w:spacing w:after="0" w:line="240" w:lineRule="auto"/>
        <w:rPr>
          <w:rFonts w:ascii="Times New Roman" w:hAnsi="Times New Roman"/>
        </w:rPr>
      </w:pPr>
    </w:p>
    <w:p w14:paraId="74B6A69C" w14:textId="77777777" w:rsidR="00D875C0" w:rsidRPr="00F957E7" w:rsidRDefault="00D875C0" w:rsidP="00D875C0">
      <w:pPr>
        <w:autoSpaceDE w:val="0"/>
        <w:autoSpaceDN w:val="0"/>
        <w:adjustRightInd w:val="0"/>
        <w:spacing w:after="0" w:line="240" w:lineRule="auto"/>
        <w:rPr>
          <w:rFonts w:ascii="Times New Roman" w:hAnsi="Times New Roman"/>
          <w:i/>
          <w:u w:val="single"/>
        </w:rPr>
      </w:pPr>
      <w:r w:rsidRPr="00427D92">
        <w:rPr>
          <w:rFonts w:ascii="Times New Roman" w:hAnsi="Times New Roman"/>
          <w:i/>
          <w:u w:val="single"/>
        </w:rPr>
        <w:t>Nesmulkialąs</w:t>
      </w:r>
      <w:r w:rsidRPr="00C722B4">
        <w:rPr>
          <w:rFonts w:ascii="Times New Roman" w:hAnsi="Times New Roman"/>
          <w:i/>
          <w:u w:val="single"/>
        </w:rPr>
        <w:t xml:space="preserve">telinis </w:t>
      </w:r>
      <w:r w:rsidRPr="007C1A06">
        <w:rPr>
          <w:rFonts w:ascii="Times New Roman" w:eastAsia="Times New Roman" w:hAnsi="Times New Roman" w:cs="Times New Roman"/>
          <w:i/>
          <w:u w:val="single"/>
        </w:rPr>
        <w:t>plaučių</w:t>
      </w:r>
      <w:r w:rsidR="00F95B76">
        <w:rPr>
          <w:rFonts w:ascii="Times New Roman" w:eastAsia="Times New Roman" w:hAnsi="Times New Roman" w:cs="Times New Roman"/>
          <w:i/>
          <w:u w:val="single"/>
        </w:rPr>
        <w:t xml:space="preserve"> </w:t>
      </w:r>
      <w:r w:rsidRPr="007C1A06">
        <w:rPr>
          <w:rFonts w:ascii="Times New Roman" w:eastAsia="Times New Roman" w:hAnsi="Times New Roman" w:cs="Times New Roman"/>
          <w:i/>
          <w:iCs/>
          <w:u w:val="single"/>
        </w:rPr>
        <w:t>vėžys</w:t>
      </w:r>
    </w:p>
    <w:p w14:paraId="1E229B8C" w14:textId="77777777" w:rsidR="00D875C0" w:rsidRPr="007C1A0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Plaučių nesmulkiųjų ląstelių vėžiui gydyti pacientams, kuriems anksčiau chemoterapija netaikyta, rekomenduojama infuzuoti 75</w:t>
      </w:r>
      <w:r w:rsidR="00DA6E7A" w:rsidRPr="00F95B76">
        <w:rPr>
          <w:rFonts w:ascii="Times New Roman" w:hAnsi="Times New Roman"/>
        </w:rPr>
        <w:t> </w:t>
      </w:r>
      <w:r w:rsidRPr="00F95B76">
        <w:rPr>
          <w:rFonts w:ascii="Times New Roman" w:hAnsi="Times New Roman"/>
        </w:rPr>
        <w:t>mg/m</w:t>
      </w:r>
      <w:r w:rsidRPr="00F95B76">
        <w:rPr>
          <w:rFonts w:ascii="Times New Roman" w:hAnsi="Times New Roman"/>
          <w:vertAlign w:val="superscript"/>
        </w:rPr>
        <w:t>2</w:t>
      </w:r>
      <w:r w:rsidRPr="00F95B76">
        <w:rPr>
          <w:rFonts w:ascii="Times New Roman" w:hAnsi="Times New Roman"/>
        </w:rPr>
        <w:t xml:space="preserve"> Docetaxel Ebewe, o paskui tuoj pat 75</w:t>
      </w:r>
      <w:r w:rsidR="00DA6E7A" w:rsidRPr="00F95B76">
        <w:rPr>
          <w:rFonts w:ascii="Times New Roman" w:hAnsi="Times New Roman"/>
        </w:rPr>
        <w:t> </w:t>
      </w:r>
      <w:r w:rsidRPr="00F95B76">
        <w:rPr>
          <w:rFonts w:ascii="Times New Roman" w:hAnsi="Times New Roman"/>
        </w:rPr>
        <w:t>mg/m</w:t>
      </w:r>
      <w:r w:rsidRPr="00F95B76">
        <w:rPr>
          <w:rFonts w:ascii="Times New Roman" w:hAnsi="Times New Roman"/>
          <w:vertAlign w:val="superscript"/>
        </w:rPr>
        <w:t>2</w:t>
      </w:r>
      <w:r w:rsidRPr="00F95B76">
        <w:rPr>
          <w:rFonts w:ascii="Times New Roman" w:hAnsi="Times New Roman"/>
        </w:rPr>
        <w:t xml:space="preserve"> cisplatinos (pastarosios infuzijos trukmė – 30</w:t>
      </w:r>
      <w:r w:rsidR="00DA6E7A" w:rsidRPr="001F2C46">
        <w:rPr>
          <w:rFonts w:ascii="Times New Roman" w:hAnsi="Times New Roman"/>
        </w:rPr>
        <w:noBreakHyphen/>
      </w:r>
      <w:r w:rsidRPr="00427D92">
        <w:rPr>
          <w:rFonts w:ascii="Times New Roman" w:hAnsi="Times New Roman"/>
        </w:rPr>
        <w:t>60</w:t>
      </w:r>
      <w:r w:rsidR="00DA6E7A" w:rsidRPr="00C722B4">
        <w:rPr>
          <w:rFonts w:ascii="Times New Roman" w:hAnsi="Times New Roman"/>
        </w:rPr>
        <w:t> </w:t>
      </w:r>
      <w:r w:rsidRPr="007C1A06">
        <w:rPr>
          <w:rFonts w:ascii="Times New Roman" w:hAnsi="Times New Roman"/>
        </w:rPr>
        <w:t>min.). Jei ankstesnė chemoterapija, pagrindiniu vaistiniu preparatu – platinos junginiu, buvo neveiksminga, tai rekomenduojama vartoti 75</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docetakselio monoterapijai.</w:t>
      </w:r>
    </w:p>
    <w:p w14:paraId="30B5FA7D" w14:textId="77777777" w:rsidR="00D875C0" w:rsidRPr="007C1A06" w:rsidRDefault="00D875C0" w:rsidP="00D875C0">
      <w:pPr>
        <w:autoSpaceDE w:val="0"/>
        <w:autoSpaceDN w:val="0"/>
        <w:adjustRightInd w:val="0"/>
        <w:spacing w:after="0" w:line="240" w:lineRule="auto"/>
        <w:rPr>
          <w:rFonts w:ascii="Times New Roman" w:hAnsi="Times New Roman"/>
        </w:rPr>
      </w:pPr>
    </w:p>
    <w:p w14:paraId="505762D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u w:val="single"/>
          <w:lang w:eastAsia="zh-TW"/>
        </w:rPr>
      </w:pPr>
      <w:r w:rsidRPr="007C1A06">
        <w:rPr>
          <w:rFonts w:ascii="Times New Roman" w:hAnsi="Times New Roman"/>
          <w:i/>
          <w:u w:val="single"/>
        </w:rPr>
        <w:t>Prostatos vėžys</w:t>
      </w:r>
    </w:p>
    <w:p w14:paraId="5C4C7DEB" w14:textId="77777777" w:rsidR="00813385" w:rsidRPr="00453BC4" w:rsidRDefault="00813385" w:rsidP="00D875C0">
      <w:pPr>
        <w:autoSpaceDE w:val="0"/>
        <w:autoSpaceDN w:val="0"/>
        <w:adjustRightInd w:val="0"/>
        <w:spacing w:after="0" w:line="240" w:lineRule="auto"/>
        <w:rPr>
          <w:rFonts w:ascii="Times New Roman" w:hAnsi="Times New Roman"/>
          <w:i/>
          <w:iCs/>
          <w:u w:val="single"/>
        </w:rPr>
      </w:pPr>
      <w:r w:rsidRPr="00453BC4">
        <w:rPr>
          <w:rFonts w:ascii="Times New Roman" w:hAnsi="Times New Roman"/>
          <w:i/>
          <w:iCs/>
          <w:u w:val="single"/>
        </w:rPr>
        <w:t xml:space="preserve">Metastazavęs kastracijai atsparus prostatos vėžys </w:t>
      </w:r>
    </w:p>
    <w:p w14:paraId="43773B8D" w14:textId="0FCA3B2A"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Rekomenduojama Docetaxel Ebewe dozė – 75</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Papildomai duodama gerti 2</w:t>
      </w:r>
      <w:r w:rsidR="00DA6E7A" w:rsidRPr="007C1A06">
        <w:rPr>
          <w:rFonts w:ascii="Times New Roman" w:hAnsi="Times New Roman"/>
        </w:rPr>
        <w:t> </w:t>
      </w:r>
      <w:r w:rsidRPr="007C1A06">
        <w:rPr>
          <w:rFonts w:ascii="Times New Roman" w:hAnsi="Times New Roman"/>
        </w:rPr>
        <w:t>kartus per parą po 5</w:t>
      </w:r>
      <w:r w:rsidR="00DA6E7A" w:rsidRPr="007C1A06">
        <w:rPr>
          <w:rFonts w:ascii="Times New Roman" w:hAnsi="Times New Roman"/>
        </w:rPr>
        <w:t> </w:t>
      </w:r>
      <w:r w:rsidRPr="007C1A06">
        <w:rPr>
          <w:rFonts w:ascii="Times New Roman" w:hAnsi="Times New Roman"/>
        </w:rPr>
        <w:t>mg prednizono arba prednizolono be pertraukų (žr. 5.1 skyrių).</w:t>
      </w:r>
    </w:p>
    <w:p w14:paraId="50347693" w14:textId="77777777" w:rsidR="00D875C0" w:rsidRDefault="00D875C0" w:rsidP="00D875C0">
      <w:pPr>
        <w:autoSpaceDE w:val="0"/>
        <w:autoSpaceDN w:val="0"/>
        <w:adjustRightInd w:val="0"/>
        <w:spacing w:after="0" w:line="240" w:lineRule="auto"/>
        <w:rPr>
          <w:rFonts w:ascii="Times New Roman" w:hAnsi="Times New Roman"/>
        </w:rPr>
      </w:pPr>
    </w:p>
    <w:p w14:paraId="67E66D2D" w14:textId="77777777" w:rsidR="00813385" w:rsidRPr="00453BC4" w:rsidRDefault="00813385" w:rsidP="00D875C0">
      <w:pPr>
        <w:autoSpaceDE w:val="0"/>
        <w:autoSpaceDN w:val="0"/>
        <w:adjustRightInd w:val="0"/>
        <w:spacing w:after="0" w:line="240" w:lineRule="auto"/>
        <w:rPr>
          <w:rFonts w:ascii="Times New Roman" w:hAnsi="Times New Roman"/>
          <w:i/>
          <w:iCs/>
          <w:u w:val="single"/>
        </w:rPr>
      </w:pPr>
      <w:r w:rsidRPr="00453BC4">
        <w:rPr>
          <w:rFonts w:ascii="Times New Roman" w:hAnsi="Times New Roman"/>
          <w:i/>
          <w:iCs/>
          <w:u w:val="single"/>
        </w:rPr>
        <w:t xml:space="preserve">Metastazavęs hormonams jautrus prostatos vėžys </w:t>
      </w:r>
    </w:p>
    <w:p w14:paraId="3EA2488C" w14:textId="437D544F" w:rsidR="00813385" w:rsidRDefault="00813385" w:rsidP="00D875C0">
      <w:pPr>
        <w:autoSpaceDE w:val="0"/>
        <w:autoSpaceDN w:val="0"/>
        <w:adjustRightInd w:val="0"/>
        <w:spacing w:after="0" w:line="240" w:lineRule="auto"/>
        <w:rPr>
          <w:rFonts w:ascii="Times New Roman" w:hAnsi="Times New Roman"/>
        </w:rPr>
      </w:pPr>
      <w:r w:rsidRPr="00813385">
        <w:rPr>
          <w:rFonts w:ascii="Times New Roman" w:hAnsi="Times New Roman"/>
        </w:rPr>
        <w:t>Rekomenduojama docetakselio dozė – 75</w:t>
      </w:r>
      <w:r>
        <w:rPr>
          <w:rFonts w:ascii="Times New Roman" w:hAnsi="Times New Roman"/>
        </w:rPr>
        <w:t> </w:t>
      </w:r>
      <w:r w:rsidRPr="00813385">
        <w:rPr>
          <w:rFonts w:ascii="Times New Roman" w:hAnsi="Times New Roman"/>
        </w:rPr>
        <w:t>mg/m</w:t>
      </w:r>
      <w:r w:rsidRPr="00453BC4">
        <w:rPr>
          <w:rFonts w:ascii="Times New Roman" w:hAnsi="Times New Roman"/>
          <w:vertAlign w:val="superscript"/>
        </w:rPr>
        <w:t>2</w:t>
      </w:r>
      <w:r w:rsidRPr="00813385">
        <w:rPr>
          <w:rFonts w:ascii="Times New Roman" w:hAnsi="Times New Roman"/>
        </w:rPr>
        <w:t xml:space="preserve"> kas 3 savaites, iš viso skiriami 6 ciklai. Taip pat gali būti skiriama po 5</w:t>
      </w:r>
      <w:r>
        <w:rPr>
          <w:rFonts w:ascii="Times New Roman" w:hAnsi="Times New Roman"/>
        </w:rPr>
        <w:t> </w:t>
      </w:r>
      <w:r w:rsidRPr="00813385">
        <w:rPr>
          <w:rFonts w:ascii="Times New Roman" w:hAnsi="Times New Roman"/>
        </w:rPr>
        <w:t>mg geriamojo prednizono arba prednizolono 2 kartus per parą be pertraukų.</w:t>
      </w:r>
    </w:p>
    <w:p w14:paraId="2196E834" w14:textId="77777777" w:rsidR="00813385" w:rsidRPr="007C1A06" w:rsidRDefault="00813385" w:rsidP="00D875C0">
      <w:pPr>
        <w:autoSpaceDE w:val="0"/>
        <w:autoSpaceDN w:val="0"/>
        <w:adjustRightInd w:val="0"/>
        <w:spacing w:after="0" w:line="240" w:lineRule="auto"/>
        <w:rPr>
          <w:rFonts w:ascii="Times New Roman" w:hAnsi="Times New Roman"/>
        </w:rPr>
      </w:pPr>
    </w:p>
    <w:p w14:paraId="07B5C3E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u w:val="single"/>
          <w:lang w:eastAsia="zh-TW"/>
        </w:rPr>
      </w:pPr>
      <w:r w:rsidRPr="007C1A06">
        <w:rPr>
          <w:rFonts w:ascii="Times New Roman" w:hAnsi="Times New Roman"/>
          <w:i/>
          <w:u w:val="single"/>
        </w:rPr>
        <w:t>Skrandžio adenokarcinoma</w:t>
      </w:r>
    </w:p>
    <w:p w14:paraId="6328B72D"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Rekomenduojama Docetaxel Ebewe dozė yra 75</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Ši dozė infuzuojama per vieną valandą, o vėliau sulašinama 75</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cisplatinos dozė (sulašinimo trukmė – 1</w:t>
      </w:r>
      <w:r w:rsidR="00DA6E7A" w:rsidRPr="007C1A06">
        <w:rPr>
          <w:rFonts w:ascii="Times New Roman" w:hAnsi="Times New Roman"/>
        </w:rPr>
        <w:noBreakHyphen/>
      </w:r>
      <w:r w:rsidRPr="007C1A06">
        <w:rPr>
          <w:rFonts w:ascii="Times New Roman" w:hAnsi="Times New Roman"/>
        </w:rPr>
        <w:t>3</w:t>
      </w:r>
      <w:r w:rsidR="00DA6E7A" w:rsidRPr="007C1A06">
        <w:rPr>
          <w:rFonts w:ascii="Times New Roman" w:hAnsi="Times New Roman"/>
        </w:rPr>
        <w:t> </w:t>
      </w:r>
      <w:r w:rsidRPr="007C1A06">
        <w:rPr>
          <w:rFonts w:ascii="Times New Roman" w:hAnsi="Times New Roman"/>
        </w:rPr>
        <w:t>val.); abiejų vaistinių preparatų infuzuojama tik pirmąją dieną. Po to 5</w:t>
      </w:r>
      <w:r w:rsidR="00DA6E7A" w:rsidRPr="007C1A06">
        <w:rPr>
          <w:rFonts w:ascii="Times New Roman" w:hAnsi="Times New Roman"/>
        </w:rPr>
        <w:t> </w:t>
      </w:r>
      <w:r w:rsidRPr="007C1A06">
        <w:rPr>
          <w:rFonts w:ascii="Times New Roman" w:hAnsi="Times New Roman"/>
        </w:rPr>
        <w:t>dienas infuzuojama 750</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5-fluorouracilo dozė (infuzijos trukmė yra 24</w:t>
      </w:r>
      <w:r w:rsidR="00DA6E7A" w:rsidRPr="007C1A06">
        <w:rPr>
          <w:rFonts w:ascii="Times New Roman" w:hAnsi="Times New Roman"/>
        </w:rPr>
        <w:t> </w:t>
      </w:r>
      <w:r w:rsidRPr="007C1A06">
        <w:rPr>
          <w:rFonts w:ascii="Times New Roman" w:hAnsi="Times New Roman"/>
        </w:rPr>
        <w:t>valandos, pirmoji infuzija pradedama nedelsiant po cisplatinos infuzijos pabaigos). Toks gydymo kursas kartojamas kas tris savaites. Prieš cisplatinos infuziją pacientams būtina skirti vaistinių preparatų nuo vėmimo bei sulašinti reikiamą kiekį skysčių. Kad sumažėtų hematologinių komplikacijų pavojus, būtina profilaktiškai vartoti G-KSF (žr. poskyrį „Dozės koregavimas gydymo metu“).</w:t>
      </w:r>
    </w:p>
    <w:p w14:paraId="2C081FC7" w14:textId="77777777" w:rsidR="00D875C0" w:rsidRPr="007C1A06" w:rsidRDefault="00D875C0" w:rsidP="00D875C0">
      <w:pPr>
        <w:autoSpaceDE w:val="0"/>
        <w:autoSpaceDN w:val="0"/>
        <w:adjustRightInd w:val="0"/>
        <w:spacing w:after="0" w:line="240" w:lineRule="auto"/>
        <w:rPr>
          <w:rFonts w:ascii="Times New Roman" w:hAnsi="Times New Roman"/>
        </w:rPr>
      </w:pPr>
    </w:p>
    <w:p w14:paraId="4EB7D462"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u w:val="single"/>
          <w:lang w:eastAsia="zh-TW"/>
        </w:rPr>
      </w:pPr>
      <w:r w:rsidRPr="007C1A06">
        <w:rPr>
          <w:rFonts w:ascii="Times New Roman" w:hAnsi="Times New Roman"/>
          <w:i/>
          <w:u w:val="single"/>
        </w:rPr>
        <w:t>Galvos ir kaklo vėžys</w:t>
      </w:r>
    </w:p>
    <w:p w14:paraId="7D5B8B30"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Prieš cisplatinos infuziją ir po jos pacientams turi būti skirta vaistinių preparatų nuo vėmimo bei sulašinti reikiamą kiekį skysčių. Siekiant sumažinti toksinio poveikio kraujui riziką, galima skirti profilaktinį gydymą G-KSF. TAX 323 bei TAX 324 tyrimų metu visiems docetakseliu gydytiems pacientams profilaktiškai buvo paskirta antibiotikų.</w:t>
      </w:r>
    </w:p>
    <w:p w14:paraId="3BF7BD9A" w14:textId="77777777" w:rsidR="00D875C0" w:rsidRPr="004E3CD5" w:rsidRDefault="00D875C0" w:rsidP="00D875C0">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Įvadinė chemoterapija ir vėlesnis gydymas spinduliais (TAX 323) </w:t>
      </w:r>
    </w:p>
    <w:p w14:paraId="2A319EE1" w14:textId="77777777" w:rsidR="00D875C0" w:rsidRPr="004E3CD5" w:rsidRDefault="00D875C0" w:rsidP="00D875C0">
      <w:pPr>
        <w:autoSpaceDE w:val="0"/>
        <w:autoSpaceDN w:val="0"/>
        <w:adjustRightInd w:val="0"/>
        <w:spacing w:after="0" w:line="240" w:lineRule="auto"/>
        <w:ind w:left="720"/>
        <w:rPr>
          <w:rFonts w:ascii="Times New Roman" w:eastAsiaTheme="minorEastAsia" w:hAnsi="Times New Roman"/>
          <w:lang w:eastAsia="zh-TW"/>
        </w:rPr>
      </w:pPr>
      <w:r w:rsidRPr="007C1A06">
        <w:rPr>
          <w:rFonts w:ascii="Times New Roman" w:hAnsi="Times New Roman"/>
        </w:rPr>
        <w:t>Įvadiniam neoperuojamo lokaliai progresavusio plokščialąstelinio galvos ir kaklo vėžio (PGKV) gydymui rekomenduojama docetakselio dozė yra 75</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ji infuzuojama per vieną valandą, po to sulašinama 75</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cisplatinos dozė (infuzijos trukmė – 1</w:t>
      </w:r>
      <w:r w:rsidR="00DA6E7A" w:rsidRPr="007C1A06">
        <w:rPr>
          <w:rFonts w:ascii="Times New Roman" w:hAnsi="Times New Roman"/>
        </w:rPr>
        <w:t> </w:t>
      </w:r>
      <w:r w:rsidRPr="007C1A06">
        <w:rPr>
          <w:rFonts w:ascii="Times New Roman" w:hAnsi="Times New Roman"/>
        </w:rPr>
        <w:t>val.); abiejų vaistinių preparatų infuzuojama tik pirmąją dieną. Po to 5</w:t>
      </w:r>
      <w:r w:rsidR="00DA6E7A" w:rsidRPr="007C1A06">
        <w:rPr>
          <w:rFonts w:ascii="Times New Roman" w:hAnsi="Times New Roman"/>
        </w:rPr>
        <w:t> </w:t>
      </w:r>
      <w:r w:rsidRPr="007C1A06">
        <w:rPr>
          <w:rFonts w:ascii="Times New Roman" w:hAnsi="Times New Roman"/>
        </w:rPr>
        <w:t>dienas nuolat infuzuojama 5-fluorouracilo (paros dozė 750</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Toks gydymo kursas kartojamas kas tris savaites 4</w:t>
      </w:r>
      <w:r w:rsidR="00DA6E7A" w:rsidRPr="007C1A06">
        <w:rPr>
          <w:rFonts w:ascii="Times New Roman" w:hAnsi="Times New Roman"/>
        </w:rPr>
        <w:t> </w:t>
      </w:r>
      <w:r w:rsidRPr="007C1A06">
        <w:rPr>
          <w:rFonts w:ascii="Times New Roman" w:hAnsi="Times New Roman"/>
        </w:rPr>
        <w:t>kartus. Po chemoterapijos būtinas gydymas spinduliais.</w:t>
      </w:r>
    </w:p>
    <w:p w14:paraId="4CA8E0B9" w14:textId="77777777" w:rsidR="00D875C0" w:rsidRPr="004E3CD5" w:rsidRDefault="00D875C0" w:rsidP="00D875C0">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Įvadinė chemoterapija, kai vėliau taikoma chemoterapija bei gydoma spinduliais (TAX 324) Įvadiniam lokaliai progresavusio plokščialąstelinio galvos ir kaklo vėžio (PGKV) gydymui (jei rezekcija techniškai neįmanoma, pagijimo po chirurginio gydymo tikimybė maža bei siekiama išsaugoti organus) rekomenduojama docetakselio dozė yra 75</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ji infuzuojama per vieną valandą, po to sulašinama 100</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cisplatinos dozė (infuzijos trukmė 30</w:t>
      </w:r>
      <w:r w:rsidR="00DA6E7A" w:rsidRPr="007C1A06">
        <w:rPr>
          <w:rFonts w:ascii="Times New Roman" w:hAnsi="Times New Roman"/>
        </w:rPr>
        <w:t> </w:t>
      </w:r>
      <w:r w:rsidRPr="007C1A06">
        <w:rPr>
          <w:rFonts w:ascii="Times New Roman" w:hAnsi="Times New Roman"/>
        </w:rPr>
        <w:t>min.-3</w:t>
      </w:r>
      <w:r w:rsidR="00DA6E7A" w:rsidRPr="007C1A06">
        <w:rPr>
          <w:rFonts w:ascii="Times New Roman" w:hAnsi="Times New Roman"/>
        </w:rPr>
        <w:t> </w:t>
      </w:r>
      <w:r w:rsidRPr="007C1A06">
        <w:rPr>
          <w:rFonts w:ascii="Times New Roman" w:hAnsi="Times New Roman"/>
        </w:rPr>
        <w:t>val.); abiejų vaistinių preparatų infuzuojama tik pirmąją dieną. Po to 1</w:t>
      </w:r>
      <w:r w:rsidR="00DA6E7A" w:rsidRPr="007C1A06">
        <w:rPr>
          <w:rFonts w:ascii="Times New Roman" w:hAnsi="Times New Roman"/>
        </w:rPr>
        <w:noBreakHyphen/>
      </w:r>
      <w:r w:rsidRPr="007C1A06">
        <w:rPr>
          <w:rFonts w:ascii="Times New Roman" w:hAnsi="Times New Roman"/>
        </w:rPr>
        <w:t>4</w:t>
      </w:r>
      <w:r w:rsidR="00DA6E7A" w:rsidRPr="007C1A06">
        <w:rPr>
          <w:rFonts w:ascii="Times New Roman" w:hAnsi="Times New Roman"/>
        </w:rPr>
        <w:t> </w:t>
      </w:r>
      <w:r w:rsidRPr="007C1A06">
        <w:rPr>
          <w:rFonts w:ascii="Times New Roman" w:hAnsi="Times New Roman"/>
        </w:rPr>
        <w:t>dieną nuolat infuzuojama 5-fluorouracilo (paros dozė 1000</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Toks gydymo kursas kartojamas kas tris savaites 3</w:t>
      </w:r>
      <w:r w:rsidR="00DA6E7A" w:rsidRPr="007C1A06">
        <w:rPr>
          <w:rFonts w:ascii="Times New Roman" w:hAnsi="Times New Roman"/>
        </w:rPr>
        <w:t> </w:t>
      </w:r>
      <w:r w:rsidRPr="007C1A06">
        <w:rPr>
          <w:rFonts w:ascii="Times New Roman" w:hAnsi="Times New Roman"/>
        </w:rPr>
        <w:t>kartus. Po chemoterapijos būtina tolesnė chemoterapija bei gydymas spinduliais.</w:t>
      </w:r>
    </w:p>
    <w:p w14:paraId="05C201E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Informacija apie cisplatinos ir 5-fluorouracilo dozės koregavimą pateikta atitinkamoje preparatų charakteristikų santraukoje.</w:t>
      </w:r>
    </w:p>
    <w:p w14:paraId="7ECF0B6C" w14:textId="77777777" w:rsidR="00D875C0" w:rsidRPr="007C1A06" w:rsidRDefault="00D875C0" w:rsidP="00D875C0">
      <w:pPr>
        <w:autoSpaceDE w:val="0"/>
        <w:autoSpaceDN w:val="0"/>
        <w:adjustRightInd w:val="0"/>
        <w:spacing w:after="0" w:line="240" w:lineRule="auto"/>
        <w:rPr>
          <w:rFonts w:ascii="Times New Roman" w:hAnsi="Times New Roman"/>
        </w:rPr>
      </w:pPr>
    </w:p>
    <w:p w14:paraId="67F623A5"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Dozės koregavimas gydymo metu</w:t>
      </w:r>
    </w:p>
    <w:p w14:paraId="68C2630E" w14:textId="77777777" w:rsidR="00D875C0" w:rsidRPr="007C1A06" w:rsidRDefault="00D875C0" w:rsidP="00D875C0">
      <w:pPr>
        <w:autoSpaceDE w:val="0"/>
        <w:autoSpaceDN w:val="0"/>
        <w:adjustRightInd w:val="0"/>
        <w:spacing w:after="0" w:line="240" w:lineRule="auto"/>
        <w:rPr>
          <w:rFonts w:ascii="Times New Roman" w:hAnsi="Times New Roman"/>
        </w:rPr>
      </w:pPr>
    </w:p>
    <w:p w14:paraId="045F026E"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u w:val="single"/>
          <w:lang w:eastAsia="zh-TW"/>
        </w:rPr>
      </w:pPr>
      <w:r w:rsidRPr="007C1A06">
        <w:rPr>
          <w:rFonts w:ascii="Times New Roman" w:hAnsi="Times New Roman"/>
          <w:i/>
          <w:u w:val="single"/>
        </w:rPr>
        <w:t>Bendros pastabos</w:t>
      </w:r>
    </w:p>
    <w:p w14:paraId="4BECF07B"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Docetaxel Ebewe lašinama tada, kai neutrofilų skaičius yra 1500/mm</w:t>
      </w:r>
      <w:r w:rsidRPr="007C1A06">
        <w:rPr>
          <w:rFonts w:ascii="Times New Roman" w:hAnsi="Times New Roman"/>
          <w:vertAlign w:val="superscript"/>
        </w:rPr>
        <w:t>3</w:t>
      </w:r>
      <w:r w:rsidRPr="007C1A06">
        <w:rPr>
          <w:rFonts w:ascii="Times New Roman" w:hAnsi="Times New Roman"/>
        </w:rPr>
        <w:t xml:space="preserve"> arba didesnis. Jeigu, taikant chemoterapiją docetakseliu, pasireiškė febrilinė neutropenija, neutrofilų skaičius ilgiau kaip savaitę buvo mažesnis kaip 500/mm</w:t>
      </w:r>
      <w:r w:rsidRPr="007C1A06">
        <w:rPr>
          <w:rFonts w:ascii="Times New Roman" w:hAnsi="Times New Roman"/>
          <w:vertAlign w:val="superscript"/>
        </w:rPr>
        <w:t>3</w:t>
      </w:r>
      <w:r w:rsidRPr="007C1A06">
        <w:rPr>
          <w:rFonts w:ascii="Times New Roman" w:hAnsi="Times New Roman"/>
        </w:rPr>
        <w:t>, pasireiškė sunkių ar kumuliacinių odos reakcijų arba sunki periferinė neuropatija, tai kitų gydymo kursų metu šio vaist</w:t>
      </w:r>
      <w:r w:rsidR="00DA6E7A" w:rsidRPr="007C1A06">
        <w:rPr>
          <w:rFonts w:ascii="Times New Roman" w:hAnsi="Times New Roman"/>
        </w:rPr>
        <w:t>inio preparat</w:t>
      </w:r>
      <w:r w:rsidRPr="007C1A06">
        <w:rPr>
          <w:rFonts w:ascii="Times New Roman" w:hAnsi="Times New Roman"/>
        </w:rPr>
        <w:t>o dozė mažinama (vietoje 100</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skiriama 75 mg/m</w:t>
      </w:r>
      <w:r w:rsidRPr="007C1A06">
        <w:rPr>
          <w:rFonts w:ascii="Times New Roman" w:hAnsi="Times New Roman"/>
          <w:vertAlign w:val="superscript"/>
        </w:rPr>
        <w:t>2</w:t>
      </w:r>
      <w:r w:rsidRPr="007C1A06">
        <w:rPr>
          <w:rFonts w:ascii="Times New Roman" w:hAnsi="Times New Roman"/>
        </w:rPr>
        <w:t>, vietoje 75</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skiriama 60</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Jei, sumažinus Docetaxel Ebewe dozę iki 60</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minėtų reakcijų pasireiškia ir toliau, gydymą reikia nutraukti.</w:t>
      </w:r>
    </w:p>
    <w:p w14:paraId="5BD27334" w14:textId="77777777" w:rsidR="00D875C0" w:rsidRPr="007C1A06" w:rsidRDefault="00D875C0" w:rsidP="00D875C0">
      <w:pPr>
        <w:autoSpaceDE w:val="0"/>
        <w:autoSpaceDN w:val="0"/>
        <w:adjustRightInd w:val="0"/>
        <w:spacing w:after="0" w:line="240" w:lineRule="auto"/>
        <w:rPr>
          <w:rFonts w:ascii="Times New Roman" w:hAnsi="Times New Roman"/>
        </w:rPr>
      </w:pPr>
    </w:p>
    <w:p w14:paraId="339A678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u w:val="single"/>
          <w:lang w:eastAsia="zh-TW"/>
        </w:rPr>
      </w:pPr>
      <w:r w:rsidRPr="007C1A06">
        <w:rPr>
          <w:rFonts w:ascii="Times New Roman" w:hAnsi="Times New Roman"/>
          <w:i/>
          <w:u w:val="single"/>
        </w:rPr>
        <w:t>Pagalbinis krūties vėžio gydymas</w:t>
      </w:r>
    </w:p>
    <w:p w14:paraId="4582BDD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Pacientėms, kurioms taikomas pagalbinis krūties vėžio gydymas docetakseliu, doksorubicinu ir ciklofosfamidu (TAC), reikia spręsti dėl G-KSF profilaktinio vartojimo gydymo pradžioje. Pacientėms, kurioms pasireiškė febrilinė neutropenija ir (arba) su neutropenija susijusios infekcijos su komplikacijomis (tame tarpe ir ilgalaikė neutropenija, febrilinė neutropenija ar infekcija), visų vėlesnių kursų metu docetakselio dozę reikia sumažinti iki 60</w:t>
      </w:r>
      <w:r w:rsidR="00DA6E7A" w:rsidRPr="007C1A06">
        <w:rPr>
          <w:rFonts w:ascii="Times New Roman" w:hAnsi="Times New Roman"/>
        </w:rPr>
        <w:t> </w:t>
      </w:r>
      <w:r w:rsidRPr="007C1A06">
        <w:rPr>
          <w:rFonts w:ascii="Times New Roman" w:hAnsi="Times New Roman"/>
        </w:rPr>
        <w:t>mg/m² (žr. 4.4 ir 4.8 skyrius). Pasireiškus 3 ar 4 laipsnio stomatitui, dozę reikia sumažinti paliekant 60</w:t>
      </w:r>
      <w:r w:rsidR="00DA6E7A" w:rsidRPr="007C1A06">
        <w:rPr>
          <w:rFonts w:ascii="Times New Roman" w:hAnsi="Times New Roman"/>
        </w:rPr>
        <w:t> </w:t>
      </w:r>
      <w:r w:rsidRPr="007C1A06">
        <w:rPr>
          <w:rFonts w:ascii="Times New Roman" w:hAnsi="Times New Roman"/>
        </w:rPr>
        <w:t>mg/m².</w:t>
      </w:r>
    </w:p>
    <w:p w14:paraId="43BA07D2" w14:textId="77777777" w:rsidR="00D875C0" w:rsidRPr="007C1A06" w:rsidRDefault="00D875C0" w:rsidP="00D875C0">
      <w:pPr>
        <w:autoSpaceDE w:val="0"/>
        <w:autoSpaceDN w:val="0"/>
        <w:adjustRightInd w:val="0"/>
        <w:spacing w:after="0" w:line="240" w:lineRule="auto"/>
        <w:rPr>
          <w:rFonts w:ascii="Times New Roman" w:hAnsi="Times New Roman"/>
        </w:rPr>
      </w:pPr>
    </w:p>
    <w:p w14:paraId="52CAE2E6"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u w:val="single"/>
          <w:lang w:eastAsia="zh-TW"/>
        </w:rPr>
      </w:pPr>
      <w:r w:rsidRPr="007C1A06">
        <w:rPr>
          <w:rFonts w:ascii="Times New Roman" w:hAnsi="Times New Roman"/>
          <w:i/>
          <w:u w:val="single"/>
        </w:rPr>
        <w:t>Kartu vartojant cisplatiną</w:t>
      </w:r>
    </w:p>
    <w:p w14:paraId="4C6F62B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Jei iš pradžių infuzuota 75</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Docetaxel Ebewe derinant su cisplatina, o trombocitų skaičius ankstesnio gydymo kurso metu buvo sumažėjęs iki mažesnio kaip 25000/mm</w:t>
      </w:r>
      <w:r w:rsidRPr="007C1A06">
        <w:rPr>
          <w:rFonts w:ascii="Times New Roman" w:hAnsi="Times New Roman"/>
          <w:vertAlign w:val="superscript"/>
        </w:rPr>
        <w:t>3</w:t>
      </w:r>
      <w:r w:rsidRPr="007C1A06">
        <w:rPr>
          <w:rFonts w:ascii="Times New Roman" w:hAnsi="Times New Roman"/>
        </w:rPr>
        <w:t>, pasireiškė febrilinė neutropenija arba sunkus nehematologinis toksinis poveikis, tai vėlesnių gydymo kursų metu infuzuojama mažesnė Docetaxel Ebewe dozė – 65</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Cisplatinos dozė keičiama taip, kaip nurodyta atitinkamoje preparato charakteristikų santraukoje.</w:t>
      </w:r>
    </w:p>
    <w:p w14:paraId="682A625D" w14:textId="77777777" w:rsidR="00D875C0" w:rsidRPr="007C1A06" w:rsidRDefault="00D875C0" w:rsidP="00D875C0">
      <w:pPr>
        <w:autoSpaceDE w:val="0"/>
        <w:autoSpaceDN w:val="0"/>
        <w:adjustRightInd w:val="0"/>
        <w:spacing w:after="0" w:line="240" w:lineRule="auto"/>
        <w:rPr>
          <w:rFonts w:ascii="Times New Roman" w:hAnsi="Times New Roman"/>
        </w:rPr>
      </w:pPr>
    </w:p>
    <w:p w14:paraId="3D0C74DC"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u w:val="single"/>
          <w:lang w:eastAsia="zh-TW"/>
        </w:rPr>
      </w:pPr>
      <w:r w:rsidRPr="007C1A06">
        <w:rPr>
          <w:rFonts w:ascii="Times New Roman" w:hAnsi="Times New Roman"/>
          <w:i/>
          <w:u w:val="single"/>
        </w:rPr>
        <w:t>Kartu vartojant kapecitabiną</w:t>
      </w:r>
    </w:p>
    <w:p w14:paraId="21EBE50E" w14:textId="77777777" w:rsidR="00D875C0" w:rsidRPr="004E3CD5" w:rsidRDefault="00D875C0" w:rsidP="00D875C0">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Kaip keisti kartu su docetakseliu vartojamo kapecitabino dozę, nurodyta pastarojo charakteristikų santraukoje.</w:t>
      </w:r>
    </w:p>
    <w:p w14:paraId="71BF0859" w14:textId="77777777" w:rsidR="00D875C0" w:rsidRPr="004E3CD5" w:rsidRDefault="00D875C0" w:rsidP="00D875C0">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Pirmą kartą pasireiškus 2</w:t>
      </w:r>
      <w:r w:rsidR="00DA6E7A" w:rsidRPr="007C1A06">
        <w:rPr>
          <w:rFonts w:ascii="Times New Roman" w:hAnsi="Times New Roman"/>
        </w:rPr>
        <w:t> </w:t>
      </w:r>
      <w:r w:rsidRPr="007C1A06">
        <w:rPr>
          <w:rFonts w:ascii="Times New Roman" w:hAnsi="Times New Roman"/>
        </w:rPr>
        <w:t>laipsnio toksiniam poveikiui, kuris išlieka iki kito Docetaxel Ebewe ir kapecitabino derinio vartojimo kurso, vaistinio preparato vartojimą atidėti tol, kol toksinis poveikis susilpnės iki 0</w:t>
      </w:r>
      <w:r w:rsidR="00DA6E7A" w:rsidRPr="007C1A06">
        <w:rPr>
          <w:rFonts w:ascii="Times New Roman" w:hAnsi="Times New Roman"/>
        </w:rPr>
        <w:noBreakHyphen/>
      </w:r>
      <w:r w:rsidRPr="007C1A06">
        <w:rPr>
          <w:rFonts w:ascii="Times New Roman" w:hAnsi="Times New Roman"/>
        </w:rPr>
        <w:t>1</w:t>
      </w:r>
      <w:r w:rsidR="00DA6E7A" w:rsidRPr="007C1A06">
        <w:rPr>
          <w:rFonts w:ascii="Times New Roman" w:hAnsi="Times New Roman"/>
        </w:rPr>
        <w:t> </w:t>
      </w:r>
      <w:r w:rsidRPr="007C1A06">
        <w:rPr>
          <w:rFonts w:ascii="Times New Roman" w:hAnsi="Times New Roman"/>
        </w:rPr>
        <w:t>laipsnio, o vėliau vartojama tokia pati dozė kaip pradiniame etape.</w:t>
      </w:r>
    </w:p>
    <w:p w14:paraId="48B03C5C" w14:textId="77777777" w:rsidR="00D875C0" w:rsidRPr="004E3CD5" w:rsidRDefault="00D875C0" w:rsidP="00D875C0">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Antrą kartą pasireiškus 2</w:t>
      </w:r>
      <w:r w:rsidR="00DA6E7A" w:rsidRPr="007C1A06">
        <w:rPr>
          <w:rFonts w:ascii="Times New Roman" w:hAnsi="Times New Roman"/>
        </w:rPr>
        <w:t> </w:t>
      </w:r>
      <w:r w:rsidRPr="007C1A06">
        <w:rPr>
          <w:rFonts w:ascii="Times New Roman" w:hAnsi="Times New Roman"/>
        </w:rPr>
        <w:t>laipsnio toksiniam poveikiui arba pirmą kartą pasireiškus 3</w:t>
      </w:r>
      <w:r w:rsidR="00DA6E7A" w:rsidRPr="007C1A06">
        <w:rPr>
          <w:rFonts w:ascii="Times New Roman" w:hAnsi="Times New Roman"/>
        </w:rPr>
        <w:t> </w:t>
      </w:r>
      <w:r w:rsidRPr="007C1A06">
        <w:rPr>
          <w:rFonts w:ascii="Times New Roman" w:hAnsi="Times New Roman"/>
        </w:rPr>
        <w:t>laipsnio toksiniam poveikiui (bet kada gydymo kurso metu), vaistinio preparato vartojimas atidedamas, kol toksinis poveikis susilpnės iki 0</w:t>
      </w:r>
      <w:r w:rsidR="00DA6E7A" w:rsidRPr="007C1A06">
        <w:rPr>
          <w:rFonts w:ascii="Times New Roman" w:hAnsi="Times New Roman"/>
        </w:rPr>
        <w:noBreakHyphen/>
      </w:r>
      <w:r w:rsidRPr="007C1A06">
        <w:rPr>
          <w:rFonts w:ascii="Times New Roman" w:hAnsi="Times New Roman"/>
        </w:rPr>
        <w:t>1</w:t>
      </w:r>
      <w:r w:rsidR="00DA6E7A" w:rsidRPr="007C1A06">
        <w:rPr>
          <w:rFonts w:ascii="Times New Roman" w:hAnsi="Times New Roman"/>
        </w:rPr>
        <w:t> </w:t>
      </w:r>
      <w:r w:rsidRPr="007C1A06">
        <w:rPr>
          <w:rFonts w:ascii="Times New Roman" w:hAnsi="Times New Roman"/>
        </w:rPr>
        <w:t>laipsnio, o paskui Docetaxel Ebewe vartojamas 55</w:t>
      </w:r>
      <w:r w:rsidR="00DA6E7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dozėmis.</w:t>
      </w:r>
    </w:p>
    <w:p w14:paraId="2C088358" w14:textId="77777777" w:rsidR="00D875C0" w:rsidRPr="004E3CD5" w:rsidRDefault="00D875C0" w:rsidP="00D875C0">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Atsinaujinus nurodytam toksiniam poveikiui arba pirmą kartą pasireiškus 4</w:t>
      </w:r>
      <w:r w:rsidR="00DA6E7A" w:rsidRPr="007C1A06">
        <w:rPr>
          <w:rFonts w:ascii="Times New Roman" w:hAnsi="Times New Roman"/>
        </w:rPr>
        <w:t> </w:t>
      </w:r>
      <w:r w:rsidRPr="007C1A06">
        <w:rPr>
          <w:rFonts w:ascii="Times New Roman" w:hAnsi="Times New Roman"/>
        </w:rPr>
        <w:t>laipsnio toksiniam poveikiui, Docetaxel Ebewe reikia nustoti vartoti.</w:t>
      </w:r>
    </w:p>
    <w:p w14:paraId="5DA38C5A"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Kaip koreguoti trastuzumabo dozę, nurodyta pastarojo preparato charakteristikų santraukoje.</w:t>
      </w:r>
    </w:p>
    <w:p w14:paraId="664C3A2D" w14:textId="77777777" w:rsidR="00D875C0" w:rsidRPr="007C1A06" w:rsidRDefault="00D875C0" w:rsidP="00D875C0">
      <w:pPr>
        <w:autoSpaceDE w:val="0"/>
        <w:autoSpaceDN w:val="0"/>
        <w:adjustRightInd w:val="0"/>
        <w:spacing w:after="0" w:line="240" w:lineRule="auto"/>
        <w:rPr>
          <w:rFonts w:ascii="Times New Roman" w:hAnsi="Times New Roman"/>
        </w:rPr>
      </w:pPr>
    </w:p>
    <w:p w14:paraId="1560B641"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u w:val="single"/>
          <w:lang w:eastAsia="zh-TW"/>
        </w:rPr>
      </w:pPr>
      <w:r w:rsidRPr="007C1A06">
        <w:rPr>
          <w:rFonts w:ascii="Times New Roman" w:hAnsi="Times New Roman"/>
          <w:i/>
          <w:u w:val="single"/>
        </w:rPr>
        <w:t>Kartu vartojant cisplatiną ir 5-fluorouracilą</w:t>
      </w:r>
    </w:p>
    <w:p w14:paraId="3A3C904A"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Jei, nepaisant G-KSF vartojimo, pasireiškia febrilinė neutropenija, ilgalaikė neutropenija ar su neutropenija susijusi infekcija, Docetaxel Ebewe dozę būtina sumažinti nuo 75 iki 60</w:t>
      </w:r>
      <w:r w:rsidR="004676B7"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Jei ir toliau kartotinai pasireiškia komplikuotos neutropenijos epizodai, Docetaxel Ebewe dozę būtina sumažinti nuo 60 iki 45</w:t>
      </w:r>
      <w:r w:rsidR="004676B7"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Pasireiškus 4</w:t>
      </w:r>
      <w:r w:rsidR="004676B7" w:rsidRPr="007C1A06">
        <w:rPr>
          <w:rFonts w:ascii="Times New Roman" w:hAnsi="Times New Roman"/>
        </w:rPr>
        <w:t> </w:t>
      </w:r>
      <w:r w:rsidRPr="007C1A06">
        <w:rPr>
          <w:rFonts w:ascii="Times New Roman" w:hAnsi="Times New Roman"/>
        </w:rPr>
        <w:t>laipsnio trombocitopenijai, Docetaxel Ebewe dozę būtina sumažinti nuo 75 iki 60</w:t>
      </w:r>
      <w:r w:rsidR="004676B7"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Tolimesnių gydymo Docetaxel Ebewe kursų negalima skirti iki tada, kai neutrofilų kiekis netampa &gt;</w:t>
      </w:r>
      <w:r w:rsidR="004676B7" w:rsidRPr="007C1A06">
        <w:rPr>
          <w:rFonts w:ascii="Times New Roman" w:hAnsi="Times New Roman"/>
        </w:rPr>
        <w:t> </w:t>
      </w:r>
      <w:r w:rsidRPr="007C1A06">
        <w:rPr>
          <w:rFonts w:ascii="Times New Roman" w:hAnsi="Times New Roman"/>
        </w:rPr>
        <w:t>1500</w:t>
      </w:r>
      <w:r w:rsidR="004676B7" w:rsidRPr="007C1A06">
        <w:rPr>
          <w:rFonts w:ascii="Times New Roman" w:hAnsi="Times New Roman"/>
        </w:rPr>
        <w:t> </w:t>
      </w:r>
      <w:r w:rsidRPr="007C1A06">
        <w:rPr>
          <w:rFonts w:ascii="Times New Roman" w:hAnsi="Times New Roman"/>
        </w:rPr>
        <w:t>ląstelių/mm</w:t>
      </w:r>
      <w:r w:rsidRPr="007C1A06">
        <w:rPr>
          <w:rFonts w:ascii="Times New Roman" w:hAnsi="Times New Roman"/>
          <w:vertAlign w:val="superscript"/>
        </w:rPr>
        <w:t>3</w:t>
      </w:r>
      <w:r w:rsidRPr="007C1A06">
        <w:rPr>
          <w:rFonts w:ascii="Times New Roman" w:hAnsi="Times New Roman"/>
        </w:rPr>
        <w:t>, o trombocitų skaičius &gt;</w:t>
      </w:r>
      <w:r w:rsidR="004676B7" w:rsidRPr="007C1A06">
        <w:rPr>
          <w:rFonts w:ascii="Times New Roman" w:hAnsi="Times New Roman"/>
        </w:rPr>
        <w:t> </w:t>
      </w:r>
      <w:r w:rsidRPr="007C1A06">
        <w:rPr>
          <w:rFonts w:ascii="Times New Roman" w:hAnsi="Times New Roman"/>
        </w:rPr>
        <w:t>100000</w:t>
      </w:r>
      <w:r w:rsidR="004676B7" w:rsidRPr="007C1A06">
        <w:rPr>
          <w:rFonts w:ascii="Times New Roman" w:hAnsi="Times New Roman"/>
        </w:rPr>
        <w:t> </w:t>
      </w:r>
      <w:r w:rsidRPr="007C1A06">
        <w:rPr>
          <w:rFonts w:ascii="Times New Roman" w:hAnsi="Times New Roman"/>
        </w:rPr>
        <w:t>ląstelių/mm</w:t>
      </w:r>
      <w:r w:rsidRPr="007C1A06">
        <w:rPr>
          <w:rFonts w:ascii="Times New Roman" w:hAnsi="Times New Roman"/>
          <w:vertAlign w:val="superscript"/>
        </w:rPr>
        <w:t>3</w:t>
      </w:r>
      <w:r w:rsidRPr="007C1A06">
        <w:rPr>
          <w:rFonts w:ascii="Times New Roman" w:hAnsi="Times New Roman"/>
        </w:rPr>
        <w:t>. Jei toksinis poveikis išlieka ilgai, būtina nutraukti gydymą (žr. 4.4 skyrių).</w:t>
      </w:r>
    </w:p>
    <w:p w14:paraId="407834F5"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Žemiau pateiktos dozės koregavimo rekomendacijos, jei Docetaxel Ebewe ir cisplatina bei 5-fluorouracilu (5-FU) gydomam pacientui pasireiškia toksinis poveikis:</w:t>
      </w:r>
    </w:p>
    <w:p w14:paraId="5E947F2E" w14:textId="77777777" w:rsidR="00D875C0" w:rsidRPr="007C1A06" w:rsidRDefault="00D875C0" w:rsidP="00D875C0">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5761"/>
      </w:tblGrid>
      <w:tr w:rsidR="00D875C0" w:rsidRPr="007C1A06" w14:paraId="5F877FCD" w14:textId="77777777" w:rsidTr="004E3CD5">
        <w:tc>
          <w:tcPr>
            <w:tcW w:w="3348" w:type="dxa"/>
          </w:tcPr>
          <w:p w14:paraId="01E0024C" w14:textId="77777777" w:rsidR="00D875C0" w:rsidRPr="007C1A06" w:rsidRDefault="00D875C0" w:rsidP="003876F8">
            <w:pPr>
              <w:spacing w:after="0" w:line="240" w:lineRule="auto"/>
              <w:rPr>
                <w:rFonts w:ascii="Times New Roman" w:hAnsi="Times New Roman"/>
              </w:rPr>
            </w:pPr>
            <w:r w:rsidRPr="007C1A06">
              <w:rPr>
                <w:rFonts w:ascii="Times New Roman" w:hAnsi="Times New Roman"/>
              </w:rPr>
              <w:t>Toksinis poveikis</w:t>
            </w:r>
          </w:p>
        </w:tc>
        <w:tc>
          <w:tcPr>
            <w:tcW w:w="5938" w:type="dxa"/>
          </w:tcPr>
          <w:p w14:paraId="09C4D762" w14:textId="77777777" w:rsidR="00D875C0" w:rsidRPr="004E3CD5" w:rsidRDefault="00D875C0" w:rsidP="003876F8">
            <w:pPr>
              <w:spacing w:after="0" w:line="240" w:lineRule="auto"/>
              <w:rPr>
                <w:rFonts w:ascii="Times New Roman" w:eastAsiaTheme="minorEastAsia" w:hAnsi="Times New Roman"/>
                <w:lang w:eastAsia="zh-TW"/>
              </w:rPr>
            </w:pPr>
            <w:r w:rsidRPr="007C1A06">
              <w:rPr>
                <w:rFonts w:ascii="Times New Roman" w:hAnsi="Times New Roman"/>
              </w:rPr>
              <w:t>Dozės koregavimas</w:t>
            </w:r>
          </w:p>
        </w:tc>
      </w:tr>
      <w:tr w:rsidR="00D875C0" w:rsidRPr="007C1A06" w14:paraId="6162BEE6" w14:textId="77777777" w:rsidTr="004E3CD5">
        <w:tc>
          <w:tcPr>
            <w:tcW w:w="3348" w:type="dxa"/>
          </w:tcPr>
          <w:p w14:paraId="6C3ECAF4"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3</w:t>
            </w:r>
            <w:r w:rsidR="004676B7" w:rsidRPr="00F95B76">
              <w:rPr>
                <w:rFonts w:ascii="Times New Roman" w:hAnsi="Times New Roman"/>
              </w:rPr>
              <w:t> </w:t>
            </w:r>
            <w:r w:rsidRPr="00F95B76">
              <w:rPr>
                <w:rFonts w:ascii="Times New Roman" w:hAnsi="Times New Roman"/>
              </w:rPr>
              <w:t>laipsnio viduriavimas</w:t>
            </w:r>
          </w:p>
        </w:tc>
        <w:tc>
          <w:tcPr>
            <w:tcW w:w="5938" w:type="dxa"/>
          </w:tcPr>
          <w:p w14:paraId="3FFCEE59"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Pir</w:t>
            </w:r>
            <w:r w:rsidRPr="00427D92">
              <w:rPr>
                <w:rFonts w:ascii="Times New Roman" w:hAnsi="Times New Roman"/>
              </w:rPr>
              <w:t>masis epizodas: 5-FU dozę mažinti 20</w:t>
            </w:r>
            <w:r w:rsidR="004676B7" w:rsidRPr="00C722B4">
              <w:rPr>
                <w:rFonts w:ascii="Times New Roman" w:hAnsi="Times New Roman"/>
              </w:rPr>
              <w:t> </w:t>
            </w:r>
            <w:r w:rsidRPr="007C1A06">
              <w:rPr>
                <w:rFonts w:ascii="Times New Roman" w:hAnsi="Times New Roman"/>
              </w:rPr>
              <w:t>%.</w:t>
            </w:r>
          </w:p>
          <w:p w14:paraId="6550A1F9" w14:textId="77777777" w:rsidR="00D875C0" w:rsidRPr="004E3CD5" w:rsidRDefault="00D875C0" w:rsidP="004676B7">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Antrasis epizodas: docetakselio dozę mažinti 20</w:t>
            </w:r>
            <w:r w:rsidR="004676B7" w:rsidRPr="007C1A06">
              <w:rPr>
                <w:rFonts w:ascii="Times New Roman" w:hAnsi="Times New Roman"/>
              </w:rPr>
              <w:t> </w:t>
            </w:r>
            <w:r w:rsidRPr="007C1A06">
              <w:rPr>
                <w:rFonts w:ascii="Times New Roman" w:hAnsi="Times New Roman"/>
              </w:rPr>
              <w:t>%.</w:t>
            </w:r>
          </w:p>
        </w:tc>
      </w:tr>
      <w:tr w:rsidR="00D875C0" w:rsidRPr="007C1A06" w14:paraId="2A9778FB" w14:textId="77777777" w:rsidTr="004E3CD5">
        <w:tc>
          <w:tcPr>
            <w:tcW w:w="3348" w:type="dxa"/>
          </w:tcPr>
          <w:p w14:paraId="2442578C" w14:textId="77777777" w:rsidR="00D875C0" w:rsidRPr="00F95B76" w:rsidRDefault="00D875C0" w:rsidP="004676B7">
            <w:pPr>
              <w:autoSpaceDE w:val="0"/>
              <w:autoSpaceDN w:val="0"/>
              <w:adjustRightInd w:val="0"/>
              <w:spacing w:after="0" w:line="240" w:lineRule="auto"/>
              <w:rPr>
                <w:rFonts w:ascii="Times New Roman" w:hAnsi="Times New Roman"/>
              </w:rPr>
            </w:pPr>
            <w:r w:rsidRPr="00F957E7">
              <w:rPr>
                <w:rFonts w:ascii="Times New Roman" w:hAnsi="Times New Roman"/>
              </w:rPr>
              <w:t>4</w:t>
            </w:r>
            <w:r w:rsidR="004676B7" w:rsidRPr="00F95B76">
              <w:rPr>
                <w:rFonts w:ascii="Times New Roman" w:hAnsi="Times New Roman"/>
              </w:rPr>
              <w:t> </w:t>
            </w:r>
            <w:r w:rsidRPr="00F95B76">
              <w:rPr>
                <w:rFonts w:ascii="Times New Roman" w:hAnsi="Times New Roman"/>
              </w:rPr>
              <w:t>laipsnio viduriavimas</w:t>
            </w:r>
          </w:p>
        </w:tc>
        <w:tc>
          <w:tcPr>
            <w:tcW w:w="5938" w:type="dxa"/>
          </w:tcPr>
          <w:p w14:paraId="20254F1B" w14:textId="77777777" w:rsidR="00D875C0" w:rsidRPr="00C722B4"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Pirmasis epizodas: docetakselio ir 5-FU dozę mažinti 20</w:t>
            </w:r>
            <w:r w:rsidR="004676B7" w:rsidRPr="00427D92">
              <w:rPr>
                <w:rFonts w:ascii="Times New Roman" w:hAnsi="Times New Roman"/>
              </w:rPr>
              <w:t> </w:t>
            </w:r>
            <w:r w:rsidRPr="00C722B4">
              <w:rPr>
                <w:rFonts w:ascii="Times New Roman" w:hAnsi="Times New Roman"/>
              </w:rPr>
              <w:t>%.</w:t>
            </w:r>
          </w:p>
          <w:p w14:paraId="52588FF5"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Antrasis epizodas: nutraukti gydymą.</w:t>
            </w:r>
          </w:p>
        </w:tc>
      </w:tr>
      <w:tr w:rsidR="00D875C0" w:rsidRPr="007C1A06" w14:paraId="0357BEB2" w14:textId="77777777" w:rsidTr="004E3CD5">
        <w:tc>
          <w:tcPr>
            <w:tcW w:w="3348" w:type="dxa"/>
          </w:tcPr>
          <w:p w14:paraId="1008F9E5" w14:textId="77777777" w:rsidR="00D875C0" w:rsidRPr="00F95B76" w:rsidRDefault="00D875C0" w:rsidP="004676B7">
            <w:pPr>
              <w:autoSpaceDE w:val="0"/>
              <w:autoSpaceDN w:val="0"/>
              <w:adjustRightInd w:val="0"/>
              <w:spacing w:after="0" w:line="240" w:lineRule="auto"/>
              <w:rPr>
                <w:rFonts w:ascii="Times New Roman" w:hAnsi="Times New Roman"/>
              </w:rPr>
            </w:pPr>
            <w:r w:rsidRPr="00F957E7">
              <w:rPr>
                <w:rFonts w:ascii="Times New Roman" w:hAnsi="Times New Roman"/>
              </w:rPr>
              <w:t>3</w:t>
            </w:r>
            <w:r w:rsidR="004676B7" w:rsidRPr="00F95B76">
              <w:rPr>
                <w:rFonts w:ascii="Times New Roman" w:hAnsi="Times New Roman"/>
              </w:rPr>
              <w:t> </w:t>
            </w:r>
            <w:r w:rsidRPr="00F95B76">
              <w:rPr>
                <w:rFonts w:ascii="Times New Roman" w:hAnsi="Times New Roman"/>
              </w:rPr>
              <w:t>laipsnio stomatitas/mukozitas</w:t>
            </w:r>
          </w:p>
        </w:tc>
        <w:tc>
          <w:tcPr>
            <w:tcW w:w="5938" w:type="dxa"/>
          </w:tcPr>
          <w:p w14:paraId="43678F52"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Pirmasis ep</w:t>
            </w:r>
            <w:r w:rsidRPr="00427D92">
              <w:rPr>
                <w:rFonts w:ascii="Times New Roman" w:hAnsi="Times New Roman"/>
              </w:rPr>
              <w:t>izodas: 5-FU dozę mažinti 20</w:t>
            </w:r>
            <w:r w:rsidR="004676B7" w:rsidRPr="00C722B4">
              <w:rPr>
                <w:rFonts w:ascii="Times New Roman" w:hAnsi="Times New Roman"/>
              </w:rPr>
              <w:t> </w:t>
            </w:r>
            <w:r w:rsidRPr="007C1A06">
              <w:rPr>
                <w:rFonts w:ascii="Times New Roman" w:hAnsi="Times New Roman"/>
              </w:rPr>
              <w:t>%.</w:t>
            </w:r>
          </w:p>
          <w:p w14:paraId="76F2216A"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Antrasis epizodas: nutraukti tik 5-FU vartojimą visų sekančių ciklų metu.</w:t>
            </w:r>
          </w:p>
          <w:p w14:paraId="41F8DD8A" w14:textId="77777777" w:rsidR="00D875C0" w:rsidRPr="004E3CD5" w:rsidRDefault="00D875C0" w:rsidP="004676B7">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Trečiasis epizodas: docetakselio dozę mažinti 20</w:t>
            </w:r>
            <w:r w:rsidR="004676B7" w:rsidRPr="007C1A06">
              <w:rPr>
                <w:rFonts w:ascii="Times New Roman" w:hAnsi="Times New Roman"/>
              </w:rPr>
              <w:t> </w:t>
            </w:r>
            <w:r w:rsidRPr="007C1A06">
              <w:rPr>
                <w:rFonts w:ascii="Times New Roman" w:hAnsi="Times New Roman"/>
              </w:rPr>
              <w:t>%.</w:t>
            </w:r>
          </w:p>
        </w:tc>
      </w:tr>
      <w:tr w:rsidR="00D875C0" w:rsidRPr="007C1A06" w14:paraId="526CD2F2" w14:textId="77777777" w:rsidTr="004E3CD5">
        <w:tc>
          <w:tcPr>
            <w:tcW w:w="3348" w:type="dxa"/>
          </w:tcPr>
          <w:p w14:paraId="583B51AF" w14:textId="77777777" w:rsidR="00D875C0" w:rsidRPr="00F95B76" w:rsidRDefault="00D875C0" w:rsidP="004676B7">
            <w:pPr>
              <w:autoSpaceDE w:val="0"/>
              <w:autoSpaceDN w:val="0"/>
              <w:adjustRightInd w:val="0"/>
              <w:spacing w:after="0" w:line="240" w:lineRule="auto"/>
              <w:rPr>
                <w:rFonts w:ascii="Times New Roman" w:hAnsi="Times New Roman"/>
              </w:rPr>
            </w:pPr>
            <w:r w:rsidRPr="00F957E7">
              <w:rPr>
                <w:rFonts w:ascii="Times New Roman" w:hAnsi="Times New Roman"/>
              </w:rPr>
              <w:t>4</w:t>
            </w:r>
            <w:r w:rsidR="004676B7" w:rsidRPr="00F95B76">
              <w:rPr>
                <w:rFonts w:ascii="Times New Roman" w:hAnsi="Times New Roman"/>
              </w:rPr>
              <w:t> </w:t>
            </w:r>
            <w:r w:rsidRPr="00F95B76">
              <w:rPr>
                <w:rFonts w:ascii="Times New Roman" w:hAnsi="Times New Roman"/>
              </w:rPr>
              <w:t>laipsnio stomatitas/mukozitas</w:t>
            </w:r>
          </w:p>
        </w:tc>
        <w:tc>
          <w:tcPr>
            <w:tcW w:w="5938" w:type="dxa"/>
          </w:tcPr>
          <w:p w14:paraId="76B9880E" w14:textId="77777777" w:rsidR="00D875C0" w:rsidRPr="00427D92"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Pirmasis epizodas: nutraukti tik 5-FU vartojimą visų sekančių cik</w:t>
            </w:r>
            <w:r w:rsidRPr="00427D92">
              <w:rPr>
                <w:rFonts w:ascii="Times New Roman" w:hAnsi="Times New Roman"/>
              </w:rPr>
              <w:t>lų metu.</w:t>
            </w:r>
          </w:p>
          <w:p w14:paraId="46A566FD" w14:textId="77777777" w:rsidR="00D875C0" w:rsidRPr="007C1A06" w:rsidRDefault="00D875C0" w:rsidP="004676B7">
            <w:pPr>
              <w:autoSpaceDE w:val="0"/>
              <w:autoSpaceDN w:val="0"/>
              <w:adjustRightInd w:val="0"/>
              <w:spacing w:after="0" w:line="240" w:lineRule="auto"/>
              <w:rPr>
                <w:rFonts w:ascii="Times New Roman" w:hAnsi="Times New Roman"/>
              </w:rPr>
            </w:pPr>
            <w:r w:rsidRPr="00C722B4">
              <w:rPr>
                <w:rFonts w:ascii="Times New Roman" w:hAnsi="Times New Roman"/>
              </w:rPr>
              <w:t>Antrasis epizodas: docetakselio dozę mažinti 20</w:t>
            </w:r>
            <w:r w:rsidR="004676B7" w:rsidRPr="007C1A06">
              <w:rPr>
                <w:rFonts w:ascii="Times New Roman" w:hAnsi="Times New Roman"/>
              </w:rPr>
              <w:t> </w:t>
            </w:r>
            <w:r w:rsidRPr="007C1A06">
              <w:rPr>
                <w:rFonts w:ascii="Times New Roman" w:hAnsi="Times New Roman"/>
              </w:rPr>
              <w:t>%.</w:t>
            </w:r>
          </w:p>
        </w:tc>
      </w:tr>
    </w:tbl>
    <w:p w14:paraId="33E5825B" w14:textId="77777777" w:rsidR="00D875C0" w:rsidRPr="00F957E7" w:rsidRDefault="00D875C0" w:rsidP="00D875C0">
      <w:pPr>
        <w:spacing w:after="0" w:line="240" w:lineRule="auto"/>
        <w:rPr>
          <w:rFonts w:ascii="Times New Roman" w:hAnsi="Times New Roman"/>
        </w:rPr>
      </w:pPr>
    </w:p>
    <w:p w14:paraId="06C69AE1" w14:textId="77777777" w:rsidR="00D875C0" w:rsidRPr="00F95B7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Kaip koreguoti cisplatinos ir 5-fluorouracilo dozę, žr. atitinkamą preparato charakteristikų santrauką.</w:t>
      </w:r>
    </w:p>
    <w:p w14:paraId="0C305799" w14:textId="77777777" w:rsidR="00D875C0" w:rsidRPr="007C1A06" w:rsidRDefault="00D875C0" w:rsidP="00D875C0">
      <w:pPr>
        <w:autoSpaceDE w:val="0"/>
        <w:autoSpaceDN w:val="0"/>
        <w:adjustRightInd w:val="0"/>
        <w:spacing w:after="0" w:line="240" w:lineRule="auto"/>
        <w:rPr>
          <w:rFonts w:ascii="Times New Roman" w:hAnsi="Times New Roman"/>
        </w:rPr>
      </w:pPr>
      <w:r w:rsidRPr="001F2C46">
        <w:rPr>
          <w:rFonts w:ascii="Times New Roman" w:hAnsi="Times New Roman"/>
        </w:rPr>
        <w:t>Pagrindinių PGKV tyrimų metu pacientams, kuriems atsirado neutropenija su komplikacijomis,</w:t>
      </w:r>
      <w:r w:rsidRPr="00427D92">
        <w:rPr>
          <w:rFonts w:ascii="Times New Roman" w:hAnsi="Times New Roman"/>
        </w:rPr>
        <w:t xml:space="preserve"> įskaitant ilgalaikę neutropeniją, febrilinę neutropeniją ar infekciją, visų vėlesnių kursų metu rekomenduota profilaktikos tikslu vartoti G-KSF (pvz., 6</w:t>
      </w:r>
      <w:r w:rsidR="004676B7" w:rsidRPr="00C722B4">
        <w:rPr>
          <w:rFonts w:ascii="Times New Roman" w:hAnsi="Times New Roman"/>
        </w:rPr>
        <w:noBreakHyphen/>
      </w:r>
      <w:r w:rsidRPr="007C1A06">
        <w:rPr>
          <w:rFonts w:ascii="Times New Roman" w:hAnsi="Times New Roman"/>
        </w:rPr>
        <w:t>15 kurso dienomis).</w:t>
      </w:r>
    </w:p>
    <w:p w14:paraId="359D425A" w14:textId="77777777" w:rsidR="00D875C0" w:rsidRPr="007C1A06" w:rsidRDefault="00D875C0" w:rsidP="00D875C0">
      <w:pPr>
        <w:autoSpaceDE w:val="0"/>
        <w:autoSpaceDN w:val="0"/>
        <w:adjustRightInd w:val="0"/>
        <w:spacing w:after="0" w:line="240" w:lineRule="auto"/>
        <w:rPr>
          <w:rFonts w:ascii="Times New Roman" w:hAnsi="Times New Roman"/>
        </w:rPr>
      </w:pPr>
    </w:p>
    <w:p w14:paraId="6D075241" w14:textId="77777777" w:rsidR="00D875C0" w:rsidRDefault="00D875C0" w:rsidP="00D875C0">
      <w:pPr>
        <w:autoSpaceDE w:val="0"/>
        <w:autoSpaceDN w:val="0"/>
        <w:adjustRightInd w:val="0"/>
        <w:spacing w:after="0" w:line="240" w:lineRule="auto"/>
        <w:rPr>
          <w:rFonts w:ascii="Times New Roman" w:hAnsi="Times New Roman"/>
          <w:u w:val="single"/>
        </w:rPr>
      </w:pPr>
      <w:r w:rsidRPr="007C1A06">
        <w:rPr>
          <w:rFonts w:ascii="Times New Roman" w:hAnsi="Times New Roman"/>
          <w:u w:val="single"/>
        </w:rPr>
        <w:t xml:space="preserve">Ypatingos populiacijos </w:t>
      </w:r>
    </w:p>
    <w:p w14:paraId="02927101" w14:textId="77777777" w:rsidR="00D875C0" w:rsidRPr="007C1A06" w:rsidRDefault="00D875C0" w:rsidP="00D875C0">
      <w:pPr>
        <w:autoSpaceDE w:val="0"/>
        <w:autoSpaceDN w:val="0"/>
        <w:adjustRightInd w:val="0"/>
        <w:spacing w:after="0" w:line="240" w:lineRule="auto"/>
        <w:rPr>
          <w:rFonts w:ascii="Times New Roman" w:hAnsi="Times New Roman"/>
          <w:u w:val="single"/>
        </w:rPr>
      </w:pPr>
    </w:p>
    <w:p w14:paraId="4705EACF" w14:textId="50B966AA" w:rsidR="00D875C0" w:rsidRPr="0042227D" w:rsidRDefault="00D875C0" w:rsidP="00D875C0">
      <w:pPr>
        <w:autoSpaceDE w:val="0"/>
        <w:autoSpaceDN w:val="0"/>
        <w:adjustRightInd w:val="0"/>
        <w:spacing w:after="0" w:line="240" w:lineRule="auto"/>
        <w:rPr>
          <w:rFonts w:ascii="Times New Roman" w:hAnsi="Times New Roman"/>
          <w:i/>
          <w:u w:val="single"/>
        </w:rPr>
      </w:pPr>
      <w:r w:rsidRPr="000353CE">
        <w:rPr>
          <w:rFonts w:ascii="Times New Roman" w:hAnsi="Times New Roman"/>
          <w:i/>
          <w:u w:val="single"/>
        </w:rPr>
        <w:t>Pacienta</w:t>
      </w:r>
      <w:r w:rsidR="005A5166">
        <w:rPr>
          <w:rFonts w:ascii="Times New Roman" w:hAnsi="Times New Roman"/>
          <w:i/>
          <w:u w:val="single"/>
        </w:rPr>
        <w:t>ms</w:t>
      </w:r>
      <w:r w:rsidRPr="000353CE">
        <w:rPr>
          <w:rFonts w:ascii="Times New Roman" w:hAnsi="Times New Roman"/>
          <w:i/>
          <w:u w:val="single"/>
        </w:rPr>
        <w:t>, kurių kepenų funkcija sutrikusi</w:t>
      </w:r>
      <w:r w:rsidRPr="0042227D">
        <w:rPr>
          <w:rFonts w:ascii="Times New Roman" w:hAnsi="Times New Roman"/>
          <w:i/>
          <w:u w:val="single"/>
        </w:rPr>
        <w:t xml:space="preserve"> </w:t>
      </w:r>
    </w:p>
    <w:p w14:paraId="490DF0ED" w14:textId="07BC142B"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Jei transaminazių [ALT ir (arba) AST] aktyvumas yra daugiau kaip 1,5</w:t>
      </w:r>
      <w:r w:rsidR="004676B7" w:rsidRPr="007C1A06">
        <w:rPr>
          <w:rFonts w:ascii="Times New Roman" w:hAnsi="Times New Roman"/>
        </w:rPr>
        <w:t> </w:t>
      </w:r>
      <w:r w:rsidRPr="007C1A06">
        <w:rPr>
          <w:rFonts w:ascii="Times New Roman" w:hAnsi="Times New Roman"/>
        </w:rPr>
        <w:t xml:space="preserve">karto </w:t>
      </w:r>
      <w:r w:rsidR="005A5166" w:rsidRPr="007C1A06">
        <w:rPr>
          <w:rFonts w:ascii="Times New Roman" w:hAnsi="Times New Roman"/>
        </w:rPr>
        <w:t>didesn</w:t>
      </w:r>
      <w:r w:rsidR="005A5166">
        <w:rPr>
          <w:rFonts w:ascii="Times New Roman" w:hAnsi="Times New Roman"/>
        </w:rPr>
        <w:t>is</w:t>
      </w:r>
      <w:r w:rsidR="005A5166" w:rsidRPr="007C1A06">
        <w:rPr>
          <w:rFonts w:ascii="Times New Roman" w:hAnsi="Times New Roman"/>
        </w:rPr>
        <w:t xml:space="preserve"> </w:t>
      </w:r>
      <w:r w:rsidRPr="007C1A06">
        <w:rPr>
          <w:rFonts w:ascii="Times New Roman" w:hAnsi="Times New Roman"/>
        </w:rPr>
        <w:t>negu viršutinė normos riba, o šarminės fosfatazės aktyvumas – daugiau kaip 2,5</w:t>
      </w:r>
      <w:r w:rsidR="004676B7" w:rsidRPr="007C1A06">
        <w:rPr>
          <w:rFonts w:ascii="Times New Roman" w:hAnsi="Times New Roman"/>
        </w:rPr>
        <w:t> </w:t>
      </w:r>
      <w:r w:rsidRPr="007C1A06">
        <w:rPr>
          <w:rFonts w:ascii="Times New Roman" w:hAnsi="Times New Roman"/>
        </w:rPr>
        <w:t xml:space="preserve">karto </w:t>
      </w:r>
      <w:r w:rsidR="005A5166" w:rsidRPr="007C1A06">
        <w:rPr>
          <w:rFonts w:ascii="Times New Roman" w:hAnsi="Times New Roman"/>
        </w:rPr>
        <w:t>didesn</w:t>
      </w:r>
      <w:r w:rsidR="005A5166">
        <w:rPr>
          <w:rFonts w:ascii="Times New Roman" w:hAnsi="Times New Roman"/>
        </w:rPr>
        <w:t>is</w:t>
      </w:r>
      <w:r w:rsidR="005A5166" w:rsidRPr="007C1A06">
        <w:rPr>
          <w:rFonts w:ascii="Times New Roman" w:hAnsi="Times New Roman"/>
        </w:rPr>
        <w:t xml:space="preserve"> </w:t>
      </w:r>
      <w:r w:rsidRPr="007C1A06">
        <w:rPr>
          <w:rFonts w:ascii="Times New Roman" w:hAnsi="Times New Roman"/>
        </w:rPr>
        <w:t>negu viršutinė normos riba, tai rekomenduojama dozė, remiantis 100</w:t>
      </w:r>
      <w:r w:rsidR="004676B7"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dozėmis monoterapijai vartojamo docetakselio farmakokinetikos duomenimis, – 75</w:t>
      </w:r>
      <w:r w:rsidR="004676B7"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(žr. skyriuose 4.4 ir 5.2). Jei bilirubino koncentracija serume didesnė negu viršutinė normos riba ir (arba) ALT ir AST aktyvumas daugiau kaip 3,5</w:t>
      </w:r>
      <w:r w:rsidR="004676B7" w:rsidRPr="007C1A06">
        <w:rPr>
          <w:rFonts w:ascii="Times New Roman" w:hAnsi="Times New Roman"/>
        </w:rPr>
        <w:t> </w:t>
      </w:r>
      <w:r w:rsidRPr="007C1A06">
        <w:rPr>
          <w:rFonts w:ascii="Times New Roman" w:hAnsi="Times New Roman"/>
        </w:rPr>
        <w:t>karto didesnis negu viršutinė normos riba, o šarminės fosfatazės aktyvumas daugiau kaip 6</w:t>
      </w:r>
      <w:r w:rsidR="004676B7" w:rsidRPr="007C1A06">
        <w:rPr>
          <w:rFonts w:ascii="Times New Roman" w:hAnsi="Times New Roman"/>
        </w:rPr>
        <w:t> </w:t>
      </w:r>
      <w:r w:rsidRPr="007C1A06">
        <w:rPr>
          <w:rFonts w:ascii="Times New Roman" w:hAnsi="Times New Roman"/>
        </w:rPr>
        <w:t>kartus didesnis negu viršutinė normos riba, tai galimybės nurodyti dozės mažinimo tvarką nėra.</w:t>
      </w:r>
    </w:p>
    <w:p w14:paraId="36E089E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Tokiais atvejais docetakselio skiriama tik tais atvejais, kai tai neišvengiamai būtina.</w:t>
      </w:r>
    </w:p>
    <w:p w14:paraId="5F16C8D7"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Jei ALT ir (arba) AST koncentracija buvo daugiau kaip 1,5</w:t>
      </w:r>
      <w:r w:rsidR="004676B7" w:rsidRPr="007C1A06">
        <w:rPr>
          <w:rFonts w:ascii="Times New Roman" w:hAnsi="Times New Roman"/>
        </w:rPr>
        <w:t> </w:t>
      </w:r>
      <w:r w:rsidRPr="007C1A06">
        <w:rPr>
          <w:rFonts w:ascii="Times New Roman" w:hAnsi="Times New Roman"/>
        </w:rPr>
        <w:t>karto didesnė negu viršutinė normos riba, šarminės fosfatazės aktyvumas– daugiau kaip 2,5</w:t>
      </w:r>
      <w:r w:rsidR="004676B7" w:rsidRPr="007C1A06">
        <w:rPr>
          <w:rFonts w:ascii="Times New Roman" w:hAnsi="Times New Roman"/>
        </w:rPr>
        <w:t> </w:t>
      </w:r>
      <w:r w:rsidRPr="007C1A06">
        <w:rPr>
          <w:rFonts w:ascii="Times New Roman" w:hAnsi="Times New Roman"/>
        </w:rPr>
        <w:t xml:space="preserve">karto didesnis negu viršutinė normos riba, o bilirubino koncentracija viršijo viršutinę normos ribą, tokie </w:t>
      </w:r>
      <w:r w:rsidR="00AF7FB2">
        <w:rPr>
          <w:rFonts w:ascii="Times New Roman" w:hAnsi="Times New Roman"/>
        </w:rPr>
        <w:t>pacientai</w:t>
      </w:r>
      <w:r w:rsidRPr="007C1A06">
        <w:rPr>
          <w:rFonts w:ascii="Times New Roman" w:hAnsi="Times New Roman"/>
        </w:rPr>
        <w:t xml:space="preserve"> nebuvo įtraukiami į pagrindinį klinikinį tyrimą, kurio metu skrandžio adenokarcinoma sergantys pacientai buvo gydomi docetakseliu, cisplatina ir 5-fluorouracilu; galimybės tokiems pacientams nurodyti dozės mažinimo tvarką nėra, jiems docetakselio skiriama tik tada, kai neišvengiamai būtina. Duomenų apie docetakselio derinimą su kitais vaistiniais preparatais esant kitoms indikacijoms kepenų nepakankamumu sergantiems pacientams nėra.</w:t>
      </w:r>
    </w:p>
    <w:p w14:paraId="0823D838" w14:textId="77777777" w:rsidR="00D875C0" w:rsidRPr="007C1A06" w:rsidRDefault="00D875C0" w:rsidP="00D875C0">
      <w:pPr>
        <w:autoSpaceDE w:val="0"/>
        <w:autoSpaceDN w:val="0"/>
        <w:adjustRightInd w:val="0"/>
        <w:spacing w:after="0" w:line="240" w:lineRule="auto"/>
        <w:rPr>
          <w:rFonts w:ascii="Times New Roman" w:hAnsi="Times New Roman"/>
        </w:rPr>
      </w:pPr>
    </w:p>
    <w:p w14:paraId="622A9656" w14:textId="77777777" w:rsidR="00D875C0" w:rsidRPr="00F54C45" w:rsidRDefault="00D875C0" w:rsidP="00D875C0">
      <w:pPr>
        <w:autoSpaceDE w:val="0"/>
        <w:autoSpaceDN w:val="0"/>
        <w:adjustRightInd w:val="0"/>
        <w:spacing w:after="0" w:line="240" w:lineRule="auto"/>
        <w:rPr>
          <w:rFonts w:ascii="Times New Roman" w:eastAsiaTheme="minorEastAsia" w:hAnsi="Times New Roman"/>
          <w:i/>
          <w:lang w:eastAsia="zh-TW"/>
        </w:rPr>
      </w:pPr>
      <w:r w:rsidRPr="00F54C45">
        <w:rPr>
          <w:rFonts w:ascii="Times New Roman" w:hAnsi="Times New Roman"/>
          <w:i/>
        </w:rPr>
        <w:t>Vaikų populiacija</w:t>
      </w:r>
    </w:p>
    <w:p w14:paraId="16D651B6"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Docetaxel Ebewe saugumas ir veiksmingumas gydant 1 mėnesio ir jaunesnius nei 18 metų vaikus, sergančius nosiaryklės karcinoma, nenustatyti.</w:t>
      </w:r>
    </w:p>
    <w:p w14:paraId="37097F3F" w14:textId="77777777" w:rsidR="00D875C0" w:rsidRPr="00FB5C4B"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Docetaxel Ebewe nevartojamas vaikų krūties vėžio, plaučių nesmulkialąstelinio vėžio, prostatos vėžio, skrandžio karcinomos, galvos ir kaklo vėžio gydymui, </w:t>
      </w:r>
      <w:r w:rsidRPr="007C1A06">
        <w:rPr>
          <w:rFonts w:ascii="Times New Roman" w:hAnsi="Times New Roman" w:cs="Times New Roman"/>
        </w:rPr>
        <w:t xml:space="preserve"> </w:t>
      </w:r>
      <w:r w:rsidRPr="00F957E7">
        <w:rPr>
          <w:rFonts w:ascii="Times New Roman" w:hAnsi="Times New Roman"/>
        </w:rPr>
        <w:t>bet gali būti vartojamas II arba I</w:t>
      </w:r>
      <w:r w:rsidRPr="00F95B76">
        <w:rPr>
          <w:rFonts w:ascii="Times New Roman" w:hAnsi="Times New Roman"/>
        </w:rPr>
        <w:t>II tipo mažiau diferencijuotos nosiaryklės karcinomos gydymui.</w:t>
      </w:r>
    </w:p>
    <w:p w14:paraId="02635C59" w14:textId="77777777" w:rsidR="00D875C0" w:rsidRPr="001F2C46" w:rsidRDefault="00D875C0" w:rsidP="00D875C0">
      <w:pPr>
        <w:autoSpaceDE w:val="0"/>
        <w:autoSpaceDN w:val="0"/>
        <w:adjustRightInd w:val="0"/>
        <w:spacing w:after="0" w:line="240" w:lineRule="auto"/>
        <w:rPr>
          <w:rFonts w:ascii="Times New Roman" w:hAnsi="Times New Roman"/>
          <w:i/>
          <w:u w:val="single"/>
        </w:rPr>
      </w:pPr>
    </w:p>
    <w:p w14:paraId="38DA683F" w14:textId="77777777" w:rsidR="00D875C0" w:rsidRPr="00F54C45" w:rsidRDefault="00D875C0" w:rsidP="00D875C0">
      <w:pPr>
        <w:autoSpaceDE w:val="0"/>
        <w:autoSpaceDN w:val="0"/>
        <w:adjustRightInd w:val="0"/>
        <w:spacing w:after="0" w:line="240" w:lineRule="auto"/>
        <w:rPr>
          <w:rFonts w:ascii="Times New Roman" w:hAnsi="Times New Roman"/>
          <w:i/>
        </w:rPr>
      </w:pPr>
      <w:r w:rsidRPr="00F54C45">
        <w:rPr>
          <w:rFonts w:ascii="Times New Roman" w:hAnsi="Times New Roman"/>
          <w:i/>
        </w:rPr>
        <w:t>Senyviems pacientams</w:t>
      </w:r>
    </w:p>
    <w:p w14:paraId="2DDE0F48" w14:textId="77777777" w:rsidR="00D875C0" w:rsidRPr="007C1A06" w:rsidRDefault="00D875C0" w:rsidP="00D875C0">
      <w:pPr>
        <w:autoSpaceDE w:val="0"/>
        <w:autoSpaceDN w:val="0"/>
        <w:adjustRightInd w:val="0"/>
        <w:spacing w:after="0" w:line="240" w:lineRule="auto"/>
        <w:rPr>
          <w:rFonts w:ascii="Times New Roman" w:hAnsi="Times New Roman"/>
        </w:rPr>
      </w:pPr>
      <w:r w:rsidRPr="00C722B4">
        <w:rPr>
          <w:rFonts w:ascii="Times New Roman" w:hAnsi="Times New Roman"/>
        </w:rPr>
        <w:t>Pagal populiacinę farmakokinetikos analizę nėra specialių nurodymų, kaip vartoti šį vaistinį preparatą senyviems pacientams. Pradinė rekomenduojama kapecitabino, derinamo</w:t>
      </w:r>
      <w:r w:rsidRPr="007C1A06">
        <w:rPr>
          <w:rFonts w:ascii="Times New Roman" w:hAnsi="Times New Roman"/>
        </w:rPr>
        <w:t xml:space="preserve"> su docetakseliu, dozė 60</w:t>
      </w:r>
      <w:r w:rsidR="004676B7" w:rsidRPr="007C1A06">
        <w:rPr>
          <w:rFonts w:ascii="Times New Roman" w:hAnsi="Times New Roman"/>
        </w:rPr>
        <w:t> </w:t>
      </w:r>
      <w:r w:rsidRPr="007C1A06">
        <w:rPr>
          <w:rFonts w:ascii="Times New Roman" w:hAnsi="Times New Roman"/>
        </w:rPr>
        <w:t>metų ir vyresniems pacientams yra 75</w:t>
      </w:r>
      <w:r w:rsidR="004676B7" w:rsidRPr="007C1A06">
        <w:rPr>
          <w:rFonts w:ascii="Times New Roman" w:hAnsi="Times New Roman"/>
        </w:rPr>
        <w:t> </w:t>
      </w:r>
      <w:r w:rsidRPr="007C1A06">
        <w:rPr>
          <w:rFonts w:ascii="Times New Roman" w:hAnsi="Times New Roman"/>
        </w:rPr>
        <w:t>% įprastos (žr. kapecitabino charakteristikų santrauką).</w:t>
      </w:r>
    </w:p>
    <w:p w14:paraId="3AFD1832" w14:textId="77777777" w:rsidR="00D875C0" w:rsidRDefault="00D875C0" w:rsidP="00D875C0">
      <w:pPr>
        <w:spacing w:after="0" w:line="240" w:lineRule="auto"/>
        <w:rPr>
          <w:rFonts w:ascii="Times New Roman" w:hAnsi="Times New Roman"/>
        </w:rPr>
      </w:pPr>
    </w:p>
    <w:p w14:paraId="6E6E2430" w14:textId="77777777" w:rsidR="005A5166" w:rsidRPr="00453BC4" w:rsidRDefault="005A5166" w:rsidP="005A5166">
      <w:pPr>
        <w:spacing w:after="0" w:line="240" w:lineRule="auto"/>
        <w:rPr>
          <w:rFonts w:ascii="Times New Roman" w:hAnsi="Times New Roman"/>
          <w:u w:val="single"/>
        </w:rPr>
      </w:pPr>
      <w:r w:rsidRPr="00453BC4">
        <w:rPr>
          <w:rFonts w:ascii="Times New Roman" w:hAnsi="Times New Roman"/>
          <w:u w:val="single"/>
        </w:rPr>
        <w:t>Vartojimo metodas</w:t>
      </w:r>
    </w:p>
    <w:p w14:paraId="2B03CEF4" w14:textId="546C1D79" w:rsidR="005A5166" w:rsidRDefault="005A5166" w:rsidP="005A5166">
      <w:pPr>
        <w:spacing w:after="0" w:line="240" w:lineRule="auto"/>
        <w:rPr>
          <w:rFonts w:ascii="Times New Roman" w:hAnsi="Times New Roman"/>
        </w:rPr>
      </w:pPr>
      <w:r w:rsidRPr="005A5166">
        <w:rPr>
          <w:rFonts w:ascii="Times New Roman" w:hAnsi="Times New Roman"/>
        </w:rPr>
        <w:t xml:space="preserve">Vaistinio preparato ruošimo </w:t>
      </w:r>
      <w:r>
        <w:rPr>
          <w:rFonts w:ascii="Times New Roman" w:hAnsi="Times New Roman"/>
        </w:rPr>
        <w:t>prieš vartojant</w:t>
      </w:r>
      <w:r w:rsidRPr="005A5166">
        <w:rPr>
          <w:rFonts w:ascii="Times New Roman" w:hAnsi="Times New Roman"/>
        </w:rPr>
        <w:t xml:space="preserve"> instrukcij</w:t>
      </w:r>
      <w:r>
        <w:rPr>
          <w:rFonts w:ascii="Times New Roman" w:hAnsi="Times New Roman"/>
        </w:rPr>
        <w:t>a</w:t>
      </w:r>
      <w:r w:rsidRPr="005A5166">
        <w:rPr>
          <w:rFonts w:ascii="Times New Roman" w:hAnsi="Times New Roman"/>
        </w:rPr>
        <w:t xml:space="preserve"> pateikiam</w:t>
      </w:r>
      <w:r>
        <w:rPr>
          <w:rFonts w:ascii="Times New Roman" w:hAnsi="Times New Roman"/>
        </w:rPr>
        <w:t>a</w:t>
      </w:r>
      <w:r w:rsidRPr="005A5166">
        <w:rPr>
          <w:rFonts w:ascii="Times New Roman" w:hAnsi="Times New Roman"/>
        </w:rPr>
        <w:t xml:space="preserve"> 6.6 skyriuje</w:t>
      </w:r>
      <w:r>
        <w:rPr>
          <w:rFonts w:ascii="Times New Roman" w:hAnsi="Times New Roman"/>
        </w:rPr>
        <w:t>.</w:t>
      </w:r>
    </w:p>
    <w:p w14:paraId="4F568AA9" w14:textId="77777777" w:rsidR="005A5166" w:rsidRPr="007C1A06" w:rsidRDefault="005A5166" w:rsidP="00D875C0">
      <w:pPr>
        <w:spacing w:after="0" w:line="240" w:lineRule="auto"/>
        <w:rPr>
          <w:rFonts w:ascii="Times New Roman" w:hAnsi="Times New Roman"/>
        </w:rPr>
      </w:pPr>
    </w:p>
    <w:p w14:paraId="1A96043E" w14:textId="77777777" w:rsidR="00D875C0" w:rsidRPr="007C1A06" w:rsidRDefault="00D875C0" w:rsidP="00D875C0">
      <w:pPr>
        <w:keepNext/>
        <w:keepLines/>
        <w:tabs>
          <w:tab w:val="left" w:pos="567"/>
        </w:tabs>
        <w:spacing w:after="0" w:line="240" w:lineRule="auto"/>
        <w:ind w:left="567" w:hanging="567"/>
        <w:outlineLvl w:val="2"/>
        <w:rPr>
          <w:rFonts w:ascii="Times New Roman" w:hAnsi="Times New Roman"/>
          <w:b/>
          <w:kern w:val="28"/>
        </w:rPr>
      </w:pPr>
      <w:bookmarkStart w:id="16" w:name="_Toc129243104"/>
      <w:bookmarkStart w:id="17" w:name="_Toc129243229"/>
      <w:r w:rsidRPr="007C1A06">
        <w:rPr>
          <w:rFonts w:ascii="Times New Roman" w:hAnsi="Times New Roman"/>
          <w:b/>
          <w:kern w:val="28"/>
        </w:rPr>
        <w:t>4.3</w:t>
      </w:r>
      <w:r w:rsidRPr="007C1A06">
        <w:rPr>
          <w:rFonts w:ascii="Times New Roman" w:hAnsi="Times New Roman"/>
          <w:b/>
          <w:kern w:val="28"/>
        </w:rPr>
        <w:tab/>
        <w:t>Kontraindikacijos</w:t>
      </w:r>
      <w:bookmarkEnd w:id="16"/>
      <w:bookmarkEnd w:id="17"/>
    </w:p>
    <w:p w14:paraId="082D7C58" w14:textId="77777777" w:rsidR="00D875C0" w:rsidRPr="007C1A06" w:rsidRDefault="00D875C0" w:rsidP="00D875C0">
      <w:pPr>
        <w:spacing w:after="0" w:line="240" w:lineRule="auto"/>
        <w:rPr>
          <w:rFonts w:ascii="Times New Roman" w:hAnsi="Times New Roman"/>
        </w:rPr>
      </w:pPr>
    </w:p>
    <w:p w14:paraId="5407E9D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Padidėjęs jautrumas veikliajai arba bet kuriai 6.1 skyriuje nurodytai pagalbinei medžiagai.</w:t>
      </w:r>
    </w:p>
    <w:p w14:paraId="4EA223C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Mažesnis kaip 1500/mm</w:t>
      </w:r>
      <w:r w:rsidRPr="007C1A06">
        <w:rPr>
          <w:rFonts w:ascii="Times New Roman" w:hAnsi="Times New Roman"/>
          <w:vertAlign w:val="superscript"/>
        </w:rPr>
        <w:t>3</w:t>
      </w:r>
      <w:r w:rsidRPr="007C1A06">
        <w:rPr>
          <w:rFonts w:ascii="Times New Roman" w:hAnsi="Times New Roman"/>
        </w:rPr>
        <w:t xml:space="preserve"> neutrofilų skaičius iki gydymo.</w:t>
      </w:r>
    </w:p>
    <w:p w14:paraId="3D43B195"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Sunkus kepenų nepakankamumas (nėra duomenų apie docetakselio vartojimą šia liga sergantiems pacientams, žr. 4.2 ir 4.4 skyrius).</w:t>
      </w:r>
    </w:p>
    <w:p w14:paraId="6900799E"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Vartojant Docetaxel Ebewe, taikomos ir kartu vartojamiems vaistiniams preparatams nustatytos kontraindikacijos.</w:t>
      </w:r>
    </w:p>
    <w:p w14:paraId="52469018" w14:textId="77777777" w:rsidR="00D875C0" w:rsidRPr="007C1A06" w:rsidRDefault="00D875C0" w:rsidP="00D875C0">
      <w:pPr>
        <w:spacing w:after="0" w:line="240" w:lineRule="auto"/>
        <w:rPr>
          <w:rFonts w:ascii="Times New Roman" w:hAnsi="Times New Roman"/>
        </w:rPr>
      </w:pPr>
    </w:p>
    <w:p w14:paraId="7812BF8F" w14:textId="77777777" w:rsidR="00D875C0" w:rsidRPr="007C1A06" w:rsidRDefault="00D875C0" w:rsidP="00D875C0">
      <w:pPr>
        <w:keepNext/>
        <w:keepLines/>
        <w:numPr>
          <w:ilvl w:val="1"/>
          <w:numId w:val="16"/>
        </w:numPr>
        <w:spacing w:after="0" w:line="240" w:lineRule="auto"/>
        <w:outlineLvl w:val="2"/>
        <w:rPr>
          <w:rFonts w:ascii="Times New Roman" w:hAnsi="Times New Roman"/>
          <w:b/>
          <w:kern w:val="28"/>
        </w:rPr>
      </w:pPr>
      <w:bookmarkStart w:id="18" w:name="_Toc129243105"/>
      <w:bookmarkStart w:id="19" w:name="_Toc129243230"/>
      <w:r w:rsidRPr="007C1A06">
        <w:rPr>
          <w:rFonts w:ascii="Times New Roman" w:hAnsi="Times New Roman"/>
          <w:b/>
          <w:kern w:val="28"/>
        </w:rPr>
        <w:t>Specialūs įspėjimai ir atsargumo priemonės</w:t>
      </w:r>
      <w:bookmarkEnd w:id="18"/>
      <w:bookmarkEnd w:id="19"/>
    </w:p>
    <w:p w14:paraId="024BBECC" w14:textId="77777777" w:rsidR="00D875C0" w:rsidRPr="007C1A06" w:rsidRDefault="00D875C0" w:rsidP="00D875C0">
      <w:pPr>
        <w:keepNext/>
        <w:keepLines/>
        <w:tabs>
          <w:tab w:val="left" w:pos="567"/>
        </w:tabs>
        <w:spacing w:after="0" w:line="240" w:lineRule="auto"/>
        <w:outlineLvl w:val="2"/>
        <w:rPr>
          <w:rFonts w:ascii="Times New Roman" w:hAnsi="Times New Roman"/>
          <w:b/>
          <w:kern w:val="28"/>
        </w:rPr>
      </w:pPr>
    </w:p>
    <w:p w14:paraId="2EE356AD"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Gydant krūties vėžį ar plaučių nesmulkiųjų ląstelių vėžį, skysčių susilaikymo dažnį ir sunkumą bei padidėjusio jautrumo reakcijų sunkumą gali sumažinti likus dienai iki docetakselio vartojimo pradėta premedikacija geriamuoju kortikosteroidu (jeigu nėra kontraindikacijų), pvz., 3 dienas duodama po 16 mg (pvz., po 8</w:t>
      </w:r>
      <w:r w:rsidR="004676B7" w:rsidRPr="007C1A06">
        <w:rPr>
          <w:rFonts w:ascii="Times New Roman" w:hAnsi="Times New Roman"/>
        </w:rPr>
        <w:t> </w:t>
      </w:r>
      <w:r w:rsidRPr="007C1A06">
        <w:rPr>
          <w:rFonts w:ascii="Times New Roman" w:hAnsi="Times New Roman"/>
        </w:rPr>
        <w:t>mg 2</w:t>
      </w:r>
      <w:r w:rsidR="004676B7" w:rsidRPr="007C1A06">
        <w:rPr>
          <w:rFonts w:ascii="Times New Roman" w:hAnsi="Times New Roman"/>
        </w:rPr>
        <w:t> </w:t>
      </w:r>
      <w:r w:rsidRPr="007C1A06">
        <w:rPr>
          <w:rFonts w:ascii="Times New Roman" w:hAnsi="Times New Roman"/>
        </w:rPr>
        <w:t>kartus per parą) deksametazono. Gydant prostatos vėžį, premedikacijai duodama gerti 8 mg deksametazono likus 12</w:t>
      </w:r>
      <w:r w:rsidR="004676B7" w:rsidRPr="007C1A06">
        <w:rPr>
          <w:rFonts w:ascii="Times New Roman" w:hAnsi="Times New Roman"/>
        </w:rPr>
        <w:t> </w:t>
      </w:r>
      <w:r w:rsidRPr="007C1A06">
        <w:rPr>
          <w:rFonts w:ascii="Times New Roman" w:hAnsi="Times New Roman"/>
        </w:rPr>
        <w:t>val., 3</w:t>
      </w:r>
      <w:r w:rsidR="004676B7" w:rsidRPr="007C1A06">
        <w:rPr>
          <w:rFonts w:ascii="Times New Roman" w:hAnsi="Times New Roman"/>
        </w:rPr>
        <w:t> </w:t>
      </w:r>
      <w:r w:rsidRPr="007C1A06">
        <w:rPr>
          <w:rFonts w:ascii="Times New Roman" w:hAnsi="Times New Roman"/>
        </w:rPr>
        <w:t>val. ir 1</w:t>
      </w:r>
      <w:r w:rsidR="004676B7" w:rsidRPr="007C1A06">
        <w:rPr>
          <w:rFonts w:ascii="Times New Roman" w:hAnsi="Times New Roman"/>
        </w:rPr>
        <w:t> </w:t>
      </w:r>
      <w:r w:rsidRPr="007C1A06">
        <w:rPr>
          <w:rFonts w:ascii="Times New Roman" w:hAnsi="Times New Roman"/>
        </w:rPr>
        <w:t>val. iki docetakselio infuzijos (žr. 4.2 skyrių).</w:t>
      </w:r>
    </w:p>
    <w:p w14:paraId="6280F806" w14:textId="77777777" w:rsidR="00D875C0" w:rsidRPr="007C1A06" w:rsidRDefault="00D875C0" w:rsidP="00D875C0">
      <w:pPr>
        <w:autoSpaceDE w:val="0"/>
        <w:autoSpaceDN w:val="0"/>
        <w:adjustRightInd w:val="0"/>
        <w:spacing w:after="0" w:line="240" w:lineRule="auto"/>
        <w:rPr>
          <w:rFonts w:ascii="Times New Roman" w:hAnsi="Times New Roman"/>
        </w:rPr>
      </w:pPr>
    </w:p>
    <w:p w14:paraId="08B7F27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Hematologinės reakcijos</w:t>
      </w:r>
    </w:p>
    <w:p w14:paraId="13DDBBD7"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Docetakselio dažniausia nepageidaujama reakcija – neutropenija. Ryškiausio neutrofilų skaičiaus sumažėjimo mediana – 7</w:t>
      </w:r>
      <w:r w:rsidR="004676B7" w:rsidRPr="007C1A06">
        <w:rPr>
          <w:rFonts w:ascii="Times New Roman" w:hAnsi="Times New Roman"/>
        </w:rPr>
        <w:t> </w:t>
      </w:r>
      <w:r w:rsidRPr="007C1A06">
        <w:rPr>
          <w:rFonts w:ascii="Times New Roman" w:hAnsi="Times New Roman"/>
        </w:rPr>
        <w:t>dienos po vaistinio preparato vartojimo, bet, jei iki tol buvo gydyta ekstensyviai, ji gali pasireikšti ir anksčiau. Reikia dažnai tirti visų docetakseliu gydomų pacientų bendrą kraujo tyrimą. Kitą docetakselio dozę reikia lašinti tada, kai neutrofilų skaičius tampa 1500/mm</w:t>
      </w:r>
      <w:r w:rsidRPr="007C1A06">
        <w:rPr>
          <w:rFonts w:ascii="Times New Roman" w:hAnsi="Times New Roman"/>
          <w:vertAlign w:val="superscript"/>
        </w:rPr>
        <w:t>3</w:t>
      </w:r>
      <w:r w:rsidRPr="007C1A06">
        <w:rPr>
          <w:rFonts w:ascii="Times New Roman" w:hAnsi="Times New Roman"/>
        </w:rPr>
        <w:t xml:space="preserve"> arba didesnis (žr. 4.2 skyrių).</w:t>
      </w:r>
    </w:p>
    <w:p w14:paraId="3C7BDD3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Jei gydymo docetakseliu metu pasireiškė sunki neutropenija (7</w:t>
      </w:r>
      <w:r w:rsidR="004676B7" w:rsidRPr="007C1A06">
        <w:rPr>
          <w:rFonts w:ascii="Times New Roman" w:hAnsi="Times New Roman"/>
        </w:rPr>
        <w:t> </w:t>
      </w:r>
      <w:r w:rsidRPr="007C1A06">
        <w:rPr>
          <w:rFonts w:ascii="Times New Roman" w:hAnsi="Times New Roman"/>
        </w:rPr>
        <w:t>dienas arba ilgiau neutrofilų skaičius buvo mažesnis kaip 500/mm</w:t>
      </w:r>
      <w:r w:rsidRPr="007C1A06">
        <w:rPr>
          <w:rFonts w:ascii="Times New Roman" w:hAnsi="Times New Roman"/>
          <w:vertAlign w:val="superscript"/>
        </w:rPr>
        <w:t>3</w:t>
      </w:r>
      <w:r w:rsidRPr="007C1A06">
        <w:rPr>
          <w:rFonts w:ascii="Times New Roman" w:hAnsi="Times New Roman"/>
        </w:rPr>
        <w:t>), tai vėlesnių gydymo kursų metu rekomenduojama infuzuoti mažesnę šio vaistinio preparato dozę arba imtis simptominių priemonių (žr. 4.2 skyrių).</w:t>
      </w:r>
    </w:p>
    <w:p w14:paraId="76E1F345"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Jei pacientams, kurie docetakselį vartojo kartu su cisplatina ir 5-fluorouracilu (TCF), būdavo skiriamas profilaktinis gydymas G-KSF, febrilinė neutropenija bei su neutropenija susijusių infekcijų pasireikšdavo rečiau. Siekiant, kad sumažėtų komplikuotos neutropenijos (febrilinės neutropenijos, ilgalaikės neutropenijos ar su neutropenija susijusios infekcijos) pavojus, pacientams, kurie gydomi naudojant TCF schemą, būtina taikyti profilaktiką G-KSF. Pacientus, kurie gydomi naudojant TCF schemą, būtina atidžiai monitoruoti (žr. 4.2 ir 4.8 skyrius).</w:t>
      </w:r>
    </w:p>
    <w:p w14:paraId="553EA70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Jei pacientams, gydytiems docetakseliu derinyje su doksorub</w:t>
      </w:r>
      <w:r w:rsidR="00807371" w:rsidRPr="007C1A06">
        <w:rPr>
          <w:rFonts w:ascii="Times New Roman" w:hAnsi="Times New Roman"/>
        </w:rPr>
        <w:t>i</w:t>
      </w:r>
      <w:r w:rsidRPr="007C1A06">
        <w:rPr>
          <w:rFonts w:ascii="Times New Roman" w:hAnsi="Times New Roman"/>
        </w:rPr>
        <w:t>cinu ir ciklofos</w:t>
      </w:r>
      <w:r w:rsidR="00807371" w:rsidRPr="007C1A06">
        <w:rPr>
          <w:rFonts w:ascii="Times New Roman" w:hAnsi="Times New Roman"/>
        </w:rPr>
        <w:t>f</w:t>
      </w:r>
      <w:r w:rsidRPr="007C1A06">
        <w:rPr>
          <w:rFonts w:ascii="Times New Roman" w:hAnsi="Times New Roman"/>
        </w:rPr>
        <w:t>amidu (TAC), pradžioje buvo skiriamas profilaktinis gydymas G-KSF, febrilinė neutropenija ir (arba) su neutropenija susijusios infekcijos pasireikšdavo rečiau. Kad sumažėtų komplikuotos neutropenijos (febrilinės neutropenijos, ilgalaikės neutropenijos ar su neutropenija susijusios infekcijos) pavojus, pacientams, kurie gydomi naudojant TAC schemą krūties vėžio gydymui, būtina pirminė profilaktika G-KSF. Pacientus, kurie gydomi naudojant TAC schemą, būtina atidžiai stebėti (žr. 4.2 ir 4.8 skyrius).</w:t>
      </w:r>
    </w:p>
    <w:p w14:paraId="5F9ADF9B" w14:textId="77777777" w:rsidR="00D875C0" w:rsidRDefault="00D875C0" w:rsidP="00D875C0">
      <w:pPr>
        <w:autoSpaceDE w:val="0"/>
        <w:autoSpaceDN w:val="0"/>
        <w:adjustRightInd w:val="0"/>
        <w:spacing w:after="0" w:line="240" w:lineRule="auto"/>
        <w:rPr>
          <w:rFonts w:ascii="Times New Roman" w:hAnsi="Times New Roman"/>
        </w:rPr>
      </w:pPr>
    </w:p>
    <w:p w14:paraId="53812742" w14:textId="77777777" w:rsidR="00BA594A" w:rsidRPr="00BA594A" w:rsidRDefault="00BA594A" w:rsidP="00BA594A">
      <w:pPr>
        <w:autoSpaceDE w:val="0"/>
        <w:autoSpaceDN w:val="0"/>
        <w:adjustRightInd w:val="0"/>
        <w:spacing w:after="0" w:line="240" w:lineRule="auto"/>
        <w:rPr>
          <w:rFonts w:ascii="Times New Roman" w:eastAsia="Times New Roman" w:hAnsi="Times New Roman" w:cs="Times New Roman"/>
          <w:u w:val="single"/>
        </w:rPr>
      </w:pPr>
      <w:r w:rsidRPr="00BA594A">
        <w:rPr>
          <w:rFonts w:ascii="Times New Roman" w:eastAsia="Times New Roman" w:hAnsi="Times New Roman" w:cs="Times New Roman"/>
          <w:u w:val="single"/>
        </w:rPr>
        <w:t xml:space="preserve">Virškinimo trakto reakcijos </w:t>
      </w:r>
    </w:p>
    <w:p w14:paraId="1CCBE2AD" w14:textId="77777777" w:rsidR="00BA594A" w:rsidRPr="00BA594A" w:rsidRDefault="00632581" w:rsidP="00632581">
      <w:pPr>
        <w:autoSpaceDE w:val="0"/>
        <w:autoSpaceDN w:val="0"/>
        <w:adjustRightInd w:val="0"/>
        <w:spacing w:after="0" w:line="240" w:lineRule="auto"/>
        <w:rPr>
          <w:rFonts w:ascii="Times New Roman" w:eastAsia="Times New Roman" w:hAnsi="Times New Roman" w:cs="Times New Roman"/>
        </w:rPr>
      </w:pPr>
      <w:r w:rsidRPr="00632581">
        <w:rPr>
          <w:rFonts w:ascii="Times New Roman" w:eastAsia="Times New Roman" w:hAnsi="Times New Roman" w:cs="Times New Roman"/>
        </w:rPr>
        <w:t xml:space="preserve">Atsargiai gydyti rekomenduojama pacientus, kuriems yra neutropenija, ypač </w:t>
      </w:r>
      <w:r>
        <w:rPr>
          <w:rFonts w:ascii="Times New Roman" w:eastAsia="Times New Roman" w:hAnsi="Times New Roman" w:cs="Times New Roman"/>
        </w:rPr>
        <w:t>jeigu yra</w:t>
      </w:r>
      <w:r w:rsidRPr="00632581">
        <w:rPr>
          <w:rFonts w:ascii="Times New Roman" w:eastAsia="Times New Roman" w:hAnsi="Times New Roman" w:cs="Times New Roman"/>
        </w:rPr>
        <w:t xml:space="preserve"> virškinimo</w:t>
      </w:r>
      <w:r>
        <w:rPr>
          <w:rFonts w:ascii="Times New Roman" w:eastAsia="Times New Roman" w:hAnsi="Times New Roman" w:cs="Times New Roman"/>
        </w:rPr>
        <w:t xml:space="preserve"> </w:t>
      </w:r>
      <w:r w:rsidRPr="00632581">
        <w:rPr>
          <w:rFonts w:ascii="Times New Roman" w:eastAsia="Times New Roman" w:hAnsi="Times New Roman" w:cs="Times New Roman"/>
        </w:rPr>
        <w:t xml:space="preserve">trakto komplikacijų </w:t>
      </w:r>
      <w:r>
        <w:rPr>
          <w:rFonts w:ascii="Times New Roman" w:eastAsia="Times New Roman" w:hAnsi="Times New Roman" w:cs="Times New Roman"/>
        </w:rPr>
        <w:t>išsivystymo</w:t>
      </w:r>
      <w:r w:rsidRPr="00632581">
        <w:rPr>
          <w:rFonts w:ascii="Times New Roman" w:eastAsia="Times New Roman" w:hAnsi="Times New Roman" w:cs="Times New Roman"/>
        </w:rPr>
        <w:t xml:space="preserve"> rizik</w:t>
      </w:r>
      <w:r>
        <w:rPr>
          <w:rFonts w:ascii="Times New Roman" w:eastAsia="Times New Roman" w:hAnsi="Times New Roman" w:cs="Times New Roman"/>
        </w:rPr>
        <w:t>a</w:t>
      </w:r>
      <w:r w:rsidRPr="00632581">
        <w:rPr>
          <w:rFonts w:ascii="Times New Roman" w:eastAsia="Times New Roman" w:hAnsi="Times New Roman" w:cs="Times New Roman"/>
        </w:rPr>
        <w:t xml:space="preserve">. Nors dauguma atvejų atsirado gydymo schemos, </w:t>
      </w:r>
      <w:r>
        <w:rPr>
          <w:rFonts w:ascii="Times New Roman" w:eastAsia="Times New Roman" w:hAnsi="Times New Roman" w:cs="Times New Roman"/>
        </w:rPr>
        <w:t>kurios sudėtyje</w:t>
      </w:r>
      <w:r w:rsidRPr="00632581">
        <w:rPr>
          <w:rFonts w:ascii="Times New Roman" w:eastAsia="Times New Roman" w:hAnsi="Times New Roman" w:cs="Times New Roman"/>
        </w:rPr>
        <w:t xml:space="preserve"> yra docetakseli</w:t>
      </w:r>
      <w:r>
        <w:rPr>
          <w:rFonts w:ascii="Times New Roman" w:eastAsia="Times New Roman" w:hAnsi="Times New Roman" w:cs="Times New Roman"/>
        </w:rPr>
        <w:t>o</w:t>
      </w:r>
      <w:r w:rsidRPr="00632581">
        <w:rPr>
          <w:rFonts w:ascii="Times New Roman" w:eastAsia="Times New Roman" w:hAnsi="Times New Roman" w:cs="Times New Roman"/>
        </w:rPr>
        <w:t>, pirmojo ar antrojo ciklų metu, enterokolitas gali</w:t>
      </w:r>
      <w:r>
        <w:rPr>
          <w:rFonts w:ascii="Times New Roman" w:eastAsia="Times New Roman" w:hAnsi="Times New Roman" w:cs="Times New Roman"/>
        </w:rPr>
        <w:t xml:space="preserve"> </w:t>
      </w:r>
      <w:r w:rsidRPr="00632581">
        <w:rPr>
          <w:rFonts w:ascii="Times New Roman" w:eastAsia="Times New Roman" w:hAnsi="Times New Roman" w:cs="Times New Roman"/>
        </w:rPr>
        <w:t>pasireikšti bet kuriuo metu ir gali sukelti mirtį jau pirmąją pasireiškimo dieną. Pacientus būtina</w:t>
      </w:r>
      <w:r>
        <w:rPr>
          <w:rFonts w:ascii="Times New Roman" w:eastAsia="Times New Roman" w:hAnsi="Times New Roman" w:cs="Times New Roman"/>
        </w:rPr>
        <w:t xml:space="preserve"> </w:t>
      </w:r>
      <w:r w:rsidRPr="00632581">
        <w:rPr>
          <w:rFonts w:ascii="Times New Roman" w:eastAsia="Times New Roman" w:hAnsi="Times New Roman" w:cs="Times New Roman"/>
        </w:rPr>
        <w:t>atidžiai stebėti, ar nepasireiškia ankstyvųjų virškinimo trakto sunkaus toksinio poveikio požymių (žr.</w:t>
      </w:r>
      <w:r>
        <w:rPr>
          <w:rFonts w:ascii="Times New Roman" w:eastAsia="Times New Roman" w:hAnsi="Times New Roman" w:cs="Times New Roman"/>
        </w:rPr>
        <w:t xml:space="preserve"> </w:t>
      </w:r>
      <w:r w:rsidRPr="00632581">
        <w:rPr>
          <w:rFonts w:ascii="Times New Roman" w:eastAsia="Times New Roman" w:hAnsi="Times New Roman" w:cs="Times New Roman"/>
        </w:rPr>
        <w:t>4.2 skyrių, 4.4 skyriaus poskyrį „Hematologinės reakcijos“ ir 4.8 skyrių).</w:t>
      </w:r>
      <w:r w:rsidR="00BA594A" w:rsidRPr="00BA594A">
        <w:rPr>
          <w:rFonts w:ascii="Times New Roman" w:eastAsia="Times New Roman" w:hAnsi="Times New Roman" w:cs="Times New Roman"/>
        </w:rPr>
        <w:t xml:space="preserve"> </w:t>
      </w:r>
    </w:p>
    <w:p w14:paraId="54C3B634" w14:textId="77777777" w:rsidR="00BA594A" w:rsidRPr="007C1A06" w:rsidRDefault="00BA594A" w:rsidP="00D875C0">
      <w:pPr>
        <w:autoSpaceDE w:val="0"/>
        <w:autoSpaceDN w:val="0"/>
        <w:adjustRightInd w:val="0"/>
        <w:spacing w:after="0" w:line="240" w:lineRule="auto"/>
        <w:rPr>
          <w:rFonts w:ascii="Times New Roman" w:hAnsi="Times New Roman"/>
        </w:rPr>
      </w:pPr>
    </w:p>
    <w:p w14:paraId="7331BAEF"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1201CA">
        <w:rPr>
          <w:rFonts w:ascii="Times New Roman" w:hAnsi="Times New Roman"/>
          <w:u w:val="single"/>
        </w:rPr>
        <w:t>Padidėjusio jautrumo reakcijos</w:t>
      </w:r>
    </w:p>
    <w:p w14:paraId="55DD5F0E"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Reikia atidžiai stebėti, ar nepasireiškė padidėjusio jautrumo reakcijų, ypač pi</w:t>
      </w:r>
      <w:r w:rsidR="00807371" w:rsidRPr="007C1A06">
        <w:rPr>
          <w:rFonts w:ascii="Times New Roman" w:hAnsi="Times New Roman"/>
        </w:rPr>
        <w:t>r</w:t>
      </w:r>
      <w:r w:rsidRPr="007C1A06">
        <w:rPr>
          <w:rFonts w:ascii="Times New Roman" w:hAnsi="Times New Roman"/>
        </w:rPr>
        <w:t>mosios ir antrosios infuzijos metu. Pradėjus infuzuoti docetakselį, padidėjusio jautrumo reakcijų gali pasireikšti per kelias minutes, dėl to reikia pasirūpinti priemonėmis hipotenzijai ir bronchų spazmui šalinti. Dėl lengvų padidėjusio jautrumo reakcijos simptomų (veido paraudimo dėl kraujo priplūdimo, lokalių odos reakcijų), infuzijos nutraukti nereikia. Jei pasireiškia sunkių reakcijų, t.</w:t>
      </w:r>
      <w:r w:rsidR="00A94026">
        <w:rPr>
          <w:rFonts w:ascii="Times New Roman" w:hAnsi="Times New Roman"/>
        </w:rPr>
        <w:t xml:space="preserve"> </w:t>
      </w:r>
      <w:r w:rsidRPr="007C1A06">
        <w:rPr>
          <w:rFonts w:ascii="Times New Roman" w:hAnsi="Times New Roman"/>
        </w:rPr>
        <w:t>y. sunki hipotenzija, bronchų spazmas arba išplitęs išbėrimas (eritema), būtina nedelsiant nutraukti docetakselio infuziją ir gydyti atitinkamai. Jei buvo sunkių padidėjusio jautrumo reakcijų, negalima pakartotinai skirti docetakselio.</w:t>
      </w:r>
    </w:p>
    <w:p w14:paraId="28947C38" w14:textId="77777777" w:rsidR="003876F8" w:rsidRPr="004E3CD5" w:rsidRDefault="003876F8" w:rsidP="004E3CD5">
      <w:pPr>
        <w:pStyle w:val="Pagrindinistekstas"/>
        <w:ind w:right="215"/>
        <w:jc w:val="left"/>
      </w:pPr>
      <w:r w:rsidRPr="004E3CD5">
        <w:rPr>
          <w:sz w:val="22"/>
        </w:rPr>
        <w:t xml:space="preserve">Pacientams, kuriems </w:t>
      </w:r>
      <w:r w:rsidR="002D7EE1" w:rsidRPr="004E3CD5">
        <w:rPr>
          <w:sz w:val="22"/>
        </w:rPr>
        <w:t>anksčiau</w:t>
      </w:r>
      <w:r w:rsidRPr="004E3CD5">
        <w:rPr>
          <w:sz w:val="22"/>
        </w:rPr>
        <w:t xml:space="preserve"> buvo </w:t>
      </w:r>
      <w:r w:rsidR="002D7EE1" w:rsidRPr="004E3CD5">
        <w:rPr>
          <w:sz w:val="22"/>
        </w:rPr>
        <w:t>pasireiš</w:t>
      </w:r>
      <w:r w:rsidRPr="004E3CD5">
        <w:rPr>
          <w:sz w:val="22"/>
        </w:rPr>
        <w:t xml:space="preserve">kusi </w:t>
      </w:r>
      <w:r w:rsidR="002D7EE1" w:rsidRPr="004E3CD5">
        <w:rPr>
          <w:sz w:val="22"/>
        </w:rPr>
        <w:t>padidėjusio</w:t>
      </w:r>
      <w:r w:rsidRPr="004E3CD5">
        <w:rPr>
          <w:sz w:val="22"/>
        </w:rPr>
        <w:t xml:space="preserve"> jautrumo reakci</w:t>
      </w:r>
      <w:r w:rsidR="002D7EE1" w:rsidRPr="004E3CD5">
        <w:rPr>
          <w:sz w:val="22"/>
        </w:rPr>
        <w:t>j</w:t>
      </w:r>
      <w:r w:rsidRPr="004E3CD5">
        <w:rPr>
          <w:sz w:val="22"/>
        </w:rPr>
        <w:t xml:space="preserve">a </w:t>
      </w:r>
      <w:r w:rsidR="002D7EE1" w:rsidRPr="004E3CD5">
        <w:rPr>
          <w:sz w:val="22"/>
        </w:rPr>
        <w:t>paklitaksel</w:t>
      </w:r>
      <w:r w:rsidR="00281750" w:rsidRPr="004E3CD5">
        <w:rPr>
          <w:sz w:val="22"/>
        </w:rPr>
        <w:t>iui</w:t>
      </w:r>
      <w:r w:rsidRPr="004E3CD5">
        <w:rPr>
          <w:sz w:val="22"/>
        </w:rPr>
        <w:t xml:space="preserve">, gali </w:t>
      </w:r>
      <w:r w:rsidR="002D7EE1" w:rsidRPr="004E3CD5">
        <w:rPr>
          <w:sz w:val="22"/>
        </w:rPr>
        <w:t>bū</w:t>
      </w:r>
      <w:r w:rsidRPr="004E3CD5">
        <w:rPr>
          <w:sz w:val="22"/>
        </w:rPr>
        <w:t xml:space="preserve">ti </w:t>
      </w:r>
      <w:r w:rsidR="002D7EE1" w:rsidRPr="004E3CD5">
        <w:rPr>
          <w:sz w:val="22"/>
        </w:rPr>
        <w:t>padidėjusio</w:t>
      </w:r>
      <w:r w:rsidRPr="004E3CD5">
        <w:rPr>
          <w:sz w:val="22"/>
        </w:rPr>
        <w:t xml:space="preserve"> jautrumo reakcijos </w:t>
      </w:r>
      <w:r w:rsidR="002D7EE1" w:rsidRPr="004E3CD5">
        <w:rPr>
          <w:sz w:val="22"/>
        </w:rPr>
        <w:t>docetaksel</w:t>
      </w:r>
      <w:r w:rsidR="00281750" w:rsidRPr="004E3CD5">
        <w:rPr>
          <w:sz w:val="22"/>
        </w:rPr>
        <w:t>iui</w:t>
      </w:r>
      <w:r w:rsidRPr="004E3CD5">
        <w:rPr>
          <w:sz w:val="22"/>
        </w:rPr>
        <w:t xml:space="preserve">, </w:t>
      </w:r>
      <w:r w:rsidR="002D7EE1" w:rsidRPr="007C1A06">
        <w:rPr>
          <w:sz w:val="22"/>
          <w:szCs w:val="22"/>
        </w:rPr>
        <w:t>įskaitant</w:t>
      </w:r>
      <w:r w:rsidR="00F95B76">
        <w:rPr>
          <w:sz w:val="22"/>
          <w:szCs w:val="22"/>
        </w:rPr>
        <w:t xml:space="preserve"> </w:t>
      </w:r>
      <w:r w:rsidR="002D7EE1" w:rsidRPr="007C1A06">
        <w:rPr>
          <w:sz w:val="22"/>
          <w:szCs w:val="22"/>
        </w:rPr>
        <w:t>sunkesnę</w:t>
      </w:r>
      <w:r w:rsidR="00F95B76">
        <w:rPr>
          <w:sz w:val="22"/>
          <w:szCs w:val="22"/>
        </w:rPr>
        <w:t xml:space="preserve"> </w:t>
      </w:r>
      <w:r w:rsidR="002D7EE1" w:rsidRPr="007C1A06">
        <w:rPr>
          <w:sz w:val="22"/>
          <w:szCs w:val="22"/>
        </w:rPr>
        <w:t>padidėj</w:t>
      </w:r>
      <w:r w:rsidRPr="007C1A06">
        <w:rPr>
          <w:sz w:val="22"/>
          <w:szCs w:val="22"/>
        </w:rPr>
        <w:t>usio</w:t>
      </w:r>
      <w:r w:rsidRPr="004E3CD5">
        <w:rPr>
          <w:sz w:val="22"/>
        </w:rPr>
        <w:t xml:space="preserve"> jautrumo reakci</w:t>
      </w:r>
      <w:r w:rsidR="002D7EE1" w:rsidRPr="004E3CD5">
        <w:rPr>
          <w:sz w:val="22"/>
        </w:rPr>
        <w:t>ją</w:t>
      </w:r>
      <w:r w:rsidRPr="004E3CD5">
        <w:rPr>
          <w:sz w:val="22"/>
        </w:rPr>
        <w:t>, atsiradimo rizika.</w:t>
      </w:r>
      <w:r w:rsidR="00EC5B32">
        <w:rPr>
          <w:sz w:val="22"/>
        </w:rPr>
        <w:t xml:space="preserve"> </w:t>
      </w:r>
      <w:r w:rsidRPr="004E3CD5">
        <w:rPr>
          <w:sz w:val="22"/>
        </w:rPr>
        <w:t>Pradedant gyd</w:t>
      </w:r>
      <w:r w:rsidR="002D7EE1" w:rsidRPr="004E3CD5">
        <w:rPr>
          <w:sz w:val="22"/>
        </w:rPr>
        <w:t>ymą</w:t>
      </w:r>
      <w:r w:rsidRPr="004E3CD5">
        <w:rPr>
          <w:sz w:val="22"/>
        </w:rPr>
        <w:t xml:space="preserve"> docetakseliu, tokius pacientus reikia </w:t>
      </w:r>
      <w:r w:rsidR="002D7EE1" w:rsidRPr="007C1A06">
        <w:rPr>
          <w:sz w:val="22"/>
          <w:szCs w:val="22"/>
        </w:rPr>
        <w:t>atidžiai</w:t>
      </w:r>
      <w:r w:rsidR="00F95B76">
        <w:rPr>
          <w:sz w:val="22"/>
          <w:szCs w:val="22"/>
        </w:rPr>
        <w:t xml:space="preserve"> </w:t>
      </w:r>
      <w:r w:rsidR="002D7EE1" w:rsidRPr="007C1A06">
        <w:rPr>
          <w:sz w:val="22"/>
          <w:szCs w:val="22"/>
        </w:rPr>
        <w:t>stebėti</w:t>
      </w:r>
      <w:r w:rsidRPr="004E3CD5">
        <w:rPr>
          <w:sz w:val="22"/>
        </w:rPr>
        <w:t>.</w:t>
      </w:r>
    </w:p>
    <w:p w14:paraId="636E4BE7" w14:textId="77777777" w:rsidR="00D875C0" w:rsidRPr="00F957E7" w:rsidRDefault="00D875C0" w:rsidP="00D875C0">
      <w:pPr>
        <w:autoSpaceDE w:val="0"/>
        <w:autoSpaceDN w:val="0"/>
        <w:adjustRightInd w:val="0"/>
        <w:spacing w:after="0" w:line="240" w:lineRule="auto"/>
        <w:rPr>
          <w:rFonts w:ascii="Times New Roman" w:hAnsi="Times New Roman"/>
        </w:rPr>
      </w:pPr>
    </w:p>
    <w:p w14:paraId="1962DBC6" w14:textId="77777777" w:rsidR="00D875C0" w:rsidRPr="00F95B76" w:rsidRDefault="00D875C0" w:rsidP="00D875C0">
      <w:pPr>
        <w:autoSpaceDE w:val="0"/>
        <w:autoSpaceDN w:val="0"/>
        <w:adjustRightInd w:val="0"/>
        <w:spacing w:after="0" w:line="240" w:lineRule="auto"/>
        <w:rPr>
          <w:rFonts w:ascii="Times New Roman" w:hAnsi="Times New Roman"/>
          <w:u w:val="single"/>
        </w:rPr>
      </w:pPr>
      <w:r w:rsidRPr="00F95B76">
        <w:rPr>
          <w:rFonts w:ascii="Times New Roman" w:hAnsi="Times New Roman"/>
          <w:u w:val="single"/>
        </w:rPr>
        <w:t>Odos reakcijos</w:t>
      </w:r>
    </w:p>
    <w:p w14:paraId="00960244" w14:textId="77777777" w:rsidR="00D875C0" w:rsidRDefault="00D875C0" w:rsidP="00D875C0">
      <w:pPr>
        <w:autoSpaceDE w:val="0"/>
        <w:autoSpaceDN w:val="0"/>
        <w:adjustRightInd w:val="0"/>
        <w:spacing w:after="0" w:line="240" w:lineRule="auto"/>
        <w:rPr>
          <w:rFonts w:ascii="Times New Roman" w:hAnsi="Times New Roman"/>
        </w:rPr>
      </w:pPr>
      <w:r w:rsidRPr="001F2C46">
        <w:rPr>
          <w:rFonts w:ascii="Times New Roman" w:hAnsi="Times New Roman"/>
        </w:rPr>
        <w:t>Pasitaikė atvejų, kai pasireiškė lokali galūnių (delnų ir padų)</w:t>
      </w:r>
      <w:r w:rsidRPr="00427D92">
        <w:rPr>
          <w:rFonts w:ascii="Times New Roman" w:hAnsi="Times New Roman"/>
        </w:rPr>
        <w:t xml:space="preserve"> odos eritema su edema, po to deskvamacija. Pranešta atvejų apie sunkių simptomų pasireiškimą (bėrimas, po kurio įvyko deskvamacija), dėl kurių teko laikinai ar visam laikui nutraukti docetakselio vartojimą (žr. 4.2 skyrių).</w:t>
      </w:r>
    </w:p>
    <w:p w14:paraId="15E19B2F" w14:textId="77777777" w:rsidR="003B15C8" w:rsidRDefault="003B15C8" w:rsidP="00D875C0">
      <w:pPr>
        <w:autoSpaceDE w:val="0"/>
        <w:autoSpaceDN w:val="0"/>
        <w:adjustRightInd w:val="0"/>
        <w:spacing w:after="0" w:line="240" w:lineRule="auto"/>
        <w:rPr>
          <w:rFonts w:ascii="Times New Roman" w:hAnsi="Times New Roman"/>
        </w:rPr>
      </w:pPr>
    </w:p>
    <w:p w14:paraId="0B0B218F" w14:textId="77777777" w:rsidR="003B15C8" w:rsidRPr="00427D92" w:rsidRDefault="003B15C8" w:rsidP="002B29BD">
      <w:pPr>
        <w:autoSpaceDE w:val="0"/>
        <w:autoSpaceDN w:val="0"/>
        <w:adjustRightInd w:val="0"/>
        <w:spacing w:after="0" w:line="240" w:lineRule="auto"/>
        <w:rPr>
          <w:rFonts w:ascii="Times New Roman" w:hAnsi="Times New Roman"/>
        </w:rPr>
      </w:pPr>
      <w:r w:rsidRPr="00F54C45">
        <w:rPr>
          <w:rFonts w:ascii="Times New Roman" w:hAnsi="Times New Roman"/>
        </w:rPr>
        <w:t>Gauta praneš</w:t>
      </w:r>
      <w:r w:rsidR="002B29BD" w:rsidRPr="002B29BD">
        <w:rPr>
          <w:rFonts w:ascii="Times New Roman" w:hAnsi="Times New Roman"/>
        </w:rPr>
        <w:t>im</w:t>
      </w:r>
      <w:r w:rsidR="002B29BD">
        <w:rPr>
          <w:rFonts w:ascii="Times New Roman" w:hAnsi="Times New Roman"/>
        </w:rPr>
        <w:t>ų</w:t>
      </w:r>
      <w:r w:rsidRPr="00F54C45">
        <w:rPr>
          <w:rFonts w:ascii="Times New Roman" w:hAnsi="Times New Roman"/>
        </w:rPr>
        <w:t xml:space="preserve"> </w:t>
      </w:r>
      <w:r w:rsidR="002B29BD">
        <w:rPr>
          <w:rFonts w:ascii="Times New Roman" w:hAnsi="Times New Roman"/>
        </w:rPr>
        <w:t xml:space="preserve">apie su docetakselio vartojimu susijusias </w:t>
      </w:r>
      <w:r w:rsidR="002B29BD" w:rsidRPr="00F54C45">
        <w:rPr>
          <w:rFonts w:ascii="Times New Roman" w:hAnsi="Times New Roman"/>
        </w:rPr>
        <w:t>sunkias odos nepageidaujamas reakcijas</w:t>
      </w:r>
      <w:r w:rsidR="002F291E">
        <w:rPr>
          <w:rFonts w:ascii="Times New Roman" w:hAnsi="Times New Roman"/>
        </w:rPr>
        <w:t xml:space="preserve"> </w:t>
      </w:r>
      <w:r w:rsidR="002B29BD" w:rsidRPr="00F54C45">
        <w:rPr>
          <w:rFonts w:ascii="Times New Roman" w:hAnsi="Times New Roman"/>
        </w:rPr>
        <w:t>(SONR), pvz., Stivenso-Džonsono (Stevens-Johnson) sindromą (SJS), toksinę epidermio nekrolizę</w:t>
      </w:r>
      <w:r w:rsidR="002F291E">
        <w:rPr>
          <w:rFonts w:ascii="Times New Roman" w:hAnsi="Times New Roman"/>
        </w:rPr>
        <w:t xml:space="preserve"> </w:t>
      </w:r>
      <w:r w:rsidR="002B29BD" w:rsidRPr="00F54C45">
        <w:rPr>
          <w:rFonts w:ascii="Times New Roman" w:hAnsi="Times New Roman"/>
        </w:rPr>
        <w:t>(TEN) ir ūminę išplitusią egzanteminę pustuliozę (</w:t>
      </w:r>
      <w:r w:rsidR="002B29BD" w:rsidRPr="00F54C45">
        <w:rPr>
          <w:rFonts w:ascii="Times New Roman" w:hAnsi="Times New Roman"/>
          <w:i/>
          <w:iCs/>
        </w:rPr>
        <w:t>angl.</w:t>
      </w:r>
      <w:r w:rsidR="002B29BD" w:rsidRPr="00F54C45">
        <w:rPr>
          <w:rFonts w:ascii="Times New Roman" w:hAnsi="Times New Roman"/>
        </w:rPr>
        <w:t xml:space="preserve"> acute generalised exanthematous pustulosis,</w:t>
      </w:r>
      <w:r w:rsidR="002F291E">
        <w:rPr>
          <w:rFonts w:ascii="Times New Roman" w:hAnsi="Times New Roman"/>
        </w:rPr>
        <w:t xml:space="preserve"> </w:t>
      </w:r>
      <w:r w:rsidR="002B29BD" w:rsidRPr="00F54C45">
        <w:rPr>
          <w:rFonts w:ascii="Times New Roman" w:hAnsi="Times New Roman"/>
        </w:rPr>
        <w:t>AGEP). Pacientus reikia informuoti, kokie yra sunkių odos sutrikimų požymiai ir simptomai, ir juos</w:t>
      </w:r>
      <w:r w:rsidR="002F291E">
        <w:rPr>
          <w:rFonts w:ascii="Times New Roman" w:hAnsi="Times New Roman"/>
        </w:rPr>
        <w:t xml:space="preserve"> </w:t>
      </w:r>
      <w:r w:rsidR="002B29BD" w:rsidRPr="00F54C45">
        <w:rPr>
          <w:rFonts w:ascii="Times New Roman" w:hAnsi="Times New Roman"/>
        </w:rPr>
        <w:t xml:space="preserve">atidžiai stebėti. Jeigu atsiranda tokioms reakcijoms būdingų požymių </w:t>
      </w:r>
      <w:r w:rsidR="002F291E">
        <w:rPr>
          <w:rFonts w:ascii="Times New Roman" w:hAnsi="Times New Roman"/>
        </w:rPr>
        <w:t>i</w:t>
      </w:r>
      <w:r w:rsidR="002B29BD" w:rsidRPr="00F54C45">
        <w:rPr>
          <w:rFonts w:ascii="Times New Roman" w:hAnsi="Times New Roman"/>
        </w:rPr>
        <w:t>r simptomų, būtina apsvarstyti</w:t>
      </w:r>
      <w:r w:rsidR="002F291E">
        <w:rPr>
          <w:rFonts w:ascii="Times New Roman" w:hAnsi="Times New Roman"/>
        </w:rPr>
        <w:t xml:space="preserve"> </w:t>
      </w:r>
      <w:r w:rsidR="002B29BD" w:rsidRPr="00F54C45">
        <w:rPr>
          <w:rFonts w:ascii="Times New Roman" w:hAnsi="Times New Roman"/>
        </w:rPr>
        <w:t>gydymo docetakseliu nutraukimą.</w:t>
      </w:r>
    </w:p>
    <w:p w14:paraId="451334DE" w14:textId="77777777" w:rsidR="00D875C0" w:rsidRPr="00C722B4" w:rsidRDefault="00D875C0" w:rsidP="00D875C0">
      <w:pPr>
        <w:autoSpaceDE w:val="0"/>
        <w:autoSpaceDN w:val="0"/>
        <w:adjustRightInd w:val="0"/>
        <w:spacing w:after="0" w:line="240" w:lineRule="auto"/>
        <w:rPr>
          <w:rFonts w:ascii="Times New Roman" w:hAnsi="Times New Roman"/>
        </w:rPr>
      </w:pPr>
    </w:p>
    <w:p w14:paraId="0CDFF68A" w14:textId="77777777" w:rsidR="00D875C0" w:rsidRPr="00C933B1" w:rsidRDefault="000B6150" w:rsidP="00D875C0">
      <w:pPr>
        <w:autoSpaceDE w:val="0"/>
        <w:autoSpaceDN w:val="0"/>
        <w:adjustRightInd w:val="0"/>
        <w:spacing w:after="0" w:line="240" w:lineRule="auto"/>
        <w:rPr>
          <w:rFonts w:ascii="Times New Roman" w:eastAsiaTheme="minorEastAsia" w:hAnsi="Times New Roman"/>
          <w:u w:val="single"/>
          <w:lang w:eastAsia="zh-TW"/>
        </w:rPr>
      </w:pPr>
      <w:r w:rsidRPr="00C933B1">
        <w:rPr>
          <w:rFonts w:ascii="Times New Roman" w:hAnsi="Times New Roman"/>
          <w:u w:val="single"/>
        </w:rPr>
        <w:t xml:space="preserve">Skysčio </w:t>
      </w:r>
      <w:r w:rsidR="00D875C0" w:rsidRPr="00C933B1">
        <w:rPr>
          <w:rFonts w:ascii="Times New Roman" w:hAnsi="Times New Roman"/>
          <w:u w:val="single"/>
        </w:rPr>
        <w:t>susilaikymas</w:t>
      </w:r>
    </w:p>
    <w:p w14:paraId="0701CBAD"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D9198F">
        <w:rPr>
          <w:rFonts w:ascii="Times New Roman" w:hAnsi="Times New Roman"/>
        </w:rPr>
        <w:t xml:space="preserve">Nustačius sunkų </w:t>
      </w:r>
      <w:r w:rsidR="000B6150" w:rsidRPr="00D9198F">
        <w:rPr>
          <w:rFonts w:ascii="Times New Roman" w:hAnsi="Times New Roman"/>
        </w:rPr>
        <w:t xml:space="preserve">skysčio </w:t>
      </w:r>
      <w:r w:rsidRPr="00D9198F">
        <w:rPr>
          <w:rFonts w:ascii="Times New Roman" w:hAnsi="Times New Roman"/>
        </w:rPr>
        <w:t xml:space="preserve">susilaikymą (pvz., pleuros efuziją, perikardo efuziją arba ascitą), </w:t>
      </w:r>
      <w:r w:rsidR="000B6150" w:rsidRPr="00D9198F">
        <w:rPr>
          <w:rFonts w:ascii="Times New Roman" w:hAnsi="Times New Roman"/>
        </w:rPr>
        <w:t xml:space="preserve">pacientus </w:t>
      </w:r>
      <w:r w:rsidRPr="00D9198F">
        <w:rPr>
          <w:rFonts w:ascii="Times New Roman" w:hAnsi="Times New Roman"/>
        </w:rPr>
        <w:t>reikia atidžiai stebėti.</w:t>
      </w:r>
    </w:p>
    <w:p w14:paraId="6AEF6085" w14:textId="77777777" w:rsidR="00D875C0" w:rsidRPr="007C1A06" w:rsidRDefault="00D875C0" w:rsidP="00D875C0">
      <w:pPr>
        <w:autoSpaceDE w:val="0"/>
        <w:autoSpaceDN w:val="0"/>
        <w:adjustRightInd w:val="0"/>
        <w:spacing w:after="0" w:line="240" w:lineRule="auto"/>
        <w:rPr>
          <w:rFonts w:ascii="Times New Roman" w:hAnsi="Times New Roman"/>
        </w:rPr>
      </w:pPr>
    </w:p>
    <w:p w14:paraId="7C56C2C0"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Kvėpavimo sistemos sutrikimai</w:t>
      </w:r>
    </w:p>
    <w:p w14:paraId="277A4A72" w14:textId="77777777" w:rsidR="00D875C0" w:rsidRPr="00874783"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Gauta pranešimų apie ūminio kvėpavimo sutrikimo (angl. </w:t>
      </w:r>
      <w:r w:rsidRPr="007C1A06">
        <w:rPr>
          <w:rFonts w:ascii="Times New Roman" w:hAnsi="Times New Roman"/>
          <w:i/>
        </w:rPr>
        <w:t>distress</w:t>
      </w:r>
      <w:r w:rsidRPr="004E3CD5">
        <w:rPr>
          <w:rFonts w:ascii="Times New Roman" w:hAnsi="Times New Roman"/>
        </w:rPr>
        <w:t xml:space="preserve">) </w:t>
      </w:r>
      <w:r w:rsidRPr="00F957E7">
        <w:rPr>
          <w:rFonts w:ascii="Times New Roman" w:hAnsi="Times New Roman"/>
        </w:rPr>
        <w:t xml:space="preserve">sindromą, intersticinę pneumoniją/pneumonitą, intersticinę plaučių ligą, plaučių </w:t>
      </w:r>
      <w:r w:rsidRPr="00F95B76">
        <w:rPr>
          <w:rFonts w:ascii="Times New Roman" w:hAnsi="Times New Roman"/>
        </w:rPr>
        <w:t>fibrozę ir kvėpavimo nepakankamumą, kurie gali būti mirties priežastimi. Gauta pranešimų apie spindulinio pneumonito atvejus pacientams, kuriems kartu buvo taikomas spindulinis gydymas.</w:t>
      </w:r>
    </w:p>
    <w:p w14:paraId="67C5E585" w14:textId="77777777" w:rsidR="005A5166" w:rsidRDefault="005A5166" w:rsidP="00D875C0">
      <w:pPr>
        <w:autoSpaceDE w:val="0"/>
        <w:autoSpaceDN w:val="0"/>
        <w:adjustRightInd w:val="0"/>
        <w:spacing w:after="0" w:line="240" w:lineRule="auto"/>
        <w:rPr>
          <w:rFonts w:ascii="Times New Roman" w:hAnsi="Times New Roman"/>
        </w:rPr>
      </w:pPr>
    </w:p>
    <w:p w14:paraId="1986B349" w14:textId="667D161B" w:rsidR="00D875C0" w:rsidRPr="00C722B4" w:rsidRDefault="00D875C0" w:rsidP="00D875C0">
      <w:pPr>
        <w:autoSpaceDE w:val="0"/>
        <w:autoSpaceDN w:val="0"/>
        <w:adjustRightInd w:val="0"/>
        <w:spacing w:after="0" w:line="240" w:lineRule="auto"/>
        <w:rPr>
          <w:rFonts w:ascii="Times New Roman" w:hAnsi="Times New Roman"/>
        </w:rPr>
      </w:pPr>
      <w:r w:rsidRPr="001F2C46">
        <w:rPr>
          <w:rFonts w:ascii="Times New Roman" w:hAnsi="Times New Roman"/>
        </w:rPr>
        <w:t xml:space="preserve">Atsiradus naujų arba pasunkėjus </w:t>
      </w:r>
      <w:r w:rsidRPr="00427D92">
        <w:rPr>
          <w:rFonts w:ascii="Times New Roman" w:hAnsi="Times New Roman"/>
        </w:rPr>
        <w:t>kvėpavimo sutrikimo simptomams, pacientą reikia atidžiai stebėti, skubiai ištirti ir paskirti tinkamą gydymą. Kol bus nustatyta diagnozė, rekomenduojama laikinai nutraukti gydymą docetakseliu. Anksti pradėtos taikyti pagalbinio gydymo priemonės gali pageri</w:t>
      </w:r>
      <w:r w:rsidRPr="00C722B4">
        <w:rPr>
          <w:rFonts w:ascii="Times New Roman" w:hAnsi="Times New Roman"/>
        </w:rPr>
        <w:t>nti būklę.</w:t>
      </w:r>
    </w:p>
    <w:p w14:paraId="5F98B00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Būtina atidžiai įvertinti gydymo docetakseliu tęsimo terapinę naudą.</w:t>
      </w:r>
    </w:p>
    <w:p w14:paraId="7FA561A4" w14:textId="77777777" w:rsidR="00D875C0" w:rsidRPr="007C1A06" w:rsidRDefault="00D875C0" w:rsidP="00D875C0">
      <w:pPr>
        <w:autoSpaceDE w:val="0"/>
        <w:autoSpaceDN w:val="0"/>
        <w:adjustRightInd w:val="0"/>
        <w:spacing w:after="0" w:line="240" w:lineRule="auto"/>
        <w:rPr>
          <w:rFonts w:ascii="Times New Roman" w:hAnsi="Times New Roman"/>
          <w:u w:val="single"/>
        </w:rPr>
      </w:pPr>
    </w:p>
    <w:p w14:paraId="069FC8C4" w14:textId="555E5D1B" w:rsidR="00F54C45" w:rsidRPr="000353CE" w:rsidRDefault="00F54C45" w:rsidP="00F54C45">
      <w:pPr>
        <w:autoSpaceDE w:val="0"/>
        <w:autoSpaceDN w:val="0"/>
        <w:adjustRightInd w:val="0"/>
        <w:spacing w:after="0" w:line="240" w:lineRule="auto"/>
        <w:rPr>
          <w:rFonts w:ascii="Times New Roman" w:hAnsi="Times New Roman"/>
          <w:u w:val="single"/>
        </w:rPr>
      </w:pPr>
      <w:r w:rsidRPr="000353CE">
        <w:rPr>
          <w:rFonts w:ascii="Times New Roman" w:hAnsi="Times New Roman"/>
          <w:u w:val="single"/>
        </w:rPr>
        <w:t>Pacienta</w:t>
      </w:r>
      <w:r w:rsidR="006359AB" w:rsidRPr="000353CE">
        <w:rPr>
          <w:rFonts w:ascii="Times New Roman" w:hAnsi="Times New Roman"/>
          <w:u w:val="single"/>
        </w:rPr>
        <w:t>i</w:t>
      </w:r>
      <w:r w:rsidRPr="000353CE">
        <w:rPr>
          <w:rFonts w:ascii="Times New Roman" w:hAnsi="Times New Roman"/>
          <w:u w:val="single"/>
        </w:rPr>
        <w:t>, kurių kepen</w:t>
      </w:r>
      <w:r w:rsidR="005A5166">
        <w:rPr>
          <w:rFonts w:ascii="Times New Roman" w:hAnsi="Times New Roman"/>
          <w:u w:val="single"/>
        </w:rPr>
        <w:t>ys pakenktos</w:t>
      </w:r>
      <w:r w:rsidRPr="000353CE">
        <w:rPr>
          <w:rFonts w:ascii="Times New Roman" w:hAnsi="Times New Roman"/>
          <w:u w:val="single"/>
        </w:rPr>
        <w:t xml:space="preserve"> </w:t>
      </w:r>
    </w:p>
    <w:p w14:paraId="3AE5C82B" w14:textId="77777777" w:rsidR="00D875C0" w:rsidRPr="000353CE" w:rsidRDefault="00D875C0" w:rsidP="00D875C0">
      <w:pPr>
        <w:autoSpaceDE w:val="0"/>
        <w:autoSpaceDN w:val="0"/>
        <w:adjustRightInd w:val="0"/>
        <w:spacing w:after="0" w:line="240" w:lineRule="auto"/>
        <w:rPr>
          <w:rFonts w:ascii="Times New Roman" w:eastAsiaTheme="minorEastAsia" w:hAnsi="Times New Roman"/>
          <w:lang w:eastAsia="zh-TW"/>
        </w:rPr>
      </w:pPr>
      <w:r w:rsidRPr="000353CE">
        <w:rPr>
          <w:rFonts w:ascii="Times New Roman" w:hAnsi="Times New Roman"/>
        </w:rPr>
        <w:t>Kai skiriama 100</w:t>
      </w:r>
      <w:r w:rsidR="004676B7" w:rsidRPr="000353CE">
        <w:rPr>
          <w:rFonts w:ascii="Times New Roman" w:hAnsi="Times New Roman"/>
        </w:rPr>
        <w:t> </w:t>
      </w:r>
      <w:r w:rsidRPr="000353CE">
        <w:rPr>
          <w:rFonts w:ascii="Times New Roman" w:hAnsi="Times New Roman"/>
        </w:rPr>
        <w:t>mg/m</w:t>
      </w:r>
      <w:r w:rsidRPr="000353CE">
        <w:rPr>
          <w:rFonts w:ascii="Times New Roman" w:hAnsi="Times New Roman"/>
          <w:vertAlign w:val="superscript"/>
        </w:rPr>
        <w:t>2</w:t>
      </w:r>
      <w:r w:rsidRPr="000353CE">
        <w:rPr>
          <w:rFonts w:ascii="Times New Roman" w:hAnsi="Times New Roman"/>
        </w:rPr>
        <w:t xml:space="preserve"> docetakselio dozėmis monoterapijai pacientui, kurio serume transaminazių [ALT ir (arba) AST] aktyvumas yra daugiau kaip 1,5</w:t>
      </w:r>
      <w:r w:rsidR="004676B7" w:rsidRPr="000353CE">
        <w:rPr>
          <w:rFonts w:ascii="Times New Roman" w:hAnsi="Times New Roman"/>
        </w:rPr>
        <w:t> </w:t>
      </w:r>
      <w:r w:rsidRPr="000353CE">
        <w:rPr>
          <w:rFonts w:ascii="Times New Roman" w:hAnsi="Times New Roman"/>
        </w:rPr>
        <w:t>karto didesnis negu viršutinė normos riba, o šarminės fosfatazės aktyvumas – daugiau kaip 2,5</w:t>
      </w:r>
      <w:r w:rsidR="004676B7" w:rsidRPr="000353CE">
        <w:rPr>
          <w:rFonts w:ascii="Times New Roman" w:hAnsi="Times New Roman"/>
        </w:rPr>
        <w:t> </w:t>
      </w:r>
      <w:r w:rsidRPr="000353CE">
        <w:rPr>
          <w:rFonts w:ascii="Times New Roman" w:hAnsi="Times New Roman"/>
        </w:rPr>
        <w:t>karto didesnis negu viršutinė normos riba, tai sunkių nepageidaujamų reakcijų, pvz., mirties nuo toksinio poveikio (įskaitant sepsį), kraujavimo virškinimo trakte, dėl kurio pacientas taip pat gali mirti, febrilinės neutropenijos, infekcijos, trombocitopenijos, stomatito ir astenijos pavojus yra didesnis. Dėl to pacientams, kurių kepenų funkcijos rodikliai padidėję, rekomenduojama 75</w:t>
      </w:r>
      <w:r w:rsidR="004676B7" w:rsidRPr="000353CE">
        <w:rPr>
          <w:rFonts w:ascii="Times New Roman" w:hAnsi="Times New Roman"/>
        </w:rPr>
        <w:t> </w:t>
      </w:r>
      <w:r w:rsidRPr="000353CE">
        <w:rPr>
          <w:rFonts w:ascii="Times New Roman" w:hAnsi="Times New Roman"/>
        </w:rPr>
        <w:t>mg/m</w:t>
      </w:r>
      <w:r w:rsidRPr="000353CE">
        <w:rPr>
          <w:rFonts w:ascii="Times New Roman" w:hAnsi="Times New Roman"/>
          <w:vertAlign w:val="superscript"/>
        </w:rPr>
        <w:t>2</w:t>
      </w:r>
      <w:r w:rsidRPr="000353CE">
        <w:rPr>
          <w:rFonts w:ascii="Times New Roman" w:hAnsi="Times New Roman"/>
        </w:rPr>
        <w:t xml:space="preserve"> docetakselio dozė. Prieš infuzuojant pirmąją ir kiekvieną kitą docetakselio dozę, pacientus reikia ištirti (žr. 4.2 skyrių).</w:t>
      </w:r>
    </w:p>
    <w:p w14:paraId="1C3CDF9B" w14:textId="77777777" w:rsidR="00D875C0" w:rsidRPr="000353CE" w:rsidRDefault="00D875C0" w:rsidP="00D875C0">
      <w:pPr>
        <w:autoSpaceDE w:val="0"/>
        <w:autoSpaceDN w:val="0"/>
        <w:adjustRightInd w:val="0"/>
        <w:spacing w:after="0" w:line="240" w:lineRule="auto"/>
        <w:rPr>
          <w:rFonts w:ascii="Times New Roman" w:eastAsiaTheme="minorEastAsia" w:hAnsi="Times New Roman"/>
          <w:lang w:eastAsia="zh-TW"/>
        </w:rPr>
      </w:pPr>
      <w:r w:rsidRPr="000353CE">
        <w:rPr>
          <w:rFonts w:ascii="Times New Roman" w:hAnsi="Times New Roman"/>
        </w:rPr>
        <w:t>Jei bilirubino koncentracija serume yra didesnė negu viršutinė normos riba ir (arba) ALT ir AST aktyvumas daugiau kaip 3,5 karto didesnis negu viršutinė normos riba, o šarminės fosfatazės aktyvumas daugiau kaip 6</w:t>
      </w:r>
      <w:r w:rsidR="004676B7" w:rsidRPr="000353CE">
        <w:rPr>
          <w:rFonts w:ascii="Times New Roman" w:hAnsi="Times New Roman"/>
        </w:rPr>
        <w:t> </w:t>
      </w:r>
      <w:r w:rsidRPr="000353CE">
        <w:rPr>
          <w:rFonts w:ascii="Times New Roman" w:hAnsi="Times New Roman"/>
        </w:rPr>
        <w:t>kartus didesnis negu viršutinė normos riba, tai galimybės nurodyti dozės mažinimo tvarką nėra. Tokiais atvejais docetakselio skiriama tik tada, kai neišvengiamai būtina.</w:t>
      </w:r>
    </w:p>
    <w:p w14:paraId="665B09CF" w14:textId="77777777" w:rsidR="00D875C0" w:rsidRPr="000353CE" w:rsidRDefault="00D875C0" w:rsidP="00D875C0">
      <w:pPr>
        <w:autoSpaceDE w:val="0"/>
        <w:autoSpaceDN w:val="0"/>
        <w:adjustRightInd w:val="0"/>
        <w:spacing w:after="0" w:line="240" w:lineRule="auto"/>
        <w:rPr>
          <w:rFonts w:ascii="Times New Roman" w:eastAsiaTheme="minorEastAsia" w:hAnsi="Times New Roman"/>
          <w:lang w:eastAsia="zh-TW"/>
        </w:rPr>
      </w:pPr>
      <w:r w:rsidRPr="000353CE">
        <w:rPr>
          <w:rFonts w:ascii="Times New Roman" w:hAnsi="Times New Roman"/>
        </w:rPr>
        <w:t>Jei ALT ir (arba) AST aktyvumas buvo daugiau kaip 1,5</w:t>
      </w:r>
      <w:r w:rsidR="004676B7" w:rsidRPr="000353CE">
        <w:rPr>
          <w:rFonts w:ascii="Times New Roman" w:hAnsi="Times New Roman"/>
        </w:rPr>
        <w:t> </w:t>
      </w:r>
      <w:r w:rsidRPr="000353CE">
        <w:rPr>
          <w:rFonts w:ascii="Times New Roman" w:hAnsi="Times New Roman"/>
        </w:rPr>
        <w:t>karto didesnis negu viršutinė normos riba, šarminės fosfatazės aktyvumas – daugiau kaip 2,5</w:t>
      </w:r>
      <w:r w:rsidR="004676B7" w:rsidRPr="000353CE">
        <w:rPr>
          <w:rFonts w:ascii="Times New Roman" w:hAnsi="Times New Roman"/>
        </w:rPr>
        <w:t> </w:t>
      </w:r>
      <w:r w:rsidRPr="000353CE">
        <w:rPr>
          <w:rFonts w:ascii="Times New Roman" w:hAnsi="Times New Roman"/>
        </w:rPr>
        <w:t xml:space="preserve">karto didesnis negu viršutinė normos riba, o bilirubino koncentracija viršijo viršutinę normos ribą, tokie pacientai nebuvo įtraukiami į pagrindinį klinikinį tyrimą, kurio metu skrandžio adenokarcinoma sergantys </w:t>
      </w:r>
      <w:r w:rsidR="00AF7FB2" w:rsidRPr="000353CE">
        <w:rPr>
          <w:rFonts w:ascii="Times New Roman" w:hAnsi="Times New Roman"/>
        </w:rPr>
        <w:t>pacientai</w:t>
      </w:r>
      <w:r w:rsidRPr="000353CE">
        <w:rPr>
          <w:rFonts w:ascii="Times New Roman" w:hAnsi="Times New Roman"/>
        </w:rPr>
        <w:t xml:space="preserve"> buvo gydomi docetakseliu, cisplatina ir 5-fluorouracilu; galimybės tokiems pacientams nurodyti dozės mažinimo tvarką nėra, jiems docetakselio skiriama tik tais atvejais, kai tai neišvengiamai būtina. Duomenų apie docetakselio derinimą su kitais vaistiniais preparatais, esant kitoms indikacijoms, kepenų nepakankamumu sergantiems pacientams nėra pateikta.</w:t>
      </w:r>
    </w:p>
    <w:p w14:paraId="4D94357F" w14:textId="77777777" w:rsidR="00D875C0" w:rsidRPr="000353CE" w:rsidRDefault="00D875C0" w:rsidP="00D875C0">
      <w:pPr>
        <w:autoSpaceDE w:val="0"/>
        <w:autoSpaceDN w:val="0"/>
        <w:adjustRightInd w:val="0"/>
        <w:spacing w:after="0" w:line="240" w:lineRule="auto"/>
        <w:rPr>
          <w:rFonts w:ascii="Times New Roman" w:hAnsi="Times New Roman"/>
        </w:rPr>
      </w:pPr>
    </w:p>
    <w:p w14:paraId="49D5272C" w14:textId="2026CA73" w:rsidR="00F54C45" w:rsidRPr="000353CE" w:rsidRDefault="00F54C45" w:rsidP="00F54C45">
      <w:pPr>
        <w:autoSpaceDE w:val="0"/>
        <w:autoSpaceDN w:val="0"/>
        <w:adjustRightInd w:val="0"/>
        <w:spacing w:after="0" w:line="240" w:lineRule="auto"/>
        <w:rPr>
          <w:rFonts w:ascii="Times New Roman" w:hAnsi="Times New Roman"/>
          <w:u w:val="single"/>
        </w:rPr>
      </w:pPr>
      <w:r w:rsidRPr="000353CE">
        <w:rPr>
          <w:rFonts w:ascii="Times New Roman" w:hAnsi="Times New Roman"/>
          <w:u w:val="single"/>
        </w:rPr>
        <w:t>Pacienta</w:t>
      </w:r>
      <w:r w:rsidR="006359AB" w:rsidRPr="000353CE">
        <w:rPr>
          <w:rFonts w:ascii="Times New Roman" w:hAnsi="Times New Roman"/>
          <w:u w:val="single"/>
        </w:rPr>
        <w:t>i</w:t>
      </w:r>
      <w:r w:rsidRPr="000353CE">
        <w:rPr>
          <w:rFonts w:ascii="Times New Roman" w:hAnsi="Times New Roman"/>
          <w:u w:val="single"/>
        </w:rPr>
        <w:t>, kurių inkst</w:t>
      </w:r>
      <w:r w:rsidR="005A5166">
        <w:rPr>
          <w:rFonts w:ascii="Times New Roman" w:hAnsi="Times New Roman"/>
          <w:u w:val="single"/>
        </w:rPr>
        <w:t>ai pakenkti</w:t>
      </w:r>
      <w:r w:rsidRPr="000353CE">
        <w:rPr>
          <w:rFonts w:ascii="Times New Roman" w:hAnsi="Times New Roman"/>
          <w:u w:val="single"/>
        </w:rPr>
        <w:t xml:space="preserve"> </w:t>
      </w:r>
    </w:p>
    <w:p w14:paraId="114C9B41" w14:textId="7F09B0A4"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Pacientams, </w:t>
      </w:r>
      <w:r w:rsidR="005A5166" w:rsidRPr="005A5166">
        <w:rPr>
          <w:rFonts w:ascii="Times New Roman" w:hAnsi="Times New Roman"/>
        </w:rPr>
        <w:t xml:space="preserve">kuriems yra sunkus inkstų pakenkimas, docetakselio </w:t>
      </w:r>
      <w:r w:rsidRPr="007C1A06">
        <w:rPr>
          <w:rFonts w:ascii="Times New Roman" w:hAnsi="Times New Roman"/>
        </w:rPr>
        <w:t xml:space="preserve">, docetakselio vartojimo </w:t>
      </w:r>
      <w:r w:rsidR="005A5166">
        <w:rPr>
          <w:rFonts w:ascii="Times New Roman" w:hAnsi="Times New Roman"/>
        </w:rPr>
        <w:t xml:space="preserve">patirties </w:t>
      </w:r>
      <w:r w:rsidRPr="007C1A06">
        <w:rPr>
          <w:rFonts w:ascii="Times New Roman" w:hAnsi="Times New Roman"/>
        </w:rPr>
        <w:t>nėra.</w:t>
      </w:r>
    </w:p>
    <w:p w14:paraId="42ECBF0A" w14:textId="77777777" w:rsidR="00D875C0" w:rsidRPr="007C1A06" w:rsidRDefault="00D875C0" w:rsidP="00D875C0">
      <w:pPr>
        <w:autoSpaceDE w:val="0"/>
        <w:autoSpaceDN w:val="0"/>
        <w:adjustRightInd w:val="0"/>
        <w:spacing w:after="0" w:line="240" w:lineRule="auto"/>
        <w:rPr>
          <w:rFonts w:ascii="Times New Roman" w:hAnsi="Times New Roman"/>
        </w:rPr>
      </w:pPr>
    </w:p>
    <w:p w14:paraId="0F69C5D7"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Nervų sistema</w:t>
      </w:r>
    </w:p>
    <w:p w14:paraId="67D78F76"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Pasireiškus sunkiam periferiniam neurotoksiniam poveikiui, reikia dozę mažinti (žr. 4.2 skyrių).</w:t>
      </w:r>
    </w:p>
    <w:p w14:paraId="53A79136" w14:textId="77777777" w:rsidR="00D875C0" w:rsidRPr="007C1A06" w:rsidRDefault="00D875C0" w:rsidP="00D875C0">
      <w:pPr>
        <w:autoSpaceDE w:val="0"/>
        <w:autoSpaceDN w:val="0"/>
        <w:adjustRightInd w:val="0"/>
        <w:spacing w:after="0" w:line="240" w:lineRule="auto"/>
        <w:rPr>
          <w:rFonts w:ascii="Times New Roman" w:hAnsi="Times New Roman"/>
        </w:rPr>
      </w:pPr>
    </w:p>
    <w:p w14:paraId="5E7A9B4F"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Toksinis poveikis širdžiai</w:t>
      </w:r>
    </w:p>
    <w:p w14:paraId="20A5059C"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Aprašyta atvejų, kai, kartu vartojant docetakselį ir trastuzumabą, pasireiškė širdies nepakankamumas, ypatingai po chemoterapijos, kurios sudėtyje yra antraciklinas (doksorubicinas arba epirubicinas). Širdies nepakankamumas gali būti vidutinis ar sunkus, nustatyta mirties nuo jo atvejų (žr. 4.8 skyrių). Svarstant gydymo docetakselio ir trastuzumabo deriniu tikslingumą, reikia prieš gydymą ištirti širdies būklę. Gydymo metu širdies funkcijos tyrimus reikia nuolat sekti (pvz., kas 3 mėn.) norint pastebėti sutrikimus. Išsamiau žr. trastuzumabo prep</w:t>
      </w:r>
      <w:r w:rsidR="00807371" w:rsidRPr="007C1A06">
        <w:rPr>
          <w:rFonts w:ascii="Times New Roman" w:hAnsi="Times New Roman"/>
        </w:rPr>
        <w:t>a</w:t>
      </w:r>
      <w:r w:rsidRPr="007C1A06">
        <w:rPr>
          <w:rFonts w:ascii="Times New Roman" w:hAnsi="Times New Roman"/>
        </w:rPr>
        <w:t>rato charakteristikų santrauką.</w:t>
      </w:r>
    </w:p>
    <w:p w14:paraId="75D4F854" w14:textId="77777777" w:rsidR="0091343F" w:rsidRPr="007C1A06" w:rsidRDefault="0091343F" w:rsidP="00D875C0">
      <w:pPr>
        <w:autoSpaceDE w:val="0"/>
        <w:autoSpaceDN w:val="0"/>
        <w:adjustRightInd w:val="0"/>
        <w:spacing w:after="0" w:line="240" w:lineRule="auto"/>
        <w:rPr>
          <w:rFonts w:ascii="Times New Roman" w:hAnsi="Times New Roman"/>
        </w:rPr>
      </w:pPr>
    </w:p>
    <w:p w14:paraId="0647935F" w14:textId="77777777" w:rsidR="00D875C0" w:rsidRPr="007C1A06" w:rsidRDefault="0091343F" w:rsidP="00D875C0">
      <w:pPr>
        <w:autoSpaceDE w:val="0"/>
        <w:autoSpaceDN w:val="0"/>
        <w:adjustRightInd w:val="0"/>
        <w:spacing w:after="0" w:line="240" w:lineRule="auto"/>
        <w:rPr>
          <w:rFonts w:ascii="Times New Roman" w:eastAsia="Times New Roman" w:hAnsi="Times New Roman" w:cs="Times New Roman"/>
        </w:rPr>
      </w:pPr>
      <w:r w:rsidRPr="007C1A06">
        <w:rPr>
          <w:rFonts w:ascii="Times New Roman" w:eastAsia="Times New Roman" w:hAnsi="Times New Roman" w:cs="Times New Roman"/>
        </w:rPr>
        <w:t>Gauta pranešimų apie skilvelių aritmijos, įskaitant skilvelių tachikardiją (kartais mirtiną), atvejus pacientams, gydytiems docetakseliu, kai kartu buvo vartojama doksorubicino, 5-fluorouracilo ir (arba) ciklofosfamido (žr. 4.8 skyrių). Rekomenduojama širdies būklę ištirti prieš gydymo pradžią.</w:t>
      </w:r>
    </w:p>
    <w:p w14:paraId="02ED69E0" w14:textId="77777777" w:rsidR="00630E58" w:rsidRPr="007C1A06" w:rsidRDefault="00630E58" w:rsidP="00D875C0">
      <w:pPr>
        <w:autoSpaceDE w:val="0"/>
        <w:autoSpaceDN w:val="0"/>
        <w:adjustRightInd w:val="0"/>
        <w:spacing w:after="0" w:line="240" w:lineRule="auto"/>
        <w:rPr>
          <w:rFonts w:ascii="Times New Roman" w:eastAsia="Times New Roman" w:hAnsi="Times New Roman" w:cs="Times New Roman"/>
        </w:rPr>
      </w:pPr>
    </w:p>
    <w:p w14:paraId="690358FD" w14:textId="77777777" w:rsidR="00D875C0" w:rsidRPr="00F95B76" w:rsidRDefault="00D875C0" w:rsidP="00D875C0">
      <w:pPr>
        <w:autoSpaceDE w:val="0"/>
        <w:autoSpaceDN w:val="0"/>
        <w:adjustRightInd w:val="0"/>
        <w:spacing w:after="0" w:line="240" w:lineRule="auto"/>
        <w:rPr>
          <w:rFonts w:ascii="Times New Roman" w:hAnsi="Times New Roman"/>
          <w:u w:val="single"/>
        </w:rPr>
      </w:pPr>
      <w:r w:rsidRPr="00F957E7">
        <w:rPr>
          <w:rFonts w:ascii="Times New Roman" w:hAnsi="Times New Roman"/>
          <w:u w:val="single"/>
        </w:rPr>
        <w:t>Akių sutrikimai</w:t>
      </w:r>
    </w:p>
    <w:p w14:paraId="4079DEF8" w14:textId="77777777" w:rsidR="00D875C0" w:rsidRPr="00427D92" w:rsidRDefault="00D875C0" w:rsidP="00D875C0">
      <w:pPr>
        <w:autoSpaceDE w:val="0"/>
        <w:autoSpaceDN w:val="0"/>
        <w:adjustRightInd w:val="0"/>
        <w:spacing w:after="0" w:line="240" w:lineRule="auto"/>
        <w:rPr>
          <w:rFonts w:ascii="Times New Roman" w:hAnsi="Times New Roman"/>
        </w:rPr>
      </w:pPr>
      <w:r w:rsidRPr="001F2C46">
        <w:rPr>
          <w:rFonts w:ascii="Times New Roman" w:hAnsi="Times New Roman"/>
        </w:rPr>
        <w:t>Gauta pranešimų apie cistinės geltonosios dėmės edemos (GDE) atvejus pacientams, gydytiems docetakseliu. Pacientams, kurių regėjimas sutrikęs, turi būti atliekama sk</w:t>
      </w:r>
      <w:r w:rsidRPr="00427D92">
        <w:rPr>
          <w:rFonts w:ascii="Times New Roman" w:hAnsi="Times New Roman"/>
        </w:rPr>
        <w:t>ubi ir pilna oftalmologinė apžiūra. Diagnozavus GDE, gydymas docetakseliu turi būti nutrauktas ir pradėtas kitas tinkamas gydymas (žr. 4.8 skyrių).</w:t>
      </w:r>
    </w:p>
    <w:p w14:paraId="1E6BA0A5" w14:textId="77777777" w:rsidR="00D875C0" w:rsidRDefault="00D875C0" w:rsidP="00D875C0">
      <w:pPr>
        <w:autoSpaceDE w:val="0"/>
        <w:autoSpaceDN w:val="0"/>
        <w:adjustRightInd w:val="0"/>
        <w:spacing w:after="0" w:line="240" w:lineRule="auto"/>
        <w:rPr>
          <w:rFonts w:ascii="Times New Roman" w:hAnsi="Times New Roman"/>
        </w:rPr>
      </w:pPr>
    </w:p>
    <w:p w14:paraId="21FE9789" w14:textId="77777777" w:rsidR="00FB1A49" w:rsidRPr="00F54C45" w:rsidRDefault="00FB1A49" w:rsidP="00FB1A49">
      <w:pPr>
        <w:autoSpaceDE w:val="0"/>
        <w:autoSpaceDN w:val="0"/>
        <w:adjustRightInd w:val="0"/>
        <w:spacing w:after="0" w:line="240" w:lineRule="auto"/>
        <w:rPr>
          <w:rFonts w:ascii="Times New Roman" w:hAnsi="Times New Roman"/>
          <w:u w:val="single"/>
        </w:rPr>
      </w:pPr>
      <w:r w:rsidRPr="00F54C45">
        <w:rPr>
          <w:rFonts w:ascii="Times New Roman" w:hAnsi="Times New Roman"/>
          <w:u w:val="single"/>
        </w:rPr>
        <w:t>Papildomi pirminiai piktybiniai navikai</w:t>
      </w:r>
    </w:p>
    <w:p w14:paraId="3F082216" w14:textId="77777777" w:rsidR="00FB1A49" w:rsidRDefault="00FB1A49" w:rsidP="00FB1A49">
      <w:pPr>
        <w:autoSpaceDE w:val="0"/>
        <w:autoSpaceDN w:val="0"/>
        <w:adjustRightInd w:val="0"/>
        <w:spacing w:after="0" w:line="240" w:lineRule="auto"/>
        <w:rPr>
          <w:rFonts w:ascii="Times New Roman" w:hAnsi="Times New Roman"/>
        </w:rPr>
      </w:pPr>
      <w:r w:rsidRPr="00FB1A49">
        <w:rPr>
          <w:rFonts w:ascii="Times New Roman" w:hAnsi="Times New Roman"/>
        </w:rPr>
        <w:t>Gauta pranešimų apie papildomus pirminius piktybinius navikus, kai docetakselio buvo vartojama derinyje su kitokiu priešvėžiniu gydymu, kuris, kaip žinoma, yra susijęs papildomais pirminiais piktybiniais navikais. Papildomi pirminiai navikai, įskaitant ūminę mieloidinę leukemiją, mielodisplazinį sindromą ir ne Hodžkino limfomą, gali pasireikšti praėjus keliems mėnesiams ar metams po gydymo, kurio sudėtyje yra doksetakselio. Reikia stebėti, ar pacientams neatsirado papildomų pirminių piktybinių navikų (žr. 4.8 skyrių).</w:t>
      </w:r>
    </w:p>
    <w:p w14:paraId="36106C20" w14:textId="77777777" w:rsidR="000B22F8" w:rsidRDefault="000B22F8" w:rsidP="00FB1A49">
      <w:pPr>
        <w:autoSpaceDE w:val="0"/>
        <w:autoSpaceDN w:val="0"/>
        <w:adjustRightInd w:val="0"/>
        <w:spacing w:after="0" w:line="240" w:lineRule="auto"/>
        <w:rPr>
          <w:rFonts w:ascii="Times New Roman" w:hAnsi="Times New Roman"/>
        </w:rPr>
      </w:pPr>
    </w:p>
    <w:p w14:paraId="2F10E211" w14:textId="77777777" w:rsidR="00641358" w:rsidRPr="00F54C45" w:rsidRDefault="00641358" w:rsidP="00D875C0">
      <w:pPr>
        <w:autoSpaceDE w:val="0"/>
        <w:autoSpaceDN w:val="0"/>
        <w:adjustRightInd w:val="0"/>
        <w:spacing w:after="0" w:line="240" w:lineRule="auto"/>
        <w:rPr>
          <w:rFonts w:ascii="Times New Roman" w:hAnsi="Times New Roman" w:cs="Times New Roman"/>
          <w:u w:val="single"/>
        </w:rPr>
      </w:pPr>
      <w:r w:rsidRPr="00F54C45">
        <w:rPr>
          <w:rFonts w:ascii="Times New Roman" w:hAnsi="Times New Roman" w:cs="Times New Roman"/>
          <w:u w:val="single"/>
        </w:rPr>
        <w:t>Naviko lizės sindromas</w:t>
      </w:r>
    </w:p>
    <w:p w14:paraId="35BD62DE" w14:textId="77777777" w:rsidR="00FB1A49" w:rsidRPr="00A77842" w:rsidRDefault="00641358" w:rsidP="00D875C0">
      <w:pPr>
        <w:autoSpaceDE w:val="0"/>
        <w:autoSpaceDN w:val="0"/>
        <w:adjustRightInd w:val="0"/>
        <w:spacing w:after="0" w:line="240" w:lineRule="auto"/>
        <w:rPr>
          <w:rFonts w:ascii="Times New Roman" w:hAnsi="Times New Roman" w:cs="Times New Roman"/>
        </w:rPr>
      </w:pPr>
      <w:r w:rsidRPr="00F54C45">
        <w:rPr>
          <w:rFonts w:ascii="Times New Roman" w:hAnsi="Times New Roman" w:cs="Times New Roman"/>
        </w:rPr>
        <w:t xml:space="preserve">Pranešta apie su docetakseliu susijusio naviko lizės sindromo atvejus po pirmojo arba antrojo ciklo (žr. 4.8 skyrių). Pacientus, kuriems yra naviko lizės sindromo pasireiškimo rizika (pvz., jei yra inkstų funkcijos sutrikimas, hiperurikemija, didelis navikas, greitas progresavimas), būtina atidžiai stebėti. Prieš pradedant gydymą rekomenduojama </w:t>
      </w:r>
      <w:r w:rsidR="00CB4D1B">
        <w:rPr>
          <w:rFonts w:ascii="Times New Roman" w:hAnsi="Times New Roman" w:cs="Times New Roman"/>
        </w:rPr>
        <w:t>pašalinti</w:t>
      </w:r>
      <w:r w:rsidRPr="00F54C45">
        <w:rPr>
          <w:rFonts w:ascii="Times New Roman" w:hAnsi="Times New Roman" w:cs="Times New Roman"/>
        </w:rPr>
        <w:t xml:space="preserve"> dehidrataciją ir </w:t>
      </w:r>
      <w:r w:rsidR="00126295">
        <w:rPr>
          <w:rFonts w:ascii="Times New Roman" w:hAnsi="Times New Roman" w:cs="Times New Roman"/>
        </w:rPr>
        <w:t xml:space="preserve">sumažinti per </w:t>
      </w:r>
      <w:r w:rsidRPr="00F54C45">
        <w:rPr>
          <w:rFonts w:ascii="Times New Roman" w:hAnsi="Times New Roman" w:cs="Times New Roman"/>
        </w:rPr>
        <w:t>didelį šlapimo rūgšties kiekį.</w:t>
      </w:r>
    </w:p>
    <w:p w14:paraId="3D86BD6F" w14:textId="77777777" w:rsidR="00FB1A49" w:rsidRPr="00C722B4" w:rsidRDefault="00FB1A49" w:rsidP="00D875C0">
      <w:pPr>
        <w:autoSpaceDE w:val="0"/>
        <w:autoSpaceDN w:val="0"/>
        <w:adjustRightInd w:val="0"/>
        <w:spacing w:after="0" w:line="240" w:lineRule="auto"/>
        <w:rPr>
          <w:rFonts w:ascii="Times New Roman" w:hAnsi="Times New Roman"/>
        </w:rPr>
      </w:pPr>
    </w:p>
    <w:p w14:paraId="751E1C8B"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Kitos atsargumo priemonės</w:t>
      </w:r>
    </w:p>
    <w:p w14:paraId="1F39FCCE" w14:textId="0F17D9A7" w:rsidR="00D875C0" w:rsidRPr="004E3CD5" w:rsidRDefault="006A667D" w:rsidP="006A667D">
      <w:pPr>
        <w:autoSpaceDE w:val="0"/>
        <w:autoSpaceDN w:val="0"/>
        <w:adjustRightInd w:val="0"/>
        <w:spacing w:after="0" w:line="240" w:lineRule="auto"/>
        <w:rPr>
          <w:rFonts w:ascii="Times New Roman" w:eastAsiaTheme="minorEastAsia" w:hAnsi="Times New Roman"/>
          <w:lang w:eastAsia="zh-TW"/>
        </w:rPr>
      </w:pPr>
      <w:r w:rsidRPr="006A667D">
        <w:rPr>
          <w:rFonts w:ascii="Times New Roman" w:hAnsi="Times New Roman"/>
        </w:rPr>
        <w:t>Vaisingo</w:t>
      </w:r>
      <w:r w:rsidR="00CC71F2">
        <w:rPr>
          <w:rFonts w:ascii="Times New Roman" w:hAnsi="Times New Roman"/>
        </w:rPr>
        <w:t xml:space="preserve"> amžiaus</w:t>
      </w:r>
      <w:r w:rsidRPr="006A667D">
        <w:rPr>
          <w:rFonts w:ascii="Times New Roman" w:hAnsi="Times New Roman"/>
        </w:rPr>
        <w:t xml:space="preserve"> moterys privalo naudoti kontracepcijos priemones gydymo docetakseliu metu ir 2 mėnesius</w:t>
      </w:r>
      <w:r>
        <w:rPr>
          <w:rFonts w:ascii="Times New Roman" w:hAnsi="Times New Roman"/>
        </w:rPr>
        <w:t xml:space="preserve"> </w:t>
      </w:r>
      <w:r w:rsidRPr="006A667D">
        <w:rPr>
          <w:rFonts w:ascii="Times New Roman" w:hAnsi="Times New Roman"/>
        </w:rPr>
        <w:t>po jo nutraukimo. Vyrai kontracepcijos priemones privalo naudoti gydymo docetakseliu metu ir</w:t>
      </w:r>
      <w:r>
        <w:rPr>
          <w:rFonts w:ascii="Times New Roman" w:hAnsi="Times New Roman"/>
        </w:rPr>
        <w:t xml:space="preserve"> </w:t>
      </w:r>
      <w:r w:rsidRPr="006A667D">
        <w:rPr>
          <w:rFonts w:ascii="Times New Roman" w:hAnsi="Times New Roman"/>
        </w:rPr>
        <w:t>4 mėnesius po jo nutraukimo</w:t>
      </w:r>
      <w:r w:rsidRPr="006A667D" w:rsidDel="006A667D">
        <w:rPr>
          <w:rFonts w:ascii="Times New Roman" w:hAnsi="Times New Roman"/>
        </w:rPr>
        <w:t xml:space="preserve"> </w:t>
      </w:r>
      <w:r w:rsidR="00D875C0" w:rsidRPr="007C1A06">
        <w:rPr>
          <w:rFonts w:ascii="Times New Roman" w:hAnsi="Times New Roman"/>
        </w:rPr>
        <w:t>(žr. 4.6 skyrių).</w:t>
      </w:r>
    </w:p>
    <w:p w14:paraId="0EA42B81" w14:textId="77777777" w:rsidR="00D875C0" w:rsidRPr="007C1A06" w:rsidRDefault="00D875C0" w:rsidP="00D875C0">
      <w:pPr>
        <w:autoSpaceDE w:val="0"/>
        <w:autoSpaceDN w:val="0"/>
        <w:adjustRightInd w:val="0"/>
        <w:spacing w:after="0" w:line="240" w:lineRule="auto"/>
        <w:rPr>
          <w:rFonts w:ascii="Times New Roman" w:hAnsi="Times New Roman"/>
        </w:rPr>
      </w:pPr>
    </w:p>
    <w:p w14:paraId="4B259DF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Docetakselio reikia vengti vartoti kartu su stipriais CYP3A4 inhibitoriais (pvz., ketokonazolu, itrakonazolu, klaritromicinu, indinaviru, nefazodonu, nelfinaviru, ritonaviru, sakvinaviru, telitromicinu ir vorikonazolu) (žr. 4.5 skyrių).</w:t>
      </w:r>
    </w:p>
    <w:p w14:paraId="7D2A3671" w14:textId="77777777" w:rsidR="00D875C0" w:rsidRPr="007C1A06" w:rsidRDefault="00D875C0" w:rsidP="00D875C0">
      <w:pPr>
        <w:autoSpaceDE w:val="0"/>
        <w:autoSpaceDN w:val="0"/>
        <w:adjustRightInd w:val="0"/>
        <w:spacing w:after="0" w:line="240" w:lineRule="auto"/>
        <w:rPr>
          <w:rFonts w:ascii="Times New Roman" w:hAnsi="Times New Roman"/>
        </w:rPr>
      </w:pPr>
    </w:p>
    <w:p w14:paraId="577776D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Papildomos atsargumo priemonės taikant pagalbinį krūties vėžio gydymą</w:t>
      </w:r>
    </w:p>
    <w:p w14:paraId="1D174EF5" w14:textId="77777777" w:rsidR="00CE17E7" w:rsidRDefault="00CE17E7" w:rsidP="00D875C0">
      <w:pPr>
        <w:autoSpaceDE w:val="0"/>
        <w:autoSpaceDN w:val="0"/>
        <w:adjustRightInd w:val="0"/>
        <w:spacing w:after="0" w:line="240" w:lineRule="auto"/>
        <w:rPr>
          <w:rFonts w:ascii="Times New Roman" w:eastAsia="Times New Roman" w:hAnsi="Times New Roman" w:cs="Times New Roman"/>
          <w:i/>
          <w:iCs/>
          <w:u w:val="single"/>
        </w:rPr>
      </w:pPr>
    </w:p>
    <w:p w14:paraId="223CC49A" w14:textId="77777777" w:rsidR="00D875C0" w:rsidRPr="00F95B76" w:rsidRDefault="00D875C0" w:rsidP="00D875C0">
      <w:pPr>
        <w:autoSpaceDE w:val="0"/>
        <w:autoSpaceDN w:val="0"/>
        <w:adjustRightInd w:val="0"/>
        <w:spacing w:after="0" w:line="240" w:lineRule="auto"/>
        <w:rPr>
          <w:rFonts w:ascii="Times New Roman" w:hAnsi="Times New Roman"/>
          <w:i/>
          <w:u w:val="single"/>
        </w:rPr>
      </w:pPr>
      <w:r w:rsidRPr="00F957E7">
        <w:rPr>
          <w:rFonts w:ascii="Times New Roman" w:hAnsi="Times New Roman"/>
          <w:i/>
          <w:u w:val="single"/>
        </w:rPr>
        <w:t>Neutropenija su komplikacijomis</w:t>
      </w:r>
    </w:p>
    <w:p w14:paraId="104F193F" w14:textId="77777777" w:rsidR="00D875C0" w:rsidRPr="00427D92" w:rsidRDefault="00D875C0" w:rsidP="00D875C0">
      <w:pPr>
        <w:autoSpaceDE w:val="0"/>
        <w:autoSpaceDN w:val="0"/>
        <w:adjustRightInd w:val="0"/>
        <w:spacing w:after="0" w:line="240" w:lineRule="auto"/>
        <w:rPr>
          <w:rFonts w:ascii="Times New Roman" w:hAnsi="Times New Roman"/>
        </w:rPr>
      </w:pPr>
      <w:r w:rsidRPr="001F2C46">
        <w:rPr>
          <w:rFonts w:ascii="Times New Roman" w:hAnsi="Times New Roman"/>
        </w:rPr>
        <w:t>Pasireiškus neutropenijai su komplikacijomis (ilgalaikė neutropenija, febrilinė neutropenija ar infekcija), reikia apsvarstyti do</w:t>
      </w:r>
      <w:r w:rsidRPr="00427D92">
        <w:rPr>
          <w:rFonts w:ascii="Times New Roman" w:hAnsi="Times New Roman"/>
        </w:rPr>
        <w:t>zės mažinimo ir papildomo G-KSF skyrimo galimybę (žr. 4.2 skyrių).</w:t>
      </w:r>
    </w:p>
    <w:p w14:paraId="45883C6F" w14:textId="77777777" w:rsidR="00315C0C" w:rsidRPr="00C722B4" w:rsidRDefault="00315C0C" w:rsidP="00D875C0">
      <w:pPr>
        <w:autoSpaceDE w:val="0"/>
        <w:autoSpaceDN w:val="0"/>
        <w:adjustRightInd w:val="0"/>
        <w:spacing w:after="0" w:line="240" w:lineRule="auto"/>
        <w:rPr>
          <w:rFonts w:ascii="Times New Roman" w:hAnsi="Times New Roman"/>
        </w:rPr>
      </w:pPr>
    </w:p>
    <w:p w14:paraId="16835128"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u w:val="single"/>
          <w:lang w:eastAsia="zh-TW"/>
        </w:rPr>
      </w:pPr>
      <w:r w:rsidRPr="007C1A06">
        <w:rPr>
          <w:rFonts w:ascii="Times New Roman" w:hAnsi="Times New Roman"/>
          <w:i/>
          <w:u w:val="single"/>
        </w:rPr>
        <w:t>Virškinimo trakto reakcijos</w:t>
      </w:r>
    </w:p>
    <w:p w14:paraId="46CD356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Ankstyvas pilvo skausmas ir skausmingumas, karščiavimas bei viduriavimas su neutropenija ar be jos gali būti ankstyvi sunkaus toksinio poveikio virškinimo traktui simptomai. Pasireiškus jiems, pacientą reikia nedelsiant ištirti ir atitinkamai gydyti.</w:t>
      </w:r>
    </w:p>
    <w:p w14:paraId="4986DABB" w14:textId="77777777" w:rsidR="00D875C0" w:rsidRPr="007C1A06" w:rsidRDefault="00D875C0" w:rsidP="00D875C0">
      <w:pPr>
        <w:autoSpaceDE w:val="0"/>
        <w:autoSpaceDN w:val="0"/>
        <w:adjustRightInd w:val="0"/>
        <w:spacing w:after="0" w:line="240" w:lineRule="auto"/>
        <w:rPr>
          <w:rFonts w:ascii="Times New Roman" w:hAnsi="Times New Roman"/>
        </w:rPr>
      </w:pPr>
    </w:p>
    <w:p w14:paraId="55820CC0" w14:textId="77777777" w:rsidR="00D875C0" w:rsidRPr="00FB5C4B" w:rsidRDefault="00D875C0" w:rsidP="00D875C0">
      <w:pPr>
        <w:autoSpaceDE w:val="0"/>
        <w:autoSpaceDN w:val="0"/>
        <w:adjustRightInd w:val="0"/>
        <w:spacing w:after="0" w:line="240" w:lineRule="auto"/>
        <w:rPr>
          <w:rFonts w:ascii="Times New Roman" w:eastAsiaTheme="minorEastAsia" w:hAnsi="Times New Roman"/>
          <w:i/>
          <w:u w:val="single"/>
          <w:lang w:eastAsia="zh-TW"/>
        </w:rPr>
      </w:pPr>
      <w:r w:rsidRPr="007C1A06">
        <w:rPr>
          <w:rFonts w:ascii="Times New Roman" w:hAnsi="Times New Roman"/>
          <w:i/>
          <w:u w:val="single"/>
        </w:rPr>
        <w:t>Stazinis širdies nepakankamumas</w:t>
      </w:r>
      <w:r w:rsidR="008D2442">
        <w:rPr>
          <w:rFonts w:ascii="Times New Roman" w:eastAsia="Times New Roman" w:hAnsi="Times New Roman" w:cs="Times New Roman"/>
          <w:i/>
          <w:iCs/>
          <w:u w:val="single"/>
        </w:rPr>
        <w:t xml:space="preserve"> </w:t>
      </w:r>
      <w:r w:rsidR="00CE17E7" w:rsidRPr="00CE17E7">
        <w:rPr>
          <w:rFonts w:ascii="Times New Roman" w:eastAsia="Times New Roman" w:hAnsi="Times New Roman" w:cs="Times New Roman"/>
          <w:i/>
        </w:rPr>
        <w:t>(SŠN)</w:t>
      </w:r>
    </w:p>
    <w:p w14:paraId="79301343" w14:textId="77777777" w:rsidR="00D875C0" w:rsidRPr="00F95B7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Gydant ir vėlesnio stebėjimo laikotarpiu reikia stebėti pacientę, ar jai nepasireiškia stazinio širdies nepakankamumo (SŠN) simptomų. Nustatyta, kad pirmaisiais metais po gydymo taikant TAC gydymo schemą pacientams, sirgusiems į limfmazgius metastazavusiu krūties vėžiu, SŠN pasireiškimo rizika buvo didesnė (žr. 4.8 ir 5.1 skyrius).</w:t>
      </w:r>
    </w:p>
    <w:p w14:paraId="445FF8A9" w14:textId="77777777" w:rsidR="00D875C0" w:rsidRPr="00427D92" w:rsidRDefault="00D875C0" w:rsidP="00D875C0">
      <w:pPr>
        <w:autoSpaceDE w:val="0"/>
        <w:autoSpaceDN w:val="0"/>
        <w:adjustRightInd w:val="0"/>
        <w:spacing w:after="0" w:line="240" w:lineRule="auto"/>
        <w:rPr>
          <w:rFonts w:ascii="Times New Roman" w:hAnsi="Times New Roman"/>
        </w:rPr>
      </w:pPr>
    </w:p>
    <w:p w14:paraId="30D34708" w14:textId="77777777" w:rsidR="00D875C0" w:rsidRPr="000353CE" w:rsidRDefault="00D875C0" w:rsidP="00D875C0">
      <w:pPr>
        <w:autoSpaceDE w:val="0"/>
        <w:autoSpaceDN w:val="0"/>
        <w:adjustRightInd w:val="0"/>
        <w:spacing w:after="0" w:line="240" w:lineRule="auto"/>
        <w:rPr>
          <w:rFonts w:ascii="Times New Roman" w:hAnsi="Times New Roman"/>
          <w:i/>
          <w:u w:val="single"/>
        </w:rPr>
      </w:pPr>
      <w:r w:rsidRPr="000353CE">
        <w:rPr>
          <w:rFonts w:ascii="Times New Roman" w:hAnsi="Times New Roman"/>
          <w:i/>
          <w:u w:val="single"/>
        </w:rPr>
        <w:t>Pacientams, kuriems 4 ar daugiau limfmazgiuose rasta metastazių</w:t>
      </w:r>
    </w:p>
    <w:p w14:paraId="3458DD5E" w14:textId="77777777" w:rsidR="00D875C0" w:rsidRPr="000353CE" w:rsidRDefault="00D875C0" w:rsidP="00D875C0">
      <w:pPr>
        <w:autoSpaceDE w:val="0"/>
        <w:autoSpaceDN w:val="0"/>
        <w:adjustRightInd w:val="0"/>
        <w:spacing w:after="0" w:line="240" w:lineRule="auto"/>
        <w:rPr>
          <w:rFonts w:ascii="Times New Roman" w:eastAsiaTheme="minorEastAsia" w:hAnsi="Times New Roman"/>
          <w:lang w:eastAsia="zh-TW"/>
        </w:rPr>
      </w:pPr>
      <w:r w:rsidRPr="000353CE">
        <w:rPr>
          <w:rFonts w:ascii="Times New Roman" w:hAnsi="Times New Roman"/>
        </w:rPr>
        <w:t>Pacientams, kuriems 4 ar daugiau limfmazgių rasta metastazių, teigiamas be ligos simptomų išgyvento laikotarpio (BLSIL) ir bendrojo išgyvenamumo (BI) pokytis nebuvo statistiškai reikšmingas, todėl galutinė duomenų analizė šiems pacientams gydymo TAC palankaus naudos ir rizikos santykio pilnutinai neparodė (žr. 5.1 skyrių).</w:t>
      </w:r>
    </w:p>
    <w:p w14:paraId="5031225C" w14:textId="77777777" w:rsidR="00D875C0" w:rsidRPr="000353CE" w:rsidRDefault="00D875C0" w:rsidP="00D875C0">
      <w:pPr>
        <w:autoSpaceDE w:val="0"/>
        <w:autoSpaceDN w:val="0"/>
        <w:adjustRightInd w:val="0"/>
        <w:spacing w:after="0" w:line="240" w:lineRule="auto"/>
        <w:rPr>
          <w:rFonts w:ascii="Times New Roman" w:hAnsi="Times New Roman"/>
          <w:i/>
          <w:u w:val="single"/>
        </w:rPr>
      </w:pPr>
    </w:p>
    <w:p w14:paraId="07FFFAA4" w14:textId="1D03860C" w:rsidR="00D875C0" w:rsidRPr="000353CE" w:rsidRDefault="00D875C0" w:rsidP="00D875C0">
      <w:pPr>
        <w:autoSpaceDE w:val="0"/>
        <w:autoSpaceDN w:val="0"/>
        <w:adjustRightInd w:val="0"/>
        <w:spacing w:after="0" w:line="240" w:lineRule="auto"/>
        <w:rPr>
          <w:rFonts w:ascii="Times New Roman" w:eastAsiaTheme="minorEastAsia" w:hAnsi="Times New Roman"/>
          <w:i/>
          <w:u w:val="single"/>
          <w:lang w:eastAsia="zh-TW"/>
        </w:rPr>
      </w:pPr>
      <w:r w:rsidRPr="000353CE">
        <w:rPr>
          <w:rFonts w:ascii="Times New Roman" w:hAnsi="Times New Roman"/>
          <w:i/>
          <w:u w:val="single"/>
        </w:rPr>
        <w:t>Senyvi</w:t>
      </w:r>
      <w:r w:rsidR="006A667D">
        <w:rPr>
          <w:rFonts w:ascii="Times New Roman" w:hAnsi="Times New Roman"/>
          <w:i/>
          <w:u w:val="single"/>
        </w:rPr>
        <w:t>ems</w:t>
      </w:r>
      <w:r w:rsidRPr="000353CE">
        <w:rPr>
          <w:rFonts w:ascii="Times New Roman" w:hAnsi="Times New Roman"/>
          <w:i/>
          <w:u w:val="single"/>
        </w:rPr>
        <w:t xml:space="preserve"> </w:t>
      </w:r>
      <w:r w:rsidR="00C933B1" w:rsidRPr="000353CE">
        <w:rPr>
          <w:rFonts w:ascii="Times New Roman" w:hAnsi="Times New Roman"/>
          <w:i/>
          <w:u w:val="single"/>
        </w:rPr>
        <w:t>pacientams</w:t>
      </w:r>
    </w:p>
    <w:p w14:paraId="084FBAA1" w14:textId="77777777" w:rsidR="006A667D" w:rsidRPr="00453BC4" w:rsidRDefault="006A667D" w:rsidP="00D875C0">
      <w:pPr>
        <w:autoSpaceDE w:val="0"/>
        <w:autoSpaceDN w:val="0"/>
        <w:adjustRightInd w:val="0"/>
        <w:spacing w:after="0" w:line="240" w:lineRule="auto"/>
        <w:rPr>
          <w:rFonts w:ascii="Times New Roman" w:hAnsi="Times New Roman"/>
          <w:i/>
          <w:iCs/>
        </w:rPr>
      </w:pPr>
      <w:r w:rsidRPr="00453BC4">
        <w:rPr>
          <w:rFonts w:ascii="Times New Roman" w:hAnsi="Times New Roman"/>
          <w:i/>
          <w:iCs/>
        </w:rPr>
        <w:t xml:space="preserve">Atsargumo priemonės skiriant krūties vėžio adjuvantiniam gydymui </w:t>
      </w:r>
    </w:p>
    <w:p w14:paraId="023F298B" w14:textId="0CB908B8" w:rsidR="00D875C0" w:rsidRPr="004E3CD5" w:rsidRDefault="006A667D" w:rsidP="00D875C0">
      <w:pPr>
        <w:autoSpaceDE w:val="0"/>
        <w:autoSpaceDN w:val="0"/>
        <w:adjustRightInd w:val="0"/>
        <w:spacing w:after="0" w:line="240" w:lineRule="auto"/>
        <w:rPr>
          <w:rFonts w:ascii="Times New Roman" w:eastAsiaTheme="minorEastAsia" w:hAnsi="Times New Roman"/>
          <w:lang w:eastAsia="zh-TW"/>
        </w:rPr>
      </w:pPr>
      <w:r>
        <w:rPr>
          <w:rFonts w:ascii="Times New Roman" w:hAnsi="Times New Roman"/>
        </w:rPr>
        <w:t>Yra nedaug d</w:t>
      </w:r>
      <w:r w:rsidR="00D875C0" w:rsidRPr="000353CE">
        <w:rPr>
          <w:rFonts w:ascii="Times New Roman" w:hAnsi="Times New Roman"/>
        </w:rPr>
        <w:t xml:space="preserve">uomenų apie </w:t>
      </w:r>
      <w:r w:rsidRPr="000353CE">
        <w:rPr>
          <w:rFonts w:ascii="Times New Roman" w:hAnsi="Times New Roman"/>
        </w:rPr>
        <w:t>docetakselio</w:t>
      </w:r>
      <w:r>
        <w:rPr>
          <w:rFonts w:ascii="Times New Roman" w:hAnsi="Times New Roman"/>
        </w:rPr>
        <w:t xml:space="preserve"> vartojimą derinyje su</w:t>
      </w:r>
      <w:r w:rsidRPr="000353CE">
        <w:rPr>
          <w:rFonts w:ascii="Times New Roman" w:hAnsi="Times New Roman"/>
        </w:rPr>
        <w:t xml:space="preserve"> doksorubicin</w:t>
      </w:r>
      <w:r>
        <w:rPr>
          <w:rFonts w:ascii="Times New Roman" w:hAnsi="Times New Roman"/>
        </w:rPr>
        <w:t>u</w:t>
      </w:r>
      <w:r w:rsidRPr="000353CE">
        <w:rPr>
          <w:rFonts w:ascii="Times New Roman" w:hAnsi="Times New Roman"/>
        </w:rPr>
        <w:t xml:space="preserve"> ir ciklofosfamid</w:t>
      </w:r>
      <w:r>
        <w:rPr>
          <w:rFonts w:ascii="Times New Roman" w:hAnsi="Times New Roman"/>
        </w:rPr>
        <w:t>u</w:t>
      </w:r>
      <w:r w:rsidRPr="000353CE">
        <w:rPr>
          <w:rFonts w:ascii="Times New Roman" w:hAnsi="Times New Roman"/>
        </w:rPr>
        <w:t xml:space="preserve"> vyresn</w:t>
      </w:r>
      <w:r>
        <w:rPr>
          <w:rFonts w:ascii="Times New Roman" w:hAnsi="Times New Roman"/>
        </w:rPr>
        <w:t>ėms</w:t>
      </w:r>
      <w:r w:rsidRPr="000353CE">
        <w:rPr>
          <w:rFonts w:ascii="Times New Roman" w:hAnsi="Times New Roman"/>
        </w:rPr>
        <w:t xml:space="preserve"> </w:t>
      </w:r>
      <w:r w:rsidR="00D875C0" w:rsidRPr="000353CE">
        <w:rPr>
          <w:rFonts w:ascii="Times New Roman" w:hAnsi="Times New Roman"/>
        </w:rPr>
        <w:t>kaip 70</w:t>
      </w:r>
      <w:r w:rsidR="004676B7" w:rsidRPr="000353CE">
        <w:rPr>
          <w:rFonts w:ascii="Times New Roman" w:hAnsi="Times New Roman"/>
        </w:rPr>
        <w:t> </w:t>
      </w:r>
      <w:r w:rsidR="00D875C0" w:rsidRPr="000353CE">
        <w:rPr>
          <w:rFonts w:ascii="Times New Roman" w:hAnsi="Times New Roman"/>
        </w:rPr>
        <w:t>metų pacien</w:t>
      </w:r>
      <w:r>
        <w:rPr>
          <w:rFonts w:ascii="Times New Roman" w:hAnsi="Times New Roman"/>
        </w:rPr>
        <w:t>tėms</w:t>
      </w:r>
      <w:r w:rsidR="00D875C0" w:rsidRPr="000353CE">
        <w:rPr>
          <w:rFonts w:ascii="Times New Roman" w:hAnsi="Times New Roman"/>
        </w:rPr>
        <w:t>.</w:t>
      </w:r>
    </w:p>
    <w:p w14:paraId="4C29634E" w14:textId="77777777" w:rsidR="00D875C0" w:rsidRPr="007C1A06" w:rsidRDefault="00D875C0" w:rsidP="00D875C0">
      <w:pPr>
        <w:autoSpaceDE w:val="0"/>
        <w:autoSpaceDN w:val="0"/>
        <w:adjustRightInd w:val="0"/>
        <w:spacing w:after="0" w:line="240" w:lineRule="auto"/>
        <w:rPr>
          <w:rFonts w:ascii="Times New Roman" w:hAnsi="Times New Roman"/>
        </w:rPr>
      </w:pPr>
    </w:p>
    <w:p w14:paraId="6AD38ED0" w14:textId="77777777" w:rsidR="003B15C8" w:rsidRPr="00F54C45" w:rsidRDefault="003B15C8" w:rsidP="00D875C0">
      <w:pPr>
        <w:autoSpaceDE w:val="0"/>
        <w:autoSpaceDN w:val="0"/>
        <w:adjustRightInd w:val="0"/>
        <w:spacing w:after="0" w:line="240" w:lineRule="auto"/>
        <w:rPr>
          <w:rFonts w:ascii="TimesNewRomanPS-ItalicMT" w:hAnsi="TimesNewRomanPS-ItalicMT" w:cs="TimesNewRomanPS-ItalicMT"/>
          <w:i/>
          <w:iCs/>
          <w:u w:val="single"/>
        </w:rPr>
      </w:pPr>
      <w:r w:rsidRPr="00F54C45">
        <w:rPr>
          <w:rFonts w:ascii="TimesNewRomanPS-ItalicMT" w:hAnsi="TimesNewRomanPS-ItalicMT" w:cs="TimesNewRomanPS-ItalicMT"/>
          <w:i/>
          <w:iCs/>
          <w:u w:val="single"/>
        </w:rPr>
        <w:t xml:space="preserve">Atsargumo priemonės </w:t>
      </w:r>
      <w:r w:rsidR="00A56C6D">
        <w:rPr>
          <w:rFonts w:ascii="TimesNewRomanPS-ItalicMT" w:hAnsi="TimesNewRomanPS-ItalicMT" w:cs="TimesNewRomanPS-ItalicMT"/>
          <w:i/>
          <w:iCs/>
          <w:u w:val="single"/>
        </w:rPr>
        <w:t>skiriant</w:t>
      </w:r>
      <w:r w:rsidR="00AF3207">
        <w:rPr>
          <w:rFonts w:ascii="TimesNewRomanPS-ItalicMT" w:hAnsi="TimesNewRomanPS-ItalicMT" w:cs="TimesNewRomanPS-ItalicMT"/>
          <w:i/>
          <w:iCs/>
          <w:u w:val="single"/>
        </w:rPr>
        <w:t xml:space="preserve"> </w:t>
      </w:r>
      <w:r w:rsidRPr="00F54C45">
        <w:rPr>
          <w:rFonts w:ascii="TimesNewRomanPS-ItalicMT" w:hAnsi="TimesNewRomanPS-ItalicMT" w:cs="TimesNewRomanPS-ItalicMT"/>
          <w:i/>
          <w:iCs/>
          <w:u w:val="single"/>
        </w:rPr>
        <w:t>kastracijai atspar</w:t>
      </w:r>
      <w:r w:rsidR="00D545D3">
        <w:rPr>
          <w:rFonts w:ascii="TimesNewRomanPS-ItalicMT" w:hAnsi="TimesNewRomanPS-ItalicMT" w:cs="TimesNewRomanPS-ItalicMT"/>
          <w:i/>
          <w:iCs/>
          <w:u w:val="single"/>
        </w:rPr>
        <w:t>iam</w:t>
      </w:r>
      <w:r w:rsidRPr="00F54C45">
        <w:rPr>
          <w:rFonts w:ascii="TimesNewRomanPS-ItalicMT" w:hAnsi="TimesNewRomanPS-ItalicMT" w:cs="TimesNewRomanPS-ItalicMT"/>
          <w:i/>
          <w:iCs/>
          <w:u w:val="single"/>
        </w:rPr>
        <w:t xml:space="preserve"> prostatos vėži</w:t>
      </w:r>
      <w:r w:rsidR="00A56C6D">
        <w:rPr>
          <w:rFonts w:ascii="TimesNewRomanPS-ItalicMT" w:hAnsi="TimesNewRomanPS-ItalicMT" w:cs="TimesNewRomanPS-ItalicMT"/>
          <w:i/>
          <w:iCs/>
          <w:u w:val="single"/>
        </w:rPr>
        <w:t>ui</w:t>
      </w:r>
      <w:r w:rsidRPr="00F54C45">
        <w:rPr>
          <w:rFonts w:ascii="TimesNewRomanPS-ItalicMT" w:hAnsi="TimesNewRomanPS-ItalicMT" w:cs="TimesNewRomanPS-ItalicMT"/>
          <w:i/>
          <w:iCs/>
          <w:u w:val="single"/>
        </w:rPr>
        <w:t xml:space="preserve"> gydy</w:t>
      </w:r>
      <w:r w:rsidR="00A56C6D">
        <w:rPr>
          <w:rFonts w:ascii="TimesNewRomanPS-ItalicMT" w:hAnsi="TimesNewRomanPS-ItalicMT" w:cs="TimesNewRomanPS-ItalicMT"/>
          <w:i/>
          <w:iCs/>
          <w:u w:val="single"/>
        </w:rPr>
        <w:t>ti</w:t>
      </w:r>
    </w:p>
    <w:p w14:paraId="511AAC7C"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Iš 333 pacientų, tiriant prostatos vėžio gydymą vartojusių docetakselį kas 3</w:t>
      </w:r>
      <w:r w:rsidR="004676B7" w:rsidRPr="007C1A06">
        <w:rPr>
          <w:rFonts w:ascii="Times New Roman" w:hAnsi="Times New Roman"/>
        </w:rPr>
        <w:t> </w:t>
      </w:r>
      <w:r w:rsidRPr="007C1A06">
        <w:rPr>
          <w:rFonts w:ascii="Times New Roman" w:hAnsi="Times New Roman"/>
        </w:rPr>
        <w:t>savaites</w:t>
      </w:r>
      <w:r w:rsidR="003B15C8">
        <w:rPr>
          <w:rFonts w:ascii="Times New Roman" w:hAnsi="Times New Roman"/>
        </w:rPr>
        <w:t xml:space="preserve"> (TAX 327)</w:t>
      </w:r>
      <w:r w:rsidRPr="007C1A06">
        <w:rPr>
          <w:rFonts w:ascii="Times New Roman" w:hAnsi="Times New Roman"/>
        </w:rPr>
        <w:t>, 209 buvo 65</w:t>
      </w:r>
      <w:r w:rsidR="004676B7" w:rsidRPr="007C1A06">
        <w:rPr>
          <w:rFonts w:ascii="Times New Roman" w:hAnsi="Times New Roman"/>
        </w:rPr>
        <w:t> </w:t>
      </w:r>
      <w:r w:rsidRPr="007C1A06">
        <w:rPr>
          <w:rFonts w:ascii="Times New Roman" w:hAnsi="Times New Roman"/>
        </w:rPr>
        <w:t>metų ar vyresni, 68 – vyresni kaip 75</w:t>
      </w:r>
      <w:r w:rsidR="004676B7" w:rsidRPr="007C1A06">
        <w:rPr>
          <w:rFonts w:ascii="Times New Roman" w:hAnsi="Times New Roman"/>
        </w:rPr>
        <w:t> </w:t>
      </w:r>
      <w:r w:rsidRPr="007C1A06">
        <w:rPr>
          <w:rFonts w:ascii="Times New Roman" w:hAnsi="Times New Roman"/>
        </w:rPr>
        <w:t>metų. Docetakselį vartojant kas 3</w:t>
      </w:r>
      <w:r w:rsidR="004676B7" w:rsidRPr="007C1A06">
        <w:rPr>
          <w:rFonts w:ascii="Times New Roman" w:hAnsi="Times New Roman"/>
        </w:rPr>
        <w:t> </w:t>
      </w:r>
      <w:r w:rsidRPr="007C1A06">
        <w:rPr>
          <w:rFonts w:ascii="Times New Roman" w:hAnsi="Times New Roman"/>
        </w:rPr>
        <w:t>savaites, su juo susijusių nagų pokyčių 65</w:t>
      </w:r>
      <w:r w:rsidR="004676B7" w:rsidRPr="007C1A06">
        <w:rPr>
          <w:rFonts w:ascii="Times New Roman" w:hAnsi="Times New Roman"/>
        </w:rPr>
        <w:t> </w:t>
      </w:r>
      <w:r w:rsidRPr="007C1A06">
        <w:rPr>
          <w:rFonts w:ascii="Times New Roman" w:hAnsi="Times New Roman"/>
        </w:rPr>
        <w:t>metų ir vyresniems pacientams atsirado ≥</w:t>
      </w:r>
      <w:r w:rsidR="004676B7" w:rsidRPr="007C1A06">
        <w:rPr>
          <w:rFonts w:ascii="Times New Roman" w:hAnsi="Times New Roman"/>
        </w:rPr>
        <w:t> </w:t>
      </w:r>
      <w:r w:rsidRPr="007C1A06">
        <w:rPr>
          <w:rFonts w:ascii="Times New Roman" w:hAnsi="Times New Roman"/>
        </w:rPr>
        <w:t>10</w:t>
      </w:r>
      <w:r w:rsidR="004676B7" w:rsidRPr="007C1A06">
        <w:rPr>
          <w:rFonts w:ascii="Times New Roman" w:hAnsi="Times New Roman"/>
        </w:rPr>
        <w:t> </w:t>
      </w:r>
      <w:r w:rsidRPr="007C1A06">
        <w:rPr>
          <w:rFonts w:ascii="Times New Roman" w:hAnsi="Times New Roman"/>
        </w:rPr>
        <w:t>% dažniau negu jaunesniems. Su vaistiniu preparatu susijęs karščiavimas, viduriavimas, anoreksija ir periferinė edema 75</w:t>
      </w:r>
      <w:r w:rsidR="004676B7" w:rsidRPr="007C1A06">
        <w:rPr>
          <w:rFonts w:ascii="Times New Roman" w:hAnsi="Times New Roman"/>
        </w:rPr>
        <w:t> </w:t>
      </w:r>
      <w:r w:rsidRPr="007C1A06">
        <w:rPr>
          <w:rFonts w:ascii="Times New Roman" w:hAnsi="Times New Roman"/>
        </w:rPr>
        <w:t>metų ir vyresniems pacientams pasireiškė ≥</w:t>
      </w:r>
      <w:r w:rsidR="004676B7" w:rsidRPr="007C1A06">
        <w:rPr>
          <w:rFonts w:ascii="Times New Roman" w:hAnsi="Times New Roman"/>
        </w:rPr>
        <w:t> </w:t>
      </w:r>
      <w:r w:rsidRPr="007C1A06">
        <w:rPr>
          <w:rFonts w:ascii="Times New Roman" w:hAnsi="Times New Roman"/>
        </w:rPr>
        <w:t>10</w:t>
      </w:r>
      <w:r w:rsidR="004676B7" w:rsidRPr="007C1A06">
        <w:rPr>
          <w:rFonts w:ascii="Times New Roman" w:hAnsi="Times New Roman"/>
        </w:rPr>
        <w:t> </w:t>
      </w:r>
      <w:r w:rsidRPr="007C1A06">
        <w:rPr>
          <w:rFonts w:ascii="Times New Roman" w:hAnsi="Times New Roman"/>
        </w:rPr>
        <w:t>% dažniau negu jaunesniems kaip 65</w:t>
      </w:r>
      <w:r w:rsidR="004676B7" w:rsidRPr="007C1A06">
        <w:rPr>
          <w:rFonts w:ascii="Times New Roman" w:hAnsi="Times New Roman"/>
        </w:rPr>
        <w:t> </w:t>
      </w:r>
      <w:r w:rsidRPr="007C1A06">
        <w:rPr>
          <w:rFonts w:ascii="Times New Roman" w:hAnsi="Times New Roman"/>
        </w:rPr>
        <w:t>metų.</w:t>
      </w:r>
    </w:p>
    <w:p w14:paraId="0757F2AF" w14:textId="77777777" w:rsidR="00D875C0" w:rsidRPr="007C1A06" w:rsidRDefault="00D875C0" w:rsidP="00D875C0">
      <w:pPr>
        <w:autoSpaceDE w:val="0"/>
        <w:autoSpaceDN w:val="0"/>
        <w:adjustRightInd w:val="0"/>
        <w:spacing w:after="0" w:line="240" w:lineRule="auto"/>
        <w:rPr>
          <w:rFonts w:ascii="Times New Roman" w:hAnsi="Times New Roman"/>
        </w:rPr>
      </w:pPr>
    </w:p>
    <w:p w14:paraId="5405CAB0" w14:textId="77777777" w:rsidR="00B93C53" w:rsidRPr="005E6CBA" w:rsidRDefault="00B93C53" w:rsidP="00B93C53">
      <w:pPr>
        <w:autoSpaceDE w:val="0"/>
        <w:autoSpaceDN w:val="0"/>
        <w:adjustRightInd w:val="0"/>
        <w:spacing w:after="0" w:line="240" w:lineRule="auto"/>
        <w:rPr>
          <w:rFonts w:ascii="TimesNewRomanPS-ItalicMT" w:hAnsi="TimesNewRomanPS-ItalicMT" w:cs="TimesNewRomanPS-ItalicMT"/>
          <w:i/>
          <w:iCs/>
          <w:u w:val="single"/>
        </w:rPr>
      </w:pPr>
      <w:r w:rsidRPr="005E6CBA">
        <w:rPr>
          <w:rFonts w:ascii="TimesNewRomanPS-ItalicMT" w:hAnsi="TimesNewRomanPS-ItalicMT" w:cs="TimesNewRomanPS-ItalicMT"/>
          <w:i/>
          <w:iCs/>
          <w:u w:val="single"/>
        </w:rPr>
        <w:t xml:space="preserve">Atsargumo priemonės </w:t>
      </w:r>
      <w:r w:rsidR="00A56C6D">
        <w:rPr>
          <w:rFonts w:ascii="TimesNewRomanPS-ItalicMT" w:hAnsi="TimesNewRomanPS-ItalicMT" w:cs="TimesNewRomanPS-ItalicMT"/>
          <w:i/>
          <w:iCs/>
          <w:u w:val="single"/>
        </w:rPr>
        <w:t>skiriant</w:t>
      </w:r>
      <w:r w:rsidR="00293C72">
        <w:rPr>
          <w:rFonts w:ascii="TimesNewRomanPS-ItalicMT" w:hAnsi="TimesNewRomanPS-ItalicMT" w:cs="TimesNewRomanPS-ItalicMT"/>
          <w:i/>
          <w:iCs/>
          <w:u w:val="single"/>
        </w:rPr>
        <w:t xml:space="preserve"> </w:t>
      </w:r>
      <w:r w:rsidR="008E0583">
        <w:rPr>
          <w:rFonts w:ascii="TimesNewRomanPS-ItalicMT" w:hAnsi="TimesNewRomanPS-ItalicMT" w:cs="TimesNewRomanPS-ItalicMT"/>
          <w:i/>
          <w:iCs/>
          <w:u w:val="single"/>
        </w:rPr>
        <w:t>skrandžio vėži</w:t>
      </w:r>
      <w:r w:rsidR="00A56C6D">
        <w:rPr>
          <w:rFonts w:ascii="TimesNewRomanPS-ItalicMT" w:hAnsi="TimesNewRomanPS-ItalicMT" w:cs="TimesNewRomanPS-ItalicMT"/>
          <w:i/>
          <w:iCs/>
          <w:u w:val="single"/>
        </w:rPr>
        <w:t>ui</w:t>
      </w:r>
      <w:r w:rsidR="008E0583">
        <w:rPr>
          <w:rFonts w:ascii="TimesNewRomanPS-ItalicMT" w:hAnsi="TimesNewRomanPS-ItalicMT" w:cs="TimesNewRomanPS-ItalicMT"/>
          <w:i/>
          <w:iCs/>
          <w:u w:val="single"/>
        </w:rPr>
        <w:t xml:space="preserve"> (adenokarcinom</w:t>
      </w:r>
      <w:r w:rsidR="00A56C6D">
        <w:rPr>
          <w:rFonts w:ascii="TimesNewRomanPS-ItalicMT" w:hAnsi="TimesNewRomanPS-ItalicMT" w:cs="TimesNewRomanPS-ItalicMT"/>
          <w:i/>
          <w:iCs/>
          <w:u w:val="single"/>
        </w:rPr>
        <w:t>ai</w:t>
      </w:r>
      <w:r w:rsidR="00AF3207">
        <w:rPr>
          <w:rFonts w:ascii="TimesNewRomanPS-ItalicMT" w:hAnsi="TimesNewRomanPS-ItalicMT" w:cs="TimesNewRomanPS-ItalicMT"/>
          <w:i/>
          <w:iCs/>
          <w:u w:val="single"/>
        </w:rPr>
        <w:t>)</w:t>
      </w:r>
      <w:r w:rsidRPr="005E6CBA">
        <w:rPr>
          <w:rFonts w:ascii="TimesNewRomanPS-ItalicMT" w:hAnsi="TimesNewRomanPS-ItalicMT" w:cs="TimesNewRomanPS-ItalicMT"/>
          <w:i/>
          <w:iCs/>
          <w:u w:val="single"/>
        </w:rPr>
        <w:t xml:space="preserve"> gydy</w:t>
      </w:r>
      <w:r w:rsidR="00A56C6D">
        <w:rPr>
          <w:rFonts w:ascii="TimesNewRomanPS-ItalicMT" w:hAnsi="TimesNewRomanPS-ItalicMT" w:cs="TimesNewRomanPS-ItalicMT"/>
          <w:i/>
          <w:iCs/>
          <w:u w:val="single"/>
        </w:rPr>
        <w:t>ti</w:t>
      </w:r>
    </w:p>
    <w:p w14:paraId="7D3D94BB"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300</w:t>
      </w:r>
      <w:r w:rsidR="004676B7" w:rsidRPr="007C1A06">
        <w:rPr>
          <w:rFonts w:ascii="Times New Roman" w:hAnsi="Times New Roman"/>
        </w:rPr>
        <w:t> </w:t>
      </w:r>
      <w:r w:rsidRPr="007C1A06">
        <w:rPr>
          <w:rFonts w:ascii="Times New Roman" w:hAnsi="Times New Roman"/>
        </w:rPr>
        <w:t>pacientų, kurie sirgo skrandžio vėžiu ir tyrimo metu buvo gydyti docetakseliu kartu su cisplatina ir 5-fluorouracilu (221 pacientas – III fazės tyrimo dalyje, 79 – II fazės tyrimo dalyje), grupėje 74 pacientai buvo 65</w:t>
      </w:r>
      <w:r w:rsidR="004676B7" w:rsidRPr="007C1A06">
        <w:rPr>
          <w:rFonts w:ascii="Times New Roman" w:hAnsi="Times New Roman"/>
        </w:rPr>
        <w:t> </w:t>
      </w:r>
      <w:r w:rsidRPr="007C1A06">
        <w:rPr>
          <w:rFonts w:ascii="Times New Roman" w:hAnsi="Times New Roman"/>
        </w:rPr>
        <w:t>metų ir vyresni, o 4</w:t>
      </w:r>
      <w:r w:rsidR="004676B7" w:rsidRPr="007C1A06">
        <w:rPr>
          <w:rFonts w:ascii="Times New Roman" w:hAnsi="Times New Roman"/>
        </w:rPr>
        <w:t> </w:t>
      </w:r>
      <w:r w:rsidRPr="007C1A06">
        <w:rPr>
          <w:rFonts w:ascii="Times New Roman" w:hAnsi="Times New Roman"/>
        </w:rPr>
        <w:t xml:space="preserve"> pacientai - 75</w:t>
      </w:r>
      <w:r w:rsidR="004676B7" w:rsidRPr="007C1A06">
        <w:rPr>
          <w:rFonts w:ascii="Times New Roman" w:hAnsi="Times New Roman"/>
        </w:rPr>
        <w:t> </w:t>
      </w:r>
      <w:r w:rsidRPr="007C1A06">
        <w:rPr>
          <w:rFonts w:ascii="Times New Roman" w:hAnsi="Times New Roman"/>
        </w:rPr>
        <w:t>metų ir vyresni. Sunkių nepageidaujamų reiškinių senyviems žmonėms pasireiškė dažniau nei jaunesniems. Įvairaus sunkumo laipsnio letargija, stomatitas bei su neutropenija susijusi infekcija 65</w:t>
      </w:r>
      <w:r w:rsidR="004676B7" w:rsidRPr="007C1A06">
        <w:rPr>
          <w:rFonts w:ascii="Times New Roman" w:hAnsi="Times New Roman"/>
        </w:rPr>
        <w:t> </w:t>
      </w:r>
      <w:r w:rsidRPr="007C1A06">
        <w:rPr>
          <w:rFonts w:ascii="Times New Roman" w:hAnsi="Times New Roman"/>
        </w:rPr>
        <w:t>metų ir vyresniems pacientams pasireiškė ≥</w:t>
      </w:r>
      <w:r w:rsidR="004676B7" w:rsidRPr="007C1A06">
        <w:rPr>
          <w:rFonts w:ascii="Times New Roman" w:hAnsi="Times New Roman"/>
        </w:rPr>
        <w:t> </w:t>
      </w:r>
      <w:r w:rsidRPr="007C1A06">
        <w:rPr>
          <w:rFonts w:ascii="Times New Roman" w:hAnsi="Times New Roman"/>
        </w:rPr>
        <w:t>10</w:t>
      </w:r>
      <w:r w:rsidR="004676B7" w:rsidRPr="007C1A06">
        <w:rPr>
          <w:rFonts w:ascii="Times New Roman" w:hAnsi="Times New Roman"/>
        </w:rPr>
        <w:t> </w:t>
      </w:r>
      <w:r w:rsidRPr="007C1A06">
        <w:rPr>
          <w:rFonts w:ascii="Times New Roman" w:hAnsi="Times New Roman"/>
        </w:rPr>
        <w:t>% dažniau, negu jaunesniems kaip 65</w:t>
      </w:r>
      <w:r w:rsidR="004676B7" w:rsidRPr="007C1A06">
        <w:rPr>
          <w:rFonts w:ascii="Times New Roman" w:hAnsi="Times New Roman"/>
        </w:rPr>
        <w:t> </w:t>
      </w:r>
      <w:r w:rsidRPr="007C1A06">
        <w:rPr>
          <w:rFonts w:ascii="Times New Roman" w:hAnsi="Times New Roman"/>
        </w:rPr>
        <w:t xml:space="preserve">metų </w:t>
      </w:r>
      <w:r w:rsidR="00790787">
        <w:rPr>
          <w:rFonts w:ascii="Times New Roman" w:hAnsi="Times New Roman"/>
        </w:rPr>
        <w:t>pacientams</w:t>
      </w:r>
      <w:r w:rsidRPr="007C1A06">
        <w:rPr>
          <w:rFonts w:ascii="Times New Roman" w:hAnsi="Times New Roman"/>
        </w:rPr>
        <w:t>.</w:t>
      </w:r>
    </w:p>
    <w:p w14:paraId="3E7FBF1F"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Senyvi žmonės, gydomi naudojant TCF schemą, turi būti atidžiai stebimi.</w:t>
      </w:r>
    </w:p>
    <w:p w14:paraId="45D3E566" w14:textId="77777777" w:rsidR="00D875C0" w:rsidRDefault="00D875C0" w:rsidP="00D875C0">
      <w:pPr>
        <w:autoSpaceDE w:val="0"/>
        <w:autoSpaceDN w:val="0"/>
        <w:adjustRightInd w:val="0"/>
        <w:spacing w:after="0" w:line="240" w:lineRule="auto"/>
        <w:rPr>
          <w:rFonts w:ascii="Times New Roman" w:hAnsi="Times New Roman"/>
        </w:rPr>
      </w:pPr>
    </w:p>
    <w:p w14:paraId="764D6F4D" w14:textId="3E12D685" w:rsidR="006A667D" w:rsidRPr="00453BC4" w:rsidRDefault="006A667D" w:rsidP="00D875C0">
      <w:pPr>
        <w:autoSpaceDE w:val="0"/>
        <w:autoSpaceDN w:val="0"/>
        <w:adjustRightInd w:val="0"/>
        <w:spacing w:after="0" w:line="240" w:lineRule="auto"/>
        <w:rPr>
          <w:rFonts w:ascii="Times New Roman" w:hAnsi="Times New Roman"/>
          <w:i/>
          <w:iCs/>
          <w:u w:val="single"/>
        </w:rPr>
      </w:pPr>
      <w:r w:rsidRPr="00453BC4">
        <w:rPr>
          <w:rFonts w:ascii="Times New Roman" w:hAnsi="Times New Roman"/>
          <w:i/>
          <w:iCs/>
          <w:u w:val="single"/>
        </w:rPr>
        <w:t>Pagalbinės medžiagos</w:t>
      </w:r>
    </w:p>
    <w:p w14:paraId="6D144B6D" w14:textId="77777777" w:rsidR="00572E9C" w:rsidRPr="00F54C45" w:rsidRDefault="00572E9C" w:rsidP="00572E9C">
      <w:pPr>
        <w:spacing w:after="0" w:line="240" w:lineRule="auto"/>
        <w:rPr>
          <w:rFonts w:ascii="Times New Roman" w:eastAsiaTheme="minorEastAsia" w:hAnsi="Times New Roman"/>
          <w:i/>
          <w:iCs/>
          <w:lang w:eastAsia="zh-TW"/>
        </w:rPr>
      </w:pPr>
      <w:r w:rsidRPr="00F54C45">
        <w:rPr>
          <w:rFonts w:ascii="Times New Roman" w:hAnsi="Times New Roman"/>
          <w:i/>
          <w:iCs/>
        </w:rPr>
        <w:t>Docetaxel Ebewe sudėtyje yra etanolio</w:t>
      </w:r>
    </w:p>
    <w:p w14:paraId="3E9E787A" w14:textId="5ECD5A0F" w:rsidR="00913A7F" w:rsidRPr="000353CE" w:rsidRDefault="00BF2E69">
      <w:pPr>
        <w:pStyle w:val="Pagrindinistekstas"/>
        <w:spacing w:before="19" w:line="252" w:lineRule="exact"/>
        <w:jc w:val="left"/>
        <w:rPr>
          <w:sz w:val="22"/>
          <w:szCs w:val="22"/>
        </w:rPr>
      </w:pPr>
      <w:r>
        <w:t>Š</w:t>
      </w:r>
      <w:r w:rsidR="00913A7F" w:rsidRPr="004E3CD5">
        <w:rPr>
          <w:sz w:val="22"/>
        </w:rPr>
        <w:t xml:space="preserve">io </w:t>
      </w:r>
      <w:r w:rsidR="00913A7F" w:rsidRPr="00915C14">
        <w:rPr>
          <w:sz w:val="22"/>
          <w:szCs w:val="22"/>
        </w:rPr>
        <w:t>vaistinio preparato</w:t>
      </w:r>
      <w:r w:rsidR="00913A7F" w:rsidRPr="004E3CD5">
        <w:rPr>
          <w:sz w:val="22"/>
        </w:rPr>
        <w:t xml:space="preserve"> </w:t>
      </w:r>
      <w:r w:rsidR="0056015B" w:rsidRPr="00F54C45">
        <w:rPr>
          <w:sz w:val="22"/>
          <w:szCs w:val="22"/>
        </w:rPr>
        <w:t xml:space="preserve">koncentrato infuziniam tirpalui </w:t>
      </w:r>
      <w:r>
        <w:rPr>
          <w:sz w:val="22"/>
          <w:szCs w:val="22"/>
        </w:rPr>
        <w:t xml:space="preserve">kiekviename </w:t>
      </w:r>
      <w:r w:rsidR="00910DF9" w:rsidRPr="005D06A9">
        <w:rPr>
          <w:sz w:val="22"/>
          <w:szCs w:val="22"/>
        </w:rPr>
        <w:t>mililitre</w:t>
      </w:r>
      <w:r w:rsidR="00910DF9" w:rsidRPr="0056015B">
        <w:rPr>
          <w:sz w:val="22"/>
          <w:szCs w:val="22"/>
        </w:rPr>
        <w:t xml:space="preserve"> </w:t>
      </w:r>
      <w:r w:rsidR="0056015B" w:rsidRPr="00F54C45">
        <w:rPr>
          <w:sz w:val="22"/>
          <w:szCs w:val="22"/>
        </w:rPr>
        <w:t xml:space="preserve">yra </w:t>
      </w:r>
      <w:r w:rsidR="006A667D" w:rsidRPr="00F54C45">
        <w:rPr>
          <w:sz w:val="22"/>
          <w:szCs w:val="22"/>
        </w:rPr>
        <w:t>265</w:t>
      </w:r>
      <w:r w:rsidR="006A667D">
        <w:rPr>
          <w:sz w:val="22"/>
          <w:szCs w:val="22"/>
        </w:rPr>
        <w:t> </w:t>
      </w:r>
      <w:r w:rsidR="0056015B" w:rsidRPr="00F54C45">
        <w:rPr>
          <w:sz w:val="22"/>
          <w:szCs w:val="22"/>
        </w:rPr>
        <w:t>mg etanolio</w:t>
      </w:r>
      <w:r w:rsidR="00A46EB4">
        <w:rPr>
          <w:sz w:val="22"/>
          <w:szCs w:val="22"/>
        </w:rPr>
        <w:t>,</w:t>
      </w:r>
      <w:r w:rsidR="0056015B" w:rsidRPr="00F54C45">
        <w:rPr>
          <w:sz w:val="22"/>
          <w:szCs w:val="22"/>
        </w:rPr>
        <w:t xml:space="preserve"> </w:t>
      </w:r>
      <w:r w:rsidRPr="000353CE">
        <w:rPr>
          <w:sz w:val="22"/>
          <w:szCs w:val="22"/>
        </w:rPr>
        <w:t>atitinkančio</w:t>
      </w:r>
      <w:r w:rsidR="0056015B" w:rsidRPr="000353CE">
        <w:rPr>
          <w:sz w:val="22"/>
          <w:szCs w:val="22"/>
        </w:rPr>
        <w:t xml:space="preserve"> </w:t>
      </w:r>
      <w:r w:rsidR="006A667D" w:rsidRPr="000353CE">
        <w:rPr>
          <w:sz w:val="22"/>
          <w:szCs w:val="22"/>
        </w:rPr>
        <w:t>26</w:t>
      </w:r>
      <w:r w:rsidR="006A667D">
        <w:rPr>
          <w:sz w:val="22"/>
          <w:szCs w:val="22"/>
        </w:rPr>
        <w:t> </w:t>
      </w:r>
      <w:r w:rsidR="0056015B" w:rsidRPr="000353CE">
        <w:rPr>
          <w:sz w:val="22"/>
          <w:szCs w:val="22"/>
        </w:rPr>
        <w:t>% (m/m)</w:t>
      </w:r>
      <w:r w:rsidR="00547FFD" w:rsidRPr="000353CE">
        <w:rPr>
          <w:sz w:val="22"/>
          <w:szCs w:val="22"/>
        </w:rPr>
        <w:t xml:space="preserve">. Jo kiekis </w:t>
      </w:r>
      <w:r w:rsidR="003C4549" w:rsidRPr="000353CE">
        <w:rPr>
          <w:sz w:val="22"/>
          <w:szCs w:val="22"/>
        </w:rPr>
        <w:t>š</w:t>
      </w:r>
      <w:r w:rsidR="00547FFD" w:rsidRPr="000353CE">
        <w:rPr>
          <w:sz w:val="22"/>
          <w:szCs w:val="22"/>
        </w:rPr>
        <w:t xml:space="preserve">io vaistinio preparato </w:t>
      </w:r>
      <w:r w:rsidR="006A667D" w:rsidRPr="000353CE">
        <w:rPr>
          <w:sz w:val="22"/>
          <w:szCs w:val="22"/>
        </w:rPr>
        <w:t>1</w:t>
      </w:r>
      <w:r w:rsidR="006A667D">
        <w:rPr>
          <w:sz w:val="22"/>
          <w:szCs w:val="22"/>
        </w:rPr>
        <w:t xml:space="preserve"> </w:t>
      </w:r>
      <w:r w:rsidR="00195BBD" w:rsidRPr="000353CE">
        <w:rPr>
          <w:sz w:val="22"/>
          <w:szCs w:val="22"/>
        </w:rPr>
        <w:t>ml</w:t>
      </w:r>
      <w:r w:rsidR="00547FFD" w:rsidRPr="000353CE">
        <w:rPr>
          <w:sz w:val="22"/>
          <w:szCs w:val="22"/>
        </w:rPr>
        <w:t xml:space="preserve"> </w:t>
      </w:r>
      <w:r w:rsidR="00754DB0" w:rsidRPr="000353CE">
        <w:rPr>
          <w:sz w:val="22"/>
          <w:szCs w:val="22"/>
        </w:rPr>
        <w:t>atitinka</w:t>
      </w:r>
      <w:r w:rsidR="00913A7F" w:rsidRPr="000353CE">
        <w:rPr>
          <w:sz w:val="22"/>
          <w:szCs w:val="22"/>
        </w:rPr>
        <w:t xml:space="preserve"> </w:t>
      </w:r>
      <w:r w:rsidR="00195BBD" w:rsidRPr="000353CE">
        <w:rPr>
          <w:sz w:val="22"/>
          <w:szCs w:val="22"/>
        </w:rPr>
        <w:t>7</w:t>
      </w:r>
      <w:r w:rsidR="00913A7F" w:rsidRPr="000353CE">
        <w:rPr>
          <w:sz w:val="22"/>
          <w:szCs w:val="22"/>
        </w:rPr>
        <w:t xml:space="preserve"> ml alaus arba </w:t>
      </w:r>
      <w:r w:rsidR="00195BBD" w:rsidRPr="000353CE">
        <w:rPr>
          <w:sz w:val="22"/>
          <w:szCs w:val="22"/>
        </w:rPr>
        <w:t>3</w:t>
      </w:r>
      <w:r w:rsidR="00913A7F" w:rsidRPr="000353CE">
        <w:rPr>
          <w:sz w:val="22"/>
          <w:szCs w:val="22"/>
        </w:rPr>
        <w:t> ml vyno.</w:t>
      </w:r>
    </w:p>
    <w:p w14:paraId="6080BF1A" w14:textId="77777777" w:rsidR="007A3774" w:rsidRPr="000353CE" w:rsidRDefault="007A3774" w:rsidP="00D875C0">
      <w:pPr>
        <w:spacing w:after="0" w:line="240" w:lineRule="auto"/>
        <w:rPr>
          <w:rFonts w:ascii="Times New Roman" w:eastAsia="Times New Roman" w:hAnsi="Times New Roman" w:cs="Times New Roman"/>
        </w:rPr>
      </w:pPr>
    </w:p>
    <w:p w14:paraId="46304008" w14:textId="77777777" w:rsidR="007A3774" w:rsidRPr="000353CE" w:rsidRDefault="00136CFC" w:rsidP="00D875C0">
      <w:pPr>
        <w:spacing w:after="0" w:line="240" w:lineRule="auto"/>
        <w:rPr>
          <w:rFonts w:ascii="Times New Roman" w:eastAsia="Times New Roman" w:hAnsi="Times New Roman" w:cs="Times New Roman"/>
        </w:rPr>
      </w:pPr>
      <w:r w:rsidRPr="000353CE">
        <w:rPr>
          <w:rFonts w:ascii="Times New Roman" w:eastAsia="Times New Roman" w:hAnsi="Times New Roman" w:cs="Times New Roman"/>
        </w:rPr>
        <w:t>Šio vaistinio preparato 100 mg/m</w:t>
      </w:r>
      <w:r w:rsidRPr="000353CE">
        <w:rPr>
          <w:rFonts w:ascii="Times New Roman" w:eastAsia="Times New Roman" w:hAnsi="Times New Roman" w:cs="Times New Roman"/>
          <w:vertAlign w:val="superscript"/>
        </w:rPr>
        <w:t>2</w:t>
      </w:r>
      <w:r w:rsidR="00DD0D17" w:rsidRPr="000353CE">
        <w:rPr>
          <w:rFonts w:ascii="Times New Roman" w:eastAsia="Times New Roman" w:hAnsi="Times New Roman" w:cs="Times New Roman"/>
        </w:rPr>
        <w:t xml:space="preserve"> dozė,</w:t>
      </w:r>
      <w:r w:rsidR="00183A14" w:rsidRPr="000353CE">
        <w:rPr>
          <w:rFonts w:ascii="Times New Roman" w:eastAsia="Times New Roman" w:hAnsi="Times New Roman" w:cs="Times New Roman"/>
        </w:rPr>
        <w:t xml:space="preserve"> </w:t>
      </w:r>
      <w:r w:rsidR="00E5660F" w:rsidRPr="000353CE">
        <w:rPr>
          <w:rFonts w:ascii="Times New Roman" w:eastAsia="Times New Roman" w:hAnsi="Times New Roman" w:cs="Times New Roman"/>
        </w:rPr>
        <w:t>suleista</w:t>
      </w:r>
      <w:r w:rsidR="00183A14" w:rsidRPr="000353CE">
        <w:rPr>
          <w:rFonts w:ascii="Times New Roman" w:eastAsia="Times New Roman" w:hAnsi="Times New Roman" w:cs="Times New Roman"/>
        </w:rPr>
        <w:t xml:space="preserve"> </w:t>
      </w:r>
      <w:r w:rsidR="00BF648D" w:rsidRPr="000353CE">
        <w:rPr>
          <w:rFonts w:ascii="Times New Roman" w:eastAsia="Times New Roman" w:hAnsi="Times New Roman" w:cs="Times New Roman"/>
        </w:rPr>
        <w:t xml:space="preserve">suaugusiajam, kurio svoris </w:t>
      </w:r>
      <w:r w:rsidR="00183A14" w:rsidRPr="000353CE">
        <w:rPr>
          <w:rFonts w:ascii="Times New Roman" w:eastAsia="Times New Roman" w:hAnsi="Times New Roman" w:cs="Times New Roman"/>
        </w:rPr>
        <w:t>70</w:t>
      </w:r>
      <w:r w:rsidR="00BF648D" w:rsidRPr="000353CE">
        <w:rPr>
          <w:rFonts w:ascii="Times New Roman" w:eastAsia="Times New Roman" w:hAnsi="Times New Roman" w:cs="Times New Roman"/>
        </w:rPr>
        <w:t> </w:t>
      </w:r>
      <w:r w:rsidR="00183A14" w:rsidRPr="000353CE">
        <w:rPr>
          <w:rFonts w:ascii="Times New Roman" w:eastAsia="Times New Roman" w:hAnsi="Times New Roman" w:cs="Times New Roman"/>
        </w:rPr>
        <w:t>kg</w:t>
      </w:r>
      <w:r w:rsidR="00BF648D" w:rsidRPr="000353CE">
        <w:rPr>
          <w:rFonts w:ascii="Times New Roman" w:eastAsia="Times New Roman" w:hAnsi="Times New Roman" w:cs="Times New Roman"/>
        </w:rPr>
        <w:t xml:space="preserve">, </w:t>
      </w:r>
      <w:r w:rsidR="00A819C1" w:rsidRPr="000353CE">
        <w:rPr>
          <w:rFonts w:ascii="Times New Roman" w:eastAsia="Times New Roman" w:hAnsi="Times New Roman" w:cs="Times New Roman"/>
        </w:rPr>
        <w:t>sukels</w:t>
      </w:r>
      <w:r w:rsidR="00D901D2" w:rsidRPr="000353CE">
        <w:rPr>
          <w:rFonts w:ascii="Times New Roman" w:eastAsia="Times New Roman" w:hAnsi="Times New Roman" w:cs="Times New Roman"/>
        </w:rPr>
        <w:t xml:space="preserve"> </w:t>
      </w:r>
      <w:r w:rsidR="00C327AA" w:rsidRPr="000353CE">
        <w:rPr>
          <w:rFonts w:ascii="Times New Roman" w:eastAsia="Times New Roman" w:hAnsi="Times New Roman" w:cs="Times New Roman"/>
        </w:rPr>
        <w:t>apytikriai</w:t>
      </w:r>
      <w:r w:rsidR="00095CB4" w:rsidRPr="000353CE">
        <w:rPr>
          <w:rFonts w:ascii="Times New Roman" w:eastAsia="Times New Roman" w:hAnsi="Times New Roman" w:cs="Times New Roman"/>
        </w:rPr>
        <w:t xml:space="preserve"> 71 mg/kg</w:t>
      </w:r>
      <w:r w:rsidR="00FB3181" w:rsidRPr="000353CE">
        <w:rPr>
          <w:rFonts w:ascii="Times New Roman" w:eastAsia="Times New Roman" w:hAnsi="Times New Roman" w:cs="Times New Roman"/>
        </w:rPr>
        <w:t xml:space="preserve"> </w:t>
      </w:r>
      <w:r w:rsidR="003F4EE4" w:rsidRPr="000353CE">
        <w:rPr>
          <w:rFonts w:ascii="Times New Roman" w:eastAsia="Times New Roman" w:hAnsi="Times New Roman" w:cs="Times New Roman"/>
        </w:rPr>
        <w:t xml:space="preserve">etanolio </w:t>
      </w:r>
      <w:r w:rsidR="00C933B1" w:rsidRPr="000353CE">
        <w:rPr>
          <w:rFonts w:ascii="Times New Roman" w:eastAsia="Times New Roman" w:hAnsi="Times New Roman" w:cs="Times New Roman"/>
        </w:rPr>
        <w:t>ekspoziciją</w:t>
      </w:r>
      <w:r w:rsidR="00702537" w:rsidRPr="000353CE">
        <w:rPr>
          <w:rFonts w:ascii="Times New Roman" w:eastAsia="Times New Roman" w:hAnsi="Times New Roman" w:cs="Times New Roman"/>
        </w:rPr>
        <w:t xml:space="preserve">, </w:t>
      </w:r>
      <w:r w:rsidR="00112C2F" w:rsidRPr="000353CE">
        <w:rPr>
          <w:rFonts w:ascii="Times New Roman" w:eastAsia="Times New Roman" w:hAnsi="Times New Roman" w:cs="Times New Roman"/>
        </w:rPr>
        <w:t>dėl kurios</w:t>
      </w:r>
      <w:r w:rsidR="00F46462" w:rsidRPr="000353CE">
        <w:rPr>
          <w:rFonts w:ascii="Times New Roman" w:eastAsia="Times New Roman" w:hAnsi="Times New Roman" w:cs="Times New Roman"/>
        </w:rPr>
        <w:t xml:space="preserve"> </w:t>
      </w:r>
      <w:r w:rsidR="0046247D" w:rsidRPr="000353CE">
        <w:rPr>
          <w:rFonts w:ascii="Times New Roman" w:eastAsia="Times New Roman" w:hAnsi="Times New Roman" w:cs="Times New Roman"/>
        </w:rPr>
        <w:t>al</w:t>
      </w:r>
      <w:r w:rsidR="00C327AA" w:rsidRPr="000353CE">
        <w:rPr>
          <w:rFonts w:ascii="Times New Roman" w:eastAsia="Times New Roman" w:hAnsi="Times New Roman" w:cs="Times New Roman"/>
        </w:rPr>
        <w:t>koholio koncentracij</w:t>
      </w:r>
      <w:r w:rsidR="00C7081D" w:rsidRPr="000353CE">
        <w:rPr>
          <w:rFonts w:ascii="Times New Roman" w:eastAsia="Times New Roman" w:hAnsi="Times New Roman" w:cs="Times New Roman"/>
        </w:rPr>
        <w:t>a</w:t>
      </w:r>
      <w:r w:rsidR="00C327AA" w:rsidRPr="000353CE">
        <w:rPr>
          <w:rFonts w:ascii="Times New Roman" w:eastAsia="Times New Roman" w:hAnsi="Times New Roman" w:cs="Times New Roman"/>
        </w:rPr>
        <w:t xml:space="preserve"> kraujyje (AKK)</w:t>
      </w:r>
      <w:r w:rsidR="00210C06" w:rsidRPr="000353CE">
        <w:rPr>
          <w:rFonts w:ascii="Times New Roman" w:eastAsia="Times New Roman" w:hAnsi="Times New Roman" w:cs="Times New Roman"/>
        </w:rPr>
        <w:t xml:space="preserve"> </w:t>
      </w:r>
      <w:r w:rsidR="00C7081D" w:rsidRPr="000353CE">
        <w:rPr>
          <w:rFonts w:ascii="Times New Roman" w:eastAsia="Times New Roman" w:hAnsi="Times New Roman" w:cs="Times New Roman"/>
        </w:rPr>
        <w:t>gali padidėti</w:t>
      </w:r>
      <w:r w:rsidR="00210C06" w:rsidRPr="000353CE">
        <w:rPr>
          <w:rFonts w:ascii="Times New Roman" w:eastAsia="Times New Roman" w:hAnsi="Times New Roman" w:cs="Times New Roman"/>
        </w:rPr>
        <w:t xml:space="preserve"> maždaug </w:t>
      </w:r>
      <w:bookmarkStart w:id="20" w:name="_Hlk50471399"/>
      <w:r w:rsidR="0063429C" w:rsidRPr="000353CE">
        <w:rPr>
          <w:rFonts w:ascii="Times New Roman" w:eastAsia="Times New Roman" w:hAnsi="Times New Roman" w:cs="Times New Roman"/>
        </w:rPr>
        <w:t>11,8 mg/100 ml.</w:t>
      </w:r>
      <w:bookmarkEnd w:id="20"/>
    </w:p>
    <w:p w14:paraId="441548D9" w14:textId="77777777" w:rsidR="00CE65C8" w:rsidRPr="000353CE" w:rsidRDefault="00CE65C8" w:rsidP="00D875C0">
      <w:pPr>
        <w:spacing w:after="0" w:line="240" w:lineRule="auto"/>
        <w:rPr>
          <w:rFonts w:ascii="Times New Roman" w:eastAsia="Times New Roman" w:hAnsi="Times New Roman" w:cs="Times New Roman"/>
        </w:rPr>
      </w:pPr>
    </w:p>
    <w:p w14:paraId="7F9893C8" w14:textId="77777777" w:rsidR="007A3774" w:rsidRPr="000353CE" w:rsidRDefault="00833346" w:rsidP="00D875C0">
      <w:pPr>
        <w:spacing w:after="0" w:line="240" w:lineRule="auto"/>
        <w:rPr>
          <w:rFonts w:ascii="Times New Roman" w:eastAsia="Times New Roman" w:hAnsi="Times New Roman" w:cs="Times New Roman"/>
        </w:rPr>
      </w:pPr>
      <w:r w:rsidRPr="000353CE">
        <w:rPr>
          <w:rFonts w:ascii="Times New Roman" w:eastAsia="Times New Roman" w:hAnsi="Times New Roman" w:cs="Times New Roman"/>
        </w:rPr>
        <w:t>Pa</w:t>
      </w:r>
      <w:r w:rsidR="00895B68" w:rsidRPr="000353CE">
        <w:rPr>
          <w:rFonts w:ascii="Times New Roman" w:eastAsia="Times New Roman" w:hAnsi="Times New Roman" w:cs="Times New Roman"/>
        </w:rPr>
        <w:t>l</w:t>
      </w:r>
      <w:r w:rsidRPr="000353CE">
        <w:rPr>
          <w:rFonts w:ascii="Times New Roman" w:eastAsia="Times New Roman" w:hAnsi="Times New Roman" w:cs="Times New Roman"/>
        </w:rPr>
        <w:t xml:space="preserve">yginimui, </w:t>
      </w:r>
      <w:r w:rsidR="00CE65C8" w:rsidRPr="000353CE">
        <w:rPr>
          <w:rFonts w:ascii="Times New Roman" w:eastAsia="Times New Roman" w:hAnsi="Times New Roman" w:cs="Times New Roman"/>
        </w:rPr>
        <w:t xml:space="preserve">suaugusiajam išgėrus </w:t>
      </w:r>
      <w:r w:rsidR="00E21E25" w:rsidRPr="000353CE">
        <w:rPr>
          <w:rFonts w:ascii="Times New Roman" w:eastAsia="Times New Roman" w:hAnsi="Times New Roman" w:cs="Times New Roman"/>
        </w:rPr>
        <w:t>taurę</w:t>
      </w:r>
      <w:r w:rsidR="00CE65C8" w:rsidRPr="000353CE">
        <w:rPr>
          <w:rFonts w:ascii="Times New Roman" w:eastAsia="Times New Roman" w:hAnsi="Times New Roman" w:cs="Times New Roman"/>
        </w:rPr>
        <w:t xml:space="preserve"> vyno</w:t>
      </w:r>
      <w:r w:rsidR="00E21E25" w:rsidRPr="000353CE">
        <w:rPr>
          <w:rFonts w:ascii="Times New Roman" w:eastAsia="Times New Roman" w:hAnsi="Times New Roman" w:cs="Times New Roman"/>
        </w:rPr>
        <w:t xml:space="preserve"> arba 500 ml alaus</w:t>
      </w:r>
      <w:r w:rsidR="00621C9C" w:rsidRPr="000353CE">
        <w:rPr>
          <w:rFonts w:ascii="Times New Roman" w:eastAsia="Times New Roman" w:hAnsi="Times New Roman" w:cs="Times New Roman"/>
        </w:rPr>
        <w:t xml:space="preserve">, AKK </w:t>
      </w:r>
      <w:r w:rsidR="00F035C9" w:rsidRPr="000353CE">
        <w:rPr>
          <w:rFonts w:ascii="Times New Roman" w:eastAsia="Times New Roman" w:hAnsi="Times New Roman" w:cs="Times New Roman"/>
        </w:rPr>
        <w:t>tikriausia</w:t>
      </w:r>
      <w:r w:rsidR="008246ED" w:rsidRPr="000353CE">
        <w:rPr>
          <w:rFonts w:ascii="Times New Roman" w:eastAsia="Times New Roman" w:hAnsi="Times New Roman" w:cs="Times New Roman"/>
        </w:rPr>
        <w:t>i</w:t>
      </w:r>
      <w:r w:rsidR="00F035C9" w:rsidRPr="000353CE">
        <w:rPr>
          <w:rFonts w:ascii="Times New Roman" w:eastAsia="Times New Roman" w:hAnsi="Times New Roman" w:cs="Times New Roman"/>
        </w:rPr>
        <w:t xml:space="preserve"> bus maždaug</w:t>
      </w:r>
      <w:r w:rsidR="00EB6CE8" w:rsidRPr="000353CE">
        <w:rPr>
          <w:rFonts w:ascii="Times New Roman" w:eastAsia="Times New Roman" w:hAnsi="Times New Roman" w:cs="Times New Roman"/>
        </w:rPr>
        <w:t xml:space="preserve"> 50 mg/100 ml.</w:t>
      </w:r>
      <w:r w:rsidR="00CE65C8" w:rsidRPr="000353CE">
        <w:rPr>
          <w:rFonts w:ascii="Times New Roman" w:eastAsia="Times New Roman" w:hAnsi="Times New Roman" w:cs="Times New Roman"/>
        </w:rPr>
        <w:t xml:space="preserve"> </w:t>
      </w:r>
    </w:p>
    <w:p w14:paraId="1B6A4F87" w14:textId="77777777" w:rsidR="005F0D02" w:rsidRPr="000353CE" w:rsidRDefault="005F0D02" w:rsidP="00D875C0">
      <w:pPr>
        <w:spacing w:after="0" w:line="240" w:lineRule="auto"/>
        <w:rPr>
          <w:rFonts w:ascii="Times New Roman" w:eastAsia="Times New Roman" w:hAnsi="Times New Roman" w:cs="Times New Roman"/>
        </w:rPr>
      </w:pPr>
    </w:p>
    <w:p w14:paraId="5879A8DC" w14:textId="77777777" w:rsidR="001B422A" w:rsidRDefault="005F0D02" w:rsidP="00D875C0">
      <w:pPr>
        <w:spacing w:after="0" w:line="240" w:lineRule="auto"/>
        <w:rPr>
          <w:rFonts w:ascii="Times New Roman" w:eastAsia="Times New Roman" w:hAnsi="Times New Roman" w:cs="Times New Roman"/>
        </w:rPr>
      </w:pPr>
      <w:r w:rsidRPr="000353CE">
        <w:rPr>
          <w:rFonts w:ascii="Times New Roman" w:eastAsia="Times New Roman" w:hAnsi="Times New Roman" w:cs="Times New Roman"/>
        </w:rPr>
        <w:t>Vartojant kartu</w:t>
      </w:r>
      <w:r w:rsidR="00B5662B" w:rsidRPr="000353CE">
        <w:rPr>
          <w:rFonts w:ascii="Times New Roman" w:eastAsia="Times New Roman" w:hAnsi="Times New Roman" w:cs="Times New Roman"/>
        </w:rPr>
        <w:t xml:space="preserve"> su vaistiniais preparatais</w:t>
      </w:r>
      <w:r w:rsidR="00262249" w:rsidRPr="000353CE">
        <w:rPr>
          <w:rFonts w:ascii="Times New Roman" w:eastAsia="Times New Roman" w:hAnsi="Times New Roman" w:cs="Times New Roman"/>
        </w:rPr>
        <w:t>, kurių sudėtyje yra propilenglikolio arba etanolio</w:t>
      </w:r>
      <w:r w:rsidR="00747D0D" w:rsidRPr="000353CE">
        <w:rPr>
          <w:rFonts w:ascii="Times New Roman" w:eastAsia="Times New Roman" w:hAnsi="Times New Roman" w:cs="Times New Roman"/>
        </w:rPr>
        <w:t xml:space="preserve">, gali </w:t>
      </w:r>
      <w:r w:rsidR="00D307B8" w:rsidRPr="000353CE">
        <w:rPr>
          <w:rFonts w:ascii="Times New Roman" w:eastAsia="Times New Roman" w:hAnsi="Times New Roman" w:cs="Times New Roman"/>
        </w:rPr>
        <w:t>skatinti</w:t>
      </w:r>
      <w:r w:rsidR="00F93E94" w:rsidRPr="000353CE">
        <w:rPr>
          <w:rFonts w:ascii="Times New Roman" w:eastAsia="Times New Roman" w:hAnsi="Times New Roman" w:cs="Times New Roman"/>
        </w:rPr>
        <w:t xml:space="preserve"> etanolio kaupimąsi</w:t>
      </w:r>
      <w:r w:rsidR="002443EE" w:rsidRPr="000353CE">
        <w:rPr>
          <w:rFonts w:ascii="Times New Roman" w:eastAsia="Times New Roman" w:hAnsi="Times New Roman" w:cs="Times New Roman"/>
        </w:rPr>
        <w:t xml:space="preserve"> ir sukelti</w:t>
      </w:r>
      <w:r w:rsidR="007D248D" w:rsidRPr="000353CE">
        <w:rPr>
          <w:rFonts w:ascii="Times New Roman" w:eastAsia="Times New Roman" w:hAnsi="Times New Roman" w:cs="Times New Roman"/>
        </w:rPr>
        <w:t xml:space="preserve"> nepageidaujamą poveikį, </w:t>
      </w:r>
      <w:r w:rsidR="004B2BA5" w:rsidRPr="000353CE">
        <w:rPr>
          <w:rFonts w:ascii="Times New Roman" w:eastAsia="Times New Roman" w:hAnsi="Times New Roman" w:cs="Times New Roman"/>
        </w:rPr>
        <w:t>ypač mažiems vaikams</w:t>
      </w:r>
      <w:r w:rsidR="00FA06D7" w:rsidRPr="000353CE">
        <w:rPr>
          <w:rFonts w:ascii="Times New Roman" w:eastAsia="Times New Roman" w:hAnsi="Times New Roman" w:cs="Times New Roman"/>
        </w:rPr>
        <w:t xml:space="preserve">, kurių </w:t>
      </w:r>
      <w:r w:rsidR="008B1DA1" w:rsidRPr="000353CE">
        <w:rPr>
          <w:rFonts w:ascii="Times New Roman" w:eastAsia="Times New Roman" w:hAnsi="Times New Roman" w:cs="Times New Roman"/>
        </w:rPr>
        <w:t xml:space="preserve">medžiagų apykaitos pajėgumas </w:t>
      </w:r>
      <w:r w:rsidR="002C66B1" w:rsidRPr="000353CE">
        <w:rPr>
          <w:rFonts w:ascii="Times New Roman" w:eastAsia="Times New Roman" w:hAnsi="Times New Roman" w:cs="Times New Roman"/>
        </w:rPr>
        <w:t xml:space="preserve">yra </w:t>
      </w:r>
      <w:r w:rsidR="009B447F" w:rsidRPr="000353CE">
        <w:rPr>
          <w:rFonts w:ascii="Times New Roman" w:eastAsia="Times New Roman" w:hAnsi="Times New Roman" w:cs="Times New Roman"/>
        </w:rPr>
        <w:t xml:space="preserve">silpnas ar </w:t>
      </w:r>
      <w:r w:rsidR="00490E21" w:rsidRPr="000353CE">
        <w:rPr>
          <w:rFonts w:ascii="Times New Roman" w:eastAsia="Times New Roman" w:hAnsi="Times New Roman" w:cs="Times New Roman"/>
        </w:rPr>
        <w:t>ne</w:t>
      </w:r>
      <w:r w:rsidR="009B447F" w:rsidRPr="000353CE">
        <w:rPr>
          <w:rFonts w:ascii="Times New Roman" w:eastAsia="Times New Roman" w:hAnsi="Times New Roman" w:cs="Times New Roman"/>
        </w:rPr>
        <w:t>subrendęs</w:t>
      </w:r>
      <w:r w:rsidR="00490E21" w:rsidRPr="000353CE">
        <w:rPr>
          <w:rFonts w:ascii="Times New Roman" w:eastAsia="Times New Roman" w:hAnsi="Times New Roman" w:cs="Times New Roman"/>
        </w:rPr>
        <w:t>.</w:t>
      </w:r>
    </w:p>
    <w:p w14:paraId="4DD0B9AE" w14:textId="77777777" w:rsidR="006A667D" w:rsidRDefault="006A667D" w:rsidP="00D875C0">
      <w:pPr>
        <w:spacing w:after="0" w:line="240" w:lineRule="auto"/>
        <w:rPr>
          <w:rFonts w:ascii="Times New Roman" w:eastAsia="Times New Roman" w:hAnsi="Times New Roman" w:cs="Times New Roman"/>
        </w:rPr>
      </w:pPr>
    </w:p>
    <w:p w14:paraId="253F393B" w14:textId="77777777" w:rsidR="006A667D" w:rsidRPr="006A667D" w:rsidRDefault="006A667D" w:rsidP="006A667D">
      <w:pPr>
        <w:spacing w:after="0" w:line="240" w:lineRule="auto"/>
        <w:rPr>
          <w:rFonts w:ascii="Times New Roman" w:eastAsia="Times New Roman" w:hAnsi="Times New Roman" w:cs="Times New Roman"/>
        </w:rPr>
      </w:pPr>
      <w:r w:rsidRPr="006A667D">
        <w:rPr>
          <w:rFonts w:ascii="Times New Roman" w:eastAsia="Times New Roman" w:hAnsi="Times New Roman" w:cs="Times New Roman"/>
        </w:rPr>
        <w:t>Kenksmingas asmenims, sergantiems alkoholizmu.</w:t>
      </w:r>
    </w:p>
    <w:p w14:paraId="19D56130" w14:textId="1070CCAD" w:rsidR="006A667D" w:rsidRPr="006A667D" w:rsidRDefault="006A667D" w:rsidP="006A667D">
      <w:pPr>
        <w:spacing w:after="0" w:line="240" w:lineRule="auto"/>
        <w:rPr>
          <w:rFonts w:ascii="Times New Roman" w:eastAsia="Times New Roman" w:hAnsi="Times New Roman" w:cs="Times New Roman"/>
        </w:rPr>
      </w:pPr>
      <w:r w:rsidRPr="006A667D">
        <w:rPr>
          <w:rFonts w:ascii="Times New Roman" w:eastAsia="Times New Roman" w:hAnsi="Times New Roman" w:cs="Times New Roman"/>
        </w:rPr>
        <w:t>Būtina atsižvelgti nėščiosioms, žindyvėms, vaikams ir didelės rizikos grupės (pvz., sergantiems</w:t>
      </w:r>
      <w:r>
        <w:rPr>
          <w:rFonts w:ascii="Times New Roman" w:eastAsia="Times New Roman" w:hAnsi="Times New Roman" w:cs="Times New Roman"/>
        </w:rPr>
        <w:t xml:space="preserve"> </w:t>
      </w:r>
      <w:r w:rsidRPr="006A667D">
        <w:rPr>
          <w:rFonts w:ascii="Times New Roman" w:eastAsia="Times New Roman" w:hAnsi="Times New Roman" w:cs="Times New Roman"/>
        </w:rPr>
        <w:t>kepenų ligomis ar epilepsija) pacientams.</w:t>
      </w:r>
    </w:p>
    <w:p w14:paraId="4E4FF050" w14:textId="0704E2F8" w:rsidR="005F0D02" w:rsidRPr="000353CE" w:rsidRDefault="006A667D" w:rsidP="00D875C0">
      <w:pPr>
        <w:spacing w:after="0" w:line="240" w:lineRule="auto"/>
        <w:rPr>
          <w:rFonts w:ascii="Times New Roman" w:eastAsia="Times New Roman" w:hAnsi="Times New Roman" w:cs="Times New Roman"/>
        </w:rPr>
      </w:pPr>
      <w:r w:rsidRPr="006A667D">
        <w:rPr>
          <w:rFonts w:ascii="Times New Roman" w:eastAsia="Times New Roman" w:hAnsi="Times New Roman" w:cs="Times New Roman"/>
        </w:rPr>
        <w:t>Reik</w:t>
      </w:r>
      <w:r>
        <w:rPr>
          <w:rFonts w:ascii="Times New Roman" w:eastAsia="Times New Roman" w:hAnsi="Times New Roman" w:cs="Times New Roman"/>
        </w:rPr>
        <w:t>ia</w:t>
      </w:r>
      <w:r w:rsidRPr="006A667D">
        <w:rPr>
          <w:rFonts w:ascii="Times New Roman" w:eastAsia="Times New Roman" w:hAnsi="Times New Roman" w:cs="Times New Roman"/>
        </w:rPr>
        <w:t xml:space="preserve"> atkreipti dėmesį į galimą poveikį centrinei nervų sistemai.</w:t>
      </w:r>
    </w:p>
    <w:p w14:paraId="6BC31895" w14:textId="77777777" w:rsidR="00D875C0" w:rsidRPr="000353CE" w:rsidRDefault="00D875C0" w:rsidP="00D875C0">
      <w:pPr>
        <w:keepNext/>
        <w:keepLines/>
        <w:tabs>
          <w:tab w:val="left" w:pos="567"/>
        </w:tabs>
        <w:spacing w:after="0" w:line="240" w:lineRule="auto"/>
        <w:ind w:left="567" w:hanging="567"/>
        <w:outlineLvl w:val="2"/>
        <w:rPr>
          <w:rFonts w:ascii="Times New Roman" w:hAnsi="Times New Roman"/>
          <w:b/>
          <w:kern w:val="28"/>
        </w:rPr>
      </w:pPr>
      <w:bookmarkStart w:id="21" w:name="_Toc129243106"/>
      <w:bookmarkStart w:id="22" w:name="_Toc129243231"/>
      <w:r w:rsidRPr="000353CE">
        <w:rPr>
          <w:rFonts w:ascii="Times New Roman" w:hAnsi="Times New Roman"/>
          <w:b/>
          <w:kern w:val="28"/>
        </w:rPr>
        <w:t>4.5</w:t>
      </w:r>
      <w:r w:rsidRPr="000353CE">
        <w:rPr>
          <w:rFonts w:ascii="Times New Roman" w:hAnsi="Times New Roman"/>
          <w:b/>
          <w:kern w:val="28"/>
        </w:rPr>
        <w:tab/>
        <w:t>Sąveika su kitais vaistiniais preparatais ir kitokia sąveika</w:t>
      </w:r>
      <w:bookmarkEnd w:id="21"/>
      <w:bookmarkEnd w:id="22"/>
    </w:p>
    <w:p w14:paraId="3692FF12" w14:textId="77777777" w:rsidR="00D875C0" w:rsidRDefault="00D875C0" w:rsidP="00D875C0">
      <w:pPr>
        <w:autoSpaceDE w:val="0"/>
        <w:autoSpaceDN w:val="0"/>
        <w:adjustRightInd w:val="0"/>
        <w:spacing w:after="0" w:line="240" w:lineRule="auto"/>
        <w:rPr>
          <w:rFonts w:ascii="Times New Roman" w:hAnsi="Times New Roman"/>
          <w:i/>
        </w:rPr>
      </w:pPr>
    </w:p>
    <w:p w14:paraId="420B130D" w14:textId="470582F2" w:rsidR="0039740E" w:rsidRPr="00453BC4" w:rsidRDefault="0039740E" w:rsidP="00D875C0">
      <w:pPr>
        <w:autoSpaceDE w:val="0"/>
        <w:autoSpaceDN w:val="0"/>
        <w:adjustRightInd w:val="0"/>
        <w:spacing w:after="0" w:line="240" w:lineRule="auto"/>
        <w:rPr>
          <w:rFonts w:ascii="Times New Roman" w:hAnsi="Times New Roman"/>
          <w:iCs/>
        </w:rPr>
      </w:pPr>
      <w:r w:rsidRPr="0039740E">
        <w:rPr>
          <w:rFonts w:ascii="Times New Roman" w:hAnsi="Times New Roman"/>
          <w:iCs/>
        </w:rPr>
        <w:t>Alkoholio kiekis, esantis šio vaistinio preparato sudėtyje, gali keisti kitų vaistinių preparatų poveikį</w:t>
      </w:r>
      <w:r>
        <w:rPr>
          <w:rFonts w:ascii="Times New Roman" w:hAnsi="Times New Roman"/>
          <w:iCs/>
        </w:rPr>
        <w:t>.</w:t>
      </w:r>
    </w:p>
    <w:p w14:paraId="3CF6D759" w14:textId="77777777" w:rsidR="0039740E" w:rsidRPr="000353CE" w:rsidRDefault="0039740E" w:rsidP="00D875C0">
      <w:pPr>
        <w:autoSpaceDE w:val="0"/>
        <w:autoSpaceDN w:val="0"/>
        <w:adjustRightInd w:val="0"/>
        <w:spacing w:after="0" w:line="240" w:lineRule="auto"/>
        <w:rPr>
          <w:rFonts w:ascii="Times New Roman" w:hAnsi="Times New Roman"/>
          <w:i/>
        </w:rPr>
      </w:pPr>
    </w:p>
    <w:p w14:paraId="40502197" w14:textId="77777777" w:rsidR="00D875C0" w:rsidRPr="000353CE" w:rsidRDefault="00D875C0" w:rsidP="00D875C0">
      <w:pPr>
        <w:autoSpaceDE w:val="0"/>
        <w:autoSpaceDN w:val="0"/>
        <w:adjustRightInd w:val="0"/>
        <w:spacing w:after="0" w:line="240" w:lineRule="auto"/>
        <w:rPr>
          <w:rFonts w:ascii="Times New Roman" w:eastAsiaTheme="minorEastAsia" w:hAnsi="Times New Roman"/>
          <w:lang w:eastAsia="zh-TW"/>
        </w:rPr>
      </w:pPr>
      <w:r w:rsidRPr="000353CE">
        <w:rPr>
          <w:rFonts w:ascii="Times New Roman" w:hAnsi="Times New Roman"/>
          <w:i/>
        </w:rPr>
        <w:t xml:space="preserve">In vitro </w:t>
      </w:r>
      <w:r w:rsidRPr="000353CE">
        <w:rPr>
          <w:rFonts w:ascii="Times New Roman" w:hAnsi="Times New Roman"/>
        </w:rPr>
        <w:t>tyrimais nustatyta, kad docetakselio metabolizmui įtakos gali turėti kartu vartojamos medžiagos, skatinančios, slopinančios ar metabolizuojamos citochromo P450-3A konkurenciniu būdu), pvz., ciklosporinas,</w:t>
      </w:r>
      <w:r w:rsidR="00EC5B32" w:rsidRPr="000353CE">
        <w:rPr>
          <w:rFonts w:ascii="Times New Roman" w:hAnsi="Times New Roman"/>
        </w:rPr>
        <w:t xml:space="preserve"> </w:t>
      </w:r>
      <w:r w:rsidRPr="000353CE">
        <w:rPr>
          <w:rFonts w:ascii="Times New Roman" w:hAnsi="Times New Roman"/>
        </w:rPr>
        <w:t>ketokonazolas ir eritromicinas. Kadangi galima sąveika yra reikšminga, taigi kartu su minėtais vaistiniais preparatais docetakselis turi būti vartojamas atsargiai.</w:t>
      </w:r>
    </w:p>
    <w:p w14:paraId="5D2585B4" w14:textId="77777777" w:rsidR="00D875C0" w:rsidRPr="000353CE" w:rsidRDefault="00D875C0" w:rsidP="00D875C0">
      <w:pPr>
        <w:autoSpaceDE w:val="0"/>
        <w:autoSpaceDN w:val="0"/>
        <w:adjustRightInd w:val="0"/>
        <w:spacing w:after="0" w:line="240" w:lineRule="auto"/>
        <w:rPr>
          <w:rFonts w:ascii="Times New Roman" w:hAnsi="Times New Roman"/>
        </w:rPr>
      </w:pPr>
      <w:r w:rsidRPr="000353CE">
        <w:rPr>
          <w:rFonts w:ascii="Times New Roman" w:hAnsi="Times New Roman"/>
        </w:rPr>
        <w:t>Tuo atveju, kai docetakselio vartojama kartu su CYP3A4 inhibitoriais, nepageidaujamų reakcijų pasireiškimo rizika gali padidėti, kaip sumažėjusios docetakselio biotransformacijos rezultatas. Jei būtina kartu vartoti stipraus poveikio CYP3A4 inhibitorius (pvz., ketokonazolą</w:t>
      </w:r>
      <w:r w:rsidR="00807371" w:rsidRPr="000353CE">
        <w:rPr>
          <w:rFonts w:ascii="Times New Roman" w:hAnsi="Times New Roman"/>
        </w:rPr>
        <w:t>,</w:t>
      </w:r>
      <w:r w:rsidRPr="000353CE">
        <w:rPr>
          <w:rFonts w:ascii="Times New Roman" w:hAnsi="Times New Roman"/>
        </w:rPr>
        <w:t xml:space="preserve"> itrakonazolą, klaritromiciną, indinavirą, </w:t>
      </w:r>
      <w:r w:rsidRPr="000353CE">
        <w:rPr>
          <w:rFonts w:ascii="Times New Roman" w:eastAsia="Times New Roman" w:hAnsi="Times New Roman" w:cs="Times New Roman"/>
        </w:rPr>
        <w:t>nefazadoną</w:t>
      </w:r>
      <w:r w:rsidRPr="000353CE">
        <w:rPr>
          <w:rFonts w:ascii="Times New Roman" w:hAnsi="Times New Roman"/>
        </w:rPr>
        <w:t>, nelfinavirą, ritonavirą, sakvinavirą, telitromiciną ir vorikonazolą), reikalinga atidi klinikinė priežiūra  ir docetaks</w:t>
      </w:r>
      <w:r w:rsidR="00807371" w:rsidRPr="000353CE">
        <w:rPr>
          <w:rFonts w:ascii="Times New Roman" w:hAnsi="Times New Roman"/>
        </w:rPr>
        <w:t>e</w:t>
      </w:r>
      <w:r w:rsidRPr="000353CE">
        <w:rPr>
          <w:rFonts w:ascii="Times New Roman" w:hAnsi="Times New Roman"/>
        </w:rPr>
        <w:t>lio dozės koregavimas (žr. 4.4 skyrių). Atlikus farmakokinetikos tyrimą su 7 pacientais, kurie kartu vartojo docetakselį ir stiprius CYP3A4 inhibitorius, ketokonazolas sumažino docetakselio klirensą 49</w:t>
      </w:r>
      <w:r w:rsidR="004676B7" w:rsidRPr="000353CE">
        <w:rPr>
          <w:rFonts w:ascii="Times New Roman" w:hAnsi="Times New Roman"/>
        </w:rPr>
        <w:t> </w:t>
      </w:r>
      <w:r w:rsidRPr="000353CE">
        <w:rPr>
          <w:rFonts w:ascii="Times New Roman" w:hAnsi="Times New Roman"/>
        </w:rPr>
        <w:t>%.</w:t>
      </w:r>
    </w:p>
    <w:p w14:paraId="03874128" w14:textId="77777777" w:rsidR="00D875C0" w:rsidRPr="000353CE" w:rsidRDefault="00D875C0" w:rsidP="00D875C0">
      <w:pPr>
        <w:autoSpaceDE w:val="0"/>
        <w:autoSpaceDN w:val="0"/>
        <w:adjustRightInd w:val="0"/>
        <w:spacing w:after="0" w:line="240" w:lineRule="auto"/>
        <w:rPr>
          <w:rFonts w:ascii="Times New Roman" w:hAnsi="Times New Roman"/>
        </w:rPr>
      </w:pPr>
    </w:p>
    <w:p w14:paraId="76DB4B2F" w14:textId="77777777" w:rsidR="00D875C0" w:rsidRPr="000353CE" w:rsidRDefault="00D875C0" w:rsidP="00D875C0">
      <w:pPr>
        <w:autoSpaceDE w:val="0"/>
        <w:autoSpaceDN w:val="0"/>
        <w:adjustRightInd w:val="0"/>
        <w:spacing w:after="0" w:line="240" w:lineRule="auto"/>
        <w:rPr>
          <w:rFonts w:ascii="Times New Roman" w:eastAsiaTheme="minorEastAsia" w:hAnsi="Times New Roman"/>
          <w:lang w:eastAsia="zh-TW"/>
        </w:rPr>
      </w:pPr>
      <w:r w:rsidRPr="000353CE">
        <w:rPr>
          <w:rFonts w:ascii="Times New Roman" w:hAnsi="Times New Roman"/>
        </w:rPr>
        <w:t>Buvo tirta docetakselio farmakokinetika metastazavusi</w:t>
      </w:r>
      <w:r w:rsidR="00C933B1" w:rsidRPr="000353CE">
        <w:rPr>
          <w:rFonts w:ascii="Times New Roman" w:hAnsi="Times New Roman"/>
        </w:rPr>
        <w:t>ų</w:t>
      </w:r>
      <w:r w:rsidRPr="000353CE">
        <w:rPr>
          <w:rFonts w:ascii="Times New Roman" w:hAnsi="Times New Roman"/>
        </w:rPr>
        <w:t xml:space="preserve"> prostatos vėžiu sergančių pacientų, kartu vartojančių prednizoną, organizme. CYP3A4 metabolizuoja docetakselį, o prednizonas indukuoja CYP3A4. Statistiškai reikšmingos prednizono įtakos docetakselio farmakokinetikai nepastebėta.</w:t>
      </w:r>
    </w:p>
    <w:p w14:paraId="55E037FE" w14:textId="77777777" w:rsidR="00D875C0" w:rsidRPr="000353CE" w:rsidRDefault="00D875C0" w:rsidP="00D875C0">
      <w:pPr>
        <w:autoSpaceDE w:val="0"/>
        <w:autoSpaceDN w:val="0"/>
        <w:adjustRightInd w:val="0"/>
        <w:spacing w:after="0" w:line="240" w:lineRule="auto"/>
        <w:rPr>
          <w:rFonts w:ascii="Times New Roman" w:hAnsi="Times New Roman"/>
        </w:rPr>
      </w:pPr>
    </w:p>
    <w:p w14:paraId="15D0F71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0353CE">
        <w:rPr>
          <w:rFonts w:ascii="Times New Roman" w:hAnsi="Times New Roman"/>
        </w:rPr>
        <w:t>Didelė docetakselio dalis (daugiau kaip 95</w:t>
      </w:r>
      <w:r w:rsidR="004676B7" w:rsidRPr="000353CE">
        <w:rPr>
          <w:rFonts w:ascii="Times New Roman" w:hAnsi="Times New Roman"/>
        </w:rPr>
        <w:t> </w:t>
      </w:r>
      <w:r w:rsidRPr="000353CE">
        <w:rPr>
          <w:rFonts w:ascii="Times New Roman" w:hAnsi="Times New Roman"/>
        </w:rPr>
        <w:t>%) būna prisijungusi prie plazmos baltymų. Galima docetakselio sąveika su kartu vartojamais vaist</w:t>
      </w:r>
      <w:r w:rsidR="00DA6E7A" w:rsidRPr="000353CE">
        <w:rPr>
          <w:rFonts w:ascii="Times New Roman" w:hAnsi="Times New Roman"/>
        </w:rPr>
        <w:t>iniais preparat</w:t>
      </w:r>
      <w:r w:rsidRPr="000353CE">
        <w:rPr>
          <w:rFonts w:ascii="Times New Roman" w:hAnsi="Times New Roman"/>
        </w:rPr>
        <w:t xml:space="preserve">ais </w:t>
      </w:r>
      <w:r w:rsidRPr="000353CE">
        <w:rPr>
          <w:rFonts w:ascii="Times New Roman" w:hAnsi="Times New Roman"/>
          <w:i/>
        </w:rPr>
        <w:t>in</w:t>
      </w:r>
      <w:r w:rsidRPr="007C1A06">
        <w:rPr>
          <w:rFonts w:ascii="Times New Roman" w:hAnsi="Times New Roman"/>
          <w:i/>
        </w:rPr>
        <w:t xml:space="preserve"> vivo </w:t>
      </w:r>
      <w:r w:rsidRPr="007C1A06">
        <w:rPr>
          <w:rFonts w:ascii="Times New Roman" w:hAnsi="Times New Roman"/>
        </w:rPr>
        <w:t>formaliai netirta, tačiau medžiagos, kurios stipriai jungiasi prie plazmos baltymų (pvz., eritromicinas, difenhidraminas, propranololis, propafenonas, fenitoinas, salicilatai, sulfametoksazol</w:t>
      </w:r>
      <w:r w:rsidR="00807371" w:rsidRPr="007C1A06">
        <w:rPr>
          <w:rFonts w:ascii="Times New Roman" w:hAnsi="Times New Roman"/>
        </w:rPr>
        <w:t>a</w:t>
      </w:r>
      <w:r w:rsidRPr="007C1A06">
        <w:rPr>
          <w:rFonts w:ascii="Times New Roman" w:hAnsi="Times New Roman"/>
        </w:rPr>
        <w:t xml:space="preserve">s ir natrio valproatas) įtakos docetakselio jungimuisi su baltymais </w:t>
      </w:r>
      <w:r w:rsidRPr="007C1A06">
        <w:rPr>
          <w:rFonts w:ascii="Times New Roman" w:hAnsi="Times New Roman"/>
          <w:i/>
        </w:rPr>
        <w:t xml:space="preserve">in vitro </w:t>
      </w:r>
      <w:r w:rsidRPr="007C1A06">
        <w:rPr>
          <w:rFonts w:ascii="Times New Roman" w:hAnsi="Times New Roman"/>
        </w:rPr>
        <w:t>nedaro. Docetakselio jungimosi su baltymais neveikia ir deksametazonas. Docetakselis neturi įtakos digitoksino jungimuisi su baltymais.</w:t>
      </w:r>
    </w:p>
    <w:p w14:paraId="0CA43C2C" w14:textId="77777777" w:rsidR="00D875C0" w:rsidRPr="007C1A06" w:rsidRDefault="00D875C0" w:rsidP="00D875C0">
      <w:pPr>
        <w:autoSpaceDE w:val="0"/>
        <w:autoSpaceDN w:val="0"/>
        <w:adjustRightInd w:val="0"/>
        <w:spacing w:after="0" w:line="240" w:lineRule="auto"/>
        <w:rPr>
          <w:rFonts w:ascii="Times New Roman" w:hAnsi="Times New Roman"/>
        </w:rPr>
      </w:pPr>
    </w:p>
    <w:p w14:paraId="13A51F68"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Docetakselis, doksorubicinas ir ciklofosfamidas vartojami kartu vienas kito farmakokinetikos nekeičia. Ribotas duomenų kiekis, gautas vieno nekontroliuojamo tyrimo metu, rodo sąveiką tarp docetakselio ir karboplatinos: kartu su docetakseliu vartojamos karboplatinos klirensas buvo maždaug 50</w:t>
      </w:r>
      <w:r w:rsidR="004676B7" w:rsidRPr="007C1A06">
        <w:rPr>
          <w:rFonts w:ascii="Times New Roman" w:hAnsi="Times New Roman"/>
        </w:rPr>
        <w:t> </w:t>
      </w:r>
      <w:r w:rsidRPr="007C1A06">
        <w:rPr>
          <w:rFonts w:ascii="Times New Roman" w:hAnsi="Times New Roman"/>
        </w:rPr>
        <w:t>% didesnis už anksčiau nustatytą monoterapijos karboplatina metu.</w:t>
      </w:r>
    </w:p>
    <w:p w14:paraId="6E961665" w14:textId="77777777" w:rsidR="000E00CB" w:rsidRPr="007C1A06" w:rsidRDefault="000E00CB" w:rsidP="00D875C0">
      <w:pPr>
        <w:spacing w:after="0" w:line="240" w:lineRule="auto"/>
        <w:rPr>
          <w:rFonts w:ascii="Times New Roman" w:hAnsi="Times New Roman"/>
        </w:rPr>
      </w:pPr>
    </w:p>
    <w:p w14:paraId="0EE61D27" w14:textId="77777777" w:rsidR="00D875C0" w:rsidRPr="004E3CD5" w:rsidRDefault="00D875C0" w:rsidP="00D875C0">
      <w:pPr>
        <w:keepNext/>
        <w:keepLines/>
        <w:tabs>
          <w:tab w:val="left" w:pos="567"/>
        </w:tabs>
        <w:spacing w:after="0" w:line="240" w:lineRule="auto"/>
        <w:ind w:left="567" w:hanging="567"/>
        <w:outlineLvl w:val="2"/>
        <w:rPr>
          <w:rFonts w:ascii="Times New Roman" w:eastAsiaTheme="minorEastAsia" w:hAnsi="Times New Roman"/>
          <w:b/>
          <w:kern w:val="28"/>
          <w:lang w:eastAsia="zh-TW"/>
        </w:rPr>
      </w:pPr>
      <w:bookmarkStart w:id="23" w:name="_Toc129243107"/>
      <w:bookmarkStart w:id="24" w:name="_Toc129243232"/>
      <w:r w:rsidRPr="007C1A06">
        <w:rPr>
          <w:rFonts w:ascii="Times New Roman" w:hAnsi="Times New Roman"/>
          <w:b/>
          <w:kern w:val="28"/>
        </w:rPr>
        <w:t>4.6</w:t>
      </w:r>
      <w:r w:rsidRPr="007C1A06">
        <w:rPr>
          <w:rFonts w:ascii="Times New Roman" w:hAnsi="Times New Roman"/>
          <w:b/>
          <w:kern w:val="28"/>
        </w:rPr>
        <w:tab/>
        <w:t>Vaisingumas, nėštumo ir žindymo laikotarpis</w:t>
      </w:r>
      <w:bookmarkEnd w:id="23"/>
      <w:bookmarkEnd w:id="24"/>
    </w:p>
    <w:p w14:paraId="2CF90968" w14:textId="77777777" w:rsidR="00D875C0" w:rsidRDefault="00D875C0" w:rsidP="00D875C0">
      <w:pPr>
        <w:autoSpaceDE w:val="0"/>
        <w:autoSpaceDN w:val="0"/>
        <w:adjustRightInd w:val="0"/>
        <w:spacing w:after="0" w:line="240" w:lineRule="auto"/>
        <w:rPr>
          <w:rFonts w:ascii="Times New Roman" w:hAnsi="Times New Roman"/>
        </w:rPr>
      </w:pPr>
    </w:p>
    <w:p w14:paraId="42434DE8" w14:textId="6B1A8273" w:rsidR="0039740E" w:rsidRPr="00453BC4" w:rsidRDefault="0039740E" w:rsidP="0039740E">
      <w:pPr>
        <w:autoSpaceDE w:val="0"/>
        <w:autoSpaceDN w:val="0"/>
        <w:adjustRightInd w:val="0"/>
        <w:spacing w:after="0" w:line="240" w:lineRule="auto"/>
        <w:rPr>
          <w:rFonts w:ascii="Times New Roman" w:hAnsi="Times New Roman"/>
          <w:u w:val="single"/>
        </w:rPr>
      </w:pPr>
      <w:r w:rsidRPr="00453BC4">
        <w:rPr>
          <w:rFonts w:ascii="Times New Roman" w:hAnsi="Times New Roman"/>
          <w:u w:val="single"/>
        </w:rPr>
        <w:t>Vaisingo</w:t>
      </w:r>
      <w:r w:rsidR="00CC71F2">
        <w:rPr>
          <w:rFonts w:ascii="Times New Roman" w:hAnsi="Times New Roman"/>
          <w:u w:val="single"/>
        </w:rPr>
        <w:t xml:space="preserve"> amžiaus</w:t>
      </w:r>
      <w:r w:rsidRPr="00453BC4">
        <w:rPr>
          <w:rFonts w:ascii="Times New Roman" w:hAnsi="Times New Roman"/>
          <w:u w:val="single"/>
        </w:rPr>
        <w:t>s moterys / Vyrų ir moterų kontracepcija</w:t>
      </w:r>
    </w:p>
    <w:p w14:paraId="352C4153" w14:textId="4F2AE1CE" w:rsidR="0039740E" w:rsidRPr="0039740E" w:rsidRDefault="0039740E" w:rsidP="0039740E">
      <w:pPr>
        <w:autoSpaceDE w:val="0"/>
        <w:autoSpaceDN w:val="0"/>
        <w:adjustRightInd w:val="0"/>
        <w:spacing w:after="0" w:line="240" w:lineRule="auto"/>
        <w:rPr>
          <w:rFonts w:ascii="Times New Roman" w:hAnsi="Times New Roman"/>
        </w:rPr>
      </w:pPr>
      <w:r w:rsidRPr="0039740E">
        <w:rPr>
          <w:rFonts w:ascii="Times New Roman" w:hAnsi="Times New Roman"/>
        </w:rPr>
        <w:t>Vaising</w:t>
      </w:r>
      <w:r>
        <w:rPr>
          <w:rFonts w:ascii="Times New Roman" w:hAnsi="Times New Roman"/>
        </w:rPr>
        <w:t>o</w:t>
      </w:r>
      <w:r w:rsidR="00CC71F2">
        <w:rPr>
          <w:rFonts w:ascii="Times New Roman" w:hAnsi="Times New Roman"/>
        </w:rPr>
        <w:t xml:space="preserve"> amžiaus</w:t>
      </w:r>
      <w:r>
        <w:rPr>
          <w:rFonts w:ascii="Times New Roman" w:hAnsi="Times New Roman"/>
        </w:rPr>
        <w:t>s</w:t>
      </w:r>
      <w:r w:rsidRPr="0039740E">
        <w:rPr>
          <w:rFonts w:ascii="Times New Roman" w:hAnsi="Times New Roman"/>
        </w:rPr>
        <w:t xml:space="preserve"> moter</w:t>
      </w:r>
      <w:r>
        <w:rPr>
          <w:rFonts w:ascii="Times New Roman" w:hAnsi="Times New Roman"/>
        </w:rPr>
        <w:t>ys</w:t>
      </w:r>
      <w:r w:rsidRPr="0039740E">
        <w:rPr>
          <w:rFonts w:ascii="Times New Roman" w:hAnsi="Times New Roman"/>
        </w:rPr>
        <w:t xml:space="preserve"> ir vyr</w:t>
      </w:r>
      <w:r>
        <w:rPr>
          <w:rFonts w:ascii="Times New Roman" w:hAnsi="Times New Roman"/>
        </w:rPr>
        <w:t>ai</w:t>
      </w:r>
      <w:r w:rsidRPr="0039740E">
        <w:rPr>
          <w:rFonts w:ascii="Times New Roman" w:hAnsi="Times New Roman"/>
        </w:rPr>
        <w:t>, vartojan</w:t>
      </w:r>
      <w:r>
        <w:rPr>
          <w:rFonts w:ascii="Times New Roman" w:hAnsi="Times New Roman"/>
        </w:rPr>
        <w:t>tys</w:t>
      </w:r>
      <w:r w:rsidRPr="0039740E">
        <w:rPr>
          <w:rFonts w:ascii="Times New Roman" w:hAnsi="Times New Roman"/>
        </w:rPr>
        <w:t xml:space="preserve"> docetaksel</w:t>
      </w:r>
      <w:r>
        <w:rPr>
          <w:rFonts w:ascii="Times New Roman" w:hAnsi="Times New Roman"/>
        </w:rPr>
        <w:t>io</w:t>
      </w:r>
      <w:r w:rsidRPr="0039740E">
        <w:rPr>
          <w:rFonts w:ascii="Times New Roman" w:hAnsi="Times New Roman"/>
        </w:rPr>
        <w:t xml:space="preserve">, </w:t>
      </w:r>
      <w:r>
        <w:rPr>
          <w:rFonts w:ascii="Times New Roman" w:hAnsi="Times New Roman"/>
        </w:rPr>
        <w:t>turi būti informuoti</w:t>
      </w:r>
      <w:r w:rsidRPr="0039740E">
        <w:rPr>
          <w:rFonts w:ascii="Times New Roman" w:hAnsi="Times New Roman"/>
        </w:rPr>
        <w:t>, kad nepastotų ir neapvaisintų, o</w:t>
      </w:r>
      <w:r>
        <w:rPr>
          <w:rFonts w:ascii="Times New Roman" w:hAnsi="Times New Roman"/>
        </w:rPr>
        <w:t xml:space="preserve"> </w:t>
      </w:r>
      <w:r w:rsidRPr="0039740E">
        <w:rPr>
          <w:rFonts w:ascii="Times New Roman" w:hAnsi="Times New Roman"/>
        </w:rPr>
        <w:t>jeigu taip atsitiktų, nedelsdami praneštų gyd</w:t>
      </w:r>
      <w:r>
        <w:rPr>
          <w:rFonts w:ascii="Times New Roman" w:hAnsi="Times New Roman"/>
        </w:rPr>
        <w:t>ymą taikančiam</w:t>
      </w:r>
      <w:r w:rsidRPr="0039740E">
        <w:rPr>
          <w:rFonts w:ascii="Times New Roman" w:hAnsi="Times New Roman"/>
        </w:rPr>
        <w:t xml:space="preserve"> gydytojui.</w:t>
      </w:r>
    </w:p>
    <w:p w14:paraId="2502AB9B" w14:textId="77777777" w:rsidR="0039740E" w:rsidRDefault="0039740E" w:rsidP="0039740E">
      <w:pPr>
        <w:autoSpaceDE w:val="0"/>
        <w:autoSpaceDN w:val="0"/>
        <w:adjustRightInd w:val="0"/>
        <w:spacing w:after="0" w:line="240" w:lineRule="auto"/>
        <w:rPr>
          <w:rFonts w:ascii="Times New Roman" w:hAnsi="Times New Roman"/>
        </w:rPr>
      </w:pPr>
    </w:p>
    <w:p w14:paraId="49FC7268" w14:textId="0FED7DE0" w:rsidR="0039740E" w:rsidRDefault="0039740E" w:rsidP="0039740E">
      <w:pPr>
        <w:autoSpaceDE w:val="0"/>
        <w:autoSpaceDN w:val="0"/>
        <w:adjustRightInd w:val="0"/>
        <w:spacing w:after="0" w:line="240" w:lineRule="auto"/>
        <w:rPr>
          <w:rFonts w:ascii="Times New Roman" w:hAnsi="Times New Roman"/>
        </w:rPr>
      </w:pPr>
      <w:r w:rsidRPr="0039740E">
        <w:rPr>
          <w:rFonts w:ascii="Times New Roman" w:hAnsi="Times New Roman"/>
        </w:rPr>
        <w:t>Dėl genotoksinio docetakselio poveikio rizikos (žr. 5.3 skyrių) vaisingos moterys privalo naudoti</w:t>
      </w:r>
      <w:r>
        <w:rPr>
          <w:rFonts w:ascii="Times New Roman" w:hAnsi="Times New Roman"/>
        </w:rPr>
        <w:t xml:space="preserve"> </w:t>
      </w:r>
      <w:r w:rsidRPr="0039740E">
        <w:rPr>
          <w:rFonts w:ascii="Times New Roman" w:hAnsi="Times New Roman"/>
        </w:rPr>
        <w:t>veiksmingą kontracepcijos metodą gydymo docetakseliu metu ir 2 mėnesius po jo nutraukimo. Vyrai</w:t>
      </w:r>
      <w:r>
        <w:rPr>
          <w:rFonts w:ascii="Times New Roman" w:hAnsi="Times New Roman"/>
        </w:rPr>
        <w:t xml:space="preserve"> </w:t>
      </w:r>
      <w:r w:rsidRPr="0039740E">
        <w:rPr>
          <w:rFonts w:ascii="Times New Roman" w:hAnsi="Times New Roman"/>
        </w:rPr>
        <w:t>veiksmingą kontracepcijos metodą privalo naudoti gydymo docetakseliu metu ir 4 mėnesius po jo</w:t>
      </w:r>
      <w:r>
        <w:rPr>
          <w:rFonts w:ascii="Times New Roman" w:hAnsi="Times New Roman"/>
        </w:rPr>
        <w:t xml:space="preserve"> </w:t>
      </w:r>
      <w:r w:rsidRPr="0039740E">
        <w:rPr>
          <w:rFonts w:ascii="Times New Roman" w:hAnsi="Times New Roman"/>
        </w:rPr>
        <w:t>nutraukimo.</w:t>
      </w:r>
    </w:p>
    <w:p w14:paraId="2EA9EB61" w14:textId="77777777" w:rsidR="0039740E" w:rsidRPr="007C1A06" w:rsidRDefault="0039740E" w:rsidP="00D875C0">
      <w:pPr>
        <w:autoSpaceDE w:val="0"/>
        <w:autoSpaceDN w:val="0"/>
        <w:adjustRightInd w:val="0"/>
        <w:spacing w:after="0" w:line="240" w:lineRule="auto"/>
        <w:rPr>
          <w:rFonts w:ascii="Times New Roman" w:hAnsi="Times New Roman"/>
        </w:rPr>
      </w:pPr>
    </w:p>
    <w:p w14:paraId="68EAA30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Nėštumas</w:t>
      </w:r>
    </w:p>
    <w:p w14:paraId="0C7C87D4" w14:textId="0E6FE3EC"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Informacijos apie docetakselio vartojimą nėštumo metu nėra. Tyrimų metu nustatyta, kad docetakselis yra embriotoksiškas ir fetotoksiškas triušiams ir žiurkėms, mažina žiurkių vaisingumą. Nėščios moters vartojamas docetakselis (kaip ir kiti citotoksiniai vaistiniai preparatai) gali pakenkti vaisiui, todėl nėštumo metu jį vartoti draudžiama.</w:t>
      </w:r>
    </w:p>
    <w:p w14:paraId="20738C69" w14:textId="77777777" w:rsidR="00D875C0" w:rsidRPr="007C1A06" w:rsidRDefault="00D875C0" w:rsidP="00D875C0">
      <w:pPr>
        <w:autoSpaceDE w:val="0"/>
        <w:autoSpaceDN w:val="0"/>
        <w:adjustRightInd w:val="0"/>
        <w:spacing w:after="0" w:line="240" w:lineRule="auto"/>
        <w:rPr>
          <w:rFonts w:ascii="Times New Roman" w:hAnsi="Times New Roman"/>
        </w:rPr>
      </w:pPr>
    </w:p>
    <w:p w14:paraId="0BDE5B0F"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Žindymas</w:t>
      </w:r>
    </w:p>
    <w:p w14:paraId="6C5809CA"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Docetakselis yra lipofiliška medžiaga, tačiau, ar jo išsiskiria į motinos pieną, nežinoma</w:t>
      </w:r>
      <w:r w:rsidR="000D157F" w:rsidRPr="007C1A06">
        <w:rPr>
          <w:rFonts w:ascii="Times New Roman" w:hAnsi="Times New Roman"/>
        </w:rPr>
        <w:t>.</w:t>
      </w:r>
      <w:r w:rsidRPr="007C1A06">
        <w:rPr>
          <w:rFonts w:ascii="Times New Roman" w:hAnsi="Times New Roman"/>
        </w:rPr>
        <w:t xml:space="preserve"> Maitinamam kūdikiui gali pasireikšti nepageidaujamų reakcijų, todėl docetakselį vartojančioms moterims žindyti negalima.</w:t>
      </w:r>
    </w:p>
    <w:p w14:paraId="087C8532" w14:textId="77777777" w:rsidR="00D875C0" w:rsidRPr="007C1A06" w:rsidRDefault="00D875C0" w:rsidP="00D875C0">
      <w:pPr>
        <w:spacing w:after="0" w:line="240" w:lineRule="auto"/>
        <w:rPr>
          <w:rFonts w:ascii="Times New Roman" w:hAnsi="Times New Roman"/>
        </w:rPr>
      </w:pPr>
    </w:p>
    <w:p w14:paraId="7D938ACA" w14:textId="77777777" w:rsidR="00D875C0" w:rsidRPr="00F95B76" w:rsidRDefault="00D875C0" w:rsidP="00D875C0">
      <w:pPr>
        <w:autoSpaceDE w:val="0"/>
        <w:autoSpaceDN w:val="0"/>
        <w:adjustRightInd w:val="0"/>
        <w:spacing w:after="0" w:line="240" w:lineRule="auto"/>
        <w:rPr>
          <w:rFonts w:ascii="Times New Roman" w:hAnsi="Times New Roman"/>
          <w:u w:val="single"/>
        </w:rPr>
      </w:pPr>
      <w:r w:rsidRPr="00F957E7">
        <w:rPr>
          <w:rFonts w:ascii="Times New Roman" w:hAnsi="Times New Roman"/>
          <w:u w:val="single"/>
        </w:rPr>
        <w:t>Vaisingumas</w:t>
      </w:r>
    </w:p>
    <w:p w14:paraId="022065D9" w14:textId="4FFB850A" w:rsidR="0039740E" w:rsidRDefault="0039740E" w:rsidP="00D875C0">
      <w:pPr>
        <w:autoSpaceDE w:val="0"/>
        <w:autoSpaceDN w:val="0"/>
        <w:adjustRightInd w:val="0"/>
        <w:spacing w:after="0" w:line="240" w:lineRule="auto"/>
        <w:rPr>
          <w:rFonts w:ascii="Times New Roman" w:hAnsi="Times New Roman"/>
        </w:rPr>
      </w:pPr>
      <w:r>
        <w:rPr>
          <w:rFonts w:ascii="Times New Roman" w:hAnsi="Times New Roman"/>
        </w:rPr>
        <w:t>Tyrimai su gyvūnais parodė</w:t>
      </w:r>
      <w:r w:rsidR="00D875C0" w:rsidRPr="004E3CD5">
        <w:rPr>
          <w:rFonts w:ascii="Times New Roman" w:hAnsi="Times New Roman"/>
        </w:rPr>
        <w:t>, kad docetakselis gali t</w:t>
      </w:r>
      <w:r w:rsidR="00D875C0" w:rsidRPr="00F957E7">
        <w:rPr>
          <w:rFonts w:ascii="Times New Roman" w:hAnsi="Times New Roman"/>
        </w:rPr>
        <w:t xml:space="preserve">rikdyti </w:t>
      </w:r>
      <w:r w:rsidR="00D875C0" w:rsidRPr="004E3CD5">
        <w:rPr>
          <w:rFonts w:ascii="Times New Roman" w:hAnsi="Times New Roman"/>
        </w:rPr>
        <w:t>vyr</w:t>
      </w:r>
      <w:r w:rsidR="00D875C0" w:rsidRPr="004E3CD5">
        <w:rPr>
          <w:rFonts w:ascii="Times New Roman" w:hAnsi="Times New Roman" w:hint="eastAsia"/>
        </w:rPr>
        <w:t>ų</w:t>
      </w:r>
      <w:r w:rsidR="00D875C0" w:rsidRPr="00F957E7">
        <w:rPr>
          <w:rFonts w:ascii="Times New Roman" w:hAnsi="Times New Roman"/>
        </w:rPr>
        <w:t xml:space="preserve"> vaisingum</w:t>
      </w:r>
      <w:r w:rsidR="00D875C0" w:rsidRPr="004E3CD5">
        <w:rPr>
          <w:rFonts w:ascii="Times New Roman" w:hAnsi="Times New Roman" w:hint="eastAsia"/>
        </w:rPr>
        <w:t>ą</w:t>
      </w:r>
      <w:r w:rsidR="00D875C0" w:rsidRPr="004E3CD5">
        <w:rPr>
          <w:rFonts w:ascii="Times New Roman" w:hAnsi="Times New Roman"/>
        </w:rPr>
        <w:t xml:space="preserve"> (žr. 5.3 skyri</w:t>
      </w:r>
      <w:r w:rsidR="00D875C0" w:rsidRPr="004E3CD5">
        <w:rPr>
          <w:rFonts w:ascii="Times New Roman" w:hAnsi="Times New Roman" w:hint="eastAsia"/>
        </w:rPr>
        <w:t>ų</w:t>
      </w:r>
      <w:r w:rsidR="00D875C0" w:rsidRPr="004E3CD5">
        <w:rPr>
          <w:rFonts w:ascii="Times New Roman" w:hAnsi="Times New Roman"/>
        </w:rPr>
        <w:t xml:space="preserve">). </w:t>
      </w:r>
    </w:p>
    <w:p w14:paraId="20406FFB" w14:textId="44E86B0E" w:rsidR="00D875C0" w:rsidRPr="00F95B76" w:rsidRDefault="00D875C0" w:rsidP="0039740E">
      <w:pPr>
        <w:autoSpaceDE w:val="0"/>
        <w:autoSpaceDN w:val="0"/>
        <w:adjustRightInd w:val="0"/>
        <w:spacing w:after="0" w:line="240" w:lineRule="auto"/>
        <w:rPr>
          <w:rFonts w:ascii="Times New Roman" w:hAnsi="Times New Roman"/>
        </w:rPr>
      </w:pPr>
      <w:r w:rsidRPr="004E3CD5">
        <w:rPr>
          <w:rFonts w:ascii="Times New Roman" w:hAnsi="Times New Roman"/>
        </w:rPr>
        <w:t>Tod</w:t>
      </w:r>
      <w:r w:rsidRPr="004E3CD5">
        <w:rPr>
          <w:rFonts w:ascii="Times New Roman" w:hAnsi="Times New Roman" w:hint="eastAsia"/>
        </w:rPr>
        <w:t>ė</w:t>
      </w:r>
      <w:r w:rsidRPr="004E3CD5">
        <w:rPr>
          <w:rFonts w:ascii="Times New Roman" w:hAnsi="Times New Roman"/>
        </w:rPr>
        <w:t>l vyra</w:t>
      </w:r>
      <w:r w:rsidR="0039740E">
        <w:rPr>
          <w:rFonts w:ascii="Times New Roman" w:hAnsi="Times New Roman"/>
        </w:rPr>
        <w:t>i</w:t>
      </w:r>
      <w:r w:rsidR="0039740E" w:rsidRPr="0039740E">
        <w:rPr>
          <w:rFonts w:ascii="Times New Roman" w:hAnsi="Times New Roman"/>
        </w:rPr>
        <w:t xml:space="preserve">, kurie bus gydomi docetakseliu, turi </w:t>
      </w:r>
      <w:r w:rsidRPr="004E3CD5">
        <w:rPr>
          <w:rFonts w:ascii="Times New Roman" w:hAnsi="Times New Roman"/>
        </w:rPr>
        <w:t>kreiptis d</w:t>
      </w:r>
      <w:r w:rsidRPr="004E3CD5">
        <w:rPr>
          <w:rFonts w:ascii="Times New Roman" w:hAnsi="Times New Roman" w:hint="eastAsia"/>
        </w:rPr>
        <w:t>ė</w:t>
      </w:r>
      <w:r w:rsidRPr="004E3CD5">
        <w:rPr>
          <w:rFonts w:ascii="Times New Roman" w:hAnsi="Times New Roman"/>
        </w:rPr>
        <w:t>l spermos užšaldymo galimyb</w:t>
      </w:r>
      <w:r w:rsidRPr="004E3CD5">
        <w:rPr>
          <w:rFonts w:ascii="Times New Roman" w:hAnsi="Times New Roman" w:hint="eastAsia"/>
        </w:rPr>
        <w:t>ė</w:t>
      </w:r>
      <w:r w:rsidRPr="004E3CD5">
        <w:rPr>
          <w:rFonts w:ascii="Times New Roman" w:hAnsi="Times New Roman"/>
        </w:rPr>
        <w:t xml:space="preserve">s </w:t>
      </w:r>
      <w:r w:rsidRPr="00F957E7">
        <w:rPr>
          <w:rFonts w:ascii="Times New Roman" w:hAnsi="Times New Roman"/>
        </w:rPr>
        <w:t>iki gyd</w:t>
      </w:r>
      <w:r w:rsidRPr="00F95B76">
        <w:rPr>
          <w:rFonts w:ascii="Times New Roman" w:hAnsi="Times New Roman"/>
        </w:rPr>
        <w:t>ymo pradžios.</w:t>
      </w:r>
    </w:p>
    <w:p w14:paraId="6314A8C1" w14:textId="77777777" w:rsidR="00D875C0" w:rsidRPr="001F2C46" w:rsidRDefault="00D875C0" w:rsidP="00D875C0">
      <w:pPr>
        <w:spacing w:after="0" w:line="240" w:lineRule="auto"/>
        <w:rPr>
          <w:rFonts w:ascii="Times New Roman" w:hAnsi="Times New Roman"/>
        </w:rPr>
      </w:pPr>
    </w:p>
    <w:p w14:paraId="2A9AD346" w14:textId="77777777" w:rsidR="00D875C0" w:rsidRPr="00427D92" w:rsidRDefault="00D875C0" w:rsidP="00D875C0">
      <w:pPr>
        <w:keepNext/>
        <w:keepLines/>
        <w:tabs>
          <w:tab w:val="left" w:pos="567"/>
        </w:tabs>
        <w:spacing w:after="0" w:line="240" w:lineRule="auto"/>
        <w:ind w:left="567" w:hanging="567"/>
        <w:outlineLvl w:val="2"/>
        <w:rPr>
          <w:rFonts w:ascii="Times New Roman" w:hAnsi="Times New Roman"/>
          <w:b/>
          <w:kern w:val="28"/>
        </w:rPr>
      </w:pPr>
      <w:bookmarkStart w:id="25" w:name="_Toc129243108"/>
      <w:bookmarkStart w:id="26" w:name="_Toc129243233"/>
      <w:r w:rsidRPr="00427D92">
        <w:rPr>
          <w:rFonts w:ascii="Times New Roman" w:hAnsi="Times New Roman"/>
          <w:b/>
          <w:kern w:val="28"/>
        </w:rPr>
        <w:t>4.7</w:t>
      </w:r>
      <w:r w:rsidRPr="00427D92">
        <w:rPr>
          <w:rFonts w:ascii="Times New Roman" w:hAnsi="Times New Roman"/>
          <w:b/>
          <w:kern w:val="28"/>
        </w:rPr>
        <w:tab/>
        <w:t>Poveikis gebėjimui vairuoti ir valdyti mechanizmus</w:t>
      </w:r>
      <w:bookmarkEnd w:id="25"/>
      <w:bookmarkEnd w:id="26"/>
    </w:p>
    <w:p w14:paraId="10A7F222" w14:textId="77777777" w:rsidR="00D875C0" w:rsidRPr="00C722B4" w:rsidRDefault="00D875C0" w:rsidP="00D875C0">
      <w:pPr>
        <w:spacing w:after="0" w:line="240" w:lineRule="auto"/>
        <w:rPr>
          <w:rFonts w:ascii="Times New Roman" w:hAnsi="Times New Roman"/>
        </w:rPr>
      </w:pPr>
    </w:p>
    <w:p w14:paraId="1600C3B1" w14:textId="77777777" w:rsidR="00D875C0" w:rsidRPr="00874783" w:rsidRDefault="00D875C0" w:rsidP="00632581">
      <w:pPr>
        <w:spacing w:after="0" w:line="240" w:lineRule="auto"/>
        <w:rPr>
          <w:rFonts w:ascii="Times New Roman" w:eastAsiaTheme="minorEastAsia" w:hAnsi="Times New Roman"/>
          <w:lang w:eastAsia="zh-TW"/>
        </w:rPr>
      </w:pPr>
      <w:r w:rsidRPr="004E3CD5">
        <w:rPr>
          <w:rFonts w:ascii="Times New Roman" w:hAnsi="Times New Roman"/>
        </w:rPr>
        <w:t>Poveikio geb</w:t>
      </w:r>
      <w:r w:rsidRPr="004E3CD5">
        <w:rPr>
          <w:rFonts w:ascii="Times New Roman" w:hAnsi="Times New Roman" w:hint="eastAsia"/>
        </w:rPr>
        <w:t>ė</w:t>
      </w:r>
      <w:r w:rsidRPr="004E3CD5">
        <w:rPr>
          <w:rFonts w:ascii="Times New Roman" w:hAnsi="Times New Roman"/>
        </w:rPr>
        <w:t>jimui vairuoti ir valdyti mechanizmus tyrim</w:t>
      </w:r>
      <w:r w:rsidRPr="004E3CD5">
        <w:rPr>
          <w:rFonts w:ascii="Times New Roman" w:hAnsi="Times New Roman" w:hint="eastAsia"/>
        </w:rPr>
        <w:t>ų</w:t>
      </w:r>
      <w:r w:rsidRPr="004E3CD5">
        <w:rPr>
          <w:rFonts w:ascii="Times New Roman" w:hAnsi="Times New Roman"/>
        </w:rPr>
        <w:t xml:space="preserve"> neatlikta. </w:t>
      </w:r>
      <w:r w:rsidRPr="00F957E7">
        <w:rPr>
          <w:rFonts w:ascii="Times New Roman" w:hAnsi="Times New Roman"/>
        </w:rPr>
        <w:t xml:space="preserve">Alkoholio kiekis, esantis šiame vaistiniame preparate, </w:t>
      </w:r>
      <w:r w:rsidR="00632581">
        <w:rPr>
          <w:rFonts w:ascii="Times New Roman" w:hAnsi="Times New Roman"/>
        </w:rPr>
        <w:t xml:space="preserve">ir </w:t>
      </w:r>
      <w:r w:rsidR="00632581" w:rsidRPr="00632581">
        <w:rPr>
          <w:rFonts w:ascii="Times New Roman" w:hAnsi="Times New Roman"/>
        </w:rPr>
        <w:t xml:space="preserve">nepageidaujamas vaistinio preparato poveikis gali trikdyti </w:t>
      </w:r>
      <w:r w:rsidRPr="00F957E7">
        <w:rPr>
          <w:rFonts w:ascii="Times New Roman" w:hAnsi="Times New Roman"/>
        </w:rPr>
        <w:t>gebėjimą vairuoti ir valdyti mechanizmus</w:t>
      </w:r>
      <w:r w:rsidR="000E00CB" w:rsidRPr="00F95B76">
        <w:rPr>
          <w:rFonts w:ascii="Times New Roman" w:hAnsi="Times New Roman"/>
        </w:rPr>
        <w:t xml:space="preserve"> (žr. 4.4 </w:t>
      </w:r>
      <w:r w:rsidR="00632581">
        <w:rPr>
          <w:rFonts w:ascii="Times New Roman" w:hAnsi="Times New Roman"/>
        </w:rPr>
        <w:t xml:space="preserve">ir 4.8 </w:t>
      </w:r>
      <w:r w:rsidR="000E00CB" w:rsidRPr="00F95B76">
        <w:rPr>
          <w:rFonts w:ascii="Times New Roman" w:hAnsi="Times New Roman"/>
        </w:rPr>
        <w:t>skyri</w:t>
      </w:r>
      <w:r w:rsidR="00632581">
        <w:rPr>
          <w:rFonts w:ascii="Times New Roman" w:hAnsi="Times New Roman"/>
        </w:rPr>
        <w:t>us</w:t>
      </w:r>
      <w:r w:rsidR="000E00CB" w:rsidRPr="00F95B76">
        <w:rPr>
          <w:rFonts w:ascii="Times New Roman" w:hAnsi="Times New Roman"/>
        </w:rPr>
        <w:t>)</w:t>
      </w:r>
      <w:r w:rsidRPr="00F95B76">
        <w:rPr>
          <w:rFonts w:ascii="Times New Roman" w:hAnsi="Times New Roman"/>
        </w:rPr>
        <w:t xml:space="preserve">. </w:t>
      </w:r>
      <w:r w:rsidR="00632581" w:rsidRPr="00632581">
        <w:rPr>
          <w:rFonts w:ascii="Times New Roman" w:hAnsi="Times New Roman"/>
        </w:rPr>
        <w:t>Dėl to pacientai turi būti įspėti apie alkoholio</w:t>
      </w:r>
      <w:r w:rsidR="00632581">
        <w:rPr>
          <w:rFonts w:ascii="Times New Roman" w:hAnsi="Times New Roman"/>
        </w:rPr>
        <w:t xml:space="preserve"> </w:t>
      </w:r>
      <w:r w:rsidR="00632581" w:rsidRPr="00632581">
        <w:rPr>
          <w:rFonts w:ascii="Times New Roman" w:hAnsi="Times New Roman"/>
        </w:rPr>
        <w:t>kiekio ir nepageidaujamo vaistinio preparato poveikio įtaką gebėjimui vairuoti ir valdyti mechanizmus</w:t>
      </w:r>
      <w:r w:rsidR="00632581">
        <w:rPr>
          <w:rFonts w:ascii="Times New Roman" w:hAnsi="Times New Roman"/>
        </w:rPr>
        <w:t xml:space="preserve"> </w:t>
      </w:r>
      <w:r w:rsidR="00632581" w:rsidRPr="00632581">
        <w:rPr>
          <w:rFonts w:ascii="Times New Roman" w:hAnsi="Times New Roman"/>
        </w:rPr>
        <w:t>bei jiems reikia patarti nevairuoti ir nevaldyti mechanizmų, jei gydymo metu pasireiškia toks</w:t>
      </w:r>
      <w:r w:rsidR="00632581">
        <w:rPr>
          <w:rFonts w:ascii="Times New Roman" w:hAnsi="Times New Roman"/>
        </w:rPr>
        <w:t xml:space="preserve"> </w:t>
      </w:r>
      <w:r w:rsidR="00632581" w:rsidRPr="00632581">
        <w:rPr>
          <w:rFonts w:ascii="Times New Roman" w:hAnsi="Times New Roman"/>
        </w:rPr>
        <w:t>nepageidaujamas poveikis.</w:t>
      </w:r>
    </w:p>
    <w:p w14:paraId="36601FC3" w14:textId="77777777" w:rsidR="00D875C0" w:rsidRPr="001F2C46" w:rsidRDefault="00D875C0" w:rsidP="00D875C0">
      <w:pPr>
        <w:spacing w:after="0" w:line="240" w:lineRule="auto"/>
        <w:rPr>
          <w:rFonts w:ascii="Times New Roman" w:hAnsi="Times New Roman"/>
        </w:rPr>
      </w:pPr>
    </w:p>
    <w:p w14:paraId="20AF5A1A" w14:textId="77777777" w:rsidR="00D875C0" w:rsidRPr="00427D92" w:rsidRDefault="00D875C0" w:rsidP="00D875C0">
      <w:pPr>
        <w:keepNext/>
        <w:keepLines/>
        <w:tabs>
          <w:tab w:val="left" w:pos="567"/>
        </w:tabs>
        <w:spacing w:after="0" w:line="240" w:lineRule="auto"/>
        <w:ind w:left="567" w:hanging="567"/>
        <w:outlineLvl w:val="2"/>
        <w:rPr>
          <w:rFonts w:ascii="Times New Roman" w:hAnsi="Times New Roman"/>
          <w:b/>
          <w:kern w:val="28"/>
        </w:rPr>
      </w:pPr>
      <w:bookmarkStart w:id="27" w:name="_Toc129243109"/>
      <w:bookmarkStart w:id="28" w:name="_Toc129243234"/>
      <w:r w:rsidRPr="00427D92">
        <w:rPr>
          <w:rFonts w:ascii="Times New Roman" w:hAnsi="Times New Roman"/>
          <w:b/>
          <w:kern w:val="28"/>
        </w:rPr>
        <w:t>4.8</w:t>
      </w:r>
      <w:r w:rsidRPr="00427D92">
        <w:rPr>
          <w:rFonts w:ascii="Times New Roman" w:hAnsi="Times New Roman"/>
          <w:b/>
          <w:kern w:val="28"/>
        </w:rPr>
        <w:tab/>
        <w:t>Nepageidaujamas poveikis</w:t>
      </w:r>
      <w:bookmarkEnd w:id="27"/>
      <w:bookmarkEnd w:id="28"/>
    </w:p>
    <w:p w14:paraId="02205E42" w14:textId="77777777" w:rsidR="00D875C0" w:rsidRPr="00C722B4" w:rsidRDefault="00D875C0" w:rsidP="00D875C0">
      <w:pPr>
        <w:spacing w:after="0" w:line="240" w:lineRule="auto"/>
        <w:rPr>
          <w:rFonts w:ascii="Times New Roman" w:hAnsi="Times New Roman"/>
        </w:rPr>
      </w:pPr>
    </w:p>
    <w:p w14:paraId="2ECCB00B" w14:textId="77777777" w:rsidR="00D875C0" w:rsidRPr="00874783" w:rsidRDefault="00D875C0" w:rsidP="00D875C0">
      <w:pPr>
        <w:autoSpaceDE w:val="0"/>
        <w:autoSpaceDN w:val="0"/>
        <w:adjustRightInd w:val="0"/>
        <w:spacing w:after="0"/>
        <w:rPr>
          <w:rFonts w:ascii="Times New Roman" w:eastAsiaTheme="minorEastAsia" w:hAnsi="Times New Roman"/>
          <w:u w:val="single"/>
          <w:lang w:eastAsia="zh-TW"/>
        </w:rPr>
      </w:pPr>
      <w:r w:rsidRPr="004E3CD5">
        <w:rPr>
          <w:rFonts w:ascii="Times New Roman" w:hAnsi="Times New Roman"/>
          <w:u w:val="single"/>
        </w:rPr>
        <w:t>Saugumo savybi</w:t>
      </w:r>
      <w:r w:rsidRPr="004E3CD5">
        <w:rPr>
          <w:rFonts w:ascii="Times New Roman" w:hAnsi="Times New Roman" w:hint="eastAsia"/>
          <w:u w:val="single"/>
        </w:rPr>
        <w:t>ų</w:t>
      </w:r>
      <w:r w:rsidRPr="004E3CD5">
        <w:rPr>
          <w:rFonts w:ascii="Times New Roman" w:hAnsi="Times New Roman"/>
          <w:u w:val="single"/>
        </w:rPr>
        <w:t xml:space="preserve"> apibendrinimas visoms indikacijoms</w:t>
      </w:r>
    </w:p>
    <w:p w14:paraId="7D8A53F6" w14:textId="77777777" w:rsidR="00D875C0" w:rsidRPr="00F95B76" w:rsidRDefault="00D875C0" w:rsidP="00D875C0">
      <w:pPr>
        <w:autoSpaceDE w:val="0"/>
        <w:autoSpaceDN w:val="0"/>
        <w:adjustRightInd w:val="0"/>
        <w:spacing w:after="0" w:line="240" w:lineRule="auto"/>
        <w:rPr>
          <w:rFonts w:ascii="Times New Roman" w:hAnsi="Times New Roman"/>
        </w:rPr>
      </w:pPr>
    </w:p>
    <w:p w14:paraId="3EC3FD87" w14:textId="77777777" w:rsidR="00D875C0" w:rsidRPr="001F2C46" w:rsidRDefault="00D875C0" w:rsidP="00D875C0">
      <w:pPr>
        <w:autoSpaceDE w:val="0"/>
        <w:autoSpaceDN w:val="0"/>
        <w:adjustRightInd w:val="0"/>
        <w:spacing w:after="0" w:line="240" w:lineRule="auto"/>
        <w:rPr>
          <w:rFonts w:ascii="Times New Roman" w:hAnsi="Times New Roman"/>
        </w:rPr>
      </w:pPr>
      <w:r w:rsidRPr="001F2C46">
        <w:rPr>
          <w:rFonts w:ascii="Times New Roman" w:hAnsi="Times New Roman"/>
        </w:rPr>
        <w:t>Duomenys apie nepageidaujamas reakcijas, laikomas galbūt arba tikriausiai susijusiomis su docetakselio vartojimu, gauti stebint:</w:t>
      </w:r>
    </w:p>
    <w:p w14:paraId="7FE1F2F0" w14:textId="77777777" w:rsidR="00D875C0" w:rsidRPr="007C1A06" w:rsidRDefault="00D875C0" w:rsidP="00D875C0">
      <w:pPr>
        <w:numPr>
          <w:ilvl w:val="0"/>
          <w:numId w:val="12"/>
        </w:numPr>
        <w:autoSpaceDE w:val="0"/>
        <w:autoSpaceDN w:val="0"/>
        <w:adjustRightInd w:val="0"/>
        <w:spacing w:after="0" w:line="240" w:lineRule="auto"/>
        <w:rPr>
          <w:rFonts w:ascii="Times New Roman" w:hAnsi="Times New Roman"/>
        </w:rPr>
      </w:pPr>
      <w:r w:rsidRPr="00427D92">
        <w:rPr>
          <w:rFonts w:ascii="Times New Roman" w:hAnsi="Times New Roman"/>
        </w:rPr>
        <w:t>atitinkamai 1312 ir 121 pacientą, vartojusį 100</w:t>
      </w:r>
      <w:r w:rsidR="004676B7" w:rsidRPr="00C722B4">
        <w:rPr>
          <w:rFonts w:ascii="Times New Roman" w:hAnsi="Times New Roman"/>
        </w:rPr>
        <w:t> </w:t>
      </w:r>
      <w:r w:rsidRPr="007C1A06">
        <w:rPr>
          <w:rFonts w:ascii="Times New Roman" w:hAnsi="Times New Roman"/>
        </w:rPr>
        <w:t>mg/m² ir 75</w:t>
      </w:r>
      <w:r w:rsidR="004676B7" w:rsidRPr="007C1A06">
        <w:rPr>
          <w:rFonts w:ascii="Times New Roman" w:hAnsi="Times New Roman"/>
        </w:rPr>
        <w:t> </w:t>
      </w:r>
      <w:r w:rsidRPr="007C1A06">
        <w:rPr>
          <w:rFonts w:ascii="Times New Roman" w:hAnsi="Times New Roman"/>
        </w:rPr>
        <w:t>mg/m² docetakselio monoterapijai.</w:t>
      </w:r>
    </w:p>
    <w:p w14:paraId="1A31EBA8" w14:textId="77777777" w:rsidR="00D875C0" w:rsidRPr="004E3CD5" w:rsidRDefault="00D875C0" w:rsidP="00D875C0">
      <w:pPr>
        <w:numPr>
          <w:ilvl w:val="0"/>
          <w:numId w:val="1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258 pacientus, vartojusius docetakselio kartu su doksorubicinu.</w:t>
      </w:r>
    </w:p>
    <w:p w14:paraId="082A5949" w14:textId="77777777" w:rsidR="00D875C0" w:rsidRPr="004E3CD5" w:rsidRDefault="00D875C0" w:rsidP="00D875C0">
      <w:pPr>
        <w:numPr>
          <w:ilvl w:val="0"/>
          <w:numId w:val="1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406 pacientus, vartojusius docetakselio kartu su cisplatina.</w:t>
      </w:r>
    </w:p>
    <w:p w14:paraId="5BB00369" w14:textId="77777777" w:rsidR="00D875C0" w:rsidRPr="004E3CD5" w:rsidRDefault="00D875C0" w:rsidP="00D875C0">
      <w:pPr>
        <w:numPr>
          <w:ilvl w:val="0"/>
          <w:numId w:val="1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92 pacientus, vartojusius docetakselio kartu su trastuzumabu.</w:t>
      </w:r>
    </w:p>
    <w:p w14:paraId="0A7FAE56" w14:textId="77777777" w:rsidR="00D875C0" w:rsidRPr="004E3CD5" w:rsidRDefault="00D875C0" w:rsidP="00D875C0">
      <w:pPr>
        <w:numPr>
          <w:ilvl w:val="0"/>
          <w:numId w:val="1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255 pacientus, vartojusius docetakselio kartu su kapecitabinu.</w:t>
      </w:r>
    </w:p>
    <w:p w14:paraId="5F4FCEE4" w14:textId="77777777" w:rsidR="00D875C0" w:rsidRPr="004E3CD5" w:rsidRDefault="00D875C0" w:rsidP="00D875C0">
      <w:pPr>
        <w:numPr>
          <w:ilvl w:val="0"/>
          <w:numId w:val="1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332 pacientus</w:t>
      </w:r>
      <w:r w:rsidR="003B15C8">
        <w:rPr>
          <w:rFonts w:ascii="Times New Roman" w:hAnsi="Times New Roman"/>
        </w:rPr>
        <w:t xml:space="preserve"> (T</w:t>
      </w:r>
      <w:r w:rsidR="001933E9">
        <w:rPr>
          <w:rFonts w:ascii="Times New Roman" w:hAnsi="Times New Roman"/>
        </w:rPr>
        <w:t>A</w:t>
      </w:r>
      <w:r w:rsidR="003B15C8">
        <w:rPr>
          <w:rFonts w:ascii="Times New Roman" w:hAnsi="Times New Roman"/>
        </w:rPr>
        <w:t>X 327)</w:t>
      </w:r>
      <w:r w:rsidRPr="007C1A06">
        <w:rPr>
          <w:rFonts w:ascii="Times New Roman" w:hAnsi="Times New Roman"/>
        </w:rPr>
        <w:t>, vartojusius docetakselio kartu su prednizonu ar prednizolonu (kliniškai svarbūs su vaistiniais preparatais susiję nepageidaujami reiškiniai pateikiami žemiau).</w:t>
      </w:r>
    </w:p>
    <w:p w14:paraId="13C0DCC5" w14:textId="77777777" w:rsidR="00D875C0" w:rsidRPr="00F95B76" w:rsidRDefault="00D875C0" w:rsidP="004E3CD5">
      <w:pPr>
        <w:pStyle w:val="Sraopastraipa"/>
        <w:numPr>
          <w:ilvl w:val="0"/>
          <w:numId w:val="23"/>
        </w:numPr>
        <w:tabs>
          <w:tab w:val="left" w:pos="709"/>
        </w:tabs>
        <w:autoSpaceDE w:val="0"/>
        <w:autoSpaceDN w:val="0"/>
        <w:adjustRightInd w:val="0"/>
        <w:spacing w:after="0" w:line="240" w:lineRule="auto"/>
        <w:rPr>
          <w:rFonts w:ascii="Times New Roman" w:hAnsi="Times New Roman"/>
        </w:rPr>
      </w:pPr>
      <w:r w:rsidRPr="007C1A06">
        <w:rPr>
          <w:rFonts w:ascii="Times New Roman" w:hAnsi="Times New Roman"/>
        </w:rPr>
        <w:t xml:space="preserve">1276 pacientus (744 pacientai TAX 316 ir 532 pacientai GEICAM 9805), vartojusius docetakselio </w:t>
      </w:r>
      <w:r w:rsidRPr="004E3CD5">
        <w:rPr>
          <w:rFonts w:ascii="Times New Roman" w:hAnsi="Times New Roman"/>
        </w:rPr>
        <w:t>kartu su doksorubicinu ir ciklofosfamidu (kliniškai svarb</w:t>
      </w:r>
      <w:r w:rsidRPr="004E3CD5">
        <w:rPr>
          <w:rFonts w:ascii="Times New Roman" w:hAnsi="Times New Roman" w:hint="eastAsia"/>
        </w:rPr>
        <w:t>ū</w:t>
      </w:r>
      <w:r w:rsidRPr="004E3CD5">
        <w:rPr>
          <w:rFonts w:ascii="Times New Roman" w:hAnsi="Times New Roman"/>
        </w:rPr>
        <w:t>s su vaistiniais preparatais susij</w:t>
      </w:r>
      <w:r w:rsidRPr="004E3CD5">
        <w:rPr>
          <w:rFonts w:ascii="Times New Roman" w:hAnsi="Times New Roman" w:hint="eastAsia"/>
        </w:rPr>
        <w:t>ę</w:t>
      </w:r>
      <w:r w:rsidRPr="004E3CD5">
        <w:rPr>
          <w:rFonts w:ascii="Times New Roman" w:hAnsi="Times New Roman"/>
        </w:rPr>
        <w:t xml:space="preserve"> </w:t>
      </w:r>
      <w:r w:rsidRPr="00F957E7">
        <w:rPr>
          <w:rFonts w:ascii="Times New Roman" w:hAnsi="Times New Roman"/>
        </w:rPr>
        <w:t>nepageidaujami reiškiniai pateikiami žemiau).</w:t>
      </w:r>
    </w:p>
    <w:p w14:paraId="68E2202B" w14:textId="77777777" w:rsidR="00D875C0" w:rsidRPr="001F2C46" w:rsidRDefault="00D875C0" w:rsidP="00D875C0">
      <w:pPr>
        <w:numPr>
          <w:ilvl w:val="0"/>
          <w:numId w:val="12"/>
        </w:numPr>
        <w:autoSpaceDE w:val="0"/>
        <w:autoSpaceDN w:val="0"/>
        <w:adjustRightInd w:val="0"/>
        <w:spacing w:after="0" w:line="240" w:lineRule="auto"/>
        <w:rPr>
          <w:rFonts w:ascii="Times New Roman" w:hAnsi="Times New Roman"/>
        </w:rPr>
      </w:pPr>
      <w:r w:rsidRPr="001F2C46">
        <w:rPr>
          <w:rFonts w:ascii="Times New Roman" w:hAnsi="Times New Roman"/>
        </w:rPr>
        <w:t>300 skrandžio adenokarcinoma sirgusių pacientų, vartojusių docetakselio kartu su cisplatina ir 5 fluorouracilu (221 pacientas – III fazės tyrimo dalyje, 79 – II fazės tyrimo dalyje) (kliniškai svarbūs su gydymu susiję nepageidaujami reiškiniai pateikiami žemiau).</w:t>
      </w:r>
    </w:p>
    <w:p w14:paraId="45F91113" w14:textId="77777777" w:rsidR="00D875C0" w:rsidRPr="00427D92" w:rsidRDefault="00D875C0" w:rsidP="00D875C0">
      <w:pPr>
        <w:numPr>
          <w:ilvl w:val="0"/>
          <w:numId w:val="12"/>
        </w:numPr>
        <w:autoSpaceDE w:val="0"/>
        <w:autoSpaceDN w:val="0"/>
        <w:adjustRightInd w:val="0"/>
        <w:spacing w:after="0" w:line="240" w:lineRule="auto"/>
        <w:rPr>
          <w:rFonts w:ascii="Times New Roman" w:hAnsi="Times New Roman"/>
        </w:rPr>
      </w:pPr>
      <w:r w:rsidRPr="00427D92">
        <w:rPr>
          <w:rFonts w:ascii="Times New Roman" w:hAnsi="Times New Roman"/>
        </w:rPr>
        <w:t>174 ir 251 galvos ir kaklo vėžiu sirgęs pacientas, vartoję docetakselio kartu su cisplatina ir 5-fluorouracilu (kliniškai svarbūs su gydymu susiję nepageidaujami reiškiniai pateikiami žemiau).</w:t>
      </w:r>
    </w:p>
    <w:p w14:paraId="7F10DE9D" w14:textId="77777777" w:rsidR="00D875C0" w:rsidRPr="00C722B4" w:rsidRDefault="00D875C0" w:rsidP="00D875C0">
      <w:pPr>
        <w:autoSpaceDE w:val="0"/>
        <w:autoSpaceDN w:val="0"/>
        <w:adjustRightInd w:val="0"/>
        <w:spacing w:after="0" w:line="240" w:lineRule="auto"/>
        <w:ind w:left="720"/>
        <w:rPr>
          <w:rFonts w:ascii="Times New Roman" w:hAnsi="Times New Roman"/>
        </w:rPr>
      </w:pPr>
    </w:p>
    <w:p w14:paraId="45392FA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Šios reakcijos apibūdintos remiantis </w:t>
      </w:r>
      <w:r w:rsidRPr="007C1A06">
        <w:rPr>
          <w:rFonts w:ascii="Times New Roman" w:hAnsi="Times New Roman"/>
          <w:i/>
        </w:rPr>
        <w:t xml:space="preserve">NCI </w:t>
      </w:r>
      <w:r w:rsidRPr="007C1A06">
        <w:rPr>
          <w:rFonts w:ascii="Times New Roman" w:hAnsi="Times New Roman"/>
        </w:rPr>
        <w:t>(Nacionalinio vėžio instituto) nustatytais bendraisiais toksiškumo kriterijais (la</w:t>
      </w:r>
      <w:r w:rsidR="00807371" w:rsidRPr="007C1A06">
        <w:rPr>
          <w:rFonts w:ascii="Times New Roman" w:hAnsi="Times New Roman"/>
        </w:rPr>
        <w:t>i</w:t>
      </w:r>
      <w:r w:rsidRPr="007C1A06">
        <w:rPr>
          <w:rFonts w:ascii="Times New Roman" w:hAnsi="Times New Roman"/>
        </w:rPr>
        <w:t>psnis 3 = G3; laipsnis 3-4 = G3/4; laipsnis 4 = G4) ir COSTART terminais</w:t>
      </w:r>
      <w:r w:rsidRPr="007C1A06">
        <w:rPr>
          <w:rFonts w:ascii="Times New Roman" w:hAnsi="Times New Roman"/>
          <w:i/>
        </w:rPr>
        <w:t>.</w:t>
      </w:r>
    </w:p>
    <w:p w14:paraId="3DE54AC5"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Dažnis apibūdinamas taip: labai dažnas (≥</w:t>
      </w:r>
      <w:r w:rsidR="004676B7" w:rsidRPr="007C1A06">
        <w:rPr>
          <w:rFonts w:ascii="Times New Roman" w:hAnsi="Times New Roman"/>
        </w:rPr>
        <w:t> </w:t>
      </w:r>
      <w:r w:rsidRPr="007C1A06">
        <w:rPr>
          <w:rFonts w:ascii="Times New Roman" w:hAnsi="Times New Roman"/>
        </w:rPr>
        <w:t>1/10), dažnas (nuo ≥</w:t>
      </w:r>
      <w:r w:rsidR="004676B7" w:rsidRPr="007C1A06">
        <w:rPr>
          <w:rFonts w:ascii="Times New Roman" w:hAnsi="Times New Roman"/>
        </w:rPr>
        <w:t> </w:t>
      </w:r>
      <w:r w:rsidRPr="007C1A06">
        <w:rPr>
          <w:rFonts w:ascii="Times New Roman" w:hAnsi="Times New Roman"/>
        </w:rPr>
        <w:t>1/100 iki &lt;</w:t>
      </w:r>
      <w:r w:rsidR="004676B7" w:rsidRPr="007C1A06">
        <w:rPr>
          <w:rFonts w:ascii="Times New Roman" w:hAnsi="Times New Roman"/>
        </w:rPr>
        <w:t> </w:t>
      </w:r>
      <w:r w:rsidRPr="007C1A06">
        <w:rPr>
          <w:rFonts w:ascii="Times New Roman" w:hAnsi="Times New Roman"/>
        </w:rPr>
        <w:t>1/10), nedažnas (nuo ≥</w:t>
      </w:r>
      <w:r w:rsidR="004676B7" w:rsidRPr="007C1A06">
        <w:rPr>
          <w:rFonts w:ascii="Times New Roman" w:hAnsi="Times New Roman"/>
        </w:rPr>
        <w:t> </w:t>
      </w:r>
      <w:r w:rsidRPr="007C1A06">
        <w:rPr>
          <w:rFonts w:ascii="Times New Roman" w:hAnsi="Times New Roman"/>
        </w:rPr>
        <w:t>1/1000 iki &lt;</w:t>
      </w:r>
      <w:r w:rsidR="004676B7" w:rsidRPr="007C1A06">
        <w:rPr>
          <w:rFonts w:ascii="Times New Roman" w:hAnsi="Times New Roman"/>
        </w:rPr>
        <w:t> </w:t>
      </w:r>
      <w:r w:rsidRPr="007C1A06">
        <w:rPr>
          <w:rFonts w:ascii="Times New Roman" w:hAnsi="Times New Roman"/>
        </w:rPr>
        <w:t>1/100), retas (nuo ≥</w:t>
      </w:r>
      <w:r w:rsidR="004676B7" w:rsidRPr="007C1A06">
        <w:rPr>
          <w:rFonts w:ascii="Times New Roman" w:hAnsi="Times New Roman"/>
        </w:rPr>
        <w:t> </w:t>
      </w:r>
      <w:r w:rsidRPr="007C1A06">
        <w:rPr>
          <w:rFonts w:ascii="Times New Roman" w:hAnsi="Times New Roman"/>
        </w:rPr>
        <w:t>1/10000 iki &lt;</w:t>
      </w:r>
      <w:r w:rsidR="004676B7" w:rsidRPr="007C1A06">
        <w:rPr>
          <w:rFonts w:ascii="Times New Roman" w:hAnsi="Times New Roman"/>
        </w:rPr>
        <w:t> </w:t>
      </w:r>
      <w:r w:rsidRPr="007C1A06">
        <w:rPr>
          <w:rFonts w:ascii="Times New Roman" w:hAnsi="Times New Roman"/>
        </w:rPr>
        <w:t>1/1000), labai retas (&lt;</w:t>
      </w:r>
      <w:r w:rsidR="004676B7" w:rsidRPr="007C1A06">
        <w:rPr>
          <w:rFonts w:ascii="Times New Roman" w:hAnsi="Times New Roman"/>
        </w:rPr>
        <w:t> </w:t>
      </w:r>
      <w:r w:rsidRPr="007C1A06">
        <w:rPr>
          <w:rFonts w:ascii="Times New Roman" w:hAnsi="Times New Roman"/>
        </w:rPr>
        <w:t>1/10000) ir nežinomas (negali būti apskaičiuotas pagal turimus duomenis).</w:t>
      </w:r>
    </w:p>
    <w:p w14:paraId="2072372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Kiekvienoje dažnio grupėje nepageidaujamas poveikis pateikiamas mažėjančio sunkumo tvarka.</w:t>
      </w:r>
    </w:p>
    <w:p w14:paraId="58BA362B" w14:textId="77777777" w:rsidR="00D875C0" w:rsidRPr="007C1A06" w:rsidRDefault="00D875C0" w:rsidP="00D875C0">
      <w:pPr>
        <w:autoSpaceDE w:val="0"/>
        <w:autoSpaceDN w:val="0"/>
        <w:adjustRightInd w:val="0"/>
        <w:spacing w:after="0" w:line="240" w:lineRule="auto"/>
        <w:rPr>
          <w:rFonts w:ascii="Times New Roman" w:hAnsi="Times New Roman"/>
        </w:rPr>
      </w:pPr>
    </w:p>
    <w:p w14:paraId="7ABD0482"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Docetakselio monoterapijos metu dažniausiai pasireiškusios nepageidaujamos reakcijos – neutropenija, kuri būdavo laikina ir nekumuliavo (laikotarpio, po kurio neutrofilų skaičius buvo mažiausias, mediana buvo 7</w:t>
      </w:r>
      <w:r w:rsidR="004676B7" w:rsidRPr="007C1A06">
        <w:rPr>
          <w:rFonts w:ascii="Times New Roman" w:hAnsi="Times New Roman"/>
        </w:rPr>
        <w:t> </w:t>
      </w:r>
      <w:r w:rsidRPr="007C1A06">
        <w:rPr>
          <w:rFonts w:ascii="Times New Roman" w:hAnsi="Times New Roman"/>
        </w:rPr>
        <w:t>dienos po vaistinio preparato vartojimo, sunkios neutropenijos (neutrofilų mažiau kaip 500/mm</w:t>
      </w:r>
      <w:r w:rsidRPr="007C1A06">
        <w:rPr>
          <w:rFonts w:ascii="Times New Roman" w:hAnsi="Times New Roman"/>
          <w:vertAlign w:val="superscript"/>
        </w:rPr>
        <w:t>3</w:t>
      </w:r>
      <w:r w:rsidRPr="007C1A06">
        <w:rPr>
          <w:rFonts w:ascii="Times New Roman" w:hAnsi="Times New Roman"/>
        </w:rPr>
        <w:t>) trukmės mediana – 7</w:t>
      </w:r>
      <w:r w:rsidR="004676B7" w:rsidRPr="007C1A06">
        <w:rPr>
          <w:rFonts w:ascii="Times New Roman" w:hAnsi="Times New Roman"/>
        </w:rPr>
        <w:t> </w:t>
      </w:r>
      <w:r w:rsidRPr="007C1A06">
        <w:rPr>
          <w:rFonts w:ascii="Times New Roman" w:hAnsi="Times New Roman"/>
        </w:rPr>
        <w:t>dienos), anemija, alopecija, pykinimas, vėmimas, stomatitas, viduriavimas ir astenija. Nepageidaujamų docetakselio reiškinių sunkumas gali padidėti, kartu vartojant kitokių chemoterapinių preparatų.</w:t>
      </w:r>
    </w:p>
    <w:p w14:paraId="4062D6DA" w14:textId="77777777" w:rsidR="00D875C0" w:rsidRPr="007C1A06" w:rsidRDefault="00D875C0" w:rsidP="00D875C0">
      <w:pPr>
        <w:autoSpaceDE w:val="0"/>
        <w:autoSpaceDN w:val="0"/>
        <w:adjustRightInd w:val="0"/>
        <w:spacing w:after="0" w:line="240" w:lineRule="auto"/>
        <w:rPr>
          <w:rFonts w:ascii="Times New Roman" w:hAnsi="Times New Roman"/>
        </w:rPr>
      </w:pPr>
    </w:p>
    <w:p w14:paraId="2AD94B21"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Docetakselio ir trastuzumabo deriniui pateikiami visų laipsnių nepageidaujami reiškiniai, pasireiškę ≥</w:t>
      </w:r>
      <w:r w:rsidR="004676B7" w:rsidRPr="007C1A06">
        <w:rPr>
          <w:rFonts w:ascii="Times New Roman" w:hAnsi="Times New Roman"/>
        </w:rPr>
        <w:t> </w:t>
      </w:r>
      <w:r w:rsidRPr="007C1A06">
        <w:rPr>
          <w:rFonts w:ascii="Times New Roman" w:hAnsi="Times New Roman"/>
        </w:rPr>
        <w:t>10</w:t>
      </w:r>
      <w:r w:rsidR="004676B7" w:rsidRPr="007C1A06">
        <w:rPr>
          <w:rFonts w:ascii="Times New Roman" w:hAnsi="Times New Roman"/>
        </w:rPr>
        <w:t> </w:t>
      </w:r>
      <w:r w:rsidRPr="007C1A06">
        <w:rPr>
          <w:rFonts w:ascii="Times New Roman" w:hAnsi="Times New Roman"/>
        </w:rPr>
        <w:t>% pacienčių. Docetakselio ir trastuzumabo derinio grupėje dažniau negu docetakselio monoterapijos grupėje pasireiškė sunkių (atitinkamai 40</w:t>
      </w:r>
      <w:r w:rsidR="004676B7" w:rsidRPr="007C1A06">
        <w:rPr>
          <w:rFonts w:ascii="Times New Roman" w:hAnsi="Times New Roman"/>
        </w:rPr>
        <w:t> </w:t>
      </w:r>
      <w:r w:rsidRPr="007C1A06">
        <w:rPr>
          <w:rFonts w:ascii="Times New Roman" w:hAnsi="Times New Roman"/>
        </w:rPr>
        <w:t>% ir 31</w:t>
      </w:r>
      <w:r w:rsidR="004676B7" w:rsidRPr="007C1A06">
        <w:rPr>
          <w:rFonts w:ascii="Times New Roman" w:hAnsi="Times New Roman"/>
        </w:rPr>
        <w:t> </w:t>
      </w:r>
      <w:r w:rsidRPr="007C1A06">
        <w:rPr>
          <w:rFonts w:ascii="Times New Roman" w:hAnsi="Times New Roman"/>
        </w:rPr>
        <w:t>%) ir 4</w:t>
      </w:r>
      <w:r w:rsidR="004676B7" w:rsidRPr="007C1A06">
        <w:rPr>
          <w:rFonts w:ascii="Times New Roman" w:hAnsi="Times New Roman"/>
        </w:rPr>
        <w:t> </w:t>
      </w:r>
      <w:r w:rsidRPr="007C1A06">
        <w:rPr>
          <w:rFonts w:ascii="Times New Roman" w:hAnsi="Times New Roman"/>
        </w:rPr>
        <w:t>laipsnio (atitinkamai 34</w:t>
      </w:r>
      <w:r w:rsidR="004676B7" w:rsidRPr="007C1A06">
        <w:rPr>
          <w:rFonts w:ascii="Times New Roman" w:hAnsi="Times New Roman"/>
        </w:rPr>
        <w:t> </w:t>
      </w:r>
      <w:r w:rsidRPr="007C1A06">
        <w:rPr>
          <w:rFonts w:ascii="Times New Roman" w:hAnsi="Times New Roman"/>
        </w:rPr>
        <w:t>% ir 23</w:t>
      </w:r>
      <w:r w:rsidR="004676B7" w:rsidRPr="007C1A06">
        <w:rPr>
          <w:rFonts w:ascii="Times New Roman" w:hAnsi="Times New Roman"/>
        </w:rPr>
        <w:t> </w:t>
      </w:r>
      <w:r w:rsidRPr="007C1A06">
        <w:rPr>
          <w:rFonts w:ascii="Times New Roman" w:hAnsi="Times New Roman"/>
        </w:rPr>
        <w:t>%) nepageidaujamų reiškinių.</w:t>
      </w:r>
    </w:p>
    <w:p w14:paraId="6D23F3F9" w14:textId="77777777" w:rsidR="00D875C0" w:rsidRPr="007C1A06" w:rsidRDefault="00D875C0" w:rsidP="00D875C0">
      <w:pPr>
        <w:autoSpaceDE w:val="0"/>
        <w:autoSpaceDN w:val="0"/>
        <w:adjustRightInd w:val="0"/>
        <w:spacing w:after="0" w:line="240" w:lineRule="auto"/>
        <w:rPr>
          <w:rFonts w:ascii="Times New Roman" w:hAnsi="Times New Roman"/>
        </w:rPr>
      </w:pPr>
    </w:p>
    <w:p w14:paraId="17538022"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Docetakselio ir kapecitabino deriniui pateikiami dažniausi (≥</w:t>
      </w:r>
      <w:r w:rsidR="004676B7" w:rsidRPr="007C1A06">
        <w:rPr>
          <w:rFonts w:ascii="Times New Roman" w:hAnsi="Times New Roman"/>
        </w:rPr>
        <w:t> </w:t>
      </w:r>
      <w:r w:rsidRPr="007C1A06">
        <w:rPr>
          <w:rFonts w:ascii="Times New Roman" w:hAnsi="Times New Roman"/>
        </w:rPr>
        <w:t>5</w:t>
      </w:r>
      <w:r w:rsidR="004676B7" w:rsidRPr="007C1A06">
        <w:rPr>
          <w:rFonts w:ascii="Times New Roman" w:hAnsi="Times New Roman"/>
        </w:rPr>
        <w:t> </w:t>
      </w:r>
      <w:r w:rsidRPr="007C1A06">
        <w:rPr>
          <w:rFonts w:ascii="Times New Roman" w:hAnsi="Times New Roman"/>
        </w:rPr>
        <w:t>%) su gydymu susiję nepageidaujami poveikiai, pastebėti III fazės tyrimų metu krūties vėžiu sergančioms pacientėms, kurioms buvo neveiksminga chemoterapija antraciklinu (žr. kapecitabino preparato charakteristikų santrauką).</w:t>
      </w:r>
    </w:p>
    <w:p w14:paraId="796768BF" w14:textId="77777777" w:rsidR="00D875C0" w:rsidRPr="007C1A06" w:rsidRDefault="00D875C0" w:rsidP="00D875C0">
      <w:pPr>
        <w:autoSpaceDE w:val="0"/>
        <w:autoSpaceDN w:val="0"/>
        <w:adjustRightInd w:val="0"/>
        <w:spacing w:after="0" w:line="240" w:lineRule="auto"/>
        <w:rPr>
          <w:rFonts w:ascii="Times New Roman" w:hAnsi="Times New Roman"/>
        </w:rPr>
      </w:pPr>
    </w:p>
    <w:p w14:paraId="0F2A63C5"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Vartojant docetakselio dažnai pasireiškė toliau išvardytas nepageidaujamas poveikis.</w:t>
      </w:r>
    </w:p>
    <w:p w14:paraId="6842441F" w14:textId="77777777" w:rsidR="00D875C0" w:rsidRPr="007C1A06" w:rsidRDefault="00D875C0" w:rsidP="00D875C0">
      <w:pPr>
        <w:autoSpaceDE w:val="0"/>
        <w:autoSpaceDN w:val="0"/>
        <w:adjustRightInd w:val="0"/>
        <w:spacing w:after="0" w:line="240" w:lineRule="auto"/>
        <w:rPr>
          <w:rFonts w:ascii="Times New Roman" w:hAnsi="Times New Roman"/>
        </w:rPr>
      </w:pPr>
    </w:p>
    <w:p w14:paraId="513C4502" w14:textId="77777777" w:rsidR="00D875C0" w:rsidRPr="007C1A06" w:rsidRDefault="00D875C0" w:rsidP="00D875C0">
      <w:pPr>
        <w:autoSpaceDE w:val="0"/>
        <w:autoSpaceDN w:val="0"/>
        <w:adjustRightInd w:val="0"/>
        <w:spacing w:after="0" w:line="240" w:lineRule="auto"/>
        <w:rPr>
          <w:rFonts w:ascii="Times New Roman" w:hAnsi="Times New Roman"/>
          <w:u w:val="single"/>
        </w:rPr>
      </w:pPr>
      <w:r w:rsidRPr="007C1A06">
        <w:rPr>
          <w:rFonts w:ascii="Times New Roman" w:hAnsi="Times New Roman"/>
          <w:u w:val="single"/>
        </w:rPr>
        <w:t>Imuninės sistemos sutrikimai</w:t>
      </w:r>
    </w:p>
    <w:p w14:paraId="10303F36"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Padidėjusio jautrumo reakcijų paprastai pasireikšdavo per kelias minutes pradėjus docetakselio infuziją, dažniausiai jos būdavo lengvos arba vidutinio sunkumo. Dažniausiai pastebėti simptomai buvo kraujo priplūdimas į veidą ir kaklą, išbėrimas su niežuliu arba be jo, krūtinės gniaužimas, nugaros skausmas, dispnėja ir karščiavimas ar šaltkrėtis. Sunkių reakcijų metu pasireikšdavo hipotenzija ir (arba) bronchų spazmas bei išplitęs išbėrimas arba eritema (žr. 4.4 skyrių).</w:t>
      </w:r>
    </w:p>
    <w:p w14:paraId="25F5BA29" w14:textId="77777777" w:rsidR="00D875C0" w:rsidRPr="007C1A06" w:rsidRDefault="00D875C0" w:rsidP="00D875C0">
      <w:pPr>
        <w:autoSpaceDE w:val="0"/>
        <w:autoSpaceDN w:val="0"/>
        <w:adjustRightInd w:val="0"/>
        <w:spacing w:after="0" w:line="240" w:lineRule="auto"/>
        <w:rPr>
          <w:rFonts w:ascii="Times New Roman" w:hAnsi="Times New Roman"/>
          <w:u w:val="single"/>
        </w:rPr>
      </w:pPr>
    </w:p>
    <w:p w14:paraId="5EF36B91"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Nervų sistemos sutrikimai</w:t>
      </w:r>
    </w:p>
    <w:p w14:paraId="3B728E1D"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Išsivysčius sunkiam periferiniam neurotoksiniam poveikiui, reikia mažinti dozę (žr. 4.2 ir 4.4 skyrius). Lengviems ir vidutinio sunkumo neurosensoriniams sutrikimams būdinga parestezija, disestezija ir skausmas (įskaitant deginimo pojūtį). Neuromotorikos sutrikimai dažniausiai apibūdinami silpnumu.</w:t>
      </w:r>
    </w:p>
    <w:p w14:paraId="34C2D2B7" w14:textId="77777777" w:rsidR="00D875C0" w:rsidRPr="007C1A06" w:rsidRDefault="00D875C0" w:rsidP="00D875C0">
      <w:pPr>
        <w:autoSpaceDE w:val="0"/>
        <w:autoSpaceDN w:val="0"/>
        <w:adjustRightInd w:val="0"/>
        <w:spacing w:after="0" w:line="240" w:lineRule="auto"/>
        <w:rPr>
          <w:rFonts w:ascii="Times New Roman" w:hAnsi="Times New Roman"/>
        </w:rPr>
      </w:pPr>
    </w:p>
    <w:p w14:paraId="311A8AB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Odos ir poodinio audinio sutrikimai</w:t>
      </w:r>
    </w:p>
    <w:p w14:paraId="6247D52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Buvo laikinų odos reakcijų, iš kurių dauguma laikytos lengvomis arba vidutinio sunkumo. Šioms reakcijoms buvo būdingas išbėrimas (lokalizuotas, dažniausiai pėdų ir plaštakų, įskaitant išreikštą rankų ir pėdų sindromą, rečiau – rankų, veido ir krūtinės), dažnai kartu pasireikšdavo niežėjimas. Įprastai išberdavo per savaitę po docetakselio sulašinimo. Rečiau atsirasdavo sunkių simptomų (išbėrimas, paskui deskvamacija), dėl kurių retais atvejais tekdavo laikinai ar visam laikui nutraukti docetakselio vartojimą (žr. 4.2 ir 4.4 skyrius). Sunkūs nagų pažeidimai apibūdinami hipopigmentacija arba hiperpigmentacija, kartais – skausmu ir onicholize.</w:t>
      </w:r>
    </w:p>
    <w:p w14:paraId="78C96174" w14:textId="77777777" w:rsidR="00D875C0" w:rsidRPr="007C1A06" w:rsidRDefault="00D875C0" w:rsidP="00D875C0">
      <w:pPr>
        <w:autoSpaceDE w:val="0"/>
        <w:autoSpaceDN w:val="0"/>
        <w:adjustRightInd w:val="0"/>
        <w:spacing w:after="0" w:line="240" w:lineRule="auto"/>
        <w:rPr>
          <w:rFonts w:ascii="Times New Roman" w:hAnsi="Times New Roman"/>
        </w:rPr>
      </w:pPr>
    </w:p>
    <w:p w14:paraId="60AC9DFE"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Bendrieji sutrikimai ir vartojimo vietos pažeidimai</w:t>
      </w:r>
    </w:p>
    <w:p w14:paraId="5936070B"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Reakcijos infuzijos vietoje paprastai būdavo lengvos ir pasireikšdavo odos hiperpigmentacija, uždegimu, paraudimu ar sausumu, flebitu ar ekstravazacija, venos išsiplėtimu. Kai kada pasireiškė skysčių susilaikymas, įskaitant periferinę edemą, rečiau - pleuros efuziją, perikardo efuziją, ascitą ir svorio didėjimas. Periferinė edema paprastai prasideda nuo kojų ir gali išplisti (svoris gali padidėti 3 kg ar daugiau). Skysčių susilaikymo dažnis ir sunkumas kumuliuoja (žr. 4.4 skyrių).</w:t>
      </w:r>
    </w:p>
    <w:p w14:paraId="08B90ECF" w14:textId="77777777" w:rsidR="00D875C0" w:rsidRPr="007C1A06" w:rsidRDefault="00D875C0" w:rsidP="00D875C0">
      <w:pPr>
        <w:spacing w:after="0" w:line="240" w:lineRule="auto"/>
        <w:rPr>
          <w:rFonts w:ascii="Times New Roman" w:hAnsi="Times New Roman"/>
        </w:rPr>
      </w:pPr>
    </w:p>
    <w:p w14:paraId="3E79DE8F"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4E3CD5">
        <w:rPr>
          <w:rFonts w:ascii="Times New Roman" w:hAnsi="Times New Roman"/>
          <w:u w:val="single"/>
        </w:rPr>
        <w:t>Nepageidaujam</w:t>
      </w:r>
      <w:r w:rsidRPr="004E3CD5">
        <w:rPr>
          <w:rFonts w:ascii="Times New Roman" w:hAnsi="Times New Roman" w:hint="eastAsia"/>
          <w:u w:val="single"/>
        </w:rPr>
        <w:t>ų</w:t>
      </w:r>
      <w:r w:rsidRPr="004E3CD5">
        <w:rPr>
          <w:rFonts w:ascii="Times New Roman" w:hAnsi="Times New Roman"/>
          <w:u w:val="single"/>
        </w:rPr>
        <w:t xml:space="preserve"> reakcij</w:t>
      </w:r>
      <w:r w:rsidRPr="004E3CD5">
        <w:rPr>
          <w:rFonts w:ascii="Times New Roman" w:hAnsi="Times New Roman" w:hint="eastAsia"/>
          <w:u w:val="single"/>
        </w:rPr>
        <w:t>ų</w:t>
      </w:r>
      <w:r w:rsidRPr="004E3CD5">
        <w:rPr>
          <w:rFonts w:ascii="Times New Roman" w:hAnsi="Times New Roman"/>
          <w:u w:val="single"/>
        </w:rPr>
        <w:t>, atsiradusi</w:t>
      </w:r>
      <w:r w:rsidRPr="004E3CD5">
        <w:rPr>
          <w:rFonts w:ascii="Times New Roman" w:hAnsi="Times New Roman" w:hint="eastAsia"/>
          <w:u w:val="single"/>
        </w:rPr>
        <w:t>ų</w:t>
      </w:r>
      <w:r w:rsidRPr="004E3CD5">
        <w:rPr>
          <w:rFonts w:ascii="Times New Roman" w:hAnsi="Times New Roman"/>
          <w:u w:val="single"/>
        </w:rPr>
        <w:t xml:space="preserve"> </w:t>
      </w:r>
      <w:r w:rsidRPr="00F957E7">
        <w:rPr>
          <w:rFonts w:ascii="Times New Roman" w:hAnsi="Times New Roman"/>
          <w:u w:val="single"/>
        </w:rPr>
        <w:t>vartojant Docetaxel Ebewe 100</w:t>
      </w:r>
      <w:r w:rsidR="004676B7" w:rsidRPr="00F95B76">
        <w:rPr>
          <w:rFonts w:ascii="Times New Roman" w:hAnsi="Times New Roman"/>
          <w:u w:val="single"/>
        </w:rPr>
        <w:t> </w:t>
      </w:r>
      <w:r w:rsidRPr="004E3CD5">
        <w:rPr>
          <w:rFonts w:ascii="Times New Roman" w:hAnsi="Times New Roman"/>
          <w:u w:val="single"/>
        </w:rPr>
        <w:t>mg/m² doz</w:t>
      </w:r>
      <w:r w:rsidRPr="004E3CD5">
        <w:rPr>
          <w:rFonts w:ascii="Times New Roman" w:hAnsi="Times New Roman" w:hint="eastAsia"/>
          <w:u w:val="single"/>
        </w:rPr>
        <w:t>ę</w:t>
      </w:r>
      <w:r w:rsidRPr="004E3CD5">
        <w:rPr>
          <w:rFonts w:ascii="Times New Roman" w:hAnsi="Times New Roman"/>
          <w:u w:val="single"/>
        </w:rPr>
        <w:t xml:space="preserve"> kr</w:t>
      </w:r>
      <w:r w:rsidRPr="004E3CD5">
        <w:rPr>
          <w:rFonts w:ascii="Times New Roman" w:hAnsi="Times New Roman" w:hint="eastAsia"/>
          <w:u w:val="single"/>
        </w:rPr>
        <w:t>ū</w:t>
      </w:r>
      <w:r w:rsidRPr="004E3CD5">
        <w:rPr>
          <w:rFonts w:ascii="Times New Roman" w:hAnsi="Times New Roman"/>
          <w:u w:val="single"/>
        </w:rPr>
        <w:t>ties v</w:t>
      </w:r>
      <w:r w:rsidRPr="004E3CD5">
        <w:rPr>
          <w:rFonts w:ascii="Times New Roman" w:hAnsi="Times New Roman" w:hint="eastAsia"/>
          <w:u w:val="single"/>
        </w:rPr>
        <w:t>ėž</w:t>
      </w:r>
      <w:r w:rsidRPr="004E3CD5">
        <w:rPr>
          <w:rFonts w:ascii="Times New Roman" w:hAnsi="Times New Roman"/>
          <w:u w:val="single"/>
        </w:rPr>
        <w:t>io</w:t>
      </w:r>
    </w:p>
    <w:p w14:paraId="645BF91A" w14:textId="77777777" w:rsidR="00D875C0" w:rsidRPr="004E3CD5" w:rsidRDefault="00D875C0" w:rsidP="00D875C0">
      <w:pPr>
        <w:spacing w:after="0"/>
        <w:rPr>
          <w:rFonts w:ascii="Times New Roman" w:eastAsiaTheme="minorEastAsia" w:hAnsi="Times New Roman"/>
          <w:u w:val="single"/>
          <w:lang w:eastAsia="zh-TW"/>
        </w:rPr>
      </w:pPr>
      <w:r w:rsidRPr="004E3CD5">
        <w:rPr>
          <w:rFonts w:ascii="Times New Roman" w:hAnsi="Times New Roman"/>
          <w:u w:val="single"/>
        </w:rPr>
        <w:t>monoterapijai, s</w:t>
      </w:r>
      <w:r w:rsidRPr="004E3CD5">
        <w:rPr>
          <w:rFonts w:ascii="Times New Roman" w:hAnsi="Times New Roman" w:hint="eastAsia"/>
          <w:u w:val="single"/>
        </w:rPr>
        <w:t>ą</w:t>
      </w:r>
      <w:r w:rsidRPr="004E3CD5">
        <w:rPr>
          <w:rFonts w:ascii="Times New Roman" w:hAnsi="Times New Roman"/>
          <w:u w:val="single"/>
        </w:rPr>
        <w:t>rašas lentel</w:t>
      </w:r>
      <w:r w:rsidRPr="004E3CD5">
        <w:rPr>
          <w:rFonts w:ascii="Times New Roman" w:hAnsi="Times New Roman" w:hint="eastAsia"/>
          <w:u w:val="single"/>
        </w:rPr>
        <w:t>ė</w:t>
      </w:r>
      <w:r w:rsidRPr="004E3CD5">
        <w:rPr>
          <w:rFonts w:ascii="Times New Roman" w:hAnsi="Times New Roman"/>
          <w:u w:val="single"/>
        </w:rPr>
        <w:t>s forma</w:t>
      </w:r>
    </w:p>
    <w:p w14:paraId="37703C87" w14:textId="77777777" w:rsidR="00D875C0" w:rsidRPr="00F957E7" w:rsidRDefault="00D875C0" w:rsidP="00D875C0">
      <w:pPr>
        <w:spacing w:after="0" w:line="240" w:lineRule="auto"/>
        <w:rPr>
          <w:rFonts w:ascii="Times New Roman" w:hAnsi="Times New Roman"/>
        </w:rPr>
      </w:pPr>
    </w:p>
    <w:p w14:paraId="67CED7F7" w14:textId="77777777" w:rsidR="00D875C0" w:rsidRPr="00F95B76" w:rsidRDefault="00D875C0" w:rsidP="00D875C0">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2532"/>
        <w:gridCol w:w="2235"/>
        <w:gridCol w:w="2235"/>
      </w:tblGrid>
      <w:tr w:rsidR="00F95B76" w:rsidRPr="007C1A06" w14:paraId="791B1B5D" w14:textId="77777777" w:rsidTr="00915C14">
        <w:tc>
          <w:tcPr>
            <w:tcW w:w="2252" w:type="dxa"/>
            <w:shd w:val="clear" w:color="auto" w:fill="D9D9D9" w:themeFill="background1" w:themeFillShade="D9"/>
          </w:tcPr>
          <w:p w14:paraId="053FFF2B" w14:textId="77777777" w:rsidR="00D875C0" w:rsidRPr="00F957E7" w:rsidRDefault="00D875C0" w:rsidP="00C85A27">
            <w:pPr>
              <w:spacing w:after="0" w:line="240" w:lineRule="auto"/>
              <w:rPr>
                <w:rFonts w:ascii="Times New Roman" w:hAnsi="Times New Roman"/>
                <w:b/>
              </w:rPr>
            </w:pPr>
            <w:r w:rsidRPr="001F2C46">
              <w:rPr>
                <w:rFonts w:ascii="Times New Roman" w:hAnsi="Times New Roman"/>
                <w:b/>
              </w:rPr>
              <w:t>Me</w:t>
            </w:r>
            <w:r w:rsidR="00807371" w:rsidRPr="001F2C46">
              <w:rPr>
                <w:rFonts w:ascii="Times New Roman" w:hAnsi="Times New Roman"/>
                <w:b/>
              </w:rPr>
              <w:t>d</w:t>
            </w:r>
            <w:r w:rsidRPr="00427D92">
              <w:rPr>
                <w:rFonts w:ascii="Times New Roman" w:hAnsi="Times New Roman"/>
                <w:b/>
              </w:rPr>
              <w:t xml:space="preserve">DRA organų </w:t>
            </w:r>
            <w:r w:rsidR="00B96FAD" w:rsidRPr="007C1A06">
              <w:rPr>
                <w:rFonts w:ascii="Times New Roman" w:eastAsia="Times New Roman" w:hAnsi="Times New Roman" w:cs="Times New Roman"/>
                <w:b/>
              </w:rPr>
              <w:t>sistem</w:t>
            </w:r>
            <w:r w:rsidR="00C85A27">
              <w:rPr>
                <w:rFonts w:ascii="Times New Roman" w:eastAsia="Times New Roman" w:hAnsi="Times New Roman" w:cs="Times New Roman"/>
                <w:b/>
              </w:rPr>
              <w:t>ų klasės</w:t>
            </w:r>
          </w:p>
        </w:tc>
        <w:tc>
          <w:tcPr>
            <w:tcW w:w="2344" w:type="dxa"/>
            <w:shd w:val="clear" w:color="auto" w:fill="D9D9D9" w:themeFill="background1" w:themeFillShade="D9"/>
          </w:tcPr>
          <w:p w14:paraId="032CBF56" w14:textId="77777777" w:rsidR="00D875C0" w:rsidRPr="00F95B76" w:rsidRDefault="00D875C0" w:rsidP="003876F8">
            <w:pPr>
              <w:spacing w:after="0" w:line="240" w:lineRule="auto"/>
              <w:rPr>
                <w:rFonts w:ascii="Times New Roman" w:hAnsi="Times New Roman"/>
                <w:b/>
              </w:rPr>
            </w:pPr>
            <w:r w:rsidRPr="00F95B76">
              <w:rPr>
                <w:rFonts w:ascii="Times New Roman" w:hAnsi="Times New Roman"/>
                <w:b/>
              </w:rPr>
              <w:t xml:space="preserve">Labai dažnos nepageidaujamos reakcijos </w:t>
            </w:r>
          </w:p>
        </w:tc>
        <w:tc>
          <w:tcPr>
            <w:tcW w:w="2345" w:type="dxa"/>
            <w:shd w:val="clear" w:color="auto" w:fill="D9D9D9" w:themeFill="background1" w:themeFillShade="D9"/>
          </w:tcPr>
          <w:p w14:paraId="66B4E7E2" w14:textId="77777777" w:rsidR="00D875C0" w:rsidRPr="001F2C46" w:rsidRDefault="00D875C0" w:rsidP="003876F8">
            <w:pPr>
              <w:spacing w:after="0" w:line="240" w:lineRule="auto"/>
              <w:rPr>
                <w:rFonts w:ascii="Times New Roman" w:hAnsi="Times New Roman"/>
                <w:b/>
              </w:rPr>
            </w:pPr>
            <w:r w:rsidRPr="001F2C46">
              <w:rPr>
                <w:rFonts w:ascii="Times New Roman" w:hAnsi="Times New Roman"/>
                <w:b/>
              </w:rPr>
              <w:t xml:space="preserve">Dažnos nepageidaujamos reakcijos </w:t>
            </w:r>
          </w:p>
        </w:tc>
        <w:tc>
          <w:tcPr>
            <w:tcW w:w="2345" w:type="dxa"/>
            <w:shd w:val="clear" w:color="auto" w:fill="D9D9D9" w:themeFill="background1" w:themeFillShade="D9"/>
          </w:tcPr>
          <w:p w14:paraId="4530B84C" w14:textId="77777777" w:rsidR="00D875C0" w:rsidRPr="00427D92" w:rsidRDefault="00D875C0" w:rsidP="003876F8">
            <w:pPr>
              <w:spacing w:after="0" w:line="240" w:lineRule="auto"/>
              <w:rPr>
                <w:rFonts w:ascii="Times New Roman" w:hAnsi="Times New Roman"/>
                <w:b/>
              </w:rPr>
            </w:pPr>
            <w:r w:rsidRPr="00427D92">
              <w:rPr>
                <w:rFonts w:ascii="Times New Roman" w:hAnsi="Times New Roman"/>
                <w:b/>
              </w:rPr>
              <w:t xml:space="preserve">Nedažnos nepageidaujamos reakcijos </w:t>
            </w:r>
          </w:p>
        </w:tc>
      </w:tr>
      <w:tr w:rsidR="00D875C0" w:rsidRPr="007C1A06" w14:paraId="01343A5C" w14:textId="77777777" w:rsidTr="004E3CD5">
        <w:tc>
          <w:tcPr>
            <w:tcW w:w="2252" w:type="dxa"/>
          </w:tcPr>
          <w:p w14:paraId="1FF5C43C" w14:textId="77777777" w:rsidR="00D875C0" w:rsidRPr="00F95B76" w:rsidRDefault="00D875C0" w:rsidP="003876F8">
            <w:pPr>
              <w:spacing w:after="0" w:line="240" w:lineRule="auto"/>
              <w:rPr>
                <w:rFonts w:ascii="Times New Roman" w:hAnsi="Times New Roman"/>
                <w:b/>
              </w:rPr>
            </w:pPr>
            <w:r w:rsidRPr="00F957E7">
              <w:rPr>
                <w:rFonts w:ascii="Times New Roman" w:hAnsi="Times New Roman"/>
              </w:rPr>
              <w:t>Infekcijos ir infestacijos</w:t>
            </w:r>
          </w:p>
        </w:tc>
        <w:tc>
          <w:tcPr>
            <w:tcW w:w="2344" w:type="dxa"/>
          </w:tcPr>
          <w:p w14:paraId="3275F89B" w14:textId="77777777" w:rsidR="00D875C0" w:rsidRPr="007C1A06" w:rsidRDefault="00D875C0" w:rsidP="001B7EB2">
            <w:pPr>
              <w:spacing w:after="0" w:line="240" w:lineRule="auto"/>
              <w:rPr>
                <w:rFonts w:ascii="Times New Roman" w:hAnsi="Times New Roman"/>
                <w:b/>
              </w:rPr>
            </w:pPr>
            <w:r w:rsidRPr="001F2C46">
              <w:rPr>
                <w:rFonts w:ascii="Times New Roman" w:hAnsi="Times New Roman"/>
              </w:rPr>
              <w:t>Infekcijos (3</w:t>
            </w:r>
            <w:r w:rsidR="001B7EB2" w:rsidRPr="001F2C46">
              <w:rPr>
                <w:rFonts w:ascii="Times New Roman" w:hAnsi="Times New Roman"/>
              </w:rPr>
              <w:noBreakHyphen/>
            </w:r>
            <w:r w:rsidRPr="00427D92">
              <w:rPr>
                <w:rFonts w:ascii="Times New Roman" w:hAnsi="Times New Roman"/>
              </w:rPr>
              <w:t>4</w:t>
            </w:r>
            <w:r w:rsidR="001B7EB2" w:rsidRPr="00C722B4">
              <w:rPr>
                <w:rFonts w:ascii="Times New Roman" w:hAnsi="Times New Roman"/>
              </w:rPr>
              <w:t> </w:t>
            </w:r>
            <w:r w:rsidRPr="007C1A06">
              <w:rPr>
                <w:rFonts w:ascii="Times New Roman" w:hAnsi="Times New Roman"/>
              </w:rPr>
              <w:t>laipsnio - 5,7</w:t>
            </w:r>
            <w:r w:rsidR="001B7EB2" w:rsidRPr="007C1A06">
              <w:rPr>
                <w:rFonts w:ascii="Times New Roman" w:hAnsi="Times New Roman"/>
              </w:rPr>
              <w:t> </w:t>
            </w:r>
            <w:r w:rsidRPr="007C1A06">
              <w:rPr>
                <w:rFonts w:ascii="Times New Roman" w:hAnsi="Times New Roman"/>
              </w:rPr>
              <w:t>%, įskaitant sepsį ir pneumoniją; 1,7</w:t>
            </w:r>
            <w:r w:rsidR="001B7EB2" w:rsidRPr="007C1A06">
              <w:rPr>
                <w:rFonts w:ascii="Times New Roman" w:hAnsi="Times New Roman"/>
              </w:rPr>
              <w:t> </w:t>
            </w:r>
            <w:r w:rsidRPr="007C1A06">
              <w:rPr>
                <w:rFonts w:ascii="Times New Roman" w:hAnsi="Times New Roman"/>
              </w:rPr>
              <w:t>% lėmė mirtį)</w:t>
            </w:r>
          </w:p>
        </w:tc>
        <w:tc>
          <w:tcPr>
            <w:tcW w:w="2345" w:type="dxa"/>
          </w:tcPr>
          <w:p w14:paraId="72CF1EBC" w14:textId="77777777" w:rsidR="00D875C0" w:rsidRPr="004E3CD5" w:rsidRDefault="00D875C0" w:rsidP="001B7EB2">
            <w:pPr>
              <w:spacing w:after="0" w:line="240" w:lineRule="auto"/>
              <w:rPr>
                <w:rFonts w:ascii="Times New Roman" w:eastAsiaTheme="minorEastAsia" w:hAnsi="Times New Roman"/>
                <w:b/>
                <w:lang w:eastAsia="zh-TW"/>
              </w:rPr>
            </w:pPr>
            <w:r w:rsidRPr="007C1A06">
              <w:rPr>
                <w:rFonts w:ascii="Times New Roman" w:hAnsi="Times New Roman"/>
              </w:rPr>
              <w:t>Infekcija, esant 4</w:t>
            </w:r>
            <w:r w:rsidR="001B7EB2" w:rsidRPr="007C1A06">
              <w:rPr>
                <w:rFonts w:ascii="Times New Roman" w:hAnsi="Times New Roman"/>
              </w:rPr>
              <w:t> </w:t>
            </w:r>
            <w:r w:rsidRPr="007C1A06">
              <w:rPr>
                <w:rFonts w:ascii="Times New Roman" w:hAnsi="Times New Roman"/>
              </w:rPr>
              <w:t>laipsnio neutropenijai (3</w:t>
            </w:r>
            <w:r w:rsidR="001B7EB2" w:rsidRPr="007C1A06">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 4,6</w:t>
            </w:r>
            <w:r w:rsidR="001B7EB2" w:rsidRPr="007C1A06">
              <w:rPr>
                <w:rFonts w:ascii="Times New Roman" w:hAnsi="Times New Roman"/>
              </w:rPr>
              <w:t> </w:t>
            </w:r>
            <w:r w:rsidRPr="007C1A06">
              <w:rPr>
                <w:rFonts w:ascii="Times New Roman" w:hAnsi="Times New Roman"/>
              </w:rPr>
              <w:t>%)</w:t>
            </w:r>
          </w:p>
        </w:tc>
        <w:tc>
          <w:tcPr>
            <w:tcW w:w="2345" w:type="dxa"/>
          </w:tcPr>
          <w:p w14:paraId="0EDAF6A1" w14:textId="77777777" w:rsidR="00D875C0" w:rsidRPr="007C1A06" w:rsidRDefault="00D875C0" w:rsidP="003876F8">
            <w:pPr>
              <w:spacing w:after="0" w:line="240" w:lineRule="auto"/>
              <w:rPr>
                <w:rFonts w:ascii="Times New Roman" w:hAnsi="Times New Roman"/>
                <w:b/>
              </w:rPr>
            </w:pPr>
          </w:p>
        </w:tc>
      </w:tr>
      <w:tr w:rsidR="00D875C0" w:rsidRPr="007C1A06" w14:paraId="6FA81ECE" w14:textId="77777777" w:rsidTr="004E3CD5">
        <w:tc>
          <w:tcPr>
            <w:tcW w:w="2252" w:type="dxa"/>
          </w:tcPr>
          <w:p w14:paraId="4BAF93EB"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Kraujo ir limfinės sistemos sutrikimai</w:t>
            </w:r>
          </w:p>
        </w:tc>
        <w:tc>
          <w:tcPr>
            <w:tcW w:w="2344" w:type="dxa"/>
          </w:tcPr>
          <w:p w14:paraId="29CA7691"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Neutropenija (4</w:t>
            </w:r>
            <w:r w:rsidR="001B7EB2" w:rsidRPr="00427D92">
              <w:rPr>
                <w:rFonts w:ascii="Times New Roman" w:hAnsi="Times New Roman"/>
              </w:rPr>
              <w:t> </w:t>
            </w:r>
            <w:r w:rsidRPr="00C722B4">
              <w:rPr>
                <w:rFonts w:ascii="Times New Roman" w:hAnsi="Times New Roman"/>
              </w:rPr>
              <w:t>laipsnio – 76,4</w:t>
            </w:r>
            <w:r w:rsidR="001B7EB2" w:rsidRPr="007C1A06">
              <w:rPr>
                <w:rFonts w:ascii="Times New Roman" w:hAnsi="Times New Roman"/>
              </w:rPr>
              <w:t> </w:t>
            </w:r>
            <w:r w:rsidRPr="007C1A06">
              <w:rPr>
                <w:rFonts w:ascii="Times New Roman" w:hAnsi="Times New Roman"/>
              </w:rPr>
              <w:t>%);</w:t>
            </w:r>
          </w:p>
          <w:p w14:paraId="57334F99"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Anemija (3</w:t>
            </w:r>
            <w:r w:rsidR="001B7EB2" w:rsidRPr="007C1A06">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 8,9</w:t>
            </w:r>
            <w:r w:rsidR="001B7EB2" w:rsidRPr="007C1A06">
              <w:rPr>
                <w:rFonts w:ascii="Times New Roman" w:hAnsi="Times New Roman"/>
              </w:rPr>
              <w:t> </w:t>
            </w:r>
            <w:r w:rsidRPr="007C1A06">
              <w:rPr>
                <w:rFonts w:ascii="Times New Roman" w:hAnsi="Times New Roman"/>
              </w:rPr>
              <w:t>%);</w:t>
            </w:r>
          </w:p>
          <w:p w14:paraId="66817FE4"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Febrilinė neutropenija</w:t>
            </w:r>
          </w:p>
        </w:tc>
        <w:tc>
          <w:tcPr>
            <w:tcW w:w="2345" w:type="dxa"/>
          </w:tcPr>
          <w:p w14:paraId="11142978"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Trombocitopenija</w:t>
            </w:r>
          </w:p>
          <w:p w14:paraId="4D8799B0"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 0,2</w:t>
            </w:r>
            <w:r w:rsidR="001B7EB2" w:rsidRPr="007C1A06">
              <w:rPr>
                <w:rFonts w:ascii="Times New Roman" w:hAnsi="Times New Roman"/>
              </w:rPr>
              <w:t> </w:t>
            </w:r>
            <w:r w:rsidRPr="007C1A06">
              <w:rPr>
                <w:rFonts w:ascii="Times New Roman" w:hAnsi="Times New Roman"/>
              </w:rPr>
              <w:t>%)</w:t>
            </w:r>
          </w:p>
        </w:tc>
        <w:tc>
          <w:tcPr>
            <w:tcW w:w="2345" w:type="dxa"/>
          </w:tcPr>
          <w:p w14:paraId="661FDE82" w14:textId="77777777" w:rsidR="00D875C0" w:rsidRPr="007C1A06" w:rsidRDefault="00D875C0" w:rsidP="003876F8">
            <w:pPr>
              <w:spacing w:after="0" w:line="240" w:lineRule="auto"/>
              <w:rPr>
                <w:rFonts w:ascii="Times New Roman" w:hAnsi="Times New Roman"/>
                <w:b/>
              </w:rPr>
            </w:pPr>
          </w:p>
        </w:tc>
      </w:tr>
      <w:tr w:rsidR="00D875C0" w:rsidRPr="007C1A06" w14:paraId="67583DF3" w14:textId="77777777" w:rsidTr="004E3CD5">
        <w:tc>
          <w:tcPr>
            <w:tcW w:w="2252" w:type="dxa"/>
          </w:tcPr>
          <w:p w14:paraId="1FB2AF29"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Imuninės sistemos sutrikimai</w:t>
            </w:r>
          </w:p>
        </w:tc>
        <w:tc>
          <w:tcPr>
            <w:tcW w:w="2344" w:type="dxa"/>
          </w:tcPr>
          <w:p w14:paraId="24F68825"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Padidėjęs jautrumas</w:t>
            </w:r>
          </w:p>
          <w:p w14:paraId="20D1BB86" w14:textId="77777777" w:rsidR="00D875C0" w:rsidRPr="007C1A06" w:rsidRDefault="00D875C0" w:rsidP="001B7EB2">
            <w:pPr>
              <w:autoSpaceDE w:val="0"/>
              <w:autoSpaceDN w:val="0"/>
              <w:adjustRightInd w:val="0"/>
              <w:spacing w:after="0" w:line="240" w:lineRule="auto"/>
              <w:rPr>
                <w:rFonts w:ascii="Times New Roman" w:hAnsi="Times New Roman"/>
              </w:rPr>
            </w:pPr>
            <w:r w:rsidRPr="00427D92">
              <w:rPr>
                <w:rFonts w:ascii="Times New Roman" w:hAnsi="Times New Roman"/>
              </w:rPr>
              <w:t>(3</w:t>
            </w:r>
            <w:r w:rsidR="001B7EB2" w:rsidRPr="00C722B4">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 5,3</w:t>
            </w:r>
            <w:r w:rsidR="001B7EB2" w:rsidRPr="007C1A06">
              <w:rPr>
                <w:rFonts w:ascii="Times New Roman" w:hAnsi="Times New Roman"/>
              </w:rPr>
              <w:t> </w:t>
            </w:r>
            <w:r w:rsidRPr="007C1A06">
              <w:rPr>
                <w:rFonts w:ascii="Times New Roman" w:hAnsi="Times New Roman"/>
              </w:rPr>
              <w:t>%)</w:t>
            </w:r>
          </w:p>
        </w:tc>
        <w:tc>
          <w:tcPr>
            <w:tcW w:w="2345" w:type="dxa"/>
          </w:tcPr>
          <w:p w14:paraId="2913D37B" w14:textId="77777777" w:rsidR="00D875C0" w:rsidRPr="007C1A06" w:rsidRDefault="00D875C0" w:rsidP="003876F8">
            <w:pPr>
              <w:autoSpaceDE w:val="0"/>
              <w:autoSpaceDN w:val="0"/>
              <w:adjustRightInd w:val="0"/>
              <w:spacing w:after="0" w:line="240" w:lineRule="auto"/>
              <w:rPr>
                <w:rFonts w:ascii="Times New Roman" w:hAnsi="Times New Roman"/>
              </w:rPr>
            </w:pPr>
          </w:p>
        </w:tc>
        <w:tc>
          <w:tcPr>
            <w:tcW w:w="2345" w:type="dxa"/>
          </w:tcPr>
          <w:p w14:paraId="78A4DA51" w14:textId="77777777" w:rsidR="00D875C0" w:rsidRPr="007C1A06" w:rsidRDefault="00D875C0" w:rsidP="003876F8">
            <w:pPr>
              <w:spacing w:after="0" w:line="240" w:lineRule="auto"/>
              <w:rPr>
                <w:rFonts w:ascii="Times New Roman" w:hAnsi="Times New Roman"/>
                <w:b/>
              </w:rPr>
            </w:pPr>
          </w:p>
        </w:tc>
      </w:tr>
      <w:tr w:rsidR="00D875C0" w:rsidRPr="007C1A06" w14:paraId="25D9B7FE" w14:textId="77777777" w:rsidTr="004E3CD5">
        <w:tc>
          <w:tcPr>
            <w:tcW w:w="2252" w:type="dxa"/>
          </w:tcPr>
          <w:p w14:paraId="3F4D7C1A"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Metabolizmo ir mitybos sutrikimai</w:t>
            </w:r>
          </w:p>
        </w:tc>
        <w:tc>
          <w:tcPr>
            <w:tcW w:w="2344" w:type="dxa"/>
          </w:tcPr>
          <w:p w14:paraId="1A9ECFB5"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Anoreksija</w:t>
            </w:r>
          </w:p>
        </w:tc>
        <w:tc>
          <w:tcPr>
            <w:tcW w:w="2345" w:type="dxa"/>
          </w:tcPr>
          <w:p w14:paraId="5993198F" w14:textId="77777777" w:rsidR="00D875C0" w:rsidRPr="00427D92" w:rsidRDefault="00D875C0" w:rsidP="003876F8">
            <w:pPr>
              <w:autoSpaceDE w:val="0"/>
              <w:autoSpaceDN w:val="0"/>
              <w:adjustRightInd w:val="0"/>
              <w:spacing w:after="0" w:line="240" w:lineRule="auto"/>
              <w:rPr>
                <w:rFonts w:ascii="Times New Roman" w:hAnsi="Times New Roman"/>
              </w:rPr>
            </w:pPr>
          </w:p>
        </w:tc>
        <w:tc>
          <w:tcPr>
            <w:tcW w:w="2345" w:type="dxa"/>
          </w:tcPr>
          <w:p w14:paraId="7B4875BC" w14:textId="77777777" w:rsidR="00D875C0" w:rsidRPr="00C722B4" w:rsidRDefault="00D875C0" w:rsidP="003876F8">
            <w:pPr>
              <w:spacing w:after="0" w:line="240" w:lineRule="auto"/>
              <w:rPr>
                <w:rFonts w:ascii="Times New Roman" w:hAnsi="Times New Roman"/>
                <w:b/>
              </w:rPr>
            </w:pPr>
          </w:p>
        </w:tc>
      </w:tr>
      <w:tr w:rsidR="00D875C0" w:rsidRPr="007C1A06" w14:paraId="68FD3A4B" w14:textId="77777777" w:rsidTr="004E3CD5">
        <w:tc>
          <w:tcPr>
            <w:tcW w:w="2252" w:type="dxa"/>
          </w:tcPr>
          <w:p w14:paraId="2C744725"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Nervų sistemos sutrikimai</w:t>
            </w:r>
          </w:p>
        </w:tc>
        <w:tc>
          <w:tcPr>
            <w:tcW w:w="2344" w:type="dxa"/>
          </w:tcPr>
          <w:p w14:paraId="03DA0EF1"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Periferinė sensorinė neuropatija (3</w:t>
            </w:r>
            <w:r w:rsidR="001B7EB2" w:rsidRPr="00427D92">
              <w:rPr>
                <w:rFonts w:ascii="Times New Roman" w:hAnsi="Times New Roman"/>
              </w:rPr>
              <w:noBreakHyphen/>
            </w:r>
            <w:r w:rsidRPr="00C722B4">
              <w:rPr>
                <w:rFonts w:ascii="Times New Roman" w:hAnsi="Times New Roman"/>
              </w:rPr>
              <w:t>4</w:t>
            </w:r>
            <w:r w:rsidR="001B7EB2" w:rsidRPr="007C1A06">
              <w:rPr>
                <w:rFonts w:ascii="Times New Roman" w:hAnsi="Times New Roman"/>
              </w:rPr>
              <w:t> </w:t>
            </w:r>
            <w:r w:rsidRPr="007C1A06">
              <w:rPr>
                <w:rFonts w:ascii="Times New Roman" w:hAnsi="Times New Roman"/>
              </w:rPr>
              <w:t>laipsnio – 4,1</w:t>
            </w:r>
            <w:r w:rsidR="001B7EB2" w:rsidRPr="007C1A06">
              <w:rPr>
                <w:rFonts w:ascii="Times New Roman" w:hAnsi="Times New Roman"/>
              </w:rPr>
              <w:t> </w:t>
            </w:r>
            <w:r w:rsidRPr="007C1A06">
              <w:rPr>
                <w:rFonts w:ascii="Times New Roman" w:hAnsi="Times New Roman"/>
              </w:rPr>
              <w:t>%);</w:t>
            </w:r>
          </w:p>
          <w:p w14:paraId="5F7BE560"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Periferinė motorinė neuropatija (3</w:t>
            </w:r>
            <w:r w:rsidR="001B7EB2" w:rsidRPr="007C1A06">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 4</w:t>
            </w:r>
            <w:r w:rsidR="001B7EB2" w:rsidRPr="007C1A06">
              <w:rPr>
                <w:rFonts w:ascii="Times New Roman" w:hAnsi="Times New Roman"/>
              </w:rPr>
              <w:t> </w:t>
            </w:r>
            <w:r w:rsidRPr="007C1A06">
              <w:rPr>
                <w:rFonts w:ascii="Times New Roman" w:hAnsi="Times New Roman"/>
              </w:rPr>
              <w:t>%);</w:t>
            </w:r>
          </w:p>
          <w:p w14:paraId="2F1B8C10" w14:textId="77777777" w:rsidR="00D875C0" w:rsidRPr="004E3CD5" w:rsidRDefault="00D875C0" w:rsidP="001B7EB2">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Disgeuzija (sunki – 0,07</w:t>
            </w:r>
            <w:r w:rsidR="001B7EB2" w:rsidRPr="007C1A06">
              <w:rPr>
                <w:rFonts w:ascii="Times New Roman" w:hAnsi="Times New Roman"/>
              </w:rPr>
              <w:t> </w:t>
            </w:r>
            <w:r w:rsidRPr="007C1A06">
              <w:rPr>
                <w:rFonts w:ascii="Times New Roman" w:hAnsi="Times New Roman"/>
              </w:rPr>
              <w:t>%)</w:t>
            </w:r>
          </w:p>
        </w:tc>
        <w:tc>
          <w:tcPr>
            <w:tcW w:w="2345" w:type="dxa"/>
          </w:tcPr>
          <w:p w14:paraId="4ED902C6" w14:textId="77777777" w:rsidR="00D875C0" w:rsidRPr="007C1A06" w:rsidRDefault="00D875C0" w:rsidP="003876F8">
            <w:pPr>
              <w:autoSpaceDE w:val="0"/>
              <w:autoSpaceDN w:val="0"/>
              <w:adjustRightInd w:val="0"/>
              <w:spacing w:after="0" w:line="240" w:lineRule="auto"/>
              <w:rPr>
                <w:rFonts w:ascii="Times New Roman" w:hAnsi="Times New Roman"/>
              </w:rPr>
            </w:pPr>
          </w:p>
        </w:tc>
        <w:tc>
          <w:tcPr>
            <w:tcW w:w="2345" w:type="dxa"/>
          </w:tcPr>
          <w:p w14:paraId="764C5246" w14:textId="77777777" w:rsidR="00D875C0" w:rsidRPr="007C1A06" w:rsidRDefault="00D875C0" w:rsidP="003876F8">
            <w:pPr>
              <w:spacing w:after="0" w:line="240" w:lineRule="auto"/>
              <w:rPr>
                <w:rFonts w:ascii="Times New Roman" w:hAnsi="Times New Roman"/>
                <w:b/>
              </w:rPr>
            </w:pPr>
          </w:p>
        </w:tc>
      </w:tr>
      <w:tr w:rsidR="00D875C0" w:rsidRPr="007C1A06" w14:paraId="12149002" w14:textId="77777777" w:rsidTr="004E3CD5">
        <w:tc>
          <w:tcPr>
            <w:tcW w:w="2252" w:type="dxa"/>
          </w:tcPr>
          <w:p w14:paraId="55B23A9E"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Širdies sutrikimai</w:t>
            </w:r>
          </w:p>
        </w:tc>
        <w:tc>
          <w:tcPr>
            <w:tcW w:w="2344" w:type="dxa"/>
          </w:tcPr>
          <w:p w14:paraId="317FA467" w14:textId="77777777" w:rsidR="00D875C0" w:rsidRPr="001F2C46" w:rsidRDefault="00D875C0" w:rsidP="003876F8">
            <w:pPr>
              <w:spacing w:after="0" w:line="240" w:lineRule="auto"/>
              <w:rPr>
                <w:rFonts w:ascii="Times New Roman" w:hAnsi="Times New Roman"/>
              </w:rPr>
            </w:pPr>
          </w:p>
        </w:tc>
        <w:tc>
          <w:tcPr>
            <w:tcW w:w="2345" w:type="dxa"/>
          </w:tcPr>
          <w:p w14:paraId="08D2D791" w14:textId="77777777" w:rsidR="00D875C0" w:rsidRPr="007C1A06" w:rsidRDefault="00D875C0" w:rsidP="001B7EB2">
            <w:pPr>
              <w:spacing w:after="0" w:line="240" w:lineRule="auto"/>
              <w:rPr>
                <w:rFonts w:ascii="Times New Roman" w:hAnsi="Times New Roman"/>
              </w:rPr>
            </w:pPr>
            <w:r w:rsidRPr="00427D92">
              <w:rPr>
                <w:rFonts w:ascii="Times New Roman" w:hAnsi="Times New Roman"/>
              </w:rPr>
              <w:t>Aritmija (3</w:t>
            </w:r>
            <w:r w:rsidR="001B7EB2" w:rsidRPr="00C722B4">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0,7</w:t>
            </w:r>
            <w:r w:rsidR="001B7EB2" w:rsidRPr="007C1A06">
              <w:rPr>
                <w:rFonts w:ascii="Times New Roman" w:hAnsi="Times New Roman"/>
              </w:rPr>
              <w:t> </w:t>
            </w:r>
            <w:r w:rsidRPr="007C1A06">
              <w:rPr>
                <w:rFonts w:ascii="Times New Roman" w:hAnsi="Times New Roman"/>
              </w:rPr>
              <w:t>%)</w:t>
            </w:r>
          </w:p>
        </w:tc>
        <w:tc>
          <w:tcPr>
            <w:tcW w:w="2345" w:type="dxa"/>
          </w:tcPr>
          <w:p w14:paraId="1BA4887B"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Širdies nepakankamumas</w:t>
            </w:r>
          </w:p>
        </w:tc>
      </w:tr>
      <w:tr w:rsidR="00D875C0" w:rsidRPr="007C1A06" w14:paraId="3088D9C6" w14:textId="77777777" w:rsidTr="004E3CD5">
        <w:tc>
          <w:tcPr>
            <w:tcW w:w="2252" w:type="dxa"/>
          </w:tcPr>
          <w:p w14:paraId="39E54E7B"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Kraujagyslių sutrikimai</w:t>
            </w:r>
          </w:p>
        </w:tc>
        <w:tc>
          <w:tcPr>
            <w:tcW w:w="2344" w:type="dxa"/>
          </w:tcPr>
          <w:p w14:paraId="2D008F8A" w14:textId="77777777" w:rsidR="00D875C0" w:rsidRPr="001F2C46" w:rsidRDefault="00D875C0" w:rsidP="003876F8">
            <w:pPr>
              <w:spacing w:after="0" w:line="240" w:lineRule="auto"/>
              <w:rPr>
                <w:rFonts w:ascii="Times New Roman" w:hAnsi="Times New Roman"/>
              </w:rPr>
            </w:pPr>
          </w:p>
        </w:tc>
        <w:tc>
          <w:tcPr>
            <w:tcW w:w="2345" w:type="dxa"/>
          </w:tcPr>
          <w:p w14:paraId="098F6638"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Hipotenzija;</w:t>
            </w:r>
          </w:p>
          <w:p w14:paraId="5D5137F3" w14:textId="77777777" w:rsidR="00D875C0" w:rsidRPr="00C722B4"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Hipertenzija;</w:t>
            </w:r>
          </w:p>
          <w:p w14:paraId="0FDC5BAB" w14:textId="77777777" w:rsidR="00D875C0" w:rsidRPr="004E3CD5" w:rsidRDefault="00D875C0" w:rsidP="003876F8">
            <w:pPr>
              <w:spacing w:after="0" w:line="240" w:lineRule="auto"/>
              <w:rPr>
                <w:rFonts w:ascii="Times New Roman" w:eastAsiaTheme="minorEastAsia" w:hAnsi="Times New Roman"/>
                <w:lang w:eastAsia="zh-TW"/>
              </w:rPr>
            </w:pPr>
            <w:r w:rsidRPr="007C1A06">
              <w:rPr>
                <w:rFonts w:ascii="Times New Roman" w:hAnsi="Times New Roman"/>
              </w:rPr>
              <w:t>Kraujavimas</w:t>
            </w:r>
          </w:p>
        </w:tc>
        <w:tc>
          <w:tcPr>
            <w:tcW w:w="2345" w:type="dxa"/>
          </w:tcPr>
          <w:p w14:paraId="13B5624D"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31CFF892" w14:textId="77777777" w:rsidTr="004E3CD5">
        <w:tc>
          <w:tcPr>
            <w:tcW w:w="2252" w:type="dxa"/>
          </w:tcPr>
          <w:p w14:paraId="0D174472"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Kvėpavimo sistemos, krūtinės ląstos ir tarpuplaučio sutrikimai</w:t>
            </w:r>
          </w:p>
        </w:tc>
        <w:tc>
          <w:tcPr>
            <w:tcW w:w="2344" w:type="dxa"/>
          </w:tcPr>
          <w:p w14:paraId="50A96FC7" w14:textId="77777777" w:rsidR="00D875C0" w:rsidRPr="00C722B4" w:rsidRDefault="00D875C0" w:rsidP="003876F8">
            <w:pPr>
              <w:spacing w:after="0" w:line="240" w:lineRule="auto"/>
              <w:rPr>
                <w:rFonts w:ascii="Times New Roman" w:hAnsi="Times New Roman"/>
              </w:rPr>
            </w:pPr>
            <w:r w:rsidRPr="001F2C46">
              <w:rPr>
                <w:rFonts w:ascii="Times New Roman" w:hAnsi="Times New Roman"/>
              </w:rPr>
              <w:t>Dispnėja (sunki – 2,7</w:t>
            </w:r>
            <w:r w:rsidR="001B7EB2" w:rsidRPr="00427D92">
              <w:rPr>
                <w:rFonts w:ascii="Times New Roman" w:hAnsi="Times New Roman"/>
              </w:rPr>
              <w:t> </w:t>
            </w:r>
            <w:r w:rsidRPr="00C722B4">
              <w:rPr>
                <w:rFonts w:ascii="Times New Roman" w:hAnsi="Times New Roman"/>
              </w:rPr>
              <w:t>%)</w:t>
            </w:r>
          </w:p>
        </w:tc>
        <w:tc>
          <w:tcPr>
            <w:tcW w:w="2345" w:type="dxa"/>
          </w:tcPr>
          <w:p w14:paraId="0F31FF23" w14:textId="77777777" w:rsidR="00D875C0" w:rsidRPr="007C1A06" w:rsidRDefault="00D875C0" w:rsidP="003876F8">
            <w:pPr>
              <w:autoSpaceDE w:val="0"/>
              <w:autoSpaceDN w:val="0"/>
              <w:adjustRightInd w:val="0"/>
              <w:spacing w:after="0" w:line="240" w:lineRule="auto"/>
              <w:rPr>
                <w:rFonts w:ascii="Times New Roman" w:hAnsi="Times New Roman"/>
              </w:rPr>
            </w:pPr>
          </w:p>
        </w:tc>
        <w:tc>
          <w:tcPr>
            <w:tcW w:w="2345" w:type="dxa"/>
          </w:tcPr>
          <w:p w14:paraId="0C158D07"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13A0EAA3" w14:textId="77777777" w:rsidTr="004E3CD5">
        <w:tc>
          <w:tcPr>
            <w:tcW w:w="2252" w:type="dxa"/>
          </w:tcPr>
          <w:p w14:paraId="127FC744"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Virškinimo trakto sutrikimai</w:t>
            </w:r>
          </w:p>
        </w:tc>
        <w:tc>
          <w:tcPr>
            <w:tcW w:w="2344" w:type="dxa"/>
          </w:tcPr>
          <w:p w14:paraId="4B0C4775"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Stomatitas (3</w:t>
            </w:r>
            <w:r w:rsidR="001B7EB2" w:rsidRPr="00427D92">
              <w:rPr>
                <w:rFonts w:ascii="Times New Roman" w:hAnsi="Times New Roman"/>
              </w:rPr>
              <w:noBreakHyphen/>
            </w:r>
            <w:r w:rsidRPr="00C722B4">
              <w:rPr>
                <w:rFonts w:ascii="Times New Roman" w:hAnsi="Times New Roman"/>
              </w:rPr>
              <w:t>4</w:t>
            </w:r>
            <w:r w:rsidR="001B7EB2" w:rsidRPr="007C1A06">
              <w:rPr>
                <w:rFonts w:ascii="Times New Roman" w:hAnsi="Times New Roman"/>
              </w:rPr>
              <w:t> </w:t>
            </w:r>
            <w:r w:rsidRPr="007C1A06">
              <w:rPr>
                <w:rFonts w:ascii="Times New Roman" w:hAnsi="Times New Roman"/>
              </w:rPr>
              <w:t>laipsnio – 5,3</w:t>
            </w:r>
            <w:r w:rsidR="001B7EB2" w:rsidRPr="007C1A06">
              <w:rPr>
                <w:rFonts w:ascii="Times New Roman" w:hAnsi="Times New Roman"/>
              </w:rPr>
              <w:t> </w:t>
            </w:r>
            <w:r w:rsidRPr="007C1A06">
              <w:rPr>
                <w:rFonts w:ascii="Times New Roman" w:hAnsi="Times New Roman"/>
              </w:rPr>
              <w:t>%);</w:t>
            </w:r>
          </w:p>
          <w:p w14:paraId="311E1F7C" w14:textId="77777777" w:rsidR="00D875C0" w:rsidRPr="00F95B76" w:rsidRDefault="00D875C0" w:rsidP="003876F8">
            <w:pPr>
              <w:autoSpaceDE w:val="0"/>
              <w:autoSpaceDN w:val="0"/>
              <w:adjustRightInd w:val="0"/>
              <w:spacing w:after="0" w:line="240" w:lineRule="auto"/>
              <w:rPr>
                <w:rFonts w:ascii="Times New Roman" w:eastAsiaTheme="minorEastAsia" w:hAnsi="Times New Roman"/>
                <w:lang w:val="en-US" w:eastAsia="zh-TW"/>
              </w:rPr>
            </w:pPr>
            <w:r w:rsidRPr="007C1A06">
              <w:rPr>
                <w:rFonts w:ascii="Times New Roman" w:hAnsi="Times New Roman"/>
              </w:rPr>
              <w:t>Viduriavimas</w:t>
            </w:r>
            <w:r w:rsidRPr="00F957E7">
              <w:rPr>
                <w:rFonts w:ascii="Times New Roman" w:hAnsi="Times New Roman"/>
              </w:rPr>
              <w:t>(3</w:t>
            </w:r>
            <w:r w:rsidR="001B7EB2" w:rsidRPr="00F95B76">
              <w:rPr>
                <w:rFonts w:ascii="Times New Roman" w:hAnsi="Times New Roman"/>
              </w:rPr>
              <w:noBreakHyphen/>
            </w:r>
            <w:r w:rsidRPr="00F95B76">
              <w:rPr>
                <w:rFonts w:ascii="Times New Roman" w:hAnsi="Times New Roman"/>
              </w:rPr>
              <w:t>4</w:t>
            </w:r>
            <w:r w:rsidR="001B7EB2" w:rsidRPr="00F95B76">
              <w:rPr>
                <w:rFonts w:ascii="Times New Roman" w:hAnsi="Times New Roman"/>
              </w:rPr>
              <w:t> </w:t>
            </w:r>
            <w:r w:rsidRPr="00F95B76">
              <w:rPr>
                <w:rFonts w:ascii="Times New Roman" w:hAnsi="Times New Roman"/>
              </w:rPr>
              <w:t>laipsnio – 4</w:t>
            </w:r>
            <w:r w:rsidR="001B7EB2" w:rsidRPr="00F95B76">
              <w:rPr>
                <w:rFonts w:ascii="Times New Roman" w:hAnsi="Times New Roman"/>
              </w:rPr>
              <w:t> </w:t>
            </w:r>
            <w:r w:rsidRPr="00F95B76">
              <w:rPr>
                <w:rFonts w:ascii="Times New Roman" w:hAnsi="Times New Roman"/>
              </w:rPr>
              <w:t>%);</w:t>
            </w:r>
          </w:p>
          <w:p w14:paraId="6BAA9290"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Pykinimas (3</w:t>
            </w:r>
            <w:r w:rsidR="001B7EB2" w:rsidRPr="00427D92">
              <w:rPr>
                <w:rFonts w:ascii="Times New Roman" w:hAnsi="Times New Roman"/>
              </w:rPr>
              <w:noBreakHyphen/>
            </w:r>
            <w:r w:rsidRPr="00C722B4">
              <w:rPr>
                <w:rFonts w:ascii="Times New Roman" w:hAnsi="Times New Roman"/>
              </w:rPr>
              <w:t>4</w:t>
            </w:r>
            <w:r w:rsidR="001B7EB2" w:rsidRPr="007C1A06">
              <w:rPr>
                <w:rFonts w:ascii="Times New Roman" w:hAnsi="Times New Roman"/>
              </w:rPr>
              <w:t> </w:t>
            </w:r>
            <w:r w:rsidRPr="007C1A06">
              <w:rPr>
                <w:rFonts w:ascii="Times New Roman" w:hAnsi="Times New Roman"/>
              </w:rPr>
              <w:t>laipsnio – 4</w:t>
            </w:r>
            <w:r w:rsidR="001B7EB2" w:rsidRPr="007C1A06">
              <w:rPr>
                <w:rFonts w:ascii="Times New Roman" w:hAnsi="Times New Roman"/>
              </w:rPr>
              <w:t> </w:t>
            </w:r>
            <w:r w:rsidRPr="007C1A06">
              <w:rPr>
                <w:rFonts w:ascii="Times New Roman" w:hAnsi="Times New Roman"/>
              </w:rPr>
              <w:t>%);</w:t>
            </w:r>
          </w:p>
          <w:p w14:paraId="09C59933" w14:textId="77777777" w:rsidR="00D875C0" w:rsidRPr="004E3CD5" w:rsidRDefault="00D875C0" w:rsidP="001B7EB2">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Vėmimas (3</w:t>
            </w:r>
            <w:r w:rsidR="001B7EB2" w:rsidRPr="007C1A06">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 3</w:t>
            </w:r>
            <w:r w:rsidR="001B7EB2" w:rsidRPr="007C1A06">
              <w:rPr>
                <w:rFonts w:ascii="Times New Roman" w:hAnsi="Times New Roman"/>
              </w:rPr>
              <w:t> </w:t>
            </w:r>
            <w:r w:rsidRPr="007C1A06">
              <w:rPr>
                <w:rFonts w:ascii="Times New Roman" w:hAnsi="Times New Roman"/>
              </w:rPr>
              <w:t>%)</w:t>
            </w:r>
          </w:p>
        </w:tc>
        <w:tc>
          <w:tcPr>
            <w:tcW w:w="2345" w:type="dxa"/>
          </w:tcPr>
          <w:p w14:paraId="7C92E8CE" w14:textId="77777777" w:rsidR="00D875C0" w:rsidRPr="00874783"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Vidurių užkietėjimas</w:t>
            </w:r>
            <w:r w:rsidR="00EC5B32">
              <w:rPr>
                <w:rFonts w:ascii="Times New Roman" w:hAnsi="Times New Roman"/>
              </w:rPr>
              <w:t xml:space="preserve"> </w:t>
            </w:r>
            <w:r w:rsidRPr="00F957E7">
              <w:rPr>
                <w:rFonts w:ascii="Times New Roman" w:hAnsi="Times New Roman"/>
              </w:rPr>
              <w:t>(sunkus – 0,2</w:t>
            </w:r>
            <w:r w:rsidR="001B7EB2" w:rsidRPr="00F95B76">
              <w:rPr>
                <w:rFonts w:ascii="Times New Roman" w:hAnsi="Times New Roman"/>
              </w:rPr>
              <w:t> </w:t>
            </w:r>
            <w:r w:rsidRPr="00F95B76">
              <w:rPr>
                <w:rFonts w:ascii="Times New Roman" w:hAnsi="Times New Roman"/>
              </w:rPr>
              <w:t>%);</w:t>
            </w:r>
          </w:p>
          <w:p w14:paraId="2AFA1847" w14:textId="77777777" w:rsidR="00D875C0" w:rsidRPr="00427D92"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Pilvo skausmas (sunkus – 1</w:t>
            </w:r>
            <w:r w:rsidR="001B7EB2" w:rsidRPr="001F2C46">
              <w:rPr>
                <w:rFonts w:ascii="Times New Roman" w:hAnsi="Times New Roman"/>
              </w:rPr>
              <w:t> </w:t>
            </w:r>
            <w:r w:rsidRPr="00427D92">
              <w:rPr>
                <w:rFonts w:ascii="Times New Roman" w:hAnsi="Times New Roman"/>
              </w:rPr>
              <w:t>%);</w:t>
            </w:r>
          </w:p>
          <w:p w14:paraId="578235EE" w14:textId="77777777" w:rsidR="00D875C0" w:rsidRPr="00F95B76" w:rsidRDefault="00D875C0" w:rsidP="00F95B76">
            <w:pPr>
              <w:autoSpaceDE w:val="0"/>
              <w:autoSpaceDN w:val="0"/>
              <w:adjustRightInd w:val="0"/>
              <w:spacing w:after="0" w:line="240" w:lineRule="auto"/>
              <w:rPr>
                <w:rFonts w:ascii="Times New Roman" w:hAnsi="Times New Roman"/>
              </w:rPr>
            </w:pPr>
            <w:r w:rsidRPr="00C722B4">
              <w:rPr>
                <w:rFonts w:ascii="Times New Roman" w:hAnsi="Times New Roman"/>
              </w:rPr>
              <w:t xml:space="preserve">Kraujavimas iš virškinimo </w:t>
            </w:r>
            <w:r w:rsidR="004B6841" w:rsidRPr="004B6841">
              <w:rPr>
                <w:rFonts w:ascii="Times New Roman" w:eastAsia="Times New Roman" w:hAnsi="Times New Roman" w:cs="Times New Roman"/>
              </w:rPr>
              <w:t>t</w:t>
            </w:r>
            <w:r w:rsidR="00C54CE0">
              <w:rPr>
                <w:rFonts w:ascii="Times New Roman" w:eastAsia="Times New Roman" w:hAnsi="Times New Roman" w:cs="Times New Roman"/>
              </w:rPr>
              <w:t>r</w:t>
            </w:r>
            <w:r w:rsidR="004B6841" w:rsidRPr="004B6841">
              <w:rPr>
                <w:rFonts w:ascii="Times New Roman" w:eastAsia="Times New Roman" w:hAnsi="Times New Roman" w:cs="Times New Roman"/>
              </w:rPr>
              <w:t>akto</w:t>
            </w:r>
            <w:r w:rsidRPr="00F957E7">
              <w:rPr>
                <w:rFonts w:ascii="Times New Roman" w:hAnsi="Times New Roman"/>
              </w:rPr>
              <w:t xml:space="preserve"> (sunkus – 0,3</w:t>
            </w:r>
            <w:r w:rsidR="001B7EB2" w:rsidRPr="00F95B76">
              <w:rPr>
                <w:rFonts w:ascii="Times New Roman" w:hAnsi="Times New Roman"/>
              </w:rPr>
              <w:t> </w:t>
            </w:r>
            <w:r w:rsidRPr="00F95B76">
              <w:rPr>
                <w:rFonts w:ascii="Times New Roman" w:hAnsi="Times New Roman"/>
              </w:rPr>
              <w:t>%)</w:t>
            </w:r>
          </w:p>
        </w:tc>
        <w:tc>
          <w:tcPr>
            <w:tcW w:w="2345" w:type="dxa"/>
          </w:tcPr>
          <w:p w14:paraId="395BD902"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Ezofagitas (sunkus – 0,4</w:t>
            </w:r>
            <w:r w:rsidR="001B7EB2" w:rsidRPr="001F2C46">
              <w:rPr>
                <w:rFonts w:ascii="Times New Roman" w:hAnsi="Times New Roman"/>
              </w:rPr>
              <w:t> </w:t>
            </w:r>
            <w:r w:rsidRPr="001F2C46">
              <w:rPr>
                <w:rFonts w:ascii="Times New Roman" w:hAnsi="Times New Roman"/>
              </w:rPr>
              <w:t>%)</w:t>
            </w:r>
          </w:p>
        </w:tc>
      </w:tr>
      <w:tr w:rsidR="00D875C0" w:rsidRPr="007C1A06" w14:paraId="616FE6AD" w14:textId="77777777" w:rsidTr="004E3CD5">
        <w:tc>
          <w:tcPr>
            <w:tcW w:w="2252" w:type="dxa"/>
          </w:tcPr>
          <w:p w14:paraId="1F561894"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Odos ir poodinio audinio sutrikimai</w:t>
            </w:r>
          </w:p>
        </w:tc>
        <w:tc>
          <w:tcPr>
            <w:tcW w:w="2344" w:type="dxa"/>
          </w:tcPr>
          <w:p w14:paraId="44F9A36E"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Alopecija;</w:t>
            </w:r>
          </w:p>
          <w:p w14:paraId="37FF9F9C" w14:textId="77777777" w:rsidR="00D875C0" w:rsidRPr="00F95B76"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Odos reakcija</w:t>
            </w:r>
            <w:r w:rsidRPr="00F957E7">
              <w:rPr>
                <w:rFonts w:ascii="Times New Roman" w:hAnsi="Times New Roman"/>
              </w:rPr>
              <w:t>(3</w:t>
            </w:r>
            <w:r w:rsidR="001B7EB2" w:rsidRPr="00F95B76">
              <w:rPr>
                <w:rFonts w:ascii="Times New Roman" w:hAnsi="Times New Roman"/>
              </w:rPr>
              <w:noBreakHyphen/>
            </w:r>
            <w:r w:rsidRPr="00F95B76">
              <w:rPr>
                <w:rFonts w:ascii="Times New Roman" w:hAnsi="Times New Roman"/>
              </w:rPr>
              <w:t>4</w:t>
            </w:r>
            <w:r w:rsidR="001B7EB2" w:rsidRPr="00F95B76">
              <w:rPr>
                <w:rFonts w:ascii="Times New Roman" w:hAnsi="Times New Roman"/>
              </w:rPr>
              <w:t> </w:t>
            </w:r>
            <w:r w:rsidRPr="00F95B76">
              <w:rPr>
                <w:rFonts w:ascii="Times New Roman" w:hAnsi="Times New Roman"/>
              </w:rPr>
              <w:t>laipsnio – 5,9</w:t>
            </w:r>
            <w:r w:rsidR="001B7EB2" w:rsidRPr="00F95B76">
              <w:rPr>
                <w:rFonts w:ascii="Times New Roman" w:hAnsi="Times New Roman"/>
              </w:rPr>
              <w:t> </w:t>
            </w:r>
            <w:r w:rsidRPr="00F95B76">
              <w:rPr>
                <w:rFonts w:ascii="Times New Roman" w:hAnsi="Times New Roman"/>
              </w:rPr>
              <w:t>%);</w:t>
            </w:r>
          </w:p>
          <w:p w14:paraId="649AE5AF" w14:textId="77777777" w:rsidR="00D875C0" w:rsidRPr="00C722B4" w:rsidRDefault="00D875C0" w:rsidP="001B7EB2">
            <w:pPr>
              <w:autoSpaceDE w:val="0"/>
              <w:autoSpaceDN w:val="0"/>
              <w:adjustRightInd w:val="0"/>
              <w:spacing w:after="0" w:line="240" w:lineRule="auto"/>
              <w:rPr>
                <w:rFonts w:ascii="Times New Roman" w:hAnsi="Times New Roman"/>
              </w:rPr>
            </w:pPr>
            <w:r w:rsidRPr="001F2C46">
              <w:rPr>
                <w:rFonts w:ascii="Times New Roman" w:hAnsi="Times New Roman"/>
              </w:rPr>
              <w:t>Nagų pažeidimai (sunkūs – 2,6</w:t>
            </w:r>
            <w:r w:rsidR="001B7EB2" w:rsidRPr="00427D92">
              <w:rPr>
                <w:rFonts w:ascii="Times New Roman" w:hAnsi="Times New Roman"/>
              </w:rPr>
              <w:t> </w:t>
            </w:r>
            <w:r w:rsidRPr="00C722B4">
              <w:rPr>
                <w:rFonts w:ascii="Times New Roman" w:hAnsi="Times New Roman"/>
              </w:rPr>
              <w:t>%)</w:t>
            </w:r>
          </w:p>
        </w:tc>
        <w:tc>
          <w:tcPr>
            <w:tcW w:w="2345" w:type="dxa"/>
          </w:tcPr>
          <w:p w14:paraId="256A4564" w14:textId="77777777" w:rsidR="00D875C0" w:rsidRPr="007C1A06" w:rsidRDefault="00D875C0" w:rsidP="003876F8">
            <w:pPr>
              <w:autoSpaceDE w:val="0"/>
              <w:autoSpaceDN w:val="0"/>
              <w:adjustRightInd w:val="0"/>
              <w:spacing w:after="0" w:line="240" w:lineRule="auto"/>
              <w:rPr>
                <w:rFonts w:ascii="Times New Roman" w:hAnsi="Times New Roman"/>
              </w:rPr>
            </w:pPr>
          </w:p>
        </w:tc>
        <w:tc>
          <w:tcPr>
            <w:tcW w:w="2345" w:type="dxa"/>
          </w:tcPr>
          <w:p w14:paraId="78F4C67F"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42D4D6C9" w14:textId="77777777" w:rsidTr="004E3CD5">
        <w:tc>
          <w:tcPr>
            <w:tcW w:w="2252" w:type="dxa"/>
          </w:tcPr>
          <w:p w14:paraId="1CF17475"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Skeleto, raumenų ir jungiamojo audinio sutrikimai</w:t>
            </w:r>
          </w:p>
        </w:tc>
        <w:tc>
          <w:tcPr>
            <w:tcW w:w="2344" w:type="dxa"/>
          </w:tcPr>
          <w:p w14:paraId="760D7EC6" w14:textId="77777777" w:rsidR="00D875C0" w:rsidRPr="00C722B4" w:rsidRDefault="00D875C0" w:rsidP="001B7EB2">
            <w:pPr>
              <w:autoSpaceDE w:val="0"/>
              <w:autoSpaceDN w:val="0"/>
              <w:adjustRightInd w:val="0"/>
              <w:spacing w:after="0" w:line="240" w:lineRule="auto"/>
              <w:rPr>
                <w:rFonts w:ascii="Times New Roman" w:hAnsi="Times New Roman"/>
              </w:rPr>
            </w:pPr>
            <w:r w:rsidRPr="001F2C46">
              <w:rPr>
                <w:rFonts w:ascii="Times New Roman" w:hAnsi="Times New Roman"/>
              </w:rPr>
              <w:t>Mialgija (sunki – 1,4</w:t>
            </w:r>
            <w:r w:rsidR="001B7EB2" w:rsidRPr="00427D92">
              <w:rPr>
                <w:rFonts w:ascii="Times New Roman" w:hAnsi="Times New Roman"/>
              </w:rPr>
              <w:t> </w:t>
            </w:r>
            <w:r w:rsidRPr="00C722B4">
              <w:rPr>
                <w:rFonts w:ascii="Times New Roman" w:hAnsi="Times New Roman"/>
              </w:rPr>
              <w:t>%)</w:t>
            </w:r>
          </w:p>
        </w:tc>
        <w:tc>
          <w:tcPr>
            <w:tcW w:w="2345" w:type="dxa"/>
          </w:tcPr>
          <w:p w14:paraId="7EC55CB3"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Artralgija</w:t>
            </w:r>
          </w:p>
        </w:tc>
        <w:tc>
          <w:tcPr>
            <w:tcW w:w="2345" w:type="dxa"/>
          </w:tcPr>
          <w:p w14:paraId="74823915"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32342230" w14:textId="77777777" w:rsidTr="004E3CD5">
        <w:tc>
          <w:tcPr>
            <w:tcW w:w="2252" w:type="dxa"/>
          </w:tcPr>
          <w:p w14:paraId="7A40B61B"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Bendrieji sutrikimai ir vartojimo vietos pažeidimai</w:t>
            </w:r>
          </w:p>
        </w:tc>
        <w:tc>
          <w:tcPr>
            <w:tcW w:w="2344" w:type="dxa"/>
          </w:tcPr>
          <w:p w14:paraId="1F9728E4" w14:textId="77777777" w:rsidR="00D875C0" w:rsidRPr="00427D92"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Skysčių susilaikymas (sunkus – 6,5</w:t>
            </w:r>
            <w:r w:rsidR="001B7EB2" w:rsidRPr="001F2C46">
              <w:rPr>
                <w:rFonts w:ascii="Times New Roman" w:hAnsi="Times New Roman"/>
              </w:rPr>
              <w:t> </w:t>
            </w:r>
            <w:r w:rsidRPr="00427D92">
              <w:rPr>
                <w:rFonts w:ascii="Times New Roman" w:hAnsi="Times New Roman"/>
              </w:rPr>
              <w:t>%);</w:t>
            </w:r>
          </w:p>
          <w:p w14:paraId="050868B5" w14:textId="77777777" w:rsidR="00D875C0" w:rsidRPr="007C1A06"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Astenija (sunki – 11,2</w:t>
            </w:r>
            <w:r w:rsidR="001B7EB2" w:rsidRPr="007C1A06">
              <w:rPr>
                <w:rFonts w:ascii="Times New Roman" w:hAnsi="Times New Roman"/>
              </w:rPr>
              <w:t> </w:t>
            </w:r>
            <w:r w:rsidRPr="007C1A06">
              <w:rPr>
                <w:rFonts w:ascii="Times New Roman" w:hAnsi="Times New Roman"/>
              </w:rPr>
              <w:t>%);</w:t>
            </w:r>
          </w:p>
          <w:p w14:paraId="2EA58BDF"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Skausmas</w:t>
            </w:r>
          </w:p>
        </w:tc>
        <w:tc>
          <w:tcPr>
            <w:tcW w:w="2345" w:type="dxa"/>
          </w:tcPr>
          <w:p w14:paraId="1FF3B29F" w14:textId="77777777" w:rsidR="00D875C0" w:rsidRPr="004E3CD5" w:rsidRDefault="00D875C0" w:rsidP="003876F8">
            <w:pPr>
              <w:spacing w:after="0" w:line="240" w:lineRule="auto"/>
              <w:rPr>
                <w:rFonts w:ascii="Times New Roman" w:eastAsiaTheme="minorEastAsia" w:hAnsi="Times New Roman"/>
                <w:lang w:eastAsia="zh-TW"/>
              </w:rPr>
            </w:pPr>
            <w:r w:rsidRPr="007C1A06">
              <w:rPr>
                <w:rFonts w:ascii="Times New Roman" w:hAnsi="Times New Roman"/>
              </w:rPr>
              <w:t>Krūtinės skausmas, nesant širdies pažeidimo (sunkus – 0,4</w:t>
            </w:r>
            <w:r w:rsidR="001B7EB2" w:rsidRPr="007C1A06">
              <w:rPr>
                <w:rFonts w:ascii="Times New Roman" w:hAnsi="Times New Roman"/>
              </w:rPr>
              <w:t> </w:t>
            </w:r>
            <w:r w:rsidRPr="007C1A06">
              <w:rPr>
                <w:rFonts w:ascii="Times New Roman" w:hAnsi="Times New Roman"/>
              </w:rPr>
              <w:t>%)</w:t>
            </w:r>
          </w:p>
        </w:tc>
        <w:tc>
          <w:tcPr>
            <w:tcW w:w="2345" w:type="dxa"/>
          </w:tcPr>
          <w:p w14:paraId="6318319C" w14:textId="77777777" w:rsidR="00D875C0" w:rsidRPr="007C1A06" w:rsidRDefault="00D875C0" w:rsidP="003876F8">
            <w:pPr>
              <w:spacing w:after="0" w:line="240" w:lineRule="auto"/>
              <w:rPr>
                <w:rFonts w:ascii="Times New Roman" w:hAnsi="Times New Roman"/>
              </w:rPr>
            </w:pPr>
          </w:p>
        </w:tc>
      </w:tr>
      <w:tr w:rsidR="00D875C0" w:rsidRPr="007C1A06" w14:paraId="41D495D7" w14:textId="77777777" w:rsidTr="004E3CD5">
        <w:tc>
          <w:tcPr>
            <w:tcW w:w="2252" w:type="dxa"/>
          </w:tcPr>
          <w:p w14:paraId="1510503A"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Tyrimai</w:t>
            </w:r>
          </w:p>
        </w:tc>
        <w:tc>
          <w:tcPr>
            <w:tcW w:w="2344" w:type="dxa"/>
          </w:tcPr>
          <w:p w14:paraId="2DE26ACF"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2345" w:type="dxa"/>
          </w:tcPr>
          <w:p w14:paraId="62284158" w14:textId="77777777" w:rsidR="00D875C0" w:rsidRPr="007C1A06" w:rsidRDefault="00D875C0" w:rsidP="003876F8">
            <w:pPr>
              <w:spacing w:after="0" w:line="240" w:lineRule="auto"/>
              <w:rPr>
                <w:rFonts w:ascii="Times New Roman" w:hAnsi="Times New Roman"/>
              </w:rPr>
            </w:pPr>
            <w:r w:rsidRPr="00427D92">
              <w:rPr>
                <w:rFonts w:ascii="Times New Roman" w:hAnsi="Times New Roman"/>
              </w:rPr>
              <w:t>3</w:t>
            </w:r>
            <w:r w:rsidR="001B7EB2" w:rsidRPr="00C722B4">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bilirubino koncentracijos kraujyje padidėjimas (&lt;</w:t>
            </w:r>
            <w:r w:rsidR="001B7EB2" w:rsidRPr="007C1A06">
              <w:rPr>
                <w:rFonts w:ascii="Times New Roman" w:hAnsi="Times New Roman"/>
              </w:rPr>
              <w:t> </w:t>
            </w:r>
            <w:r w:rsidRPr="007C1A06">
              <w:rPr>
                <w:rFonts w:ascii="Times New Roman" w:hAnsi="Times New Roman"/>
              </w:rPr>
              <w:t>5</w:t>
            </w:r>
            <w:r w:rsidR="001B7EB2" w:rsidRPr="007C1A06">
              <w:rPr>
                <w:rFonts w:ascii="Times New Roman" w:hAnsi="Times New Roman"/>
              </w:rPr>
              <w:t> </w:t>
            </w:r>
            <w:r w:rsidRPr="007C1A06">
              <w:rPr>
                <w:rFonts w:ascii="Times New Roman" w:hAnsi="Times New Roman"/>
              </w:rPr>
              <w:t>%);</w:t>
            </w:r>
          </w:p>
          <w:p w14:paraId="3D5FA503" w14:textId="77777777" w:rsidR="00D875C0" w:rsidRPr="007C1A06" w:rsidRDefault="00D875C0" w:rsidP="003876F8">
            <w:pPr>
              <w:spacing w:after="0" w:line="240" w:lineRule="auto"/>
              <w:rPr>
                <w:rFonts w:ascii="Times New Roman" w:hAnsi="Times New Roman"/>
              </w:rPr>
            </w:pPr>
            <w:r w:rsidRPr="007C1A06">
              <w:rPr>
                <w:rFonts w:ascii="Times New Roman" w:hAnsi="Times New Roman"/>
              </w:rPr>
              <w:t>3</w:t>
            </w:r>
            <w:r w:rsidR="001B7EB2" w:rsidRPr="007C1A06">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šarminės fosfatazės aktyvumo kraujyje padidėjimas (&lt;</w:t>
            </w:r>
            <w:r w:rsidR="001B7EB2" w:rsidRPr="007C1A06">
              <w:rPr>
                <w:rFonts w:ascii="Times New Roman" w:hAnsi="Times New Roman"/>
              </w:rPr>
              <w:t> </w:t>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w:t>
            </w:r>
          </w:p>
          <w:p w14:paraId="194A27FA" w14:textId="77777777" w:rsidR="00D875C0" w:rsidRPr="007C1A06" w:rsidRDefault="00D875C0" w:rsidP="003876F8">
            <w:pPr>
              <w:spacing w:after="0" w:line="240" w:lineRule="auto"/>
              <w:rPr>
                <w:rFonts w:ascii="Times New Roman" w:hAnsi="Times New Roman"/>
              </w:rPr>
            </w:pPr>
            <w:r w:rsidRPr="007C1A06">
              <w:rPr>
                <w:rFonts w:ascii="Times New Roman" w:hAnsi="Times New Roman"/>
              </w:rPr>
              <w:t>3</w:t>
            </w:r>
            <w:r w:rsidR="001B7EB2" w:rsidRPr="007C1A06">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AST aktyvumo kraujyje padidėjimas (&lt;</w:t>
            </w:r>
            <w:r w:rsidR="001B7EB2" w:rsidRPr="007C1A06">
              <w:rPr>
                <w:rFonts w:ascii="Times New Roman" w:hAnsi="Times New Roman"/>
              </w:rPr>
              <w:t> </w:t>
            </w:r>
            <w:r w:rsidRPr="007C1A06">
              <w:rPr>
                <w:rFonts w:ascii="Times New Roman" w:hAnsi="Times New Roman"/>
              </w:rPr>
              <w:t>3</w:t>
            </w:r>
            <w:r w:rsidR="001B7EB2" w:rsidRPr="007C1A06">
              <w:rPr>
                <w:rFonts w:ascii="Times New Roman" w:hAnsi="Times New Roman"/>
              </w:rPr>
              <w:t> </w:t>
            </w:r>
            <w:r w:rsidRPr="007C1A06">
              <w:rPr>
                <w:rFonts w:ascii="Times New Roman" w:hAnsi="Times New Roman"/>
              </w:rPr>
              <w:t>%);</w:t>
            </w:r>
          </w:p>
          <w:p w14:paraId="4CEC6B06" w14:textId="77777777" w:rsidR="00D875C0" w:rsidRPr="007C1A06" w:rsidRDefault="00D875C0" w:rsidP="001B7EB2">
            <w:pPr>
              <w:spacing w:after="0" w:line="240" w:lineRule="auto"/>
              <w:rPr>
                <w:rFonts w:ascii="Times New Roman" w:hAnsi="Times New Roman"/>
              </w:rPr>
            </w:pPr>
            <w:r w:rsidRPr="007C1A06">
              <w:rPr>
                <w:rFonts w:ascii="Times New Roman" w:hAnsi="Times New Roman"/>
              </w:rPr>
              <w:t>3</w:t>
            </w:r>
            <w:r w:rsidR="001B7EB2" w:rsidRPr="007C1A06">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ALT aktyvumo kraujyje padidėjimas (&lt;</w:t>
            </w:r>
            <w:r w:rsidR="001B7EB2" w:rsidRPr="007C1A06">
              <w:rPr>
                <w:rFonts w:ascii="Times New Roman" w:hAnsi="Times New Roman"/>
              </w:rPr>
              <w:t> </w:t>
            </w:r>
            <w:r w:rsidRPr="007C1A06">
              <w:rPr>
                <w:rFonts w:ascii="Times New Roman" w:hAnsi="Times New Roman"/>
              </w:rPr>
              <w:t>2</w:t>
            </w:r>
            <w:r w:rsidR="001B7EB2" w:rsidRPr="007C1A06">
              <w:rPr>
                <w:rFonts w:ascii="Times New Roman" w:hAnsi="Times New Roman"/>
              </w:rPr>
              <w:t> </w:t>
            </w:r>
            <w:r w:rsidRPr="007C1A06">
              <w:rPr>
                <w:rFonts w:ascii="Times New Roman" w:hAnsi="Times New Roman"/>
              </w:rPr>
              <w:t>%)</w:t>
            </w:r>
          </w:p>
        </w:tc>
        <w:tc>
          <w:tcPr>
            <w:tcW w:w="2345" w:type="dxa"/>
          </w:tcPr>
          <w:p w14:paraId="24D2B0C7" w14:textId="77777777" w:rsidR="00D875C0" w:rsidRPr="007C1A06" w:rsidRDefault="00D875C0" w:rsidP="003876F8">
            <w:pPr>
              <w:spacing w:after="0" w:line="240" w:lineRule="auto"/>
              <w:rPr>
                <w:rFonts w:ascii="Times New Roman" w:hAnsi="Times New Roman"/>
              </w:rPr>
            </w:pPr>
          </w:p>
        </w:tc>
      </w:tr>
    </w:tbl>
    <w:p w14:paraId="138520E4" w14:textId="77777777" w:rsidR="00D875C0" w:rsidRPr="00F957E7" w:rsidRDefault="00D875C0" w:rsidP="00D875C0">
      <w:pPr>
        <w:spacing w:after="0" w:line="240" w:lineRule="auto"/>
        <w:rPr>
          <w:rFonts w:ascii="Times New Roman" w:hAnsi="Times New Roman"/>
        </w:rPr>
      </w:pPr>
    </w:p>
    <w:p w14:paraId="754B7EC0" w14:textId="77777777" w:rsidR="00D875C0" w:rsidRPr="00FB5C4B"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4E3CD5">
        <w:rPr>
          <w:rFonts w:ascii="Times New Roman" w:hAnsi="Times New Roman"/>
          <w:u w:val="single"/>
        </w:rPr>
        <w:t>Pasirinkt</w:t>
      </w:r>
      <w:r w:rsidRPr="004E3CD5">
        <w:rPr>
          <w:rFonts w:ascii="Times New Roman" w:hAnsi="Times New Roman" w:hint="eastAsia"/>
          <w:u w:val="single"/>
        </w:rPr>
        <w:t>ų</w:t>
      </w:r>
      <w:r w:rsidRPr="004E3CD5">
        <w:rPr>
          <w:rFonts w:ascii="Times New Roman" w:hAnsi="Times New Roman"/>
          <w:u w:val="single"/>
        </w:rPr>
        <w:t xml:space="preserve"> nepageidaujam</w:t>
      </w:r>
      <w:r w:rsidRPr="004E3CD5">
        <w:rPr>
          <w:rFonts w:ascii="Times New Roman" w:hAnsi="Times New Roman" w:hint="eastAsia"/>
          <w:u w:val="single"/>
        </w:rPr>
        <w:t>ų</w:t>
      </w:r>
      <w:r w:rsidRPr="004E3CD5">
        <w:rPr>
          <w:rFonts w:ascii="Times New Roman" w:hAnsi="Times New Roman"/>
          <w:u w:val="single"/>
        </w:rPr>
        <w:t xml:space="preserve"> reakcij</w:t>
      </w:r>
      <w:r w:rsidRPr="004E3CD5">
        <w:rPr>
          <w:rFonts w:ascii="Times New Roman" w:hAnsi="Times New Roman" w:hint="eastAsia"/>
          <w:u w:val="single"/>
        </w:rPr>
        <w:t>ų</w:t>
      </w:r>
      <w:r w:rsidRPr="004E3CD5">
        <w:rPr>
          <w:rFonts w:ascii="Times New Roman" w:hAnsi="Times New Roman"/>
          <w:u w:val="single"/>
        </w:rPr>
        <w:t>, atsiradusi</w:t>
      </w:r>
      <w:r w:rsidRPr="004E3CD5">
        <w:rPr>
          <w:rFonts w:ascii="Times New Roman" w:hAnsi="Times New Roman" w:hint="eastAsia"/>
          <w:u w:val="single"/>
        </w:rPr>
        <w:t>ų</w:t>
      </w:r>
      <w:r w:rsidRPr="004E3CD5">
        <w:rPr>
          <w:rFonts w:ascii="Times New Roman" w:hAnsi="Times New Roman"/>
          <w:u w:val="single"/>
        </w:rPr>
        <w:t xml:space="preserve"> </w:t>
      </w:r>
      <w:r w:rsidRPr="00F957E7">
        <w:rPr>
          <w:rFonts w:ascii="Times New Roman" w:hAnsi="Times New Roman"/>
          <w:u w:val="single"/>
        </w:rPr>
        <w:t>vartojant Docetaxel Ebewe 100</w:t>
      </w:r>
      <w:r w:rsidR="001B7EB2" w:rsidRPr="00F95B76">
        <w:rPr>
          <w:rFonts w:ascii="Times New Roman" w:hAnsi="Times New Roman"/>
          <w:u w:val="single"/>
        </w:rPr>
        <w:t> </w:t>
      </w:r>
      <w:r w:rsidRPr="004E3CD5">
        <w:rPr>
          <w:rFonts w:ascii="Times New Roman" w:hAnsi="Times New Roman"/>
          <w:u w:val="single"/>
        </w:rPr>
        <w:t>mg/m² doz</w:t>
      </w:r>
      <w:r w:rsidRPr="004E3CD5">
        <w:rPr>
          <w:rFonts w:ascii="Times New Roman" w:hAnsi="Times New Roman" w:hint="eastAsia"/>
          <w:u w:val="single"/>
        </w:rPr>
        <w:t>ę</w:t>
      </w:r>
      <w:r w:rsidRPr="004E3CD5">
        <w:rPr>
          <w:rFonts w:ascii="Times New Roman" w:hAnsi="Times New Roman"/>
          <w:u w:val="single"/>
        </w:rPr>
        <w:t xml:space="preserve"> kr</w:t>
      </w:r>
      <w:r w:rsidRPr="004E3CD5">
        <w:rPr>
          <w:rFonts w:ascii="Times New Roman" w:hAnsi="Times New Roman" w:hint="eastAsia"/>
          <w:u w:val="single"/>
        </w:rPr>
        <w:t>ū</w:t>
      </w:r>
      <w:r w:rsidRPr="004E3CD5">
        <w:rPr>
          <w:rFonts w:ascii="Times New Roman" w:hAnsi="Times New Roman"/>
          <w:u w:val="single"/>
        </w:rPr>
        <w:t>ties v</w:t>
      </w:r>
      <w:r w:rsidRPr="004E3CD5">
        <w:rPr>
          <w:rFonts w:ascii="Times New Roman" w:hAnsi="Times New Roman" w:hint="eastAsia"/>
          <w:u w:val="single"/>
        </w:rPr>
        <w:t>ėž</w:t>
      </w:r>
      <w:r w:rsidRPr="004E3CD5">
        <w:rPr>
          <w:rFonts w:ascii="Times New Roman" w:hAnsi="Times New Roman"/>
          <w:u w:val="single"/>
        </w:rPr>
        <w:t xml:space="preserve">io </w:t>
      </w:r>
      <w:r w:rsidRPr="00F957E7">
        <w:rPr>
          <w:rFonts w:ascii="Times New Roman" w:hAnsi="Times New Roman"/>
          <w:u w:val="single"/>
        </w:rPr>
        <w:t>monoterapijai, aprašymas</w:t>
      </w:r>
    </w:p>
    <w:p w14:paraId="6C4A873B" w14:textId="77777777" w:rsidR="00D875C0" w:rsidRPr="001F2C46" w:rsidRDefault="00D875C0" w:rsidP="00D875C0">
      <w:pPr>
        <w:autoSpaceDE w:val="0"/>
        <w:autoSpaceDN w:val="0"/>
        <w:adjustRightInd w:val="0"/>
        <w:spacing w:after="0" w:line="240" w:lineRule="auto"/>
        <w:rPr>
          <w:rFonts w:ascii="Times New Roman" w:hAnsi="Times New Roman"/>
          <w:i/>
          <w:u w:val="single"/>
        </w:rPr>
      </w:pPr>
    </w:p>
    <w:p w14:paraId="0232C977" w14:textId="77777777" w:rsidR="00D875C0" w:rsidRPr="00427D92" w:rsidRDefault="00D875C0" w:rsidP="00D875C0">
      <w:pPr>
        <w:autoSpaceDE w:val="0"/>
        <w:autoSpaceDN w:val="0"/>
        <w:adjustRightInd w:val="0"/>
        <w:spacing w:after="0" w:line="240" w:lineRule="auto"/>
        <w:rPr>
          <w:rFonts w:ascii="Times New Roman" w:hAnsi="Times New Roman"/>
          <w:i/>
        </w:rPr>
      </w:pPr>
      <w:r w:rsidRPr="00427D92">
        <w:rPr>
          <w:rFonts w:ascii="Times New Roman" w:hAnsi="Times New Roman"/>
          <w:i/>
        </w:rPr>
        <w:t>Kraujo ir limfinės sistemos sutrikimai</w:t>
      </w:r>
    </w:p>
    <w:p w14:paraId="7167846A" w14:textId="77777777" w:rsidR="00D875C0" w:rsidRPr="007C1A06" w:rsidRDefault="00D875C0" w:rsidP="00D875C0">
      <w:pPr>
        <w:autoSpaceDE w:val="0"/>
        <w:autoSpaceDN w:val="0"/>
        <w:adjustRightInd w:val="0"/>
        <w:spacing w:after="0" w:line="240" w:lineRule="auto"/>
        <w:rPr>
          <w:rFonts w:ascii="Times New Roman" w:hAnsi="Times New Roman"/>
        </w:rPr>
      </w:pPr>
      <w:r w:rsidRPr="00C722B4">
        <w:rPr>
          <w:rFonts w:ascii="Times New Roman" w:hAnsi="Times New Roman"/>
        </w:rPr>
        <w:t>Reti: kraujavimo epizodai esant 3</w:t>
      </w:r>
      <w:r w:rsidR="001B7EB2" w:rsidRPr="007C1A06">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trombocitopenijai.</w:t>
      </w:r>
    </w:p>
    <w:p w14:paraId="2B4FBA77" w14:textId="77777777" w:rsidR="00D875C0" w:rsidRDefault="00D875C0" w:rsidP="00D875C0">
      <w:pPr>
        <w:autoSpaceDE w:val="0"/>
        <w:autoSpaceDN w:val="0"/>
        <w:adjustRightInd w:val="0"/>
        <w:spacing w:after="0" w:line="240" w:lineRule="auto"/>
        <w:rPr>
          <w:rFonts w:ascii="Times New Roman" w:hAnsi="Times New Roman"/>
        </w:rPr>
      </w:pPr>
    </w:p>
    <w:p w14:paraId="2CB13DA0" w14:textId="77777777" w:rsidR="00837122" w:rsidRPr="007C1A06" w:rsidRDefault="00837122" w:rsidP="00D875C0">
      <w:pPr>
        <w:autoSpaceDE w:val="0"/>
        <w:autoSpaceDN w:val="0"/>
        <w:adjustRightInd w:val="0"/>
        <w:spacing w:after="0" w:line="240" w:lineRule="auto"/>
        <w:rPr>
          <w:rFonts w:ascii="Times New Roman" w:hAnsi="Times New Roman"/>
        </w:rPr>
      </w:pPr>
    </w:p>
    <w:p w14:paraId="2695E72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i/>
        </w:rPr>
        <w:t>Nervų sistemos sutrikimai</w:t>
      </w:r>
    </w:p>
    <w:p w14:paraId="5FD1E70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Yra duomenų apie 100</w:t>
      </w:r>
      <w:r w:rsidR="001B7EB2"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dozėmis monoterapijai vartojamo docetakselio neurotoksinio poveikio grįžtamumą 35,3</w:t>
      </w:r>
      <w:r w:rsidR="001B7EB2" w:rsidRPr="007C1A06">
        <w:rPr>
          <w:rFonts w:ascii="Times New Roman" w:hAnsi="Times New Roman"/>
        </w:rPr>
        <w:t> </w:t>
      </w:r>
      <w:r w:rsidRPr="007C1A06">
        <w:rPr>
          <w:rFonts w:ascii="Times New Roman" w:hAnsi="Times New Roman"/>
        </w:rPr>
        <w:t>% pacientų (jiems šis poveikis savaime praėjo per 3</w:t>
      </w:r>
      <w:r w:rsidR="001B7EB2" w:rsidRPr="007C1A06">
        <w:rPr>
          <w:rFonts w:ascii="Times New Roman" w:hAnsi="Times New Roman"/>
        </w:rPr>
        <w:t> </w:t>
      </w:r>
      <w:r w:rsidRPr="007C1A06">
        <w:rPr>
          <w:rFonts w:ascii="Times New Roman" w:hAnsi="Times New Roman"/>
        </w:rPr>
        <w:t>mėnesius).</w:t>
      </w:r>
    </w:p>
    <w:p w14:paraId="129927A1" w14:textId="77777777" w:rsidR="0046402B" w:rsidRDefault="0046402B" w:rsidP="00D875C0">
      <w:pPr>
        <w:autoSpaceDE w:val="0"/>
        <w:autoSpaceDN w:val="0"/>
        <w:adjustRightInd w:val="0"/>
        <w:spacing w:after="0" w:line="240" w:lineRule="auto"/>
        <w:rPr>
          <w:rFonts w:ascii="Times New Roman" w:eastAsia="Times New Roman" w:hAnsi="Times New Roman" w:cs="Times New Roman"/>
          <w:i/>
          <w:iCs/>
        </w:rPr>
      </w:pPr>
    </w:p>
    <w:p w14:paraId="1891F96C" w14:textId="77777777" w:rsidR="00D875C0" w:rsidRPr="00F95B76" w:rsidRDefault="00D875C0" w:rsidP="00D875C0">
      <w:pPr>
        <w:autoSpaceDE w:val="0"/>
        <w:autoSpaceDN w:val="0"/>
        <w:adjustRightInd w:val="0"/>
        <w:spacing w:after="0" w:line="240" w:lineRule="auto"/>
        <w:rPr>
          <w:rFonts w:ascii="Times New Roman" w:hAnsi="Times New Roman"/>
          <w:i/>
        </w:rPr>
      </w:pPr>
      <w:r w:rsidRPr="00F957E7">
        <w:rPr>
          <w:rFonts w:ascii="Times New Roman" w:hAnsi="Times New Roman"/>
          <w:i/>
        </w:rPr>
        <w:t>Odos ir poodinio audinio sutrikimai</w:t>
      </w:r>
    </w:p>
    <w:p w14:paraId="331A64F9" w14:textId="77777777" w:rsidR="00D875C0" w:rsidRPr="007C1A06" w:rsidRDefault="00D875C0" w:rsidP="00D875C0">
      <w:pPr>
        <w:autoSpaceDE w:val="0"/>
        <w:autoSpaceDN w:val="0"/>
        <w:adjustRightInd w:val="0"/>
        <w:spacing w:after="0" w:line="240" w:lineRule="auto"/>
        <w:rPr>
          <w:rFonts w:ascii="Times New Roman" w:hAnsi="Times New Roman"/>
        </w:rPr>
      </w:pPr>
      <w:r w:rsidRPr="001F2C46">
        <w:rPr>
          <w:rFonts w:ascii="Times New Roman" w:hAnsi="Times New Roman"/>
        </w:rPr>
        <w:t>Labai reti: Vienu atveju pasireiškusi alopecija nepraėjo iki tyrimo pabaigos. 73</w:t>
      </w:r>
      <w:r w:rsidR="001B7EB2" w:rsidRPr="001F2C46">
        <w:rPr>
          <w:rFonts w:ascii="Times New Roman" w:hAnsi="Times New Roman"/>
        </w:rPr>
        <w:t> </w:t>
      </w:r>
      <w:r w:rsidRPr="00427D92">
        <w:rPr>
          <w:rFonts w:ascii="Times New Roman" w:hAnsi="Times New Roman"/>
        </w:rPr>
        <w:t>% odos reakcijų praėjo per 21</w:t>
      </w:r>
      <w:r w:rsidR="001B7EB2" w:rsidRPr="00C722B4">
        <w:rPr>
          <w:rFonts w:ascii="Times New Roman" w:hAnsi="Times New Roman"/>
        </w:rPr>
        <w:t> </w:t>
      </w:r>
      <w:r w:rsidRPr="007C1A06">
        <w:rPr>
          <w:rFonts w:ascii="Times New Roman" w:hAnsi="Times New Roman"/>
        </w:rPr>
        <w:t>dieną.</w:t>
      </w:r>
    </w:p>
    <w:p w14:paraId="16A07BE7" w14:textId="77777777" w:rsidR="00D875C0" w:rsidRPr="007C1A06" w:rsidRDefault="00D875C0" w:rsidP="00D875C0">
      <w:pPr>
        <w:autoSpaceDE w:val="0"/>
        <w:autoSpaceDN w:val="0"/>
        <w:adjustRightInd w:val="0"/>
        <w:spacing w:after="0" w:line="240" w:lineRule="auto"/>
        <w:rPr>
          <w:rFonts w:ascii="Times New Roman" w:hAnsi="Times New Roman"/>
        </w:rPr>
      </w:pPr>
    </w:p>
    <w:p w14:paraId="25BDFF6C"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i/>
        </w:rPr>
        <w:t>Bendrieji sutrikimai ir vartojimo vietos pažeidimai</w:t>
      </w:r>
    </w:p>
    <w:p w14:paraId="04FC960C"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Kumuliacinės dozės, kurią pasiekus reikėdavo nutraukti gydymą, mediana buvo didesnė kaip 1000</w:t>
      </w:r>
      <w:r w:rsidR="001B7EB2"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skysčių susilaikymo trukmės mediana – 16,4</w:t>
      </w:r>
      <w:r w:rsidR="001B7EB2" w:rsidRPr="007C1A06">
        <w:rPr>
          <w:rFonts w:ascii="Times New Roman" w:hAnsi="Times New Roman"/>
        </w:rPr>
        <w:t> </w:t>
      </w:r>
      <w:r w:rsidRPr="007C1A06">
        <w:rPr>
          <w:rFonts w:ascii="Times New Roman" w:hAnsi="Times New Roman"/>
        </w:rPr>
        <w:t>savaitės (nuo 0 iki 42</w:t>
      </w:r>
      <w:r w:rsidR="001B7EB2" w:rsidRPr="007C1A06">
        <w:rPr>
          <w:rFonts w:ascii="Times New Roman" w:hAnsi="Times New Roman"/>
        </w:rPr>
        <w:t> </w:t>
      </w:r>
      <w:r w:rsidRPr="007C1A06">
        <w:rPr>
          <w:rFonts w:ascii="Times New Roman" w:hAnsi="Times New Roman"/>
        </w:rPr>
        <w:t>savaičių). Atlikus premedikaciją, vidutinio sunkumo ir sunkus skysčių susilaikymas pasireikšdavo vėliau (kumuliacinės dozės mediana – 818,9</w:t>
      </w:r>
      <w:r w:rsidR="001B7EB2"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negu jos neatlikus (kumuliacinės dozės mediana – 489,7</w:t>
      </w:r>
      <w:r w:rsidR="001B7EB2"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Tačiau kai kuriems pacientams ši komplikacija pasireiškė pi</w:t>
      </w:r>
      <w:r w:rsidR="00807371" w:rsidRPr="007C1A06">
        <w:rPr>
          <w:rFonts w:ascii="Times New Roman" w:hAnsi="Times New Roman"/>
        </w:rPr>
        <w:t>r</w:t>
      </w:r>
      <w:r w:rsidRPr="007C1A06">
        <w:rPr>
          <w:rFonts w:ascii="Times New Roman" w:hAnsi="Times New Roman"/>
        </w:rPr>
        <w:t>mųjų gydymo kursų metu.</w:t>
      </w:r>
    </w:p>
    <w:p w14:paraId="69150C98" w14:textId="77777777" w:rsidR="00D875C0" w:rsidRPr="007C1A06" w:rsidRDefault="00D875C0" w:rsidP="00D875C0">
      <w:pPr>
        <w:autoSpaceDE w:val="0"/>
        <w:autoSpaceDN w:val="0"/>
        <w:adjustRightInd w:val="0"/>
        <w:spacing w:after="0" w:line="240" w:lineRule="auto"/>
        <w:rPr>
          <w:rFonts w:ascii="Times New Roman" w:hAnsi="Times New Roman"/>
        </w:rPr>
      </w:pPr>
    </w:p>
    <w:p w14:paraId="679112EF"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4E3CD5">
        <w:rPr>
          <w:rFonts w:ascii="Times New Roman" w:hAnsi="Times New Roman"/>
          <w:u w:val="single"/>
        </w:rPr>
        <w:t>Nepageidaujam</w:t>
      </w:r>
      <w:r w:rsidRPr="004E3CD5">
        <w:rPr>
          <w:rFonts w:ascii="Times New Roman" w:hAnsi="Times New Roman" w:hint="eastAsia"/>
          <w:u w:val="single"/>
        </w:rPr>
        <w:t>ų</w:t>
      </w:r>
      <w:r w:rsidRPr="004E3CD5">
        <w:rPr>
          <w:rFonts w:ascii="Times New Roman" w:hAnsi="Times New Roman"/>
          <w:u w:val="single"/>
        </w:rPr>
        <w:t xml:space="preserve"> reakcij</w:t>
      </w:r>
      <w:r w:rsidRPr="004E3CD5">
        <w:rPr>
          <w:rFonts w:ascii="Times New Roman" w:hAnsi="Times New Roman" w:hint="eastAsia"/>
          <w:u w:val="single"/>
        </w:rPr>
        <w:t>ų</w:t>
      </w:r>
      <w:r w:rsidRPr="004E3CD5">
        <w:rPr>
          <w:rFonts w:ascii="Times New Roman" w:hAnsi="Times New Roman"/>
          <w:u w:val="single"/>
        </w:rPr>
        <w:t>, atsiradusi</w:t>
      </w:r>
      <w:r w:rsidRPr="004E3CD5">
        <w:rPr>
          <w:rFonts w:ascii="Times New Roman" w:hAnsi="Times New Roman" w:hint="eastAsia"/>
          <w:u w:val="single"/>
        </w:rPr>
        <w:t>ų</w:t>
      </w:r>
      <w:r w:rsidRPr="004E3CD5">
        <w:rPr>
          <w:rFonts w:ascii="Times New Roman" w:hAnsi="Times New Roman"/>
          <w:u w:val="single"/>
        </w:rPr>
        <w:t xml:space="preserve"> </w:t>
      </w:r>
      <w:r w:rsidRPr="00F957E7">
        <w:rPr>
          <w:rFonts w:ascii="Times New Roman" w:hAnsi="Times New Roman"/>
          <w:u w:val="single"/>
        </w:rPr>
        <w:t>vartojant Docetaxel Ebewe 75</w:t>
      </w:r>
      <w:r w:rsidR="001B7EB2" w:rsidRPr="00F95B76">
        <w:rPr>
          <w:rFonts w:ascii="Times New Roman" w:hAnsi="Times New Roman"/>
          <w:u w:val="single"/>
        </w:rPr>
        <w:t> </w:t>
      </w:r>
      <w:r w:rsidRPr="004E3CD5">
        <w:rPr>
          <w:rFonts w:ascii="Times New Roman" w:hAnsi="Times New Roman"/>
          <w:u w:val="single"/>
        </w:rPr>
        <w:t>mg/m² doz</w:t>
      </w:r>
      <w:r w:rsidRPr="004E3CD5">
        <w:rPr>
          <w:rFonts w:ascii="Times New Roman" w:hAnsi="Times New Roman" w:hint="eastAsia"/>
          <w:u w:val="single"/>
        </w:rPr>
        <w:t>ę</w:t>
      </w:r>
      <w:r w:rsidRPr="004E3CD5">
        <w:rPr>
          <w:rFonts w:ascii="Times New Roman" w:hAnsi="Times New Roman"/>
          <w:u w:val="single"/>
        </w:rPr>
        <w:t xml:space="preserve"> nesmulki</w:t>
      </w:r>
      <w:r w:rsidRPr="004E3CD5">
        <w:rPr>
          <w:rFonts w:ascii="Times New Roman" w:hAnsi="Times New Roman" w:hint="eastAsia"/>
          <w:u w:val="single"/>
        </w:rPr>
        <w:t>ų</w:t>
      </w:r>
      <w:r w:rsidRPr="004E3CD5">
        <w:rPr>
          <w:rFonts w:ascii="Times New Roman" w:hAnsi="Times New Roman"/>
          <w:u w:val="single"/>
        </w:rPr>
        <w:t>j</w:t>
      </w:r>
      <w:r w:rsidRPr="004E3CD5">
        <w:rPr>
          <w:rFonts w:ascii="Times New Roman" w:hAnsi="Times New Roman" w:hint="eastAsia"/>
          <w:u w:val="single"/>
        </w:rPr>
        <w:t>ų</w:t>
      </w:r>
      <w:r w:rsidRPr="004E3CD5">
        <w:rPr>
          <w:rFonts w:ascii="Times New Roman" w:hAnsi="Times New Roman"/>
          <w:u w:val="single"/>
        </w:rPr>
        <w:t xml:space="preserve"> l</w:t>
      </w:r>
      <w:r w:rsidRPr="004E3CD5">
        <w:rPr>
          <w:rFonts w:ascii="Times New Roman" w:hAnsi="Times New Roman" w:hint="eastAsia"/>
          <w:u w:val="single"/>
        </w:rPr>
        <w:t>ą</w:t>
      </w:r>
      <w:r w:rsidRPr="004E3CD5">
        <w:rPr>
          <w:rFonts w:ascii="Times New Roman" w:hAnsi="Times New Roman"/>
          <w:u w:val="single"/>
        </w:rPr>
        <w:t>steli</w:t>
      </w:r>
      <w:r w:rsidRPr="004E3CD5">
        <w:rPr>
          <w:rFonts w:ascii="Times New Roman" w:hAnsi="Times New Roman" w:hint="eastAsia"/>
          <w:u w:val="single"/>
        </w:rPr>
        <w:t>ų</w:t>
      </w:r>
      <w:r w:rsidRPr="004E3CD5">
        <w:rPr>
          <w:rFonts w:ascii="Times New Roman" w:hAnsi="Times New Roman"/>
          <w:u w:val="single"/>
        </w:rPr>
        <w:t xml:space="preserve"> plau</w:t>
      </w:r>
      <w:r w:rsidRPr="004E3CD5">
        <w:rPr>
          <w:rFonts w:ascii="Times New Roman" w:hAnsi="Times New Roman" w:hint="eastAsia"/>
          <w:u w:val="single"/>
        </w:rPr>
        <w:t>č</w:t>
      </w:r>
      <w:r w:rsidRPr="004E3CD5">
        <w:rPr>
          <w:rFonts w:ascii="Times New Roman" w:hAnsi="Times New Roman"/>
          <w:u w:val="single"/>
        </w:rPr>
        <w:t>i</w:t>
      </w:r>
      <w:r w:rsidRPr="004E3CD5">
        <w:rPr>
          <w:rFonts w:ascii="Times New Roman" w:hAnsi="Times New Roman" w:hint="eastAsia"/>
          <w:u w:val="single"/>
        </w:rPr>
        <w:t>ų</w:t>
      </w:r>
      <w:r w:rsidRPr="004E3CD5">
        <w:rPr>
          <w:rFonts w:ascii="Times New Roman" w:hAnsi="Times New Roman"/>
          <w:u w:val="single"/>
        </w:rPr>
        <w:t xml:space="preserve"> v</w:t>
      </w:r>
      <w:r w:rsidRPr="004E3CD5">
        <w:rPr>
          <w:rFonts w:ascii="Times New Roman" w:hAnsi="Times New Roman" w:hint="eastAsia"/>
          <w:u w:val="single"/>
        </w:rPr>
        <w:t>ėž</w:t>
      </w:r>
      <w:r w:rsidRPr="004E3CD5">
        <w:rPr>
          <w:rFonts w:ascii="Times New Roman" w:hAnsi="Times New Roman"/>
          <w:u w:val="single"/>
        </w:rPr>
        <w:t>io monoterapijai, s</w:t>
      </w:r>
      <w:r w:rsidRPr="004E3CD5">
        <w:rPr>
          <w:rFonts w:ascii="Times New Roman" w:hAnsi="Times New Roman" w:hint="eastAsia"/>
          <w:u w:val="single"/>
        </w:rPr>
        <w:t>ą</w:t>
      </w:r>
      <w:r w:rsidRPr="004E3CD5">
        <w:rPr>
          <w:rFonts w:ascii="Times New Roman" w:hAnsi="Times New Roman"/>
          <w:u w:val="single"/>
        </w:rPr>
        <w:t>rašas lentel</w:t>
      </w:r>
      <w:r w:rsidRPr="004E3CD5">
        <w:rPr>
          <w:rFonts w:ascii="Times New Roman" w:hAnsi="Times New Roman" w:hint="eastAsia"/>
          <w:u w:val="single"/>
        </w:rPr>
        <w:t>ė</w:t>
      </w:r>
      <w:r w:rsidRPr="004E3CD5">
        <w:rPr>
          <w:rFonts w:ascii="Times New Roman" w:hAnsi="Times New Roman"/>
          <w:u w:val="single"/>
        </w:rPr>
        <w:t>s forma</w:t>
      </w:r>
    </w:p>
    <w:p w14:paraId="4390545C" w14:textId="77777777" w:rsidR="00D875C0" w:rsidRPr="00F957E7" w:rsidRDefault="00D875C0" w:rsidP="00D875C0">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3059"/>
        <w:gridCol w:w="3059"/>
      </w:tblGrid>
      <w:tr w:rsidR="00F95B76" w:rsidRPr="007C1A06" w14:paraId="670E1BCF" w14:textId="77777777" w:rsidTr="00915C14">
        <w:tc>
          <w:tcPr>
            <w:tcW w:w="3058" w:type="dxa"/>
            <w:shd w:val="clear" w:color="auto" w:fill="D9D9D9" w:themeFill="background1" w:themeFillShade="D9"/>
          </w:tcPr>
          <w:p w14:paraId="130118BA"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b/>
              </w:rPr>
              <w:t>MedDRA organų sistemų klasės</w:t>
            </w:r>
          </w:p>
          <w:p w14:paraId="2C1E601A" w14:textId="77777777" w:rsidR="00D875C0" w:rsidRPr="001F2C46" w:rsidRDefault="00D875C0" w:rsidP="003876F8">
            <w:pPr>
              <w:spacing w:after="0" w:line="240" w:lineRule="auto"/>
              <w:rPr>
                <w:rFonts w:ascii="Times New Roman" w:hAnsi="Times New Roman"/>
              </w:rPr>
            </w:pPr>
          </w:p>
        </w:tc>
        <w:tc>
          <w:tcPr>
            <w:tcW w:w="3114" w:type="dxa"/>
            <w:shd w:val="clear" w:color="auto" w:fill="D9D9D9" w:themeFill="background1" w:themeFillShade="D9"/>
          </w:tcPr>
          <w:p w14:paraId="245998B1" w14:textId="77777777" w:rsidR="00D875C0" w:rsidRPr="00427D92" w:rsidRDefault="00D875C0" w:rsidP="003876F8">
            <w:pPr>
              <w:autoSpaceDE w:val="0"/>
              <w:autoSpaceDN w:val="0"/>
              <w:adjustRightInd w:val="0"/>
              <w:spacing w:after="0" w:line="240" w:lineRule="auto"/>
              <w:rPr>
                <w:rFonts w:ascii="Times New Roman" w:hAnsi="Times New Roman"/>
                <w:b/>
              </w:rPr>
            </w:pPr>
            <w:r w:rsidRPr="00427D92">
              <w:rPr>
                <w:rFonts w:ascii="Times New Roman" w:hAnsi="Times New Roman"/>
                <w:b/>
              </w:rPr>
              <w:t>Labai dažnos nepageidaujamos reakcijos</w:t>
            </w:r>
          </w:p>
        </w:tc>
        <w:tc>
          <w:tcPr>
            <w:tcW w:w="3114" w:type="dxa"/>
            <w:shd w:val="clear" w:color="auto" w:fill="D9D9D9" w:themeFill="background1" w:themeFillShade="D9"/>
          </w:tcPr>
          <w:p w14:paraId="1C439093" w14:textId="77777777" w:rsidR="00D875C0" w:rsidRPr="00C722B4" w:rsidRDefault="00D875C0" w:rsidP="003876F8">
            <w:pPr>
              <w:autoSpaceDE w:val="0"/>
              <w:autoSpaceDN w:val="0"/>
              <w:adjustRightInd w:val="0"/>
              <w:spacing w:after="0" w:line="240" w:lineRule="auto"/>
              <w:rPr>
                <w:rFonts w:ascii="Times New Roman" w:hAnsi="Times New Roman"/>
                <w:b/>
              </w:rPr>
            </w:pPr>
            <w:r w:rsidRPr="00C722B4">
              <w:rPr>
                <w:rFonts w:ascii="Times New Roman" w:hAnsi="Times New Roman"/>
                <w:b/>
              </w:rPr>
              <w:t>Dažnos nepageidaujamos reakcijos</w:t>
            </w:r>
          </w:p>
        </w:tc>
      </w:tr>
      <w:tr w:rsidR="00D875C0" w:rsidRPr="007C1A06" w14:paraId="27C9D8EF" w14:textId="77777777" w:rsidTr="004E3CD5">
        <w:tc>
          <w:tcPr>
            <w:tcW w:w="3058" w:type="dxa"/>
          </w:tcPr>
          <w:p w14:paraId="234DCE2F" w14:textId="77777777" w:rsidR="00D875C0" w:rsidRPr="00F95B76" w:rsidRDefault="00D875C0" w:rsidP="003876F8">
            <w:pPr>
              <w:autoSpaceDE w:val="0"/>
              <w:autoSpaceDN w:val="0"/>
              <w:adjustRightInd w:val="0"/>
              <w:spacing w:after="0" w:line="240" w:lineRule="auto"/>
              <w:rPr>
                <w:rFonts w:ascii="Times New Roman" w:hAnsi="Times New Roman"/>
                <w:b/>
              </w:rPr>
            </w:pPr>
            <w:r w:rsidRPr="00F957E7">
              <w:rPr>
                <w:rFonts w:ascii="Times New Roman" w:hAnsi="Times New Roman"/>
              </w:rPr>
              <w:t>Infekcijos ir infestacijos</w:t>
            </w:r>
          </w:p>
        </w:tc>
        <w:tc>
          <w:tcPr>
            <w:tcW w:w="3114" w:type="dxa"/>
          </w:tcPr>
          <w:p w14:paraId="7AEBAFD2" w14:textId="77777777" w:rsidR="00D875C0" w:rsidRPr="00C722B4" w:rsidRDefault="00D875C0" w:rsidP="001B7EB2">
            <w:pPr>
              <w:autoSpaceDE w:val="0"/>
              <w:autoSpaceDN w:val="0"/>
              <w:adjustRightInd w:val="0"/>
              <w:spacing w:after="0" w:line="240" w:lineRule="auto"/>
              <w:rPr>
                <w:rFonts w:ascii="Times New Roman" w:hAnsi="Times New Roman"/>
                <w:b/>
              </w:rPr>
            </w:pPr>
            <w:r w:rsidRPr="001F2C46">
              <w:rPr>
                <w:rFonts w:ascii="Times New Roman" w:hAnsi="Times New Roman"/>
              </w:rPr>
              <w:t>Infekcija (3</w:t>
            </w:r>
            <w:r w:rsidR="001B7EB2" w:rsidRPr="001F2C46">
              <w:rPr>
                <w:rFonts w:ascii="Times New Roman" w:hAnsi="Times New Roman"/>
              </w:rPr>
              <w:noBreakHyphen/>
            </w:r>
            <w:r w:rsidRPr="001F2C46">
              <w:rPr>
                <w:rFonts w:ascii="Times New Roman" w:hAnsi="Times New Roman"/>
              </w:rPr>
              <w:t>4</w:t>
            </w:r>
            <w:r w:rsidR="001B7EB2" w:rsidRPr="001F2C46">
              <w:rPr>
                <w:rFonts w:ascii="Times New Roman" w:hAnsi="Times New Roman"/>
              </w:rPr>
              <w:t> </w:t>
            </w:r>
            <w:r w:rsidRPr="001F2C46">
              <w:rPr>
                <w:rFonts w:ascii="Times New Roman" w:hAnsi="Times New Roman"/>
              </w:rPr>
              <w:t>laipsnio – 5</w:t>
            </w:r>
            <w:r w:rsidR="001B7EB2" w:rsidRPr="001F2C46">
              <w:rPr>
                <w:rFonts w:ascii="Times New Roman" w:hAnsi="Times New Roman"/>
              </w:rPr>
              <w:t> </w:t>
            </w:r>
            <w:r w:rsidRPr="00427D92">
              <w:rPr>
                <w:rFonts w:ascii="Times New Roman" w:hAnsi="Times New Roman"/>
              </w:rPr>
              <w:t>%)</w:t>
            </w:r>
          </w:p>
        </w:tc>
        <w:tc>
          <w:tcPr>
            <w:tcW w:w="3114" w:type="dxa"/>
          </w:tcPr>
          <w:p w14:paraId="3EC507D2"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53CF67D1" w14:textId="77777777" w:rsidTr="004E3CD5">
        <w:tc>
          <w:tcPr>
            <w:tcW w:w="3058" w:type="dxa"/>
          </w:tcPr>
          <w:p w14:paraId="059413E8"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Kraujo ir limfinės sistemos sutrikimai</w:t>
            </w:r>
          </w:p>
        </w:tc>
        <w:tc>
          <w:tcPr>
            <w:tcW w:w="3114" w:type="dxa"/>
          </w:tcPr>
          <w:p w14:paraId="1CCC5EE9" w14:textId="77777777" w:rsidR="00D875C0" w:rsidRPr="00C722B4"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Neutropenija (3</w:t>
            </w:r>
            <w:r w:rsidR="001B7EB2" w:rsidRPr="001F2C46">
              <w:rPr>
                <w:rFonts w:ascii="Times New Roman" w:hAnsi="Times New Roman"/>
              </w:rPr>
              <w:noBreakHyphen/>
            </w:r>
            <w:r w:rsidRPr="001F2C46">
              <w:rPr>
                <w:rFonts w:ascii="Times New Roman" w:hAnsi="Times New Roman"/>
              </w:rPr>
              <w:t>4</w:t>
            </w:r>
            <w:r w:rsidR="001B7EB2" w:rsidRPr="001F2C46">
              <w:rPr>
                <w:rFonts w:ascii="Times New Roman" w:hAnsi="Times New Roman"/>
              </w:rPr>
              <w:t> </w:t>
            </w:r>
            <w:r w:rsidRPr="001F2C46">
              <w:rPr>
                <w:rFonts w:ascii="Times New Roman" w:hAnsi="Times New Roman"/>
              </w:rPr>
              <w:t>laipsnio –54,2</w:t>
            </w:r>
            <w:r w:rsidR="001B7EB2" w:rsidRPr="00427D92">
              <w:rPr>
                <w:rFonts w:ascii="Times New Roman" w:hAnsi="Times New Roman"/>
              </w:rPr>
              <w:t> </w:t>
            </w:r>
            <w:r w:rsidRPr="00C722B4">
              <w:rPr>
                <w:rFonts w:ascii="Times New Roman" w:hAnsi="Times New Roman"/>
              </w:rPr>
              <w:t>%);</w:t>
            </w:r>
          </w:p>
          <w:p w14:paraId="6761C9E3"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Anemija (3</w:t>
            </w:r>
            <w:r w:rsidR="001B7EB2" w:rsidRPr="007C1A06">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 10,8</w:t>
            </w:r>
            <w:r w:rsidR="001B7EB2" w:rsidRPr="007C1A06">
              <w:rPr>
                <w:rFonts w:ascii="Times New Roman" w:hAnsi="Times New Roman"/>
              </w:rPr>
              <w:t> </w:t>
            </w:r>
            <w:r w:rsidRPr="007C1A06">
              <w:rPr>
                <w:rFonts w:ascii="Times New Roman" w:hAnsi="Times New Roman"/>
              </w:rPr>
              <w:t>%);</w:t>
            </w:r>
          </w:p>
          <w:p w14:paraId="2D8B00FA" w14:textId="77777777" w:rsidR="00D875C0" w:rsidRPr="004E3CD5" w:rsidRDefault="00D875C0" w:rsidP="001B7EB2">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Trombocitopenija (4</w:t>
            </w:r>
            <w:r w:rsidR="001B7EB2" w:rsidRPr="007C1A06">
              <w:rPr>
                <w:rFonts w:ascii="Times New Roman" w:hAnsi="Times New Roman"/>
              </w:rPr>
              <w:t> </w:t>
            </w:r>
            <w:r w:rsidRPr="007C1A06">
              <w:rPr>
                <w:rFonts w:ascii="Times New Roman" w:hAnsi="Times New Roman"/>
              </w:rPr>
              <w:t>laipsnio – 1,7</w:t>
            </w:r>
            <w:r w:rsidR="001B7EB2" w:rsidRPr="007C1A06">
              <w:rPr>
                <w:rFonts w:ascii="Times New Roman" w:hAnsi="Times New Roman"/>
              </w:rPr>
              <w:t> </w:t>
            </w:r>
            <w:r w:rsidRPr="007C1A06">
              <w:rPr>
                <w:rFonts w:ascii="Times New Roman" w:hAnsi="Times New Roman"/>
              </w:rPr>
              <w:t>%)</w:t>
            </w:r>
          </w:p>
        </w:tc>
        <w:tc>
          <w:tcPr>
            <w:tcW w:w="3114" w:type="dxa"/>
          </w:tcPr>
          <w:p w14:paraId="48B145CB"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Febrilinė neutropenija</w:t>
            </w:r>
          </w:p>
        </w:tc>
      </w:tr>
      <w:tr w:rsidR="00D875C0" w:rsidRPr="007C1A06" w14:paraId="1AB1D808" w14:textId="77777777" w:rsidTr="004E3CD5">
        <w:tc>
          <w:tcPr>
            <w:tcW w:w="3058" w:type="dxa"/>
          </w:tcPr>
          <w:p w14:paraId="56CEAC6B"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Imuninės sistemos sutrikimai</w:t>
            </w:r>
          </w:p>
        </w:tc>
        <w:tc>
          <w:tcPr>
            <w:tcW w:w="3114" w:type="dxa"/>
          </w:tcPr>
          <w:p w14:paraId="51B96980"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3114" w:type="dxa"/>
          </w:tcPr>
          <w:p w14:paraId="51112B2A"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Padidėjęs jautrumas (nesunkus)</w:t>
            </w:r>
          </w:p>
        </w:tc>
      </w:tr>
      <w:tr w:rsidR="00D875C0" w:rsidRPr="007C1A06" w14:paraId="3C1B3E43" w14:textId="77777777" w:rsidTr="004E3CD5">
        <w:tc>
          <w:tcPr>
            <w:tcW w:w="3058" w:type="dxa"/>
          </w:tcPr>
          <w:p w14:paraId="33B9625B"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Metabolizmo ir mitybos sutrikimai</w:t>
            </w:r>
          </w:p>
        </w:tc>
        <w:tc>
          <w:tcPr>
            <w:tcW w:w="3114" w:type="dxa"/>
          </w:tcPr>
          <w:p w14:paraId="69FF006B"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Anoreksija</w:t>
            </w:r>
          </w:p>
        </w:tc>
        <w:tc>
          <w:tcPr>
            <w:tcW w:w="3114" w:type="dxa"/>
          </w:tcPr>
          <w:p w14:paraId="76BFEE05" w14:textId="77777777" w:rsidR="00D875C0" w:rsidRPr="00427D92" w:rsidRDefault="00D875C0" w:rsidP="003876F8">
            <w:pPr>
              <w:autoSpaceDE w:val="0"/>
              <w:autoSpaceDN w:val="0"/>
              <w:adjustRightInd w:val="0"/>
              <w:spacing w:after="0" w:line="240" w:lineRule="auto"/>
              <w:rPr>
                <w:rFonts w:ascii="Times New Roman" w:hAnsi="Times New Roman"/>
              </w:rPr>
            </w:pPr>
          </w:p>
        </w:tc>
      </w:tr>
      <w:tr w:rsidR="00D875C0" w:rsidRPr="007C1A06" w14:paraId="3CD04693" w14:textId="77777777" w:rsidTr="004E3CD5">
        <w:tc>
          <w:tcPr>
            <w:tcW w:w="3058" w:type="dxa"/>
          </w:tcPr>
          <w:p w14:paraId="7C306155"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Nervų sistemos sutrikimai</w:t>
            </w:r>
          </w:p>
        </w:tc>
        <w:tc>
          <w:tcPr>
            <w:tcW w:w="3114" w:type="dxa"/>
          </w:tcPr>
          <w:p w14:paraId="671307A4" w14:textId="77777777" w:rsidR="00D875C0" w:rsidRPr="00F95B76" w:rsidRDefault="00D875C0" w:rsidP="001B7EB2">
            <w:pPr>
              <w:autoSpaceDE w:val="0"/>
              <w:autoSpaceDN w:val="0"/>
              <w:adjustRightInd w:val="0"/>
              <w:spacing w:after="0" w:line="240" w:lineRule="auto"/>
              <w:rPr>
                <w:rFonts w:ascii="Times New Roman" w:hAnsi="Times New Roman"/>
              </w:rPr>
            </w:pPr>
            <w:r w:rsidRPr="001F2C46">
              <w:rPr>
                <w:rFonts w:ascii="Times New Roman" w:hAnsi="Times New Roman"/>
              </w:rPr>
              <w:t>Periferinė sensorinė neuropatija</w:t>
            </w:r>
            <w:r w:rsidRPr="00F957E7">
              <w:rPr>
                <w:rFonts w:ascii="Times New Roman" w:hAnsi="Times New Roman"/>
              </w:rPr>
              <w:t>(3</w:t>
            </w:r>
            <w:r w:rsidR="001B7EB2" w:rsidRPr="00F95B76">
              <w:rPr>
                <w:rFonts w:ascii="Times New Roman" w:hAnsi="Times New Roman"/>
              </w:rPr>
              <w:noBreakHyphen/>
            </w:r>
            <w:r w:rsidRPr="00F95B76">
              <w:rPr>
                <w:rFonts w:ascii="Times New Roman" w:hAnsi="Times New Roman"/>
              </w:rPr>
              <w:t>4</w:t>
            </w:r>
            <w:r w:rsidR="001B7EB2" w:rsidRPr="00F95B76">
              <w:rPr>
                <w:rFonts w:ascii="Times New Roman" w:hAnsi="Times New Roman"/>
              </w:rPr>
              <w:t> </w:t>
            </w:r>
            <w:r w:rsidRPr="00F95B76">
              <w:rPr>
                <w:rFonts w:ascii="Times New Roman" w:hAnsi="Times New Roman"/>
              </w:rPr>
              <w:t>laipsnio – 0,8</w:t>
            </w:r>
            <w:r w:rsidR="001B7EB2" w:rsidRPr="00F95B76">
              <w:rPr>
                <w:rFonts w:ascii="Times New Roman" w:hAnsi="Times New Roman"/>
              </w:rPr>
              <w:t> </w:t>
            </w:r>
            <w:r w:rsidRPr="00F95B76">
              <w:rPr>
                <w:rFonts w:ascii="Times New Roman" w:hAnsi="Times New Roman"/>
              </w:rPr>
              <w:t>%)</w:t>
            </w:r>
          </w:p>
        </w:tc>
        <w:tc>
          <w:tcPr>
            <w:tcW w:w="3114" w:type="dxa"/>
          </w:tcPr>
          <w:p w14:paraId="601911E4" w14:textId="77777777" w:rsidR="00D875C0" w:rsidRPr="00F95B76" w:rsidRDefault="00D875C0" w:rsidP="001B7EB2">
            <w:pPr>
              <w:autoSpaceDE w:val="0"/>
              <w:autoSpaceDN w:val="0"/>
              <w:adjustRightInd w:val="0"/>
              <w:spacing w:after="0" w:line="240" w:lineRule="auto"/>
              <w:rPr>
                <w:rFonts w:ascii="Times New Roman" w:hAnsi="Times New Roman"/>
              </w:rPr>
            </w:pPr>
            <w:r w:rsidRPr="001F2C46">
              <w:rPr>
                <w:rFonts w:ascii="Times New Roman" w:hAnsi="Times New Roman"/>
              </w:rPr>
              <w:t>Periferinė motorinė neuropatija</w:t>
            </w:r>
            <w:r w:rsidRPr="00F957E7">
              <w:rPr>
                <w:rFonts w:ascii="Times New Roman" w:hAnsi="Times New Roman"/>
              </w:rPr>
              <w:t>(3</w:t>
            </w:r>
            <w:r w:rsidR="001B7EB2" w:rsidRPr="00F95B76">
              <w:rPr>
                <w:rFonts w:ascii="Times New Roman" w:hAnsi="Times New Roman"/>
              </w:rPr>
              <w:noBreakHyphen/>
            </w:r>
            <w:r w:rsidRPr="00F95B76">
              <w:rPr>
                <w:rFonts w:ascii="Times New Roman" w:hAnsi="Times New Roman"/>
              </w:rPr>
              <w:t>4</w:t>
            </w:r>
            <w:r w:rsidR="001B7EB2" w:rsidRPr="00F95B76">
              <w:rPr>
                <w:rFonts w:ascii="Times New Roman" w:hAnsi="Times New Roman"/>
              </w:rPr>
              <w:t> </w:t>
            </w:r>
            <w:r w:rsidRPr="00F95B76">
              <w:rPr>
                <w:rFonts w:ascii="Times New Roman" w:hAnsi="Times New Roman"/>
              </w:rPr>
              <w:t>laipsnio – 2,5</w:t>
            </w:r>
            <w:r w:rsidR="001B7EB2" w:rsidRPr="00F95B76">
              <w:rPr>
                <w:rFonts w:ascii="Times New Roman" w:hAnsi="Times New Roman"/>
              </w:rPr>
              <w:t> </w:t>
            </w:r>
            <w:r w:rsidRPr="00F95B76">
              <w:rPr>
                <w:rFonts w:ascii="Times New Roman" w:hAnsi="Times New Roman"/>
              </w:rPr>
              <w:t>%)</w:t>
            </w:r>
          </w:p>
        </w:tc>
      </w:tr>
      <w:tr w:rsidR="00D875C0" w:rsidRPr="007C1A06" w14:paraId="56736041" w14:textId="77777777" w:rsidTr="004E3CD5">
        <w:tc>
          <w:tcPr>
            <w:tcW w:w="3058" w:type="dxa"/>
          </w:tcPr>
          <w:p w14:paraId="1D303AB7"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Širdies sutrikimai</w:t>
            </w:r>
          </w:p>
        </w:tc>
        <w:tc>
          <w:tcPr>
            <w:tcW w:w="3114" w:type="dxa"/>
          </w:tcPr>
          <w:p w14:paraId="5E4932A1"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3114" w:type="dxa"/>
          </w:tcPr>
          <w:p w14:paraId="39283483"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Aritmija (nesunki)</w:t>
            </w:r>
          </w:p>
        </w:tc>
      </w:tr>
      <w:tr w:rsidR="00D875C0" w:rsidRPr="007C1A06" w14:paraId="5D93BAA3" w14:textId="77777777" w:rsidTr="004E3CD5">
        <w:tc>
          <w:tcPr>
            <w:tcW w:w="3058" w:type="dxa"/>
          </w:tcPr>
          <w:p w14:paraId="23406F36"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Kraujagyslių sutrikimai</w:t>
            </w:r>
          </w:p>
        </w:tc>
        <w:tc>
          <w:tcPr>
            <w:tcW w:w="3114" w:type="dxa"/>
          </w:tcPr>
          <w:p w14:paraId="79F73D09"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3114" w:type="dxa"/>
          </w:tcPr>
          <w:p w14:paraId="1CED7AFB"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Hipotenzija</w:t>
            </w:r>
          </w:p>
        </w:tc>
      </w:tr>
      <w:tr w:rsidR="00D875C0" w:rsidRPr="007C1A06" w14:paraId="4F56D3A9" w14:textId="77777777" w:rsidTr="004E3CD5">
        <w:tc>
          <w:tcPr>
            <w:tcW w:w="3058" w:type="dxa"/>
          </w:tcPr>
          <w:p w14:paraId="076BD5B0"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Virškinimo trakto sutrikimai</w:t>
            </w:r>
          </w:p>
        </w:tc>
        <w:tc>
          <w:tcPr>
            <w:tcW w:w="3114" w:type="dxa"/>
          </w:tcPr>
          <w:p w14:paraId="4EF16594" w14:textId="77777777" w:rsidR="00D875C0" w:rsidRPr="00C722B4"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Pykinimas (3</w:t>
            </w:r>
            <w:r w:rsidR="001B7EB2" w:rsidRPr="001F2C46">
              <w:rPr>
                <w:rFonts w:ascii="Times New Roman" w:hAnsi="Times New Roman"/>
              </w:rPr>
              <w:noBreakHyphen/>
            </w:r>
            <w:r w:rsidRPr="001F2C46">
              <w:rPr>
                <w:rFonts w:ascii="Times New Roman" w:hAnsi="Times New Roman"/>
              </w:rPr>
              <w:t>4</w:t>
            </w:r>
            <w:r w:rsidR="001B7EB2" w:rsidRPr="001F2C46">
              <w:rPr>
                <w:rFonts w:ascii="Times New Roman" w:hAnsi="Times New Roman"/>
              </w:rPr>
              <w:t> </w:t>
            </w:r>
            <w:r w:rsidRPr="001F2C46">
              <w:rPr>
                <w:rFonts w:ascii="Times New Roman" w:hAnsi="Times New Roman"/>
              </w:rPr>
              <w:t>laipsnio – 3,3</w:t>
            </w:r>
            <w:r w:rsidR="001B7EB2" w:rsidRPr="00427D92">
              <w:rPr>
                <w:rFonts w:ascii="Times New Roman" w:hAnsi="Times New Roman"/>
              </w:rPr>
              <w:t> </w:t>
            </w:r>
            <w:r w:rsidRPr="00C722B4">
              <w:rPr>
                <w:rFonts w:ascii="Times New Roman" w:hAnsi="Times New Roman"/>
              </w:rPr>
              <w:t>%);</w:t>
            </w:r>
          </w:p>
          <w:p w14:paraId="1DD2B1CA"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Stomatitas (3</w:t>
            </w:r>
            <w:r w:rsidR="001B7EB2" w:rsidRPr="007C1A06">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–1,7</w:t>
            </w:r>
            <w:r w:rsidR="001B7EB2" w:rsidRPr="007C1A06">
              <w:rPr>
                <w:rFonts w:ascii="Times New Roman" w:hAnsi="Times New Roman"/>
              </w:rPr>
              <w:t> </w:t>
            </w:r>
            <w:r w:rsidRPr="007C1A06">
              <w:rPr>
                <w:rFonts w:ascii="Times New Roman" w:hAnsi="Times New Roman"/>
              </w:rPr>
              <w:t>%);</w:t>
            </w:r>
          </w:p>
          <w:p w14:paraId="36FB4FC0"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Vėmimas (3</w:t>
            </w:r>
            <w:r w:rsidR="001B7EB2" w:rsidRPr="007C1A06">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 0,8</w:t>
            </w:r>
            <w:r w:rsidR="001B7EB2" w:rsidRPr="007C1A06">
              <w:rPr>
                <w:rFonts w:ascii="Times New Roman" w:hAnsi="Times New Roman"/>
              </w:rPr>
              <w:t> </w:t>
            </w:r>
            <w:r w:rsidRPr="007C1A06">
              <w:rPr>
                <w:rFonts w:ascii="Times New Roman" w:hAnsi="Times New Roman"/>
              </w:rPr>
              <w:t>%);</w:t>
            </w:r>
          </w:p>
          <w:p w14:paraId="622F4985" w14:textId="77777777" w:rsidR="00D875C0" w:rsidRPr="004E3CD5" w:rsidRDefault="00D875C0" w:rsidP="001B7EB2">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Viduriavimas (3</w:t>
            </w:r>
            <w:r w:rsidR="001B7EB2" w:rsidRPr="007C1A06">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 1,7</w:t>
            </w:r>
            <w:r w:rsidR="001B7EB2" w:rsidRPr="007C1A06">
              <w:rPr>
                <w:rFonts w:ascii="Times New Roman" w:hAnsi="Times New Roman"/>
              </w:rPr>
              <w:t> </w:t>
            </w:r>
            <w:r w:rsidRPr="007C1A06">
              <w:rPr>
                <w:rFonts w:ascii="Times New Roman" w:hAnsi="Times New Roman"/>
              </w:rPr>
              <w:t>%)</w:t>
            </w:r>
          </w:p>
        </w:tc>
        <w:tc>
          <w:tcPr>
            <w:tcW w:w="3114" w:type="dxa"/>
          </w:tcPr>
          <w:p w14:paraId="4B246C2D"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Vidurių užkietėjimas</w:t>
            </w:r>
          </w:p>
        </w:tc>
      </w:tr>
      <w:tr w:rsidR="00D875C0" w:rsidRPr="007C1A06" w14:paraId="0268B0F9" w14:textId="77777777" w:rsidTr="004E3CD5">
        <w:tc>
          <w:tcPr>
            <w:tcW w:w="3058" w:type="dxa"/>
          </w:tcPr>
          <w:p w14:paraId="5102E804"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Odos ir poodinio audinio sutrikimai</w:t>
            </w:r>
          </w:p>
        </w:tc>
        <w:tc>
          <w:tcPr>
            <w:tcW w:w="3114" w:type="dxa"/>
          </w:tcPr>
          <w:p w14:paraId="778BB153"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Alopecija;</w:t>
            </w:r>
          </w:p>
          <w:p w14:paraId="451EAF1E" w14:textId="77777777" w:rsidR="00D875C0" w:rsidRPr="007C1A06" w:rsidRDefault="00D875C0" w:rsidP="001B7EB2">
            <w:pPr>
              <w:autoSpaceDE w:val="0"/>
              <w:autoSpaceDN w:val="0"/>
              <w:adjustRightInd w:val="0"/>
              <w:spacing w:after="0" w:line="240" w:lineRule="auto"/>
              <w:rPr>
                <w:rFonts w:ascii="Times New Roman" w:hAnsi="Times New Roman"/>
              </w:rPr>
            </w:pPr>
            <w:r w:rsidRPr="00427D92">
              <w:rPr>
                <w:rFonts w:ascii="Times New Roman" w:hAnsi="Times New Roman"/>
              </w:rPr>
              <w:t>Odos reakcija (3</w:t>
            </w:r>
            <w:r w:rsidR="001B7EB2" w:rsidRPr="00C722B4">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 0,8</w:t>
            </w:r>
            <w:r w:rsidR="001B7EB2" w:rsidRPr="007C1A06">
              <w:rPr>
                <w:rFonts w:ascii="Times New Roman" w:hAnsi="Times New Roman"/>
              </w:rPr>
              <w:t> </w:t>
            </w:r>
            <w:r w:rsidRPr="007C1A06">
              <w:rPr>
                <w:rFonts w:ascii="Times New Roman" w:hAnsi="Times New Roman"/>
              </w:rPr>
              <w:t>%)</w:t>
            </w:r>
          </w:p>
        </w:tc>
        <w:tc>
          <w:tcPr>
            <w:tcW w:w="3114" w:type="dxa"/>
          </w:tcPr>
          <w:p w14:paraId="4530F661" w14:textId="77777777" w:rsidR="00D875C0" w:rsidRPr="004E3CD5" w:rsidRDefault="00D875C0" w:rsidP="001B7EB2">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Nagų pažeidimai (sunkūs – 0,8</w:t>
            </w:r>
            <w:r w:rsidR="001B7EB2" w:rsidRPr="007C1A06">
              <w:rPr>
                <w:rFonts w:ascii="Times New Roman" w:hAnsi="Times New Roman"/>
              </w:rPr>
              <w:t> </w:t>
            </w:r>
            <w:r w:rsidRPr="007C1A06">
              <w:rPr>
                <w:rFonts w:ascii="Times New Roman" w:hAnsi="Times New Roman"/>
              </w:rPr>
              <w:t>%)</w:t>
            </w:r>
          </w:p>
        </w:tc>
      </w:tr>
      <w:tr w:rsidR="00D875C0" w:rsidRPr="007C1A06" w14:paraId="3C6637FA" w14:textId="77777777" w:rsidTr="004E3CD5">
        <w:tc>
          <w:tcPr>
            <w:tcW w:w="3058" w:type="dxa"/>
          </w:tcPr>
          <w:p w14:paraId="0559E9BF"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Skeleto, raumenų ir jungiamojo audinio sutrikimai</w:t>
            </w:r>
          </w:p>
        </w:tc>
        <w:tc>
          <w:tcPr>
            <w:tcW w:w="3114" w:type="dxa"/>
          </w:tcPr>
          <w:p w14:paraId="6568FB16"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3114" w:type="dxa"/>
          </w:tcPr>
          <w:p w14:paraId="07755C65"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Mialgija</w:t>
            </w:r>
          </w:p>
        </w:tc>
      </w:tr>
      <w:tr w:rsidR="00D875C0" w:rsidRPr="007C1A06" w14:paraId="68E35996" w14:textId="77777777" w:rsidTr="004E3CD5">
        <w:tc>
          <w:tcPr>
            <w:tcW w:w="3058" w:type="dxa"/>
          </w:tcPr>
          <w:p w14:paraId="387E4EE2"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 xml:space="preserve">Bendrieji sutrikimai ir vartojimo </w:t>
            </w:r>
            <w:r w:rsidRPr="00F95B76">
              <w:rPr>
                <w:rFonts w:ascii="Times New Roman" w:hAnsi="Times New Roman"/>
              </w:rPr>
              <w:t>vietos pažeidimai</w:t>
            </w:r>
          </w:p>
        </w:tc>
        <w:tc>
          <w:tcPr>
            <w:tcW w:w="3114" w:type="dxa"/>
          </w:tcPr>
          <w:p w14:paraId="60A4FE81"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Astenija (sunki – 12,4</w:t>
            </w:r>
            <w:r w:rsidR="001B7EB2" w:rsidRPr="001F2C46">
              <w:rPr>
                <w:rFonts w:ascii="Times New Roman" w:hAnsi="Times New Roman"/>
              </w:rPr>
              <w:t> </w:t>
            </w:r>
            <w:r w:rsidRPr="001F2C46">
              <w:rPr>
                <w:rFonts w:ascii="Times New Roman" w:hAnsi="Times New Roman"/>
              </w:rPr>
              <w:t>%);</w:t>
            </w:r>
          </w:p>
          <w:p w14:paraId="34C482DD" w14:textId="77777777" w:rsidR="00D875C0" w:rsidRPr="007C1A06"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Skysčių susilaikymas (sunkus – 0,8</w:t>
            </w:r>
            <w:r w:rsidR="001B7EB2" w:rsidRPr="00C722B4">
              <w:rPr>
                <w:rFonts w:ascii="Times New Roman" w:hAnsi="Times New Roman"/>
              </w:rPr>
              <w:t> </w:t>
            </w:r>
            <w:r w:rsidRPr="007C1A06">
              <w:rPr>
                <w:rFonts w:ascii="Times New Roman" w:hAnsi="Times New Roman"/>
              </w:rPr>
              <w:t>%);</w:t>
            </w:r>
          </w:p>
          <w:p w14:paraId="71DD369E"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Skausmas</w:t>
            </w:r>
          </w:p>
        </w:tc>
        <w:tc>
          <w:tcPr>
            <w:tcW w:w="3114" w:type="dxa"/>
          </w:tcPr>
          <w:p w14:paraId="4E853F89"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73E8853E" w14:textId="77777777" w:rsidTr="004E3CD5">
        <w:tc>
          <w:tcPr>
            <w:tcW w:w="3058" w:type="dxa"/>
          </w:tcPr>
          <w:p w14:paraId="74F0C221"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Tyrimai</w:t>
            </w:r>
          </w:p>
        </w:tc>
        <w:tc>
          <w:tcPr>
            <w:tcW w:w="3114" w:type="dxa"/>
          </w:tcPr>
          <w:p w14:paraId="535468BE" w14:textId="77777777" w:rsidR="00D875C0" w:rsidRPr="001F2C46" w:rsidRDefault="00D875C0" w:rsidP="003876F8">
            <w:pPr>
              <w:spacing w:after="0" w:line="240" w:lineRule="auto"/>
              <w:rPr>
                <w:rFonts w:ascii="Times New Roman" w:hAnsi="Times New Roman"/>
              </w:rPr>
            </w:pPr>
          </w:p>
        </w:tc>
        <w:tc>
          <w:tcPr>
            <w:tcW w:w="3114" w:type="dxa"/>
          </w:tcPr>
          <w:p w14:paraId="68432B7F" w14:textId="77777777" w:rsidR="00D875C0" w:rsidRPr="007C1A06" w:rsidRDefault="00D875C0" w:rsidP="001B7EB2">
            <w:pPr>
              <w:autoSpaceDE w:val="0"/>
              <w:autoSpaceDN w:val="0"/>
              <w:adjustRightInd w:val="0"/>
              <w:spacing w:after="0" w:line="240" w:lineRule="auto"/>
              <w:rPr>
                <w:rFonts w:ascii="Times New Roman" w:hAnsi="Times New Roman"/>
              </w:rPr>
            </w:pPr>
            <w:r w:rsidRPr="00427D92">
              <w:rPr>
                <w:rFonts w:ascii="Times New Roman" w:hAnsi="Times New Roman"/>
              </w:rPr>
              <w:t>3</w:t>
            </w:r>
            <w:r w:rsidR="001B7EB2" w:rsidRPr="00C722B4">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bilirubino koncentracijos kraujyje padidėjimas (&lt;</w:t>
            </w:r>
            <w:r w:rsidR="001B7EB2" w:rsidRPr="007C1A06">
              <w:rPr>
                <w:rFonts w:ascii="Times New Roman" w:hAnsi="Times New Roman"/>
              </w:rPr>
              <w:t> </w:t>
            </w:r>
            <w:r w:rsidRPr="007C1A06">
              <w:rPr>
                <w:rFonts w:ascii="Times New Roman" w:hAnsi="Times New Roman"/>
              </w:rPr>
              <w:t>2</w:t>
            </w:r>
            <w:r w:rsidR="001B7EB2" w:rsidRPr="007C1A06">
              <w:rPr>
                <w:rFonts w:ascii="Times New Roman" w:hAnsi="Times New Roman"/>
              </w:rPr>
              <w:t> </w:t>
            </w:r>
            <w:r w:rsidRPr="007C1A06">
              <w:rPr>
                <w:rFonts w:ascii="Times New Roman" w:hAnsi="Times New Roman"/>
              </w:rPr>
              <w:t>%)</w:t>
            </w:r>
          </w:p>
        </w:tc>
      </w:tr>
    </w:tbl>
    <w:p w14:paraId="3A4CA11F" w14:textId="77777777" w:rsidR="00D875C0" w:rsidRPr="00F957E7" w:rsidRDefault="00D875C0" w:rsidP="00D875C0">
      <w:pPr>
        <w:spacing w:after="0" w:line="240" w:lineRule="auto"/>
        <w:rPr>
          <w:rFonts w:ascii="Times New Roman" w:hAnsi="Times New Roman"/>
        </w:rPr>
      </w:pPr>
    </w:p>
    <w:p w14:paraId="28CDF702" w14:textId="77777777" w:rsidR="0046402B" w:rsidRPr="00F95B76" w:rsidRDefault="0046402B" w:rsidP="00D875C0">
      <w:pPr>
        <w:spacing w:after="0" w:line="240" w:lineRule="auto"/>
        <w:rPr>
          <w:rFonts w:ascii="Times New Roman" w:hAnsi="Times New Roman"/>
        </w:rPr>
      </w:pPr>
    </w:p>
    <w:p w14:paraId="0089CBEA"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4E3CD5">
        <w:rPr>
          <w:rFonts w:ascii="Times New Roman" w:hAnsi="Times New Roman"/>
          <w:u w:val="single"/>
        </w:rPr>
        <w:t>Nepageidaujam</w:t>
      </w:r>
      <w:r w:rsidRPr="004E3CD5">
        <w:rPr>
          <w:rFonts w:ascii="Times New Roman" w:hAnsi="Times New Roman" w:hint="eastAsia"/>
          <w:u w:val="single"/>
        </w:rPr>
        <w:t>ų</w:t>
      </w:r>
      <w:r w:rsidRPr="004E3CD5">
        <w:rPr>
          <w:rFonts w:ascii="Times New Roman" w:hAnsi="Times New Roman"/>
          <w:u w:val="single"/>
        </w:rPr>
        <w:t xml:space="preserve"> reakcij</w:t>
      </w:r>
      <w:r w:rsidRPr="004E3CD5">
        <w:rPr>
          <w:rFonts w:ascii="Times New Roman" w:hAnsi="Times New Roman" w:hint="eastAsia"/>
          <w:u w:val="single"/>
        </w:rPr>
        <w:t>ų</w:t>
      </w:r>
      <w:r w:rsidRPr="004E3CD5">
        <w:rPr>
          <w:rFonts w:ascii="Times New Roman" w:hAnsi="Times New Roman"/>
          <w:u w:val="single"/>
        </w:rPr>
        <w:t>, atsiradusi</w:t>
      </w:r>
      <w:r w:rsidRPr="004E3CD5">
        <w:rPr>
          <w:rFonts w:ascii="Times New Roman" w:hAnsi="Times New Roman" w:hint="eastAsia"/>
          <w:u w:val="single"/>
        </w:rPr>
        <w:t>ų</w:t>
      </w:r>
      <w:r w:rsidRPr="004E3CD5">
        <w:rPr>
          <w:rFonts w:ascii="Times New Roman" w:hAnsi="Times New Roman"/>
          <w:u w:val="single"/>
        </w:rPr>
        <w:t xml:space="preserve"> </w:t>
      </w:r>
      <w:r w:rsidRPr="00F957E7">
        <w:rPr>
          <w:rFonts w:ascii="Times New Roman" w:hAnsi="Times New Roman"/>
          <w:u w:val="single"/>
        </w:rPr>
        <w:t>vartojant Docetaxel Ebewe 75</w:t>
      </w:r>
      <w:r w:rsidR="001B7EB2" w:rsidRPr="00F95B76">
        <w:rPr>
          <w:rFonts w:ascii="Times New Roman" w:hAnsi="Times New Roman"/>
          <w:u w:val="single"/>
        </w:rPr>
        <w:t> </w:t>
      </w:r>
      <w:r w:rsidRPr="00F95B76">
        <w:rPr>
          <w:rFonts w:ascii="Times New Roman" w:hAnsi="Times New Roman"/>
          <w:u w:val="single"/>
        </w:rPr>
        <w:t>mg/m² su dokso</w:t>
      </w:r>
      <w:r w:rsidRPr="004E3CD5">
        <w:rPr>
          <w:rFonts w:ascii="Times New Roman" w:hAnsi="Times New Roman"/>
          <w:u w:val="single"/>
        </w:rPr>
        <w:t>rubicinu doz</w:t>
      </w:r>
      <w:r w:rsidRPr="004E3CD5">
        <w:rPr>
          <w:rFonts w:ascii="Times New Roman" w:hAnsi="Times New Roman" w:hint="eastAsia"/>
          <w:u w:val="single"/>
        </w:rPr>
        <w:t>ę</w:t>
      </w:r>
      <w:r w:rsidRPr="004E3CD5">
        <w:rPr>
          <w:rFonts w:ascii="Times New Roman" w:hAnsi="Times New Roman"/>
          <w:u w:val="single"/>
        </w:rPr>
        <w:t xml:space="preserve"> kr</w:t>
      </w:r>
      <w:r w:rsidRPr="004E3CD5">
        <w:rPr>
          <w:rFonts w:ascii="Times New Roman" w:hAnsi="Times New Roman" w:hint="eastAsia"/>
          <w:u w:val="single"/>
        </w:rPr>
        <w:t>ū</w:t>
      </w:r>
      <w:r w:rsidRPr="004E3CD5">
        <w:rPr>
          <w:rFonts w:ascii="Times New Roman" w:hAnsi="Times New Roman"/>
          <w:u w:val="single"/>
        </w:rPr>
        <w:t>ties v</w:t>
      </w:r>
      <w:r w:rsidRPr="004E3CD5">
        <w:rPr>
          <w:rFonts w:ascii="Times New Roman" w:hAnsi="Times New Roman" w:hint="eastAsia"/>
          <w:u w:val="single"/>
        </w:rPr>
        <w:t>ėž</w:t>
      </w:r>
      <w:r w:rsidRPr="004E3CD5">
        <w:rPr>
          <w:rFonts w:ascii="Times New Roman" w:hAnsi="Times New Roman"/>
          <w:u w:val="single"/>
        </w:rPr>
        <w:t>io kombinuotai terapijai, s</w:t>
      </w:r>
      <w:r w:rsidRPr="004E3CD5">
        <w:rPr>
          <w:rFonts w:ascii="Times New Roman" w:hAnsi="Times New Roman" w:hint="eastAsia"/>
          <w:u w:val="single"/>
        </w:rPr>
        <w:t>ą</w:t>
      </w:r>
      <w:r w:rsidRPr="004E3CD5">
        <w:rPr>
          <w:rFonts w:ascii="Times New Roman" w:hAnsi="Times New Roman"/>
          <w:u w:val="single"/>
        </w:rPr>
        <w:t>rašas lentel</w:t>
      </w:r>
      <w:r w:rsidRPr="004E3CD5">
        <w:rPr>
          <w:rFonts w:ascii="Times New Roman" w:hAnsi="Times New Roman" w:hint="eastAsia"/>
          <w:u w:val="single"/>
        </w:rPr>
        <w:t>ė</w:t>
      </w:r>
      <w:r w:rsidRPr="004E3CD5">
        <w:rPr>
          <w:rFonts w:ascii="Times New Roman" w:hAnsi="Times New Roman"/>
          <w:u w:val="single"/>
        </w:rPr>
        <w:t>s forma</w:t>
      </w:r>
    </w:p>
    <w:p w14:paraId="41608EB9" w14:textId="77777777" w:rsidR="00D875C0" w:rsidRPr="00F957E7" w:rsidRDefault="00D875C0" w:rsidP="00D875C0">
      <w:pPr>
        <w:spacing w:after="0" w:line="240" w:lineRule="auto"/>
        <w:rPr>
          <w:rFonts w:ascii="Times New Roman" w:hAnsi="Times New Roman"/>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532"/>
        <w:gridCol w:w="2540"/>
        <w:gridCol w:w="2292"/>
      </w:tblGrid>
      <w:tr w:rsidR="00F957E7" w:rsidRPr="007C1A06" w14:paraId="0313E1CC" w14:textId="77777777" w:rsidTr="00915C14">
        <w:tc>
          <w:tcPr>
            <w:tcW w:w="2252" w:type="dxa"/>
            <w:shd w:val="clear" w:color="auto" w:fill="D9D9D9" w:themeFill="background1" w:themeFillShade="D9"/>
          </w:tcPr>
          <w:p w14:paraId="30502A53" w14:textId="77777777" w:rsidR="00D875C0" w:rsidRPr="00F95B76" w:rsidRDefault="00D875C0" w:rsidP="003876F8">
            <w:pPr>
              <w:spacing w:after="0" w:line="240" w:lineRule="auto"/>
              <w:rPr>
                <w:rFonts w:ascii="Times New Roman" w:hAnsi="Times New Roman"/>
              </w:rPr>
            </w:pPr>
            <w:r w:rsidRPr="00F95B76">
              <w:rPr>
                <w:rFonts w:ascii="Times New Roman" w:hAnsi="Times New Roman"/>
                <w:b/>
              </w:rPr>
              <w:t xml:space="preserve">MedDRA </w:t>
            </w:r>
            <w:r w:rsidRPr="007C1A06">
              <w:rPr>
                <w:rFonts w:ascii="Times New Roman" w:eastAsia="Times New Roman" w:hAnsi="Times New Roman" w:cs="Times New Roman"/>
                <w:b/>
                <w:bCs/>
              </w:rPr>
              <w:t>organų</w:t>
            </w:r>
            <w:r w:rsidR="00F95B76">
              <w:rPr>
                <w:rFonts w:ascii="Times New Roman" w:eastAsia="Times New Roman" w:hAnsi="Times New Roman" w:cs="Times New Roman"/>
                <w:b/>
                <w:bCs/>
              </w:rPr>
              <w:t xml:space="preserve"> </w:t>
            </w:r>
            <w:r w:rsidRPr="007C1A06">
              <w:rPr>
                <w:rFonts w:ascii="Times New Roman" w:eastAsia="Times New Roman" w:hAnsi="Times New Roman" w:cs="Times New Roman"/>
                <w:b/>
                <w:bCs/>
              </w:rPr>
              <w:t>sistemų</w:t>
            </w:r>
            <w:r w:rsidRPr="00F957E7">
              <w:rPr>
                <w:rFonts w:ascii="Times New Roman" w:hAnsi="Times New Roman"/>
                <w:b/>
              </w:rPr>
              <w:t xml:space="preserve"> klasės</w:t>
            </w:r>
          </w:p>
        </w:tc>
        <w:tc>
          <w:tcPr>
            <w:tcW w:w="2344" w:type="dxa"/>
            <w:shd w:val="clear" w:color="auto" w:fill="D9D9D9" w:themeFill="background1" w:themeFillShade="D9"/>
          </w:tcPr>
          <w:p w14:paraId="0E746C4D"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b/>
              </w:rPr>
              <w:t xml:space="preserve">Labai dažnos nepageidaujamos reakcijos </w:t>
            </w:r>
          </w:p>
        </w:tc>
        <w:tc>
          <w:tcPr>
            <w:tcW w:w="2581" w:type="dxa"/>
            <w:shd w:val="clear" w:color="auto" w:fill="D9D9D9" w:themeFill="background1" w:themeFillShade="D9"/>
          </w:tcPr>
          <w:p w14:paraId="236B77A7" w14:textId="77777777" w:rsidR="00D875C0" w:rsidRPr="001F2C46" w:rsidRDefault="00D875C0" w:rsidP="003876F8">
            <w:pPr>
              <w:autoSpaceDE w:val="0"/>
              <w:autoSpaceDN w:val="0"/>
              <w:adjustRightInd w:val="0"/>
              <w:spacing w:after="0" w:line="240" w:lineRule="auto"/>
              <w:rPr>
                <w:rFonts w:ascii="Times New Roman" w:hAnsi="Times New Roman"/>
                <w:b/>
              </w:rPr>
            </w:pPr>
            <w:r w:rsidRPr="001F2C46">
              <w:rPr>
                <w:rFonts w:ascii="Times New Roman" w:hAnsi="Times New Roman"/>
                <w:b/>
              </w:rPr>
              <w:t xml:space="preserve">Dažnos nepageidaujamos reakcijos </w:t>
            </w:r>
          </w:p>
        </w:tc>
        <w:tc>
          <w:tcPr>
            <w:tcW w:w="2345" w:type="dxa"/>
            <w:shd w:val="clear" w:color="auto" w:fill="D9D9D9" w:themeFill="background1" w:themeFillShade="D9"/>
          </w:tcPr>
          <w:p w14:paraId="6CDA058D" w14:textId="77777777" w:rsidR="00D875C0" w:rsidRPr="00C722B4" w:rsidRDefault="00D875C0" w:rsidP="003876F8">
            <w:pPr>
              <w:autoSpaceDE w:val="0"/>
              <w:autoSpaceDN w:val="0"/>
              <w:adjustRightInd w:val="0"/>
              <w:spacing w:after="0" w:line="240" w:lineRule="auto"/>
              <w:rPr>
                <w:rFonts w:ascii="Times New Roman" w:hAnsi="Times New Roman"/>
                <w:b/>
              </w:rPr>
            </w:pPr>
            <w:r w:rsidRPr="00427D92">
              <w:rPr>
                <w:rFonts w:ascii="Times New Roman" w:hAnsi="Times New Roman"/>
                <w:b/>
              </w:rPr>
              <w:t>Ne</w:t>
            </w:r>
            <w:r w:rsidRPr="00C722B4">
              <w:rPr>
                <w:rFonts w:ascii="Times New Roman" w:hAnsi="Times New Roman"/>
                <w:b/>
              </w:rPr>
              <w:t xml:space="preserve">dažnos nepageidaujamos reakcijos </w:t>
            </w:r>
          </w:p>
        </w:tc>
      </w:tr>
      <w:tr w:rsidR="00D875C0" w:rsidRPr="007C1A06" w14:paraId="4C553E90" w14:textId="77777777" w:rsidTr="004E3CD5">
        <w:tc>
          <w:tcPr>
            <w:tcW w:w="2252" w:type="dxa"/>
          </w:tcPr>
          <w:p w14:paraId="2CC9EE0E" w14:textId="77777777" w:rsidR="00D875C0" w:rsidRPr="00F957E7" w:rsidRDefault="00D875C0" w:rsidP="003876F8">
            <w:pPr>
              <w:autoSpaceDE w:val="0"/>
              <w:autoSpaceDN w:val="0"/>
              <w:adjustRightInd w:val="0"/>
              <w:spacing w:after="0" w:line="240" w:lineRule="auto"/>
              <w:rPr>
                <w:rFonts w:ascii="Times New Roman" w:hAnsi="Times New Roman"/>
                <w:b/>
              </w:rPr>
            </w:pPr>
            <w:r w:rsidRPr="00F957E7">
              <w:rPr>
                <w:rFonts w:ascii="Times New Roman" w:hAnsi="Times New Roman"/>
              </w:rPr>
              <w:t>Infekcijos ir infestacijos</w:t>
            </w:r>
          </w:p>
        </w:tc>
        <w:tc>
          <w:tcPr>
            <w:tcW w:w="2344" w:type="dxa"/>
          </w:tcPr>
          <w:p w14:paraId="59BE699A" w14:textId="77777777" w:rsidR="00D875C0" w:rsidRPr="001F2C46" w:rsidRDefault="00D875C0" w:rsidP="001B7EB2">
            <w:pPr>
              <w:autoSpaceDE w:val="0"/>
              <w:autoSpaceDN w:val="0"/>
              <w:adjustRightInd w:val="0"/>
              <w:spacing w:after="0" w:line="240" w:lineRule="auto"/>
              <w:rPr>
                <w:rFonts w:ascii="Times New Roman" w:hAnsi="Times New Roman"/>
                <w:b/>
              </w:rPr>
            </w:pPr>
            <w:r w:rsidRPr="00F95B76">
              <w:rPr>
                <w:rFonts w:ascii="Times New Roman" w:hAnsi="Times New Roman"/>
              </w:rPr>
              <w:t>Infekcija (3</w:t>
            </w:r>
            <w:r w:rsidR="001B7EB2" w:rsidRPr="00F95B76">
              <w:rPr>
                <w:rFonts w:ascii="Times New Roman" w:hAnsi="Times New Roman"/>
              </w:rPr>
              <w:noBreakHyphen/>
            </w:r>
            <w:r w:rsidRPr="00F95B76">
              <w:rPr>
                <w:rFonts w:ascii="Times New Roman" w:hAnsi="Times New Roman"/>
              </w:rPr>
              <w:t>4</w:t>
            </w:r>
            <w:r w:rsidR="001B7EB2" w:rsidRPr="00F95B76">
              <w:rPr>
                <w:rFonts w:ascii="Times New Roman" w:hAnsi="Times New Roman"/>
              </w:rPr>
              <w:t> </w:t>
            </w:r>
            <w:r w:rsidRPr="00F95B76">
              <w:rPr>
                <w:rFonts w:ascii="Times New Roman" w:hAnsi="Times New Roman"/>
              </w:rPr>
              <w:t>laipsnio – 7,8</w:t>
            </w:r>
            <w:r w:rsidR="001B7EB2" w:rsidRPr="001F2C46">
              <w:rPr>
                <w:rFonts w:ascii="Times New Roman" w:hAnsi="Times New Roman"/>
              </w:rPr>
              <w:t> </w:t>
            </w:r>
            <w:r w:rsidRPr="001F2C46">
              <w:rPr>
                <w:rFonts w:ascii="Times New Roman" w:hAnsi="Times New Roman"/>
              </w:rPr>
              <w:t>%)</w:t>
            </w:r>
          </w:p>
        </w:tc>
        <w:tc>
          <w:tcPr>
            <w:tcW w:w="2581" w:type="dxa"/>
          </w:tcPr>
          <w:p w14:paraId="78E6139B" w14:textId="77777777" w:rsidR="00D875C0" w:rsidRPr="00427D92" w:rsidRDefault="00D875C0" w:rsidP="003876F8">
            <w:pPr>
              <w:autoSpaceDE w:val="0"/>
              <w:autoSpaceDN w:val="0"/>
              <w:adjustRightInd w:val="0"/>
              <w:spacing w:after="0" w:line="240" w:lineRule="auto"/>
              <w:rPr>
                <w:rFonts w:ascii="Times New Roman" w:hAnsi="Times New Roman"/>
                <w:b/>
              </w:rPr>
            </w:pPr>
          </w:p>
        </w:tc>
        <w:tc>
          <w:tcPr>
            <w:tcW w:w="2345" w:type="dxa"/>
          </w:tcPr>
          <w:p w14:paraId="2D8B1945" w14:textId="77777777" w:rsidR="00D875C0" w:rsidRPr="00C722B4" w:rsidRDefault="00D875C0" w:rsidP="003876F8">
            <w:pPr>
              <w:autoSpaceDE w:val="0"/>
              <w:autoSpaceDN w:val="0"/>
              <w:adjustRightInd w:val="0"/>
              <w:spacing w:after="0" w:line="240" w:lineRule="auto"/>
              <w:rPr>
                <w:rFonts w:ascii="Times New Roman" w:hAnsi="Times New Roman"/>
                <w:b/>
              </w:rPr>
            </w:pPr>
          </w:p>
        </w:tc>
      </w:tr>
      <w:tr w:rsidR="00D875C0" w:rsidRPr="007C1A06" w14:paraId="6D2E9064" w14:textId="77777777" w:rsidTr="004E3CD5">
        <w:tc>
          <w:tcPr>
            <w:tcW w:w="2252" w:type="dxa"/>
          </w:tcPr>
          <w:p w14:paraId="7D4DF3A0"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Kraujo ir limfinės sistemos sutrikimai</w:t>
            </w:r>
          </w:p>
        </w:tc>
        <w:tc>
          <w:tcPr>
            <w:tcW w:w="2344" w:type="dxa"/>
          </w:tcPr>
          <w:p w14:paraId="32882EBF"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Neutropenija (3</w:t>
            </w:r>
            <w:r w:rsidR="001B7EB2" w:rsidRPr="001F2C46">
              <w:rPr>
                <w:rFonts w:ascii="Times New Roman" w:hAnsi="Times New Roman"/>
              </w:rPr>
              <w:noBreakHyphen/>
            </w:r>
            <w:r w:rsidRPr="001F2C46">
              <w:rPr>
                <w:rFonts w:ascii="Times New Roman" w:hAnsi="Times New Roman"/>
              </w:rPr>
              <w:t>4</w:t>
            </w:r>
            <w:r w:rsidR="001B7EB2" w:rsidRPr="001F2C46">
              <w:rPr>
                <w:rFonts w:ascii="Times New Roman" w:hAnsi="Times New Roman"/>
              </w:rPr>
              <w:t> </w:t>
            </w:r>
            <w:r w:rsidRPr="001F2C46">
              <w:rPr>
                <w:rFonts w:ascii="Times New Roman" w:hAnsi="Times New Roman"/>
              </w:rPr>
              <w:t>laipsnio – 91,7</w:t>
            </w:r>
            <w:r w:rsidR="001B7EB2" w:rsidRPr="001F2C46">
              <w:rPr>
                <w:rFonts w:ascii="Times New Roman" w:hAnsi="Times New Roman"/>
              </w:rPr>
              <w:t> </w:t>
            </w:r>
            <w:r w:rsidRPr="001F2C46">
              <w:rPr>
                <w:rFonts w:ascii="Times New Roman" w:hAnsi="Times New Roman"/>
              </w:rPr>
              <w:t>%);</w:t>
            </w:r>
          </w:p>
          <w:p w14:paraId="2D762556" w14:textId="77777777" w:rsidR="00D875C0" w:rsidRPr="007C1A06"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Anemija (3</w:t>
            </w:r>
            <w:r w:rsidR="001B7EB2" w:rsidRPr="00C722B4">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 9,4</w:t>
            </w:r>
            <w:r w:rsidR="001B7EB2" w:rsidRPr="007C1A06">
              <w:rPr>
                <w:rFonts w:ascii="Times New Roman" w:hAnsi="Times New Roman"/>
              </w:rPr>
              <w:t> </w:t>
            </w:r>
            <w:r w:rsidRPr="007C1A06">
              <w:rPr>
                <w:rFonts w:ascii="Times New Roman" w:hAnsi="Times New Roman"/>
              </w:rPr>
              <w:t>%);</w:t>
            </w:r>
          </w:p>
          <w:p w14:paraId="288326D1"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Febrilinė neutropenija;</w:t>
            </w:r>
          </w:p>
          <w:p w14:paraId="4A74D9D8"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Trombocitopenija</w:t>
            </w:r>
          </w:p>
          <w:p w14:paraId="7FD61CF7" w14:textId="77777777" w:rsidR="00D875C0" w:rsidRPr="004E3CD5" w:rsidRDefault="00D875C0" w:rsidP="001B7EB2">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 0,8</w:t>
            </w:r>
            <w:r w:rsidR="001B7EB2" w:rsidRPr="007C1A06">
              <w:rPr>
                <w:rFonts w:ascii="Times New Roman" w:hAnsi="Times New Roman"/>
              </w:rPr>
              <w:t> </w:t>
            </w:r>
            <w:r w:rsidRPr="007C1A06">
              <w:rPr>
                <w:rFonts w:ascii="Times New Roman" w:hAnsi="Times New Roman"/>
              </w:rPr>
              <w:t>%)</w:t>
            </w:r>
          </w:p>
        </w:tc>
        <w:tc>
          <w:tcPr>
            <w:tcW w:w="2581" w:type="dxa"/>
          </w:tcPr>
          <w:p w14:paraId="54222657" w14:textId="77777777" w:rsidR="00D875C0" w:rsidRPr="007C1A06" w:rsidRDefault="00D875C0" w:rsidP="003876F8">
            <w:pPr>
              <w:autoSpaceDE w:val="0"/>
              <w:autoSpaceDN w:val="0"/>
              <w:adjustRightInd w:val="0"/>
              <w:spacing w:after="0" w:line="240" w:lineRule="auto"/>
              <w:rPr>
                <w:rFonts w:ascii="Times New Roman" w:hAnsi="Times New Roman"/>
                <w:b/>
              </w:rPr>
            </w:pPr>
          </w:p>
        </w:tc>
        <w:tc>
          <w:tcPr>
            <w:tcW w:w="2345" w:type="dxa"/>
          </w:tcPr>
          <w:p w14:paraId="3D25C620"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0293774A" w14:textId="77777777" w:rsidTr="004E3CD5">
        <w:tc>
          <w:tcPr>
            <w:tcW w:w="2252" w:type="dxa"/>
          </w:tcPr>
          <w:p w14:paraId="2E663335"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Imuninės sistemos sutrikimai</w:t>
            </w:r>
          </w:p>
        </w:tc>
        <w:tc>
          <w:tcPr>
            <w:tcW w:w="2344" w:type="dxa"/>
          </w:tcPr>
          <w:p w14:paraId="21C73ADE" w14:textId="77777777" w:rsidR="00D875C0" w:rsidRPr="00F95B76" w:rsidRDefault="00D875C0" w:rsidP="003876F8">
            <w:pPr>
              <w:autoSpaceDE w:val="0"/>
              <w:autoSpaceDN w:val="0"/>
              <w:adjustRightInd w:val="0"/>
              <w:spacing w:after="0" w:line="240" w:lineRule="auto"/>
              <w:rPr>
                <w:rFonts w:ascii="Times New Roman" w:hAnsi="Times New Roman"/>
              </w:rPr>
            </w:pPr>
          </w:p>
        </w:tc>
        <w:tc>
          <w:tcPr>
            <w:tcW w:w="2581" w:type="dxa"/>
          </w:tcPr>
          <w:p w14:paraId="732A1C7B" w14:textId="77777777" w:rsidR="00D875C0" w:rsidRPr="00F95B76" w:rsidRDefault="00D875C0" w:rsidP="001B7EB2">
            <w:pPr>
              <w:autoSpaceDE w:val="0"/>
              <w:autoSpaceDN w:val="0"/>
              <w:adjustRightInd w:val="0"/>
              <w:spacing w:after="0" w:line="240" w:lineRule="auto"/>
              <w:rPr>
                <w:rFonts w:ascii="Times New Roman" w:hAnsi="Times New Roman"/>
                <w:b/>
              </w:rPr>
            </w:pPr>
            <w:r w:rsidRPr="001F2C46">
              <w:rPr>
                <w:rFonts w:ascii="Times New Roman" w:hAnsi="Times New Roman"/>
              </w:rPr>
              <w:t>Padidėjęs jautrumas</w:t>
            </w:r>
            <w:r w:rsidRPr="00F957E7">
              <w:rPr>
                <w:rFonts w:ascii="Times New Roman" w:hAnsi="Times New Roman"/>
              </w:rPr>
              <w:t>(3</w:t>
            </w:r>
            <w:r w:rsidR="001B7EB2" w:rsidRPr="00F95B76">
              <w:rPr>
                <w:rFonts w:ascii="Times New Roman" w:hAnsi="Times New Roman"/>
              </w:rPr>
              <w:noBreakHyphen/>
            </w:r>
            <w:r w:rsidRPr="00F95B76">
              <w:rPr>
                <w:rFonts w:ascii="Times New Roman" w:hAnsi="Times New Roman"/>
              </w:rPr>
              <w:t>4</w:t>
            </w:r>
            <w:r w:rsidR="001B7EB2" w:rsidRPr="00F95B76">
              <w:rPr>
                <w:rFonts w:ascii="Times New Roman" w:hAnsi="Times New Roman"/>
              </w:rPr>
              <w:t> </w:t>
            </w:r>
            <w:r w:rsidRPr="00F95B76">
              <w:rPr>
                <w:rFonts w:ascii="Times New Roman" w:hAnsi="Times New Roman"/>
              </w:rPr>
              <w:t>laipsnio – 1,2</w:t>
            </w:r>
            <w:r w:rsidR="001B7EB2" w:rsidRPr="00F95B76">
              <w:rPr>
                <w:rFonts w:ascii="Times New Roman" w:hAnsi="Times New Roman"/>
              </w:rPr>
              <w:t> </w:t>
            </w:r>
            <w:r w:rsidRPr="00F95B76">
              <w:rPr>
                <w:rFonts w:ascii="Times New Roman" w:hAnsi="Times New Roman"/>
              </w:rPr>
              <w:t>%)</w:t>
            </w:r>
          </w:p>
        </w:tc>
        <w:tc>
          <w:tcPr>
            <w:tcW w:w="2345" w:type="dxa"/>
          </w:tcPr>
          <w:p w14:paraId="31937F9D" w14:textId="77777777" w:rsidR="00D875C0" w:rsidRPr="001F2C46" w:rsidRDefault="00D875C0" w:rsidP="003876F8">
            <w:pPr>
              <w:autoSpaceDE w:val="0"/>
              <w:autoSpaceDN w:val="0"/>
              <w:adjustRightInd w:val="0"/>
              <w:spacing w:after="0" w:line="240" w:lineRule="auto"/>
              <w:rPr>
                <w:rFonts w:ascii="Times New Roman" w:hAnsi="Times New Roman"/>
                <w:b/>
              </w:rPr>
            </w:pPr>
          </w:p>
        </w:tc>
      </w:tr>
      <w:tr w:rsidR="00D875C0" w:rsidRPr="007C1A06" w14:paraId="525A9F88" w14:textId="77777777" w:rsidTr="004E3CD5">
        <w:tc>
          <w:tcPr>
            <w:tcW w:w="2252" w:type="dxa"/>
          </w:tcPr>
          <w:p w14:paraId="6E540FC5"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Metabolizmo ir mitybos sutrikimai</w:t>
            </w:r>
          </w:p>
        </w:tc>
        <w:tc>
          <w:tcPr>
            <w:tcW w:w="2344" w:type="dxa"/>
          </w:tcPr>
          <w:p w14:paraId="29EDFA1F" w14:textId="77777777" w:rsidR="00D875C0" w:rsidRPr="00F95B76" w:rsidRDefault="00D875C0" w:rsidP="003876F8">
            <w:pPr>
              <w:autoSpaceDE w:val="0"/>
              <w:autoSpaceDN w:val="0"/>
              <w:adjustRightInd w:val="0"/>
              <w:spacing w:after="0" w:line="240" w:lineRule="auto"/>
              <w:rPr>
                <w:rFonts w:ascii="Times New Roman" w:hAnsi="Times New Roman"/>
              </w:rPr>
            </w:pPr>
          </w:p>
        </w:tc>
        <w:tc>
          <w:tcPr>
            <w:tcW w:w="2581" w:type="dxa"/>
          </w:tcPr>
          <w:p w14:paraId="29A143EA"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Anoreksija</w:t>
            </w:r>
          </w:p>
        </w:tc>
        <w:tc>
          <w:tcPr>
            <w:tcW w:w="2345" w:type="dxa"/>
          </w:tcPr>
          <w:p w14:paraId="2AB73AE1" w14:textId="77777777" w:rsidR="00D875C0" w:rsidRPr="00427D92" w:rsidRDefault="00D875C0" w:rsidP="003876F8">
            <w:pPr>
              <w:autoSpaceDE w:val="0"/>
              <w:autoSpaceDN w:val="0"/>
              <w:adjustRightInd w:val="0"/>
              <w:spacing w:after="0" w:line="240" w:lineRule="auto"/>
              <w:rPr>
                <w:rFonts w:ascii="Times New Roman" w:hAnsi="Times New Roman"/>
                <w:b/>
              </w:rPr>
            </w:pPr>
          </w:p>
        </w:tc>
      </w:tr>
      <w:tr w:rsidR="00D875C0" w:rsidRPr="007C1A06" w14:paraId="16B261F7" w14:textId="77777777" w:rsidTr="004E3CD5">
        <w:tc>
          <w:tcPr>
            <w:tcW w:w="2252" w:type="dxa"/>
          </w:tcPr>
          <w:p w14:paraId="79A6FD6B"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Nervų sistemos sutrikimai</w:t>
            </w:r>
          </w:p>
        </w:tc>
        <w:tc>
          <w:tcPr>
            <w:tcW w:w="2344" w:type="dxa"/>
          </w:tcPr>
          <w:p w14:paraId="1654E9FC" w14:textId="77777777" w:rsidR="00D875C0" w:rsidRPr="001F2C46" w:rsidRDefault="00D875C0" w:rsidP="001B7EB2">
            <w:pPr>
              <w:autoSpaceDE w:val="0"/>
              <w:autoSpaceDN w:val="0"/>
              <w:adjustRightInd w:val="0"/>
              <w:spacing w:after="0" w:line="240" w:lineRule="auto"/>
              <w:rPr>
                <w:rFonts w:ascii="Times New Roman" w:hAnsi="Times New Roman"/>
              </w:rPr>
            </w:pPr>
            <w:r w:rsidRPr="00F95B76">
              <w:rPr>
                <w:rFonts w:ascii="Times New Roman" w:hAnsi="Times New Roman"/>
              </w:rPr>
              <w:t>Periferinė sensorinė neuropatija (3</w:t>
            </w:r>
            <w:r w:rsidR="001B7EB2" w:rsidRPr="00F95B76">
              <w:rPr>
                <w:rFonts w:ascii="Times New Roman" w:hAnsi="Times New Roman"/>
              </w:rPr>
              <w:t> </w:t>
            </w:r>
            <w:r w:rsidRPr="00F95B76">
              <w:rPr>
                <w:rFonts w:ascii="Times New Roman" w:hAnsi="Times New Roman"/>
              </w:rPr>
              <w:t>laipsnio – 0,4</w:t>
            </w:r>
            <w:r w:rsidR="001B7EB2" w:rsidRPr="001F2C46">
              <w:rPr>
                <w:rFonts w:ascii="Times New Roman" w:hAnsi="Times New Roman"/>
              </w:rPr>
              <w:t> </w:t>
            </w:r>
            <w:r w:rsidRPr="001F2C46">
              <w:rPr>
                <w:rFonts w:ascii="Times New Roman" w:hAnsi="Times New Roman"/>
              </w:rPr>
              <w:t>%)</w:t>
            </w:r>
          </w:p>
        </w:tc>
        <w:tc>
          <w:tcPr>
            <w:tcW w:w="2581" w:type="dxa"/>
          </w:tcPr>
          <w:p w14:paraId="52A1229E" w14:textId="77777777" w:rsidR="00D875C0" w:rsidRPr="007C1A06" w:rsidRDefault="00D875C0" w:rsidP="001B7EB2">
            <w:pPr>
              <w:autoSpaceDE w:val="0"/>
              <w:autoSpaceDN w:val="0"/>
              <w:adjustRightInd w:val="0"/>
              <w:spacing w:after="0" w:line="240" w:lineRule="auto"/>
              <w:rPr>
                <w:rFonts w:ascii="Times New Roman" w:hAnsi="Times New Roman"/>
              </w:rPr>
            </w:pPr>
            <w:r w:rsidRPr="00427D92">
              <w:rPr>
                <w:rFonts w:ascii="Times New Roman" w:hAnsi="Times New Roman"/>
              </w:rPr>
              <w:t>Periferinė motorinė neuropatija (3</w:t>
            </w:r>
            <w:r w:rsidR="001B7EB2" w:rsidRPr="00C722B4">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 0,4</w:t>
            </w:r>
            <w:r w:rsidR="001B7EB2" w:rsidRPr="007C1A06">
              <w:rPr>
                <w:rFonts w:ascii="Times New Roman" w:hAnsi="Times New Roman"/>
              </w:rPr>
              <w:t> </w:t>
            </w:r>
            <w:r w:rsidRPr="007C1A06">
              <w:rPr>
                <w:rFonts w:ascii="Times New Roman" w:hAnsi="Times New Roman"/>
              </w:rPr>
              <w:t>%)</w:t>
            </w:r>
          </w:p>
        </w:tc>
        <w:tc>
          <w:tcPr>
            <w:tcW w:w="2345" w:type="dxa"/>
          </w:tcPr>
          <w:p w14:paraId="0AB9D879"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2D077268" w14:textId="77777777" w:rsidTr="004E3CD5">
        <w:tc>
          <w:tcPr>
            <w:tcW w:w="2252" w:type="dxa"/>
          </w:tcPr>
          <w:p w14:paraId="5465098F"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Širdies sutrikimai</w:t>
            </w:r>
          </w:p>
        </w:tc>
        <w:tc>
          <w:tcPr>
            <w:tcW w:w="2344" w:type="dxa"/>
          </w:tcPr>
          <w:p w14:paraId="432CA211" w14:textId="77777777" w:rsidR="00D875C0" w:rsidRPr="00F95B76" w:rsidRDefault="00D875C0" w:rsidP="003876F8">
            <w:pPr>
              <w:autoSpaceDE w:val="0"/>
              <w:autoSpaceDN w:val="0"/>
              <w:adjustRightInd w:val="0"/>
              <w:spacing w:after="0" w:line="240" w:lineRule="auto"/>
              <w:rPr>
                <w:rFonts w:ascii="Times New Roman" w:hAnsi="Times New Roman"/>
              </w:rPr>
            </w:pPr>
          </w:p>
        </w:tc>
        <w:tc>
          <w:tcPr>
            <w:tcW w:w="2581" w:type="dxa"/>
          </w:tcPr>
          <w:p w14:paraId="22524E54"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Širdies nepakankamumas;</w:t>
            </w:r>
          </w:p>
          <w:p w14:paraId="4A93B26C"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Aritmija (nesunki)</w:t>
            </w:r>
          </w:p>
        </w:tc>
        <w:tc>
          <w:tcPr>
            <w:tcW w:w="2345" w:type="dxa"/>
          </w:tcPr>
          <w:p w14:paraId="1F30C522" w14:textId="77777777" w:rsidR="00D875C0" w:rsidRPr="00C722B4" w:rsidRDefault="00D875C0" w:rsidP="003876F8">
            <w:pPr>
              <w:autoSpaceDE w:val="0"/>
              <w:autoSpaceDN w:val="0"/>
              <w:adjustRightInd w:val="0"/>
              <w:spacing w:after="0" w:line="240" w:lineRule="auto"/>
              <w:rPr>
                <w:rFonts w:ascii="Times New Roman" w:hAnsi="Times New Roman"/>
                <w:b/>
              </w:rPr>
            </w:pPr>
          </w:p>
        </w:tc>
      </w:tr>
      <w:tr w:rsidR="00D875C0" w:rsidRPr="007C1A06" w14:paraId="547BDA53" w14:textId="77777777" w:rsidTr="004E3CD5">
        <w:tc>
          <w:tcPr>
            <w:tcW w:w="2252" w:type="dxa"/>
          </w:tcPr>
          <w:p w14:paraId="11BCDD72"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Kraujagyslių sutrikimai</w:t>
            </w:r>
          </w:p>
        </w:tc>
        <w:tc>
          <w:tcPr>
            <w:tcW w:w="2344" w:type="dxa"/>
          </w:tcPr>
          <w:p w14:paraId="158813D7" w14:textId="77777777" w:rsidR="00D875C0" w:rsidRPr="00F95B76" w:rsidRDefault="00D875C0" w:rsidP="003876F8">
            <w:pPr>
              <w:autoSpaceDE w:val="0"/>
              <w:autoSpaceDN w:val="0"/>
              <w:adjustRightInd w:val="0"/>
              <w:spacing w:after="0" w:line="240" w:lineRule="auto"/>
              <w:rPr>
                <w:rFonts w:ascii="Times New Roman" w:hAnsi="Times New Roman"/>
              </w:rPr>
            </w:pPr>
          </w:p>
        </w:tc>
        <w:tc>
          <w:tcPr>
            <w:tcW w:w="2581" w:type="dxa"/>
          </w:tcPr>
          <w:p w14:paraId="206DE624"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2345" w:type="dxa"/>
          </w:tcPr>
          <w:p w14:paraId="3322AE0C" w14:textId="77777777" w:rsidR="00D875C0" w:rsidRPr="00C722B4" w:rsidRDefault="00D875C0" w:rsidP="003876F8">
            <w:pPr>
              <w:autoSpaceDE w:val="0"/>
              <w:autoSpaceDN w:val="0"/>
              <w:adjustRightInd w:val="0"/>
              <w:spacing w:after="0" w:line="240" w:lineRule="auto"/>
              <w:rPr>
                <w:rFonts w:ascii="Times New Roman" w:hAnsi="Times New Roman"/>
                <w:b/>
              </w:rPr>
            </w:pPr>
            <w:r w:rsidRPr="00427D92">
              <w:rPr>
                <w:rFonts w:ascii="Times New Roman" w:hAnsi="Times New Roman"/>
              </w:rPr>
              <w:t>Hipotenzija</w:t>
            </w:r>
          </w:p>
        </w:tc>
      </w:tr>
      <w:tr w:rsidR="00D875C0" w:rsidRPr="007C1A06" w14:paraId="705129D7" w14:textId="77777777" w:rsidTr="004E3CD5">
        <w:tc>
          <w:tcPr>
            <w:tcW w:w="2252" w:type="dxa"/>
          </w:tcPr>
          <w:p w14:paraId="2E73856F"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Virškinimo trakto sutrikimai</w:t>
            </w:r>
          </w:p>
        </w:tc>
        <w:tc>
          <w:tcPr>
            <w:tcW w:w="2344" w:type="dxa"/>
          </w:tcPr>
          <w:p w14:paraId="20D2C0A7"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Pykinimas (3</w:t>
            </w:r>
            <w:r w:rsidR="001B7EB2" w:rsidRPr="00F95B76">
              <w:rPr>
                <w:rFonts w:ascii="Times New Roman" w:hAnsi="Times New Roman"/>
              </w:rPr>
              <w:noBreakHyphen/>
            </w:r>
            <w:r w:rsidRPr="00F95B76">
              <w:rPr>
                <w:rFonts w:ascii="Times New Roman" w:hAnsi="Times New Roman"/>
              </w:rPr>
              <w:t>4</w:t>
            </w:r>
            <w:r w:rsidR="001B7EB2" w:rsidRPr="00F95B76">
              <w:rPr>
                <w:rFonts w:ascii="Times New Roman" w:hAnsi="Times New Roman"/>
              </w:rPr>
              <w:t> </w:t>
            </w:r>
            <w:r w:rsidRPr="00F95B76">
              <w:rPr>
                <w:rFonts w:ascii="Times New Roman" w:hAnsi="Times New Roman"/>
              </w:rPr>
              <w:t>laipsnio – 5</w:t>
            </w:r>
            <w:r w:rsidR="001B7EB2" w:rsidRPr="001F2C46">
              <w:rPr>
                <w:rFonts w:ascii="Times New Roman" w:hAnsi="Times New Roman"/>
              </w:rPr>
              <w:t> </w:t>
            </w:r>
            <w:r w:rsidRPr="001F2C46">
              <w:rPr>
                <w:rFonts w:ascii="Times New Roman" w:hAnsi="Times New Roman"/>
              </w:rPr>
              <w:t>%);</w:t>
            </w:r>
          </w:p>
          <w:p w14:paraId="50358B87" w14:textId="77777777" w:rsidR="00D875C0" w:rsidRPr="007C1A06"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Stomatitas (3</w:t>
            </w:r>
            <w:r w:rsidR="001B7EB2" w:rsidRPr="00C722B4">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 7</w:t>
            </w:r>
            <w:r w:rsidR="00932CF2" w:rsidRPr="007C1A06">
              <w:rPr>
                <w:rFonts w:ascii="Times New Roman" w:hAnsi="Times New Roman"/>
              </w:rPr>
              <w:t>,</w:t>
            </w:r>
            <w:r w:rsidRPr="007C1A06">
              <w:rPr>
                <w:rFonts w:ascii="Times New Roman" w:hAnsi="Times New Roman"/>
              </w:rPr>
              <w:t>8</w:t>
            </w:r>
            <w:r w:rsidR="001B7EB2" w:rsidRPr="007C1A06">
              <w:rPr>
                <w:rFonts w:ascii="Times New Roman" w:hAnsi="Times New Roman"/>
              </w:rPr>
              <w:t> </w:t>
            </w:r>
            <w:r w:rsidRPr="007C1A06">
              <w:rPr>
                <w:rFonts w:ascii="Times New Roman" w:hAnsi="Times New Roman"/>
              </w:rPr>
              <w:t>%);</w:t>
            </w:r>
          </w:p>
          <w:p w14:paraId="3136911C" w14:textId="77777777" w:rsidR="00D875C0" w:rsidRPr="00F95B76" w:rsidRDefault="00D875C0" w:rsidP="003876F8">
            <w:pPr>
              <w:autoSpaceDE w:val="0"/>
              <w:autoSpaceDN w:val="0"/>
              <w:adjustRightInd w:val="0"/>
              <w:spacing w:after="0" w:line="240" w:lineRule="auto"/>
              <w:rPr>
                <w:rFonts w:ascii="Times New Roman" w:eastAsiaTheme="minorEastAsia" w:hAnsi="Times New Roman"/>
                <w:lang w:val="en-US" w:eastAsia="zh-TW"/>
              </w:rPr>
            </w:pPr>
            <w:r w:rsidRPr="007C1A06">
              <w:rPr>
                <w:rFonts w:ascii="Times New Roman" w:hAnsi="Times New Roman"/>
              </w:rPr>
              <w:t>Viduriavimas</w:t>
            </w:r>
            <w:r w:rsidRPr="00F957E7">
              <w:rPr>
                <w:rFonts w:ascii="Times New Roman" w:hAnsi="Times New Roman"/>
              </w:rPr>
              <w:t>(3</w:t>
            </w:r>
            <w:r w:rsidR="001B7EB2" w:rsidRPr="00F95B76">
              <w:rPr>
                <w:rFonts w:ascii="Times New Roman" w:hAnsi="Times New Roman"/>
              </w:rPr>
              <w:noBreakHyphen/>
            </w:r>
            <w:r w:rsidRPr="00F95B76">
              <w:rPr>
                <w:rFonts w:ascii="Times New Roman" w:hAnsi="Times New Roman"/>
              </w:rPr>
              <w:t>4</w:t>
            </w:r>
            <w:r w:rsidR="001B7EB2" w:rsidRPr="00F95B76">
              <w:rPr>
                <w:rFonts w:ascii="Times New Roman" w:hAnsi="Times New Roman"/>
              </w:rPr>
              <w:t> </w:t>
            </w:r>
            <w:r w:rsidRPr="00F95B76">
              <w:rPr>
                <w:rFonts w:ascii="Times New Roman" w:hAnsi="Times New Roman"/>
              </w:rPr>
              <w:t>laipsnio – 6,2</w:t>
            </w:r>
            <w:r w:rsidR="001B7EB2" w:rsidRPr="00F95B76">
              <w:rPr>
                <w:rFonts w:ascii="Times New Roman" w:hAnsi="Times New Roman"/>
              </w:rPr>
              <w:t> </w:t>
            </w:r>
            <w:r w:rsidRPr="00F95B76">
              <w:rPr>
                <w:rFonts w:ascii="Times New Roman" w:hAnsi="Times New Roman"/>
              </w:rPr>
              <w:t>%);</w:t>
            </w:r>
          </w:p>
          <w:p w14:paraId="1569BB90" w14:textId="77777777" w:rsidR="00D875C0" w:rsidRPr="00C722B4"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Vėmimas (3</w:t>
            </w:r>
            <w:r w:rsidR="001B7EB2" w:rsidRPr="001F2C46">
              <w:rPr>
                <w:rFonts w:ascii="Times New Roman" w:hAnsi="Times New Roman"/>
              </w:rPr>
              <w:noBreakHyphen/>
            </w:r>
            <w:r w:rsidRPr="001F2C46">
              <w:rPr>
                <w:rFonts w:ascii="Times New Roman" w:hAnsi="Times New Roman"/>
              </w:rPr>
              <w:t>4</w:t>
            </w:r>
            <w:r w:rsidR="001B7EB2" w:rsidRPr="001F2C46">
              <w:rPr>
                <w:rFonts w:ascii="Times New Roman" w:hAnsi="Times New Roman"/>
              </w:rPr>
              <w:t> </w:t>
            </w:r>
            <w:r w:rsidRPr="001F2C46">
              <w:rPr>
                <w:rFonts w:ascii="Times New Roman" w:hAnsi="Times New Roman"/>
              </w:rPr>
              <w:t>laipsnio – 5</w:t>
            </w:r>
            <w:r w:rsidR="001B7EB2" w:rsidRPr="00427D92">
              <w:rPr>
                <w:rFonts w:ascii="Times New Roman" w:hAnsi="Times New Roman"/>
              </w:rPr>
              <w:t> </w:t>
            </w:r>
            <w:r w:rsidRPr="00C722B4">
              <w:rPr>
                <w:rFonts w:ascii="Times New Roman" w:hAnsi="Times New Roman"/>
              </w:rPr>
              <w:t>%);</w:t>
            </w:r>
          </w:p>
          <w:p w14:paraId="144D355E"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Vidurių užkietėjimas</w:t>
            </w:r>
          </w:p>
        </w:tc>
        <w:tc>
          <w:tcPr>
            <w:tcW w:w="2581" w:type="dxa"/>
          </w:tcPr>
          <w:p w14:paraId="71051782" w14:textId="77777777" w:rsidR="00D875C0" w:rsidRPr="007C1A06" w:rsidRDefault="00D875C0" w:rsidP="003876F8">
            <w:pPr>
              <w:autoSpaceDE w:val="0"/>
              <w:autoSpaceDN w:val="0"/>
              <w:adjustRightInd w:val="0"/>
              <w:spacing w:after="0" w:line="240" w:lineRule="auto"/>
              <w:rPr>
                <w:rFonts w:ascii="Times New Roman" w:hAnsi="Times New Roman"/>
              </w:rPr>
            </w:pPr>
          </w:p>
        </w:tc>
        <w:tc>
          <w:tcPr>
            <w:tcW w:w="2345" w:type="dxa"/>
          </w:tcPr>
          <w:p w14:paraId="6B63D78D"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60AC1AD9" w14:textId="77777777" w:rsidTr="004E3CD5">
        <w:tc>
          <w:tcPr>
            <w:tcW w:w="2252" w:type="dxa"/>
          </w:tcPr>
          <w:p w14:paraId="74BF136A"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 xml:space="preserve">Odos ir </w:t>
            </w:r>
            <w:r w:rsidRPr="00F95B76">
              <w:rPr>
                <w:rFonts w:ascii="Times New Roman" w:hAnsi="Times New Roman"/>
              </w:rPr>
              <w:t>poodinio audinio sutrikimai</w:t>
            </w:r>
          </w:p>
        </w:tc>
        <w:tc>
          <w:tcPr>
            <w:tcW w:w="2344" w:type="dxa"/>
          </w:tcPr>
          <w:p w14:paraId="6158C284"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Alopecija;</w:t>
            </w:r>
          </w:p>
          <w:p w14:paraId="252B2948"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Nagų pažeidimai (sunkūs – 0,4</w:t>
            </w:r>
            <w:r w:rsidR="001B7EB2" w:rsidRPr="001F2C46">
              <w:rPr>
                <w:rFonts w:ascii="Times New Roman" w:hAnsi="Times New Roman"/>
              </w:rPr>
              <w:t> </w:t>
            </w:r>
            <w:r w:rsidRPr="001F2C46">
              <w:rPr>
                <w:rFonts w:ascii="Times New Roman" w:hAnsi="Times New Roman"/>
              </w:rPr>
              <w:t>%);</w:t>
            </w:r>
          </w:p>
          <w:p w14:paraId="03DB7525"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Odos reakcijos (nesunkios)</w:t>
            </w:r>
          </w:p>
        </w:tc>
        <w:tc>
          <w:tcPr>
            <w:tcW w:w="2581" w:type="dxa"/>
          </w:tcPr>
          <w:p w14:paraId="1529B295" w14:textId="77777777" w:rsidR="00D875C0" w:rsidRPr="00C722B4" w:rsidRDefault="00D875C0" w:rsidP="003876F8">
            <w:pPr>
              <w:autoSpaceDE w:val="0"/>
              <w:autoSpaceDN w:val="0"/>
              <w:adjustRightInd w:val="0"/>
              <w:spacing w:after="0" w:line="240" w:lineRule="auto"/>
              <w:rPr>
                <w:rFonts w:ascii="Times New Roman" w:hAnsi="Times New Roman"/>
              </w:rPr>
            </w:pPr>
          </w:p>
        </w:tc>
        <w:tc>
          <w:tcPr>
            <w:tcW w:w="2345" w:type="dxa"/>
          </w:tcPr>
          <w:p w14:paraId="7BB4C30F"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66D10BBD" w14:textId="77777777" w:rsidTr="004E3CD5">
        <w:tc>
          <w:tcPr>
            <w:tcW w:w="2252" w:type="dxa"/>
          </w:tcPr>
          <w:p w14:paraId="458ECF2C"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Skeleto, raumenų ir jungiamojo audinio sutrikimai</w:t>
            </w:r>
          </w:p>
        </w:tc>
        <w:tc>
          <w:tcPr>
            <w:tcW w:w="2344" w:type="dxa"/>
          </w:tcPr>
          <w:p w14:paraId="12AEAABF" w14:textId="77777777" w:rsidR="00D875C0" w:rsidRPr="00F95B76" w:rsidRDefault="00D875C0" w:rsidP="003876F8">
            <w:pPr>
              <w:autoSpaceDE w:val="0"/>
              <w:autoSpaceDN w:val="0"/>
              <w:adjustRightInd w:val="0"/>
              <w:spacing w:after="0" w:line="240" w:lineRule="auto"/>
              <w:rPr>
                <w:rFonts w:ascii="Times New Roman" w:hAnsi="Times New Roman"/>
              </w:rPr>
            </w:pPr>
          </w:p>
        </w:tc>
        <w:tc>
          <w:tcPr>
            <w:tcW w:w="2581" w:type="dxa"/>
          </w:tcPr>
          <w:p w14:paraId="51D91A1B"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Mialgija</w:t>
            </w:r>
          </w:p>
        </w:tc>
        <w:tc>
          <w:tcPr>
            <w:tcW w:w="2345" w:type="dxa"/>
          </w:tcPr>
          <w:p w14:paraId="10CB6AE8" w14:textId="77777777" w:rsidR="00D875C0" w:rsidRPr="00427D92" w:rsidRDefault="00D875C0" w:rsidP="003876F8">
            <w:pPr>
              <w:autoSpaceDE w:val="0"/>
              <w:autoSpaceDN w:val="0"/>
              <w:adjustRightInd w:val="0"/>
              <w:spacing w:after="0" w:line="240" w:lineRule="auto"/>
              <w:rPr>
                <w:rFonts w:ascii="Times New Roman" w:hAnsi="Times New Roman"/>
              </w:rPr>
            </w:pPr>
          </w:p>
        </w:tc>
      </w:tr>
      <w:tr w:rsidR="00D875C0" w:rsidRPr="007C1A06" w14:paraId="1E7A7D3C" w14:textId="77777777" w:rsidTr="004E3CD5">
        <w:tc>
          <w:tcPr>
            <w:tcW w:w="2252" w:type="dxa"/>
          </w:tcPr>
          <w:p w14:paraId="7CBC3A1B"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Bendrieji sutrikimai ir vartojimo vietos pažeidimai</w:t>
            </w:r>
          </w:p>
        </w:tc>
        <w:tc>
          <w:tcPr>
            <w:tcW w:w="2344" w:type="dxa"/>
          </w:tcPr>
          <w:p w14:paraId="5C0E25F4"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Astenija (sunki – 8,1</w:t>
            </w:r>
            <w:r w:rsidR="001B7EB2" w:rsidRPr="001F2C46">
              <w:rPr>
                <w:rFonts w:ascii="Times New Roman" w:hAnsi="Times New Roman"/>
              </w:rPr>
              <w:t> </w:t>
            </w:r>
            <w:r w:rsidRPr="001F2C46">
              <w:rPr>
                <w:rFonts w:ascii="Times New Roman" w:hAnsi="Times New Roman"/>
              </w:rPr>
              <w:t>%);</w:t>
            </w:r>
          </w:p>
          <w:p w14:paraId="25D2DD21" w14:textId="77777777" w:rsidR="00D875C0" w:rsidRPr="007C1A06"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Skysčių susilaikymas (sunkus – 1,2</w:t>
            </w:r>
            <w:r w:rsidR="001B7EB2" w:rsidRPr="00C722B4">
              <w:rPr>
                <w:rFonts w:ascii="Times New Roman" w:hAnsi="Times New Roman"/>
              </w:rPr>
              <w:t> </w:t>
            </w:r>
            <w:r w:rsidRPr="007C1A06">
              <w:rPr>
                <w:rFonts w:ascii="Times New Roman" w:hAnsi="Times New Roman"/>
              </w:rPr>
              <w:t>%);</w:t>
            </w:r>
          </w:p>
          <w:p w14:paraId="257A0C83"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Skausmas</w:t>
            </w:r>
          </w:p>
        </w:tc>
        <w:tc>
          <w:tcPr>
            <w:tcW w:w="2581" w:type="dxa"/>
          </w:tcPr>
          <w:p w14:paraId="563EC90B"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Infuzijos vietos reakcija</w:t>
            </w:r>
          </w:p>
        </w:tc>
        <w:tc>
          <w:tcPr>
            <w:tcW w:w="2345" w:type="dxa"/>
          </w:tcPr>
          <w:p w14:paraId="41B38177"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08177A1D" w14:textId="77777777" w:rsidTr="004E3CD5">
        <w:tc>
          <w:tcPr>
            <w:tcW w:w="2252" w:type="dxa"/>
          </w:tcPr>
          <w:p w14:paraId="5C2339D1"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Tyrimai</w:t>
            </w:r>
          </w:p>
        </w:tc>
        <w:tc>
          <w:tcPr>
            <w:tcW w:w="2344" w:type="dxa"/>
          </w:tcPr>
          <w:p w14:paraId="4E6DEAA8" w14:textId="77777777" w:rsidR="00D875C0" w:rsidRPr="00F95B76" w:rsidRDefault="00D875C0" w:rsidP="003876F8">
            <w:pPr>
              <w:spacing w:after="0" w:line="240" w:lineRule="auto"/>
              <w:rPr>
                <w:rFonts w:ascii="Times New Roman" w:hAnsi="Times New Roman"/>
              </w:rPr>
            </w:pPr>
          </w:p>
        </w:tc>
        <w:tc>
          <w:tcPr>
            <w:tcW w:w="2581" w:type="dxa"/>
          </w:tcPr>
          <w:p w14:paraId="69CFFFCD"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3</w:t>
            </w:r>
            <w:r w:rsidR="001B7EB2" w:rsidRPr="001F2C46">
              <w:rPr>
                <w:rFonts w:ascii="Times New Roman" w:hAnsi="Times New Roman"/>
              </w:rPr>
              <w:noBreakHyphen/>
            </w:r>
            <w:r w:rsidRPr="001F2C46">
              <w:rPr>
                <w:rFonts w:ascii="Times New Roman" w:hAnsi="Times New Roman"/>
              </w:rPr>
              <w:t>4</w:t>
            </w:r>
            <w:r w:rsidR="001B7EB2" w:rsidRPr="001F2C46">
              <w:rPr>
                <w:rFonts w:ascii="Times New Roman" w:hAnsi="Times New Roman"/>
              </w:rPr>
              <w:t> </w:t>
            </w:r>
            <w:r w:rsidRPr="001F2C46">
              <w:rPr>
                <w:rFonts w:ascii="Times New Roman" w:hAnsi="Times New Roman"/>
              </w:rPr>
              <w:t>laipsnio bilirubino koncentracijos kraujyje padidėjimas (&lt;</w:t>
            </w:r>
            <w:r w:rsidR="001B7EB2" w:rsidRPr="00427D92">
              <w:rPr>
                <w:rFonts w:ascii="Times New Roman" w:hAnsi="Times New Roman"/>
              </w:rPr>
              <w:t> </w:t>
            </w:r>
            <w:r w:rsidRPr="00C722B4">
              <w:rPr>
                <w:rFonts w:ascii="Times New Roman" w:hAnsi="Times New Roman"/>
              </w:rPr>
              <w:t>2,5</w:t>
            </w:r>
            <w:r w:rsidR="001B7EB2" w:rsidRPr="007C1A06">
              <w:rPr>
                <w:rFonts w:ascii="Times New Roman" w:hAnsi="Times New Roman"/>
              </w:rPr>
              <w:t> </w:t>
            </w:r>
            <w:r w:rsidRPr="007C1A06">
              <w:rPr>
                <w:rFonts w:ascii="Times New Roman" w:hAnsi="Times New Roman"/>
              </w:rPr>
              <w:t>%);</w:t>
            </w:r>
          </w:p>
          <w:p w14:paraId="6B955454" w14:textId="77777777" w:rsidR="00D875C0" w:rsidRPr="007C1A06" w:rsidRDefault="00D875C0" w:rsidP="001B7EB2">
            <w:pPr>
              <w:autoSpaceDE w:val="0"/>
              <w:autoSpaceDN w:val="0"/>
              <w:adjustRightInd w:val="0"/>
              <w:spacing w:after="0" w:line="240" w:lineRule="auto"/>
              <w:rPr>
                <w:rFonts w:ascii="Times New Roman" w:hAnsi="Times New Roman"/>
              </w:rPr>
            </w:pPr>
            <w:r w:rsidRPr="007C1A06">
              <w:rPr>
                <w:rFonts w:ascii="Times New Roman" w:hAnsi="Times New Roman"/>
              </w:rPr>
              <w:t>3</w:t>
            </w:r>
            <w:r w:rsidR="001B7EB2" w:rsidRPr="007C1A06">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šarminės fosfatazės aktyvumo kraujyje padidėjimas (&lt;</w:t>
            </w:r>
            <w:r w:rsidR="001B7EB2" w:rsidRPr="007C1A06">
              <w:rPr>
                <w:rFonts w:ascii="Times New Roman" w:hAnsi="Times New Roman"/>
              </w:rPr>
              <w:t> </w:t>
            </w:r>
            <w:r w:rsidRPr="007C1A06">
              <w:rPr>
                <w:rFonts w:ascii="Times New Roman" w:hAnsi="Times New Roman"/>
              </w:rPr>
              <w:t>2,5</w:t>
            </w:r>
            <w:r w:rsidR="001B7EB2" w:rsidRPr="007C1A06">
              <w:rPr>
                <w:rFonts w:ascii="Times New Roman" w:hAnsi="Times New Roman"/>
              </w:rPr>
              <w:t> </w:t>
            </w:r>
            <w:r w:rsidRPr="007C1A06">
              <w:rPr>
                <w:rFonts w:ascii="Times New Roman" w:hAnsi="Times New Roman"/>
              </w:rPr>
              <w:t>%)</w:t>
            </w:r>
          </w:p>
        </w:tc>
        <w:tc>
          <w:tcPr>
            <w:tcW w:w="2345" w:type="dxa"/>
          </w:tcPr>
          <w:p w14:paraId="5AD11A31" w14:textId="77777777" w:rsidR="00D875C0" w:rsidRPr="007C1A06" w:rsidRDefault="00D875C0" w:rsidP="003876F8">
            <w:pPr>
              <w:autoSpaceDE w:val="0"/>
              <w:autoSpaceDN w:val="0"/>
              <w:adjustRightInd w:val="0"/>
              <w:spacing w:after="0" w:line="240" w:lineRule="auto"/>
              <w:rPr>
                <w:rFonts w:ascii="Times New Roman" w:hAnsi="Times New Roman"/>
              </w:rPr>
            </w:pPr>
            <w:r w:rsidRPr="007C1A06">
              <w:rPr>
                <w:rFonts w:ascii="Times New Roman" w:hAnsi="Times New Roman"/>
              </w:rPr>
              <w:t>3</w:t>
            </w:r>
            <w:r w:rsidR="001B7EB2" w:rsidRPr="007C1A06">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AST aktyvumo padidėjimas (&lt;</w:t>
            </w:r>
            <w:r w:rsidR="001B7EB2" w:rsidRPr="007C1A06">
              <w:rPr>
                <w:rFonts w:ascii="Times New Roman" w:hAnsi="Times New Roman"/>
              </w:rPr>
              <w:t> </w:t>
            </w:r>
            <w:r w:rsidRPr="007C1A06">
              <w:rPr>
                <w:rFonts w:ascii="Times New Roman" w:hAnsi="Times New Roman"/>
              </w:rPr>
              <w:t>1</w:t>
            </w:r>
            <w:r w:rsidR="001B7EB2" w:rsidRPr="007C1A06">
              <w:rPr>
                <w:rFonts w:ascii="Times New Roman" w:hAnsi="Times New Roman"/>
              </w:rPr>
              <w:t> </w:t>
            </w:r>
            <w:r w:rsidRPr="007C1A06">
              <w:rPr>
                <w:rFonts w:ascii="Times New Roman" w:hAnsi="Times New Roman"/>
              </w:rPr>
              <w:t>%);</w:t>
            </w:r>
          </w:p>
          <w:p w14:paraId="22E6B76C" w14:textId="77777777" w:rsidR="00D875C0" w:rsidRPr="007C1A06" w:rsidRDefault="00D875C0" w:rsidP="001B7EB2">
            <w:pPr>
              <w:spacing w:after="0" w:line="240" w:lineRule="auto"/>
              <w:rPr>
                <w:rFonts w:ascii="Times New Roman" w:hAnsi="Times New Roman"/>
              </w:rPr>
            </w:pPr>
            <w:r w:rsidRPr="007C1A06">
              <w:rPr>
                <w:rFonts w:ascii="Times New Roman" w:hAnsi="Times New Roman"/>
              </w:rPr>
              <w:t>3</w:t>
            </w:r>
            <w:r w:rsidR="001B7EB2" w:rsidRPr="007C1A06">
              <w:rPr>
                <w:rFonts w:ascii="Times New Roman" w:hAnsi="Times New Roman"/>
              </w:rPr>
              <w:noBreakHyphen/>
            </w:r>
            <w:r w:rsidRPr="007C1A06">
              <w:rPr>
                <w:rFonts w:ascii="Times New Roman" w:hAnsi="Times New Roman"/>
              </w:rPr>
              <w:t>4</w:t>
            </w:r>
            <w:r w:rsidR="001B7EB2" w:rsidRPr="007C1A06">
              <w:rPr>
                <w:rFonts w:ascii="Times New Roman" w:hAnsi="Times New Roman"/>
              </w:rPr>
              <w:t> </w:t>
            </w:r>
            <w:r w:rsidRPr="007C1A06">
              <w:rPr>
                <w:rFonts w:ascii="Times New Roman" w:hAnsi="Times New Roman"/>
              </w:rPr>
              <w:t>laipsnio ALT aktyvumo padidėjimas (&lt;</w:t>
            </w:r>
            <w:r w:rsidR="001B7EB2" w:rsidRPr="007C1A06">
              <w:rPr>
                <w:rFonts w:ascii="Times New Roman" w:hAnsi="Times New Roman"/>
              </w:rPr>
              <w:t> </w:t>
            </w:r>
            <w:r w:rsidRPr="007C1A06">
              <w:rPr>
                <w:rFonts w:ascii="Times New Roman" w:hAnsi="Times New Roman"/>
              </w:rPr>
              <w:t>1</w:t>
            </w:r>
            <w:r w:rsidR="001B7EB2" w:rsidRPr="007C1A06">
              <w:rPr>
                <w:rFonts w:ascii="Times New Roman" w:hAnsi="Times New Roman"/>
              </w:rPr>
              <w:t> </w:t>
            </w:r>
            <w:r w:rsidRPr="007C1A06">
              <w:rPr>
                <w:rFonts w:ascii="Times New Roman" w:hAnsi="Times New Roman"/>
              </w:rPr>
              <w:t>%)</w:t>
            </w:r>
          </w:p>
        </w:tc>
      </w:tr>
    </w:tbl>
    <w:p w14:paraId="07B44FC7" w14:textId="77777777" w:rsidR="00D875C0" w:rsidRPr="00F957E7" w:rsidRDefault="00D875C0" w:rsidP="00D875C0">
      <w:pPr>
        <w:spacing w:after="0" w:line="240" w:lineRule="auto"/>
        <w:rPr>
          <w:rFonts w:ascii="Times New Roman" w:hAnsi="Times New Roman"/>
        </w:rPr>
      </w:pPr>
    </w:p>
    <w:p w14:paraId="2B654356" w14:textId="77777777" w:rsidR="0046402B" w:rsidRPr="00F95B76" w:rsidRDefault="0046402B" w:rsidP="00D875C0">
      <w:pPr>
        <w:spacing w:after="0" w:line="240" w:lineRule="auto"/>
        <w:rPr>
          <w:rFonts w:ascii="Times New Roman" w:hAnsi="Times New Roman"/>
        </w:rPr>
      </w:pPr>
    </w:p>
    <w:p w14:paraId="66D4FD00"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4E3CD5">
        <w:rPr>
          <w:rFonts w:ascii="Times New Roman" w:hAnsi="Times New Roman"/>
          <w:u w:val="single"/>
        </w:rPr>
        <w:t>Nepageidaujam</w:t>
      </w:r>
      <w:r w:rsidRPr="004E3CD5">
        <w:rPr>
          <w:rFonts w:ascii="Times New Roman" w:hAnsi="Times New Roman" w:hint="eastAsia"/>
          <w:u w:val="single"/>
        </w:rPr>
        <w:t>ų</w:t>
      </w:r>
      <w:r w:rsidRPr="004E3CD5">
        <w:rPr>
          <w:rFonts w:ascii="Times New Roman" w:hAnsi="Times New Roman"/>
          <w:u w:val="single"/>
        </w:rPr>
        <w:t xml:space="preserve"> reakcij</w:t>
      </w:r>
      <w:r w:rsidRPr="004E3CD5">
        <w:rPr>
          <w:rFonts w:ascii="Times New Roman" w:hAnsi="Times New Roman" w:hint="eastAsia"/>
          <w:u w:val="single"/>
        </w:rPr>
        <w:t>ų</w:t>
      </w:r>
      <w:r w:rsidRPr="004E3CD5">
        <w:rPr>
          <w:rFonts w:ascii="Times New Roman" w:hAnsi="Times New Roman"/>
          <w:u w:val="single"/>
        </w:rPr>
        <w:t>, atsiradusi</w:t>
      </w:r>
      <w:r w:rsidRPr="004E3CD5">
        <w:rPr>
          <w:rFonts w:ascii="Times New Roman" w:hAnsi="Times New Roman" w:hint="eastAsia"/>
          <w:u w:val="single"/>
        </w:rPr>
        <w:t>ų</w:t>
      </w:r>
      <w:r w:rsidRPr="004E3CD5">
        <w:rPr>
          <w:rFonts w:ascii="Times New Roman" w:hAnsi="Times New Roman"/>
          <w:u w:val="single"/>
        </w:rPr>
        <w:t xml:space="preserve"> </w:t>
      </w:r>
      <w:r w:rsidRPr="00F957E7">
        <w:rPr>
          <w:rFonts w:ascii="Times New Roman" w:hAnsi="Times New Roman"/>
          <w:u w:val="single"/>
        </w:rPr>
        <w:t>vartojant Docetaxel Ebewe 75</w:t>
      </w:r>
      <w:r w:rsidR="001B7EB2" w:rsidRPr="00F95B76">
        <w:rPr>
          <w:rFonts w:ascii="Times New Roman" w:hAnsi="Times New Roman"/>
          <w:u w:val="single"/>
        </w:rPr>
        <w:t> </w:t>
      </w:r>
      <w:r w:rsidRPr="004E3CD5">
        <w:rPr>
          <w:rFonts w:ascii="Times New Roman" w:hAnsi="Times New Roman"/>
          <w:u w:val="single"/>
        </w:rPr>
        <w:t>mg/m² su cisplatina doz</w:t>
      </w:r>
      <w:r w:rsidRPr="004E3CD5">
        <w:rPr>
          <w:rFonts w:ascii="Times New Roman" w:hAnsi="Times New Roman" w:hint="eastAsia"/>
          <w:u w:val="single"/>
        </w:rPr>
        <w:t>ę</w:t>
      </w:r>
      <w:r w:rsidRPr="004E3CD5">
        <w:rPr>
          <w:rFonts w:ascii="Times New Roman" w:hAnsi="Times New Roman"/>
          <w:u w:val="single"/>
        </w:rPr>
        <w:t xml:space="preserve"> nesmulki</w:t>
      </w:r>
      <w:r w:rsidRPr="004E3CD5">
        <w:rPr>
          <w:rFonts w:ascii="Times New Roman" w:hAnsi="Times New Roman" w:hint="eastAsia"/>
          <w:u w:val="single"/>
        </w:rPr>
        <w:t>ų</w:t>
      </w:r>
      <w:r w:rsidRPr="004E3CD5">
        <w:rPr>
          <w:rFonts w:ascii="Times New Roman" w:hAnsi="Times New Roman"/>
          <w:u w:val="single"/>
        </w:rPr>
        <w:t>j</w:t>
      </w:r>
      <w:r w:rsidRPr="004E3CD5">
        <w:rPr>
          <w:rFonts w:ascii="Times New Roman" w:hAnsi="Times New Roman" w:hint="eastAsia"/>
          <w:u w:val="single"/>
        </w:rPr>
        <w:t>ų</w:t>
      </w:r>
      <w:r w:rsidRPr="004E3CD5">
        <w:rPr>
          <w:rFonts w:ascii="Times New Roman" w:hAnsi="Times New Roman"/>
          <w:u w:val="single"/>
        </w:rPr>
        <w:t xml:space="preserve"> l</w:t>
      </w:r>
      <w:r w:rsidRPr="004E3CD5">
        <w:rPr>
          <w:rFonts w:ascii="Times New Roman" w:hAnsi="Times New Roman" w:hint="eastAsia"/>
          <w:u w:val="single"/>
        </w:rPr>
        <w:t>ą</w:t>
      </w:r>
      <w:r w:rsidRPr="004E3CD5">
        <w:rPr>
          <w:rFonts w:ascii="Times New Roman" w:hAnsi="Times New Roman"/>
          <w:u w:val="single"/>
        </w:rPr>
        <w:t>steli</w:t>
      </w:r>
      <w:r w:rsidRPr="004E3CD5">
        <w:rPr>
          <w:rFonts w:ascii="Times New Roman" w:hAnsi="Times New Roman" w:hint="eastAsia"/>
          <w:u w:val="single"/>
        </w:rPr>
        <w:t>ų</w:t>
      </w:r>
      <w:r w:rsidRPr="004E3CD5">
        <w:rPr>
          <w:rFonts w:ascii="Times New Roman" w:hAnsi="Times New Roman"/>
          <w:u w:val="single"/>
        </w:rPr>
        <w:t xml:space="preserve"> plau</w:t>
      </w:r>
      <w:r w:rsidRPr="004E3CD5">
        <w:rPr>
          <w:rFonts w:ascii="Times New Roman" w:hAnsi="Times New Roman" w:hint="eastAsia"/>
          <w:u w:val="single"/>
        </w:rPr>
        <w:t>č</w:t>
      </w:r>
      <w:r w:rsidRPr="004E3CD5">
        <w:rPr>
          <w:rFonts w:ascii="Times New Roman" w:hAnsi="Times New Roman"/>
          <w:u w:val="single"/>
        </w:rPr>
        <w:t>i</w:t>
      </w:r>
      <w:r w:rsidRPr="004E3CD5">
        <w:rPr>
          <w:rFonts w:ascii="Times New Roman" w:hAnsi="Times New Roman" w:hint="eastAsia"/>
          <w:u w:val="single"/>
        </w:rPr>
        <w:t>ų</w:t>
      </w:r>
      <w:r w:rsidRPr="004E3CD5">
        <w:rPr>
          <w:rFonts w:ascii="Times New Roman" w:hAnsi="Times New Roman"/>
          <w:u w:val="single"/>
        </w:rPr>
        <w:t xml:space="preserve"> v</w:t>
      </w:r>
      <w:r w:rsidRPr="004E3CD5">
        <w:rPr>
          <w:rFonts w:ascii="Times New Roman" w:hAnsi="Times New Roman" w:hint="eastAsia"/>
          <w:u w:val="single"/>
        </w:rPr>
        <w:t>ėž</w:t>
      </w:r>
      <w:r w:rsidRPr="004E3CD5">
        <w:rPr>
          <w:rFonts w:ascii="Times New Roman" w:hAnsi="Times New Roman"/>
          <w:u w:val="single"/>
        </w:rPr>
        <w:t>io kombinuotai terapijai, s</w:t>
      </w:r>
      <w:r w:rsidRPr="004E3CD5">
        <w:rPr>
          <w:rFonts w:ascii="Times New Roman" w:hAnsi="Times New Roman" w:hint="eastAsia"/>
          <w:u w:val="single"/>
        </w:rPr>
        <w:t>ą</w:t>
      </w:r>
      <w:r w:rsidRPr="004E3CD5">
        <w:rPr>
          <w:rFonts w:ascii="Times New Roman" w:hAnsi="Times New Roman"/>
          <w:u w:val="single"/>
        </w:rPr>
        <w:t>rašas lentel</w:t>
      </w:r>
      <w:r w:rsidRPr="004E3CD5">
        <w:rPr>
          <w:rFonts w:ascii="Times New Roman" w:hAnsi="Times New Roman" w:hint="eastAsia"/>
          <w:u w:val="single"/>
        </w:rPr>
        <w:t>ė</w:t>
      </w:r>
      <w:r w:rsidRPr="004E3CD5">
        <w:rPr>
          <w:rFonts w:ascii="Times New Roman" w:hAnsi="Times New Roman"/>
          <w:u w:val="single"/>
        </w:rPr>
        <w:t xml:space="preserve">s forma </w:t>
      </w:r>
    </w:p>
    <w:p w14:paraId="13FAE323" w14:textId="77777777" w:rsidR="00D875C0" w:rsidRPr="00F957E7" w:rsidRDefault="00D875C0" w:rsidP="00D875C0">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297"/>
        <w:gridCol w:w="2297"/>
        <w:gridCol w:w="2297"/>
      </w:tblGrid>
      <w:tr w:rsidR="00F957E7" w:rsidRPr="007C1A06" w14:paraId="6CE4DEB9" w14:textId="77777777" w:rsidTr="00915C14">
        <w:tc>
          <w:tcPr>
            <w:tcW w:w="2252" w:type="dxa"/>
            <w:shd w:val="clear" w:color="auto" w:fill="D9D9D9" w:themeFill="background1" w:themeFillShade="D9"/>
          </w:tcPr>
          <w:p w14:paraId="1AE86C0A" w14:textId="77777777" w:rsidR="00D875C0" w:rsidRPr="00F95B76" w:rsidRDefault="00D875C0" w:rsidP="003876F8">
            <w:pPr>
              <w:spacing w:after="0" w:line="240" w:lineRule="auto"/>
              <w:rPr>
                <w:rFonts w:ascii="Times New Roman" w:hAnsi="Times New Roman"/>
              </w:rPr>
            </w:pPr>
            <w:r w:rsidRPr="00F95B76">
              <w:rPr>
                <w:rFonts w:ascii="Times New Roman" w:hAnsi="Times New Roman"/>
                <w:b/>
              </w:rPr>
              <w:t>MedDRA organų sistemų klasės</w:t>
            </w:r>
          </w:p>
        </w:tc>
        <w:tc>
          <w:tcPr>
            <w:tcW w:w="2344" w:type="dxa"/>
            <w:shd w:val="clear" w:color="auto" w:fill="D9D9D9" w:themeFill="background1" w:themeFillShade="D9"/>
          </w:tcPr>
          <w:p w14:paraId="6185898E" w14:textId="77777777" w:rsidR="00D875C0" w:rsidRPr="001F2C46" w:rsidRDefault="00D875C0" w:rsidP="003876F8">
            <w:pPr>
              <w:autoSpaceDE w:val="0"/>
              <w:autoSpaceDN w:val="0"/>
              <w:adjustRightInd w:val="0"/>
              <w:spacing w:after="0" w:line="240" w:lineRule="auto"/>
              <w:rPr>
                <w:rFonts w:ascii="Times New Roman" w:hAnsi="Times New Roman"/>
                <w:b/>
              </w:rPr>
            </w:pPr>
            <w:r w:rsidRPr="001F2C46">
              <w:rPr>
                <w:rFonts w:ascii="Times New Roman" w:hAnsi="Times New Roman"/>
                <w:b/>
              </w:rPr>
              <w:t xml:space="preserve">Labai dažnos nepageidaujamos reakcijos </w:t>
            </w:r>
          </w:p>
        </w:tc>
        <w:tc>
          <w:tcPr>
            <w:tcW w:w="2345" w:type="dxa"/>
            <w:shd w:val="clear" w:color="auto" w:fill="D9D9D9" w:themeFill="background1" w:themeFillShade="D9"/>
          </w:tcPr>
          <w:p w14:paraId="5AFB0931" w14:textId="77777777" w:rsidR="00D875C0" w:rsidRPr="00427D92" w:rsidRDefault="00D875C0" w:rsidP="003876F8">
            <w:pPr>
              <w:autoSpaceDE w:val="0"/>
              <w:autoSpaceDN w:val="0"/>
              <w:adjustRightInd w:val="0"/>
              <w:spacing w:after="0" w:line="240" w:lineRule="auto"/>
              <w:rPr>
                <w:rFonts w:ascii="Times New Roman" w:hAnsi="Times New Roman"/>
                <w:b/>
              </w:rPr>
            </w:pPr>
            <w:r w:rsidRPr="00427D92">
              <w:rPr>
                <w:rFonts w:ascii="Times New Roman" w:hAnsi="Times New Roman"/>
                <w:b/>
              </w:rPr>
              <w:t xml:space="preserve">Dažnos nepageidaujamos reakcijos </w:t>
            </w:r>
          </w:p>
        </w:tc>
        <w:tc>
          <w:tcPr>
            <w:tcW w:w="2345" w:type="dxa"/>
            <w:shd w:val="clear" w:color="auto" w:fill="D9D9D9" w:themeFill="background1" w:themeFillShade="D9"/>
          </w:tcPr>
          <w:p w14:paraId="6B9C7943" w14:textId="77777777" w:rsidR="00D875C0" w:rsidRPr="00C722B4" w:rsidRDefault="00D875C0" w:rsidP="003876F8">
            <w:pPr>
              <w:autoSpaceDE w:val="0"/>
              <w:autoSpaceDN w:val="0"/>
              <w:adjustRightInd w:val="0"/>
              <w:spacing w:after="0" w:line="240" w:lineRule="auto"/>
              <w:rPr>
                <w:rFonts w:ascii="Times New Roman" w:hAnsi="Times New Roman"/>
                <w:b/>
              </w:rPr>
            </w:pPr>
            <w:r w:rsidRPr="00C722B4">
              <w:rPr>
                <w:rFonts w:ascii="Times New Roman" w:hAnsi="Times New Roman"/>
                <w:b/>
              </w:rPr>
              <w:t xml:space="preserve">Nedažnos nepageidaujamos reakcijos </w:t>
            </w:r>
          </w:p>
        </w:tc>
      </w:tr>
      <w:tr w:rsidR="00D875C0" w:rsidRPr="007C1A06" w14:paraId="7F774B3C" w14:textId="77777777" w:rsidTr="004E3CD5">
        <w:tc>
          <w:tcPr>
            <w:tcW w:w="2252" w:type="dxa"/>
          </w:tcPr>
          <w:p w14:paraId="234141E4" w14:textId="77777777" w:rsidR="00D875C0" w:rsidRPr="00F957E7" w:rsidRDefault="00D875C0" w:rsidP="003876F8">
            <w:pPr>
              <w:autoSpaceDE w:val="0"/>
              <w:autoSpaceDN w:val="0"/>
              <w:adjustRightInd w:val="0"/>
              <w:spacing w:after="0" w:line="240" w:lineRule="auto"/>
              <w:rPr>
                <w:rFonts w:ascii="Times New Roman" w:hAnsi="Times New Roman"/>
                <w:b/>
              </w:rPr>
            </w:pPr>
            <w:r w:rsidRPr="00F957E7">
              <w:rPr>
                <w:rFonts w:ascii="Times New Roman" w:hAnsi="Times New Roman"/>
              </w:rPr>
              <w:t>Infekcijos ir infestacijos</w:t>
            </w:r>
          </w:p>
        </w:tc>
        <w:tc>
          <w:tcPr>
            <w:tcW w:w="2344" w:type="dxa"/>
          </w:tcPr>
          <w:p w14:paraId="198983D9" w14:textId="77777777" w:rsidR="00D875C0" w:rsidRPr="00427D92" w:rsidRDefault="00D875C0" w:rsidP="00E42D5A">
            <w:pPr>
              <w:autoSpaceDE w:val="0"/>
              <w:autoSpaceDN w:val="0"/>
              <w:adjustRightInd w:val="0"/>
              <w:spacing w:after="0" w:line="240" w:lineRule="auto"/>
              <w:rPr>
                <w:rFonts w:ascii="Times New Roman" w:hAnsi="Times New Roman"/>
                <w:b/>
              </w:rPr>
            </w:pPr>
            <w:r w:rsidRPr="00F95B76">
              <w:rPr>
                <w:rFonts w:ascii="Times New Roman" w:hAnsi="Times New Roman"/>
              </w:rPr>
              <w:t>Infekcija (3</w:t>
            </w:r>
            <w:r w:rsidR="00E42D5A" w:rsidRPr="00F95B76">
              <w:rPr>
                <w:rFonts w:ascii="Times New Roman" w:hAnsi="Times New Roman"/>
              </w:rPr>
              <w:noBreakHyphen/>
            </w:r>
            <w:r w:rsidRPr="00F95B76">
              <w:rPr>
                <w:rFonts w:ascii="Times New Roman" w:hAnsi="Times New Roman"/>
              </w:rPr>
              <w:t>4</w:t>
            </w:r>
            <w:r w:rsidR="00E42D5A" w:rsidRPr="00F95B76">
              <w:rPr>
                <w:rFonts w:ascii="Times New Roman" w:hAnsi="Times New Roman"/>
              </w:rPr>
              <w:t> </w:t>
            </w:r>
            <w:r w:rsidRPr="00F95B76">
              <w:rPr>
                <w:rFonts w:ascii="Times New Roman" w:hAnsi="Times New Roman"/>
              </w:rPr>
              <w:t>laipsnio – 5,7</w:t>
            </w:r>
            <w:r w:rsidR="00E42D5A" w:rsidRPr="001F2C46">
              <w:rPr>
                <w:rFonts w:ascii="Times New Roman" w:hAnsi="Times New Roman"/>
              </w:rPr>
              <w:t> </w:t>
            </w:r>
            <w:r w:rsidRPr="001F2C46">
              <w:rPr>
                <w:rFonts w:ascii="Times New Roman" w:hAnsi="Times New Roman"/>
              </w:rPr>
              <w:t>%)</w:t>
            </w:r>
          </w:p>
        </w:tc>
        <w:tc>
          <w:tcPr>
            <w:tcW w:w="2345" w:type="dxa"/>
          </w:tcPr>
          <w:p w14:paraId="4B93E244" w14:textId="77777777" w:rsidR="00D875C0" w:rsidRPr="00C722B4" w:rsidRDefault="00D875C0" w:rsidP="003876F8">
            <w:pPr>
              <w:autoSpaceDE w:val="0"/>
              <w:autoSpaceDN w:val="0"/>
              <w:adjustRightInd w:val="0"/>
              <w:spacing w:after="0" w:line="240" w:lineRule="auto"/>
              <w:rPr>
                <w:rFonts w:ascii="Times New Roman" w:hAnsi="Times New Roman"/>
                <w:b/>
              </w:rPr>
            </w:pPr>
          </w:p>
        </w:tc>
        <w:tc>
          <w:tcPr>
            <w:tcW w:w="2345" w:type="dxa"/>
          </w:tcPr>
          <w:p w14:paraId="035C1AA8"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0BA5CD70" w14:textId="77777777" w:rsidTr="004E3CD5">
        <w:tc>
          <w:tcPr>
            <w:tcW w:w="2252" w:type="dxa"/>
          </w:tcPr>
          <w:p w14:paraId="1E8E4372"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Kraujo ir limfinės sistemos sutrikimai</w:t>
            </w:r>
          </w:p>
        </w:tc>
        <w:tc>
          <w:tcPr>
            <w:tcW w:w="2344" w:type="dxa"/>
          </w:tcPr>
          <w:p w14:paraId="52BE2FA0"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Neutropenija (3</w:t>
            </w:r>
            <w:r w:rsidR="00E42D5A" w:rsidRPr="00427D92">
              <w:rPr>
                <w:rFonts w:ascii="Times New Roman" w:hAnsi="Times New Roman"/>
              </w:rPr>
              <w:noBreakHyphen/>
            </w:r>
            <w:r w:rsidRPr="00C722B4">
              <w:rPr>
                <w:rFonts w:ascii="Times New Roman" w:hAnsi="Times New Roman"/>
              </w:rPr>
              <w:t>4</w:t>
            </w:r>
            <w:r w:rsidR="00E42D5A" w:rsidRPr="007C1A06">
              <w:rPr>
                <w:rFonts w:ascii="Times New Roman" w:hAnsi="Times New Roman"/>
              </w:rPr>
              <w:t> </w:t>
            </w:r>
            <w:r w:rsidRPr="007C1A06">
              <w:rPr>
                <w:rFonts w:ascii="Times New Roman" w:hAnsi="Times New Roman"/>
              </w:rPr>
              <w:t>laipsnio – 51,5</w:t>
            </w:r>
            <w:r w:rsidR="00E42D5A" w:rsidRPr="007C1A06">
              <w:rPr>
                <w:rFonts w:ascii="Times New Roman" w:hAnsi="Times New Roman"/>
              </w:rPr>
              <w:t> </w:t>
            </w:r>
            <w:r w:rsidRPr="007C1A06">
              <w:rPr>
                <w:rFonts w:ascii="Times New Roman" w:hAnsi="Times New Roman"/>
              </w:rPr>
              <w:t>%);</w:t>
            </w:r>
          </w:p>
          <w:p w14:paraId="6535E457"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Anemija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6,9</w:t>
            </w:r>
            <w:r w:rsidR="00E42D5A" w:rsidRPr="007C1A06">
              <w:rPr>
                <w:rFonts w:ascii="Times New Roman" w:hAnsi="Times New Roman"/>
              </w:rPr>
              <w:t> </w:t>
            </w:r>
            <w:r w:rsidRPr="007C1A06">
              <w:rPr>
                <w:rFonts w:ascii="Times New Roman" w:hAnsi="Times New Roman"/>
              </w:rPr>
              <w:t>%);</w:t>
            </w:r>
          </w:p>
          <w:p w14:paraId="5F85C7ED" w14:textId="77777777" w:rsidR="00D875C0"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Trombocitopenija (4</w:t>
            </w:r>
            <w:r w:rsidR="00E42D5A" w:rsidRPr="007C1A06">
              <w:rPr>
                <w:rFonts w:ascii="Times New Roman" w:hAnsi="Times New Roman"/>
              </w:rPr>
              <w:t> </w:t>
            </w:r>
            <w:r w:rsidRPr="007C1A06">
              <w:rPr>
                <w:rFonts w:ascii="Times New Roman" w:hAnsi="Times New Roman"/>
              </w:rPr>
              <w:t>laipsnio –0,5</w:t>
            </w:r>
            <w:r w:rsidR="00E42D5A" w:rsidRPr="007C1A06">
              <w:rPr>
                <w:rFonts w:ascii="Times New Roman" w:hAnsi="Times New Roman"/>
              </w:rPr>
              <w:t> </w:t>
            </w:r>
            <w:r w:rsidRPr="007C1A06">
              <w:rPr>
                <w:rFonts w:ascii="Times New Roman" w:hAnsi="Times New Roman"/>
              </w:rPr>
              <w:t>%)</w:t>
            </w:r>
          </w:p>
        </w:tc>
        <w:tc>
          <w:tcPr>
            <w:tcW w:w="2345" w:type="dxa"/>
          </w:tcPr>
          <w:p w14:paraId="2A53C5A3"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Febrilinė neutropenija</w:t>
            </w:r>
          </w:p>
        </w:tc>
        <w:tc>
          <w:tcPr>
            <w:tcW w:w="2345" w:type="dxa"/>
          </w:tcPr>
          <w:p w14:paraId="6AD1BF53"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34EFA26D" w14:textId="77777777" w:rsidTr="004E3CD5">
        <w:tc>
          <w:tcPr>
            <w:tcW w:w="2252" w:type="dxa"/>
          </w:tcPr>
          <w:p w14:paraId="72C705F2"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Imuninės sistemos sutrikimai</w:t>
            </w:r>
          </w:p>
        </w:tc>
        <w:tc>
          <w:tcPr>
            <w:tcW w:w="2344" w:type="dxa"/>
          </w:tcPr>
          <w:p w14:paraId="583C00F6" w14:textId="77777777" w:rsidR="00D875C0" w:rsidRPr="007C1A06" w:rsidRDefault="00D875C0" w:rsidP="00E42D5A">
            <w:pPr>
              <w:autoSpaceDE w:val="0"/>
              <w:autoSpaceDN w:val="0"/>
              <w:adjustRightInd w:val="0"/>
              <w:spacing w:after="0" w:line="240" w:lineRule="auto"/>
              <w:rPr>
                <w:rFonts w:ascii="Times New Roman" w:hAnsi="Times New Roman"/>
              </w:rPr>
            </w:pPr>
            <w:r w:rsidRPr="001F2C46">
              <w:rPr>
                <w:rFonts w:ascii="Times New Roman" w:hAnsi="Times New Roman"/>
              </w:rPr>
              <w:t>Padidėjęs jautrumas (3</w:t>
            </w:r>
            <w:r w:rsidR="00E42D5A" w:rsidRPr="00427D92">
              <w:rPr>
                <w:rFonts w:ascii="Times New Roman" w:hAnsi="Times New Roman"/>
              </w:rPr>
              <w:noBreakHyphen/>
            </w:r>
            <w:r w:rsidRPr="00C722B4">
              <w:rPr>
                <w:rFonts w:ascii="Times New Roman" w:hAnsi="Times New Roman"/>
              </w:rPr>
              <w:t>4</w:t>
            </w:r>
            <w:r w:rsidR="00E42D5A" w:rsidRPr="007C1A06">
              <w:rPr>
                <w:rFonts w:ascii="Times New Roman" w:hAnsi="Times New Roman"/>
              </w:rPr>
              <w:t> </w:t>
            </w:r>
            <w:r w:rsidRPr="007C1A06">
              <w:rPr>
                <w:rFonts w:ascii="Times New Roman" w:hAnsi="Times New Roman"/>
              </w:rPr>
              <w:t>laipsnio – 2,5</w:t>
            </w:r>
            <w:r w:rsidR="00E42D5A" w:rsidRPr="007C1A06">
              <w:rPr>
                <w:rFonts w:ascii="Times New Roman" w:hAnsi="Times New Roman"/>
              </w:rPr>
              <w:t> </w:t>
            </w:r>
            <w:r w:rsidRPr="007C1A06">
              <w:rPr>
                <w:rFonts w:ascii="Times New Roman" w:hAnsi="Times New Roman"/>
              </w:rPr>
              <w:t>%)</w:t>
            </w:r>
          </w:p>
        </w:tc>
        <w:tc>
          <w:tcPr>
            <w:tcW w:w="2345" w:type="dxa"/>
          </w:tcPr>
          <w:p w14:paraId="10FDB483" w14:textId="77777777" w:rsidR="00D875C0" w:rsidRPr="007C1A06" w:rsidRDefault="00D875C0" w:rsidP="003876F8">
            <w:pPr>
              <w:autoSpaceDE w:val="0"/>
              <w:autoSpaceDN w:val="0"/>
              <w:adjustRightInd w:val="0"/>
              <w:spacing w:after="0" w:line="240" w:lineRule="auto"/>
              <w:rPr>
                <w:rFonts w:ascii="Times New Roman" w:hAnsi="Times New Roman"/>
              </w:rPr>
            </w:pPr>
          </w:p>
        </w:tc>
        <w:tc>
          <w:tcPr>
            <w:tcW w:w="2345" w:type="dxa"/>
          </w:tcPr>
          <w:p w14:paraId="7002C294"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1A3615E5" w14:textId="77777777" w:rsidTr="004E3CD5">
        <w:tc>
          <w:tcPr>
            <w:tcW w:w="2252" w:type="dxa"/>
          </w:tcPr>
          <w:p w14:paraId="6836F069"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Metabolizmo ir mitybos sutrikimai</w:t>
            </w:r>
          </w:p>
        </w:tc>
        <w:tc>
          <w:tcPr>
            <w:tcW w:w="2344" w:type="dxa"/>
          </w:tcPr>
          <w:p w14:paraId="1EB1CA8E"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Anoreksija</w:t>
            </w:r>
          </w:p>
        </w:tc>
        <w:tc>
          <w:tcPr>
            <w:tcW w:w="2345" w:type="dxa"/>
          </w:tcPr>
          <w:p w14:paraId="25B47E55" w14:textId="77777777" w:rsidR="00D875C0" w:rsidRPr="00427D92" w:rsidRDefault="00D875C0" w:rsidP="003876F8">
            <w:pPr>
              <w:autoSpaceDE w:val="0"/>
              <w:autoSpaceDN w:val="0"/>
              <w:adjustRightInd w:val="0"/>
              <w:spacing w:after="0" w:line="240" w:lineRule="auto"/>
              <w:rPr>
                <w:rFonts w:ascii="Times New Roman" w:hAnsi="Times New Roman"/>
              </w:rPr>
            </w:pPr>
          </w:p>
        </w:tc>
        <w:tc>
          <w:tcPr>
            <w:tcW w:w="2345" w:type="dxa"/>
          </w:tcPr>
          <w:p w14:paraId="185F4711" w14:textId="77777777" w:rsidR="00D875C0" w:rsidRPr="00C722B4" w:rsidRDefault="00D875C0" w:rsidP="003876F8">
            <w:pPr>
              <w:autoSpaceDE w:val="0"/>
              <w:autoSpaceDN w:val="0"/>
              <w:adjustRightInd w:val="0"/>
              <w:spacing w:after="0" w:line="240" w:lineRule="auto"/>
              <w:rPr>
                <w:rFonts w:ascii="Times New Roman" w:hAnsi="Times New Roman"/>
                <w:b/>
              </w:rPr>
            </w:pPr>
          </w:p>
        </w:tc>
      </w:tr>
      <w:tr w:rsidR="00D875C0" w:rsidRPr="007C1A06" w14:paraId="5EAD59B9" w14:textId="77777777" w:rsidTr="004E3CD5">
        <w:tc>
          <w:tcPr>
            <w:tcW w:w="2252" w:type="dxa"/>
          </w:tcPr>
          <w:p w14:paraId="27F2A6F1"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Nervų sistemos sutrikimai</w:t>
            </w:r>
          </w:p>
        </w:tc>
        <w:tc>
          <w:tcPr>
            <w:tcW w:w="2344" w:type="dxa"/>
          </w:tcPr>
          <w:p w14:paraId="22FB4099"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Periferinė sensorinė neuropatija (3</w:t>
            </w:r>
            <w:r w:rsidR="00E42D5A" w:rsidRPr="001F2C46">
              <w:rPr>
                <w:rFonts w:ascii="Times New Roman" w:hAnsi="Times New Roman"/>
              </w:rPr>
              <w:t> </w:t>
            </w:r>
            <w:r w:rsidRPr="00427D92">
              <w:rPr>
                <w:rFonts w:ascii="Times New Roman" w:hAnsi="Times New Roman"/>
              </w:rPr>
              <w:t>laipsnio – 3,7</w:t>
            </w:r>
            <w:r w:rsidR="00E42D5A" w:rsidRPr="00C722B4">
              <w:rPr>
                <w:rFonts w:ascii="Times New Roman" w:hAnsi="Times New Roman"/>
              </w:rPr>
              <w:t> </w:t>
            </w:r>
            <w:r w:rsidRPr="007C1A06">
              <w:rPr>
                <w:rFonts w:ascii="Times New Roman" w:hAnsi="Times New Roman"/>
              </w:rPr>
              <w:t>%);</w:t>
            </w:r>
          </w:p>
          <w:p w14:paraId="1BE9E748" w14:textId="77777777" w:rsidR="00D875C0"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Periferinė motorinė neuropatija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2</w:t>
            </w:r>
            <w:r w:rsidR="00E42D5A" w:rsidRPr="007C1A06">
              <w:rPr>
                <w:rFonts w:ascii="Times New Roman" w:hAnsi="Times New Roman"/>
              </w:rPr>
              <w:t> </w:t>
            </w:r>
            <w:r w:rsidRPr="007C1A06">
              <w:rPr>
                <w:rFonts w:ascii="Times New Roman" w:hAnsi="Times New Roman"/>
              </w:rPr>
              <w:t>%)</w:t>
            </w:r>
          </w:p>
        </w:tc>
        <w:tc>
          <w:tcPr>
            <w:tcW w:w="2345" w:type="dxa"/>
          </w:tcPr>
          <w:p w14:paraId="775A6362" w14:textId="77777777" w:rsidR="00D875C0" w:rsidRPr="007C1A06" w:rsidRDefault="00D875C0" w:rsidP="003876F8">
            <w:pPr>
              <w:autoSpaceDE w:val="0"/>
              <w:autoSpaceDN w:val="0"/>
              <w:adjustRightInd w:val="0"/>
              <w:spacing w:after="0" w:line="240" w:lineRule="auto"/>
              <w:rPr>
                <w:rFonts w:ascii="Times New Roman" w:hAnsi="Times New Roman"/>
              </w:rPr>
            </w:pPr>
          </w:p>
        </w:tc>
        <w:tc>
          <w:tcPr>
            <w:tcW w:w="2345" w:type="dxa"/>
          </w:tcPr>
          <w:p w14:paraId="61A3A993"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475B7814" w14:textId="77777777" w:rsidTr="004E3CD5">
        <w:tc>
          <w:tcPr>
            <w:tcW w:w="2252" w:type="dxa"/>
          </w:tcPr>
          <w:p w14:paraId="3B57E892"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Širdies sutrikimai</w:t>
            </w:r>
          </w:p>
        </w:tc>
        <w:tc>
          <w:tcPr>
            <w:tcW w:w="2344" w:type="dxa"/>
          </w:tcPr>
          <w:p w14:paraId="36820520"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2345" w:type="dxa"/>
          </w:tcPr>
          <w:p w14:paraId="350B7F88" w14:textId="77777777" w:rsidR="00D875C0" w:rsidRPr="007C1A06" w:rsidRDefault="00D875C0" w:rsidP="00E42D5A">
            <w:pPr>
              <w:autoSpaceDE w:val="0"/>
              <w:autoSpaceDN w:val="0"/>
              <w:adjustRightInd w:val="0"/>
              <w:spacing w:after="0" w:line="240" w:lineRule="auto"/>
              <w:rPr>
                <w:rFonts w:ascii="Times New Roman" w:hAnsi="Times New Roman"/>
              </w:rPr>
            </w:pPr>
            <w:r w:rsidRPr="00427D92">
              <w:rPr>
                <w:rFonts w:ascii="Times New Roman" w:hAnsi="Times New Roman"/>
              </w:rPr>
              <w:t>Aritmija (3</w:t>
            </w:r>
            <w:r w:rsidR="00E42D5A" w:rsidRPr="00C722B4">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0,7</w:t>
            </w:r>
            <w:r w:rsidR="00E42D5A" w:rsidRPr="007C1A06">
              <w:rPr>
                <w:rFonts w:ascii="Times New Roman" w:hAnsi="Times New Roman"/>
              </w:rPr>
              <w:t> </w:t>
            </w:r>
            <w:r w:rsidRPr="007C1A06">
              <w:rPr>
                <w:rFonts w:ascii="Times New Roman" w:hAnsi="Times New Roman"/>
              </w:rPr>
              <w:t>%)</w:t>
            </w:r>
          </w:p>
        </w:tc>
        <w:tc>
          <w:tcPr>
            <w:tcW w:w="2345" w:type="dxa"/>
          </w:tcPr>
          <w:p w14:paraId="15285542"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Širdies nepakankamumas</w:t>
            </w:r>
          </w:p>
        </w:tc>
      </w:tr>
      <w:tr w:rsidR="00D875C0" w:rsidRPr="007C1A06" w14:paraId="025859DE" w14:textId="77777777" w:rsidTr="004E3CD5">
        <w:tc>
          <w:tcPr>
            <w:tcW w:w="2252" w:type="dxa"/>
          </w:tcPr>
          <w:p w14:paraId="1B1A6C76"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Kraujagyslių sutrikimai</w:t>
            </w:r>
          </w:p>
        </w:tc>
        <w:tc>
          <w:tcPr>
            <w:tcW w:w="2344" w:type="dxa"/>
          </w:tcPr>
          <w:p w14:paraId="5FBFB27F"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2345" w:type="dxa"/>
          </w:tcPr>
          <w:p w14:paraId="582FA4DA" w14:textId="77777777" w:rsidR="00D875C0" w:rsidRPr="007C1A06" w:rsidRDefault="00D875C0" w:rsidP="00E42D5A">
            <w:pPr>
              <w:autoSpaceDE w:val="0"/>
              <w:autoSpaceDN w:val="0"/>
              <w:adjustRightInd w:val="0"/>
              <w:spacing w:after="0" w:line="240" w:lineRule="auto"/>
              <w:rPr>
                <w:rFonts w:ascii="Times New Roman" w:hAnsi="Times New Roman"/>
              </w:rPr>
            </w:pPr>
            <w:r w:rsidRPr="00427D92">
              <w:rPr>
                <w:rFonts w:ascii="Times New Roman" w:hAnsi="Times New Roman"/>
              </w:rPr>
              <w:t>Hipotenzija (3</w:t>
            </w:r>
            <w:r w:rsidR="00E42D5A" w:rsidRPr="00C722B4">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0,7</w:t>
            </w:r>
            <w:r w:rsidR="00E42D5A" w:rsidRPr="007C1A06">
              <w:rPr>
                <w:rFonts w:ascii="Times New Roman" w:hAnsi="Times New Roman"/>
              </w:rPr>
              <w:t> </w:t>
            </w:r>
            <w:r w:rsidRPr="007C1A06">
              <w:rPr>
                <w:rFonts w:ascii="Times New Roman" w:hAnsi="Times New Roman"/>
              </w:rPr>
              <w:t>%)</w:t>
            </w:r>
          </w:p>
        </w:tc>
        <w:tc>
          <w:tcPr>
            <w:tcW w:w="2345" w:type="dxa"/>
          </w:tcPr>
          <w:p w14:paraId="36D41C8F"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13F216BC" w14:textId="77777777" w:rsidTr="004E3CD5">
        <w:tc>
          <w:tcPr>
            <w:tcW w:w="2252" w:type="dxa"/>
          </w:tcPr>
          <w:p w14:paraId="127C4ACE"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Virškinimo trakto sutrikimai</w:t>
            </w:r>
          </w:p>
        </w:tc>
        <w:tc>
          <w:tcPr>
            <w:tcW w:w="2344" w:type="dxa"/>
          </w:tcPr>
          <w:p w14:paraId="454E7A4F"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Pykinimas (3</w:t>
            </w:r>
            <w:r w:rsidR="00E42D5A" w:rsidRPr="00427D92">
              <w:rPr>
                <w:rFonts w:ascii="Times New Roman" w:hAnsi="Times New Roman"/>
              </w:rPr>
              <w:noBreakHyphen/>
            </w:r>
            <w:r w:rsidRPr="00C722B4">
              <w:rPr>
                <w:rFonts w:ascii="Times New Roman" w:hAnsi="Times New Roman"/>
              </w:rPr>
              <w:t>4</w:t>
            </w:r>
            <w:r w:rsidR="00E42D5A" w:rsidRPr="007C1A06">
              <w:rPr>
                <w:rFonts w:ascii="Times New Roman" w:hAnsi="Times New Roman"/>
              </w:rPr>
              <w:t> </w:t>
            </w:r>
            <w:r w:rsidRPr="007C1A06">
              <w:rPr>
                <w:rFonts w:ascii="Times New Roman" w:hAnsi="Times New Roman"/>
              </w:rPr>
              <w:t>laipsnio – 9,6</w:t>
            </w:r>
            <w:r w:rsidR="00E42D5A" w:rsidRPr="007C1A06">
              <w:rPr>
                <w:rFonts w:ascii="Times New Roman" w:hAnsi="Times New Roman"/>
              </w:rPr>
              <w:t> </w:t>
            </w:r>
            <w:r w:rsidRPr="007C1A06">
              <w:rPr>
                <w:rFonts w:ascii="Times New Roman" w:hAnsi="Times New Roman"/>
              </w:rPr>
              <w:t>%);</w:t>
            </w:r>
          </w:p>
          <w:p w14:paraId="6EB6FF64"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Vėmimas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7,6</w:t>
            </w:r>
            <w:r w:rsidR="00E42D5A" w:rsidRPr="007C1A06">
              <w:rPr>
                <w:rFonts w:ascii="Times New Roman" w:hAnsi="Times New Roman"/>
              </w:rPr>
              <w:t> </w:t>
            </w:r>
            <w:r w:rsidRPr="007C1A06">
              <w:rPr>
                <w:rFonts w:ascii="Times New Roman" w:hAnsi="Times New Roman"/>
              </w:rPr>
              <w:t>%);</w:t>
            </w:r>
          </w:p>
          <w:p w14:paraId="7D707F3C"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Viduriavimas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6,4</w:t>
            </w:r>
            <w:r w:rsidR="00E42D5A" w:rsidRPr="007C1A06">
              <w:rPr>
                <w:rFonts w:ascii="Times New Roman" w:hAnsi="Times New Roman"/>
              </w:rPr>
              <w:t> </w:t>
            </w:r>
            <w:r w:rsidRPr="007C1A06">
              <w:rPr>
                <w:rFonts w:ascii="Times New Roman" w:hAnsi="Times New Roman"/>
              </w:rPr>
              <w:t>%);</w:t>
            </w:r>
          </w:p>
          <w:p w14:paraId="5FCE0DD1" w14:textId="77777777" w:rsidR="00D875C0"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Stomatitas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2</w:t>
            </w:r>
            <w:r w:rsidR="00E42D5A" w:rsidRPr="007C1A06">
              <w:rPr>
                <w:rFonts w:ascii="Times New Roman" w:hAnsi="Times New Roman"/>
              </w:rPr>
              <w:t> </w:t>
            </w:r>
            <w:r w:rsidRPr="007C1A06">
              <w:rPr>
                <w:rFonts w:ascii="Times New Roman" w:hAnsi="Times New Roman"/>
              </w:rPr>
              <w:t>%)</w:t>
            </w:r>
          </w:p>
        </w:tc>
        <w:tc>
          <w:tcPr>
            <w:tcW w:w="2345" w:type="dxa"/>
          </w:tcPr>
          <w:p w14:paraId="7EF4EFDA"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Vidurių užkietėjimas</w:t>
            </w:r>
          </w:p>
        </w:tc>
        <w:tc>
          <w:tcPr>
            <w:tcW w:w="2345" w:type="dxa"/>
          </w:tcPr>
          <w:p w14:paraId="15A271BD"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7023F895" w14:textId="77777777" w:rsidTr="004E3CD5">
        <w:tc>
          <w:tcPr>
            <w:tcW w:w="2252" w:type="dxa"/>
          </w:tcPr>
          <w:p w14:paraId="495EF12E"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Odos ir poodinio audinio sutrikimai</w:t>
            </w:r>
          </w:p>
        </w:tc>
        <w:tc>
          <w:tcPr>
            <w:tcW w:w="2344" w:type="dxa"/>
          </w:tcPr>
          <w:p w14:paraId="5A57451B"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Alopecija;</w:t>
            </w:r>
          </w:p>
          <w:p w14:paraId="6102FD04" w14:textId="77777777" w:rsidR="00D875C0" w:rsidRPr="007C1A06"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Nagų pažeidimai (sunkūs – 0,7</w:t>
            </w:r>
            <w:r w:rsidR="00E42D5A" w:rsidRPr="00C722B4">
              <w:rPr>
                <w:rFonts w:ascii="Times New Roman" w:hAnsi="Times New Roman"/>
              </w:rPr>
              <w:t> </w:t>
            </w:r>
            <w:r w:rsidRPr="007C1A06">
              <w:rPr>
                <w:rFonts w:ascii="Times New Roman" w:hAnsi="Times New Roman"/>
              </w:rPr>
              <w:t>%);</w:t>
            </w:r>
          </w:p>
          <w:p w14:paraId="4AB164FC" w14:textId="77777777" w:rsidR="00D875C0"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Odos reakcija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0,2</w:t>
            </w:r>
            <w:r w:rsidR="00E42D5A" w:rsidRPr="007C1A06">
              <w:rPr>
                <w:rFonts w:ascii="Times New Roman" w:hAnsi="Times New Roman"/>
              </w:rPr>
              <w:t> </w:t>
            </w:r>
            <w:r w:rsidRPr="007C1A06">
              <w:rPr>
                <w:rFonts w:ascii="Times New Roman" w:hAnsi="Times New Roman"/>
              </w:rPr>
              <w:t>%)</w:t>
            </w:r>
          </w:p>
        </w:tc>
        <w:tc>
          <w:tcPr>
            <w:tcW w:w="2345" w:type="dxa"/>
          </w:tcPr>
          <w:p w14:paraId="127BEBEB" w14:textId="77777777" w:rsidR="00D875C0" w:rsidRPr="007C1A06" w:rsidRDefault="00D875C0" w:rsidP="003876F8">
            <w:pPr>
              <w:autoSpaceDE w:val="0"/>
              <w:autoSpaceDN w:val="0"/>
              <w:adjustRightInd w:val="0"/>
              <w:spacing w:after="0" w:line="240" w:lineRule="auto"/>
              <w:rPr>
                <w:rFonts w:ascii="Times New Roman" w:hAnsi="Times New Roman"/>
              </w:rPr>
            </w:pPr>
          </w:p>
        </w:tc>
        <w:tc>
          <w:tcPr>
            <w:tcW w:w="2345" w:type="dxa"/>
          </w:tcPr>
          <w:p w14:paraId="37165E14"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45EC8858" w14:textId="77777777" w:rsidTr="004E3CD5">
        <w:tc>
          <w:tcPr>
            <w:tcW w:w="2252" w:type="dxa"/>
          </w:tcPr>
          <w:p w14:paraId="2F046BBC"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Skeleto, raumenų ir jungiamojo audinio sutrikimai</w:t>
            </w:r>
          </w:p>
        </w:tc>
        <w:tc>
          <w:tcPr>
            <w:tcW w:w="2344" w:type="dxa"/>
          </w:tcPr>
          <w:p w14:paraId="57A5CBA9" w14:textId="77777777" w:rsidR="00D875C0" w:rsidRPr="00C722B4" w:rsidRDefault="00D875C0" w:rsidP="00E42D5A">
            <w:pPr>
              <w:autoSpaceDE w:val="0"/>
              <w:autoSpaceDN w:val="0"/>
              <w:adjustRightInd w:val="0"/>
              <w:spacing w:after="0" w:line="240" w:lineRule="auto"/>
              <w:rPr>
                <w:rFonts w:ascii="Times New Roman" w:hAnsi="Times New Roman"/>
              </w:rPr>
            </w:pPr>
            <w:r w:rsidRPr="001F2C46">
              <w:rPr>
                <w:rFonts w:ascii="Times New Roman" w:hAnsi="Times New Roman"/>
              </w:rPr>
              <w:t>Mialgija (sunki - 0,5</w:t>
            </w:r>
            <w:r w:rsidR="00E42D5A" w:rsidRPr="00427D92">
              <w:rPr>
                <w:rFonts w:ascii="Times New Roman" w:hAnsi="Times New Roman"/>
              </w:rPr>
              <w:t> </w:t>
            </w:r>
            <w:r w:rsidRPr="00C722B4">
              <w:rPr>
                <w:rFonts w:ascii="Times New Roman" w:hAnsi="Times New Roman"/>
              </w:rPr>
              <w:t>%)</w:t>
            </w:r>
          </w:p>
        </w:tc>
        <w:tc>
          <w:tcPr>
            <w:tcW w:w="2345" w:type="dxa"/>
          </w:tcPr>
          <w:p w14:paraId="0E82ED5C" w14:textId="77777777" w:rsidR="00D875C0" w:rsidRPr="007C1A06" w:rsidRDefault="00D875C0" w:rsidP="003876F8">
            <w:pPr>
              <w:autoSpaceDE w:val="0"/>
              <w:autoSpaceDN w:val="0"/>
              <w:adjustRightInd w:val="0"/>
              <w:spacing w:after="0" w:line="240" w:lineRule="auto"/>
              <w:rPr>
                <w:rFonts w:ascii="Times New Roman" w:hAnsi="Times New Roman"/>
              </w:rPr>
            </w:pPr>
          </w:p>
        </w:tc>
        <w:tc>
          <w:tcPr>
            <w:tcW w:w="2345" w:type="dxa"/>
          </w:tcPr>
          <w:p w14:paraId="4FD8A987"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0A355A8B" w14:textId="77777777" w:rsidTr="004E3CD5">
        <w:tc>
          <w:tcPr>
            <w:tcW w:w="2252" w:type="dxa"/>
          </w:tcPr>
          <w:p w14:paraId="1E376BD1"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Bendrieji sutrikimai ir vartojimo vietos pažeidimai</w:t>
            </w:r>
          </w:p>
        </w:tc>
        <w:tc>
          <w:tcPr>
            <w:tcW w:w="2344" w:type="dxa"/>
          </w:tcPr>
          <w:p w14:paraId="4F2FEE37" w14:textId="77777777" w:rsidR="00D875C0" w:rsidRPr="00C722B4"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Astenija (sunki – 9,9</w:t>
            </w:r>
            <w:r w:rsidR="00E42D5A" w:rsidRPr="00427D92">
              <w:rPr>
                <w:rFonts w:ascii="Times New Roman" w:hAnsi="Times New Roman"/>
              </w:rPr>
              <w:t> </w:t>
            </w:r>
            <w:r w:rsidRPr="00C722B4">
              <w:rPr>
                <w:rFonts w:ascii="Times New Roman" w:hAnsi="Times New Roman"/>
              </w:rPr>
              <w:t>%);</w:t>
            </w:r>
          </w:p>
          <w:p w14:paraId="7CD2A425"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Skysčių susilaikymas (sunkus – 0,7</w:t>
            </w:r>
            <w:r w:rsidR="00E42D5A" w:rsidRPr="007C1A06">
              <w:rPr>
                <w:rFonts w:ascii="Times New Roman" w:hAnsi="Times New Roman"/>
              </w:rPr>
              <w:t> </w:t>
            </w:r>
            <w:r w:rsidRPr="007C1A06">
              <w:rPr>
                <w:rFonts w:ascii="Times New Roman" w:hAnsi="Times New Roman"/>
              </w:rPr>
              <w:t>%);</w:t>
            </w:r>
          </w:p>
          <w:p w14:paraId="37F01C6C" w14:textId="77777777" w:rsidR="00D875C0"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Karščiavimas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1,2</w:t>
            </w:r>
            <w:r w:rsidR="00E42D5A" w:rsidRPr="007C1A06">
              <w:rPr>
                <w:rFonts w:ascii="Times New Roman" w:hAnsi="Times New Roman"/>
              </w:rPr>
              <w:t> </w:t>
            </w:r>
            <w:r w:rsidRPr="007C1A06">
              <w:rPr>
                <w:rFonts w:ascii="Times New Roman" w:hAnsi="Times New Roman"/>
              </w:rPr>
              <w:t>%)</w:t>
            </w:r>
          </w:p>
        </w:tc>
        <w:tc>
          <w:tcPr>
            <w:tcW w:w="2345" w:type="dxa"/>
          </w:tcPr>
          <w:p w14:paraId="117F342D"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Infuzijos vietos reakcija;</w:t>
            </w:r>
          </w:p>
          <w:p w14:paraId="58016D20"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Skausmas</w:t>
            </w:r>
          </w:p>
        </w:tc>
        <w:tc>
          <w:tcPr>
            <w:tcW w:w="2345" w:type="dxa"/>
          </w:tcPr>
          <w:p w14:paraId="49C4491B"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0E5D3CC3" w14:textId="77777777" w:rsidTr="004E3CD5">
        <w:tc>
          <w:tcPr>
            <w:tcW w:w="2252" w:type="dxa"/>
          </w:tcPr>
          <w:p w14:paraId="3BDF2FC8"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Tyrimai</w:t>
            </w:r>
          </w:p>
        </w:tc>
        <w:tc>
          <w:tcPr>
            <w:tcW w:w="2344" w:type="dxa"/>
          </w:tcPr>
          <w:p w14:paraId="7C38E8B7" w14:textId="77777777" w:rsidR="00D875C0" w:rsidRPr="001F2C46" w:rsidRDefault="00D875C0" w:rsidP="003876F8">
            <w:pPr>
              <w:spacing w:after="0" w:line="240" w:lineRule="auto"/>
              <w:rPr>
                <w:rFonts w:ascii="Times New Roman" w:hAnsi="Times New Roman"/>
              </w:rPr>
            </w:pPr>
          </w:p>
        </w:tc>
        <w:tc>
          <w:tcPr>
            <w:tcW w:w="2345" w:type="dxa"/>
          </w:tcPr>
          <w:p w14:paraId="2E44A540" w14:textId="77777777" w:rsidR="00D875C0" w:rsidRPr="007C1A06"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3</w:t>
            </w:r>
            <w:r w:rsidR="00E42D5A" w:rsidRPr="00C722B4">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bilirubino koncentracijos kraujyje padidėjimas (2,1</w:t>
            </w:r>
            <w:r w:rsidR="00E42D5A" w:rsidRPr="007C1A06">
              <w:rPr>
                <w:rFonts w:ascii="Times New Roman" w:hAnsi="Times New Roman"/>
              </w:rPr>
              <w:t> </w:t>
            </w:r>
            <w:r w:rsidRPr="007C1A06">
              <w:rPr>
                <w:rFonts w:ascii="Times New Roman" w:hAnsi="Times New Roman"/>
              </w:rPr>
              <w:t>%);</w:t>
            </w:r>
          </w:p>
          <w:p w14:paraId="1A8449F7" w14:textId="77777777" w:rsidR="00D875C0" w:rsidRPr="007C1A06" w:rsidRDefault="00D875C0" w:rsidP="00E42D5A">
            <w:pPr>
              <w:autoSpaceDE w:val="0"/>
              <w:autoSpaceDN w:val="0"/>
              <w:adjustRightInd w:val="0"/>
              <w:spacing w:after="0" w:line="240" w:lineRule="auto"/>
              <w:rPr>
                <w:rFonts w:ascii="Times New Roman" w:hAnsi="Times New Roman"/>
              </w:rPr>
            </w:pPr>
            <w:r w:rsidRPr="007C1A06">
              <w:rPr>
                <w:rFonts w:ascii="Times New Roman" w:hAnsi="Times New Roman"/>
              </w:rPr>
              <w:t>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ALT aktyvumo padidėjimas (1,3</w:t>
            </w:r>
            <w:r w:rsidR="00E42D5A" w:rsidRPr="007C1A06">
              <w:rPr>
                <w:rFonts w:ascii="Times New Roman" w:hAnsi="Times New Roman"/>
              </w:rPr>
              <w:t> </w:t>
            </w:r>
            <w:r w:rsidRPr="007C1A06">
              <w:rPr>
                <w:rFonts w:ascii="Times New Roman" w:hAnsi="Times New Roman"/>
              </w:rPr>
              <w:t>%)</w:t>
            </w:r>
          </w:p>
        </w:tc>
        <w:tc>
          <w:tcPr>
            <w:tcW w:w="2345" w:type="dxa"/>
          </w:tcPr>
          <w:p w14:paraId="601647AB" w14:textId="77777777" w:rsidR="00D875C0" w:rsidRPr="007C1A06" w:rsidRDefault="00D875C0" w:rsidP="003876F8">
            <w:pPr>
              <w:autoSpaceDE w:val="0"/>
              <w:autoSpaceDN w:val="0"/>
              <w:adjustRightInd w:val="0"/>
              <w:spacing w:after="0" w:line="240" w:lineRule="auto"/>
              <w:rPr>
                <w:rFonts w:ascii="Times New Roman" w:hAnsi="Times New Roman"/>
              </w:rPr>
            </w:pPr>
            <w:r w:rsidRPr="007C1A06">
              <w:rPr>
                <w:rFonts w:ascii="Times New Roman" w:hAnsi="Times New Roman"/>
              </w:rPr>
              <w:t>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AST aktyvumo padidėjimas (0,5</w:t>
            </w:r>
            <w:r w:rsidR="00E42D5A" w:rsidRPr="007C1A06">
              <w:rPr>
                <w:rFonts w:ascii="Times New Roman" w:hAnsi="Times New Roman"/>
              </w:rPr>
              <w:t> </w:t>
            </w:r>
            <w:r w:rsidRPr="007C1A06">
              <w:rPr>
                <w:rFonts w:ascii="Times New Roman" w:hAnsi="Times New Roman"/>
              </w:rPr>
              <w:t>%);</w:t>
            </w:r>
          </w:p>
          <w:p w14:paraId="51C85B23" w14:textId="77777777" w:rsidR="00D875C0" w:rsidRPr="00F95B76" w:rsidRDefault="00D875C0" w:rsidP="00E42D5A">
            <w:pPr>
              <w:autoSpaceDE w:val="0"/>
              <w:autoSpaceDN w:val="0"/>
              <w:adjustRightInd w:val="0"/>
              <w:spacing w:after="0" w:line="240" w:lineRule="auto"/>
              <w:rPr>
                <w:rFonts w:ascii="Times New Roman" w:hAnsi="Times New Roman"/>
              </w:rPr>
            </w:pPr>
            <w:r w:rsidRPr="007C1A06">
              <w:rPr>
                <w:rFonts w:ascii="Times New Roman" w:hAnsi="Times New Roman"/>
              </w:rPr>
              <w:t>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 xml:space="preserve">laipsnio šarminės </w:t>
            </w:r>
            <w:r w:rsidR="000F73EA">
              <w:rPr>
                <w:rFonts w:ascii="Times New Roman" w:eastAsia="Times New Roman" w:hAnsi="Times New Roman" w:cs="Times New Roman"/>
              </w:rPr>
              <w:t>f</w:t>
            </w:r>
            <w:r w:rsidRPr="007C1A06">
              <w:rPr>
                <w:rFonts w:ascii="Times New Roman" w:eastAsia="Times New Roman" w:hAnsi="Times New Roman" w:cs="Times New Roman"/>
              </w:rPr>
              <w:t>osfatazės</w:t>
            </w:r>
            <w:r w:rsidRPr="00F957E7">
              <w:rPr>
                <w:rFonts w:ascii="Times New Roman" w:hAnsi="Times New Roman"/>
              </w:rPr>
              <w:t xml:space="preserve"> aktyvumo kraujyje padidėjimas (0,3</w:t>
            </w:r>
            <w:r w:rsidR="00E42D5A" w:rsidRPr="00F95B76">
              <w:rPr>
                <w:rFonts w:ascii="Times New Roman" w:hAnsi="Times New Roman"/>
              </w:rPr>
              <w:t> </w:t>
            </w:r>
            <w:r w:rsidRPr="00F95B76">
              <w:rPr>
                <w:rFonts w:ascii="Times New Roman" w:hAnsi="Times New Roman"/>
              </w:rPr>
              <w:t>%)</w:t>
            </w:r>
          </w:p>
        </w:tc>
      </w:tr>
    </w:tbl>
    <w:p w14:paraId="29F0BFA9" w14:textId="77777777" w:rsidR="00D875C0" w:rsidRPr="00F95B76" w:rsidRDefault="00D875C0" w:rsidP="00D875C0">
      <w:pPr>
        <w:spacing w:after="0" w:line="240" w:lineRule="auto"/>
        <w:rPr>
          <w:rFonts w:ascii="Times New Roman" w:hAnsi="Times New Roman"/>
        </w:rPr>
      </w:pPr>
    </w:p>
    <w:p w14:paraId="13F5806D"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4E3CD5">
        <w:rPr>
          <w:rFonts w:ascii="Times New Roman" w:hAnsi="Times New Roman"/>
          <w:u w:val="single"/>
        </w:rPr>
        <w:t>Nepageidaujam</w:t>
      </w:r>
      <w:r w:rsidRPr="004E3CD5">
        <w:rPr>
          <w:rFonts w:ascii="Times New Roman" w:hAnsi="Times New Roman" w:hint="eastAsia"/>
          <w:u w:val="single"/>
        </w:rPr>
        <w:t>ų</w:t>
      </w:r>
      <w:r w:rsidRPr="004E3CD5">
        <w:rPr>
          <w:rFonts w:ascii="Times New Roman" w:hAnsi="Times New Roman"/>
          <w:u w:val="single"/>
        </w:rPr>
        <w:t xml:space="preserve"> reakcij</w:t>
      </w:r>
      <w:r w:rsidRPr="004E3CD5">
        <w:rPr>
          <w:rFonts w:ascii="Times New Roman" w:hAnsi="Times New Roman" w:hint="eastAsia"/>
          <w:u w:val="single"/>
        </w:rPr>
        <w:t>ų</w:t>
      </w:r>
      <w:r w:rsidRPr="004E3CD5">
        <w:rPr>
          <w:rFonts w:ascii="Times New Roman" w:hAnsi="Times New Roman"/>
          <w:u w:val="single"/>
        </w:rPr>
        <w:t>, atsiradusi</w:t>
      </w:r>
      <w:r w:rsidRPr="004E3CD5">
        <w:rPr>
          <w:rFonts w:ascii="Times New Roman" w:hAnsi="Times New Roman" w:hint="eastAsia"/>
          <w:u w:val="single"/>
        </w:rPr>
        <w:t>ų</w:t>
      </w:r>
      <w:r w:rsidRPr="004E3CD5">
        <w:rPr>
          <w:rFonts w:ascii="Times New Roman" w:hAnsi="Times New Roman"/>
          <w:u w:val="single"/>
        </w:rPr>
        <w:t xml:space="preserve"> </w:t>
      </w:r>
      <w:r w:rsidRPr="00F957E7">
        <w:rPr>
          <w:rFonts w:ascii="Times New Roman" w:hAnsi="Times New Roman"/>
          <w:u w:val="single"/>
        </w:rPr>
        <w:t>vartojant Docetaxel Ebewe 100</w:t>
      </w:r>
      <w:r w:rsidR="00E42D5A" w:rsidRPr="00F95B76">
        <w:rPr>
          <w:rFonts w:ascii="Times New Roman" w:hAnsi="Times New Roman"/>
          <w:u w:val="single"/>
        </w:rPr>
        <w:t> </w:t>
      </w:r>
      <w:r w:rsidRPr="004E3CD5">
        <w:rPr>
          <w:rFonts w:ascii="Times New Roman" w:hAnsi="Times New Roman"/>
          <w:u w:val="single"/>
        </w:rPr>
        <w:t>mg/m² su trastuzumabu doz</w:t>
      </w:r>
      <w:r w:rsidRPr="004E3CD5">
        <w:rPr>
          <w:rFonts w:ascii="Times New Roman" w:hAnsi="Times New Roman" w:hint="eastAsia"/>
          <w:u w:val="single"/>
        </w:rPr>
        <w:t>ę</w:t>
      </w:r>
      <w:r w:rsidRPr="004E3CD5">
        <w:rPr>
          <w:rFonts w:ascii="Times New Roman" w:hAnsi="Times New Roman"/>
          <w:u w:val="single"/>
        </w:rPr>
        <w:t xml:space="preserve"> kr</w:t>
      </w:r>
      <w:r w:rsidRPr="004E3CD5">
        <w:rPr>
          <w:rFonts w:ascii="Times New Roman" w:hAnsi="Times New Roman" w:hint="eastAsia"/>
          <w:u w:val="single"/>
        </w:rPr>
        <w:t>ū</w:t>
      </w:r>
      <w:r w:rsidRPr="004E3CD5">
        <w:rPr>
          <w:rFonts w:ascii="Times New Roman" w:hAnsi="Times New Roman"/>
          <w:u w:val="single"/>
        </w:rPr>
        <w:t>ties v</w:t>
      </w:r>
      <w:r w:rsidRPr="004E3CD5">
        <w:rPr>
          <w:rFonts w:ascii="Times New Roman" w:hAnsi="Times New Roman" w:hint="eastAsia"/>
          <w:u w:val="single"/>
        </w:rPr>
        <w:t>ėž</w:t>
      </w:r>
      <w:r w:rsidRPr="004E3CD5">
        <w:rPr>
          <w:rFonts w:ascii="Times New Roman" w:hAnsi="Times New Roman"/>
          <w:u w:val="single"/>
        </w:rPr>
        <w:t>io kombinuotai terapijai, s</w:t>
      </w:r>
      <w:r w:rsidRPr="004E3CD5">
        <w:rPr>
          <w:rFonts w:ascii="Times New Roman" w:hAnsi="Times New Roman" w:hint="eastAsia"/>
          <w:u w:val="single"/>
        </w:rPr>
        <w:t>ą</w:t>
      </w:r>
      <w:r w:rsidRPr="004E3CD5">
        <w:rPr>
          <w:rFonts w:ascii="Times New Roman" w:hAnsi="Times New Roman"/>
          <w:u w:val="single"/>
        </w:rPr>
        <w:t>rašas lentel</w:t>
      </w:r>
      <w:r w:rsidRPr="004E3CD5">
        <w:rPr>
          <w:rFonts w:ascii="Times New Roman" w:hAnsi="Times New Roman" w:hint="eastAsia"/>
          <w:u w:val="single"/>
        </w:rPr>
        <w:t>ė</w:t>
      </w:r>
      <w:r w:rsidRPr="004E3CD5">
        <w:rPr>
          <w:rFonts w:ascii="Times New Roman" w:hAnsi="Times New Roman"/>
          <w:u w:val="single"/>
        </w:rPr>
        <w:t>s forma</w:t>
      </w:r>
    </w:p>
    <w:p w14:paraId="4C4C9AC2" w14:textId="77777777" w:rsidR="00D875C0" w:rsidRPr="00F957E7" w:rsidRDefault="00D875C0" w:rsidP="00D875C0">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3046"/>
        <w:gridCol w:w="3046"/>
      </w:tblGrid>
      <w:tr w:rsidR="00F95B76" w:rsidRPr="007C1A06" w14:paraId="461D674B" w14:textId="77777777" w:rsidTr="00915C14">
        <w:tc>
          <w:tcPr>
            <w:tcW w:w="3058" w:type="dxa"/>
            <w:shd w:val="clear" w:color="auto" w:fill="D9D9D9" w:themeFill="background1" w:themeFillShade="D9"/>
          </w:tcPr>
          <w:p w14:paraId="31D9D10E" w14:textId="77777777" w:rsidR="00D875C0" w:rsidRPr="001F2C46" w:rsidRDefault="00D875C0" w:rsidP="003876F8">
            <w:pPr>
              <w:spacing w:after="0" w:line="240" w:lineRule="auto"/>
              <w:rPr>
                <w:rFonts w:ascii="Times New Roman" w:hAnsi="Times New Roman"/>
              </w:rPr>
            </w:pPr>
            <w:r w:rsidRPr="00F95B76">
              <w:rPr>
                <w:rFonts w:ascii="Times New Roman" w:hAnsi="Times New Roman"/>
                <w:b/>
              </w:rPr>
              <w:t>MedDRA organų sistemų klasės</w:t>
            </w:r>
          </w:p>
        </w:tc>
        <w:tc>
          <w:tcPr>
            <w:tcW w:w="3114" w:type="dxa"/>
            <w:shd w:val="clear" w:color="auto" w:fill="D9D9D9" w:themeFill="background1" w:themeFillShade="D9"/>
          </w:tcPr>
          <w:p w14:paraId="0C35D1FE" w14:textId="77777777" w:rsidR="00D875C0" w:rsidRPr="00427D92" w:rsidRDefault="00D875C0" w:rsidP="003876F8">
            <w:pPr>
              <w:autoSpaceDE w:val="0"/>
              <w:autoSpaceDN w:val="0"/>
              <w:adjustRightInd w:val="0"/>
              <w:spacing w:after="0" w:line="240" w:lineRule="auto"/>
              <w:rPr>
                <w:rFonts w:ascii="Times New Roman" w:hAnsi="Times New Roman"/>
                <w:b/>
              </w:rPr>
            </w:pPr>
            <w:r w:rsidRPr="00427D92">
              <w:rPr>
                <w:rFonts w:ascii="Times New Roman" w:hAnsi="Times New Roman"/>
                <w:b/>
              </w:rPr>
              <w:t xml:space="preserve">Labai dažnos nepageidaujamos reakcijos </w:t>
            </w:r>
          </w:p>
        </w:tc>
        <w:tc>
          <w:tcPr>
            <w:tcW w:w="3114" w:type="dxa"/>
            <w:shd w:val="clear" w:color="auto" w:fill="D9D9D9" w:themeFill="background1" w:themeFillShade="D9"/>
          </w:tcPr>
          <w:p w14:paraId="07C5B0D4" w14:textId="77777777" w:rsidR="00D875C0" w:rsidRPr="00C722B4" w:rsidRDefault="00D875C0" w:rsidP="003876F8">
            <w:pPr>
              <w:autoSpaceDE w:val="0"/>
              <w:autoSpaceDN w:val="0"/>
              <w:adjustRightInd w:val="0"/>
              <w:spacing w:after="0" w:line="240" w:lineRule="auto"/>
              <w:rPr>
                <w:rFonts w:ascii="Times New Roman" w:hAnsi="Times New Roman"/>
                <w:b/>
              </w:rPr>
            </w:pPr>
            <w:r w:rsidRPr="00C722B4">
              <w:rPr>
                <w:rFonts w:ascii="Times New Roman" w:hAnsi="Times New Roman"/>
                <w:b/>
              </w:rPr>
              <w:t xml:space="preserve">Dažnos nepageidaujamos reakcijos </w:t>
            </w:r>
          </w:p>
        </w:tc>
      </w:tr>
      <w:tr w:rsidR="00D875C0" w:rsidRPr="007C1A06" w14:paraId="4AD8750B" w14:textId="77777777" w:rsidTr="004E3CD5">
        <w:tc>
          <w:tcPr>
            <w:tcW w:w="3058" w:type="dxa"/>
          </w:tcPr>
          <w:p w14:paraId="71107D83" w14:textId="77777777" w:rsidR="00D875C0" w:rsidRPr="00F95B76" w:rsidRDefault="00D875C0" w:rsidP="003876F8">
            <w:pPr>
              <w:autoSpaceDE w:val="0"/>
              <w:autoSpaceDN w:val="0"/>
              <w:adjustRightInd w:val="0"/>
              <w:spacing w:after="0" w:line="240" w:lineRule="auto"/>
              <w:rPr>
                <w:rFonts w:ascii="Times New Roman" w:hAnsi="Times New Roman"/>
                <w:b/>
              </w:rPr>
            </w:pPr>
            <w:r w:rsidRPr="00F957E7">
              <w:rPr>
                <w:rFonts w:ascii="Times New Roman" w:hAnsi="Times New Roman"/>
              </w:rPr>
              <w:t xml:space="preserve">Kraujo ir limfinės sistemos sutrikimai </w:t>
            </w:r>
          </w:p>
        </w:tc>
        <w:tc>
          <w:tcPr>
            <w:tcW w:w="3114" w:type="dxa"/>
          </w:tcPr>
          <w:p w14:paraId="20ABFF8E"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Neutropenija (3</w:t>
            </w:r>
            <w:r w:rsidR="00E42D5A" w:rsidRPr="001F2C46">
              <w:rPr>
                <w:rFonts w:ascii="Times New Roman" w:hAnsi="Times New Roman"/>
              </w:rPr>
              <w:noBreakHyphen/>
            </w:r>
            <w:r w:rsidRPr="00427D92">
              <w:rPr>
                <w:rFonts w:ascii="Times New Roman" w:hAnsi="Times New Roman"/>
              </w:rPr>
              <w:t>4</w:t>
            </w:r>
            <w:r w:rsidR="00E42D5A" w:rsidRPr="00C722B4">
              <w:rPr>
                <w:rFonts w:ascii="Times New Roman" w:hAnsi="Times New Roman"/>
              </w:rPr>
              <w:t> </w:t>
            </w:r>
            <w:r w:rsidRPr="007C1A06">
              <w:rPr>
                <w:rFonts w:ascii="Times New Roman" w:hAnsi="Times New Roman"/>
              </w:rPr>
              <w:t>laipsnio – 32</w:t>
            </w:r>
            <w:r w:rsidR="00E42D5A" w:rsidRPr="007C1A06">
              <w:rPr>
                <w:rFonts w:ascii="Times New Roman" w:hAnsi="Times New Roman"/>
              </w:rPr>
              <w:t> </w:t>
            </w:r>
            <w:r w:rsidRPr="007C1A06">
              <w:rPr>
                <w:rFonts w:ascii="Times New Roman" w:hAnsi="Times New Roman"/>
              </w:rPr>
              <w:t>%);</w:t>
            </w:r>
          </w:p>
          <w:p w14:paraId="0177B2E5"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Febrilinė neutropenija (įskaitant neutropeniją karščiuojant ir vartojant antibiotikus) arba neutropeninis sepsis</w:t>
            </w:r>
          </w:p>
        </w:tc>
        <w:tc>
          <w:tcPr>
            <w:tcW w:w="3114" w:type="dxa"/>
          </w:tcPr>
          <w:p w14:paraId="6816B988"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0068D197" w14:textId="77777777" w:rsidTr="004E3CD5">
        <w:tc>
          <w:tcPr>
            <w:tcW w:w="3058" w:type="dxa"/>
          </w:tcPr>
          <w:p w14:paraId="6D0EF5BE"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Metabolizmo ir mitybos sutrikimai</w:t>
            </w:r>
          </w:p>
        </w:tc>
        <w:tc>
          <w:tcPr>
            <w:tcW w:w="3114" w:type="dxa"/>
          </w:tcPr>
          <w:p w14:paraId="71F6768D"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Anoreksija</w:t>
            </w:r>
          </w:p>
        </w:tc>
        <w:tc>
          <w:tcPr>
            <w:tcW w:w="3114" w:type="dxa"/>
          </w:tcPr>
          <w:p w14:paraId="172EFB3B" w14:textId="77777777" w:rsidR="00D875C0" w:rsidRPr="00427D92" w:rsidRDefault="00D875C0" w:rsidP="003876F8">
            <w:pPr>
              <w:autoSpaceDE w:val="0"/>
              <w:autoSpaceDN w:val="0"/>
              <w:adjustRightInd w:val="0"/>
              <w:spacing w:after="0" w:line="240" w:lineRule="auto"/>
              <w:rPr>
                <w:rFonts w:ascii="Times New Roman" w:hAnsi="Times New Roman"/>
                <w:b/>
              </w:rPr>
            </w:pPr>
          </w:p>
        </w:tc>
      </w:tr>
      <w:tr w:rsidR="00D875C0" w:rsidRPr="007C1A06" w14:paraId="52F294B1" w14:textId="77777777" w:rsidTr="004E3CD5">
        <w:tc>
          <w:tcPr>
            <w:tcW w:w="3058" w:type="dxa"/>
          </w:tcPr>
          <w:p w14:paraId="503D4873"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Psichikos sutrikimai</w:t>
            </w:r>
          </w:p>
        </w:tc>
        <w:tc>
          <w:tcPr>
            <w:tcW w:w="3114" w:type="dxa"/>
          </w:tcPr>
          <w:p w14:paraId="5A113F44"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Nemiga</w:t>
            </w:r>
          </w:p>
        </w:tc>
        <w:tc>
          <w:tcPr>
            <w:tcW w:w="3114" w:type="dxa"/>
          </w:tcPr>
          <w:p w14:paraId="62B4F39C" w14:textId="77777777" w:rsidR="00D875C0" w:rsidRPr="00427D92" w:rsidRDefault="00D875C0" w:rsidP="003876F8">
            <w:pPr>
              <w:autoSpaceDE w:val="0"/>
              <w:autoSpaceDN w:val="0"/>
              <w:adjustRightInd w:val="0"/>
              <w:spacing w:after="0" w:line="240" w:lineRule="auto"/>
              <w:rPr>
                <w:rFonts w:ascii="Times New Roman" w:hAnsi="Times New Roman"/>
                <w:b/>
              </w:rPr>
            </w:pPr>
          </w:p>
        </w:tc>
      </w:tr>
      <w:tr w:rsidR="00D875C0" w:rsidRPr="007C1A06" w14:paraId="49F9268B" w14:textId="77777777" w:rsidTr="004E3CD5">
        <w:tc>
          <w:tcPr>
            <w:tcW w:w="3058" w:type="dxa"/>
          </w:tcPr>
          <w:p w14:paraId="3F3F2F28"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Nervų sistemos sutrikimai</w:t>
            </w:r>
          </w:p>
        </w:tc>
        <w:tc>
          <w:tcPr>
            <w:tcW w:w="3114" w:type="dxa"/>
          </w:tcPr>
          <w:p w14:paraId="7600D7BC" w14:textId="77777777" w:rsidR="00E42D5A"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Parestezija;</w:t>
            </w:r>
          </w:p>
          <w:p w14:paraId="19614F12"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Galvos skausmas;</w:t>
            </w:r>
          </w:p>
          <w:p w14:paraId="45231E1C" w14:textId="77777777" w:rsidR="00E42D5A" w:rsidRPr="007C1A06" w:rsidRDefault="00D875C0" w:rsidP="00E42D5A">
            <w:pPr>
              <w:autoSpaceDE w:val="0"/>
              <w:autoSpaceDN w:val="0"/>
              <w:adjustRightInd w:val="0"/>
              <w:spacing w:after="0" w:line="240" w:lineRule="auto"/>
              <w:rPr>
                <w:rFonts w:ascii="Times New Roman" w:hAnsi="Times New Roman"/>
              </w:rPr>
            </w:pPr>
            <w:r w:rsidRPr="00C722B4">
              <w:rPr>
                <w:rFonts w:ascii="Times New Roman" w:hAnsi="Times New Roman"/>
              </w:rPr>
              <w:t>Disgeuzija;</w:t>
            </w:r>
          </w:p>
          <w:p w14:paraId="6F46F754" w14:textId="77777777" w:rsidR="00D875C0"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Hipoestezija</w:t>
            </w:r>
          </w:p>
        </w:tc>
        <w:tc>
          <w:tcPr>
            <w:tcW w:w="3114" w:type="dxa"/>
          </w:tcPr>
          <w:p w14:paraId="108B4595"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63F696FD" w14:textId="77777777" w:rsidTr="004E3CD5">
        <w:tc>
          <w:tcPr>
            <w:tcW w:w="3058" w:type="dxa"/>
          </w:tcPr>
          <w:p w14:paraId="76486BEC"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Akių sutrikimai</w:t>
            </w:r>
          </w:p>
        </w:tc>
        <w:tc>
          <w:tcPr>
            <w:tcW w:w="3114" w:type="dxa"/>
          </w:tcPr>
          <w:p w14:paraId="53613D3C"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Ašarojimo sustiprėjimas;</w:t>
            </w:r>
          </w:p>
          <w:p w14:paraId="5477146B" w14:textId="77777777" w:rsidR="00D875C0" w:rsidRPr="007C1A06"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Konju</w:t>
            </w:r>
            <w:r w:rsidR="00807371" w:rsidRPr="00C722B4">
              <w:rPr>
                <w:rFonts w:ascii="Times New Roman" w:hAnsi="Times New Roman"/>
              </w:rPr>
              <w:t>n</w:t>
            </w:r>
            <w:r w:rsidRPr="007C1A06">
              <w:rPr>
                <w:rFonts w:ascii="Times New Roman" w:hAnsi="Times New Roman"/>
              </w:rPr>
              <w:t>ktyvitas</w:t>
            </w:r>
          </w:p>
        </w:tc>
        <w:tc>
          <w:tcPr>
            <w:tcW w:w="3114" w:type="dxa"/>
          </w:tcPr>
          <w:p w14:paraId="77571CBE"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45580138" w14:textId="77777777" w:rsidTr="004E3CD5">
        <w:tc>
          <w:tcPr>
            <w:tcW w:w="3058" w:type="dxa"/>
          </w:tcPr>
          <w:p w14:paraId="060B4C65"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Širdies sutrikimai</w:t>
            </w:r>
          </w:p>
        </w:tc>
        <w:tc>
          <w:tcPr>
            <w:tcW w:w="3114" w:type="dxa"/>
          </w:tcPr>
          <w:p w14:paraId="7A7E620E"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3114" w:type="dxa"/>
          </w:tcPr>
          <w:p w14:paraId="5D84A919" w14:textId="77777777" w:rsidR="00D875C0" w:rsidRPr="00C722B4" w:rsidRDefault="00D875C0" w:rsidP="003876F8">
            <w:pPr>
              <w:autoSpaceDE w:val="0"/>
              <w:autoSpaceDN w:val="0"/>
              <w:adjustRightInd w:val="0"/>
              <w:spacing w:after="0" w:line="240" w:lineRule="auto"/>
              <w:rPr>
                <w:rFonts w:ascii="Times New Roman" w:hAnsi="Times New Roman"/>
                <w:b/>
              </w:rPr>
            </w:pPr>
            <w:r w:rsidRPr="00427D92">
              <w:rPr>
                <w:rFonts w:ascii="Times New Roman" w:hAnsi="Times New Roman"/>
              </w:rPr>
              <w:t>Širdies nepakankamumas</w:t>
            </w:r>
          </w:p>
        </w:tc>
      </w:tr>
      <w:tr w:rsidR="00D875C0" w:rsidRPr="007C1A06" w14:paraId="1B79949C" w14:textId="77777777" w:rsidTr="004E3CD5">
        <w:tc>
          <w:tcPr>
            <w:tcW w:w="3058" w:type="dxa"/>
          </w:tcPr>
          <w:p w14:paraId="5C3392B7"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Kraujagyslių sutrikimai</w:t>
            </w:r>
          </w:p>
        </w:tc>
        <w:tc>
          <w:tcPr>
            <w:tcW w:w="3114" w:type="dxa"/>
          </w:tcPr>
          <w:p w14:paraId="41905A5C"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Limfedema</w:t>
            </w:r>
          </w:p>
        </w:tc>
        <w:tc>
          <w:tcPr>
            <w:tcW w:w="3114" w:type="dxa"/>
          </w:tcPr>
          <w:p w14:paraId="59E75A21" w14:textId="77777777" w:rsidR="00D875C0" w:rsidRPr="00427D92" w:rsidRDefault="00D875C0" w:rsidP="003876F8">
            <w:pPr>
              <w:autoSpaceDE w:val="0"/>
              <w:autoSpaceDN w:val="0"/>
              <w:adjustRightInd w:val="0"/>
              <w:spacing w:after="0" w:line="240" w:lineRule="auto"/>
              <w:rPr>
                <w:rFonts w:ascii="Times New Roman" w:hAnsi="Times New Roman"/>
              </w:rPr>
            </w:pPr>
          </w:p>
        </w:tc>
      </w:tr>
      <w:tr w:rsidR="00D875C0" w:rsidRPr="007C1A06" w14:paraId="4B4575B7" w14:textId="77777777" w:rsidTr="004E3CD5">
        <w:tc>
          <w:tcPr>
            <w:tcW w:w="3058" w:type="dxa"/>
          </w:tcPr>
          <w:p w14:paraId="2246D860"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Kvėpavimo sistemos, krūtinės ląstos ir tarpuplaučio sutrikimai</w:t>
            </w:r>
          </w:p>
        </w:tc>
        <w:tc>
          <w:tcPr>
            <w:tcW w:w="3114" w:type="dxa"/>
          </w:tcPr>
          <w:p w14:paraId="12E79B17" w14:textId="77777777" w:rsidR="00E42D5A"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Epistaksė;</w:t>
            </w:r>
          </w:p>
          <w:p w14:paraId="5A358E61" w14:textId="77777777" w:rsidR="00E42D5A" w:rsidRPr="00C722B4"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Ryklės ir gerklų skausmas;</w:t>
            </w:r>
          </w:p>
          <w:p w14:paraId="53A414F3"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Nazofaringitas;</w:t>
            </w:r>
          </w:p>
          <w:p w14:paraId="58C495D4" w14:textId="77777777" w:rsidR="00E42D5A"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Dispnėja;</w:t>
            </w:r>
          </w:p>
          <w:p w14:paraId="08B4C0E8" w14:textId="77777777" w:rsidR="00E42D5A"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Kosulys;</w:t>
            </w:r>
          </w:p>
          <w:p w14:paraId="1959446C" w14:textId="77777777" w:rsidR="00D875C0"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Rinorėja</w:t>
            </w:r>
          </w:p>
        </w:tc>
        <w:tc>
          <w:tcPr>
            <w:tcW w:w="3114" w:type="dxa"/>
          </w:tcPr>
          <w:p w14:paraId="10A2A94C"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1DDCABE9" w14:textId="77777777" w:rsidTr="004E3CD5">
        <w:tc>
          <w:tcPr>
            <w:tcW w:w="3058" w:type="dxa"/>
          </w:tcPr>
          <w:p w14:paraId="42C1D4A8"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Virškinimo trakto sutrikimai</w:t>
            </w:r>
          </w:p>
        </w:tc>
        <w:tc>
          <w:tcPr>
            <w:tcW w:w="3114" w:type="dxa"/>
          </w:tcPr>
          <w:p w14:paraId="21080F71" w14:textId="77777777" w:rsidR="00E42D5A"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Pykinimas;</w:t>
            </w:r>
          </w:p>
          <w:p w14:paraId="4D4536CB"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Viduriavimas;</w:t>
            </w:r>
          </w:p>
          <w:p w14:paraId="7353F44B" w14:textId="77777777" w:rsidR="00E42D5A" w:rsidRPr="007C1A06"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Vėmimas;</w:t>
            </w:r>
          </w:p>
          <w:p w14:paraId="76CFC652"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Vidurių užkietėjimas;</w:t>
            </w:r>
          </w:p>
          <w:p w14:paraId="1BF83958" w14:textId="77777777" w:rsidR="00E42D5A"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Stomatitas;</w:t>
            </w:r>
          </w:p>
          <w:p w14:paraId="1CBC9AB2" w14:textId="77777777" w:rsidR="00E42D5A"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Dispepsija;</w:t>
            </w:r>
          </w:p>
          <w:p w14:paraId="0A875B36" w14:textId="77777777" w:rsidR="00D875C0"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Pilvo skausmas</w:t>
            </w:r>
          </w:p>
        </w:tc>
        <w:tc>
          <w:tcPr>
            <w:tcW w:w="3114" w:type="dxa"/>
          </w:tcPr>
          <w:p w14:paraId="05C2D11B"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446675C7" w14:textId="77777777" w:rsidTr="004E3CD5">
        <w:tc>
          <w:tcPr>
            <w:tcW w:w="3058" w:type="dxa"/>
          </w:tcPr>
          <w:p w14:paraId="35BBDED7"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Odos ir poodinio audinio sutrikimai</w:t>
            </w:r>
          </w:p>
        </w:tc>
        <w:tc>
          <w:tcPr>
            <w:tcW w:w="3114" w:type="dxa"/>
          </w:tcPr>
          <w:p w14:paraId="0360A5BE" w14:textId="77777777" w:rsidR="00E42D5A"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Alopecija;</w:t>
            </w:r>
          </w:p>
          <w:p w14:paraId="2DC31003" w14:textId="77777777" w:rsidR="00E42D5A" w:rsidRPr="00C722B4"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Eritema;</w:t>
            </w:r>
          </w:p>
          <w:p w14:paraId="2F4A2074"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Išbėrimas;</w:t>
            </w:r>
          </w:p>
          <w:p w14:paraId="49CBC20E"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Nagų pažeidimai</w:t>
            </w:r>
          </w:p>
        </w:tc>
        <w:tc>
          <w:tcPr>
            <w:tcW w:w="3114" w:type="dxa"/>
          </w:tcPr>
          <w:p w14:paraId="28E06A9B"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0E3E4D72" w14:textId="77777777" w:rsidTr="004E3CD5">
        <w:tc>
          <w:tcPr>
            <w:tcW w:w="3058" w:type="dxa"/>
          </w:tcPr>
          <w:p w14:paraId="29C13959"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Skeleto, raumenų ir jungiamojo audinio sutrikimai</w:t>
            </w:r>
          </w:p>
        </w:tc>
        <w:tc>
          <w:tcPr>
            <w:tcW w:w="3114" w:type="dxa"/>
          </w:tcPr>
          <w:p w14:paraId="74C1CDF1" w14:textId="77777777" w:rsidR="00E42D5A"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Mialgija;</w:t>
            </w:r>
          </w:p>
          <w:p w14:paraId="4A0682BF" w14:textId="77777777" w:rsidR="00E42D5A" w:rsidRPr="007C1A06"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Artralgij</w:t>
            </w:r>
            <w:r w:rsidRPr="00C722B4">
              <w:rPr>
                <w:rFonts w:ascii="Times New Roman" w:hAnsi="Times New Roman"/>
              </w:rPr>
              <w:t>a;</w:t>
            </w:r>
          </w:p>
          <w:p w14:paraId="76D2BE50" w14:textId="77777777" w:rsidR="00E42D5A"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Galūnių skausmas;</w:t>
            </w:r>
          </w:p>
          <w:p w14:paraId="0DDBF69B"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Kaulų skausmas;</w:t>
            </w:r>
          </w:p>
          <w:p w14:paraId="4A904F61"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Nugaros skausmas</w:t>
            </w:r>
          </w:p>
        </w:tc>
        <w:tc>
          <w:tcPr>
            <w:tcW w:w="3114" w:type="dxa"/>
          </w:tcPr>
          <w:p w14:paraId="1D42297C"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76C23A4A" w14:textId="77777777" w:rsidTr="004E3CD5">
        <w:tc>
          <w:tcPr>
            <w:tcW w:w="3058" w:type="dxa"/>
          </w:tcPr>
          <w:p w14:paraId="072DC843"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Bendrieji sutrikimai ir vartojimo vietos pažeidimai</w:t>
            </w:r>
          </w:p>
        </w:tc>
        <w:tc>
          <w:tcPr>
            <w:tcW w:w="3114" w:type="dxa"/>
          </w:tcPr>
          <w:p w14:paraId="02686E83" w14:textId="77777777" w:rsidR="00E42D5A"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Astenija;</w:t>
            </w:r>
          </w:p>
          <w:p w14:paraId="7B644598"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Periferinė edema;</w:t>
            </w:r>
          </w:p>
          <w:p w14:paraId="50CEC64A" w14:textId="77777777" w:rsidR="00E42D5A" w:rsidRPr="007C1A06"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Pireksija;</w:t>
            </w:r>
          </w:p>
          <w:p w14:paraId="2799EF35" w14:textId="77777777" w:rsidR="00E42D5A"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Nuovargis;</w:t>
            </w:r>
          </w:p>
          <w:p w14:paraId="577A946D" w14:textId="77777777" w:rsidR="00E42D5A"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Gleivinės uždegimas;</w:t>
            </w:r>
          </w:p>
          <w:p w14:paraId="149D0114" w14:textId="77777777" w:rsidR="00E42D5A"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Į gripą panašus sindromas;</w:t>
            </w:r>
          </w:p>
          <w:p w14:paraId="663F09D2"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Krūtinės skausmas;</w:t>
            </w:r>
          </w:p>
          <w:p w14:paraId="1B68A7EA"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Šaltkrėtis</w:t>
            </w:r>
          </w:p>
        </w:tc>
        <w:tc>
          <w:tcPr>
            <w:tcW w:w="3114" w:type="dxa"/>
          </w:tcPr>
          <w:p w14:paraId="18FE81B2"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Letargija</w:t>
            </w:r>
          </w:p>
        </w:tc>
      </w:tr>
      <w:tr w:rsidR="00D875C0" w:rsidRPr="007C1A06" w14:paraId="5621BD37" w14:textId="77777777" w:rsidTr="004E3CD5">
        <w:tc>
          <w:tcPr>
            <w:tcW w:w="3058" w:type="dxa"/>
          </w:tcPr>
          <w:p w14:paraId="144324AB"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Tyrimai</w:t>
            </w:r>
          </w:p>
        </w:tc>
        <w:tc>
          <w:tcPr>
            <w:tcW w:w="3114" w:type="dxa"/>
          </w:tcPr>
          <w:p w14:paraId="6EE26A4B" w14:textId="77777777" w:rsidR="00D875C0" w:rsidRPr="001F2C46" w:rsidRDefault="00D875C0" w:rsidP="003876F8">
            <w:pPr>
              <w:spacing w:after="0" w:line="240" w:lineRule="auto"/>
              <w:rPr>
                <w:rFonts w:ascii="Times New Roman" w:hAnsi="Times New Roman"/>
              </w:rPr>
            </w:pPr>
            <w:r w:rsidRPr="001F2C46">
              <w:rPr>
                <w:rFonts w:ascii="Times New Roman" w:hAnsi="Times New Roman"/>
              </w:rPr>
              <w:t>Svorio padidėjimas</w:t>
            </w:r>
          </w:p>
        </w:tc>
        <w:tc>
          <w:tcPr>
            <w:tcW w:w="3114" w:type="dxa"/>
          </w:tcPr>
          <w:p w14:paraId="7F14A598" w14:textId="77777777" w:rsidR="00D875C0" w:rsidRPr="00427D92" w:rsidRDefault="00D875C0" w:rsidP="003876F8">
            <w:pPr>
              <w:spacing w:after="0" w:line="240" w:lineRule="auto"/>
              <w:rPr>
                <w:rFonts w:ascii="Times New Roman" w:hAnsi="Times New Roman"/>
              </w:rPr>
            </w:pPr>
          </w:p>
        </w:tc>
      </w:tr>
    </w:tbl>
    <w:p w14:paraId="6764D0B4" w14:textId="77777777" w:rsidR="007D5449" w:rsidRPr="007C1A06" w:rsidRDefault="007D5449" w:rsidP="00D875C0">
      <w:pPr>
        <w:spacing w:after="0" w:line="240" w:lineRule="auto"/>
        <w:rPr>
          <w:rFonts w:ascii="Times New Roman" w:eastAsia="Times New Roman" w:hAnsi="Times New Roman" w:cs="Times New Roman"/>
        </w:rPr>
      </w:pPr>
    </w:p>
    <w:p w14:paraId="21A76E8C" w14:textId="77777777" w:rsidR="00D875C0" w:rsidRPr="00FB5C4B"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4E3CD5">
        <w:rPr>
          <w:rFonts w:ascii="Times New Roman" w:hAnsi="Times New Roman"/>
          <w:u w:val="single"/>
        </w:rPr>
        <w:t>Pasirinkt</w:t>
      </w:r>
      <w:r w:rsidRPr="004E3CD5">
        <w:rPr>
          <w:rFonts w:ascii="Times New Roman" w:hAnsi="Times New Roman" w:hint="eastAsia"/>
          <w:u w:val="single"/>
        </w:rPr>
        <w:t>ų</w:t>
      </w:r>
      <w:r w:rsidRPr="004E3CD5">
        <w:rPr>
          <w:rFonts w:ascii="Times New Roman" w:hAnsi="Times New Roman"/>
          <w:u w:val="single"/>
        </w:rPr>
        <w:t xml:space="preserve"> nepageidaujam</w:t>
      </w:r>
      <w:r w:rsidRPr="004E3CD5">
        <w:rPr>
          <w:rFonts w:ascii="Times New Roman" w:hAnsi="Times New Roman" w:hint="eastAsia"/>
          <w:u w:val="single"/>
        </w:rPr>
        <w:t>ų</w:t>
      </w:r>
      <w:r w:rsidRPr="004E3CD5">
        <w:rPr>
          <w:rFonts w:ascii="Times New Roman" w:hAnsi="Times New Roman"/>
          <w:u w:val="single"/>
        </w:rPr>
        <w:t xml:space="preserve"> reakcij</w:t>
      </w:r>
      <w:r w:rsidRPr="004E3CD5">
        <w:rPr>
          <w:rFonts w:ascii="Times New Roman" w:hAnsi="Times New Roman" w:hint="eastAsia"/>
          <w:u w:val="single"/>
        </w:rPr>
        <w:t>ų</w:t>
      </w:r>
      <w:r w:rsidRPr="004E3CD5">
        <w:rPr>
          <w:rFonts w:ascii="Times New Roman" w:hAnsi="Times New Roman"/>
          <w:u w:val="single"/>
        </w:rPr>
        <w:t>, atsiradusi</w:t>
      </w:r>
      <w:r w:rsidRPr="004E3CD5">
        <w:rPr>
          <w:rFonts w:ascii="Times New Roman" w:hAnsi="Times New Roman" w:hint="eastAsia"/>
          <w:u w:val="single"/>
        </w:rPr>
        <w:t>ų</w:t>
      </w:r>
      <w:r w:rsidRPr="004E3CD5">
        <w:rPr>
          <w:rFonts w:ascii="Times New Roman" w:hAnsi="Times New Roman"/>
          <w:u w:val="single"/>
        </w:rPr>
        <w:t xml:space="preserve"> </w:t>
      </w:r>
      <w:r w:rsidRPr="00F957E7">
        <w:rPr>
          <w:rFonts w:ascii="Times New Roman" w:hAnsi="Times New Roman"/>
          <w:u w:val="single"/>
        </w:rPr>
        <w:t>vartojant Docetaxel Ebewe 100</w:t>
      </w:r>
      <w:r w:rsidR="00E42D5A" w:rsidRPr="00F95B76">
        <w:rPr>
          <w:rFonts w:ascii="Times New Roman" w:hAnsi="Times New Roman"/>
          <w:u w:val="single"/>
        </w:rPr>
        <w:t> </w:t>
      </w:r>
      <w:r w:rsidRPr="00F95B76">
        <w:rPr>
          <w:rFonts w:ascii="Times New Roman" w:hAnsi="Times New Roman"/>
          <w:u w:val="single"/>
        </w:rPr>
        <w:t xml:space="preserve">mg/m² su trastuzumabu </w:t>
      </w:r>
      <w:r w:rsidRPr="004E3CD5">
        <w:rPr>
          <w:rFonts w:ascii="Times New Roman" w:hAnsi="Times New Roman"/>
          <w:u w:val="single"/>
        </w:rPr>
        <w:t>doz</w:t>
      </w:r>
      <w:r w:rsidRPr="004E3CD5">
        <w:rPr>
          <w:rFonts w:ascii="Times New Roman" w:hAnsi="Times New Roman" w:hint="eastAsia"/>
          <w:u w:val="single"/>
        </w:rPr>
        <w:t>ę</w:t>
      </w:r>
      <w:r w:rsidRPr="004E3CD5">
        <w:rPr>
          <w:rFonts w:ascii="Times New Roman" w:hAnsi="Times New Roman"/>
          <w:u w:val="single"/>
        </w:rPr>
        <w:t xml:space="preserve"> kr</w:t>
      </w:r>
      <w:r w:rsidRPr="004E3CD5">
        <w:rPr>
          <w:rFonts w:ascii="Times New Roman" w:hAnsi="Times New Roman" w:hint="eastAsia"/>
          <w:u w:val="single"/>
        </w:rPr>
        <w:t>ū</w:t>
      </w:r>
      <w:r w:rsidRPr="004E3CD5">
        <w:rPr>
          <w:rFonts w:ascii="Times New Roman" w:hAnsi="Times New Roman"/>
          <w:u w:val="single"/>
        </w:rPr>
        <w:t>ties v</w:t>
      </w:r>
      <w:r w:rsidRPr="004E3CD5">
        <w:rPr>
          <w:rFonts w:ascii="Times New Roman" w:hAnsi="Times New Roman" w:hint="eastAsia"/>
          <w:u w:val="single"/>
        </w:rPr>
        <w:t>ėž</w:t>
      </w:r>
      <w:r w:rsidRPr="004E3CD5">
        <w:rPr>
          <w:rFonts w:ascii="Times New Roman" w:hAnsi="Times New Roman"/>
          <w:u w:val="single"/>
        </w:rPr>
        <w:t xml:space="preserve">io kombinuotai terapijai, </w:t>
      </w:r>
      <w:r w:rsidRPr="00F957E7">
        <w:rPr>
          <w:rFonts w:ascii="Times New Roman" w:hAnsi="Times New Roman"/>
          <w:u w:val="single"/>
        </w:rPr>
        <w:t>aprašymas</w:t>
      </w:r>
    </w:p>
    <w:p w14:paraId="2F48AC94" w14:textId="77777777" w:rsidR="005B5FED" w:rsidRDefault="005B5FED" w:rsidP="00D875C0">
      <w:pPr>
        <w:autoSpaceDE w:val="0"/>
        <w:autoSpaceDN w:val="0"/>
        <w:adjustRightInd w:val="0"/>
        <w:spacing w:after="0" w:line="240" w:lineRule="auto"/>
        <w:rPr>
          <w:rFonts w:ascii="Times New Roman" w:hAnsi="Times New Roman"/>
          <w:i/>
        </w:rPr>
      </w:pPr>
    </w:p>
    <w:p w14:paraId="12117AB1" w14:textId="77777777" w:rsidR="00D875C0" w:rsidRPr="00F95B76" w:rsidRDefault="00D875C0" w:rsidP="00D875C0">
      <w:pPr>
        <w:autoSpaceDE w:val="0"/>
        <w:autoSpaceDN w:val="0"/>
        <w:adjustRightInd w:val="0"/>
        <w:spacing w:after="0" w:line="240" w:lineRule="auto"/>
        <w:rPr>
          <w:rFonts w:ascii="Times New Roman" w:hAnsi="Times New Roman"/>
          <w:i/>
        </w:rPr>
      </w:pPr>
      <w:r w:rsidRPr="00F957E7">
        <w:rPr>
          <w:rFonts w:ascii="Times New Roman" w:hAnsi="Times New Roman"/>
          <w:i/>
        </w:rPr>
        <w:t>Širdies sutrikimai</w:t>
      </w:r>
    </w:p>
    <w:p w14:paraId="439C925F" w14:textId="77777777" w:rsidR="00D875C0" w:rsidRPr="007C1A0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Simptominis širdies nepakankamumas pasireiškė 2,2</w:t>
      </w:r>
      <w:r w:rsidR="00E42D5A" w:rsidRPr="00F95B76">
        <w:rPr>
          <w:rFonts w:ascii="Times New Roman" w:hAnsi="Times New Roman"/>
        </w:rPr>
        <w:t> </w:t>
      </w:r>
      <w:r w:rsidRPr="00F95B76">
        <w:rPr>
          <w:rFonts w:ascii="Times New Roman" w:hAnsi="Times New Roman"/>
        </w:rPr>
        <w:t xml:space="preserve">% pacientų, kartu vartojusių </w:t>
      </w:r>
      <w:r w:rsidRPr="001F2C46">
        <w:rPr>
          <w:rFonts w:ascii="Times New Roman" w:hAnsi="Times New Roman"/>
        </w:rPr>
        <w:t>docetakselį ir trastuzumabą bei 0</w:t>
      </w:r>
      <w:r w:rsidR="00E42D5A" w:rsidRPr="001F2C46">
        <w:rPr>
          <w:rFonts w:ascii="Times New Roman" w:hAnsi="Times New Roman"/>
        </w:rPr>
        <w:t> </w:t>
      </w:r>
      <w:r w:rsidRPr="001F2C46">
        <w:rPr>
          <w:rFonts w:ascii="Times New Roman" w:hAnsi="Times New Roman"/>
        </w:rPr>
        <w:t>% pacientų, vartojusių vien docetakselio. Iš pacientų, kartu vartojusių docetakselį ir trastuzumabą, 64</w:t>
      </w:r>
      <w:r w:rsidR="00E42D5A" w:rsidRPr="00427D92">
        <w:rPr>
          <w:rFonts w:ascii="Times New Roman" w:hAnsi="Times New Roman"/>
        </w:rPr>
        <w:t> </w:t>
      </w:r>
      <w:r w:rsidRPr="00C722B4">
        <w:rPr>
          <w:rFonts w:ascii="Times New Roman" w:hAnsi="Times New Roman"/>
        </w:rPr>
        <w:t>% anksčiau vartojo antracikliną adjuvantiniam gydymui, iš vartojusių vien tik docetakselio – 55</w:t>
      </w:r>
      <w:r w:rsidR="00E42D5A" w:rsidRPr="007C1A06">
        <w:rPr>
          <w:rFonts w:ascii="Times New Roman" w:hAnsi="Times New Roman"/>
        </w:rPr>
        <w:t> </w:t>
      </w:r>
      <w:r w:rsidRPr="007C1A06">
        <w:rPr>
          <w:rFonts w:ascii="Times New Roman" w:hAnsi="Times New Roman"/>
        </w:rPr>
        <w:t>%.</w:t>
      </w:r>
    </w:p>
    <w:p w14:paraId="68A81795" w14:textId="77777777" w:rsidR="00D875C0" w:rsidRPr="007C1A06" w:rsidRDefault="00D875C0" w:rsidP="00D875C0">
      <w:pPr>
        <w:autoSpaceDE w:val="0"/>
        <w:autoSpaceDN w:val="0"/>
        <w:adjustRightInd w:val="0"/>
        <w:spacing w:after="0" w:line="240" w:lineRule="auto"/>
        <w:rPr>
          <w:rFonts w:ascii="Times New Roman" w:hAnsi="Times New Roman"/>
        </w:rPr>
      </w:pPr>
    </w:p>
    <w:p w14:paraId="139D9D80"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i/>
        </w:rPr>
        <w:t>Kraujo ir limfinės sistemos sutrikimai</w:t>
      </w:r>
    </w:p>
    <w:p w14:paraId="20B00055"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Labai dažni: vartojant trastuzumabą ir docetakselį kartu, nustatytas stipresnis hematotoksinis poveikis negu docetakselį vartojant monoterapijai (3</w:t>
      </w:r>
      <w:r w:rsidR="00E42D5A" w:rsidRPr="007C1A06">
        <w:rPr>
          <w:rFonts w:ascii="Times New Roman" w:hAnsi="Times New Roman"/>
        </w:rPr>
        <w:noBreakHyphen/>
      </w:r>
      <w:r w:rsidRPr="007C1A06">
        <w:rPr>
          <w:rFonts w:ascii="Times New Roman" w:hAnsi="Times New Roman"/>
        </w:rPr>
        <w:t>4 laipsnio neutropenijos dažnis, remiantis NCI-CTC bendraisiais toksinio poveikio kriterijais, buvo atitinkamai 32</w:t>
      </w:r>
      <w:r w:rsidR="00E42D5A" w:rsidRPr="007C1A06">
        <w:rPr>
          <w:rFonts w:ascii="Times New Roman" w:hAnsi="Times New Roman"/>
        </w:rPr>
        <w:t> </w:t>
      </w:r>
      <w:r w:rsidRPr="007C1A06">
        <w:rPr>
          <w:rFonts w:ascii="Times New Roman" w:hAnsi="Times New Roman"/>
        </w:rPr>
        <w:t>% ir 22</w:t>
      </w:r>
      <w:r w:rsidR="00E42D5A" w:rsidRPr="007C1A06">
        <w:rPr>
          <w:rFonts w:ascii="Times New Roman" w:hAnsi="Times New Roman"/>
        </w:rPr>
        <w:t> </w:t>
      </w:r>
      <w:r w:rsidRPr="007C1A06">
        <w:rPr>
          <w:rFonts w:ascii="Times New Roman" w:hAnsi="Times New Roman"/>
        </w:rPr>
        <w:t>%). Būtina atkreipti dėmesį, jog toks poveikis tikriausiai yra nepakankamai įvertintas, kadangi vartojant vien tik docetakselio (dozė - 100</w:t>
      </w:r>
      <w:r w:rsidR="00E42D5A"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neutropenija pasireiškia 97</w:t>
      </w:r>
      <w:r w:rsidR="00E42D5A" w:rsidRPr="007C1A06">
        <w:rPr>
          <w:rFonts w:ascii="Times New Roman" w:hAnsi="Times New Roman"/>
        </w:rPr>
        <w:t> </w:t>
      </w:r>
      <w:r w:rsidRPr="007C1A06">
        <w:rPr>
          <w:rFonts w:ascii="Times New Roman" w:hAnsi="Times New Roman"/>
        </w:rPr>
        <w:t>% pacientų, iš jų 76</w:t>
      </w:r>
      <w:r w:rsidR="00E42D5A" w:rsidRPr="007C1A06">
        <w:rPr>
          <w:rFonts w:ascii="Times New Roman" w:hAnsi="Times New Roman"/>
        </w:rPr>
        <w:t> </w:t>
      </w:r>
      <w:r w:rsidRPr="007C1A06">
        <w:rPr>
          <w:rFonts w:ascii="Times New Roman" w:hAnsi="Times New Roman"/>
        </w:rPr>
        <w:t>% - 4</w:t>
      </w:r>
      <w:r w:rsidR="00E42D5A" w:rsidRPr="007C1A06">
        <w:rPr>
          <w:rFonts w:ascii="Times New Roman" w:hAnsi="Times New Roman"/>
        </w:rPr>
        <w:t> </w:t>
      </w:r>
      <w:r w:rsidRPr="007C1A06">
        <w:rPr>
          <w:rFonts w:ascii="Times New Roman" w:hAnsi="Times New Roman"/>
        </w:rPr>
        <w:t>laipsnio (vertinant mažiausią kraujo ląstelių skaičių). Vartojant Herceptin ir docetakselio derinį, dažniau pasireiškė ir febrilinė neutropenija ar su neutropenija susijęs sepsis negu docetakselį vartojant atskirai (atitinkamai 23</w:t>
      </w:r>
      <w:r w:rsidR="00E42D5A" w:rsidRPr="007C1A06">
        <w:rPr>
          <w:rFonts w:ascii="Times New Roman" w:hAnsi="Times New Roman"/>
        </w:rPr>
        <w:t> </w:t>
      </w:r>
      <w:r w:rsidRPr="007C1A06">
        <w:rPr>
          <w:rFonts w:ascii="Times New Roman" w:hAnsi="Times New Roman"/>
        </w:rPr>
        <w:t>% ir 17</w:t>
      </w:r>
      <w:r w:rsidR="00E42D5A" w:rsidRPr="007C1A06">
        <w:rPr>
          <w:rFonts w:ascii="Times New Roman" w:hAnsi="Times New Roman"/>
        </w:rPr>
        <w:t> </w:t>
      </w:r>
      <w:r w:rsidRPr="007C1A06">
        <w:rPr>
          <w:rFonts w:ascii="Times New Roman" w:hAnsi="Times New Roman"/>
        </w:rPr>
        <w:t>% pacientų).</w:t>
      </w:r>
    </w:p>
    <w:p w14:paraId="1B0985A3" w14:textId="77777777" w:rsidR="00D875C0" w:rsidRPr="007C1A06" w:rsidRDefault="00D875C0" w:rsidP="00D875C0">
      <w:pPr>
        <w:spacing w:after="0" w:line="240" w:lineRule="auto"/>
        <w:rPr>
          <w:rFonts w:ascii="Times New Roman" w:hAnsi="Times New Roman"/>
        </w:rPr>
      </w:pPr>
    </w:p>
    <w:p w14:paraId="57588000"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4E3CD5">
        <w:rPr>
          <w:rFonts w:ascii="Times New Roman" w:hAnsi="Times New Roman"/>
          <w:u w:val="single"/>
        </w:rPr>
        <w:t>Nepageidaujam</w:t>
      </w:r>
      <w:r w:rsidRPr="004E3CD5">
        <w:rPr>
          <w:rFonts w:ascii="Times New Roman" w:hAnsi="Times New Roman" w:hint="eastAsia"/>
          <w:u w:val="single"/>
        </w:rPr>
        <w:t>ų</w:t>
      </w:r>
      <w:r w:rsidRPr="004E3CD5">
        <w:rPr>
          <w:rFonts w:ascii="Times New Roman" w:hAnsi="Times New Roman"/>
          <w:u w:val="single"/>
        </w:rPr>
        <w:t xml:space="preserve"> reakcij</w:t>
      </w:r>
      <w:r w:rsidRPr="004E3CD5">
        <w:rPr>
          <w:rFonts w:ascii="Times New Roman" w:hAnsi="Times New Roman" w:hint="eastAsia"/>
          <w:u w:val="single"/>
        </w:rPr>
        <w:t>ų</w:t>
      </w:r>
      <w:r w:rsidRPr="004E3CD5">
        <w:rPr>
          <w:rFonts w:ascii="Times New Roman" w:hAnsi="Times New Roman"/>
          <w:u w:val="single"/>
        </w:rPr>
        <w:t>, atsiradusi</w:t>
      </w:r>
      <w:r w:rsidRPr="004E3CD5">
        <w:rPr>
          <w:rFonts w:ascii="Times New Roman" w:hAnsi="Times New Roman" w:hint="eastAsia"/>
          <w:u w:val="single"/>
        </w:rPr>
        <w:t>ų</w:t>
      </w:r>
      <w:r w:rsidRPr="004E3CD5">
        <w:rPr>
          <w:rFonts w:ascii="Times New Roman" w:hAnsi="Times New Roman"/>
          <w:u w:val="single"/>
        </w:rPr>
        <w:t xml:space="preserve"> </w:t>
      </w:r>
      <w:r w:rsidRPr="00F957E7">
        <w:rPr>
          <w:rFonts w:ascii="Times New Roman" w:hAnsi="Times New Roman"/>
          <w:u w:val="single"/>
        </w:rPr>
        <w:t>vartojant Docetaxel Ebewe 75</w:t>
      </w:r>
      <w:r w:rsidR="00E42D5A" w:rsidRPr="00F95B76">
        <w:rPr>
          <w:rFonts w:ascii="Times New Roman" w:hAnsi="Times New Roman"/>
          <w:u w:val="single"/>
        </w:rPr>
        <w:t> </w:t>
      </w:r>
      <w:r w:rsidRPr="004E3CD5">
        <w:rPr>
          <w:rFonts w:ascii="Times New Roman" w:hAnsi="Times New Roman"/>
          <w:u w:val="single"/>
        </w:rPr>
        <w:t>mg/m² su kapecitabinu doz</w:t>
      </w:r>
      <w:r w:rsidRPr="004E3CD5">
        <w:rPr>
          <w:rFonts w:ascii="Times New Roman" w:hAnsi="Times New Roman" w:hint="eastAsia"/>
          <w:u w:val="single"/>
        </w:rPr>
        <w:t>ę</w:t>
      </w:r>
      <w:r w:rsidRPr="004E3CD5">
        <w:rPr>
          <w:rFonts w:ascii="Times New Roman" w:hAnsi="Times New Roman"/>
          <w:u w:val="single"/>
        </w:rPr>
        <w:t xml:space="preserve"> kr</w:t>
      </w:r>
      <w:r w:rsidRPr="004E3CD5">
        <w:rPr>
          <w:rFonts w:ascii="Times New Roman" w:hAnsi="Times New Roman" w:hint="eastAsia"/>
          <w:u w:val="single"/>
        </w:rPr>
        <w:t>ū</w:t>
      </w:r>
      <w:r w:rsidRPr="004E3CD5">
        <w:rPr>
          <w:rFonts w:ascii="Times New Roman" w:hAnsi="Times New Roman"/>
          <w:u w:val="single"/>
        </w:rPr>
        <w:t>ties v</w:t>
      </w:r>
      <w:r w:rsidRPr="004E3CD5">
        <w:rPr>
          <w:rFonts w:ascii="Times New Roman" w:hAnsi="Times New Roman" w:hint="eastAsia"/>
          <w:u w:val="single"/>
        </w:rPr>
        <w:t>ėž</w:t>
      </w:r>
      <w:r w:rsidRPr="004E3CD5">
        <w:rPr>
          <w:rFonts w:ascii="Times New Roman" w:hAnsi="Times New Roman"/>
          <w:u w:val="single"/>
        </w:rPr>
        <w:t>io kombinuotai terapijai, s</w:t>
      </w:r>
      <w:r w:rsidRPr="004E3CD5">
        <w:rPr>
          <w:rFonts w:ascii="Times New Roman" w:hAnsi="Times New Roman" w:hint="eastAsia"/>
          <w:u w:val="single"/>
        </w:rPr>
        <w:t>ą</w:t>
      </w:r>
      <w:r w:rsidRPr="004E3CD5">
        <w:rPr>
          <w:rFonts w:ascii="Times New Roman" w:hAnsi="Times New Roman"/>
          <w:u w:val="single"/>
        </w:rPr>
        <w:t>rašas lentel</w:t>
      </w:r>
      <w:r w:rsidRPr="004E3CD5">
        <w:rPr>
          <w:rFonts w:ascii="Times New Roman" w:hAnsi="Times New Roman" w:hint="eastAsia"/>
          <w:u w:val="single"/>
        </w:rPr>
        <w:t>ė</w:t>
      </w:r>
      <w:r w:rsidRPr="004E3CD5">
        <w:rPr>
          <w:rFonts w:ascii="Times New Roman" w:hAnsi="Times New Roman"/>
          <w:u w:val="single"/>
        </w:rPr>
        <w:t>s forma</w:t>
      </w:r>
    </w:p>
    <w:p w14:paraId="79336C45" w14:textId="77777777" w:rsidR="00D875C0" w:rsidRPr="00F957E7" w:rsidRDefault="00D875C0" w:rsidP="00D875C0">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3046"/>
        <w:gridCol w:w="3046"/>
      </w:tblGrid>
      <w:tr w:rsidR="00F95B76" w:rsidRPr="007C1A06" w14:paraId="69551CFF" w14:textId="77777777" w:rsidTr="00915C14">
        <w:tc>
          <w:tcPr>
            <w:tcW w:w="3058" w:type="dxa"/>
            <w:shd w:val="clear" w:color="auto" w:fill="D9D9D9" w:themeFill="background1" w:themeFillShade="D9"/>
          </w:tcPr>
          <w:p w14:paraId="44CD7EF7" w14:textId="77777777" w:rsidR="00D875C0" w:rsidRPr="00F95B76" w:rsidRDefault="00D875C0" w:rsidP="003876F8">
            <w:pPr>
              <w:spacing w:after="0" w:line="240" w:lineRule="auto"/>
              <w:rPr>
                <w:rFonts w:ascii="Times New Roman" w:hAnsi="Times New Roman"/>
              </w:rPr>
            </w:pPr>
            <w:r w:rsidRPr="00F95B76">
              <w:rPr>
                <w:rFonts w:ascii="Times New Roman" w:hAnsi="Times New Roman"/>
                <w:b/>
              </w:rPr>
              <w:t>MedDRA organų sistemų klasės</w:t>
            </w:r>
          </w:p>
        </w:tc>
        <w:tc>
          <w:tcPr>
            <w:tcW w:w="3114" w:type="dxa"/>
            <w:shd w:val="clear" w:color="auto" w:fill="D9D9D9" w:themeFill="background1" w:themeFillShade="D9"/>
          </w:tcPr>
          <w:p w14:paraId="1A8C92CA" w14:textId="77777777" w:rsidR="00D875C0" w:rsidRPr="001F2C46" w:rsidRDefault="00D875C0" w:rsidP="003876F8">
            <w:pPr>
              <w:autoSpaceDE w:val="0"/>
              <w:autoSpaceDN w:val="0"/>
              <w:adjustRightInd w:val="0"/>
              <w:spacing w:after="0" w:line="240" w:lineRule="auto"/>
              <w:rPr>
                <w:rFonts w:ascii="Times New Roman" w:hAnsi="Times New Roman"/>
                <w:b/>
              </w:rPr>
            </w:pPr>
            <w:r w:rsidRPr="001F2C46">
              <w:rPr>
                <w:rFonts w:ascii="Times New Roman" w:hAnsi="Times New Roman"/>
                <w:b/>
              </w:rPr>
              <w:t>Labai dažnos nepageidaujamos reakcijos</w:t>
            </w:r>
          </w:p>
        </w:tc>
        <w:tc>
          <w:tcPr>
            <w:tcW w:w="3114" w:type="dxa"/>
            <w:shd w:val="clear" w:color="auto" w:fill="D9D9D9" w:themeFill="background1" w:themeFillShade="D9"/>
          </w:tcPr>
          <w:p w14:paraId="1DE806AF" w14:textId="77777777" w:rsidR="00D875C0" w:rsidRPr="00427D92" w:rsidRDefault="00D875C0" w:rsidP="003876F8">
            <w:pPr>
              <w:autoSpaceDE w:val="0"/>
              <w:autoSpaceDN w:val="0"/>
              <w:adjustRightInd w:val="0"/>
              <w:spacing w:after="0" w:line="240" w:lineRule="auto"/>
              <w:rPr>
                <w:rFonts w:ascii="Times New Roman" w:hAnsi="Times New Roman"/>
                <w:b/>
              </w:rPr>
            </w:pPr>
            <w:r w:rsidRPr="00427D92">
              <w:rPr>
                <w:rFonts w:ascii="Times New Roman" w:hAnsi="Times New Roman"/>
                <w:b/>
              </w:rPr>
              <w:t>Dažnos nepageidaujamos reakcijos</w:t>
            </w:r>
          </w:p>
        </w:tc>
      </w:tr>
      <w:tr w:rsidR="00D875C0" w:rsidRPr="007C1A06" w14:paraId="29278A68" w14:textId="77777777" w:rsidTr="004E3CD5">
        <w:tc>
          <w:tcPr>
            <w:tcW w:w="3058" w:type="dxa"/>
          </w:tcPr>
          <w:p w14:paraId="01465009" w14:textId="77777777" w:rsidR="00D875C0" w:rsidRPr="00F95B76" w:rsidRDefault="00D875C0" w:rsidP="003876F8">
            <w:pPr>
              <w:autoSpaceDE w:val="0"/>
              <w:autoSpaceDN w:val="0"/>
              <w:adjustRightInd w:val="0"/>
              <w:spacing w:after="0" w:line="240" w:lineRule="auto"/>
              <w:rPr>
                <w:rFonts w:ascii="Times New Roman" w:hAnsi="Times New Roman"/>
                <w:b/>
              </w:rPr>
            </w:pPr>
            <w:r w:rsidRPr="00F957E7">
              <w:rPr>
                <w:rFonts w:ascii="Times New Roman" w:hAnsi="Times New Roman"/>
              </w:rPr>
              <w:t xml:space="preserve">Infekcijos ir </w:t>
            </w:r>
            <w:r w:rsidRPr="00F95B76">
              <w:rPr>
                <w:rFonts w:ascii="Times New Roman" w:hAnsi="Times New Roman"/>
              </w:rPr>
              <w:t>infestacijos</w:t>
            </w:r>
          </w:p>
        </w:tc>
        <w:tc>
          <w:tcPr>
            <w:tcW w:w="3114" w:type="dxa"/>
          </w:tcPr>
          <w:p w14:paraId="0179243E" w14:textId="77777777" w:rsidR="00D875C0" w:rsidRPr="001F2C46" w:rsidRDefault="00D875C0" w:rsidP="003876F8">
            <w:pPr>
              <w:autoSpaceDE w:val="0"/>
              <w:autoSpaceDN w:val="0"/>
              <w:adjustRightInd w:val="0"/>
              <w:spacing w:after="0" w:line="240" w:lineRule="auto"/>
              <w:rPr>
                <w:rFonts w:ascii="Times New Roman" w:hAnsi="Times New Roman"/>
                <w:b/>
              </w:rPr>
            </w:pPr>
          </w:p>
        </w:tc>
        <w:tc>
          <w:tcPr>
            <w:tcW w:w="3114" w:type="dxa"/>
          </w:tcPr>
          <w:p w14:paraId="1F701021" w14:textId="77777777" w:rsidR="00D875C0" w:rsidRPr="007C1A06" w:rsidRDefault="00D875C0" w:rsidP="00E42D5A">
            <w:pPr>
              <w:autoSpaceDE w:val="0"/>
              <w:autoSpaceDN w:val="0"/>
              <w:adjustRightInd w:val="0"/>
              <w:spacing w:after="0" w:line="240" w:lineRule="auto"/>
              <w:rPr>
                <w:rFonts w:ascii="Times New Roman" w:hAnsi="Times New Roman"/>
                <w:b/>
              </w:rPr>
            </w:pPr>
            <w:r w:rsidRPr="00427D92">
              <w:rPr>
                <w:rFonts w:ascii="Times New Roman" w:hAnsi="Times New Roman"/>
              </w:rPr>
              <w:t>Burnos kandidozė (3</w:t>
            </w:r>
            <w:r w:rsidR="00E42D5A" w:rsidRPr="00C722B4">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&lt;</w:t>
            </w:r>
            <w:r w:rsidR="00E42D5A" w:rsidRPr="007C1A06">
              <w:rPr>
                <w:rFonts w:ascii="Times New Roman" w:hAnsi="Times New Roman"/>
              </w:rPr>
              <w:t> </w:t>
            </w:r>
            <w:r w:rsidRPr="007C1A06">
              <w:rPr>
                <w:rFonts w:ascii="Times New Roman" w:hAnsi="Times New Roman"/>
              </w:rPr>
              <w:t>1</w:t>
            </w:r>
            <w:r w:rsidR="00E42D5A" w:rsidRPr="007C1A06">
              <w:rPr>
                <w:rFonts w:ascii="Times New Roman" w:hAnsi="Times New Roman"/>
              </w:rPr>
              <w:t> </w:t>
            </w:r>
            <w:r w:rsidRPr="007C1A06">
              <w:rPr>
                <w:rFonts w:ascii="Times New Roman" w:hAnsi="Times New Roman"/>
              </w:rPr>
              <w:t>%)</w:t>
            </w:r>
          </w:p>
        </w:tc>
      </w:tr>
      <w:tr w:rsidR="00D875C0" w:rsidRPr="007C1A06" w14:paraId="4EF01356" w14:textId="77777777" w:rsidTr="004E3CD5">
        <w:tc>
          <w:tcPr>
            <w:tcW w:w="3058" w:type="dxa"/>
          </w:tcPr>
          <w:p w14:paraId="6CF57CC0"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Kraujo ir limfinės sistemos sutrikimai</w:t>
            </w:r>
          </w:p>
        </w:tc>
        <w:tc>
          <w:tcPr>
            <w:tcW w:w="3114" w:type="dxa"/>
          </w:tcPr>
          <w:p w14:paraId="20BFC674" w14:textId="77777777" w:rsidR="00D875C0" w:rsidRPr="00C722B4"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Neutropenija (3</w:t>
            </w:r>
            <w:r w:rsidR="00E42D5A" w:rsidRPr="001F2C46">
              <w:rPr>
                <w:rFonts w:ascii="Times New Roman" w:hAnsi="Times New Roman"/>
              </w:rPr>
              <w:noBreakHyphen/>
            </w:r>
            <w:r w:rsidRPr="001F2C46">
              <w:rPr>
                <w:rFonts w:ascii="Times New Roman" w:hAnsi="Times New Roman"/>
              </w:rPr>
              <w:t>4</w:t>
            </w:r>
            <w:r w:rsidR="00E42D5A" w:rsidRPr="001F2C46">
              <w:rPr>
                <w:rFonts w:ascii="Times New Roman" w:hAnsi="Times New Roman"/>
              </w:rPr>
              <w:t> </w:t>
            </w:r>
            <w:r w:rsidRPr="001F2C46">
              <w:rPr>
                <w:rFonts w:ascii="Times New Roman" w:hAnsi="Times New Roman"/>
              </w:rPr>
              <w:t>laipsnio – 63</w:t>
            </w:r>
            <w:r w:rsidR="00E42D5A" w:rsidRPr="00427D92">
              <w:rPr>
                <w:rFonts w:ascii="Times New Roman" w:hAnsi="Times New Roman"/>
              </w:rPr>
              <w:t> </w:t>
            </w:r>
            <w:r w:rsidRPr="00C722B4">
              <w:rPr>
                <w:rFonts w:ascii="Times New Roman" w:hAnsi="Times New Roman"/>
              </w:rPr>
              <w:t>%);</w:t>
            </w:r>
          </w:p>
          <w:p w14:paraId="782D1333" w14:textId="77777777" w:rsidR="00D875C0" w:rsidRPr="004E3CD5" w:rsidRDefault="00D875C0" w:rsidP="00E42D5A">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Anemija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10</w:t>
            </w:r>
            <w:r w:rsidR="00E42D5A" w:rsidRPr="007C1A06">
              <w:rPr>
                <w:rFonts w:ascii="Times New Roman" w:hAnsi="Times New Roman"/>
              </w:rPr>
              <w:t> </w:t>
            </w:r>
            <w:r w:rsidRPr="007C1A06">
              <w:rPr>
                <w:rFonts w:ascii="Times New Roman" w:hAnsi="Times New Roman"/>
              </w:rPr>
              <w:t>%)</w:t>
            </w:r>
          </w:p>
        </w:tc>
        <w:tc>
          <w:tcPr>
            <w:tcW w:w="3114" w:type="dxa"/>
          </w:tcPr>
          <w:p w14:paraId="74467B2B" w14:textId="77777777" w:rsidR="00D875C0"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Trombocitopenija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3</w:t>
            </w:r>
            <w:r w:rsidR="00E42D5A" w:rsidRPr="007C1A06">
              <w:rPr>
                <w:rFonts w:ascii="Times New Roman" w:hAnsi="Times New Roman"/>
              </w:rPr>
              <w:t> </w:t>
            </w:r>
            <w:r w:rsidRPr="007C1A06">
              <w:rPr>
                <w:rFonts w:ascii="Times New Roman" w:hAnsi="Times New Roman"/>
              </w:rPr>
              <w:t>%)</w:t>
            </w:r>
          </w:p>
        </w:tc>
      </w:tr>
      <w:tr w:rsidR="00D875C0" w:rsidRPr="007C1A06" w14:paraId="55AEA17C" w14:textId="77777777" w:rsidTr="004E3CD5">
        <w:tc>
          <w:tcPr>
            <w:tcW w:w="3058" w:type="dxa"/>
          </w:tcPr>
          <w:p w14:paraId="6B22A7AD"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Metabolizmo ir mitybos sutrikimai</w:t>
            </w:r>
          </w:p>
        </w:tc>
        <w:tc>
          <w:tcPr>
            <w:tcW w:w="3114" w:type="dxa"/>
          </w:tcPr>
          <w:p w14:paraId="2B878518" w14:textId="77777777" w:rsidR="00D875C0" w:rsidRPr="00C722B4" w:rsidRDefault="00D875C0" w:rsidP="00E42D5A">
            <w:pPr>
              <w:autoSpaceDE w:val="0"/>
              <w:autoSpaceDN w:val="0"/>
              <w:adjustRightInd w:val="0"/>
              <w:spacing w:after="0" w:line="240" w:lineRule="auto"/>
              <w:rPr>
                <w:rFonts w:ascii="Times New Roman" w:hAnsi="Times New Roman"/>
              </w:rPr>
            </w:pPr>
            <w:r w:rsidRPr="001F2C46">
              <w:rPr>
                <w:rFonts w:ascii="Times New Roman" w:hAnsi="Times New Roman"/>
              </w:rPr>
              <w:t>Anoreksija (3</w:t>
            </w:r>
            <w:r w:rsidR="00E42D5A" w:rsidRPr="001F2C46">
              <w:rPr>
                <w:rFonts w:ascii="Times New Roman" w:hAnsi="Times New Roman"/>
              </w:rPr>
              <w:noBreakHyphen/>
            </w:r>
            <w:r w:rsidRPr="001F2C46">
              <w:rPr>
                <w:rFonts w:ascii="Times New Roman" w:hAnsi="Times New Roman"/>
              </w:rPr>
              <w:t>4</w:t>
            </w:r>
            <w:r w:rsidR="00E42D5A" w:rsidRPr="001F2C46">
              <w:rPr>
                <w:rFonts w:ascii="Times New Roman" w:hAnsi="Times New Roman"/>
              </w:rPr>
              <w:t> </w:t>
            </w:r>
            <w:r w:rsidRPr="001F2C46">
              <w:rPr>
                <w:rFonts w:ascii="Times New Roman" w:hAnsi="Times New Roman"/>
              </w:rPr>
              <w:t>laipsnio – 1</w:t>
            </w:r>
            <w:r w:rsidR="00E42D5A" w:rsidRPr="00427D92">
              <w:rPr>
                <w:rFonts w:ascii="Times New Roman" w:hAnsi="Times New Roman"/>
              </w:rPr>
              <w:t> </w:t>
            </w:r>
            <w:r w:rsidRPr="00C722B4">
              <w:rPr>
                <w:rFonts w:ascii="Times New Roman" w:hAnsi="Times New Roman"/>
              </w:rPr>
              <w:t>%); Apetito sumažėjimas</w:t>
            </w:r>
          </w:p>
        </w:tc>
        <w:tc>
          <w:tcPr>
            <w:tcW w:w="3114" w:type="dxa"/>
          </w:tcPr>
          <w:p w14:paraId="0909BD44" w14:textId="77777777" w:rsidR="00D875C0"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Dehidra</w:t>
            </w:r>
            <w:r w:rsidR="00807371" w:rsidRPr="007C1A06">
              <w:rPr>
                <w:rFonts w:ascii="Times New Roman" w:hAnsi="Times New Roman"/>
              </w:rPr>
              <w:t>ta</w:t>
            </w:r>
            <w:r w:rsidRPr="007C1A06">
              <w:rPr>
                <w:rFonts w:ascii="Times New Roman" w:hAnsi="Times New Roman"/>
              </w:rPr>
              <w:t>cija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2</w:t>
            </w:r>
            <w:r w:rsidR="00E42D5A" w:rsidRPr="007C1A06">
              <w:rPr>
                <w:rFonts w:ascii="Times New Roman" w:hAnsi="Times New Roman"/>
              </w:rPr>
              <w:t> </w:t>
            </w:r>
            <w:r w:rsidRPr="007C1A06">
              <w:rPr>
                <w:rFonts w:ascii="Times New Roman" w:hAnsi="Times New Roman"/>
              </w:rPr>
              <w:t>%)</w:t>
            </w:r>
          </w:p>
        </w:tc>
      </w:tr>
      <w:tr w:rsidR="00D875C0" w:rsidRPr="007C1A06" w14:paraId="2CB7528B" w14:textId="77777777" w:rsidTr="004E3CD5">
        <w:tc>
          <w:tcPr>
            <w:tcW w:w="3058" w:type="dxa"/>
          </w:tcPr>
          <w:p w14:paraId="2775EC56"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Nervų sistemos sutrikimai</w:t>
            </w:r>
          </w:p>
        </w:tc>
        <w:tc>
          <w:tcPr>
            <w:tcW w:w="3114" w:type="dxa"/>
          </w:tcPr>
          <w:p w14:paraId="71F8745C"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Disgeuzija (3</w:t>
            </w:r>
            <w:r w:rsidR="00E42D5A" w:rsidRPr="001F2C46">
              <w:rPr>
                <w:rFonts w:ascii="Times New Roman" w:hAnsi="Times New Roman"/>
              </w:rPr>
              <w:noBreakHyphen/>
            </w:r>
            <w:r w:rsidRPr="001F2C46">
              <w:rPr>
                <w:rFonts w:ascii="Times New Roman" w:hAnsi="Times New Roman"/>
              </w:rPr>
              <w:t>4</w:t>
            </w:r>
            <w:r w:rsidR="00E42D5A" w:rsidRPr="001F2C46">
              <w:rPr>
                <w:rFonts w:ascii="Times New Roman" w:hAnsi="Times New Roman"/>
              </w:rPr>
              <w:t> </w:t>
            </w:r>
            <w:r w:rsidRPr="001F2C46">
              <w:rPr>
                <w:rFonts w:ascii="Times New Roman" w:hAnsi="Times New Roman"/>
              </w:rPr>
              <w:t>laipsnio – &lt;</w:t>
            </w:r>
            <w:r w:rsidR="00E42D5A" w:rsidRPr="00427D92">
              <w:rPr>
                <w:rFonts w:ascii="Times New Roman" w:hAnsi="Times New Roman"/>
              </w:rPr>
              <w:t> </w:t>
            </w:r>
            <w:r w:rsidRPr="00C722B4">
              <w:rPr>
                <w:rFonts w:ascii="Times New Roman" w:hAnsi="Times New Roman"/>
              </w:rPr>
              <w:t>1</w:t>
            </w:r>
            <w:r w:rsidR="00E42D5A" w:rsidRPr="007C1A06">
              <w:rPr>
                <w:rFonts w:ascii="Times New Roman" w:hAnsi="Times New Roman"/>
              </w:rPr>
              <w:t> </w:t>
            </w:r>
            <w:r w:rsidRPr="007C1A06">
              <w:rPr>
                <w:rFonts w:ascii="Times New Roman" w:hAnsi="Times New Roman"/>
              </w:rPr>
              <w:t>%);</w:t>
            </w:r>
          </w:p>
          <w:p w14:paraId="6394D472" w14:textId="77777777" w:rsidR="00D875C0"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Parestezija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&lt;</w:t>
            </w:r>
            <w:r w:rsidR="00E42D5A" w:rsidRPr="007C1A06">
              <w:rPr>
                <w:rFonts w:ascii="Times New Roman" w:hAnsi="Times New Roman"/>
              </w:rPr>
              <w:t> </w:t>
            </w:r>
            <w:r w:rsidRPr="007C1A06">
              <w:rPr>
                <w:rFonts w:ascii="Times New Roman" w:hAnsi="Times New Roman"/>
              </w:rPr>
              <w:t>1</w:t>
            </w:r>
            <w:r w:rsidR="00E42D5A" w:rsidRPr="007C1A06">
              <w:rPr>
                <w:rFonts w:ascii="Times New Roman" w:hAnsi="Times New Roman"/>
              </w:rPr>
              <w:t> </w:t>
            </w:r>
            <w:r w:rsidRPr="007C1A06">
              <w:rPr>
                <w:rFonts w:ascii="Times New Roman" w:hAnsi="Times New Roman"/>
              </w:rPr>
              <w:t>%)</w:t>
            </w:r>
          </w:p>
        </w:tc>
        <w:tc>
          <w:tcPr>
            <w:tcW w:w="3114" w:type="dxa"/>
          </w:tcPr>
          <w:p w14:paraId="5FA71053"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Svaigulys;</w:t>
            </w:r>
          </w:p>
          <w:p w14:paraId="272A241C"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Galvos skausmas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&lt;</w:t>
            </w:r>
            <w:r w:rsidR="00E42D5A" w:rsidRPr="007C1A06">
              <w:rPr>
                <w:rFonts w:ascii="Times New Roman" w:hAnsi="Times New Roman"/>
              </w:rPr>
              <w:t> </w:t>
            </w:r>
            <w:r w:rsidRPr="007C1A06">
              <w:rPr>
                <w:rFonts w:ascii="Times New Roman" w:hAnsi="Times New Roman"/>
              </w:rPr>
              <w:t>1</w:t>
            </w:r>
            <w:r w:rsidR="00E42D5A" w:rsidRPr="007C1A06">
              <w:rPr>
                <w:rFonts w:ascii="Times New Roman" w:hAnsi="Times New Roman"/>
              </w:rPr>
              <w:t> </w:t>
            </w:r>
            <w:r w:rsidRPr="007C1A06">
              <w:rPr>
                <w:rFonts w:ascii="Times New Roman" w:hAnsi="Times New Roman"/>
              </w:rPr>
              <w:t>%);</w:t>
            </w:r>
          </w:p>
          <w:p w14:paraId="16B8057D"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Periferinė neuropatija</w:t>
            </w:r>
          </w:p>
        </w:tc>
      </w:tr>
      <w:tr w:rsidR="00D875C0" w:rsidRPr="007C1A06" w14:paraId="04F546E8" w14:textId="77777777" w:rsidTr="004E3CD5">
        <w:tc>
          <w:tcPr>
            <w:tcW w:w="3058" w:type="dxa"/>
          </w:tcPr>
          <w:p w14:paraId="0FE678F0"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 xml:space="preserve">Akių </w:t>
            </w:r>
            <w:r w:rsidRPr="00F95B76">
              <w:rPr>
                <w:rFonts w:ascii="Times New Roman" w:hAnsi="Times New Roman"/>
              </w:rPr>
              <w:t>sutrikimai</w:t>
            </w:r>
          </w:p>
        </w:tc>
        <w:tc>
          <w:tcPr>
            <w:tcW w:w="3114" w:type="dxa"/>
          </w:tcPr>
          <w:p w14:paraId="17BA4BE2"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Ašarojimo sustiprėjimas</w:t>
            </w:r>
          </w:p>
        </w:tc>
        <w:tc>
          <w:tcPr>
            <w:tcW w:w="3114" w:type="dxa"/>
          </w:tcPr>
          <w:p w14:paraId="60FDD585" w14:textId="77777777" w:rsidR="00D875C0" w:rsidRPr="00427D92" w:rsidRDefault="00D875C0" w:rsidP="003876F8">
            <w:pPr>
              <w:autoSpaceDE w:val="0"/>
              <w:autoSpaceDN w:val="0"/>
              <w:adjustRightInd w:val="0"/>
              <w:spacing w:after="0" w:line="240" w:lineRule="auto"/>
              <w:rPr>
                <w:rFonts w:ascii="Times New Roman" w:hAnsi="Times New Roman"/>
              </w:rPr>
            </w:pPr>
          </w:p>
        </w:tc>
      </w:tr>
      <w:tr w:rsidR="00D875C0" w:rsidRPr="007C1A06" w14:paraId="7A2A8A78" w14:textId="77777777" w:rsidTr="004E3CD5">
        <w:tc>
          <w:tcPr>
            <w:tcW w:w="3058" w:type="dxa"/>
          </w:tcPr>
          <w:p w14:paraId="50ADE1DC"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Kvėpavimo sistemos, krūtinės ląstos ir tarpuplaučio sutrikimai</w:t>
            </w:r>
          </w:p>
        </w:tc>
        <w:tc>
          <w:tcPr>
            <w:tcW w:w="3114" w:type="dxa"/>
          </w:tcPr>
          <w:p w14:paraId="39BE9BE0" w14:textId="77777777" w:rsidR="00D875C0" w:rsidRPr="007C1A06" w:rsidRDefault="00D875C0" w:rsidP="00E42D5A">
            <w:pPr>
              <w:autoSpaceDE w:val="0"/>
              <w:autoSpaceDN w:val="0"/>
              <w:adjustRightInd w:val="0"/>
              <w:spacing w:after="0" w:line="240" w:lineRule="auto"/>
              <w:rPr>
                <w:rFonts w:ascii="Times New Roman" w:hAnsi="Times New Roman"/>
              </w:rPr>
            </w:pPr>
            <w:r w:rsidRPr="001F2C46">
              <w:rPr>
                <w:rFonts w:ascii="Times New Roman" w:hAnsi="Times New Roman"/>
              </w:rPr>
              <w:t>Ryklės ir gerklų skausmas (3</w:t>
            </w:r>
            <w:r w:rsidR="00E42D5A" w:rsidRPr="00427D92">
              <w:rPr>
                <w:rFonts w:ascii="Times New Roman" w:hAnsi="Times New Roman"/>
              </w:rPr>
              <w:noBreakHyphen/>
            </w:r>
            <w:r w:rsidRPr="00C722B4">
              <w:rPr>
                <w:rFonts w:ascii="Times New Roman" w:hAnsi="Times New Roman"/>
              </w:rPr>
              <w:t>4</w:t>
            </w:r>
            <w:r w:rsidR="00E42D5A" w:rsidRPr="007C1A06">
              <w:rPr>
                <w:rFonts w:ascii="Times New Roman" w:hAnsi="Times New Roman"/>
              </w:rPr>
              <w:t> </w:t>
            </w:r>
            <w:r w:rsidRPr="007C1A06">
              <w:rPr>
                <w:rFonts w:ascii="Times New Roman" w:hAnsi="Times New Roman"/>
              </w:rPr>
              <w:t>laipsnio – 2</w:t>
            </w:r>
            <w:r w:rsidR="00E42D5A" w:rsidRPr="007C1A06">
              <w:rPr>
                <w:rFonts w:ascii="Times New Roman" w:hAnsi="Times New Roman"/>
              </w:rPr>
              <w:t> </w:t>
            </w:r>
            <w:r w:rsidRPr="007C1A06">
              <w:rPr>
                <w:rFonts w:ascii="Times New Roman" w:hAnsi="Times New Roman"/>
              </w:rPr>
              <w:t>%)</w:t>
            </w:r>
          </w:p>
        </w:tc>
        <w:tc>
          <w:tcPr>
            <w:tcW w:w="3114" w:type="dxa"/>
          </w:tcPr>
          <w:p w14:paraId="606EA9E1"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Dispnėja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1</w:t>
            </w:r>
            <w:r w:rsidR="00E42D5A" w:rsidRPr="007C1A06">
              <w:rPr>
                <w:rFonts w:ascii="Times New Roman" w:hAnsi="Times New Roman"/>
              </w:rPr>
              <w:t> </w:t>
            </w:r>
            <w:r w:rsidRPr="007C1A06">
              <w:rPr>
                <w:rFonts w:ascii="Times New Roman" w:hAnsi="Times New Roman"/>
              </w:rPr>
              <w:t>%);</w:t>
            </w:r>
          </w:p>
          <w:p w14:paraId="1077FDD9"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Kosulys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&lt;1</w:t>
            </w:r>
            <w:r w:rsidR="00E42D5A" w:rsidRPr="007C1A06">
              <w:rPr>
                <w:rFonts w:ascii="Times New Roman" w:hAnsi="Times New Roman"/>
              </w:rPr>
              <w:t> </w:t>
            </w:r>
            <w:r w:rsidRPr="007C1A06">
              <w:rPr>
                <w:rFonts w:ascii="Times New Roman" w:hAnsi="Times New Roman"/>
              </w:rPr>
              <w:t>%);</w:t>
            </w:r>
          </w:p>
          <w:p w14:paraId="665230E4" w14:textId="77777777" w:rsidR="00D875C0"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Epistaksė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&lt;</w:t>
            </w:r>
            <w:r w:rsidR="00E42D5A" w:rsidRPr="007C1A06">
              <w:rPr>
                <w:rFonts w:ascii="Times New Roman" w:hAnsi="Times New Roman"/>
              </w:rPr>
              <w:t> </w:t>
            </w:r>
            <w:r w:rsidRPr="007C1A06">
              <w:rPr>
                <w:rFonts w:ascii="Times New Roman" w:hAnsi="Times New Roman"/>
              </w:rPr>
              <w:t>1</w:t>
            </w:r>
            <w:r w:rsidR="00E42D5A" w:rsidRPr="007C1A06">
              <w:rPr>
                <w:rFonts w:ascii="Times New Roman" w:hAnsi="Times New Roman"/>
              </w:rPr>
              <w:t> </w:t>
            </w:r>
            <w:r w:rsidRPr="007C1A06">
              <w:rPr>
                <w:rFonts w:ascii="Times New Roman" w:hAnsi="Times New Roman"/>
              </w:rPr>
              <w:t>%)</w:t>
            </w:r>
          </w:p>
        </w:tc>
      </w:tr>
      <w:tr w:rsidR="00D875C0" w:rsidRPr="007C1A06" w14:paraId="1B99ACDE" w14:textId="77777777" w:rsidTr="004E3CD5">
        <w:tc>
          <w:tcPr>
            <w:tcW w:w="3058" w:type="dxa"/>
          </w:tcPr>
          <w:p w14:paraId="4D0F1029"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Virškinimo tr</w:t>
            </w:r>
            <w:r w:rsidRPr="00F95B76">
              <w:rPr>
                <w:rFonts w:ascii="Times New Roman" w:hAnsi="Times New Roman"/>
              </w:rPr>
              <w:t>akto sutrikimai</w:t>
            </w:r>
          </w:p>
        </w:tc>
        <w:tc>
          <w:tcPr>
            <w:tcW w:w="3114" w:type="dxa"/>
          </w:tcPr>
          <w:p w14:paraId="55EBC464" w14:textId="77777777" w:rsidR="00D875C0" w:rsidRPr="00C722B4"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Stomatitas (3</w:t>
            </w:r>
            <w:r w:rsidR="00E42D5A" w:rsidRPr="001F2C46">
              <w:rPr>
                <w:rFonts w:ascii="Times New Roman" w:hAnsi="Times New Roman"/>
              </w:rPr>
              <w:noBreakHyphen/>
            </w:r>
            <w:r w:rsidRPr="001F2C46">
              <w:rPr>
                <w:rFonts w:ascii="Times New Roman" w:hAnsi="Times New Roman"/>
              </w:rPr>
              <w:t>4</w:t>
            </w:r>
            <w:r w:rsidR="00E42D5A" w:rsidRPr="001F2C46">
              <w:rPr>
                <w:rFonts w:ascii="Times New Roman" w:hAnsi="Times New Roman"/>
              </w:rPr>
              <w:t> </w:t>
            </w:r>
            <w:r w:rsidRPr="001F2C46">
              <w:rPr>
                <w:rFonts w:ascii="Times New Roman" w:hAnsi="Times New Roman"/>
              </w:rPr>
              <w:t>laipsnio – 18</w:t>
            </w:r>
            <w:r w:rsidR="00E42D5A" w:rsidRPr="00427D92">
              <w:rPr>
                <w:rFonts w:ascii="Times New Roman" w:hAnsi="Times New Roman"/>
              </w:rPr>
              <w:t> </w:t>
            </w:r>
            <w:r w:rsidRPr="00C722B4">
              <w:rPr>
                <w:rFonts w:ascii="Times New Roman" w:hAnsi="Times New Roman"/>
              </w:rPr>
              <w:t>%);</w:t>
            </w:r>
          </w:p>
          <w:p w14:paraId="50DA25D1"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Viduriavimas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14</w:t>
            </w:r>
            <w:r w:rsidR="00E42D5A" w:rsidRPr="007C1A06">
              <w:rPr>
                <w:rFonts w:ascii="Times New Roman" w:hAnsi="Times New Roman"/>
              </w:rPr>
              <w:t> </w:t>
            </w:r>
            <w:r w:rsidRPr="007C1A06">
              <w:rPr>
                <w:rFonts w:ascii="Times New Roman" w:hAnsi="Times New Roman"/>
              </w:rPr>
              <w:t>%);</w:t>
            </w:r>
          </w:p>
          <w:p w14:paraId="5BE99592"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Pykinimas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6</w:t>
            </w:r>
            <w:r w:rsidR="00E42D5A" w:rsidRPr="007C1A06">
              <w:rPr>
                <w:rFonts w:ascii="Times New Roman" w:hAnsi="Times New Roman"/>
              </w:rPr>
              <w:t> </w:t>
            </w:r>
            <w:r w:rsidRPr="007C1A06">
              <w:rPr>
                <w:rFonts w:ascii="Times New Roman" w:hAnsi="Times New Roman"/>
              </w:rPr>
              <w:t>%);</w:t>
            </w:r>
          </w:p>
          <w:p w14:paraId="2B1BE94B"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Vėmimas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4</w:t>
            </w:r>
            <w:r w:rsidR="00E42D5A" w:rsidRPr="007C1A06">
              <w:rPr>
                <w:rFonts w:ascii="Times New Roman" w:hAnsi="Times New Roman"/>
              </w:rPr>
              <w:t> </w:t>
            </w:r>
            <w:r w:rsidRPr="007C1A06">
              <w:rPr>
                <w:rFonts w:ascii="Times New Roman" w:hAnsi="Times New Roman"/>
              </w:rPr>
              <w:t>%);</w:t>
            </w:r>
          </w:p>
          <w:p w14:paraId="68D1A142"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Vidurių užkietėjimas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1</w:t>
            </w:r>
            <w:r w:rsidR="00E42D5A" w:rsidRPr="007C1A06">
              <w:rPr>
                <w:rFonts w:ascii="Times New Roman" w:hAnsi="Times New Roman"/>
              </w:rPr>
              <w:t> </w:t>
            </w:r>
            <w:r w:rsidRPr="007C1A06">
              <w:rPr>
                <w:rFonts w:ascii="Times New Roman" w:hAnsi="Times New Roman"/>
              </w:rPr>
              <w:t>%);</w:t>
            </w:r>
          </w:p>
          <w:p w14:paraId="4D2457F6"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Pilvo skausmas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2</w:t>
            </w:r>
            <w:r w:rsidR="00E42D5A" w:rsidRPr="007C1A06">
              <w:rPr>
                <w:rFonts w:ascii="Times New Roman" w:hAnsi="Times New Roman"/>
              </w:rPr>
              <w:t> </w:t>
            </w:r>
            <w:r w:rsidRPr="007C1A06">
              <w:rPr>
                <w:rFonts w:ascii="Times New Roman" w:hAnsi="Times New Roman"/>
              </w:rPr>
              <w:t>%);</w:t>
            </w:r>
          </w:p>
          <w:p w14:paraId="064F634B"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Dispepsija</w:t>
            </w:r>
          </w:p>
        </w:tc>
        <w:tc>
          <w:tcPr>
            <w:tcW w:w="3114" w:type="dxa"/>
          </w:tcPr>
          <w:p w14:paraId="2EA0EF71"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Viršutinio pilvo aukšto skausmas;</w:t>
            </w:r>
          </w:p>
          <w:p w14:paraId="6F0E888E"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Burnos džiūvimas</w:t>
            </w:r>
          </w:p>
        </w:tc>
      </w:tr>
      <w:tr w:rsidR="00D875C0" w:rsidRPr="007C1A06" w14:paraId="47647414" w14:textId="77777777" w:rsidTr="004E3CD5">
        <w:tc>
          <w:tcPr>
            <w:tcW w:w="3058" w:type="dxa"/>
          </w:tcPr>
          <w:p w14:paraId="71898F18"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Odos ir poodinio audinio sutrikimai</w:t>
            </w:r>
          </w:p>
        </w:tc>
        <w:tc>
          <w:tcPr>
            <w:tcW w:w="3114" w:type="dxa"/>
          </w:tcPr>
          <w:p w14:paraId="454392BD"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Rankų ir pėdų sindromas (3</w:t>
            </w:r>
            <w:r w:rsidR="00E42D5A" w:rsidRPr="00427D92">
              <w:rPr>
                <w:rFonts w:ascii="Times New Roman" w:hAnsi="Times New Roman"/>
              </w:rPr>
              <w:noBreakHyphen/>
            </w:r>
            <w:r w:rsidRPr="00C722B4">
              <w:rPr>
                <w:rFonts w:ascii="Times New Roman" w:hAnsi="Times New Roman"/>
              </w:rPr>
              <w:t>4</w:t>
            </w:r>
            <w:r w:rsidR="00E42D5A" w:rsidRPr="007C1A06">
              <w:rPr>
                <w:rFonts w:ascii="Times New Roman" w:hAnsi="Times New Roman"/>
              </w:rPr>
              <w:t> </w:t>
            </w:r>
            <w:r w:rsidRPr="007C1A06">
              <w:rPr>
                <w:rFonts w:ascii="Times New Roman" w:hAnsi="Times New Roman"/>
              </w:rPr>
              <w:t>laipsnio – 24</w:t>
            </w:r>
            <w:r w:rsidR="00E42D5A" w:rsidRPr="007C1A06">
              <w:rPr>
                <w:rFonts w:ascii="Times New Roman" w:hAnsi="Times New Roman"/>
              </w:rPr>
              <w:t> </w:t>
            </w:r>
            <w:r w:rsidRPr="007C1A06">
              <w:rPr>
                <w:rFonts w:ascii="Times New Roman" w:hAnsi="Times New Roman"/>
              </w:rPr>
              <w:t>%);</w:t>
            </w:r>
          </w:p>
          <w:p w14:paraId="4C6142C9"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Alopecija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6</w:t>
            </w:r>
            <w:r w:rsidR="00E42D5A" w:rsidRPr="007C1A06">
              <w:rPr>
                <w:rFonts w:ascii="Times New Roman" w:hAnsi="Times New Roman"/>
              </w:rPr>
              <w:t> </w:t>
            </w:r>
            <w:r w:rsidRPr="007C1A06">
              <w:rPr>
                <w:rFonts w:ascii="Times New Roman" w:hAnsi="Times New Roman"/>
              </w:rPr>
              <w:t>%);</w:t>
            </w:r>
          </w:p>
          <w:p w14:paraId="4A4C08F6" w14:textId="77777777" w:rsidR="00D875C0"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Nagų pažeidimai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2</w:t>
            </w:r>
            <w:r w:rsidR="00E42D5A" w:rsidRPr="007C1A06">
              <w:rPr>
                <w:rFonts w:ascii="Times New Roman" w:hAnsi="Times New Roman"/>
              </w:rPr>
              <w:t> </w:t>
            </w:r>
            <w:r w:rsidRPr="007C1A06">
              <w:rPr>
                <w:rFonts w:ascii="Times New Roman" w:hAnsi="Times New Roman"/>
              </w:rPr>
              <w:t>%)</w:t>
            </w:r>
          </w:p>
        </w:tc>
        <w:tc>
          <w:tcPr>
            <w:tcW w:w="3114" w:type="dxa"/>
          </w:tcPr>
          <w:p w14:paraId="6200AD71"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Dermatitas;</w:t>
            </w:r>
          </w:p>
          <w:p w14:paraId="4F0AAD5A"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Eriteminis išbėrimas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&lt;</w:t>
            </w:r>
            <w:r w:rsidR="0057676D" w:rsidRPr="007C1A06">
              <w:rPr>
                <w:rFonts w:ascii="Times New Roman" w:hAnsi="Times New Roman"/>
              </w:rPr>
              <w:t> </w:t>
            </w:r>
            <w:r w:rsidRPr="007C1A06">
              <w:rPr>
                <w:rFonts w:ascii="Times New Roman" w:hAnsi="Times New Roman"/>
              </w:rPr>
              <w:t>1</w:t>
            </w:r>
            <w:r w:rsidR="0057676D" w:rsidRPr="007C1A06">
              <w:rPr>
                <w:rFonts w:ascii="Times New Roman" w:hAnsi="Times New Roman"/>
              </w:rPr>
              <w:t> </w:t>
            </w:r>
            <w:r w:rsidRPr="007C1A06">
              <w:rPr>
                <w:rFonts w:ascii="Times New Roman" w:hAnsi="Times New Roman"/>
              </w:rPr>
              <w:t>%);</w:t>
            </w:r>
          </w:p>
          <w:p w14:paraId="67A945B6"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Nagų spalvos pokytis;</w:t>
            </w:r>
          </w:p>
          <w:p w14:paraId="63E44629" w14:textId="77777777" w:rsidR="00D875C0" w:rsidRPr="004E3CD5" w:rsidRDefault="00D875C0" w:rsidP="0057676D">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Onicholizė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1</w:t>
            </w:r>
            <w:r w:rsidR="0057676D" w:rsidRPr="007C1A06">
              <w:rPr>
                <w:rFonts w:ascii="Times New Roman" w:hAnsi="Times New Roman"/>
              </w:rPr>
              <w:t> </w:t>
            </w:r>
            <w:r w:rsidRPr="007C1A06">
              <w:rPr>
                <w:rFonts w:ascii="Times New Roman" w:hAnsi="Times New Roman"/>
              </w:rPr>
              <w:t>%)</w:t>
            </w:r>
          </w:p>
        </w:tc>
      </w:tr>
      <w:tr w:rsidR="00D875C0" w:rsidRPr="007C1A06" w14:paraId="2BE44605" w14:textId="77777777" w:rsidTr="004E3CD5">
        <w:tc>
          <w:tcPr>
            <w:tcW w:w="3058" w:type="dxa"/>
          </w:tcPr>
          <w:p w14:paraId="73C5ED4B"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Skeleto, raumenų ir jungiamojo audinio sutrikimai</w:t>
            </w:r>
          </w:p>
        </w:tc>
        <w:tc>
          <w:tcPr>
            <w:tcW w:w="3114" w:type="dxa"/>
          </w:tcPr>
          <w:p w14:paraId="0B2D41C6"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Mialgija (3</w:t>
            </w:r>
            <w:r w:rsidR="00E42D5A" w:rsidRPr="001F2C46">
              <w:rPr>
                <w:rFonts w:ascii="Times New Roman" w:hAnsi="Times New Roman"/>
              </w:rPr>
              <w:noBreakHyphen/>
            </w:r>
            <w:r w:rsidRPr="001F2C46">
              <w:rPr>
                <w:rFonts w:ascii="Times New Roman" w:hAnsi="Times New Roman"/>
              </w:rPr>
              <w:t>4</w:t>
            </w:r>
            <w:r w:rsidR="00E42D5A" w:rsidRPr="001F2C46">
              <w:rPr>
                <w:rFonts w:ascii="Times New Roman" w:hAnsi="Times New Roman"/>
              </w:rPr>
              <w:t> </w:t>
            </w:r>
            <w:r w:rsidRPr="001F2C46">
              <w:rPr>
                <w:rFonts w:ascii="Times New Roman" w:hAnsi="Times New Roman"/>
              </w:rPr>
              <w:t>laipsnio – 2</w:t>
            </w:r>
            <w:r w:rsidR="00E42D5A" w:rsidRPr="001F2C46">
              <w:rPr>
                <w:rFonts w:ascii="Times New Roman" w:hAnsi="Times New Roman"/>
              </w:rPr>
              <w:t> </w:t>
            </w:r>
            <w:r w:rsidRPr="001F2C46">
              <w:rPr>
                <w:rFonts w:ascii="Times New Roman" w:hAnsi="Times New Roman"/>
              </w:rPr>
              <w:t>%);</w:t>
            </w:r>
          </w:p>
          <w:p w14:paraId="6240EF37" w14:textId="77777777" w:rsidR="00D875C0" w:rsidRPr="007C1A06" w:rsidRDefault="00D875C0" w:rsidP="00E42D5A">
            <w:pPr>
              <w:autoSpaceDE w:val="0"/>
              <w:autoSpaceDN w:val="0"/>
              <w:adjustRightInd w:val="0"/>
              <w:spacing w:after="0" w:line="240" w:lineRule="auto"/>
              <w:rPr>
                <w:rFonts w:ascii="Times New Roman" w:hAnsi="Times New Roman"/>
              </w:rPr>
            </w:pPr>
            <w:r w:rsidRPr="00427D92">
              <w:rPr>
                <w:rFonts w:ascii="Times New Roman" w:hAnsi="Times New Roman"/>
              </w:rPr>
              <w:t>Artralgija (3</w:t>
            </w:r>
            <w:r w:rsidR="00E42D5A" w:rsidRPr="00C722B4">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1</w:t>
            </w:r>
            <w:r w:rsidR="00E42D5A" w:rsidRPr="007C1A06">
              <w:rPr>
                <w:rFonts w:ascii="Times New Roman" w:hAnsi="Times New Roman"/>
              </w:rPr>
              <w:t> </w:t>
            </w:r>
            <w:r w:rsidRPr="007C1A06">
              <w:rPr>
                <w:rFonts w:ascii="Times New Roman" w:hAnsi="Times New Roman"/>
              </w:rPr>
              <w:t>%)</w:t>
            </w:r>
          </w:p>
        </w:tc>
        <w:tc>
          <w:tcPr>
            <w:tcW w:w="3114" w:type="dxa"/>
          </w:tcPr>
          <w:p w14:paraId="70260A36"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Galūnių skausmas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&lt;</w:t>
            </w:r>
            <w:r w:rsidR="0057676D" w:rsidRPr="007C1A06">
              <w:rPr>
                <w:rFonts w:ascii="Times New Roman" w:hAnsi="Times New Roman"/>
              </w:rPr>
              <w:t> </w:t>
            </w:r>
            <w:r w:rsidRPr="007C1A06">
              <w:rPr>
                <w:rFonts w:ascii="Times New Roman" w:hAnsi="Times New Roman"/>
              </w:rPr>
              <w:t>1</w:t>
            </w:r>
            <w:r w:rsidR="0057676D" w:rsidRPr="007C1A06">
              <w:rPr>
                <w:rFonts w:ascii="Times New Roman" w:hAnsi="Times New Roman"/>
              </w:rPr>
              <w:t> </w:t>
            </w:r>
            <w:r w:rsidRPr="007C1A06">
              <w:rPr>
                <w:rFonts w:ascii="Times New Roman" w:hAnsi="Times New Roman"/>
              </w:rPr>
              <w:t>%);</w:t>
            </w:r>
          </w:p>
          <w:p w14:paraId="7E62B5C5" w14:textId="77777777" w:rsidR="00D875C0" w:rsidRPr="004E3CD5" w:rsidRDefault="00D875C0" w:rsidP="0057676D">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Nugaros skausmas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1</w:t>
            </w:r>
            <w:r w:rsidR="0057676D" w:rsidRPr="007C1A06">
              <w:rPr>
                <w:rFonts w:ascii="Times New Roman" w:hAnsi="Times New Roman"/>
              </w:rPr>
              <w:t> </w:t>
            </w:r>
            <w:r w:rsidRPr="007C1A06">
              <w:rPr>
                <w:rFonts w:ascii="Times New Roman" w:hAnsi="Times New Roman"/>
              </w:rPr>
              <w:t>%)</w:t>
            </w:r>
          </w:p>
        </w:tc>
      </w:tr>
      <w:tr w:rsidR="00D875C0" w:rsidRPr="007C1A06" w14:paraId="713D3143" w14:textId="77777777" w:rsidTr="004E3CD5">
        <w:tc>
          <w:tcPr>
            <w:tcW w:w="3058" w:type="dxa"/>
          </w:tcPr>
          <w:p w14:paraId="6F5F069B"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Bendrieji sutrikimai</w:t>
            </w:r>
            <w:r w:rsidRPr="00F95B76">
              <w:rPr>
                <w:rFonts w:ascii="Times New Roman" w:hAnsi="Times New Roman"/>
              </w:rPr>
              <w:t xml:space="preserve"> ir vartojimo vietos pažeidimai</w:t>
            </w:r>
          </w:p>
        </w:tc>
        <w:tc>
          <w:tcPr>
            <w:tcW w:w="3114" w:type="dxa"/>
          </w:tcPr>
          <w:p w14:paraId="2B8D4B84"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Astenija (3</w:t>
            </w:r>
            <w:r w:rsidR="00E42D5A" w:rsidRPr="001F2C46">
              <w:rPr>
                <w:rFonts w:ascii="Times New Roman" w:hAnsi="Times New Roman"/>
              </w:rPr>
              <w:noBreakHyphen/>
            </w:r>
            <w:r w:rsidRPr="001F2C46">
              <w:rPr>
                <w:rFonts w:ascii="Times New Roman" w:hAnsi="Times New Roman"/>
              </w:rPr>
              <w:t>4</w:t>
            </w:r>
            <w:r w:rsidR="00E42D5A" w:rsidRPr="001F2C46">
              <w:rPr>
                <w:rFonts w:ascii="Times New Roman" w:hAnsi="Times New Roman"/>
              </w:rPr>
              <w:t> </w:t>
            </w:r>
            <w:r w:rsidRPr="001F2C46">
              <w:rPr>
                <w:rFonts w:ascii="Times New Roman" w:hAnsi="Times New Roman"/>
              </w:rPr>
              <w:t>laipsnio – 3</w:t>
            </w:r>
            <w:r w:rsidR="00E42D5A" w:rsidRPr="001F2C46">
              <w:rPr>
                <w:rFonts w:ascii="Times New Roman" w:hAnsi="Times New Roman"/>
              </w:rPr>
              <w:t> </w:t>
            </w:r>
            <w:r w:rsidRPr="001F2C46">
              <w:rPr>
                <w:rFonts w:ascii="Times New Roman" w:hAnsi="Times New Roman"/>
              </w:rPr>
              <w:t>%);</w:t>
            </w:r>
          </w:p>
          <w:p w14:paraId="6696CD4F" w14:textId="77777777" w:rsidR="00D875C0" w:rsidRPr="007C1A06"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Pireksija (3</w:t>
            </w:r>
            <w:r w:rsidR="00E42D5A" w:rsidRPr="00C722B4">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1</w:t>
            </w:r>
            <w:r w:rsidR="00E42D5A" w:rsidRPr="007C1A06">
              <w:rPr>
                <w:rFonts w:ascii="Times New Roman" w:hAnsi="Times New Roman"/>
              </w:rPr>
              <w:t> </w:t>
            </w:r>
            <w:r w:rsidRPr="007C1A06">
              <w:rPr>
                <w:rFonts w:ascii="Times New Roman" w:hAnsi="Times New Roman"/>
              </w:rPr>
              <w:t>%);</w:t>
            </w:r>
          </w:p>
          <w:p w14:paraId="424F3F0B"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Nuovargis arba silpnumas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5</w:t>
            </w:r>
            <w:r w:rsidR="00E42D5A" w:rsidRPr="007C1A06">
              <w:rPr>
                <w:rFonts w:ascii="Times New Roman" w:hAnsi="Times New Roman"/>
              </w:rPr>
              <w:t> </w:t>
            </w:r>
            <w:r w:rsidRPr="007C1A06">
              <w:rPr>
                <w:rFonts w:ascii="Times New Roman" w:hAnsi="Times New Roman"/>
              </w:rPr>
              <w:t>%);</w:t>
            </w:r>
          </w:p>
          <w:p w14:paraId="75325FAF" w14:textId="77777777" w:rsidR="00D875C0" w:rsidRPr="004E3CD5" w:rsidRDefault="00D875C0" w:rsidP="00E42D5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Periferinė edema (3</w:t>
            </w:r>
            <w:r w:rsidR="00E42D5A" w:rsidRPr="007C1A06">
              <w:rPr>
                <w:rFonts w:ascii="Times New Roman" w:hAnsi="Times New Roman"/>
              </w:rPr>
              <w:noBreakHyphen/>
            </w:r>
            <w:r w:rsidRPr="007C1A06">
              <w:rPr>
                <w:rFonts w:ascii="Times New Roman" w:hAnsi="Times New Roman"/>
              </w:rPr>
              <w:t>4</w:t>
            </w:r>
            <w:r w:rsidR="00E42D5A" w:rsidRPr="007C1A06">
              <w:rPr>
                <w:rFonts w:ascii="Times New Roman" w:hAnsi="Times New Roman"/>
              </w:rPr>
              <w:t> </w:t>
            </w:r>
            <w:r w:rsidRPr="007C1A06">
              <w:rPr>
                <w:rFonts w:ascii="Times New Roman" w:hAnsi="Times New Roman"/>
              </w:rPr>
              <w:t>laipsnio – 1</w:t>
            </w:r>
            <w:r w:rsidR="00E42D5A" w:rsidRPr="007C1A06">
              <w:rPr>
                <w:rFonts w:ascii="Times New Roman" w:hAnsi="Times New Roman"/>
              </w:rPr>
              <w:t> </w:t>
            </w:r>
            <w:r w:rsidRPr="007C1A06">
              <w:rPr>
                <w:rFonts w:ascii="Times New Roman" w:hAnsi="Times New Roman"/>
              </w:rPr>
              <w:t>%)</w:t>
            </w:r>
          </w:p>
        </w:tc>
        <w:tc>
          <w:tcPr>
            <w:tcW w:w="3114" w:type="dxa"/>
          </w:tcPr>
          <w:p w14:paraId="288DC2D9"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Letargija;</w:t>
            </w:r>
          </w:p>
          <w:p w14:paraId="6178C57D"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Skausmas</w:t>
            </w:r>
          </w:p>
        </w:tc>
      </w:tr>
      <w:tr w:rsidR="00D875C0" w:rsidRPr="007C1A06" w14:paraId="52465E15" w14:textId="77777777" w:rsidTr="004E3CD5">
        <w:tc>
          <w:tcPr>
            <w:tcW w:w="3058" w:type="dxa"/>
          </w:tcPr>
          <w:p w14:paraId="5397C3E9"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Tyrimai</w:t>
            </w:r>
          </w:p>
        </w:tc>
        <w:tc>
          <w:tcPr>
            <w:tcW w:w="3114" w:type="dxa"/>
          </w:tcPr>
          <w:p w14:paraId="0043A321" w14:textId="77777777" w:rsidR="00D875C0" w:rsidRPr="001F2C46" w:rsidRDefault="00D875C0" w:rsidP="003876F8">
            <w:pPr>
              <w:spacing w:after="0" w:line="240" w:lineRule="auto"/>
              <w:rPr>
                <w:rFonts w:ascii="Times New Roman" w:hAnsi="Times New Roman"/>
              </w:rPr>
            </w:pPr>
          </w:p>
        </w:tc>
        <w:tc>
          <w:tcPr>
            <w:tcW w:w="3114" w:type="dxa"/>
          </w:tcPr>
          <w:p w14:paraId="3DD5E887" w14:textId="77777777" w:rsidR="00D875C0" w:rsidRPr="007C1A06" w:rsidRDefault="00D875C0" w:rsidP="0057676D">
            <w:pPr>
              <w:autoSpaceDE w:val="0"/>
              <w:autoSpaceDN w:val="0"/>
              <w:adjustRightInd w:val="0"/>
              <w:spacing w:after="0" w:line="240" w:lineRule="auto"/>
              <w:rPr>
                <w:rFonts w:ascii="Times New Roman" w:hAnsi="Times New Roman"/>
              </w:rPr>
            </w:pPr>
            <w:r w:rsidRPr="00427D92">
              <w:rPr>
                <w:rFonts w:ascii="Times New Roman" w:hAnsi="Times New Roman"/>
              </w:rPr>
              <w:t>Svorio sumažėjimas; 3</w:t>
            </w:r>
            <w:r w:rsidR="0057676D" w:rsidRPr="00C722B4">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bilirubino koncentracijos kraujyje padidėjimas (9</w:t>
            </w:r>
            <w:r w:rsidR="0057676D" w:rsidRPr="007C1A06">
              <w:rPr>
                <w:rFonts w:ascii="Times New Roman" w:hAnsi="Times New Roman"/>
              </w:rPr>
              <w:t> </w:t>
            </w:r>
            <w:r w:rsidRPr="007C1A06">
              <w:rPr>
                <w:rFonts w:ascii="Times New Roman" w:hAnsi="Times New Roman"/>
              </w:rPr>
              <w:t>%)</w:t>
            </w:r>
          </w:p>
        </w:tc>
      </w:tr>
    </w:tbl>
    <w:p w14:paraId="70942816" w14:textId="77777777" w:rsidR="00D875C0" w:rsidRPr="00F95B76" w:rsidRDefault="00D875C0" w:rsidP="00D875C0">
      <w:pPr>
        <w:spacing w:after="0" w:line="240" w:lineRule="auto"/>
        <w:rPr>
          <w:rFonts w:ascii="Times New Roman" w:hAnsi="Times New Roman"/>
        </w:rPr>
      </w:pPr>
    </w:p>
    <w:p w14:paraId="7ED2D9BC" w14:textId="77777777" w:rsidR="00D875C0" w:rsidRPr="00F54C45" w:rsidRDefault="00D875C0" w:rsidP="00D875C0">
      <w:pPr>
        <w:autoSpaceDE w:val="0"/>
        <w:autoSpaceDN w:val="0"/>
        <w:adjustRightInd w:val="0"/>
        <w:spacing w:after="0" w:line="240" w:lineRule="auto"/>
        <w:rPr>
          <w:rFonts w:ascii="Times New Roman" w:hAnsi="Times New Roman"/>
          <w:u w:val="single"/>
        </w:rPr>
      </w:pPr>
      <w:r w:rsidRPr="004E3CD5">
        <w:rPr>
          <w:rFonts w:ascii="Times New Roman" w:hAnsi="Times New Roman"/>
          <w:u w:val="single"/>
        </w:rPr>
        <w:t>Nepageidaujam</w:t>
      </w:r>
      <w:r w:rsidRPr="004E3CD5">
        <w:rPr>
          <w:rFonts w:ascii="Times New Roman" w:hAnsi="Times New Roman" w:hint="eastAsia"/>
          <w:u w:val="single"/>
        </w:rPr>
        <w:t>ų</w:t>
      </w:r>
      <w:r w:rsidRPr="004E3CD5">
        <w:rPr>
          <w:rFonts w:ascii="Times New Roman" w:hAnsi="Times New Roman"/>
          <w:u w:val="single"/>
        </w:rPr>
        <w:t xml:space="preserve"> reakcij</w:t>
      </w:r>
      <w:r w:rsidRPr="004E3CD5">
        <w:rPr>
          <w:rFonts w:ascii="Times New Roman" w:hAnsi="Times New Roman" w:hint="eastAsia"/>
          <w:u w:val="single"/>
        </w:rPr>
        <w:t>ų</w:t>
      </w:r>
      <w:r w:rsidRPr="004E3CD5">
        <w:rPr>
          <w:rFonts w:ascii="Times New Roman" w:hAnsi="Times New Roman"/>
          <w:u w:val="single"/>
        </w:rPr>
        <w:t>, atsiradusi</w:t>
      </w:r>
      <w:r w:rsidRPr="004E3CD5">
        <w:rPr>
          <w:rFonts w:ascii="Times New Roman" w:hAnsi="Times New Roman" w:hint="eastAsia"/>
          <w:u w:val="single"/>
        </w:rPr>
        <w:t>ų</w:t>
      </w:r>
      <w:r w:rsidRPr="004E3CD5">
        <w:rPr>
          <w:rFonts w:ascii="Times New Roman" w:hAnsi="Times New Roman"/>
          <w:u w:val="single"/>
        </w:rPr>
        <w:t xml:space="preserve"> </w:t>
      </w:r>
      <w:r w:rsidRPr="00F957E7">
        <w:rPr>
          <w:rFonts w:ascii="Times New Roman" w:hAnsi="Times New Roman"/>
          <w:u w:val="single"/>
        </w:rPr>
        <w:t>vartojant Docetaxel Ebewe 75</w:t>
      </w:r>
      <w:r w:rsidR="0057676D" w:rsidRPr="00F95B76">
        <w:rPr>
          <w:rFonts w:ascii="Times New Roman" w:hAnsi="Times New Roman"/>
          <w:u w:val="single"/>
        </w:rPr>
        <w:t> </w:t>
      </w:r>
      <w:r w:rsidRPr="00F95B76">
        <w:rPr>
          <w:rFonts w:ascii="Times New Roman" w:hAnsi="Times New Roman"/>
          <w:u w:val="single"/>
        </w:rPr>
        <w:t xml:space="preserve">mg/m² </w:t>
      </w:r>
      <w:r w:rsidR="00396A8F">
        <w:rPr>
          <w:rFonts w:ascii="Times New Roman" w:hAnsi="Times New Roman"/>
          <w:u w:val="single"/>
        </w:rPr>
        <w:t xml:space="preserve">dozę kartu </w:t>
      </w:r>
      <w:r w:rsidRPr="00F95B76">
        <w:rPr>
          <w:rFonts w:ascii="Times New Roman" w:hAnsi="Times New Roman"/>
          <w:u w:val="single"/>
        </w:rPr>
        <w:t xml:space="preserve">su prednizonu arba </w:t>
      </w:r>
      <w:r w:rsidRPr="004E3CD5">
        <w:rPr>
          <w:rFonts w:ascii="Times New Roman" w:hAnsi="Times New Roman"/>
          <w:u w:val="single"/>
        </w:rPr>
        <w:t>prednizolonu</w:t>
      </w:r>
      <w:r w:rsidR="00396A8F">
        <w:rPr>
          <w:rFonts w:ascii="Times New Roman" w:hAnsi="Times New Roman"/>
          <w:u w:val="single"/>
        </w:rPr>
        <w:t xml:space="preserve"> </w:t>
      </w:r>
      <w:r w:rsidR="00396A8F" w:rsidRPr="00F54C45">
        <w:rPr>
          <w:rFonts w:ascii="Times New Roman" w:hAnsi="Times New Roman"/>
          <w:u w:val="single"/>
        </w:rPr>
        <w:t>metastazavusio kastracijai atsparaus prostatos v</w:t>
      </w:r>
      <w:r w:rsidR="00571E51">
        <w:rPr>
          <w:rFonts w:ascii="Times New Roman" w:hAnsi="Times New Roman"/>
          <w:u w:val="single"/>
        </w:rPr>
        <w:t>ėžio gydymui</w:t>
      </w:r>
      <w:r w:rsidRPr="004E3CD5">
        <w:rPr>
          <w:rFonts w:ascii="Times New Roman" w:hAnsi="Times New Roman"/>
          <w:u w:val="single"/>
        </w:rPr>
        <w:t>, s</w:t>
      </w:r>
      <w:r w:rsidRPr="004E3CD5">
        <w:rPr>
          <w:rFonts w:ascii="Times New Roman" w:hAnsi="Times New Roman" w:hint="eastAsia"/>
          <w:u w:val="single"/>
        </w:rPr>
        <w:t>ą</w:t>
      </w:r>
      <w:r w:rsidRPr="004E3CD5">
        <w:rPr>
          <w:rFonts w:ascii="Times New Roman" w:hAnsi="Times New Roman"/>
          <w:u w:val="single"/>
        </w:rPr>
        <w:t>rašas lentel</w:t>
      </w:r>
      <w:r w:rsidRPr="004E3CD5">
        <w:rPr>
          <w:rFonts w:ascii="Times New Roman" w:hAnsi="Times New Roman" w:hint="eastAsia"/>
          <w:u w:val="single"/>
        </w:rPr>
        <w:t>ė</w:t>
      </w:r>
      <w:r w:rsidRPr="004E3CD5">
        <w:rPr>
          <w:rFonts w:ascii="Times New Roman" w:hAnsi="Times New Roman"/>
          <w:u w:val="single"/>
        </w:rPr>
        <w:t>s forma</w:t>
      </w:r>
    </w:p>
    <w:p w14:paraId="79F80A56" w14:textId="77777777" w:rsidR="00D875C0" w:rsidRPr="00F54C45" w:rsidRDefault="00D875C0" w:rsidP="00D875C0">
      <w:pPr>
        <w:autoSpaceDE w:val="0"/>
        <w:autoSpaceDN w:val="0"/>
        <w:adjustRightInd w:val="0"/>
        <w:spacing w:after="0" w:line="240" w:lineRule="auto"/>
        <w:rPr>
          <w:rFonts w:ascii="Times New Roman" w:hAnsi="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3046"/>
        <w:gridCol w:w="3046"/>
      </w:tblGrid>
      <w:tr w:rsidR="00F95B76" w:rsidRPr="007C1A06" w14:paraId="6C1E07D5" w14:textId="77777777" w:rsidTr="00915C14">
        <w:tc>
          <w:tcPr>
            <w:tcW w:w="3058" w:type="dxa"/>
            <w:shd w:val="clear" w:color="auto" w:fill="D9D9D9" w:themeFill="background1" w:themeFillShade="D9"/>
          </w:tcPr>
          <w:p w14:paraId="3BB18DFD" w14:textId="77777777" w:rsidR="00D875C0" w:rsidRPr="00F95B76" w:rsidRDefault="00D875C0" w:rsidP="003876F8">
            <w:pPr>
              <w:spacing w:after="0" w:line="240" w:lineRule="auto"/>
              <w:rPr>
                <w:rFonts w:ascii="Times New Roman" w:hAnsi="Times New Roman"/>
              </w:rPr>
            </w:pPr>
            <w:r w:rsidRPr="00F95B76">
              <w:rPr>
                <w:rFonts w:ascii="Times New Roman" w:hAnsi="Times New Roman"/>
                <w:b/>
              </w:rPr>
              <w:t>MedDRA organų sistemų klasės</w:t>
            </w:r>
          </w:p>
        </w:tc>
        <w:tc>
          <w:tcPr>
            <w:tcW w:w="3114" w:type="dxa"/>
            <w:shd w:val="clear" w:color="auto" w:fill="D9D9D9" w:themeFill="background1" w:themeFillShade="D9"/>
          </w:tcPr>
          <w:p w14:paraId="25A0E96B" w14:textId="77777777" w:rsidR="00D875C0" w:rsidRPr="00C722B4" w:rsidRDefault="00D875C0" w:rsidP="003876F8">
            <w:pPr>
              <w:spacing w:after="0" w:line="240" w:lineRule="auto"/>
              <w:rPr>
                <w:rFonts w:ascii="Times New Roman" w:hAnsi="Times New Roman"/>
              </w:rPr>
            </w:pPr>
            <w:r w:rsidRPr="001F2C46">
              <w:rPr>
                <w:rFonts w:ascii="Times New Roman" w:hAnsi="Times New Roman"/>
                <w:b/>
              </w:rPr>
              <w:t>Labai dažnos ne</w:t>
            </w:r>
            <w:r w:rsidRPr="00427D92">
              <w:rPr>
                <w:rFonts w:ascii="Times New Roman" w:hAnsi="Times New Roman"/>
                <w:b/>
              </w:rPr>
              <w:t>pageidaujamos reakcijos</w:t>
            </w:r>
          </w:p>
        </w:tc>
        <w:tc>
          <w:tcPr>
            <w:tcW w:w="3114" w:type="dxa"/>
            <w:shd w:val="clear" w:color="auto" w:fill="D9D9D9" w:themeFill="background1" w:themeFillShade="D9"/>
          </w:tcPr>
          <w:p w14:paraId="292784CA"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 xml:space="preserve">Dažnos nepageidaujamos reakcijos </w:t>
            </w:r>
          </w:p>
        </w:tc>
      </w:tr>
      <w:tr w:rsidR="00D875C0" w:rsidRPr="007C1A06" w14:paraId="474AE2ED" w14:textId="77777777" w:rsidTr="004E3CD5">
        <w:tc>
          <w:tcPr>
            <w:tcW w:w="3058" w:type="dxa"/>
          </w:tcPr>
          <w:p w14:paraId="571F5709" w14:textId="77777777" w:rsidR="00D875C0" w:rsidRPr="00F95B76" w:rsidRDefault="00D875C0" w:rsidP="003876F8">
            <w:pPr>
              <w:autoSpaceDE w:val="0"/>
              <w:autoSpaceDN w:val="0"/>
              <w:adjustRightInd w:val="0"/>
              <w:spacing w:after="0" w:line="240" w:lineRule="auto"/>
              <w:rPr>
                <w:rFonts w:ascii="Times New Roman" w:hAnsi="Times New Roman"/>
                <w:b/>
              </w:rPr>
            </w:pPr>
            <w:r w:rsidRPr="00F957E7">
              <w:rPr>
                <w:rFonts w:ascii="Times New Roman" w:hAnsi="Times New Roman"/>
              </w:rPr>
              <w:t>Infekcijos ir infestacijos</w:t>
            </w:r>
          </w:p>
        </w:tc>
        <w:tc>
          <w:tcPr>
            <w:tcW w:w="3114" w:type="dxa"/>
          </w:tcPr>
          <w:p w14:paraId="685ADA65" w14:textId="77777777" w:rsidR="00D875C0" w:rsidRPr="00427D92" w:rsidRDefault="00D875C0" w:rsidP="0057676D">
            <w:pPr>
              <w:autoSpaceDE w:val="0"/>
              <w:autoSpaceDN w:val="0"/>
              <w:adjustRightInd w:val="0"/>
              <w:spacing w:after="0" w:line="240" w:lineRule="auto"/>
              <w:rPr>
                <w:rFonts w:ascii="Times New Roman" w:hAnsi="Times New Roman"/>
                <w:b/>
              </w:rPr>
            </w:pPr>
            <w:r w:rsidRPr="001F2C46">
              <w:rPr>
                <w:rFonts w:ascii="Times New Roman" w:hAnsi="Times New Roman"/>
              </w:rPr>
              <w:t>Infekcija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1F2C46">
              <w:rPr>
                <w:rFonts w:ascii="Times New Roman" w:hAnsi="Times New Roman"/>
              </w:rPr>
              <w:t>laipsnio – 3,3</w:t>
            </w:r>
            <w:r w:rsidR="0057676D" w:rsidRPr="001F2C46">
              <w:rPr>
                <w:rFonts w:ascii="Times New Roman" w:hAnsi="Times New Roman"/>
              </w:rPr>
              <w:t> </w:t>
            </w:r>
            <w:r w:rsidRPr="001F2C46">
              <w:rPr>
                <w:rFonts w:ascii="Times New Roman" w:hAnsi="Times New Roman"/>
              </w:rPr>
              <w:t>%)</w:t>
            </w:r>
          </w:p>
        </w:tc>
        <w:tc>
          <w:tcPr>
            <w:tcW w:w="3114" w:type="dxa"/>
          </w:tcPr>
          <w:p w14:paraId="007944A3" w14:textId="77777777" w:rsidR="00D875C0" w:rsidRPr="00C722B4" w:rsidRDefault="00D875C0" w:rsidP="003876F8">
            <w:pPr>
              <w:autoSpaceDE w:val="0"/>
              <w:autoSpaceDN w:val="0"/>
              <w:adjustRightInd w:val="0"/>
              <w:spacing w:after="0" w:line="240" w:lineRule="auto"/>
              <w:rPr>
                <w:rFonts w:ascii="Times New Roman" w:hAnsi="Times New Roman"/>
                <w:b/>
              </w:rPr>
            </w:pPr>
          </w:p>
        </w:tc>
      </w:tr>
      <w:tr w:rsidR="00D875C0" w:rsidRPr="007C1A06" w14:paraId="4A6DF255" w14:textId="77777777" w:rsidTr="004E3CD5">
        <w:tc>
          <w:tcPr>
            <w:tcW w:w="3058" w:type="dxa"/>
          </w:tcPr>
          <w:p w14:paraId="1EF08367" w14:textId="77777777" w:rsidR="00D875C0" w:rsidRPr="00F95B76" w:rsidRDefault="00D875C0" w:rsidP="003876F8">
            <w:pPr>
              <w:autoSpaceDE w:val="0"/>
              <w:autoSpaceDN w:val="0"/>
              <w:adjustRightInd w:val="0"/>
              <w:spacing w:after="0" w:line="240" w:lineRule="auto"/>
              <w:rPr>
                <w:rFonts w:ascii="Times New Roman" w:hAnsi="Times New Roman"/>
                <w:b/>
              </w:rPr>
            </w:pPr>
            <w:r w:rsidRPr="00F957E7">
              <w:rPr>
                <w:rFonts w:ascii="Times New Roman" w:hAnsi="Times New Roman"/>
              </w:rPr>
              <w:t>Kraujo ir limfinės sistemos sutrikimai</w:t>
            </w:r>
          </w:p>
        </w:tc>
        <w:tc>
          <w:tcPr>
            <w:tcW w:w="3114" w:type="dxa"/>
          </w:tcPr>
          <w:p w14:paraId="0BEDDB8A" w14:textId="77777777" w:rsidR="00D875C0" w:rsidRPr="00C722B4"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Neutropenija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1F2C46">
              <w:rPr>
                <w:rFonts w:ascii="Times New Roman" w:hAnsi="Times New Roman"/>
              </w:rPr>
              <w:t>laipsnio – 32</w:t>
            </w:r>
            <w:r w:rsidR="0057676D" w:rsidRPr="00427D92">
              <w:rPr>
                <w:rFonts w:ascii="Times New Roman" w:hAnsi="Times New Roman"/>
              </w:rPr>
              <w:t> </w:t>
            </w:r>
            <w:r w:rsidRPr="00C722B4">
              <w:rPr>
                <w:rFonts w:ascii="Times New Roman" w:hAnsi="Times New Roman"/>
              </w:rPr>
              <w:t>%);</w:t>
            </w:r>
          </w:p>
          <w:p w14:paraId="3F0BFDCC" w14:textId="77777777" w:rsidR="00D875C0" w:rsidRPr="004E3CD5" w:rsidRDefault="00D875C0" w:rsidP="0057676D">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Anemija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4,9</w:t>
            </w:r>
            <w:r w:rsidR="0057676D" w:rsidRPr="007C1A06">
              <w:rPr>
                <w:rFonts w:ascii="Times New Roman" w:hAnsi="Times New Roman"/>
              </w:rPr>
              <w:t> </w:t>
            </w:r>
            <w:r w:rsidRPr="007C1A06">
              <w:rPr>
                <w:rFonts w:ascii="Times New Roman" w:hAnsi="Times New Roman"/>
              </w:rPr>
              <w:t>%)</w:t>
            </w:r>
          </w:p>
        </w:tc>
        <w:tc>
          <w:tcPr>
            <w:tcW w:w="3114" w:type="dxa"/>
          </w:tcPr>
          <w:p w14:paraId="4A144B95"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Trombocitopenija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0,6</w:t>
            </w:r>
            <w:r w:rsidR="0057676D" w:rsidRPr="007C1A06">
              <w:rPr>
                <w:rFonts w:ascii="Times New Roman" w:hAnsi="Times New Roman"/>
              </w:rPr>
              <w:t> </w:t>
            </w:r>
            <w:r w:rsidRPr="007C1A06">
              <w:rPr>
                <w:rFonts w:ascii="Times New Roman" w:hAnsi="Times New Roman"/>
              </w:rPr>
              <w:t>%);</w:t>
            </w:r>
          </w:p>
          <w:p w14:paraId="07A4701E"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Febrilinė neutropenija</w:t>
            </w:r>
          </w:p>
        </w:tc>
      </w:tr>
      <w:tr w:rsidR="00D875C0" w:rsidRPr="007C1A06" w14:paraId="19F7B07D" w14:textId="77777777" w:rsidTr="004E3CD5">
        <w:tc>
          <w:tcPr>
            <w:tcW w:w="3058" w:type="dxa"/>
          </w:tcPr>
          <w:p w14:paraId="76F692FF" w14:textId="77777777" w:rsidR="00D875C0" w:rsidRPr="00F95B76" w:rsidRDefault="00D875C0" w:rsidP="003876F8">
            <w:pPr>
              <w:autoSpaceDE w:val="0"/>
              <w:autoSpaceDN w:val="0"/>
              <w:adjustRightInd w:val="0"/>
              <w:spacing w:after="0" w:line="240" w:lineRule="auto"/>
              <w:rPr>
                <w:rFonts w:ascii="Times New Roman" w:hAnsi="Times New Roman"/>
                <w:b/>
              </w:rPr>
            </w:pPr>
            <w:r w:rsidRPr="00F957E7">
              <w:rPr>
                <w:rFonts w:ascii="Times New Roman" w:hAnsi="Times New Roman"/>
              </w:rPr>
              <w:t>Imuninės sistemos sutrikimai</w:t>
            </w:r>
          </w:p>
        </w:tc>
        <w:tc>
          <w:tcPr>
            <w:tcW w:w="3114" w:type="dxa"/>
          </w:tcPr>
          <w:p w14:paraId="6C7244F5" w14:textId="77777777" w:rsidR="00D875C0" w:rsidRPr="001F2C46" w:rsidRDefault="00D875C0" w:rsidP="003876F8">
            <w:pPr>
              <w:autoSpaceDE w:val="0"/>
              <w:autoSpaceDN w:val="0"/>
              <w:adjustRightInd w:val="0"/>
              <w:spacing w:after="0" w:line="240" w:lineRule="auto"/>
              <w:rPr>
                <w:rFonts w:ascii="Times New Roman" w:hAnsi="Times New Roman"/>
                <w:b/>
              </w:rPr>
            </w:pPr>
          </w:p>
        </w:tc>
        <w:tc>
          <w:tcPr>
            <w:tcW w:w="3114" w:type="dxa"/>
          </w:tcPr>
          <w:p w14:paraId="76CC62D0" w14:textId="77777777" w:rsidR="00D875C0" w:rsidRPr="007C1A06" w:rsidRDefault="00D875C0" w:rsidP="0057676D">
            <w:pPr>
              <w:autoSpaceDE w:val="0"/>
              <w:autoSpaceDN w:val="0"/>
              <w:adjustRightInd w:val="0"/>
              <w:spacing w:after="0" w:line="240" w:lineRule="auto"/>
              <w:rPr>
                <w:rFonts w:ascii="Times New Roman" w:hAnsi="Times New Roman"/>
                <w:b/>
              </w:rPr>
            </w:pPr>
            <w:r w:rsidRPr="00427D92">
              <w:rPr>
                <w:rFonts w:ascii="Times New Roman" w:hAnsi="Times New Roman"/>
              </w:rPr>
              <w:t>Padidėjęs jautrumas (3</w:t>
            </w:r>
            <w:r w:rsidR="0057676D" w:rsidRPr="00C722B4">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0,6</w:t>
            </w:r>
            <w:r w:rsidR="0057676D" w:rsidRPr="007C1A06">
              <w:rPr>
                <w:rFonts w:ascii="Times New Roman" w:hAnsi="Times New Roman"/>
              </w:rPr>
              <w:t> </w:t>
            </w:r>
            <w:r w:rsidRPr="007C1A06">
              <w:rPr>
                <w:rFonts w:ascii="Times New Roman" w:hAnsi="Times New Roman"/>
              </w:rPr>
              <w:t>%)</w:t>
            </w:r>
          </w:p>
        </w:tc>
      </w:tr>
      <w:tr w:rsidR="00D875C0" w:rsidRPr="007C1A06" w14:paraId="278C0320" w14:textId="77777777" w:rsidTr="004E3CD5">
        <w:tc>
          <w:tcPr>
            <w:tcW w:w="3058" w:type="dxa"/>
          </w:tcPr>
          <w:p w14:paraId="4E3A66AE" w14:textId="77777777" w:rsidR="00D875C0" w:rsidRPr="00F95B76" w:rsidRDefault="00D875C0" w:rsidP="003876F8">
            <w:pPr>
              <w:autoSpaceDE w:val="0"/>
              <w:autoSpaceDN w:val="0"/>
              <w:adjustRightInd w:val="0"/>
              <w:spacing w:after="0" w:line="240" w:lineRule="auto"/>
              <w:rPr>
                <w:rFonts w:ascii="Times New Roman" w:hAnsi="Times New Roman"/>
                <w:b/>
              </w:rPr>
            </w:pPr>
            <w:r w:rsidRPr="00F957E7">
              <w:rPr>
                <w:rFonts w:ascii="Times New Roman" w:hAnsi="Times New Roman"/>
              </w:rPr>
              <w:t>Metabolizmo ir mitybos sutrikimai</w:t>
            </w:r>
          </w:p>
        </w:tc>
        <w:tc>
          <w:tcPr>
            <w:tcW w:w="3114" w:type="dxa"/>
          </w:tcPr>
          <w:p w14:paraId="3181EEB0" w14:textId="77777777" w:rsidR="00D875C0" w:rsidRPr="007C1A06" w:rsidRDefault="00D875C0" w:rsidP="0057676D">
            <w:pPr>
              <w:autoSpaceDE w:val="0"/>
              <w:autoSpaceDN w:val="0"/>
              <w:adjustRightInd w:val="0"/>
              <w:spacing w:after="0" w:line="240" w:lineRule="auto"/>
              <w:rPr>
                <w:rFonts w:ascii="Times New Roman" w:hAnsi="Times New Roman"/>
                <w:b/>
              </w:rPr>
            </w:pPr>
            <w:r w:rsidRPr="001F2C46">
              <w:rPr>
                <w:rFonts w:ascii="Times New Roman" w:hAnsi="Times New Roman"/>
              </w:rPr>
              <w:t>Anoreksija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1F2C46">
              <w:rPr>
                <w:rFonts w:ascii="Times New Roman" w:hAnsi="Times New Roman"/>
              </w:rPr>
              <w:t>laipsnio – 0,6</w:t>
            </w:r>
            <w:r w:rsidR="0057676D" w:rsidRPr="00427D92">
              <w:rPr>
                <w:rFonts w:ascii="Times New Roman" w:hAnsi="Times New Roman"/>
              </w:rPr>
              <w:t> </w:t>
            </w:r>
            <w:r w:rsidRPr="00C722B4">
              <w:rPr>
                <w:rFonts w:ascii="Times New Roman" w:hAnsi="Times New Roman"/>
              </w:rPr>
              <w:t>%)</w:t>
            </w:r>
          </w:p>
        </w:tc>
        <w:tc>
          <w:tcPr>
            <w:tcW w:w="3114" w:type="dxa"/>
          </w:tcPr>
          <w:p w14:paraId="60AEA8BB"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40785429" w14:textId="77777777" w:rsidTr="004E3CD5">
        <w:tc>
          <w:tcPr>
            <w:tcW w:w="3058" w:type="dxa"/>
          </w:tcPr>
          <w:p w14:paraId="41609966" w14:textId="77777777" w:rsidR="00D875C0" w:rsidRPr="00F95B76" w:rsidRDefault="00D875C0" w:rsidP="003876F8">
            <w:pPr>
              <w:autoSpaceDE w:val="0"/>
              <w:autoSpaceDN w:val="0"/>
              <w:adjustRightInd w:val="0"/>
              <w:spacing w:after="0" w:line="240" w:lineRule="auto"/>
              <w:rPr>
                <w:rFonts w:ascii="Times New Roman" w:hAnsi="Times New Roman"/>
                <w:b/>
              </w:rPr>
            </w:pPr>
            <w:r w:rsidRPr="00F957E7">
              <w:rPr>
                <w:rFonts w:ascii="Times New Roman" w:hAnsi="Times New Roman"/>
              </w:rPr>
              <w:t>Nervų sistemos sutrikimai</w:t>
            </w:r>
          </w:p>
        </w:tc>
        <w:tc>
          <w:tcPr>
            <w:tcW w:w="3114" w:type="dxa"/>
          </w:tcPr>
          <w:p w14:paraId="31E9AF6E" w14:textId="77777777" w:rsidR="00D875C0" w:rsidRPr="00427D92"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Periferinė sensorinė neuropatija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1F2C46">
              <w:rPr>
                <w:rFonts w:ascii="Times New Roman" w:hAnsi="Times New Roman"/>
              </w:rPr>
              <w:t>laipsnio – 1,2</w:t>
            </w:r>
            <w:r w:rsidR="0057676D" w:rsidRPr="001F2C46">
              <w:rPr>
                <w:rFonts w:ascii="Times New Roman" w:hAnsi="Times New Roman"/>
              </w:rPr>
              <w:t> </w:t>
            </w:r>
            <w:r w:rsidRPr="00427D92">
              <w:rPr>
                <w:rFonts w:ascii="Times New Roman" w:hAnsi="Times New Roman"/>
              </w:rPr>
              <w:t>%);</w:t>
            </w:r>
          </w:p>
          <w:p w14:paraId="6CFBCC7A" w14:textId="77777777" w:rsidR="00D875C0" w:rsidRPr="007C1A06" w:rsidRDefault="00D875C0" w:rsidP="0057676D">
            <w:pPr>
              <w:autoSpaceDE w:val="0"/>
              <w:autoSpaceDN w:val="0"/>
              <w:adjustRightInd w:val="0"/>
              <w:spacing w:after="0" w:line="240" w:lineRule="auto"/>
              <w:rPr>
                <w:rFonts w:ascii="Times New Roman" w:hAnsi="Times New Roman"/>
                <w:b/>
              </w:rPr>
            </w:pPr>
            <w:r w:rsidRPr="00C722B4">
              <w:rPr>
                <w:rFonts w:ascii="Times New Roman" w:hAnsi="Times New Roman"/>
              </w:rPr>
              <w:t>Disgeuzija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w:t>
            </w:r>
            <w:r w:rsidR="0057676D" w:rsidRPr="007C1A06">
              <w:rPr>
                <w:rFonts w:ascii="Times New Roman" w:hAnsi="Times New Roman"/>
              </w:rPr>
              <w:t> </w:t>
            </w:r>
            <w:r w:rsidRPr="007C1A06">
              <w:rPr>
                <w:rFonts w:ascii="Times New Roman" w:hAnsi="Times New Roman"/>
              </w:rPr>
              <w:t>%)</w:t>
            </w:r>
          </w:p>
        </w:tc>
        <w:tc>
          <w:tcPr>
            <w:tcW w:w="3114" w:type="dxa"/>
          </w:tcPr>
          <w:p w14:paraId="12E04308" w14:textId="77777777" w:rsidR="00D875C0" w:rsidRPr="00F95B76" w:rsidRDefault="00D875C0" w:rsidP="0057676D">
            <w:pPr>
              <w:autoSpaceDE w:val="0"/>
              <w:autoSpaceDN w:val="0"/>
              <w:adjustRightInd w:val="0"/>
              <w:spacing w:after="0" w:line="240" w:lineRule="auto"/>
              <w:rPr>
                <w:rFonts w:ascii="Times New Roman" w:eastAsiaTheme="minorEastAsia" w:hAnsi="Times New Roman"/>
                <w:b/>
                <w:lang w:val="en-US" w:eastAsia="zh-TW"/>
              </w:rPr>
            </w:pPr>
            <w:r w:rsidRPr="007C1A06">
              <w:rPr>
                <w:rFonts w:ascii="Times New Roman" w:hAnsi="Times New Roman"/>
              </w:rPr>
              <w:t>Periferinė motorinė neuropatija (</w:t>
            </w:r>
            <w:r w:rsidRPr="007C1A06">
              <w:rPr>
                <w:rFonts w:ascii="Times New Roman" w:eastAsia="Times New Roman" w:hAnsi="Times New Roman" w:cs="Times New Roman"/>
              </w:rPr>
              <w:t>3</w:t>
            </w:r>
            <w:r w:rsidR="0057676D" w:rsidRPr="007C1A06">
              <w:rPr>
                <w:rFonts w:ascii="Times New Roman" w:eastAsia="Times New Roman" w:hAnsi="Times New Roman" w:cs="Times New Roman"/>
              </w:rPr>
              <w:softHyphen/>
            </w:r>
            <w:r w:rsidRPr="007C1A06">
              <w:rPr>
                <w:rFonts w:ascii="Times New Roman" w:eastAsia="Times New Roman" w:hAnsi="Times New Roman" w:cs="Times New Roman"/>
              </w:rPr>
              <w:t>4</w:t>
            </w:r>
            <w:r w:rsidR="0057676D" w:rsidRPr="00F957E7">
              <w:rPr>
                <w:rFonts w:ascii="Times New Roman" w:hAnsi="Times New Roman"/>
              </w:rPr>
              <w:t> </w:t>
            </w:r>
            <w:r w:rsidRPr="00F95B76">
              <w:rPr>
                <w:rFonts w:ascii="Times New Roman" w:hAnsi="Times New Roman"/>
              </w:rPr>
              <w:t>laipsnio – 0</w:t>
            </w:r>
            <w:r w:rsidR="0057676D" w:rsidRPr="00F95B76">
              <w:rPr>
                <w:rFonts w:ascii="Times New Roman" w:hAnsi="Times New Roman"/>
              </w:rPr>
              <w:t> </w:t>
            </w:r>
            <w:r w:rsidRPr="00F95B76">
              <w:rPr>
                <w:rFonts w:ascii="Times New Roman" w:hAnsi="Times New Roman"/>
              </w:rPr>
              <w:t>%)</w:t>
            </w:r>
          </w:p>
        </w:tc>
      </w:tr>
      <w:tr w:rsidR="00D875C0" w:rsidRPr="007C1A06" w14:paraId="0F7099E2" w14:textId="77777777" w:rsidTr="004E3CD5">
        <w:tc>
          <w:tcPr>
            <w:tcW w:w="3058" w:type="dxa"/>
          </w:tcPr>
          <w:p w14:paraId="634182F5"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Akių sutrikimai</w:t>
            </w:r>
          </w:p>
        </w:tc>
        <w:tc>
          <w:tcPr>
            <w:tcW w:w="3114" w:type="dxa"/>
          </w:tcPr>
          <w:p w14:paraId="6349D794"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3114" w:type="dxa"/>
          </w:tcPr>
          <w:p w14:paraId="22E03C28" w14:textId="77777777" w:rsidR="00D875C0" w:rsidRPr="007C1A06" w:rsidRDefault="00D875C0" w:rsidP="0057676D">
            <w:pPr>
              <w:autoSpaceDE w:val="0"/>
              <w:autoSpaceDN w:val="0"/>
              <w:adjustRightInd w:val="0"/>
              <w:spacing w:after="0" w:line="240" w:lineRule="auto"/>
              <w:rPr>
                <w:rFonts w:ascii="Times New Roman" w:hAnsi="Times New Roman"/>
              </w:rPr>
            </w:pPr>
            <w:r w:rsidRPr="00427D92">
              <w:rPr>
                <w:rFonts w:ascii="Times New Roman" w:hAnsi="Times New Roman"/>
              </w:rPr>
              <w:t>Ašarojimo sustiprėjimas (3</w:t>
            </w:r>
            <w:r w:rsidR="0057676D" w:rsidRPr="00C722B4">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0,6</w:t>
            </w:r>
            <w:r w:rsidR="0057676D" w:rsidRPr="007C1A06">
              <w:rPr>
                <w:rFonts w:ascii="Times New Roman" w:hAnsi="Times New Roman"/>
              </w:rPr>
              <w:t> </w:t>
            </w:r>
            <w:r w:rsidRPr="007C1A06">
              <w:rPr>
                <w:rFonts w:ascii="Times New Roman" w:hAnsi="Times New Roman"/>
              </w:rPr>
              <w:t>%)</w:t>
            </w:r>
          </w:p>
        </w:tc>
      </w:tr>
      <w:tr w:rsidR="00D875C0" w:rsidRPr="007C1A06" w14:paraId="10D9D179" w14:textId="77777777" w:rsidTr="004E3CD5">
        <w:tc>
          <w:tcPr>
            <w:tcW w:w="3058" w:type="dxa"/>
          </w:tcPr>
          <w:p w14:paraId="6DCC3449"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Širdies sutrikimai</w:t>
            </w:r>
          </w:p>
        </w:tc>
        <w:tc>
          <w:tcPr>
            <w:tcW w:w="3114" w:type="dxa"/>
          </w:tcPr>
          <w:p w14:paraId="4DFED5C5" w14:textId="77777777" w:rsidR="00D875C0" w:rsidRPr="001F2C46" w:rsidRDefault="00D875C0" w:rsidP="003876F8">
            <w:pPr>
              <w:spacing w:after="0" w:line="240" w:lineRule="auto"/>
              <w:rPr>
                <w:rFonts w:ascii="Times New Roman" w:hAnsi="Times New Roman"/>
              </w:rPr>
            </w:pPr>
          </w:p>
        </w:tc>
        <w:tc>
          <w:tcPr>
            <w:tcW w:w="3114" w:type="dxa"/>
          </w:tcPr>
          <w:p w14:paraId="445BCD25" w14:textId="77777777" w:rsidR="00D875C0" w:rsidRPr="007C1A06" w:rsidRDefault="00D875C0" w:rsidP="0057676D">
            <w:pPr>
              <w:autoSpaceDE w:val="0"/>
              <w:autoSpaceDN w:val="0"/>
              <w:adjustRightInd w:val="0"/>
              <w:spacing w:after="0" w:line="240" w:lineRule="auto"/>
              <w:rPr>
                <w:rFonts w:ascii="Times New Roman" w:hAnsi="Times New Roman"/>
              </w:rPr>
            </w:pPr>
            <w:r w:rsidRPr="00427D92">
              <w:rPr>
                <w:rFonts w:ascii="Times New Roman" w:hAnsi="Times New Roman"/>
              </w:rPr>
              <w:t>Kairiojo širdies skilvelio funkcijos susilpnėjimas (3</w:t>
            </w:r>
            <w:r w:rsidR="0057676D" w:rsidRPr="00C722B4">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0,3</w:t>
            </w:r>
            <w:r w:rsidR="0057676D" w:rsidRPr="007C1A06">
              <w:rPr>
                <w:rFonts w:ascii="Times New Roman" w:hAnsi="Times New Roman"/>
              </w:rPr>
              <w:t> </w:t>
            </w:r>
            <w:r w:rsidRPr="007C1A06">
              <w:rPr>
                <w:rFonts w:ascii="Times New Roman" w:hAnsi="Times New Roman"/>
              </w:rPr>
              <w:t>%)</w:t>
            </w:r>
          </w:p>
        </w:tc>
      </w:tr>
      <w:tr w:rsidR="00D875C0" w:rsidRPr="007C1A06" w14:paraId="7BF7AF13" w14:textId="77777777" w:rsidTr="004E3CD5">
        <w:tc>
          <w:tcPr>
            <w:tcW w:w="3058" w:type="dxa"/>
          </w:tcPr>
          <w:p w14:paraId="0F45B7F2"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Kvėpavimo sistemos, krūtinės ląstos ir tarpuplaučio sutrikimai</w:t>
            </w:r>
          </w:p>
        </w:tc>
        <w:tc>
          <w:tcPr>
            <w:tcW w:w="3114" w:type="dxa"/>
          </w:tcPr>
          <w:p w14:paraId="00AE801B" w14:textId="77777777" w:rsidR="00D875C0" w:rsidRPr="001F2C46" w:rsidRDefault="00D875C0" w:rsidP="003876F8">
            <w:pPr>
              <w:spacing w:after="0" w:line="240" w:lineRule="auto"/>
              <w:rPr>
                <w:rFonts w:ascii="Times New Roman" w:hAnsi="Times New Roman"/>
              </w:rPr>
            </w:pPr>
          </w:p>
        </w:tc>
        <w:tc>
          <w:tcPr>
            <w:tcW w:w="3114" w:type="dxa"/>
          </w:tcPr>
          <w:p w14:paraId="41754055" w14:textId="77777777" w:rsidR="00D875C0" w:rsidRPr="007C1A06"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Epistaksė (3</w:t>
            </w:r>
            <w:r w:rsidR="0057676D" w:rsidRPr="00C722B4">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w:t>
            </w:r>
            <w:r w:rsidR="0057676D" w:rsidRPr="007C1A06">
              <w:rPr>
                <w:rFonts w:ascii="Times New Roman" w:hAnsi="Times New Roman"/>
              </w:rPr>
              <w:t> </w:t>
            </w:r>
            <w:r w:rsidRPr="007C1A06">
              <w:rPr>
                <w:rFonts w:ascii="Times New Roman" w:hAnsi="Times New Roman"/>
              </w:rPr>
              <w:t>%);</w:t>
            </w:r>
          </w:p>
          <w:p w14:paraId="4A31E362"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Dispnėja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0,6</w:t>
            </w:r>
            <w:r w:rsidR="0057676D" w:rsidRPr="007C1A06">
              <w:rPr>
                <w:rFonts w:ascii="Times New Roman" w:hAnsi="Times New Roman"/>
              </w:rPr>
              <w:t> </w:t>
            </w:r>
            <w:r w:rsidRPr="007C1A06">
              <w:rPr>
                <w:rFonts w:ascii="Times New Roman" w:hAnsi="Times New Roman"/>
              </w:rPr>
              <w:t>%);</w:t>
            </w:r>
          </w:p>
          <w:p w14:paraId="76ECF81F" w14:textId="77777777" w:rsidR="00D875C0" w:rsidRPr="004E3CD5" w:rsidRDefault="00D875C0" w:rsidP="0057676D">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Kosulys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w:t>
            </w:r>
            <w:r w:rsidR="0057676D" w:rsidRPr="007C1A06">
              <w:rPr>
                <w:rFonts w:ascii="Times New Roman" w:hAnsi="Times New Roman"/>
              </w:rPr>
              <w:t> </w:t>
            </w:r>
            <w:r w:rsidRPr="007C1A06">
              <w:rPr>
                <w:rFonts w:ascii="Times New Roman" w:hAnsi="Times New Roman"/>
              </w:rPr>
              <w:t>%)</w:t>
            </w:r>
          </w:p>
        </w:tc>
      </w:tr>
      <w:tr w:rsidR="00D875C0" w:rsidRPr="007C1A06" w14:paraId="3D1AF237" w14:textId="77777777" w:rsidTr="004E3CD5">
        <w:tc>
          <w:tcPr>
            <w:tcW w:w="3058" w:type="dxa"/>
          </w:tcPr>
          <w:p w14:paraId="680468CE"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Virškinimo trakto sutrikimai</w:t>
            </w:r>
          </w:p>
        </w:tc>
        <w:tc>
          <w:tcPr>
            <w:tcW w:w="3114" w:type="dxa"/>
          </w:tcPr>
          <w:p w14:paraId="0C359F40" w14:textId="77777777" w:rsidR="00D875C0" w:rsidRPr="00C722B4"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Pykinimas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1F2C46">
              <w:rPr>
                <w:rFonts w:ascii="Times New Roman" w:hAnsi="Times New Roman"/>
              </w:rPr>
              <w:t>laipsnio – 2,4</w:t>
            </w:r>
            <w:r w:rsidR="0057676D" w:rsidRPr="00427D92">
              <w:rPr>
                <w:rFonts w:ascii="Times New Roman" w:hAnsi="Times New Roman"/>
              </w:rPr>
              <w:t> </w:t>
            </w:r>
            <w:r w:rsidRPr="00C722B4">
              <w:rPr>
                <w:rFonts w:ascii="Times New Roman" w:hAnsi="Times New Roman"/>
              </w:rPr>
              <w:t>%);</w:t>
            </w:r>
          </w:p>
          <w:p w14:paraId="002B09C2"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Viduriavimas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1,2</w:t>
            </w:r>
            <w:r w:rsidR="0057676D" w:rsidRPr="007C1A06">
              <w:rPr>
                <w:rFonts w:ascii="Times New Roman" w:hAnsi="Times New Roman"/>
              </w:rPr>
              <w:t> </w:t>
            </w:r>
            <w:r w:rsidRPr="007C1A06">
              <w:rPr>
                <w:rFonts w:ascii="Times New Roman" w:hAnsi="Times New Roman"/>
              </w:rPr>
              <w:t>%);</w:t>
            </w:r>
          </w:p>
          <w:p w14:paraId="0E22111A"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Stomatitas arba faringitas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0,9</w:t>
            </w:r>
            <w:r w:rsidR="0057676D" w:rsidRPr="007C1A06">
              <w:rPr>
                <w:rFonts w:ascii="Times New Roman" w:hAnsi="Times New Roman"/>
              </w:rPr>
              <w:t> </w:t>
            </w:r>
            <w:r w:rsidRPr="007C1A06">
              <w:rPr>
                <w:rFonts w:ascii="Times New Roman" w:hAnsi="Times New Roman"/>
              </w:rPr>
              <w:t>%);</w:t>
            </w:r>
          </w:p>
          <w:p w14:paraId="4BF6B9B5" w14:textId="77777777" w:rsidR="00D875C0" w:rsidRPr="004E3CD5" w:rsidRDefault="00D875C0" w:rsidP="0057676D">
            <w:pPr>
              <w:spacing w:after="0" w:line="240" w:lineRule="auto"/>
              <w:rPr>
                <w:rFonts w:ascii="Times New Roman" w:eastAsiaTheme="minorEastAsia" w:hAnsi="Times New Roman"/>
                <w:lang w:eastAsia="zh-TW"/>
              </w:rPr>
            </w:pPr>
            <w:r w:rsidRPr="007C1A06">
              <w:rPr>
                <w:rFonts w:ascii="Times New Roman" w:hAnsi="Times New Roman"/>
              </w:rPr>
              <w:t>Vėmimas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1,2</w:t>
            </w:r>
            <w:r w:rsidR="0057676D" w:rsidRPr="007C1A06">
              <w:rPr>
                <w:rFonts w:ascii="Times New Roman" w:hAnsi="Times New Roman"/>
              </w:rPr>
              <w:t> </w:t>
            </w:r>
            <w:r w:rsidRPr="007C1A06">
              <w:rPr>
                <w:rFonts w:ascii="Times New Roman" w:hAnsi="Times New Roman"/>
              </w:rPr>
              <w:t>%)</w:t>
            </w:r>
          </w:p>
        </w:tc>
        <w:tc>
          <w:tcPr>
            <w:tcW w:w="3114" w:type="dxa"/>
          </w:tcPr>
          <w:p w14:paraId="533F43DA"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59629644" w14:textId="77777777" w:rsidTr="004E3CD5">
        <w:tc>
          <w:tcPr>
            <w:tcW w:w="3058" w:type="dxa"/>
          </w:tcPr>
          <w:p w14:paraId="4DCAF0A9"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Odos ir poodinio audinio sutrikimai</w:t>
            </w:r>
          </w:p>
        </w:tc>
        <w:tc>
          <w:tcPr>
            <w:tcW w:w="3114" w:type="dxa"/>
          </w:tcPr>
          <w:p w14:paraId="7D7F6493" w14:textId="77777777" w:rsidR="00D875C0" w:rsidRPr="00F95B7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Alopecija;</w:t>
            </w:r>
            <w:r w:rsidRPr="007C1A06">
              <w:rPr>
                <w:rFonts w:ascii="Times New Roman" w:eastAsia="Times New Roman" w:hAnsi="Times New Roman" w:cs="Times New Roman"/>
              </w:rPr>
              <w:t xml:space="preserve"> </w:t>
            </w:r>
            <w:r w:rsidRPr="00F957E7">
              <w:rPr>
                <w:rFonts w:ascii="Times New Roman" w:hAnsi="Times New Roman"/>
              </w:rPr>
              <w:t>Nagų pažeidimai (nesunkūs)</w:t>
            </w:r>
          </w:p>
        </w:tc>
        <w:tc>
          <w:tcPr>
            <w:tcW w:w="3114" w:type="dxa"/>
          </w:tcPr>
          <w:p w14:paraId="1B424BCC" w14:textId="77777777" w:rsidR="00D875C0" w:rsidRPr="007C1A06" w:rsidRDefault="00D875C0" w:rsidP="0057676D">
            <w:pPr>
              <w:autoSpaceDE w:val="0"/>
              <w:autoSpaceDN w:val="0"/>
              <w:adjustRightInd w:val="0"/>
              <w:spacing w:after="0" w:line="240" w:lineRule="auto"/>
              <w:rPr>
                <w:rFonts w:ascii="Times New Roman" w:hAnsi="Times New Roman"/>
              </w:rPr>
            </w:pPr>
            <w:r w:rsidRPr="001F2C46">
              <w:rPr>
                <w:rFonts w:ascii="Times New Roman" w:hAnsi="Times New Roman"/>
              </w:rPr>
              <w:t>Eksfoliacinis išbėrimas (3</w:t>
            </w:r>
            <w:r w:rsidR="0057676D" w:rsidRPr="00427D92">
              <w:rPr>
                <w:rFonts w:ascii="Times New Roman" w:hAnsi="Times New Roman"/>
              </w:rPr>
              <w:noBreakHyphen/>
            </w:r>
            <w:r w:rsidRPr="00C722B4">
              <w:rPr>
                <w:rFonts w:ascii="Times New Roman" w:hAnsi="Times New Roman"/>
              </w:rPr>
              <w:t>4</w:t>
            </w:r>
            <w:r w:rsidR="0057676D" w:rsidRPr="007C1A06">
              <w:rPr>
                <w:rFonts w:ascii="Times New Roman" w:hAnsi="Times New Roman"/>
              </w:rPr>
              <w:t> </w:t>
            </w:r>
            <w:r w:rsidRPr="007C1A06">
              <w:rPr>
                <w:rFonts w:ascii="Times New Roman" w:hAnsi="Times New Roman"/>
              </w:rPr>
              <w:t>laipsnio – 0,3</w:t>
            </w:r>
            <w:r w:rsidR="0057676D" w:rsidRPr="007C1A06">
              <w:rPr>
                <w:rFonts w:ascii="Times New Roman" w:hAnsi="Times New Roman"/>
              </w:rPr>
              <w:t> </w:t>
            </w:r>
            <w:r w:rsidRPr="007C1A06">
              <w:rPr>
                <w:rFonts w:ascii="Times New Roman" w:hAnsi="Times New Roman"/>
              </w:rPr>
              <w:t>%)</w:t>
            </w:r>
          </w:p>
        </w:tc>
      </w:tr>
      <w:tr w:rsidR="00D875C0" w:rsidRPr="007C1A06" w14:paraId="692889CA" w14:textId="77777777" w:rsidTr="004E3CD5">
        <w:tc>
          <w:tcPr>
            <w:tcW w:w="3058" w:type="dxa"/>
          </w:tcPr>
          <w:p w14:paraId="362BA1A5"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 xml:space="preserve">Skeleto, raumenų ir jungiamojo </w:t>
            </w:r>
            <w:r w:rsidRPr="00F95B76">
              <w:rPr>
                <w:rFonts w:ascii="Times New Roman" w:hAnsi="Times New Roman"/>
              </w:rPr>
              <w:t>audinio sutrikimai</w:t>
            </w:r>
          </w:p>
        </w:tc>
        <w:tc>
          <w:tcPr>
            <w:tcW w:w="3114" w:type="dxa"/>
          </w:tcPr>
          <w:p w14:paraId="42E502D8"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3114" w:type="dxa"/>
          </w:tcPr>
          <w:p w14:paraId="66AAF261" w14:textId="77777777" w:rsidR="00D875C0" w:rsidRPr="00F957E7"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Artralgija (3</w:t>
            </w:r>
            <w:r w:rsidR="0057676D" w:rsidRPr="00C722B4">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0,3</w:t>
            </w:r>
            <w:r w:rsidR="0057676D" w:rsidRPr="007C1A06">
              <w:rPr>
                <w:rFonts w:ascii="Times New Roman" w:hAnsi="Times New Roman"/>
              </w:rPr>
              <w:t> </w:t>
            </w:r>
            <w:r w:rsidRPr="007C1A06">
              <w:rPr>
                <w:rFonts w:ascii="Times New Roman" w:eastAsia="Times New Roman" w:hAnsi="Times New Roman" w:cs="Times New Roman"/>
              </w:rPr>
              <w:t>%)</w:t>
            </w:r>
            <w:r w:rsidR="00E232B4">
              <w:rPr>
                <w:rFonts w:ascii="Times New Roman" w:eastAsia="Times New Roman" w:hAnsi="Times New Roman" w:cs="Times New Roman"/>
              </w:rPr>
              <w:t>;</w:t>
            </w:r>
          </w:p>
          <w:p w14:paraId="4721723E" w14:textId="77777777" w:rsidR="00D875C0" w:rsidRPr="001F2C46" w:rsidRDefault="00D875C0" w:rsidP="0057676D">
            <w:pPr>
              <w:autoSpaceDE w:val="0"/>
              <w:autoSpaceDN w:val="0"/>
              <w:adjustRightInd w:val="0"/>
              <w:spacing w:after="0" w:line="240" w:lineRule="auto"/>
              <w:rPr>
                <w:rFonts w:ascii="Times New Roman" w:hAnsi="Times New Roman"/>
              </w:rPr>
            </w:pPr>
            <w:r w:rsidRPr="00F95B76">
              <w:rPr>
                <w:rFonts w:ascii="Times New Roman" w:hAnsi="Times New Roman"/>
              </w:rPr>
              <w:t>Mialgija (3</w:t>
            </w:r>
            <w:r w:rsidR="0057676D" w:rsidRPr="00F95B76">
              <w:rPr>
                <w:rFonts w:ascii="Times New Roman" w:hAnsi="Times New Roman"/>
              </w:rPr>
              <w:noBreakHyphen/>
            </w:r>
            <w:r w:rsidRPr="00F95B76">
              <w:rPr>
                <w:rFonts w:ascii="Times New Roman" w:hAnsi="Times New Roman"/>
              </w:rPr>
              <w:t>4</w:t>
            </w:r>
            <w:r w:rsidR="0057676D" w:rsidRPr="00F95B76">
              <w:rPr>
                <w:rFonts w:ascii="Times New Roman" w:hAnsi="Times New Roman"/>
              </w:rPr>
              <w:t> </w:t>
            </w:r>
            <w:r w:rsidRPr="00F95B76">
              <w:rPr>
                <w:rFonts w:ascii="Times New Roman" w:hAnsi="Times New Roman"/>
              </w:rPr>
              <w:t>laipsnio – 0,3</w:t>
            </w:r>
            <w:r w:rsidR="0057676D" w:rsidRPr="00F95B76">
              <w:rPr>
                <w:rFonts w:ascii="Times New Roman" w:hAnsi="Times New Roman"/>
              </w:rPr>
              <w:t> </w:t>
            </w:r>
            <w:r w:rsidRPr="001F2C46">
              <w:rPr>
                <w:rFonts w:ascii="Times New Roman" w:hAnsi="Times New Roman"/>
              </w:rPr>
              <w:t>%)</w:t>
            </w:r>
          </w:p>
        </w:tc>
      </w:tr>
      <w:tr w:rsidR="00D875C0" w:rsidRPr="007C1A06" w14:paraId="204C1BF6" w14:textId="77777777" w:rsidTr="004E3CD5">
        <w:tc>
          <w:tcPr>
            <w:tcW w:w="3058" w:type="dxa"/>
          </w:tcPr>
          <w:p w14:paraId="533AFF58"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Bendrieji sutrikimai ir vartojimo vietos pažeidimai</w:t>
            </w:r>
          </w:p>
        </w:tc>
        <w:tc>
          <w:tcPr>
            <w:tcW w:w="3114" w:type="dxa"/>
          </w:tcPr>
          <w:p w14:paraId="1962C191" w14:textId="77777777" w:rsidR="00D875C0" w:rsidRPr="00C722B4"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Nuovargis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1F2C46">
              <w:rPr>
                <w:rFonts w:ascii="Times New Roman" w:hAnsi="Times New Roman"/>
              </w:rPr>
              <w:t>laipsnio – 3,9</w:t>
            </w:r>
            <w:r w:rsidR="0057676D" w:rsidRPr="00427D92">
              <w:rPr>
                <w:rFonts w:ascii="Times New Roman" w:hAnsi="Times New Roman"/>
              </w:rPr>
              <w:t> </w:t>
            </w:r>
            <w:r w:rsidRPr="00C722B4">
              <w:rPr>
                <w:rFonts w:ascii="Times New Roman" w:hAnsi="Times New Roman"/>
              </w:rPr>
              <w:t>%);</w:t>
            </w:r>
          </w:p>
          <w:p w14:paraId="7CA88F0B" w14:textId="77777777" w:rsidR="00D875C0" w:rsidRPr="004E3CD5" w:rsidRDefault="00D875C0" w:rsidP="0057676D">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Skysčių susilaikymas (sunkus – 0,6</w:t>
            </w:r>
            <w:r w:rsidR="0057676D" w:rsidRPr="007C1A06">
              <w:rPr>
                <w:rFonts w:ascii="Times New Roman" w:hAnsi="Times New Roman"/>
              </w:rPr>
              <w:t> </w:t>
            </w:r>
            <w:r w:rsidRPr="007C1A06">
              <w:rPr>
                <w:rFonts w:ascii="Times New Roman" w:hAnsi="Times New Roman"/>
              </w:rPr>
              <w:t>%)</w:t>
            </w:r>
          </w:p>
        </w:tc>
        <w:tc>
          <w:tcPr>
            <w:tcW w:w="3114" w:type="dxa"/>
          </w:tcPr>
          <w:p w14:paraId="6984A21D" w14:textId="77777777" w:rsidR="00D875C0" w:rsidRPr="007C1A06" w:rsidRDefault="00D875C0" w:rsidP="003876F8">
            <w:pPr>
              <w:spacing w:after="0" w:line="240" w:lineRule="auto"/>
              <w:rPr>
                <w:rFonts w:ascii="Times New Roman" w:hAnsi="Times New Roman"/>
              </w:rPr>
            </w:pPr>
          </w:p>
        </w:tc>
      </w:tr>
    </w:tbl>
    <w:p w14:paraId="22D975A6" w14:textId="77777777" w:rsidR="00D875C0" w:rsidRPr="00F957E7" w:rsidRDefault="00D875C0" w:rsidP="00D875C0">
      <w:pPr>
        <w:autoSpaceDE w:val="0"/>
        <w:autoSpaceDN w:val="0"/>
        <w:adjustRightInd w:val="0"/>
        <w:spacing w:after="0" w:line="240" w:lineRule="auto"/>
        <w:rPr>
          <w:rFonts w:ascii="Times New Roman" w:hAnsi="Times New Roman"/>
        </w:rPr>
      </w:pPr>
    </w:p>
    <w:p w14:paraId="0B832D83" w14:textId="77777777" w:rsidR="007D5449" w:rsidRPr="007C1A06" w:rsidRDefault="007D5449" w:rsidP="00D875C0">
      <w:pPr>
        <w:autoSpaceDE w:val="0"/>
        <w:autoSpaceDN w:val="0"/>
        <w:adjustRightInd w:val="0"/>
        <w:spacing w:after="0" w:line="240" w:lineRule="auto"/>
        <w:rPr>
          <w:rFonts w:ascii="Times New Roman" w:eastAsia="Times New Roman" w:hAnsi="Times New Roman" w:cs="Times New Roman"/>
        </w:rPr>
      </w:pPr>
    </w:p>
    <w:p w14:paraId="4275A3A7" w14:textId="77777777" w:rsidR="00D875C0" w:rsidRPr="00F957E7" w:rsidRDefault="00D875C0" w:rsidP="00D875C0">
      <w:pPr>
        <w:autoSpaceDE w:val="0"/>
        <w:autoSpaceDN w:val="0"/>
        <w:adjustRightInd w:val="0"/>
        <w:spacing w:after="0" w:line="240" w:lineRule="auto"/>
        <w:rPr>
          <w:rFonts w:ascii="Times New Roman" w:hAnsi="Times New Roman"/>
          <w:u w:val="single"/>
        </w:rPr>
      </w:pPr>
      <w:r w:rsidRPr="00F957E7">
        <w:rPr>
          <w:rFonts w:ascii="Times New Roman" w:hAnsi="Times New Roman"/>
          <w:u w:val="single"/>
        </w:rPr>
        <w:t xml:space="preserve">Nepageidaujamų reakcijų, atsiradusių </w:t>
      </w:r>
      <w:r w:rsidRPr="00F95B76">
        <w:rPr>
          <w:rFonts w:ascii="Times New Roman" w:hAnsi="Times New Roman"/>
          <w:u w:val="single"/>
        </w:rPr>
        <w:t>vartojant docetakselio 75</w:t>
      </w:r>
      <w:r w:rsidR="0057676D" w:rsidRPr="00F95B76">
        <w:rPr>
          <w:rFonts w:ascii="Times New Roman" w:hAnsi="Times New Roman"/>
          <w:u w:val="single"/>
        </w:rPr>
        <w:t> </w:t>
      </w:r>
      <w:r w:rsidRPr="00F95B76">
        <w:rPr>
          <w:rFonts w:ascii="Times New Roman" w:hAnsi="Times New Roman"/>
          <w:u w:val="single"/>
        </w:rPr>
        <w:t>mg/m² dozę adjuvantiniam gydymui kartu su doksorubicinu ir ciklofosfamidu, pacientėms, sergančioms į limfmazgius metastazavusiu (TAX 316) ir į limfmazgius nemetastazavusiu (GEICAM 9805) krūties vėžiu, sąrašas lentelės forma</w:t>
      </w:r>
    </w:p>
    <w:p w14:paraId="361405D3" w14:textId="77777777" w:rsidR="00D875C0" w:rsidRPr="00F95B76" w:rsidRDefault="00D875C0" w:rsidP="00D875C0">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2296"/>
        <w:gridCol w:w="2297"/>
        <w:gridCol w:w="2297"/>
      </w:tblGrid>
      <w:tr w:rsidR="00F957E7" w:rsidRPr="007C1A06" w14:paraId="6D4F826F" w14:textId="77777777" w:rsidTr="00915C14">
        <w:tc>
          <w:tcPr>
            <w:tcW w:w="2463" w:type="dxa"/>
            <w:shd w:val="clear" w:color="auto" w:fill="D9D9D9" w:themeFill="background1" w:themeFillShade="D9"/>
          </w:tcPr>
          <w:p w14:paraId="3930466C" w14:textId="77777777" w:rsidR="00D875C0" w:rsidRPr="001F2C46" w:rsidRDefault="00D875C0" w:rsidP="003876F8">
            <w:pPr>
              <w:spacing w:after="0" w:line="240" w:lineRule="auto"/>
              <w:rPr>
                <w:rFonts w:ascii="Times New Roman" w:hAnsi="Times New Roman"/>
              </w:rPr>
            </w:pPr>
            <w:r w:rsidRPr="001F2C46">
              <w:rPr>
                <w:rFonts w:ascii="Times New Roman" w:hAnsi="Times New Roman"/>
                <w:b/>
              </w:rPr>
              <w:t>MedDRA organų sistemų klasės</w:t>
            </w:r>
          </w:p>
        </w:tc>
        <w:tc>
          <w:tcPr>
            <w:tcW w:w="2463" w:type="dxa"/>
            <w:shd w:val="clear" w:color="auto" w:fill="D9D9D9" w:themeFill="background1" w:themeFillShade="D9"/>
          </w:tcPr>
          <w:p w14:paraId="0C0A5DC0" w14:textId="77777777" w:rsidR="00D875C0" w:rsidRPr="00C722B4"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b/>
              </w:rPr>
              <w:t xml:space="preserve">Labai dažnos nepageidaujamos reakcijos </w:t>
            </w:r>
          </w:p>
        </w:tc>
        <w:tc>
          <w:tcPr>
            <w:tcW w:w="2464" w:type="dxa"/>
            <w:shd w:val="clear" w:color="auto" w:fill="D9D9D9" w:themeFill="background1" w:themeFillShade="D9"/>
          </w:tcPr>
          <w:p w14:paraId="04BB514A"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 xml:space="preserve">Dažnos nepageidaujamos reakcijos </w:t>
            </w:r>
          </w:p>
        </w:tc>
        <w:tc>
          <w:tcPr>
            <w:tcW w:w="2464" w:type="dxa"/>
            <w:shd w:val="clear" w:color="auto" w:fill="D9D9D9" w:themeFill="background1" w:themeFillShade="D9"/>
          </w:tcPr>
          <w:p w14:paraId="212A42C0"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b/>
              </w:rPr>
              <w:t xml:space="preserve">Nedažnos nepageidaujamos reakcijos </w:t>
            </w:r>
          </w:p>
        </w:tc>
      </w:tr>
      <w:tr w:rsidR="00D875C0" w:rsidRPr="007C1A06" w14:paraId="1B6B9FC9" w14:textId="77777777" w:rsidTr="004E3CD5">
        <w:tc>
          <w:tcPr>
            <w:tcW w:w="2463" w:type="dxa"/>
          </w:tcPr>
          <w:p w14:paraId="1E4BCF7E"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Infekcijos ir infestacijos</w:t>
            </w:r>
          </w:p>
        </w:tc>
        <w:tc>
          <w:tcPr>
            <w:tcW w:w="2463" w:type="dxa"/>
          </w:tcPr>
          <w:p w14:paraId="5D63CF4A" w14:textId="77777777" w:rsidR="00D875C0" w:rsidRPr="00F957E7"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Infekcija (3</w:t>
            </w:r>
            <w:r w:rsidR="0057676D" w:rsidRPr="001F2C46">
              <w:rPr>
                <w:rFonts w:ascii="Times New Roman" w:hAnsi="Times New Roman"/>
              </w:rPr>
              <w:noBreakHyphen/>
            </w:r>
            <w:r w:rsidRPr="001F2C46">
              <w:rPr>
                <w:rFonts w:ascii="Times New Roman" w:hAnsi="Times New Roman"/>
              </w:rPr>
              <w:t>4</w:t>
            </w:r>
            <w:r w:rsidR="0057676D" w:rsidRPr="00427D92">
              <w:rPr>
                <w:rFonts w:ascii="Times New Roman" w:hAnsi="Times New Roman"/>
              </w:rPr>
              <w:t> </w:t>
            </w:r>
            <w:r w:rsidRPr="00C722B4">
              <w:rPr>
                <w:rFonts w:ascii="Times New Roman" w:hAnsi="Times New Roman"/>
              </w:rPr>
              <w:t>laipsnio – 2,4</w:t>
            </w:r>
            <w:r w:rsidR="0057676D" w:rsidRPr="007C1A06">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591444C4" w14:textId="77777777" w:rsidR="00D875C0" w:rsidRPr="001F2C46" w:rsidRDefault="00D875C0" w:rsidP="0057676D">
            <w:pPr>
              <w:autoSpaceDE w:val="0"/>
              <w:autoSpaceDN w:val="0"/>
              <w:adjustRightInd w:val="0"/>
              <w:spacing w:after="0" w:line="240" w:lineRule="auto"/>
              <w:rPr>
                <w:rFonts w:ascii="Times New Roman" w:hAnsi="Times New Roman"/>
              </w:rPr>
            </w:pPr>
            <w:r w:rsidRPr="00F95B76">
              <w:rPr>
                <w:rFonts w:ascii="Times New Roman" w:hAnsi="Times New Roman"/>
              </w:rPr>
              <w:t>Neutropeninė infekcija (3</w:t>
            </w:r>
            <w:r w:rsidR="0057676D" w:rsidRPr="00F95B76">
              <w:rPr>
                <w:rFonts w:ascii="Times New Roman" w:hAnsi="Times New Roman"/>
              </w:rPr>
              <w:noBreakHyphen/>
            </w:r>
            <w:r w:rsidRPr="00F95B76">
              <w:rPr>
                <w:rFonts w:ascii="Times New Roman" w:hAnsi="Times New Roman"/>
              </w:rPr>
              <w:t>4</w:t>
            </w:r>
            <w:r w:rsidR="0057676D" w:rsidRPr="00F95B76">
              <w:rPr>
                <w:rFonts w:ascii="Times New Roman" w:hAnsi="Times New Roman"/>
              </w:rPr>
              <w:t> </w:t>
            </w:r>
            <w:r w:rsidRPr="001F2C46">
              <w:rPr>
                <w:rFonts w:ascii="Times New Roman" w:hAnsi="Times New Roman"/>
              </w:rPr>
              <w:t>laipsnio – 2,6</w:t>
            </w:r>
            <w:r w:rsidR="0057676D" w:rsidRPr="001F2C46">
              <w:rPr>
                <w:rFonts w:ascii="Times New Roman" w:hAnsi="Times New Roman"/>
              </w:rPr>
              <w:t> </w:t>
            </w:r>
            <w:r w:rsidRPr="001F2C46">
              <w:rPr>
                <w:rFonts w:ascii="Times New Roman" w:hAnsi="Times New Roman"/>
              </w:rPr>
              <w:t>%)</w:t>
            </w:r>
          </w:p>
        </w:tc>
        <w:tc>
          <w:tcPr>
            <w:tcW w:w="2464" w:type="dxa"/>
          </w:tcPr>
          <w:p w14:paraId="799EE8D8" w14:textId="77777777" w:rsidR="00D875C0" w:rsidRPr="00427D92" w:rsidRDefault="00D875C0" w:rsidP="003876F8">
            <w:pPr>
              <w:spacing w:after="0" w:line="240" w:lineRule="auto"/>
              <w:rPr>
                <w:rFonts w:ascii="Times New Roman" w:hAnsi="Times New Roman"/>
              </w:rPr>
            </w:pPr>
          </w:p>
        </w:tc>
        <w:tc>
          <w:tcPr>
            <w:tcW w:w="2464" w:type="dxa"/>
          </w:tcPr>
          <w:p w14:paraId="605797E9" w14:textId="77777777" w:rsidR="00D875C0" w:rsidRPr="00C722B4" w:rsidRDefault="00D875C0" w:rsidP="003876F8">
            <w:pPr>
              <w:spacing w:after="0" w:line="240" w:lineRule="auto"/>
              <w:rPr>
                <w:rFonts w:ascii="Times New Roman" w:hAnsi="Times New Roman"/>
              </w:rPr>
            </w:pPr>
          </w:p>
        </w:tc>
      </w:tr>
      <w:tr w:rsidR="00D875C0" w:rsidRPr="007C1A06" w14:paraId="52DA4899" w14:textId="77777777" w:rsidTr="004E3CD5">
        <w:tc>
          <w:tcPr>
            <w:tcW w:w="2463" w:type="dxa"/>
          </w:tcPr>
          <w:p w14:paraId="0ADDA934"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 xml:space="preserve">Kraujo </w:t>
            </w:r>
            <w:r w:rsidRPr="00F95B76">
              <w:rPr>
                <w:rFonts w:ascii="Times New Roman" w:hAnsi="Times New Roman"/>
              </w:rPr>
              <w:t>ir limfinės sistemos sutrikimai</w:t>
            </w:r>
          </w:p>
        </w:tc>
        <w:tc>
          <w:tcPr>
            <w:tcW w:w="2463" w:type="dxa"/>
          </w:tcPr>
          <w:p w14:paraId="74B0F8CB" w14:textId="77777777" w:rsidR="00D875C0" w:rsidRPr="00F957E7" w:rsidRDefault="00D875C0" w:rsidP="003876F8">
            <w:pPr>
              <w:spacing w:after="0" w:line="240" w:lineRule="auto"/>
              <w:rPr>
                <w:rFonts w:ascii="Times New Roman" w:hAnsi="Times New Roman"/>
              </w:rPr>
            </w:pPr>
            <w:r w:rsidRPr="001F2C46">
              <w:rPr>
                <w:rFonts w:ascii="Times New Roman" w:hAnsi="Times New Roman"/>
              </w:rPr>
              <w:t>Anemija (3</w:t>
            </w:r>
            <w:r w:rsidR="0057676D" w:rsidRPr="001F2C46">
              <w:rPr>
                <w:rFonts w:ascii="Times New Roman" w:hAnsi="Times New Roman"/>
              </w:rPr>
              <w:noBreakHyphen/>
            </w:r>
            <w:r w:rsidRPr="001F2C46">
              <w:rPr>
                <w:rFonts w:ascii="Times New Roman" w:hAnsi="Times New Roman"/>
              </w:rPr>
              <w:t>4</w:t>
            </w:r>
            <w:r w:rsidR="0057676D" w:rsidRPr="00427D92">
              <w:rPr>
                <w:rFonts w:ascii="Times New Roman" w:hAnsi="Times New Roman"/>
              </w:rPr>
              <w:t> </w:t>
            </w:r>
            <w:r w:rsidRPr="00C722B4">
              <w:rPr>
                <w:rFonts w:ascii="Times New Roman" w:hAnsi="Times New Roman"/>
              </w:rPr>
              <w:t>laipsnio –3</w:t>
            </w:r>
            <w:r w:rsidR="00874783">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444579D5" w14:textId="77777777" w:rsidR="00D875C0" w:rsidRPr="00F957E7" w:rsidRDefault="00D875C0" w:rsidP="003876F8">
            <w:pPr>
              <w:spacing w:after="0" w:line="240" w:lineRule="auto"/>
              <w:rPr>
                <w:rFonts w:ascii="Times New Roman" w:hAnsi="Times New Roman"/>
              </w:rPr>
            </w:pPr>
            <w:r w:rsidRPr="00F95B76">
              <w:rPr>
                <w:rFonts w:ascii="Times New Roman" w:hAnsi="Times New Roman"/>
              </w:rPr>
              <w:t>Neutropenija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427D92">
              <w:rPr>
                <w:rFonts w:ascii="Times New Roman" w:hAnsi="Times New Roman"/>
              </w:rPr>
              <w:t>laipsnio – 59,2</w:t>
            </w:r>
            <w:r w:rsidR="0057676D" w:rsidRPr="00C722B4">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385FC469" w14:textId="77777777" w:rsidR="00D875C0" w:rsidRPr="00F957E7" w:rsidRDefault="00D875C0" w:rsidP="003876F8">
            <w:pPr>
              <w:spacing w:after="0" w:line="240" w:lineRule="auto"/>
              <w:rPr>
                <w:rFonts w:ascii="Times New Roman" w:hAnsi="Times New Roman"/>
              </w:rPr>
            </w:pPr>
            <w:r w:rsidRPr="00F95B76">
              <w:rPr>
                <w:rFonts w:ascii="Times New Roman" w:hAnsi="Times New Roman"/>
              </w:rPr>
              <w:t>Trombocitopenija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427D92">
              <w:rPr>
                <w:rFonts w:ascii="Times New Roman" w:hAnsi="Times New Roman"/>
              </w:rPr>
              <w:t>laipsnio – 1,6</w:t>
            </w:r>
            <w:r w:rsidR="0057676D" w:rsidRPr="00C722B4">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4CFEB66D" w14:textId="77777777" w:rsidR="00D875C0" w:rsidRPr="00F95B76" w:rsidRDefault="00D875C0" w:rsidP="003876F8">
            <w:pPr>
              <w:spacing w:after="0" w:line="240" w:lineRule="auto"/>
              <w:rPr>
                <w:rFonts w:ascii="Times New Roman" w:hAnsi="Times New Roman"/>
              </w:rPr>
            </w:pPr>
            <w:r w:rsidRPr="00F95B76">
              <w:rPr>
                <w:rFonts w:ascii="Times New Roman" w:hAnsi="Times New Roman"/>
              </w:rPr>
              <w:t>Febrilinė neutropenija (3</w:t>
            </w:r>
            <w:r w:rsidR="0057676D" w:rsidRPr="00F95B76">
              <w:rPr>
                <w:rFonts w:ascii="Times New Roman" w:hAnsi="Times New Roman"/>
              </w:rPr>
              <w:noBreakHyphen/>
            </w:r>
            <w:r w:rsidRPr="00F95B76">
              <w:rPr>
                <w:rFonts w:ascii="Times New Roman" w:hAnsi="Times New Roman"/>
              </w:rPr>
              <w:t>4</w:t>
            </w:r>
            <w:r w:rsidR="0057676D" w:rsidRPr="00F95B76">
              <w:rPr>
                <w:rFonts w:ascii="Times New Roman" w:hAnsi="Times New Roman"/>
              </w:rPr>
              <w:t> </w:t>
            </w:r>
            <w:r w:rsidRPr="001F2C46">
              <w:rPr>
                <w:rFonts w:ascii="Times New Roman" w:hAnsi="Times New Roman"/>
              </w:rPr>
              <w:t>laipsnio:</w:t>
            </w:r>
            <w:r w:rsidR="00EC5B32">
              <w:rPr>
                <w:rFonts w:ascii="Times New Roman" w:hAnsi="Times New Roman"/>
              </w:rPr>
              <w:t xml:space="preserve"> </w:t>
            </w:r>
            <w:r w:rsidRPr="00F957E7">
              <w:rPr>
                <w:rFonts w:ascii="Times New Roman" w:hAnsi="Times New Roman"/>
              </w:rPr>
              <w:t>nenustatyta)</w:t>
            </w:r>
          </w:p>
        </w:tc>
        <w:tc>
          <w:tcPr>
            <w:tcW w:w="2464" w:type="dxa"/>
          </w:tcPr>
          <w:p w14:paraId="62A95BF9"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2464" w:type="dxa"/>
          </w:tcPr>
          <w:p w14:paraId="163A3A46" w14:textId="77777777" w:rsidR="00D875C0" w:rsidRPr="00427D92" w:rsidRDefault="00D875C0" w:rsidP="003876F8">
            <w:pPr>
              <w:spacing w:after="0" w:line="240" w:lineRule="auto"/>
              <w:rPr>
                <w:rFonts w:ascii="Times New Roman" w:hAnsi="Times New Roman"/>
              </w:rPr>
            </w:pPr>
          </w:p>
        </w:tc>
      </w:tr>
      <w:tr w:rsidR="00D875C0" w:rsidRPr="007C1A06" w14:paraId="3A9A22C0" w14:textId="77777777" w:rsidTr="004E3CD5">
        <w:tc>
          <w:tcPr>
            <w:tcW w:w="2463" w:type="dxa"/>
          </w:tcPr>
          <w:p w14:paraId="1B200620"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Imuninės sistemos sutrikimai</w:t>
            </w:r>
          </w:p>
        </w:tc>
        <w:tc>
          <w:tcPr>
            <w:tcW w:w="2463" w:type="dxa"/>
          </w:tcPr>
          <w:p w14:paraId="3697CCB9"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2464" w:type="dxa"/>
          </w:tcPr>
          <w:p w14:paraId="7895998A" w14:textId="77777777" w:rsidR="00D875C0" w:rsidRPr="007C1A06" w:rsidRDefault="00D875C0" w:rsidP="0057676D">
            <w:pPr>
              <w:spacing w:after="0" w:line="240" w:lineRule="auto"/>
              <w:rPr>
                <w:rFonts w:ascii="Times New Roman" w:hAnsi="Times New Roman"/>
              </w:rPr>
            </w:pPr>
            <w:r w:rsidRPr="00427D92">
              <w:rPr>
                <w:rFonts w:ascii="Times New Roman" w:hAnsi="Times New Roman"/>
              </w:rPr>
              <w:t>Padidėjęs jautrumas (3</w:t>
            </w:r>
            <w:r w:rsidR="0057676D" w:rsidRPr="00C722B4">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0,6</w:t>
            </w:r>
            <w:r w:rsidR="0057676D" w:rsidRPr="007C1A06">
              <w:rPr>
                <w:rFonts w:ascii="Times New Roman" w:hAnsi="Times New Roman"/>
              </w:rPr>
              <w:t> </w:t>
            </w:r>
            <w:r w:rsidRPr="007C1A06">
              <w:rPr>
                <w:rFonts w:ascii="Times New Roman" w:hAnsi="Times New Roman"/>
              </w:rPr>
              <w:t>%)</w:t>
            </w:r>
          </w:p>
        </w:tc>
        <w:tc>
          <w:tcPr>
            <w:tcW w:w="2464" w:type="dxa"/>
          </w:tcPr>
          <w:p w14:paraId="1E303626" w14:textId="77777777" w:rsidR="00D875C0" w:rsidRPr="007C1A06" w:rsidRDefault="00D875C0" w:rsidP="003876F8">
            <w:pPr>
              <w:spacing w:after="0" w:line="240" w:lineRule="auto"/>
              <w:rPr>
                <w:rFonts w:ascii="Times New Roman" w:hAnsi="Times New Roman"/>
              </w:rPr>
            </w:pPr>
          </w:p>
        </w:tc>
      </w:tr>
      <w:tr w:rsidR="00D875C0" w:rsidRPr="007C1A06" w14:paraId="030FA35F" w14:textId="77777777" w:rsidTr="004E3CD5">
        <w:tc>
          <w:tcPr>
            <w:tcW w:w="2463" w:type="dxa"/>
          </w:tcPr>
          <w:p w14:paraId="4633FC83"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Metabolizmo ir mitybos sutrikimai</w:t>
            </w:r>
          </w:p>
        </w:tc>
        <w:tc>
          <w:tcPr>
            <w:tcW w:w="2463" w:type="dxa"/>
          </w:tcPr>
          <w:p w14:paraId="536B027C" w14:textId="77777777" w:rsidR="00D875C0" w:rsidRPr="007C1A06" w:rsidRDefault="00D875C0" w:rsidP="0057676D">
            <w:pPr>
              <w:autoSpaceDE w:val="0"/>
              <w:autoSpaceDN w:val="0"/>
              <w:adjustRightInd w:val="0"/>
              <w:spacing w:after="0" w:line="240" w:lineRule="auto"/>
              <w:rPr>
                <w:rFonts w:ascii="Times New Roman" w:hAnsi="Times New Roman"/>
              </w:rPr>
            </w:pPr>
            <w:r w:rsidRPr="001F2C46">
              <w:rPr>
                <w:rFonts w:ascii="Times New Roman" w:hAnsi="Times New Roman"/>
              </w:rPr>
              <w:t>Anoreksija (3</w:t>
            </w:r>
            <w:r w:rsidR="0057676D" w:rsidRPr="00427D92">
              <w:rPr>
                <w:rFonts w:ascii="Times New Roman" w:hAnsi="Times New Roman"/>
              </w:rPr>
              <w:noBreakHyphen/>
            </w:r>
            <w:r w:rsidRPr="00C722B4">
              <w:rPr>
                <w:rFonts w:ascii="Times New Roman" w:hAnsi="Times New Roman"/>
              </w:rPr>
              <w:t>4</w:t>
            </w:r>
            <w:r w:rsidR="0057676D" w:rsidRPr="007C1A06">
              <w:rPr>
                <w:rFonts w:ascii="Times New Roman" w:hAnsi="Times New Roman"/>
              </w:rPr>
              <w:t> </w:t>
            </w:r>
            <w:r w:rsidRPr="007C1A06">
              <w:rPr>
                <w:rFonts w:ascii="Times New Roman" w:hAnsi="Times New Roman"/>
              </w:rPr>
              <w:t>laipsnio – 1,5</w:t>
            </w:r>
            <w:r w:rsidR="0057676D" w:rsidRPr="007C1A06">
              <w:rPr>
                <w:rFonts w:ascii="Times New Roman" w:hAnsi="Times New Roman"/>
              </w:rPr>
              <w:t> </w:t>
            </w:r>
            <w:r w:rsidRPr="007C1A06">
              <w:rPr>
                <w:rFonts w:ascii="Times New Roman" w:hAnsi="Times New Roman"/>
              </w:rPr>
              <w:t>%)</w:t>
            </w:r>
          </w:p>
        </w:tc>
        <w:tc>
          <w:tcPr>
            <w:tcW w:w="2464" w:type="dxa"/>
          </w:tcPr>
          <w:p w14:paraId="4B4B212B" w14:textId="77777777" w:rsidR="00D875C0" w:rsidRPr="007C1A06" w:rsidRDefault="00D875C0" w:rsidP="003876F8">
            <w:pPr>
              <w:autoSpaceDE w:val="0"/>
              <w:autoSpaceDN w:val="0"/>
              <w:adjustRightInd w:val="0"/>
              <w:spacing w:after="0" w:line="240" w:lineRule="auto"/>
              <w:rPr>
                <w:rFonts w:ascii="Times New Roman" w:hAnsi="Times New Roman"/>
              </w:rPr>
            </w:pPr>
          </w:p>
        </w:tc>
        <w:tc>
          <w:tcPr>
            <w:tcW w:w="2464" w:type="dxa"/>
          </w:tcPr>
          <w:p w14:paraId="1C444B76"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544236DA" w14:textId="77777777" w:rsidTr="004E3CD5">
        <w:tc>
          <w:tcPr>
            <w:tcW w:w="2463" w:type="dxa"/>
          </w:tcPr>
          <w:p w14:paraId="09FB1B27"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Nervų sistemos sutrikimai</w:t>
            </w:r>
          </w:p>
        </w:tc>
        <w:tc>
          <w:tcPr>
            <w:tcW w:w="2463" w:type="dxa"/>
          </w:tcPr>
          <w:p w14:paraId="014D5E06" w14:textId="77777777" w:rsidR="00D875C0" w:rsidRPr="00F957E7" w:rsidRDefault="00D875C0" w:rsidP="003876F8">
            <w:pPr>
              <w:spacing w:after="0" w:line="240" w:lineRule="auto"/>
              <w:rPr>
                <w:rFonts w:ascii="Times New Roman" w:hAnsi="Times New Roman"/>
              </w:rPr>
            </w:pPr>
            <w:r w:rsidRPr="001F2C46">
              <w:rPr>
                <w:rFonts w:ascii="Times New Roman" w:hAnsi="Times New Roman"/>
              </w:rPr>
              <w:t>Disgeuzija (3</w:t>
            </w:r>
            <w:r w:rsidR="0057676D" w:rsidRPr="00427D92">
              <w:rPr>
                <w:rFonts w:ascii="Times New Roman" w:hAnsi="Times New Roman"/>
              </w:rPr>
              <w:noBreakHyphen/>
            </w:r>
            <w:r w:rsidRPr="00C722B4">
              <w:rPr>
                <w:rFonts w:ascii="Times New Roman" w:hAnsi="Times New Roman"/>
              </w:rPr>
              <w:t>4</w:t>
            </w:r>
            <w:r w:rsidR="0057676D" w:rsidRPr="007C1A06">
              <w:rPr>
                <w:rFonts w:ascii="Times New Roman" w:hAnsi="Times New Roman"/>
              </w:rPr>
              <w:t> </w:t>
            </w:r>
            <w:r w:rsidRPr="007C1A06">
              <w:rPr>
                <w:rFonts w:ascii="Times New Roman" w:hAnsi="Times New Roman"/>
              </w:rPr>
              <w:t>laipsnio – 0,6</w:t>
            </w:r>
            <w:r w:rsidR="0057676D" w:rsidRPr="007C1A06">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101CAECA" w14:textId="77777777" w:rsidR="00D875C0" w:rsidRPr="007C1A06" w:rsidRDefault="00D875C0" w:rsidP="0057676D">
            <w:pPr>
              <w:spacing w:after="0" w:line="240" w:lineRule="auto"/>
              <w:rPr>
                <w:rFonts w:ascii="Times New Roman" w:hAnsi="Times New Roman"/>
              </w:rPr>
            </w:pPr>
            <w:r w:rsidRPr="00F95B76">
              <w:rPr>
                <w:rFonts w:ascii="Times New Roman" w:hAnsi="Times New Roman"/>
              </w:rPr>
              <w:t>Periferinė sensorinė neuropatija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427D92">
              <w:rPr>
                <w:rFonts w:ascii="Times New Roman" w:hAnsi="Times New Roman"/>
              </w:rPr>
              <w:t>laipsnio &lt;</w:t>
            </w:r>
            <w:r w:rsidR="0057676D" w:rsidRPr="00C722B4">
              <w:rPr>
                <w:rFonts w:ascii="Times New Roman" w:hAnsi="Times New Roman"/>
              </w:rPr>
              <w:t> </w:t>
            </w:r>
            <w:r w:rsidRPr="007C1A06">
              <w:rPr>
                <w:rFonts w:ascii="Times New Roman" w:hAnsi="Times New Roman"/>
              </w:rPr>
              <w:t>0,1</w:t>
            </w:r>
            <w:r w:rsidR="0057676D" w:rsidRPr="007C1A06">
              <w:rPr>
                <w:rFonts w:ascii="Times New Roman" w:hAnsi="Times New Roman"/>
              </w:rPr>
              <w:t> </w:t>
            </w:r>
            <w:r w:rsidRPr="007C1A06">
              <w:rPr>
                <w:rFonts w:ascii="Times New Roman" w:hAnsi="Times New Roman"/>
              </w:rPr>
              <w:t>%)</w:t>
            </w:r>
          </w:p>
        </w:tc>
        <w:tc>
          <w:tcPr>
            <w:tcW w:w="2464" w:type="dxa"/>
          </w:tcPr>
          <w:p w14:paraId="376A42D2" w14:textId="77777777" w:rsidR="00D875C0" w:rsidRPr="004E3CD5" w:rsidRDefault="00D875C0" w:rsidP="0057676D">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Periferinė motorinė neuropatija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w:t>
            </w:r>
            <w:r w:rsidR="0057676D" w:rsidRPr="007C1A06">
              <w:rPr>
                <w:rFonts w:ascii="Times New Roman" w:hAnsi="Times New Roman"/>
              </w:rPr>
              <w:t> </w:t>
            </w:r>
            <w:r w:rsidRPr="007C1A06">
              <w:rPr>
                <w:rFonts w:ascii="Times New Roman" w:hAnsi="Times New Roman"/>
              </w:rPr>
              <w:t>%)</w:t>
            </w:r>
          </w:p>
        </w:tc>
        <w:tc>
          <w:tcPr>
            <w:tcW w:w="2464" w:type="dxa"/>
          </w:tcPr>
          <w:p w14:paraId="02923CA4" w14:textId="77777777" w:rsidR="00D875C0" w:rsidRPr="00874783" w:rsidRDefault="00D875C0" w:rsidP="003876F8">
            <w:pPr>
              <w:spacing w:after="0" w:line="240" w:lineRule="auto"/>
              <w:rPr>
                <w:rFonts w:ascii="Times New Roman" w:eastAsiaTheme="minorEastAsia" w:hAnsi="Times New Roman"/>
                <w:lang w:eastAsia="zh-TW"/>
              </w:rPr>
            </w:pPr>
            <w:r w:rsidRPr="007C1A06">
              <w:rPr>
                <w:rFonts w:ascii="Times New Roman" w:hAnsi="Times New Roman"/>
              </w:rPr>
              <w:t>Sinkopė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w:t>
            </w:r>
            <w:r w:rsidR="0057676D" w:rsidRPr="007C1A06">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3F2D1261" w14:textId="77777777" w:rsidR="00D875C0" w:rsidRPr="00F957E7" w:rsidRDefault="00D875C0" w:rsidP="003876F8">
            <w:pPr>
              <w:spacing w:after="0" w:line="240" w:lineRule="auto"/>
              <w:rPr>
                <w:rFonts w:ascii="Times New Roman" w:hAnsi="Times New Roman"/>
              </w:rPr>
            </w:pPr>
            <w:r w:rsidRPr="00F95B76">
              <w:rPr>
                <w:rFonts w:ascii="Times New Roman" w:hAnsi="Times New Roman"/>
              </w:rPr>
              <w:t>Neurotoksiškumas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427D92">
              <w:rPr>
                <w:rFonts w:ascii="Times New Roman" w:hAnsi="Times New Roman"/>
              </w:rPr>
              <w:t>laipsnio – 0</w:t>
            </w:r>
            <w:r w:rsidR="0057676D" w:rsidRPr="00C722B4">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3F26F2ED" w14:textId="77777777" w:rsidR="00D875C0" w:rsidRPr="007C1A06" w:rsidRDefault="00D875C0" w:rsidP="0057676D">
            <w:pPr>
              <w:spacing w:after="0" w:line="240" w:lineRule="auto"/>
              <w:rPr>
                <w:rFonts w:ascii="Times New Roman" w:hAnsi="Times New Roman"/>
              </w:rPr>
            </w:pPr>
            <w:r w:rsidRPr="00F95B76">
              <w:rPr>
                <w:rFonts w:ascii="Times New Roman" w:hAnsi="Times New Roman"/>
              </w:rPr>
              <w:t>Somnolencija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427D92">
              <w:rPr>
                <w:rFonts w:ascii="Times New Roman" w:hAnsi="Times New Roman"/>
              </w:rPr>
              <w:t>laipsnio – 0</w:t>
            </w:r>
            <w:r w:rsidR="0057676D" w:rsidRPr="00C722B4">
              <w:rPr>
                <w:rFonts w:ascii="Times New Roman" w:hAnsi="Times New Roman"/>
              </w:rPr>
              <w:t> </w:t>
            </w:r>
            <w:r w:rsidRPr="007C1A06">
              <w:rPr>
                <w:rFonts w:ascii="Times New Roman" w:hAnsi="Times New Roman"/>
              </w:rPr>
              <w:t>%)</w:t>
            </w:r>
          </w:p>
        </w:tc>
      </w:tr>
      <w:tr w:rsidR="00D875C0" w:rsidRPr="007C1A06" w14:paraId="65993786" w14:textId="77777777" w:rsidTr="004E3CD5">
        <w:tc>
          <w:tcPr>
            <w:tcW w:w="2463" w:type="dxa"/>
          </w:tcPr>
          <w:p w14:paraId="0B3F3159"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Akių sutrikimai</w:t>
            </w:r>
          </w:p>
        </w:tc>
        <w:tc>
          <w:tcPr>
            <w:tcW w:w="2463" w:type="dxa"/>
          </w:tcPr>
          <w:p w14:paraId="1254E93E" w14:textId="77777777" w:rsidR="00D875C0" w:rsidRPr="007C1A06" w:rsidRDefault="00D875C0" w:rsidP="0057676D">
            <w:pPr>
              <w:spacing w:after="0" w:line="240" w:lineRule="auto"/>
              <w:rPr>
                <w:rFonts w:ascii="Times New Roman" w:hAnsi="Times New Roman"/>
              </w:rPr>
            </w:pPr>
            <w:r w:rsidRPr="001F2C46">
              <w:rPr>
                <w:rFonts w:ascii="Times New Roman" w:hAnsi="Times New Roman"/>
              </w:rPr>
              <w:t>Konjunktyvitas (3</w:t>
            </w:r>
            <w:r w:rsidR="0057676D" w:rsidRPr="00427D92">
              <w:rPr>
                <w:rFonts w:ascii="Times New Roman" w:hAnsi="Times New Roman"/>
              </w:rPr>
              <w:noBreakHyphen/>
            </w:r>
            <w:r w:rsidRPr="00C722B4">
              <w:rPr>
                <w:rFonts w:ascii="Times New Roman" w:hAnsi="Times New Roman"/>
              </w:rPr>
              <w:t>4</w:t>
            </w:r>
            <w:r w:rsidR="0057676D" w:rsidRPr="007C1A06">
              <w:rPr>
                <w:rFonts w:ascii="Times New Roman" w:hAnsi="Times New Roman"/>
              </w:rPr>
              <w:t> </w:t>
            </w:r>
            <w:r w:rsidRPr="007C1A06">
              <w:rPr>
                <w:rFonts w:ascii="Times New Roman" w:hAnsi="Times New Roman"/>
              </w:rPr>
              <w:t>laipsnio &lt;</w:t>
            </w:r>
            <w:r w:rsidR="0057676D" w:rsidRPr="007C1A06">
              <w:rPr>
                <w:rFonts w:ascii="Times New Roman" w:hAnsi="Times New Roman"/>
              </w:rPr>
              <w:t> </w:t>
            </w:r>
            <w:r w:rsidRPr="007C1A06">
              <w:rPr>
                <w:rFonts w:ascii="Times New Roman" w:hAnsi="Times New Roman"/>
              </w:rPr>
              <w:t>0,1</w:t>
            </w:r>
            <w:r w:rsidR="0057676D" w:rsidRPr="007C1A06">
              <w:rPr>
                <w:rFonts w:ascii="Times New Roman" w:hAnsi="Times New Roman"/>
              </w:rPr>
              <w:t> </w:t>
            </w:r>
            <w:r w:rsidRPr="007C1A06">
              <w:rPr>
                <w:rFonts w:ascii="Times New Roman" w:hAnsi="Times New Roman"/>
              </w:rPr>
              <w:t>%)</w:t>
            </w:r>
          </w:p>
        </w:tc>
        <w:tc>
          <w:tcPr>
            <w:tcW w:w="2464" w:type="dxa"/>
          </w:tcPr>
          <w:p w14:paraId="5E84B50E" w14:textId="77777777" w:rsidR="00D875C0" w:rsidRPr="00F957E7" w:rsidRDefault="00D875C0" w:rsidP="0057676D">
            <w:pPr>
              <w:spacing w:after="0" w:line="240" w:lineRule="auto"/>
              <w:rPr>
                <w:rFonts w:ascii="Times New Roman" w:eastAsiaTheme="minorEastAsia" w:hAnsi="Times New Roman"/>
                <w:lang w:val="en-US" w:eastAsia="zh-TW"/>
              </w:rPr>
            </w:pPr>
            <w:r w:rsidRPr="007C1A06">
              <w:rPr>
                <w:rFonts w:ascii="Times New Roman" w:hAnsi="Times New Roman"/>
              </w:rPr>
              <w:t>Sustiprėjęs ašarojimas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&lt;</w:t>
            </w:r>
            <w:r w:rsidR="0057676D" w:rsidRPr="007C1A06">
              <w:rPr>
                <w:rFonts w:ascii="Times New Roman" w:hAnsi="Times New Roman"/>
              </w:rPr>
              <w:t> </w:t>
            </w:r>
            <w:r w:rsidRPr="007C1A06">
              <w:rPr>
                <w:rFonts w:ascii="Times New Roman" w:hAnsi="Times New Roman"/>
              </w:rPr>
              <w:t>0,1</w:t>
            </w:r>
            <w:r w:rsidR="0057676D" w:rsidRPr="007C1A06">
              <w:rPr>
                <w:rFonts w:ascii="Times New Roman" w:hAnsi="Times New Roman"/>
              </w:rPr>
              <w:t> </w:t>
            </w:r>
            <w:r w:rsidRPr="007C1A06">
              <w:rPr>
                <w:rFonts w:ascii="Times New Roman" w:hAnsi="Times New Roman"/>
              </w:rPr>
              <w:t>%)</w:t>
            </w:r>
          </w:p>
        </w:tc>
        <w:tc>
          <w:tcPr>
            <w:tcW w:w="2464" w:type="dxa"/>
          </w:tcPr>
          <w:p w14:paraId="2422C982" w14:textId="77777777" w:rsidR="00D875C0" w:rsidRPr="00F95B76" w:rsidRDefault="00D875C0" w:rsidP="003876F8">
            <w:pPr>
              <w:spacing w:after="0" w:line="240" w:lineRule="auto"/>
              <w:rPr>
                <w:rFonts w:ascii="Times New Roman" w:hAnsi="Times New Roman"/>
              </w:rPr>
            </w:pPr>
          </w:p>
        </w:tc>
      </w:tr>
      <w:tr w:rsidR="00D875C0" w:rsidRPr="007C1A06" w14:paraId="32E056E0" w14:textId="77777777" w:rsidTr="004E3CD5">
        <w:tc>
          <w:tcPr>
            <w:tcW w:w="2463" w:type="dxa"/>
          </w:tcPr>
          <w:p w14:paraId="41F3EB78" w14:textId="77777777" w:rsidR="00D875C0" w:rsidRPr="00F957E7" w:rsidRDefault="00D875C0" w:rsidP="003876F8">
            <w:pPr>
              <w:spacing w:after="0" w:line="240" w:lineRule="auto"/>
              <w:rPr>
                <w:rFonts w:ascii="Times New Roman" w:hAnsi="Times New Roman"/>
              </w:rPr>
            </w:pPr>
            <w:r w:rsidRPr="00F957E7">
              <w:rPr>
                <w:rFonts w:ascii="Times New Roman" w:hAnsi="Times New Roman"/>
              </w:rPr>
              <w:t>Širdies sutrikimai</w:t>
            </w:r>
          </w:p>
        </w:tc>
        <w:tc>
          <w:tcPr>
            <w:tcW w:w="2463" w:type="dxa"/>
          </w:tcPr>
          <w:p w14:paraId="459D21A0" w14:textId="77777777" w:rsidR="00D875C0" w:rsidRPr="00F95B76" w:rsidRDefault="00D875C0" w:rsidP="003876F8">
            <w:pPr>
              <w:spacing w:after="0" w:line="240" w:lineRule="auto"/>
              <w:rPr>
                <w:rFonts w:ascii="Times New Roman" w:hAnsi="Times New Roman"/>
              </w:rPr>
            </w:pPr>
          </w:p>
        </w:tc>
        <w:tc>
          <w:tcPr>
            <w:tcW w:w="2464" w:type="dxa"/>
          </w:tcPr>
          <w:p w14:paraId="381FD875" w14:textId="77777777" w:rsidR="00D875C0" w:rsidRPr="00F957E7" w:rsidRDefault="00D875C0" w:rsidP="0057676D">
            <w:pPr>
              <w:spacing w:after="0" w:line="240" w:lineRule="auto"/>
              <w:rPr>
                <w:rFonts w:ascii="Times New Roman" w:hAnsi="Times New Roman"/>
              </w:rPr>
            </w:pPr>
            <w:r w:rsidRPr="001F2C46">
              <w:rPr>
                <w:rFonts w:ascii="Times New Roman" w:hAnsi="Times New Roman"/>
              </w:rPr>
              <w:t>Aritmija (3</w:t>
            </w:r>
            <w:r w:rsidR="0057676D" w:rsidRPr="001F2C46">
              <w:rPr>
                <w:rFonts w:ascii="Times New Roman" w:hAnsi="Times New Roman"/>
              </w:rPr>
              <w:noBreakHyphen/>
            </w:r>
            <w:r w:rsidRPr="001F2C46">
              <w:rPr>
                <w:rFonts w:ascii="Times New Roman" w:hAnsi="Times New Roman"/>
              </w:rPr>
              <w:t>4</w:t>
            </w:r>
            <w:r w:rsidR="0057676D" w:rsidRPr="00427D92">
              <w:rPr>
                <w:rFonts w:ascii="Times New Roman" w:hAnsi="Times New Roman"/>
              </w:rPr>
              <w:t> </w:t>
            </w:r>
            <w:r w:rsidRPr="00C722B4">
              <w:rPr>
                <w:rFonts w:ascii="Times New Roman" w:hAnsi="Times New Roman"/>
              </w:rPr>
              <w:t>laipsnio – 0,2</w:t>
            </w:r>
            <w:r w:rsidR="0057676D" w:rsidRPr="007C1A06">
              <w:rPr>
                <w:rFonts w:ascii="Times New Roman" w:hAnsi="Times New Roman"/>
              </w:rPr>
              <w:t> </w:t>
            </w:r>
            <w:r w:rsidRPr="007C1A06">
              <w:rPr>
                <w:rFonts w:ascii="Times New Roman" w:hAnsi="Times New Roman"/>
              </w:rPr>
              <w:t>%)</w:t>
            </w:r>
          </w:p>
        </w:tc>
        <w:tc>
          <w:tcPr>
            <w:tcW w:w="2464" w:type="dxa"/>
          </w:tcPr>
          <w:p w14:paraId="38BFD878" w14:textId="77777777" w:rsidR="00D875C0" w:rsidRPr="00F95B76" w:rsidRDefault="00D875C0" w:rsidP="003876F8">
            <w:pPr>
              <w:autoSpaceDE w:val="0"/>
              <w:autoSpaceDN w:val="0"/>
              <w:adjustRightInd w:val="0"/>
              <w:spacing w:after="0" w:line="240" w:lineRule="auto"/>
              <w:rPr>
                <w:rFonts w:ascii="Times New Roman" w:hAnsi="Times New Roman"/>
              </w:rPr>
            </w:pPr>
          </w:p>
        </w:tc>
      </w:tr>
      <w:tr w:rsidR="00D875C0" w:rsidRPr="007C1A06" w14:paraId="25865B8D" w14:textId="77777777" w:rsidTr="004E3CD5">
        <w:tc>
          <w:tcPr>
            <w:tcW w:w="2463" w:type="dxa"/>
          </w:tcPr>
          <w:p w14:paraId="63719CB3" w14:textId="77777777" w:rsidR="00D875C0" w:rsidRPr="00F957E7" w:rsidRDefault="00D875C0" w:rsidP="003876F8">
            <w:pPr>
              <w:spacing w:after="0" w:line="240" w:lineRule="auto"/>
              <w:rPr>
                <w:rFonts w:ascii="Times New Roman" w:hAnsi="Times New Roman"/>
              </w:rPr>
            </w:pPr>
            <w:r w:rsidRPr="00F957E7">
              <w:rPr>
                <w:rFonts w:ascii="Times New Roman" w:hAnsi="Times New Roman"/>
              </w:rPr>
              <w:t>Kraujagyslių sutrikimai</w:t>
            </w:r>
          </w:p>
        </w:tc>
        <w:tc>
          <w:tcPr>
            <w:tcW w:w="2463" w:type="dxa"/>
          </w:tcPr>
          <w:p w14:paraId="18956A41" w14:textId="77777777" w:rsidR="00D875C0" w:rsidRPr="007C1A06" w:rsidRDefault="00D875C0" w:rsidP="0057676D">
            <w:pPr>
              <w:autoSpaceDE w:val="0"/>
              <w:autoSpaceDN w:val="0"/>
              <w:adjustRightInd w:val="0"/>
              <w:spacing w:after="0" w:line="240" w:lineRule="auto"/>
              <w:rPr>
                <w:rFonts w:ascii="Times New Roman" w:hAnsi="Times New Roman"/>
              </w:rPr>
            </w:pPr>
            <w:r w:rsidRPr="00F95B76">
              <w:rPr>
                <w:rFonts w:ascii="Times New Roman" w:hAnsi="Times New Roman"/>
              </w:rPr>
              <w:t>Karščio pylimas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427D92">
              <w:rPr>
                <w:rFonts w:ascii="Times New Roman" w:hAnsi="Times New Roman"/>
              </w:rPr>
              <w:t>laipsnio – 0,5</w:t>
            </w:r>
            <w:r w:rsidR="0057676D" w:rsidRPr="00C722B4">
              <w:rPr>
                <w:rFonts w:ascii="Times New Roman" w:hAnsi="Times New Roman"/>
              </w:rPr>
              <w:t> </w:t>
            </w:r>
            <w:r w:rsidRPr="007C1A06">
              <w:rPr>
                <w:rFonts w:ascii="Times New Roman" w:hAnsi="Times New Roman"/>
              </w:rPr>
              <w:t>%)</w:t>
            </w:r>
          </w:p>
        </w:tc>
        <w:tc>
          <w:tcPr>
            <w:tcW w:w="2464" w:type="dxa"/>
          </w:tcPr>
          <w:p w14:paraId="3719F051" w14:textId="77777777" w:rsidR="00D875C0" w:rsidRPr="00F957E7" w:rsidRDefault="00D875C0" w:rsidP="003876F8">
            <w:pPr>
              <w:spacing w:after="0" w:line="240" w:lineRule="auto"/>
              <w:rPr>
                <w:rFonts w:ascii="Times New Roman" w:eastAsiaTheme="minorEastAsia" w:hAnsi="Times New Roman"/>
                <w:lang w:val="en-US" w:eastAsia="zh-TW"/>
              </w:rPr>
            </w:pPr>
            <w:r w:rsidRPr="007C1A06">
              <w:rPr>
                <w:rFonts w:ascii="Times New Roman" w:hAnsi="Times New Roman"/>
              </w:rPr>
              <w:t>Hipotenzija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w:t>
            </w:r>
            <w:r w:rsidR="0057676D" w:rsidRPr="007C1A06">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79252FCF" w14:textId="77777777" w:rsidR="00D875C0" w:rsidRPr="001F2C46" w:rsidRDefault="00D875C0" w:rsidP="0057676D">
            <w:pPr>
              <w:spacing w:after="0" w:line="240" w:lineRule="auto"/>
              <w:rPr>
                <w:rFonts w:ascii="Times New Roman" w:hAnsi="Times New Roman"/>
              </w:rPr>
            </w:pPr>
            <w:r w:rsidRPr="00F95B76">
              <w:rPr>
                <w:rFonts w:ascii="Times New Roman" w:hAnsi="Times New Roman"/>
              </w:rPr>
              <w:t>Flebitas (3</w:t>
            </w:r>
            <w:r w:rsidR="0057676D" w:rsidRPr="00F95B76">
              <w:rPr>
                <w:rFonts w:ascii="Times New Roman" w:hAnsi="Times New Roman"/>
              </w:rPr>
              <w:noBreakHyphen/>
            </w:r>
            <w:r w:rsidRPr="00F95B76">
              <w:rPr>
                <w:rFonts w:ascii="Times New Roman" w:hAnsi="Times New Roman"/>
              </w:rPr>
              <w:t>4</w:t>
            </w:r>
            <w:r w:rsidR="0057676D" w:rsidRPr="00F95B76">
              <w:rPr>
                <w:rFonts w:ascii="Times New Roman" w:hAnsi="Times New Roman"/>
              </w:rPr>
              <w:t> </w:t>
            </w:r>
            <w:r w:rsidRPr="001F2C46">
              <w:rPr>
                <w:rFonts w:ascii="Times New Roman" w:hAnsi="Times New Roman"/>
              </w:rPr>
              <w:t>laipsnio – 0</w:t>
            </w:r>
            <w:r w:rsidR="0057676D" w:rsidRPr="001F2C46">
              <w:rPr>
                <w:rFonts w:ascii="Times New Roman" w:hAnsi="Times New Roman"/>
              </w:rPr>
              <w:t> </w:t>
            </w:r>
            <w:r w:rsidRPr="001F2C46">
              <w:rPr>
                <w:rFonts w:ascii="Times New Roman" w:hAnsi="Times New Roman"/>
              </w:rPr>
              <w:t>%)</w:t>
            </w:r>
          </w:p>
        </w:tc>
        <w:tc>
          <w:tcPr>
            <w:tcW w:w="2464" w:type="dxa"/>
          </w:tcPr>
          <w:p w14:paraId="22A816FB" w14:textId="77777777" w:rsidR="00D875C0" w:rsidRPr="007C1A06" w:rsidRDefault="00D875C0" w:rsidP="0057676D">
            <w:pPr>
              <w:spacing w:after="0" w:line="240" w:lineRule="auto"/>
              <w:rPr>
                <w:rFonts w:ascii="Times New Roman" w:hAnsi="Times New Roman"/>
              </w:rPr>
            </w:pPr>
            <w:r w:rsidRPr="00427D92">
              <w:rPr>
                <w:rFonts w:ascii="Times New Roman" w:hAnsi="Times New Roman"/>
              </w:rPr>
              <w:t>Limfedema (3</w:t>
            </w:r>
            <w:r w:rsidR="0057676D" w:rsidRPr="00C722B4">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w:t>
            </w:r>
            <w:r w:rsidR="0057676D" w:rsidRPr="007C1A06">
              <w:rPr>
                <w:rFonts w:ascii="Times New Roman" w:hAnsi="Times New Roman"/>
              </w:rPr>
              <w:t> </w:t>
            </w:r>
            <w:r w:rsidRPr="007C1A06">
              <w:rPr>
                <w:rFonts w:ascii="Times New Roman" w:hAnsi="Times New Roman"/>
              </w:rPr>
              <w:t>%)</w:t>
            </w:r>
          </w:p>
        </w:tc>
      </w:tr>
      <w:tr w:rsidR="00D875C0" w:rsidRPr="007C1A06" w14:paraId="4109D772" w14:textId="77777777" w:rsidTr="004E3CD5">
        <w:tc>
          <w:tcPr>
            <w:tcW w:w="2463" w:type="dxa"/>
          </w:tcPr>
          <w:p w14:paraId="2E72E4D3" w14:textId="77777777" w:rsidR="00D875C0" w:rsidRPr="00F957E7" w:rsidRDefault="00D875C0" w:rsidP="003876F8">
            <w:pPr>
              <w:spacing w:after="0" w:line="240" w:lineRule="auto"/>
              <w:rPr>
                <w:rFonts w:ascii="Times New Roman" w:hAnsi="Times New Roman"/>
              </w:rPr>
            </w:pPr>
            <w:r w:rsidRPr="00F957E7">
              <w:rPr>
                <w:rFonts w:ascii="Times New Roman" w:hAnsi="Times New Roman"/>
              </w:rPr>
              <w:t>Kvėpavimo sistemos, krūtinės ląstos ir tarpusienio sutrikimai</w:t>
            </w:r>
          </w:p>
        </w:tc>
        <w:tc>
          <w:tcPr>
            <w:tcW w:w="2463" w:type="dxa"/>
          </w:tcPr>
          <w:p w14:paraId="08C139C3" w14:textId="77777777" w:rsidR="00D875C0" w:rsidRPr="00F95B76" w:rsidRDefault="00D875C0" w:rsidP="003876F8">
            <w:pPr>
              <w:autoSpaceDE w:val="0"/>
              <w:autoSpaceDN w:val="0"/>
              <w:adjustRightInd w:val="0"/>
              <w:spacing w:after="0" w:line="240" w:lineRule="auto"/>
              <w:rPr>
                <w:rFonts w:ascii="Times New Roman" w:hAnsi="Times New Roman"/>
              </w:rPr>
            </w:pPr>
          </w:p>
        </w:tc>
        <w:tc>
          <w:tcPr>
            <w:tcW w:w="2464" w:type="dxa"/>
          </w:tcPr>
          <w:p w14:paraId="77D1AFC6" w14:textId="77777777" w:rsidR="00D875C0" w:rsidRPr="007C1A06" w:rsidRDefault="00D875C0" w:rsidP="0057676D">
            <w:pPr>
              <w:spacing w:after="0" w:line="240" w:lineRule="auto"/>
              <w:rPr>
                <w:rFonts w:ascii="Times New Roman" w:hAnsi="Times New Roman"/>
              </w:rPr>
            </w:pPr>
            <w:r w:rsidRPr="001F2C46">
              <w:rPr>
                <w:rFonts w:ascii="Times New Roman" w:hAnsi="Times New Roman"/>
              </w:rPr>
              <w:t>Kosulys (3</w:t>
            </w:r>
            <w:r w:rsidR="0057676D" w:rsidRPr="001F2C46">
              <w:rPr>
                <w:rFonts w:ascii="Times New Roman" w:hAnsi="Times New Roman"/>
              </w:rPr>
              <w:noBreakHyphen/>
            </w:r>
            <w:r w:rsidRPr="001F2C46">
              <w:rPr>
                <w:rFonts w:ascii="Times New Roman" w:hAnsi="Times New Roman"/>
              </w:rPr>
              <w:t>4</w:t>
            </w:r>
            <w:r w:rsidR="0057676D" w:rsidRPr="00427D92">
              <w:rPr>
                <w:rFonts w:ascii="Times New Roman" w:hAnsi="Times New Roman"/>
              </w:rPr>
              <w:t> </w:t>
            </w:r>
            <w:r w:rsidRPr="00C722B4">
              <w:rPr>
                <w:rFonts w:ascii="Times New Roman" w:hAnsi="Times New Roman"/>
              </w:rPr>
              <w:t>laipsnio – 0</w:t>
            </w:r>
            <w:r w:rsidR="0057676D" w:rsidRPr="007C1A06">
              <w:rPr>
                <w:rFonts w:ascii="Times New Roman" w:hAnsi="Times New Roman"/>
              </w:rPr>
              <w:t> </w:t>
            </w:r>
            <w:r w:rsidRPr="007C1A06">
              <w:rPr>
                <w:rFonts w:ascii="Times New Roman" w:hAnsi="Times New Roman"/>
              </w:rPr>
              <w:t>%)</w:t>
            </w:r>
          </w:p>
        </w:tc>
        <w:tc>
          <w:tcPr>
            <w:tcW w:w="2464" w:type="dxa"/>
          </w:tcPr>
          <w:p w14:paraId="42513923" w14:textId="77777777" w:rsidR="00D875C0" w:rsidRPr="007C1A06" w:rsidRDefault="00D875C0" w:rsidP="003876F8">
            <w:pPr>
              <w:spacing w:after="0" w:line="240" w:lineRule="auto"/>
              <w:rPr>
                <w:rFonts w:ascii="Times New Roman" w:hAnsi="Times New Roman"/>
              </w:rPr>
            </w:pPr>
          </w:p>
        </w:tc>
      </w:tr>
      <w:tr w:rsidR="00D875C0" w:rsidRPr="007C1A06" w14:paraId="5CE371D7" w14:textId="77777777" w:rsidTr="004E3CD5">
        <w:tc>
          <w:tcPr>
            <w:tcW w:w="2463" w:type="dxa"/>
          </w:tcPr>
          <w:p w14:paraId="319B0130" w14:textId="77777777" w:rsidR="00D875C0" w:rsidRPr="00F95B76" w:rsidRDefault="00D875C0" w:rsidP="003876F8">
            <w:pPr>
              <w:autoSpaceDE w:val="0"/>
              <w:autoSpaceDN w:val="0"/>
              <w:adjustRightInd w:val="0"/>
              <w:spacing w:after="0" w:line="240" w:lineRule="auto"/>
              <w:rPr>
                <w:rFonts w:ascii="Times New Roman" w:hAnsi="Times New Roman"/>
              </w:rPr>
            </w:pPr>
            <w:r w:rsidRPr="00F957E7">
              <w:rPr>
                <w:rFonts w:ascii="Times New Roman" w:hAnsi="Times New Roman"/>
              </w:rPr>
              <w:t>Virškinimo trakto sutrikimai</w:t>
            </w:r>
          </w:p>
        </w:tc>
        <w:tc>
          <w:tcPr>
            <w:tcW w:w="2463" w:type="dxa"/>
          </w:tcPr>
          <w:p w14:paraId="228960F0" w14:textId="77777777" w:rsidR="00D875C0" w:rsidRPr="00F957E7"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Pykinimas (3</w:t>
            </w:r>
            <w:r w:rsidR="0057676D" w:rsidRPr="00427D92">
              <w:rPr>
                <w:rFonts w:ascii="Times New Roman" w:hAnsi="Times New Roman"/>
              </w:rPr>
              <w:noBreakHyphen/>
            </w:r>
            <w:r w:rsidRPr="00C722B4">
              <w:rPr>
                <w:rFonts w:ascii="Times New Roman" w:hAnsi="Times New Roman"/>
              </w:rPr>
              <w:t>4</w:t>
            </w:r>
            <w:r w:rsidR="0057676D" w:rsidRPr="007C1A06">
              <w:rPr>
                <w:rFonts w:ascii="Times New Roman" w:hAnsi="Times New Roman"/>
              </w:rPr>
              <w:t> </w:t>
            </w:r>
            <w:r w:rsidRPr="007C1A06">
              <w:rPr>
                <w:rFonts w:ascii="Times New Roman" w:hAnsi="Times New Roman"/>
              </w:rPr>
              <w:t>laipsnio – 5,0</w:t>
            </w:r>
            <w:r w:rsidR="0057676D" w:rsidRPr="007C1A06">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0B588A24" w14:textId="77777777" w:rsidR="00D875C0" w:rsidRPr="00F957E7"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Stomatitas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427D92">
              <w:rPr>
                <w:rFonts w:ascii="Times New Roman" w:hAnsi="Times New Roman"/>
              </w:rPr>
              <w:t>laipsnio – 6,0</w:t>
            </w:r>
            <w:r w:rsidR="0057676D" w:rsidRPr="00C722B4">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5EB84E55" w14:textId="77777777" w:rsidR="00D875C0" w:rsidRPr="00F957E7"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Vėmimas (3</w:t>
            </w:r>
            <w:r w:rsidR="0057676D" w:rsidRPr="00F95B76">
              <w:rPr>
                <w:rFonts w:ascii="Times New Roman" w:hAnsi="Times New Roman"/>
              </w:rPr>
              <w:noBreakHyphen/>
            </w:r>
            <w:r w:rsidRPr="00F95B76">
              <w:rPr>
                <w:rFonts w:ascii="Times New Roman" w:hAnsi="Times New Roman"/>
              </w:rPr>
              <w:t>4</w:t>
            </w:r>
            <w:r w:rsidR="0057676D" w:rsidRPr="00F95B76">
              <w:rPr>
                <w:rFonts w:ascii="Times New Roman" w:hAnsi="Times New Roman"/>
              </w:rPr>
              <w:t> </w:t>
            </w:r>
            <w:r w:rsidRPr="001F2C46">
              <w:rPr>
                <w:rFonts w:ascii="Times New Roman" w:hAnsi="Times New Roman"/>
              </w:rPr>
              <w:t>laipsnio – 4,2</w:t>
            </w:r>
            <w:r w:rsidR="0057676D" w:rsidRPr="001F2C46">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5FA2091D" w14:textId="77777777" w:rsidR="00D875C0" w:rsidRPr="00F957E7"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Viduriavimas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427D92">
              <w:rPr>
                <w:rFonts w:ascii="Times New Roman" w:hAnsi="Times New Roman"/>
              </w:rPr>
              <w:t>laipsnio – 3,4</w:t>
            </w:r>
            <w:r w:rsidR="0057676D" w:rsidRPr="00C722B4">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66448F80" w14:textId="77777777" w:rsidR="00D875C0" w:rsidRPr="001F2C46" w:rsidRDefault="00D875C0" w:rsidP="0057676D">
            <w:pPr>
              <w:autoSpaceDE w:val="0"/>
              <w:autoSpaceDN w:val="0"/>
              <w:adjustRightInd w:val="0"/>
              <w:spacing w:after="0" w:line="240" w:lineRule="auto"/>
              <w:rPr>
                <w:rFonts w:ascii="Times New Roman" w:hAnsi="Times New Roman"/>
              </w:rPr>
            </w:pPr>
            <w:r w:rsidRPr="00F95B76">
              <w:rPr>
                <w:rFonts w:ascii="Times New Roman" w:hAnsi="Times New Roman"/>
              </w:rPr>
              <w:t>Vidurių užkietėjimas (3</w:t>
            </w:r>
            <w:r w:rsidR="0057676D" w:rsidRPr="00F95B76">
              <w:rPr>
                <w:rFonts w:ascii="Times New Roman" w:hAnsi="Times New Roman"/>
              </w:rPr>
              <w:noBreakHyphen/>
            </w:r>
            <w:r w:rsidRPr="00F95B76">
              <w:rPr>
                <w:rFonts w:ascii="Times New Roman" w:hAnsi="Times New Roman"/>
              </w:rPr>
              <w:t>4</w:t>
            </w:r>
            <w:r w:rsidR="0057676D" w:rsidRPr="00F95B76">
              <w:rPr>
                <w:rFonts w:ascii="Times New Roman" w:hAnsi="Times New Roman"/>
              </w:rPr>
              <w:t> </w:t>
            </w:r>
            <w:r w:rsidRPr="001F2C46">
              <w:rPr>
                <w:rFonts w:ascii="Times New Roman" w:hAnsi="Times New Roman"/>
              </w:rPr>
              <w:t>laipsnio – 0,5</w:t>
            </w:r>
            <w:r w:rsidR="0057676D" w:rsidRPr="001F2C46">
              <w:rPr>
                <w:rFonts w:ascii="Times New Roman" w:hAnsi="Times New Roman"/>
              </w:rPr>
              <w:t> </w:t>
            </w:r>
            <w:r w:rsidRPr="001F2C46">
              <w:rPr>
                <w:rFonts w:ascii="Times New Roman" w:hAnsi="Times New Roman"/>
              </w:rPr>
              <w:t>%)</w:t>
            </w:r>
          </w:p>
        </w:tc>
        <w:tc>
          <w:tcPr>
            <w:tcW w:w="2464" w:type="dxa"/>
          </w:tcPr>
          <w:p w14:paraId="6F4205E7" w14:textId="77777777" w:rsidR="00D875C0" w:rsidRPr="007C1A06" w:rsidRDefault="00D875C0" w:rsidP="0057676D">
            <w:pPr>
              <w:spacing w:after="0" w:line="240" w:lineRule="auto"/>
              <w:rPr>
                <w:rFonts w:ascii="Times New Roman" w:hAnsi="Times New Roman"/>
              </w:rPr>
            </w:pPr>
            <w:r w:rsidRPr="00427D92">
              <w:rPr>
                <w:rFonts w:ascii="Times New Roman" w:hAnsi="Times New Roman"/>
              </w:rPr>
              <w:t>Pilvo skausmas (3</w:t>
            </w:r>
            <w:r w:rsidR="0057676D" w:rsidRPr="00C722B4">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0,4</w:t>
            </w:r>
            <w:r w:rsidR="0057676D" w:rsidRPr="007C1A06">
              <w:rPr>
                <w:rFonts w:ascii="Times New Roman" w:hAnsi="Times New Roman"/>
              </w:rPr>
              <w:t> </w:t>
            </w:r>
            <w:r w:rsidRPr="007C1A06">
              <w:rPr>
                <w:rFonts w:ascii="Times New Roman" w:hAnsi="Times New Roman"/>
              </w:rPr>
              <w:t>%)</w:t>
            </w:r>
          </w:p>
        </w:tc>
        <w:tc>
          <w:tcPr>
            <w:tcW w:w="2464" w:type="dxa"/>
          </w:tcPr>
          <w:p w14:paraId="52E9580B" w14:textId="77777777" w:rsidR="00D875C0" w:rsidRPr="007C1A06" w:rsidRDefault="00D875C0" w:rsidP="003876F8">
            <w:pPr>
              <w:spacing w:after="0" w:line="240" w:lineRule="auto"/>
              <w:rPr>
                <w:rFonts w:ascii="Times New Roman" w:hAnsi="Times New Roman"/>
              </w:rPr>
            </w:pPr>
          </w:p>
        </w:tc>
      </w:tr>
      <w:tr w:rsidR="00D875C0" w:rsidRPr="007C1A06" w14:paraId="66AE021C" w14:textId="77777777" w:rsidTr="004E3CD5">
        <w:tc>
          <w:tcPr>
            <w:tcW w:w="2463" w:type="dxa"/>
          </w:tcPr>
          <w:p w14:paraId="1C9328C3" w14:textId="77777777" w:rsidR="00D875C0" w:rsidRPr="00F957E7" w:rsidRDefault="00D875C0" w:rsidP="003876F8">
            <w:pPr>
              <w:spacing w:after="0" w:line="240" w:lineRule="auto"/>
              <w:rPr>
                <w:rFonts w:ascii="Times New Roman" w:hAnsi="Times New Roman"/>
              </w:rPr>
            </w:pPr>
            <w:r w:rsidRPr="00F957E7">
              <w:rPr>
                <w:rFonts w:ascii="Times New Roman" w:hAnsi="Times New Roman"/>
              </w:rPr>
              <w:t xml:space="preserve">Odos ir </w:t>
            </w:r>
            <w:r w:rsidRPr="00F95B76">
              <w:rPr>
                <w:rFonts w:ascii="Times New Roman" w:hAnsi="Times New Roman"/>
              </w:rPr>
              <w:t>poodinio audinio sutrikimai</w:t>
            </w:r>
          </w:p>
        </w:tc>
        <w:tc>
          <w:tcPr>
            <w:tcW w:w="2463" w:type="dxa"/>
          </w:tcPr>
          <w:p w14:paraId="548F8AA5" w14:textId="77777777" w:rsidR="00D875C0" w:rsidRPr="00F957E7"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Alopecija (išliekanti &lt;</w:t>
            </w:r>
            <w:r w:rsidR="0057676D" w:rsidRPr="00F95B76">
              <w:rPr>
                <w:rFonts w:ascii="Times New Roman" w:hAnsi="Times New Roman"/>
              </w:rPr>
              <w:t> </w:t>
            </w:r>
            <w:r w:rsidRPr="00F957E7">
              <w:rPr>
                <w:rFonts w:ascii="Times New Roman" w:hAnsi="Times New Roman"/>
              </w:rPr>
              <w:t>3</w:t>
            </w:r>
            <w:r w:rsidR="0057676D" w:rsidRPr="00F95B76">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21C6B290" w14:textId="77777777" w:rsidR="00D875C0" w:rsidRPr="00F957E7"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Odos pažeidimas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1F2C46">
              <w:rPr>
                <w:rFonts w:ascii="Times New Roman" w:hAnsi="Times New Roman"/>
              </w:rPr>
              <w:t>laipsnio – 0,6</w:t>
            </w:r>
            <w:r w:rsidR="0057676D" w:rsidRPr="00427D92">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5EBCF0E3" w14:textId="77777777" w:rsidR="00D875C0" w:rsidRPr="00C722B4" w:rsidRDefault="00D875C0" w:rsidP="0057676D">
            <w:pPr>
              <w:autoSpaceDE w:val="0"/>
              <w:autoSpaceDN w:val="0"/>
              <w:adjustRightInd w:val="0"/>
              <w:spacing w:after="0" w:line="240" w:lineRule="auto"/>
              <w:rPr>
                <w:rFonts w:ascii="Times New Roman" w:hAnsi="Times New Roman"/>
              </w:rPr>
            </w:pPr>
            <w:r w:rsidRPr="00F95B76">
              <w:rPr>
                <w:rFonts w:ascii="Times New Roman" w:hAnsi="Times New Roman"/>
              </w:rPr>
              <w:t>Nagų pažeidimas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1F2C46">
              <w:rPr>
                <w:rFonts w:ascii="Times New Roman" w:hAnsi="Times New Roman"/>
              </w:rPr>
              <w:t>laipsnio – 0,4</w:t>
            </w:r>
            <w:r w:rsidR="0057676D" w:rsidRPr="00427D92">
              <w:rPr>
                <w:rFonts w:ascii="Times New Roman" w:hAnsi="Times New Roman"/>
              </w:rPr>
              <w:t> </w:t>
            </w:r>
            <w:r w:rsidRPr="00C722B4">
              <w:rPr>
                <w:rFonts w:ascii="Times New Roman" w:hAnsi="Times New Roman"/>
              </w:rPr>
              <w:t>%)</w:t>
            </w:r>
            <w:r w:rsidR="000D2CFE">
              <w:rPr>
                <w:rFonts w:ascii="Times New Roman" w:hAnsi="Times New Roman"/>
              </w:rPr>
              <w:t>;</w:t>
            </w:r>
          </w:p>
        </w:tc>
        <w:tc>
          <w:tcPr>
            <w:tcW w:w="2464" w:type="dxa"/>
          </w:tcPr>
          <w:p w14:paraId="1172259C" w14:textId="77777777" w:rsidR="00D875C0" w:rsidRPr="007C1A06" w:rsidRDefault="00D875C0" w:rsidP="003876F8">
            <w:pPr>
              <w:spacing w:after="0" w:line="240" w:lineRule="auto"/>
              <w:rPr>
                <w:rFonts w:ascii="Times New Roman" w:hAnsi="Times New Roman"/>
              </w:rPr>
            </w:pPr>
          </w:p>
        </w:tc>
        <w:tc>
          <w:tcPr>
            <w:tcW w:w="2464" w:type="dxa"/>
          </w:tcPr>
          <w:p w14:paraId="63198FC9" w14:textId="77777777" w:rsidR="00D875C0" w:rsidRPr="007C1A06" w:rsidRDefault="00D875C0" w:rsidP="003876F8">
            <w:pPr>
              <w:spacing w:after="0" w:line="240" w:lineRule="auto"/>
              <w:rPr>
                <w:rFonts w:ascii="Times New Roman" w:hAnsi="Times New Roman"/>
              </w:rPr>
            </w:pPr>
          </w:p>
        </w:tc>
      </w:tr>
      <w:tr w:rsidR="00D875C0" w:rsidRPr="007C1A06" w14:paraId="26D0BE9B" w14:textId="77777777" w:rsidTr="004E3CD5">
        <w:tc>
          <w:tcPr>
            <w:tcW w:w="2463" w:type="dxa"/>
          </w:tcPr>
          <w:p w14:paraId="3C93E22F" w14:textId="77777777" w:rsidR="00D875C0" w:rsidRPr="00F95B76" w:rsidRDefault="00D875C0" w:rsidP="003876F8">
            <w:pPr>
              <w:spacing w:after="0" w:line="240" w:lineRule="auto"/>
              <w:rPr>
                <w:rFonts w:ascii="Times New Roman" w:hAnsi="Times New Roman"/>
              </w:rPr>
            </w:pPr>
            <w:r w:rsidRPr="00F957E7">
              <w:rPr>
                <w:rFonts w:ascii="Times New Roman" w:hAnsi="Times New Roman"/>
              </w:rPr>
              <w:t>Skeleto, raumenų ir jungiamojo audinio sutrikimai</w:t>
            </w:r>
          </w:p>
        </w:tc>
        <w:tc>
          <w:tcPr>
            <w:tcW w:w="2463" w:type="dxa"/>
          </w:tcPr>
          <w:p w14:paraId="10590223" w14:textId="77777777" w:rsidR="00D875C0" w:rsidRPr="00F957E7"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Mialgija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427D92">
              <w:rPr>
                <w:rFonts w:ascii="Times New Roman" w:hAnsi="Times New Roman"/>
              </w:rPr>
              <w:t>laipsnio – 0,7</w:t>
            </w:r>
            <w:r w:rsidR="0057676D" w:rsidRPr="00C722B4">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41B3C31E" w14:textId="77777777" w:rsidR="00D875C0" w:rsidRPr="00F95B76" w:rsidRDefault="00D875C0" w:rsidP="0057676D">
            <w:pPr>
              <w:spacing w:after="0" w:line="240" w:lineRule="auto"/>
              <w:rPr>
                <w:rFonts w:ascii="Times New Roman" w:hAnsi="Times New Roman"/>
              </w:rPr>
            </w:pPr>
            <w:r w:rsidRPr="00F95B76">
              <w:rPr>
                <w:rFonts w:ascii="Times New Roman" w:hAnsi="Times New Roman"/>
              </w:rPr>
              <w:t>Artralgija (3</w:t>
            </w:r>
            <w:r w:rsidR="0057676D" w:rsidRPr="00F95B76">
              <w:rPr>
                <w:rFonts w:ascii="Times New Roman" w:hAnsi="Times New Roman"/>
              </w:rPr>
              <w:noBreakHyphen/>
            </w:r>
            <w:r w:rsidRPr="00F95B76">
              <w:rPr>
                <w:rFonts w:ascii="Times New Roman" w:hAnsi="Times New Roman"/>
              </w:rPr>
              <w:t>4</w:t>
            </w:r>
            <w:r w:rsidR="0057676D" w:rsidRPr="00F95B76">
              <w:rPr>
                <w:rFonts w:ascii="Times New Roman" w:hAnsi="Times New Roman"/>
              </w:rPr>
              <w:t> </w:t>
            </w:r>
            <w:r w:rsidRPr="00F95B76">
              <w:rPr>
                <w:rFonts w:ascii="Times New Roman" w:hAnsi="Times New Roman"/>
              </w:rPr>
              <w:t>laipsnio – 0,2</w:t>
            </w:r>
            <w:r w:rsidR="0057676D" w:rsidRPr="001F2C46">
              <w:rPr>
                <w:rFonts w:ascii="Times New Roman" w:hAnsi="Times New Roman"/>
              </w:rPr>
              <w:t> </w:t>
            </w:r>
            <w:r w:rsidRPr="001F2C46">
              <w:rPr>
                <w:rFonts w:ascii="Times New Roman" w:hAnsi="Times New Roman"/>
              </w:rPr>
              <w:t>%)</w:t>
            </w:r>
          </w:p>
        </w:tc>
        <w:tc>
          <w:tcPr>
            <w:tcW w:w="2464" w:type="dxa"/>
          </w:tcPr>
          <w:p w14:paraId="28513DE7"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2464" w:type="dxa"/>
          </w:tcPr>
          <w:p w14:paraId="4FC07EE4" w14:textId="77777777" w:rsidR="00D875C0" w:rsidRPr="00427D92" w:rsidRDefault="00D875C0" w:rsidP="003876F8">
            <w:pPr>
              <w:autoSpaceDE w:val="0"/>
              <w:autoSpaceDN w:val="0"/>
              <w:adjustRightInd w:val="0"/>
              <w:spacing w:after="0" w:line="240" w:lineRule="auto"/>
              <w:rPr>
                <w:rFonts w:ascii="Times New Roman" w:hAnsi="Times New Roman"/>
              </w:rPr>
            </w:pPr>
          </w:p>
        </w:tc>
      </w:tr>
      <w:tr w:rsidR="00D875C0" w:rsidRPr="007C1A06" w14:paraId="44671560" w14:textId="77777777" w:rsidTr="004E3CD5">
        <w:tc>
          <w:tcPr>
            <w:tcW w:w="2463" w:type="dxa"/>
          </w:tcPr>
          <w:p w14:paraId="312D089E" w14:textId="77777777" w:rsidR="00D875C0" w:rsidRPr="00F95B76" w:rsidRDefault="00D875C0" w:rsidP="003876F8">
            <w:pPr>
              <w:spacing w:after="0" w:line="240" w:lineRule="auto"/>
              <w:rPr>
                <w:rFonts w:ascii="Times New Roman" w:hAnsi="Times New Roman"/>
              </w:rPr>
            </w:pPr>
            <w:r w:rsidRPr="00F95B76">
              <w:rPr>
                <w:rFonts w:ascii="Times New Roman" w:hAnsi="Times New Roman"/>
              </w:rPr>
              <w:t>Lytinės sistemos ir krūties sutrikimai</w:t>
            </w:r>
          </w:p>
        </w:tc>
        <w:tc>
          <w:tcPr>
            <w:tcW w:w="2463" w:type="dxa"/>
          </w:tcPr>
          <w:p w14:paraId="27B053BE" w14:textId="77777777" w:rsidR="00D875C0" w:rsidRPr="007C1A06" w:rsidRDefault="00D875C0" w:rsidP="0057676D">
            <w:pPr>
              <w:autoSpaceDE w:val="0"/>
              <w:autoSpaceDN w:val="0"/>
              <w:adjustRightInd w:val="0"/>
              <w:spacing w:after="0" w:line="240" w:lineRule="auto"/>
              <w:rPr>
                <w:rFonts w:ascii="Times New Roman" w:hAnsi="Times New Roman"/>
              </w:rPr>
            </w:pPr>
            <w:r w:rsidRPr="001F2C46">
              <w:rPr>
                <w:rFonts w:ascii="Times New Roman" w:hAnsi="Times New Roman"/>
              </w:rPr>
              <w:t>Amenorėja (3</w:t>
            </w:r>
            <w:r w:rsidR="0057676D" w:rsidRPr="00427D92">
              <w:rPr>
                <w:rFonts w:ascii="Times New Roman" w:hAnsi="Times New Roman"/>
              </w:rPr>
              <w:noBreakHyphen/>
            </w:r>
            <w:r w:rsidRPr="00C722B4">
              <w:rPr>
                <w:rFonts w:ascii="Times New Roman" w:hAnsi="Times New Roman"/>
              </w:rPr>
              <w:t>4</w:t>
            </w:r>
            <w:r w:rsidR="0057676D" w:rsidRPr="007C1A06">
              <w:rPr>
                <w:rFonts w:ascii="Times New Roman" w:hAnsi="Times New Roman"/>
              </w:rPr>
              <w:t> </w:t>
            </w:r>
            <w:r w:rsidRPr="007C1A06">
              <w:rPr>
                <w:rFonts w:ascii="Times New Roman" w:hAnsi="Times New Roman"/>
              </w:rPr>
              <w:t>laipsnio – nenustatyta)</w:t>
            </w:r>
          </w:p>
        </w:tc>
        <w:tc>
          <w:tcPr>
            <w:tcW w:w="2464" w:type="dxa"/>
          </w:tcPr>
          <w:p w14:paraId="3289584C" w14:textId="77777777" w:rsidR="00D875C0" w:rsidRPr="007C1A06" w:rsidRDefault="00D875C0" w:rsidP="003876F8">
            <w:pPr>
              <w:spacing w:after="0" w:line="240" w:lineRule="auto"/>
              <w:rPr>
                <w:rFonts w:ascii="Times New Roman" w:hAnsi="Times New Roman"/>
              </w:rPr>
            </w:pPr>
          </w:p>
        </w:tc>
        <w:tc>
          <w:tcPr>
            <w:tcW w:w="2464" w:type="dxa"/>
          </w:tcPr>
          <w:p w14:paraId="5A0D1EE5" w14:textId="77777777" w:rsidR="00D875C0" w:rsidRPr="007C1A06" w:rsidRDefault="00D875C0" w:rsidP="003876F8">
            <w:pPr>
              <w:spacing w:after="0" w:line="240" w:lineRule="auto"/>
              <w:rPr>
                <w:rFonts w:ascii="Times New Roman" w:hAnsi="Times New Roman"/>
              </w:rPr>
            </w:pPr>
          </w:p>
        </w:tc>
      </w:tr>
      <w:tr w:rsidR="00D875C0" w:rsidRPr="007C1A06" w14:paraId="18CBD903" w14:textId="77777777" w:rsidTr="004E3CD5">
        <w:tc>
          <w:tcPr>
            <w:tcW w:w="2463" w:type="dxa"/>
          </w:tcPr>
          <w:p w14:paraId="41ABEA14"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Bendri sutrikimai ir vartojimo vietos pažeidimai</w:t>
            </w:r>
          </w:p>
        </w:tc>
        <w:tc>
          <w:tcPr>
            <w:tcW w:w="2463" w:type="dxa"/>
          </w:tcPr>
          <w:p w14:paraId="7B3FD1CF" w14:textId="77777777" w:rsidR="00D875C0" w:rsidRPr="00F95B7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Astenija (3</w:t>
            </w:r>
            <w:r w:rsidR="0057676D" w:rsidRPr="001F2C46">
              <w:rPr>
                <w:rFonts w:ascii="Times New Roman" w:hAnsi="Times New Roman"/>
              </w:rPr>
              <w:noBreakHyphen/>
            </w:r>
            <w:r w:rsidRPr="001F2C46">
              <w:rPr>
                <w:rFonts w:ascii="Times New Roman" w:hAnsi="Times New Roman"/>
              </w:rPr>
              <w:t>4</w:t>
            </w:r>
            <w:r w:rsidR="0057676D" w:rsidRPr="001F2C46">
              <w:rPr>
                <w:rFonts w:ascii="Times New Roman" w:hAnsi="Times New Roman"/>
              </w:rPr>
              <w:t> </w:t>
            </w:r>
            <w:r w:rsidRPr="00427D92">
              <w:rPr>
                <w:rFonts w:ascii="Times New Roman" w:hAnsi="Times New Roman"/>
              </w:rPr>
              <w:t>laipsnio – 10</w:t>
            </w:r>
            <w:r w:rsidR="0057676D" w:rsidRPr="00C722B4">
              <w:rPr>
                <w:rFonts w:ascii="Times New Roman" w:hAnsi="Times New Roman"/>
              </w:rPr>
              <w:t> </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5A60FC84" w14:textId="77777777" w:rsidR="00D875C0" w:rsidRPr="00F95B7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Karščiavimas (3</w:t>
            </w:r>
            <w:r w:rsidR="0057676D" w:rsidRPr="00427D92">
              <w:rPr>
                <w:rFonts w:ascii="Times New Roman" w:hAnsi="Times New Roman"/>
              </w:rPr>
              <w:noBreakHyphen/>
            </w:r>
            <w:r w:rsidRPr="00C722B4">
              <w:rPr>
                <w:rFonts w:ascii="Times New Roman" w:hAnsi="Times New Roman"/>
              </w:rPr>
              <w:t>4</w:t>
            </w:r>
            <w:r w:rsidR="0057676D" w:rsidRPr="007C1A06">
              <w:rPr>
                <w:rFonts w:ascii="Times New Roman" w:hAnsi="Times New Roman"/>
              </w:rPr>
              <w:t> </w:t>
            </w:r>
            <w:r w:rsidRPr="007C1A06">
              <w:rPr>
                <w:rFonts w:ascii="Times New Roman" w:hAnsi="Times New Roman"/>
              </w:rPr>
              <w:t>laipsnio – nenustatyta</w:t>
            </w:r>
            <w:r w:rsidRPr="007C1A06">
              <w:rPr>
                <w:rFonts w:ascii="Times New Roman" w:eastAsia="Times New Roman" w:hAnsi="Times New Roman" w:cs="Times New Roman"/>
              </w:rPr>
              <w:t>)</w:t>
            </w:r>
            <w:r w:rsidR="000D2CFE">
              <w:rPr>
                <w:rFonts w:ascii="Times New Roman" w:eastAsia="Times New Roman" w:hAnsi="Times New Roman" w:cs="Times New Roman"/>
              </w:rPr>
              <w:t>;</w:t>
            </w:r>
          </w:p>
          <w:p w14:paraId="55C439C8" w14:textId="77777777" w:rsidR="00D875C0" w:rsidRPr="007C1A06" w:rsidRDefault="00D875C0" w:rsidP="0057676D">
            <w:pPr>
              <w:autoSpaceDE w:val="0"/>
              <w:autoSpaceDN w:val="0"/>
              <w:adjustRightInd w:val="0"/>
              <w:spacing w:after="0" w:line="240" w:lineRule="auto"/>
              <w:rPr>
                <w:rFonts w:ascii="Times New Roman" w:hAnsi="Times New Roman"/>
              </w:rPr>
            </w:pPr>
            <w:r w:rsidRPr="001F2C46">
              <w:rPr>
                <w:rFonts w:ascii="Times New Roman" w:hAnsi="Times New Roman"/>
              </w:rPr>
              <w:t>Periferinė edema (3</w:t>
            </w:r>
            <w:r w:rsidR="0057676D" w:rsidRPr="00427D92">
              <w:rPr>
                <w:rFonts w:ascii="Times New Roman" w:hAnsi="Times New Roman"/>
              </w:rPr>
              <w:noBreakHyphen/>
            </w:r>
            <w:r w:rsidRPr="00C722B4">
              <w:rPr>
                <w:rFonts w:ascii="Times New Roman" w:hAnsi="Times New Roman"/>
              </w:rPr>
              <w:t>4</w:t>
            </w:r>
            <w:r w:rsidR="0057676D" w:rsidRPr="007C1A06">
              <w:rPr>
                <w:rFonts w:ascii="Times New Roman" w:hAnsi="Times New Roman"/>
              </w:rPr>
              <w:t> </w:t>
            </w:r>
            <w:r w:rsidRPr="007C1A06">
              <w:rPr>
                <w:rFonts w:ascii="Times New Roman" w:hAnsi="Times New Roman"/>
              </w:rPr>
              <w:t>laipsnio – 0,2</w:t>
            </w:r>
            <w:r w:rsidR="0057676D" w:rsidRPr="007C1A06">
              <w:rPr>
                <w:rFonts w:ascii="Times New Roman" w:hAnsi="Times New Roman"/>
              </w:rPr>
              <w:t> </w:t>
            </w:r>
            <w:r w:rsidRPr="007C1A06">
              <w:rPr>
                <w:rFonts w:ascii="Times New Roman" w:hAnsi="Times New Roman"/>
              </w:rPr>
              <w:t>%)</w:t>
            </w:r>
          </w:p>
        </w:tc>
        <w:tc>
          <w:tcPr>
            <w:tcW w:w="2464" w:type="dxa"/>
          </w:tcPr>
          <w:p w14:paraId="63E981B9" w14:textId="77777777" w:rsidR="00D875C0" w:rsidRPr="007C1A06" w:rsidRDefault="00D875C0" w:rsidP="003876F8">
            <w:pPr>
              <w:spacing w:after="0" w:line="240" w:lineRule="auto"/>
              <w:rPr>
                <w:rFonts w:ascii="Times New Roman" w:hAnsi="Times New Roman"/>
              </w:rPr>
            </w:pPr>
          </w:p>
        </w:tc>
        <w:tc>
          <w:tcPr>
            <w:tcW w:w="2464" w:type="dxa"/>
          </w:tcPr>
          <w:p w14:paraId="10228EC5" w14:textId="77777777" w:rsidR="00D875C0" w:rsidRPr="007C1A06" w:rsidRDefault="00D875C0" w:rsidP="003876F8">
            <w:pPr>
              <w:spacing w:after="0" w:line="240" w:lineRule="auto"/>
              <w:rPr>
                <w:rFonts w:ascii="Times New Roman" w:hAnsi="Times New Roman"/>
              </w:rPr>
            </w:pPr>
          </w:p>
        </w:tc>
      </w:tr>
      <w:tr w:rsidR="00D875C0" w:rsidRPr="007C1A06" w14:paraId="1FB178BF" w14:textId="77777777" w:rsidTr="004E3CD5">
        <w:tc>
          <w:tcPr>
            <w:tcW w:w="2463" w:type="dxa"/>
          </w:tcPr>
          <w:p w14:paraId="5F50F977"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Tyrimai</w:t>
            </w:r>
          </w:p>
        </w:tc>
        <w:tc>
          <w:tcPr>
            <w:tcW w:w="2463" w:type="dxa"/>
          </w:tcPr>
          <w:p w14:paraId="407F3EF8"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2464" w:type="dxa"/>
          </w:tcPr>
          <w:p w14:paraId="6C9F89C8" w14:textId="77777777" w:rsidR="00D875C0" w:rsidRPr="007C1A06" w:rsidRDefault="00D875C0" w:rsidP="0057676D">
            <w:pPr>
              <w:spacing w:after="0" w:line="240" w:lineRule="auto"/>
              <w:rPr>
                <w:rFonts w:ascii="Times New Roman" w:hAnsi="Times New Roman"/>
              </w:rPr>
            </w:pPr>
            <w:r w:rsidRPr="00427D92">
              <w:rPr>
                <w:rFonts w:ascii="Times New Roman" w:hAnsi="Times New Roman"/>
              </w:rPr>
              <w:t>Svorio padidėjimas (3</w:t>
            </w:r>
            <w:r w:rsidR="0057676D" w:rsidRPr="00C722B4">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w:t>
            </w:r>
            <w:r w:rsidR="0057676D" w:rsidRPr="007C1A06">
              <w:rPr>
                <w:rFonts w:ascii="Times New Roman" w:hAnsi="Times New Roman"/>
              </w:rPr>
              <w:t> </w:t>
            </w:r>
            <w:r w:rsidRPr="007C1A06">
              <w:rPr>
                <w:rFonts w:ascii="Times New Roman" w:hAnsi="Times New Roman"/>
              </w:rPr>
              <w:t>% ) arba sumažėjimas (3</w:t>
            </w:r>
            <w:r w:rsidR="0057676D" w:rsidRPr="007C1A06">
              <w:rPr>
                <w:rFonts w:ascii="Times New Roman" w:hAnsi="Times New Roman"/>
              </w:rPr>
              <w:noBreakHyphen/>
            </w:r>
            <w:r w:rsidRPr="007C1A06">
              <w:rPr>
                <w:rFonts w:ascii="Times New Roman" w:hAnsi="Times New Roman"/>
              </w:rPr>
              <w:t>4</w:t>
            </w:r>
            <w:r w:rsidR="0057676D" w:rsidRPr="007C1A06">
              <w:rPr>
                <w:rFonts w:ascii="Times New Roman" w:hAnsi="Times New Roman"/>
              </w:rPr>
              <w:t> </w:t>
            </w:r>
            <w:r w:rsidRPr="007C1A06">
              <w:rPr>
                <w:rFonts w:ascii="Times New Roman" w:hAnsi="Times New Roman"/>
              </w:rPr>
              <w:t>laipsnio – 0,2</w:t>
            </w:r>
            <w:r w:rsidR="0057676D" w:rsidRPr="007C1A06">
              <w:rPr>
                <w:rFonts w:ascii="Times New Roman" w:hAnsi="Times New Roman"/>
              </w:rPr>
              <w:t> </w:t>
            </w:r>
            <w:r w:rsidRPr="007C1A06">
              <w:rPr>
                <w:rFonts w:ascii="Times New Roman" w:hAnsi="Times New Roman"/>
              </w:rPr>
              <w:t>%)</w:t>
            </w:r>
          </w:p>
        </w:tc>
        <w:tc>
          <w:tcPr>
            <w:tcW w:w="2464" w:type="dxa"/>
          </w:tcPr>
          <w:p w14:paraId="3F75A7C1" w14:textId="77777777" w:rsidR="00D875C0" w:rsidRPr="007C1A06" w:rsidRDefault="00D875C0" w:rsidP="003876F8">
            <w:pPr>
              <w:spacing w:after="0" w:line="240" w:lineRule="auto"/>
              <w:rPr>
                <w:rFonts w:ascii="Times New Roman" w:hAnsi="Times New Roman"/>
              </w:rPr>
            </w:pPr>
          </w:p>
        </w:tc>
      </w:tr>
    </w:tbl>
    <w:p w14:paraId="767204DC" w14:textId="77777777" w:rsidR="00D875C0" w:rsidRPr="00F95B76" w:rsidRDefault="00D875C0" w:rsidP="00D875C0">
      <w:pPr>
        <w:tabs>
          <w:tab w:val="left" w:pos="4962"/>
        </w:tabs>
        <w:spacing w:after="0" w:line="240" w:lineRule="auto"/>
        <w:rPr>
          <w:rFonts w:ascii="Times New Roman" w:hAnsi="Times New Roman"/>
          <w:color w:val="222222"/>
        </w:rPr>
      </w:pPr>
    </w:p>
    <w:p w14:paraId="0F316516" w14:textId="77777777" w:rsidR="006F7FC2" w:rsidRPr="007C1A06" w:rsidRDefault="006F7FC2" w:rsidP="00D875C0">
      <w:pPr>
        <w:tabs>
          <w:tab w:val="left" w:pos="4962"/>
        </w:tabs>
        <w:spacing w:after="0" w:line="240" w:lineRule="auto"/>
        <w:rPr>
          <w:rFonts w:ascii="Times New Roman" w:eastAsia="Times New Roman" w:hAnsi="Times New Roman" w:cs="Times New Roman"/>
          <w:color w:val="222222"/>
        </w:rPr>
      </w:pPr>
    </w:p>
    <w:p w14:paraId="74FFA587" w14:textId="77777777" w:rsidR="00D875C0" w:rsidRPr="001F2C46" w:rsidRDefault="00D875C0" w:rsidP="00D875C0">
      <w:pPr>
        <w:tabs>
          <w:tab w:val="left" w:pos="4962"/>
        </w:tabs>
        <w:spacing w:after="0" w:line="240" w:lineRule="auto"/>
        <w:rPr>
          <w:rFonts w:ascii="Times New Roman" w:hAnsi="Times New Roman"/>
          <w:color w:val="222222"/>
          <w:u w:val="single"/>
        </w:rPr>
      </w:pPr>
      <w:r w:rsidRPr="00F95B76">
        <w:rPr>
          <w:rFonts w:ascii="Times New Roman" w:hAnsi="Times New Roman"/>
          <w:color w:val="222222"/>
          <w:u w:val="single"/>
        </w:rPr>
        <w:t>Atrinktų nepageidaujamų reakcijų, atsiradusių vartojant Docetaxel Ebewe 75</w:t>
      </w:r>
      <w:r w:rsidR="0057676D" w:rsidRPr="00F95B76">
        <w:rPr>
          <w:rFonts w:ascii="Times New Roman" w:hAnsi="Times New Roman"/>
          <w:color w:val="222222"/>
          <w:u w:val="single"/>
        </w:rPr>
        <w:t> </w:t>
      </w:r>
      <w:r w:rsidRPr="00F95B76">
        <w:rPr>
          <w:rFonts w:ascii="Times New Roman" w:hAnsi="Times New Roman"/>
          <w:color w:val="222222"/>
          <w:u w:val="single"/>
        </w:rPr>
        <w:t xml:space="preserve">mg/m² dozę adjuvantiniam gydymui kartu su doksorubicinu ir ciklofosfamidu, pacientėms, </w:t>
      </w:r>
      <w:r w:rsidRPr="001F2C46">
        <w:rPr>
          <w:rFonts w:ascii="Times New Roman" w:hAnsi="Times New Roman"/>
          <w:color w:val="222222"/>
          <w:u w:val="single"/>
        </w:rPr>
        <w:t>sergančioms į limfmazgius metastazavusiu (TAX 316) ir į limfmazgius nemetastazavusiu (GEICAM 9805) krūties vėžiu, aprašymas.</w:t>
      </w:r>
    </w:p>
    <w:p w14:paraId="0E7E1027" w14:textId="77777777" w:rsidR="00D875C0" w:rsidRPr="00427D92" w:rsidRDefault="00D875C0" w:rsidP="00D875C0">
      <w:pPr>
        <w:autoSpaceDE w:val="0"/>
        <w:autoSpaceDN w:val="0"/>
        <w:adjustRightInd w:val="0"/>
        <w:spacing w:after="0" w:line="240" w:lineRule="auto"/>
        <w:rPr>
          <w:rFonts w:ascii="Times New Roman" w:hAnsi="Times New Roman"/>
        </w:rPr>
      </w:pPr>
    </w:p>
    <w:p w14:paraId="153E4F0F" w14:textId="77777777" w:rsidR="00D875C0" w:rsidRPr="00C722B4" w:rsidRDefault="00D875C0" w:rsidP="00D875C0">
      <w:pPr>
        <w:autoSpaceDE w:val="0"/>
        <w:autoSpaceDN w:val="0"/>
        <w:adjustRightInd w:val="0"/>
        <w:spacing w:after="0" w:line="240" w:lineRule="auto"/>
        <w:rPr>
          <w:rFonts w:ascii="Times New Roman" w:hAnsi="Times New Roman"/>
          <w:i/>
        </w:rPr>
      </w:pPr>
      <w:r w:rsidRPr="00C722B4">
        <w:rPr>
          <w:rFonts w:ascii="Times New Roman" w:hAnsi="Times New Roman"/>
          <w:i/>
        </w:rPr>
        <w:t>Nervų sistemos sutrikimai</w:t>
      </w:r>
    </w:p>
    <w:p w14:paraId="126BB058" w14:textId="77777777" w:rsidR="00E07EA1" w:rsidRPr="00F95B76" w:rsidRDefault="00E07EA1" w:rsidP="00E07EA1">
      <w:pPr>
        <w:autoSpaceDE w:val="0"/>
        <w:autoSpaceDN w:val="0"/>
        <w:adjustRightInd w:val="0"/>
        <w:spacing w:after="0" w:line="240" w:lineRule="auto"/>
        <w:rPr>
          <w:rFonts w:ascii="Times New Roman" w:hAnsi="Times New Roman"/>
        </w:rPr>
      </w:pPr>
      <w:r w:rsidRPr="007C1A06">
        <w:rPr>
          <w:rFonts w:ascii="Times New Roman" w:eastAsia="Times New Roman" w:hAnsi="Times New Roman" w:cs="Times New Roman"/>
        </w:rPr>
        <w:t xml:space="preserve">Tyrimo </w:t>
      </w:r>
      <w:r w:rsidRPr="00F95B76">
        <w:rPr>
          <w:rFonts w:ascii="Times New Roman" w:hAnsi="Times New Roman"/>
        </w:rPr>
        <w:t>TAX316</w:t>
      </w:r>
      <w:r w:rsidRPr="007C1A06">
        <w:rPr>
          <w:rFonts w:ascii="Times New Roman" w:eastAsia="Times New Roman" w:hAnsi="Times New Roman" w:cs="Times New Roman"/>
        </w:rPr>
        <w:t xml:space="preserve"> metu</w:t>
      </w:r>
      <w:r w:rsidRPr="00F95B76">
        <w:rPr>
          <w:rFonts w:ascii="Times New Roman" w:hAnsi="Times New Roman"/>
        </w:rPr>
        <w:t xml:space="preserve"> periferinė sensorinė neuropatija </w:t>
      </w:r>
      <w:r w:rsidRPr="007C1A06">
        <w:rPr>
          <w:rFonts w:ascii="Times New Roman" w:eastAsia="Times New Roman" w:hAnsi="Times New Roman" w:cs="Times New Roman"/>
        </w:rPr>
        <w:t xml:space="preserve">prasidėjo gydymo laikotarpiu ir </w:t>
      </w:r>
      <w:r w:rsidRPr="00F95B76">
        <w:rPr>
          <w:rFonts w:ascii="Times New Roman" w:hAnsi="Times New Roman"/>
        </w:rPr>
        <w:t xml:space="preserve">išliko </w:t>
      </w:r>
      <w:r w:rsidRPr="007C1A06">
        <w:rPr>
          <w:rFonts w:ascii="Times New Roman" w:eastAsia="Times New Roman" w:hAnsi="Times New Roman" w:cs="Times New Roman"/>
        </w:rPr>
        <w:t xml:space="preserve">pradėjus </w:t>
      </w:r>
      <w:r w:rsidRPr="00F95B76">
        <w:rPr>
          <w:rFonts w:ascii="Times New Roman" w:hAnsi="Times New Roman"/>
        </w:rPr>
        <w:t xml:space="preserve">stebėjimo </w:t>
      </w:r>
      <w:r w:rsidRPr="007C1A06">
        <w:rPr>
          <w:rFonts w:ascii="Times New Roman" w:eastAsia="Times New Roman" w:hAnsi="Times New Roman" w:cs="Times New Roman"/>
        </w:rPr>
        <w:t>laikotarpį</w:t>
      </w:r>
      <w:r w:rsidRPr="00F95B76">
        <w:rPr>
          <w:rFonts w:ascii="Times New Roman" w:hAnsi="Times New Roman"/>
        </w:rPr>
        <w:t xml:space="preserve"> 84</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pacientėms (11,3</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 TAC grupėje ir 15</w:t>
      </w:r>
      <w:r w:rsidR="004A37B5" w:rsidRPr="007C1A06">
        <w:rPr>
          <w:rFonts w:ascii="Times New Roman" w:eastAsia="Times New Roman" w:hAnsi="Times New Roman" w:cs="Times New Roman"/>
        </w:rPr>
        <w:t> </w:t>
      </w:r>
      <w:r w:rsidRPr="00F95B76">
        <w:rPr>
          <w:rFonts w:ascii="Times New Roman" w:hAnsi="Times New Roman"/>
        </w:rPr>
        <w:t>pacienčių</w:t>
      </w:r>
      <w:r w:rsidRPr="007C1A06">
        <w:rPr>
          <w:rFonts w:ascii="Times New Roman" w:eastAsia="Times New Roman" w:hAnsi="Times New Roman" w:cs="Times New Roman"/>
        </w:rPr>
        <w:t xml:space="preserve"> (2</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 FAC grupėje. Stebėjimo laikotarpio pabaigoje (stebėjimo laiko mediana buvo 8</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metai)</w:t>
      </w:r>
      <w:r w:rsidRPr="00F95B76">
        <w:rPr>
          <w:rFonts w:ascii="Times New Roman" w:hAnsi="Times New Roman"/>
        </w:rPr>
        <w:t xml:space="preserve"> periferinė </w:t>
      </w:r>
      <w:r w:rsidRPr="007C1A06">
        <w:rPr>
          <w:rFonts w:ascii="Times New Roman" w:eastAsia="Times New Roman" w:hAnsi="Times New Roman" w:cs="Times New Roman"/>
        </w:rPr>
        <w:t>sensorinė</w:t>
      </w:r>
      <w:r w:rsidRPr="00F95B76">
        <w:rPr>
          <w:rFonts w:ascii="Times New Roman" w:hAnsi="Times New Roman"/>
        </w:rPr>
        <w:t xml:space="preserve"> neuropatija </w:t>
      </w:r>
      <w:r w:rsidRPr="007C1A06">
        <w:rPr>
          <w:rFonts w:ascii="Times New Roman" w:eastAsia="Times New Roman" w:hAnsi="Times New Roman" w:cs="Times New Roman"/>
        </w:rPr>
        <w:t>išliko 10</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pacienčių (1,3</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 TAC grupėje ir 2</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pacientėms (0,3</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 FAC grupėje</w:t>
      </w:r>
      <w:r w:rsidRPr="00F95B76">
        <w:rPr>
          <w:rFonts w:ascii="Times New Roman" w:hAnsi="Times New Roman"/>
        </w:rPr>
        <w:t>.</w:t>
      </w:r>
    </w:p>
    <w:p w14:paraId="4858D4CB" w14:textId="77777777" w:rsidR="00E07EA1" w:rsidRPr="00F95B76" w:rsidRDefault="00E07EA1" w:rsidP="00E07EA1">
      <w:pPr>
        <w:autoSpaceDE w:val="0"/>
        <w:autoSpaceDN w:val="0"/>
        <w:adjustRightInd w:val="0"/>
        <w:spacing w:after="0" w:line="240" w:lineRule="auto"/>
        <w:rPr>
          <w:rFonts w:ascii="Times New Roman" w:hAnsi="Times New Roman"/>
        </w:rPr>
      </w:pPr>
    </w:p>
    <w:p w14:paraId="12E84BC3" w14:textId="77777777" w:rsidR="00E07EA1" w:rsidRPr="007C1A06" w:rsidRDefault="00E07EA1" w:rsidP="00E07EA1">
      <w:pPr>
        <w:autoSpaceDE w:val="0"/>
        <w:autoSpaceDN w:val="0"/>
        <w:adjustRightInd w:val="0"/>
        <w:spacing w:after="0" w:line="240" w:lineRule="auto"/>
        <w:rPr>
          <w:rFonts w:ascii="Times New Roman" w:eastAsia="Times New Roman" w:hAnsi="Times New Roman" w:cs="Times New Roman"/>
        </w:rPr>
      </w:pPr>
      <w:r w:rsidRPr="001F2C46">
        <w:rPr>
          <w:rFonts w:ascii="Times New Roman" w:hAnsi="Times New Roman"/>
        </w:rPr>
        <w:t xml:space="preserve">Tyrimo GEICAM 9805 metu </w:t>
      </w:r>
      <w:r w:rsidRPr="007C1A06">
        <w:rPr>
          <w:rFonts w:ascii="Times New Roman" w:eastAsia="Times New Roman" w:hAnsi="Times New Roman" w:cs="Times New Roman"/>
        </w:rPr>
        <w:t>periferinė sensorinė neuropatija prasidėjo gydymo laikotarpiu ir išliko pradėjus stebėjimo laikotarpį 10</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pacienčių (1,9</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 TAC grupėje ir 4</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pacientėms (0,8</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 FAC grupėje. Stebėjimo laikotarpio pabaigoje (stebėjimo laiko mediana buvo 10</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metų ir 5</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mėnesiai) periferinė</w:t>
      </w:r>
      <w:r w:rsidR="00EC5B32">
        <w:rPr>
          <w:rFonts w:ascii="Times New Roman" w:eastAsia="Times New Roman" w:hAnsi="Times New Roman" w:cs="Times New Roman"/>
        </w:rPr>
        <w:t xml:space="preserve"> </w:t>
      </w:r>
      <w:r w:rsidRPr="007C1A06">
        <w:rPr>
          <w:rFonts w:ascii="Times New Roman" w:eastAsia="Times New Roman" w:hAnsi="Times New Roman" w:cs="Times New Roman"/>
        </w:rPr>
        <w:t>sensorinė neuropatija išliko 3</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pacientėms (0,6</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 TAC grupėje ir 1</w:t>
      </w:r>
      <w:r w:rsidR="004A37B5" w:rsidRPr="007C1A06">
        <w:rPr>
          <w:rFonts w:ascii="Times New Roman" w:eastAsia="Times New Roman" w:hAnsi="Times New Roman" w:cs="Times New Roman"/>
        </w:rPr>
        <w:t> </w:t>
      </w:r>
      <w:r w:rsidRPr="007C1A06">
        <w:rPr>
          <w:rFonts w:ascii="Times New Roman" w:eastAsia="Times New Roman" w:hAnsi="Times New Roman" w:cs="Times New Roman"/>
        </w:rPr>
        <w:t>pacientei (0,2</w:t>
      </w:r>
      <w:r w:rsidR="004A37B5" w:rsidRPr="007C1A06">
        <w:rPr>
          <w:rFonts w:ascii="Times New Roman" w:eastAsia="Times New Roman" w:hAnsi="Times New Roman" w:cs="Times New Roman"/>
        </w:rPr>
        <w:t> </w:t>
      </w:r>
      <w:r w:rsidR="00A20DDB" w:rsidRPr="00A20DDB">
        <w:rPr>
          <w:rFonts w:ascii="Times New Roman" w:eastAsia="Times New Roman" w:hAnsi="Times New Roman" w:cs="Times New Roman"/>
        </w:rPr>
        <w:t>%) FAC grupėje.</w:t>
      </w:r>
    </w:p>
    <w:p w14:paraId="74AF2D69" w14:textId="77777777" w:rsidR="00D875C0" w:rsidRPr="00F95B76" w:rsidRDefault="00D875C0" w:rsidP="00D875C0">
      <w:pPr>
        <w:autoSpaceDE w:val="0"/>
        <w:autoSpaceDN w:val="0"/>
        <w:adjustRightInd w:val="0"/>
        <w:spacing w:after="0" w:line="240" w:lineRule="auto"/>
        <w:rPr>
          <w:rFonts w:ascii="Times New Roman" w:hAnsi="Times New Roman"/>
        </w:rPr>
      </w:pPr>
    </w:p>
    <w:p w14:paraId="7F6E1079" w14:textId="77777777" w:rsidR="00D875C0" w:rsidRPr="001F2C46" w:rsidRDefault="00D875C0" w:rsidP="00D875C0">
      <w:pPr>
        <w:autoSpaceDE w:val="0"/>
        <w:autoSpaceDN w:val="0"/>
        <w:adjustRightInd w:val="0"/>
        <w:spacing w:after="0" w:line="240" w:lineRule="auto"/>
        <w:rPr>
          <w:rFonts w:ascii="Times New Roman" w:hAnsi="Times New Roman"/>
          <w:i/>
        </w:rPr>
      </w:pPr>
      <w:r w:rsidRPr="001F2C46">
        <w:rPr>
          <w:rFonts w:ascii="Times New Roman" w:hAnsi="Times New Roman"/>
          <w:i/>
        </w:rPr>
        <w:t>Širdies sutrikimai</w:t>
      </w:r>
    </w:p>
    <w:p w14:paraId="3C7AF18F" w14:textId="77777777" w:rsidR="00D875C0" w:rsidRPr="007C1A06" w:rsidRDefault="00D875C0" w:rsidP="00D875C0">
      <w:pPr>
        <w:autoSpaceDE w:val="0"/>
        <w:autoSpaceDN w:val="0"/>
        <w:adjustRightInd w:val="0"/>
        <w:spacing w:after="0" w:line="240" w:lineRule="auto"/>
        <w:rPr>
          <w:rFonts w:ascii="Times New Roman" w:hAnsi="Times New Roman"/>
        </w:rPr>
      </w:pPr>
      <w:r w:rsidRPr="00427D92">
        <w:rPr>
          <w:rFonts w:ascii="Times New Roman" w:hAnsi="Times New Roman"/>
        </w:rPr>
        <w:t>Tyrimo (TAX316) metu TAC grupėje 26 pacientams (3,5</w:t>
      </w:r>
      <w:r w:rsidR="0057676D" w:rsidRPr="00C722B4">
        <w:rPr>
          <w:rFonts w:ascii="Times New Roman" w:hAnsi="Times New Roman"/>
        </w:rPr>
        <w:t> </w:t>
      </w:r>
      <w:r w:rsidRPr="007C1A06">
        <w:rPr>
          <w:rFonts w:ascii="Times New Roman" w:hAnsi="Times New Roman"/>
        </w:rPr>
        <w:t>%) ir FAC grupėje 17 pacientų (2,3</w:t>
      </w:r>
      <w:r w:rsidR="0057676D" w:rsidRPr="007C1A06">
        <w:rPr>
          <w:rFonts w:ascii="Times New Roman" w:hAnsi="Times New Roman"/>
        </w:rPr>
        <w:t> </w:t>
      </w:r>
      <w:r w:rsidRPr="007C1A06">
        <w:rPr>
          <w:rFonts w:ascii="Times New Roman" w:hAnsi="Times New Roman"/>
        </w:rPr>
        <w:t>%) pasireiškė stazinis širdies nepakankamumas. Kiekvienoje grupėje visiems pacientams, išskyrus vieną, praėjus daugiau nei 30</w:t>
      </w:r>
      <w:r w:rsidR="0057676D" w:rsidRPr="007C1A06">
        <w:rPr>
          <w:rFonts w:ascii="Times New Roman" w:hAnsi="Times New Roman"/>
        </w:rPr>
        <w:t> </w:t>
      </w:r>
      <w:r w:rsidRPr="007C1A06">
        <w:rPr>
          <w:rFonts w:ascii="Times New Roman" w:hAnsi="Times New Roman"/>
        </w:rPr>
        <w:t>dienų po gydymo pabaigos buvo nustatytas SŠN. 2 pacientai TAC grupėje ir 4 pacientai FAC grupėje mirė nuo širdies nepakankamumo.</w:t>
      </w:r>
    </w:p>
    <w:p w14:paraId="5391E1AD" w14:textId="77777777" w:rsidR="00B82A4E" w:rsidRPr="00FB5C4B" w:rsidRDefault="00B82A4E" w:rsidP="00B82A4E">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Tyrimo GEICAM 9805 metu TAC grupėje 3 pacientėms (0,6 %) ir FAC grupėje 3 pacientėms (0,6 %) stebėjimo laikotarpiu pasireiškė stazinis širdies nepakankamumas. </w:t>
      </w:r>
    </w:p>
    <w:p w14:paraId="1E8B84D0" w14:textId="77777777" w:rsidR="00E07EA1" w:rsidRPr="007C1A06" w:rsidRDefault="00E07EA1" w:rsidP="00E07EA1">
      <w:pPr>
        <w:autoSpaceDE w:val="0"/>
        <w:autoSpaceDN w:val="0"/>
        <w:adjustRightInd w:val="0"/>
        <w:spacing w:after="0" w:line="240" w:lineRule="auto"/>
        <w:rPr>
          <w:rFonts w:ascii="Times New Roman" w:eastAsia="Times New Roman" w:hAnsi="Times New Roman" w:cs="Times New Roman"/>
        </w:rPr>
      </w:pPr>
      <w:r w:rsidRPr="007C1A06">
        <w:rPr>
          <w:rFonts w:ascii="Times New Roman" w:eastAsia="Times New Roman" w:hAnsi="Times New Roman" w:cs="Times New Roman"/>
        </w:rPr>
        <w:t>Stebėjimo laikotarpio pabaigoje (tikroji stebėjimo laiko mediana buvo 10</w:t>
      </w:r>
      <w:r w:rsidR="00B82A4E" w:rsidRPr="007C1A06">
        <w:rPr>
          <w:rFonts w:ascii="Times New Roman" w:eastAsia="Times New Roman" w:hAnsi="Times New Roman" w:cs="Times New Roman"/>
        </w:rPr>
        <w:t> </w:t>
      </w:r>
      <w:r w:rsidRPr="007C1A06">
        <w:rPr>
          <w:rFonts w:ascii="Times New Roman" w:eastAsia="Times New Roman" w:hAnsi="Times New Roman" w:cs="Times New Roman"/>
        </w:rPr>
        <w:t>metų ir 5</w:t>
      </w:r>
      <w:r w:rsidR="00B82A4E" w:rsidRPr="007C1A06">
        <w:rPr>
          <w:rFonts w:ascii="Times New Roman" w:eastAsia="Times New Roman" w:hAnsi="Times New Roman" w:cs="Times New Roman"/>
        </w:rPr>
        <w:t> </w:t>
      </w:r>
      <w:r w:rsidRPr="007C1A06">
        <w:rPr>
          <w:rFonts w:ascii="Times New Roman" w:eastAsia="Times New Roman" w:hAnsi="Times New Roman" w:cs="Times New Roman"/>
        </w:rPr>
        <w:t>mėnesiai) stazinio širdies nepakankamumo atvejų TAC grupėje nebuvo ir viena TAC grupės pacientė mirė nuo dilatacinės kardiomiopatijos, o FAC grupėje stazinis širdies nepakankamumas išliko 1</w:t>
      </w:r>
      <w:r w:rsidR="00B82A4E" w:rsidRPr="007C1A06">
        <w:rPr>
          <w:rFonts w:ascii="Times New Roman" w:eastAsia="Times New Roman" w:hAnsi="Times New Roman" w:cs="Times New Roman"/>
        </w:rPr>
        <w:t> </w:t>
      </w:r>
      <w:r w:rsidRPr="007C1A06">
        <w:rPr>
          <w:rFonts w:ascii="Times New Roman" w:eastAsia="Times New Roman" w:hAnsi="Times New Roman" w:cs="Times New Roman"/>
        </w:rPr>
        <w:t>pacientei (0,2</w:t>
      </w:r>
      <w:r w:rsidR="00B82A4E" w:rsidRPr="007C1A06">
        <w:rPr>
          <w:rFonts w:ascii="Times New Roman" w:eastAsia="Times New Roman" w:hAnsi="Times New Roman" w:cs="Times New Roman"/>
        </w:rPr>
        <w:t> </w:t>
      </w:r>
      <w:r w:rsidRPr="007C1A06">
        <w:rPr>
          <w:rFonts w:ascii="Times New Roman" w:eastAsia="Times New Roman" w:hAnsi="Times New Roman" w:cs="Times New Roman"/>
        </w:rPr>
        <w:t>%).</w:t>
      </w:r>
    </w:p>
    <w:p w14:paraId="6972E6AB" w14:textId="77777777" w:rsidR="00D875C0" w:rsidRPr="00F95B76" w:rsidRDefault="00D875C0" w:rsidP="00D875C0">
      <w:pPr>
        <w:autoSpaceDE w:val="0"/>
        <w:autoSpaceDN w:val="0"/>
        <w:adjustRightInd w:val="0"/>
        <w:spacing w:after="0" w:line="240" w:lineRule="auto"/>
        <w:rPr>
          <w:rFonts w:ascii="Times New Roman" w:hAnsi="Times New Roman"/>
        </w:rPr>
      </w:pPr>
    </w:p>
    <w:p w14:paraId="7808166B" w14:textId="77777777" w:rsidR="00D875C0" w:rsidRPr="001F2C46" w:rsidRDefault="00D875C0" w:rsidP="00D875C0">
      <w:pPr>
        <w:autoSpaceDE w:val="0"/>
        <w:autoSpaceDN w:val="0"/>
        <w:adjustRightInd w:val="0"/>
        <w:spacing w:after="0" w:line="240" w:lineRule="auto"/>
        <w:rPr>
          <w:rFonts w:ascii="Times New Roman" w:hAnsi="Times New Roman"/>
          <w:i/>
        </w:rPr>
      </w:pPr>
      <w:r w:rsidRPr="001F2C46">
        <w:rPr>
          <w:rFonts w:ascii="Times New Roman" w:hAnsi="Times New Roman"/>
          <w:i/>
        </w:rPr>
        <w:t>Odos ir poodinio audinio sutrikimai</w:t>
      </w:r>
    </w:p>
    <w:p w14:paraId="69510114" w14:textId="77777777" w:rsidR="00D875C0" w:rsidRPr="00F95B76" w:rsidRDefault="00D875C0" w:rsidP="00D875C0">
      <w:pPr>
        <w:autoSpaceDE w:val="0"/>
        <w:autoSpaceDN w:val="0"/>
        <w:adjustRightInd w:val="0"/>
        <w:spacing w:after="0" w:line="240" w:lineRule="auto"/>
        <w:rPr>
          <w:rFonts w:ascii="Times New Roman" w:hAnsi="Times New Roman"/>
        </w:rPr>
      </w:pPr>
      <w:r w:rsidRPr="00427D92">
        <w:rPr>
          <w:rFonts w:ascii="Times New Roman" w:hAnsi="Times New Roman"/>
        </w:rPr>
        <w:t xml:space="preserve">Tyrimo (TAX316) metu 687 pacientams iš 744 TAC grupėje </w:t>
      </w:r>
      <w:r w:rsidR="00B82A4E" w:rsidRPr="007C1A06">
        <w:rPr>
          <w:rFonts w:ascii="Times New Roman" w:hAnsi="Times New Roman" w:cs="Times New Roman"/>
        </w:rPr>
        <w:t xml:space="preserve">(92,3 %) </w:t>
      </w:r>
      <w:r w:rsidRPr="00F95B76">
        <w:rPr>
          <w:rFonts w:ascii="Times New Roman" w:hAnsi="Times New Roman"/>
        </w:rPr>
        <w:t>ir 645 pacientams iš 736 FAC grupėje</w:t>
      </w:r>
      <w:r w:rsidR="00B82A4E" w:rsidRPr="007C1A06">
        <w:rPr>
          <w:rFonts w:ascii="Times New Roman" w:eastAsia="Times New Roman" w:hAnsi="Times New Roman" w:cs="Times New Roman"/>
        </w:rPr>
        <w:t>(87,6 %)</w:t>
      </w:r>
      <w:r w:rsidR="00B82A4E" w:rsidRPr="00F95B76">
        <w:rPr>
          <w:rFonts w:ascii="Times New Roman" w:hAnsi="Times New Roman"/>
        </w:rPr>
        <w:t xml:space="preserve"> </w:t>
      </w:r>
      <w:r w:rsidRPr="00F95B76">
        <w:rPr>
          <w:rFonts w:ascii="Times New Roman" w:hAnsi="Times New Roman"/>
        </w:rPr>
        <w:t>alopecija išliko stebėjimo laikotarpiu, po chemoterapijos pabaigos.</w:t>
      </w:r>
    </w:p>
    <w:p w14:paraId="63A33FFE" w14:textId="77777777" w:rsidR="00D875C0" w:rsidRPr="00F95B76" w:rsidRDefault="00D875C0" w:rsidP="00D875C0">
      <w:pPr>
        <w:autoSpaceDE w:val="0"/>
        <w:autoSpaceDN w:val="0"/>
        <w:adjustRightInd w:val="0"/>
        <w:spacing w:after="0" w:line="240" w:lineRule="auto"/>
        <w:rPr>
          <w:rFonts w:ascii="Times New Roman" w:hAnsi="Times New Roman"/>
        </w:rPr>
      </w:pPr>
      <w:r w:rsidRPr="001F2C46">
        <w:rPr>
          <w:rFonts w:ascii="Times New Roman" w:hAnsi="Times New Roman"/>
        </w:rPr>
        <w:t xml:space="preserve">Stebėjimo laikotarpio pabaigoje (stebėjimo laikotarpio mediana </w:t>
      </w:r>
      <w:r w:rsidR="00B82A4E" w:rsidRPr="007C1A06">
        <w:rPr>
          <w:rFonts w:ascii="Times New Roman" w:eastAsia="Times New Roman" w:hAnsi="Times New Roman" w:cs="Times New Roman"/>
        </w:rPr>
        <w:t>8 metai</w:t>
      </w:r>
      <w:r w:rsidRPr="00F95B76">
        <w:rPr>
          <w:rFonts w:ascii="Times New Roman" w:hAnsi="Times New Roman"/>
        </w:rPr>
        <w:t>) alopecija išliko 29 pacientams TAC grupėje (3,9</w:t>
      </w:r>
      <w:r w:rsidR="00A276D4" w:rsidRPr="00F95B76">
        <w:rPr>
          <w:rFonts w:ascii="Times New Roman" w:hAnsi="Times New Roman"/>
        </w:rPr>
        <w:t> </w:t>
      </w:r>
      <w:r w:rsidRPr="00F95B76">
        <w:rPr>
          <w:rFonts w:ascii="Times New Roman" w:hAnsi="Times New Roman"/>
        </w:rPr>
        <w:t>%) ir 16 pacientų FAC grupėje (2,</w:t>
      </w:r>
      <w:r w:rsidRPr="007C1A06">
        <w:rPr>
          <w:rFonts w:ascii="Times New Roman" w:eastAsia="Times New Roman" w:hAnsi="Times New Roman" w:cs="Times New Roman"/>
        </w:rPr>
        <w:t>2</w:t>
      </w:r>
      <w:r w:rsidR="00A276D4" w:rsidRPr="007C1A06">
        <w:rPr>
          <w:rFonts w:ascii="Times New Roman" w:eastAsia="Times New Roman" w:hAnsi="Times New Roman" w:cs="Times New Roman"/>
        </w:rPr>
        <w:t> </w:t>
      </w:r>
      <w:r w:rsidRPr="007C1A06">
        <w:rPr>
          <w:rFonts w:ascii="Times New Roman" w:eastAsia="Times New Roman" w:hAnsi="Times New Roman" w:cs="Times New Roman"/>
        </w:rPr>
        <w:t>%).</w:t>
      </w:r>
    </w:p>
    <w:p w14:paraId="08DAEA6A" w14:textId="77777777" w:rsidR="00D875C0" w:rsidRPr="001F2C46" w:rsidRDefault="00D875C0" w:rsidP="00D875C0">
      <w:pPr>
        <w:autoSpaceDE w:val="0"/>
        <w:autoSpaceDN w:val="0"/>
        <w:adjustRightInd w:val="0"/>
        <w:spacing w:after="0" w:line="240" w:lineRule="auto"/>
        <w:rPr>
          <w:rFonts w:ascii="Times New Roman" w:hAnsi="Times New Roman"/>
        </w:rPr>
      </w:pPr>
    </w:p>
    <w:p w14:paraId="515F90A4" w14:textId="77777777" w:rsidR="00E07EA1" w:rsidRPr="00F95B76" w:rsidRDefault="00D875C0" w:rsidP="00E07EA1">
      <w:pPr>
        <w:autoSpaceDE w:val="0"/>
        <w:autoSpaceDN w:val="0"/>
        <w:adjustRightInd w:val="0"/>
        <w:spacing w:after="0" w:line="240" w:lineRule="auto"/>
        <w:rPr>
          <w:rFonts w:ascii="Times New Roman" w:hAnsi="Times New Roman"/>
        </w:rPr>
      </w:pPr>
      <w:r w:rsidRPr="00427D92">
        <w:rPr>
          <w:rFonts w:ascii="Times New Roman" w:hAnsi="Times New Roman"/>
        </w:rPr>
        <w:t xml:space="preserve">Tyrimo GEICAM 9805 metu alopecija, </w:t>
      </w:r>
      <w:r w:rsidR="00E07EA1" w:rsidRPr="007C1A06">
        <w:rPr>
          <w:rFonts w:ascii="Times New Roman" w:hAnsi="Times New Roman" w:cs="Times New Roman"/>
        </w:rPr>
        <w:t xml:space="preserve">prasidėjusi gydymo laikotarpiu ir </w:t>
      </w:r>
      <w:r w:rsidRPr="00F95B76">
        <w:rPr>
          <w:rFonts w:ascii="Times New Roman" w:hAnsi="Times New Roman"/>
        </w:rPr>
        <w:t>išliekanti stebėjimo laikotarpiu</w:t>
      </w:r>
      <w:r w:rsidRPr="007C1A06">
        <w:rPr>
          <w:rFonts w:ascii="Times New Roman" w:eastAsia="Times New Roman" w:hAnsi="Times New Roman" w:cs="Times New Roman"/>
        </w:rPr>
        <w:t>,</w:t>
      </w:r>
      <w:r w:rsidRPr="00F95B76">
        <w:rPr>
          <w:rFonts w:ascii="Times New Roman" w:hAnsi="Times New Roman"/>
        </w:rPr>
        <w:t xml:space="preserve"> pasireiškė 49 pacientėms (9,2</w:t>
      </w:r>
      <w:r w:rsidR="00A276D4" w:rsidRPr="001F2C46">
        <w:rPr>
          <w:rFonts w:ascii="Times New Roman" w:hAnsi="Times New Roman"/>
        </w:rPr>
        <w:t> </w:t>
      </w:r>
      <w:r w:rsidRPr="001F2C46">
        <w:rPr>
          <w:rFonts w:ascii="Times New Roman" w:hAnsi="Times New Roman"/>
        </w:rPr>
        <w:t>%) TAC grupėje ir 35 pacientėms (6,7</w:t>
      </w:r>
      <w:r w:rsidR="00A276D4" w:rsidRPr="001F2C46">
        <w:rPr>
          <w:rFonts w:ascii="Times New Roman" w:hAnsi="Times New Roman"/>
        </w:rPr>
        <w:t> </w:t>
      </w:r>
      <w:r w:rsidRPr="001F2C46">
        <w:rPr>
          <w:rFonts w:ascii="Times New Roman" w:hAnsi="Times New Roman"/>
        </w:rPr>
        <w:t>%) FAC grupėje. Alopecija, susijusi su tiriamojo vaistinio preparato vartojimu ir prasidėjusi ar pasunkėjusi stebėjimo laikotarpiu, pasireiškė 42 pacientėms (7,9</w:t>
      </w:r>
      <w:r w:rsidR="00A276D4" w:rsidRPr="00427D92">
        <w:rPr>
          <w:rFonts w:ascii="Times New Roman" w:hAnsi="Times New Roman"/>
        </w:rPr>
        <w:t> </w:t>
      </w:r>
      <w:r w:rsidRPr="00427D92">
        <w:rPr>
          <w:rFonts w:ascii="Times New Roman" w:hAnsi="Times New Roman"/>
        </w:rPr>
        <w:t>%) TAC grupėje ir 30 pacienčių (5,8</w:t>
      </w:r>
      <w:r w:rsidR="00A276D4" w:rsidRPr="00C722B4">
        <w:rPr>
          <w:rFonts w:ascii="Times New Roman" w:hAnsi="Times New Roman"/>
        </w:rPr>
        <w:t> </w:t>
      </w:r>
      <w:r w:rsidRPr="007C1A06">
        <w:rPr>
          <w:rFonts w:ascii="Times New Roman" w:hAnsi="Times New Roman"/>
        </w:rPr>
        <w:t xml:space="preserve">%) FAC grupėje. </w:t>
      </w:r>
      <w:r w:rsidR="00E07EA1" w:rsidRPr="007C1A06">
        <w:rPr>
          <w:rFonts w:ascii="Times New Roman" w:eastAsia="Times New Roman" w:hAnsi="Times New Roman" w:cs="Times New Roman"/>
        </w:rPr>
        <w:t>Stebėjimo laikotarpio pabaigoje (stebėjimo laiko mediana buvo 10</w:t>
      </w:r>
      <w:r w:rsidR="00B82A4E" w:rsidRPr="007C1A06">
        <w:rPr>
          <w:rFonts w:ascii="Times New Roman" w:eastAsia="Times New Roman" w:hAnsi="Times New Roman" w:cs="Times New Roman"/>
        </w:rPr>
        <w:t> </w:t>
      </w:r>
      <w:r w:rsidR="00E07EA1" w:rsidRPr="007C1A06">
        <w:rPr>
          <w:rFonts w:ascii="Times New Roman" w:eastAsia="Times New Roman" w:hAnsi="Times New Roman" w:cs="Times New Roman"/>
        </w:rPr>
        <w:t>metų ir 5</w:t>
      </w:r>
      <w:r w:rsidR="00B82A4E" w:rsidRPr="007C1A06">
        <w:rPr>
          <w:rFonts w:ascii="Times New Roman" w:eastAsia="Times New Roman" w:hAnsi="Times New Roman" w:cs="Times New Roman"/>
        </w:rPr>
        <w:t> </w:t>
      </w:r>
      <w:r w:rsidR="00E07EA1" w:rsidRPr="007C1A06">
        <w:rPr>
          <w:rFonts w:ascii="Times New Roman" w:eastAsia="Times New Roman" w:hAnsi="Times New Roman" w:cs="Times New Roman"/>
        </w:rPr>
        <w:t>mėnesiai) alopecija išliko 3</w:t>
      </w:r>
      <w:r w:rsidR="00B82A4E" w:rsidRPr="007C1A06">
        <w:rPr>
          <w:rFonts w:ascii="Times New Roman" w:eastAsia="Times New Roman" w:hAnsi="Times New Roman" w:cs="Times New Roman"/>
        </w:rPr>
        <w:t> </w:t>
      </w:r>
      <w:r w:rsidR="00E07EA1" w:rsidRPr="007C1A06">
        <w:rPr>
          <w:rFonts w:ascii="Times New Roman" w:eastAsia="Times New Roman" w:hAnsi="Times New Roman" w:cs="Times New Roman"/>
        </w:rPr>
        <w:t>pacientėms (0,6</w:t>
      </w:r>
      <w:r w:rsidR="00B82A4E" w:rsidRPr="007C1A06">
        <w:rPr>
          <w:rFonts w:ascii="Times New Roman" w:eastAsia="Times New Roman" w:hAnsi="Times New Roman" w:cs="Times New Roman"/>
        </w:rPr>
        <w:t> </w:t>
      </w:r>
      <w:r w:rsidR="00E07EA1" w:rsidRPr="007C1A06">
        <w:rPr>
          <w:rFonts w:ascii="Times New Roman" w:eastAsia="Times New Roman" w:hAnsi="Times New Roman" w:cs="Times New Roman"/>
        </w:rPr>
        <w:t>%) TAC grupėje ir 1</w:t>
      </w:r>
      <w:r w:rsidR="00B82A4E" w:rsidRPr="007C1A06">
        <w:rPr>
          <w:rFonts w:ascii="Times New Roman" w:eastAsia="Times New Roman" w:hAnsi="Times New Roman" w:cs="Times New Roman"/>
        </w:rPr>
        <w:t> </w:t>
      </w:r>
      <w:r w:rsidR="00E07EA1" w:rsidRPr="007C1A06">
        <w:rPr>
          <w:rFonts w:ascii="Times New Roman" w:eastAsia="Times New Roman" w:hAnsi="Times New Roman" w:cs="Times New Roman"/>
        </w:rPr>
        <w:t>pacientei (0,2</w:t>
      </w:r>
      <w:r w:rsidR="00B82A4E" w:rsidRPr="007C1A06">
        <w:rPr>
          <w:rFonts w:ascii="Times New Roman" w:eastAsia="Times New Roman" w:hAnsi="Times New Roman" w:cs="Times New Roman"/>
        </w:rPr>
        <w:t> </w:t>
      </w:r>
      <w:r w:rsidR="00E07EA1" w:rsidRPr="007C1A06">
        <w:rPr>
          <w:rFonts w:ascii="Times New Roman" w:eastAsia="Times New Roman" w:hAnsi="Times New Roman" w:cs="Times New Roman"/>
        </w:rPr>
        <w:t>%) FAC grupėje.</w:t>
      </w:r>
    </w:p>
    <w:p w14:paraId="5A3CBCE4" w14:textId="77777777" w:rsidR="00D875C0" w:rsidRPr="001F2C46" w:rsidRDefault="00D875C0" w:rsidP="00D875C0">
      <w:pPr>
        <w:autoSpaceDE w:val="0"/>
        <w:autoSpaceDN w:val="0"/>
        <w:adjustRightInd w:val="0"/>
        <w:spacing w:after="0" w:line="240" w:lineRule="auto"/>
        <w:rPr>
          <w:rFonts w:ascii="Times New Roman" w:hAnsi="Times New Roman"/>
        </w:rPr>
      </w:pPr>
    </w:p>
    <w:p w14:paraId="67276472" w14:textId="77777777" w:rsidR="00D875C0" w:rsidRPr="00427D92" w:rsidRDefault="00D875C0" w:rsidP="00D875C0">
      <w:pPr>
        <w:autoSpaceDE w:val="0"/>
        <w:autoSpaceDN w:val="0"/>
        <w:adjustRightInd w:val="0"/>
        <w:spacing w:after="0" w:line="240" w:lineRule="auto"/>
        <w:rPr>
          <w:rFonts w:ascii="Times New Roman" w:hAnsi="Times New Roman"/>
          <w:i/>
        </w:rPr>
      </w:pPr>
      <w:r w:rsidRPr="00427D92">
        <w:rPr>
          <w:rFonts w:ascii="Times New Roman" w:hAnsi="Times New Roman"/>
          <w:i/>
        </w:rPr>
        <w:t>Lytinės sistemos ir krūties sutrikimai</w:t>
      </w:r>
    </w:p>
    <w:p w14:paraId="6D455FA6" w14:textId="77777777" w:rsidR="00E07EA1" w:rsidRPr="00F95B76" w:rsidRDefault="00E07EA1" w:rsidP="00B82A4E">
      <w:pPr>
        <w:autoSpaceDE w:val="0"/>
        <w:autoSpaceDN w:val="0"/>
        <w:adjustRightInd w:val="0"/>
        <w:spacing w:after="0" w:line="240" w:lineRule="auto"/>
        <w:rPr>
          <w:rFonts w:ascii="Times New Roman" w:hAnsi="Times New Roman"/>
        </w:rPr>
      </w:pPr>
      <w:r w:rsidRPr="00C722B4">
        <w:rPr>
          <w:rFonts w:ascii="Times New Roman" w:hAnsi="Times New Roman"/>
        </w:rPr>
        <w:t xml:space="preserve">Tyrimo </w:t>
      </w:r>
      <w:r w:rsidRPr="00F95B76">
        <w:rPr>
          <w:rFonts w:ascii="Times New Roman" w:hAnsi="Times New Roman"/>
        </w:rPr>
        <w:t xml:space="preserve">TAX316 metu amenorėja </w:t>
      </w:r>
      <w:r w:rsidRPr="007C1A06">
        <w:rPr>
          <w:rFonts w:ascii="Times New Roman" w:eastAsia="Times New Roman" w:hAnsi="Times New Roman" w:cs="Times New Roman"/>
        </w:rPr>
        <w:t xml:space="preserve">prasidėjo gydymo </w:t>
      </w:r>
      <w:r w:rsidRPr="00F95B76">
        <w:rPr>
          <w:rFonts w:ascii="Times New Roman" w:hAnsi="Times New Roman"/>
        </w:rPr>
        <w:t xml:space="preserve">laikotarpiu </w:t>
      </w:r>
      <w:r w:rsidRPr="007C1A06">
        <w:rPr>
          <w:rFonts w:ascii="Times New Roman" w:eastAsia="Times New Roman" w:hAnsi="Times New Roman" w:cs="Times New Roman"/>
        </w:rPr>
        <w:t>ir išliko pradėjus stebėjimo laikotarpį po</w:t>
      </w:r>
      <w:r w:rsidRPr="00F95B76">
        <w:rPr>
          <w:rFonts w:ascii="Times New Roman" w:hAnsi="Times New Roman"/>
        </w:rPr>
        <w:t xml:space="preserve"> chemoterapijos </w:t>
      </w:r>
      <w:r w:rsidRPr="007C1A06">
        <w:rPr>
          <w:rFonts w:ascii="Times New Roman" w:eastAsia="Times New Roman" w:hAnsi="Times New Roman" w:cs="Times New Roman"/>
        </w:rPr>
        <w:t>pabaigos 202</w:t>
      </w:r>
      <w:r w:rsidR="00B82A4E" w:rsidRPr="007C1A06">
        <w:rPr>
          <w:rFonts w:ascii="Times New Roman" w:eastAsia="Times New Roman" w:hAnsi="Times New Roman" w:cs="Times New Roman"/>
        </w:rPr>
        <w:t> </w:t>
      </w:r>
      <w:r w:rsidRPr="007C1A06">
        <w:rPr>
          <w:rFonts w:ascii="Times New Roman" w:eastAsia="Times New Roman" w:hAnsi="Times New Roman" w:cs="Times New Roman"/>
        </w:rPr>
        <w:t>pacientėms iš 774 (27,2</w:t>
      </w:r>
      <w:r w:rsidR="00B82A4E" w:rsidRPr="007C1A06">
        <w:rPr>
          <w:rFonts w:ascii="Times New Roman" w:eastAsia="Times New Roman" w:hAnsi="Times New Roman" w:cs="Times New Roman"/>
        </w:rPr>
        <w:t> </w:t>
      </w:r>
      <w:r w:rsidRPr="007C1A06">
        <w:rPr>
          <w:rFonts w:ascii="Times New Roman" w:eastAsia="Times New Roman" w:hAnsi="Times New Roman" w:cs="Times New Roman"/>
        </w:rPr>
        <w:t>%) TAC grupėje ir 125</w:t>
      </w:r>
      <w:r w:rsidR="00B82A4E" w:rsidRPr="007C1A06">
        <w:rPr>
          <w:rFonts w:ascii="Times New Roman" w:eastAsia="Times New Roman" w:hAnsi="Times New Roman" w:cs="Times New Roman"/>
        </w:rPr>
        <w:t> </w:t>
      </w:r>
      <w:r w:rsidRPr="007C1A06">
        <w:rPr>
          <w:rFonts w:ascii="Times New Roman" w:eastAsia="Times New Roman" w:hAnsi="Times New Roman" w:cs="Times New Roman"/>
        </w:rPr>
        <w:t>pacientėms iš 736 (17,0</w:t>
      </w:r>
      <w:r w:rsidR="005F1A3F" w:rsidRPr="007C1A06">
        <w:rPr>
          <w:rFonts w:ascii="Times New Roman" w:eastAsia="Times New Roman" w:hAnsi="Times New Roman" w:cs="Times New Roman"/>
        </w:rPr>
        <w:t> </w:t>
      </w:r>
      <w:r w:rsidRPr="007C1A06">
        <w:rPr>
          <w:rFonts w:ascii="Times New Roman" w:eastAsia="Times New Roman" w:hAnsi="Times New Roman" w:cs="Times New Roman"/>
        </w:rPr>
        <w:t>%) FAC grupėje. Stebėjimo laikotarpio pabaigoje (stebėjimo laiko mediana buvo 8 metai) amenorėja išliko 121</w:t>
      </w:r>
      <w:r w:rsidR="005F1A3F" w:rsidRPr="007C1A06">
        <w:rPr>
          <w:rFonts w:ascii="Times New Roman" w:eastAsia="Times New Roman" w:hAnsi="Times New Roman" w:cs="Times New Roman"/>
        </w:rPr>
        <w:t> </w:t>
      </w:r>
      <w:r w:rsidRPr="007C1A06">
        <w:rPr>
          <w:rFonts w:ascii="Times New Roman" w:eastAsia="Times New Roman" w:hAnsi="Times New Roman" w:cs="Times New Roman"/>
        </w:rPr>
        <w:t>pacientei iš 774 (16,3</w:t>
      </w:r>
      <w:r w:rsidR="005F1A3F" w:rsidRPr="007C1A06">
        <w:rPr>
          <w:rFonts w:ascii="Times New Roman" w:eastAsia="Times New Roman" w:hAnsi="Times New Roman" w:cs="Times New Roman"/>
        </w:rPr>
        <w:t> </w:t>
      </w:r>
      <w:r w:rsidRPr="007C1A06">
        <w:rPr>
          <w:rFonts w:ascii="Times New Roman" w:eastAsia="Times New Roman" w:hAnsi="Times New Roman" w:cs="Times New Roman"/>
        </w:rPr>
        <w:t>%) TAC grupėje ir 86</w:t>
      </w:r>
      <w:r w:rsidR="005F1A3F" w:rsidRPr="007C1A06">
        <w:rPr>
          <w:rFonts w:ascii="Times New Roman" w:eastAsia="Times New Roman" w:hAnsi="Times New Roman" w:cs="Times New Roman"/>
        </w:rPr>
        <w:t> </w:t>
      </w:r>
      <w:r w:rsidRPr="007C1A06">
        <w:rPr>
          <w:rFonts w:ascii="Times New Roman" w:eastAsia="Times New Roman" w:hAnsi="Times New Roman" w:cs="Times New Roman"/>
        </w:rPr>
        <w:t>pacientėms (11,7</w:t>
      </w:r>
      <w:r w:rsidR="005F1A3F" w:rsidRPr="007C1A06">
        <w:rPr>
          <w:rFonts w:ascii="Times New Roman" w:eastAsia="Times New Roman" w:hAnsi="Times New Roman" w:cs="Times New Roman"/>
        </w:rPr>
        <w:t> </w:t>
      </w:r>
      <w:r w:rsidRPr="007C1A06">
        <w:rPr>
          <w:rFonts w:ascii="Times New Roman" w:eastAsia="Times New Roman" w:hAnsi="Times New Roman" w:cs="Times New Roman"/>
        </w:rPr>
        <w:t>%) FAC grupėje</w:t>
      </w:r>
      <w:r w:rsidRPr="00F95B76">
        <w:rPr>
          <w:rFonts w:ascii="Times New Roman" w:hAnsi="Times New Roman"/>
        </w:rPr>
        <w:t>.</w:t>
      </w:r>
    </w:p>
    <w:p w14:paraId="19735546" w14:textId="77777777" w:rsidR="00E07EA1" w:rsidRPr="00F95B76" w:rsidRDefault="00E07EA1" w:rsidP="00E07EA1">
      <w:pPr>
        <w:autoSpaceDE w:val="0"/>
        <w:autoSpaceDN w:val="0"/>
        <w:adjustRightInd w:val="0"/>
        <w:spacing w:after="0" w:line="240" w:lineRule="auto"/>
        <w:rPr>
          <w:rFonts w:ascii="Times New Roman" w:hAnsi="Times New Roman"/>
        </w:rPr>
      </w:pPr>
      <w:r w:rsidRPr="001F2C46">
        <w:rPr>
          <w:rFonts w:ascii="Times New Roman" w:hAnsi="Times New Roman"/>
        </w:rPr>
        <w:t>Tyrimo GEICAM 9805 metu amenorėja</w:t>
      </w:r>
      <w:r w:rsidRPr="007C1A06">
        <w:rPr>
          <w:rFonts w:ascii="Times New Roman" w:hAnsi="Times New Roman" w:cs="Times New Roman"/>
        </w:rPr>
        <w:t xml:space="preserve"> prasidėjo gydymo </w:t>
      </w:r>
      <w:r w:rsidRPr="00F95B76">
        <w:rPr>
          <w:rFonts w:ascii="Times New Roman" w:hAnsi="Times New Roman"/>
        </w:rPr>
        <w:t xml:space="preserve">laikotarpiu </w:t>
      </w:r>
      <w:r w:rsidRPr="007C1A06">
        <w:rPr>
          <w:rFonts w:ascii="Times New Roman" w:hAnsi="Times New Roman" w:cs="Times New Roman"/>
        </w:rPr>
        <w:t xml:space="preserve">ir išliko pradėjus </w:t>
      </w:r>
      <w:r w:rsidRPr="00F95B76">
        <w:rPr>
          <w:rFonts w:ascii="Times New Roman" w:hAnsi="Times New Roman"/>
        </w:rPr>
        <w:t xml:space="preserve">stebėjimo </w:t>
      </w:r>
      <w:r w:rsidRPr="007C1A06">
        <w:rPr>
          <w:rFonts w:ascii="Times New Roman" w:hAnsi="Times New Roman" w:cs="Times New Roman"/>
        </w:rPr>
        <w:t>laikotarpiu</w:t>
      </w:r>
      <w:r w:rsidRPr="00F95B76">
        <w:rPr>
          <w:rFonts w:ascii="Times New Roman" w:hAnsi="Times New Roman"/>
        </w:rPr>
        <w:t xml:space="preserve"> 18</w:t>
      </w:r>
      <w:r w:rsidR="005F1A3F" w:rsidRPr="007C1A06">
        <w:rPr>
          <w:rFonts w:ascii="Times New Roman" w:hAnsi="Times New Roman" w:cs="Times New Roman"/>
        </w:rPr>
        <w:t> </w:t>
      </w:r>
      <w:r w:rsidRPr="00F95B76">
        <w:rPr>
          <w:rFonts w:ascii="Times New Roman" w:hAnsi="Times New Roman"/>
        </w:rPr>
        <w:t>pacienčių (3,4</w:t>
      </w:r>
      <w:r w:rsidR="005F1A3F" w:rsidRPr="00F95B76">
        <w:rPr>
          <w:rFonts w:ascii="Times New Roman" w:hAnsi="Times New Roman"/>
        </w:rPr>
        <w:t> </w:t>
      </w:r>
      <w:r w:rsidRPr="00F95B76">
        <w:rPr>
          <w:rFonts w:ascii="Times New Roman" w:hAnsi="Times New Roman"/>
        </w:rPr>
        <w:t>%) TAC grupėje ir 5</w:t>
      </w:r>
      <w:r w:rsidR="005F1A3F" w:rsidRPr="007C1A06">
        <w:rPr>
          <w:rFonts w:ascii="Times New Roman" w:hAnsi="Times New Roman" w:cs="Times New Roman"/>
        </w:rPr>
        <w:t> </w:t>
      </w:r>
      <w:r w:rsidRPr="00F95B76">
        <w:rPr>
          <w:rFonts w:ascii="Times New Roman" w:hAnsi="Times New Roman"/>
        </w:rPr>
        <w:t>pacientėms (1,0</w:t>
      </w:r>
      <w:r w:rsidR="005F1A3F" w:rsidRPr="00F95B76">
        <w:rPr>
          <w:rFonts w:ascii="Times New Roman" w:hAnsi="Times New Roman"/>
        </w:rPr>
        <w:t> </w:t>
      </w:r>
      <w:r w:rsidRPr="00F95B76">
        <w:rPr>
          <w:rFonts w:ascii="Times New Roman" w:hAnsi="Times New Roman"/>
        </w:rPr>
        <w:t>%) FAC grupėje.</w:t>
      </w:r>
      <w:r w:rsidRPr="007C1A06">
        <w:rPr>
          <w:rFonts w:ascii="Times New Roman" w:hAnsi="Times New Roman" w:cs="Times New Roman"/>
        </w:rPr>
        <w:t xml:space="preserve"> Stebėjimo laikotarpio pabaigoje (stebėjimo laiko mediana buvo 10</w:t>
      </w:r>
      <w:r w:rsidR="005F1A3F" w:rsidRPr="007C1A06">
        <w:rPr>
          <w:rFonts w:ascii="Times New Roman" w:hAnsi="Times New Roman" w:cs="Times New Roman"/>
        </w:rPr>
        <w:t> </w:t>
      </w:r>
      <w:r w:rsidRPr="007C1A06">
        <w:rPr>
          <w:rFonts w:ascii="Times New Roman" w:hAnsi="Times New Roman" w:cs="Times New Roman"/>
        </w:rPr>
        <w:t>metų ir 5</w:t>
      </w:r>
      <w:r w:rsidR="005F1A3F" w:rsidRPr="007C1A06">
        <w:rPr>
          <w:rFonts w:ascii="Times New Roman" w:hAnsi="Times New Roman" w:cs="Times New Roman"/>
        </w:rPr>
        <w:t> </w:t>
      </w:r>
      <w:r w:rsidRPr="007C1A06">
        <w:rPr>
          <w:rFonts w:ascii="Times New Roman" w:hAnsi="Times New Roman" w:cs="Times New Roman"/>
        </w:rPr>
        <w:t>mėnesiai) amenorėja išliko 7</w:t>
      </w:r>
      <w:r w:rsidR="005F1A3F" w:rsidRPr="007C1A06">
        <w:rPr>
          <w:rFonts w:ascii="Times New Roman" w:hAnsi="Times New Roman" w:cs="Times New Roman"/>
        </w:rPr>
        <w:t> </w:t>
      </w:r>
      <w:r w:rsidRPr="007C1A06">
        <w:rPr>
          <w:rFonts w:ascii="Times New Roman" w:hAnsi="Times New Roman" w:cs="Times New Roman"/>
        </w:rPr>
        <w:t>pacientėms (1,3</w:t>
      </w:r>
      <w:r w:rsidR="005F1A3F" w:rsidRPr="007C1A06">
        <w:rPr>
          <w:rFonts w:ascii="Times New Roman" w:hAnsi="Times New Roman" w:cs="Times New Roman"/>
        </w:rPr>
        <w:t> </w:t>
      </w:r>
      <w:r w:rsidRPr="007C1A06">
        <w:rPr>
          <w:rFonts w:ascii="Times New Roman" w:hAnsi="Times New Roman" w:cs="Times New Roman"/>
        </w:rPr>
        <w:t>%) TAC grupėje ir 4</w:t>
      </w:r>
      <w:r w:rsidR="005F1A3F" w:rsidRPr="007C1A06">
        <w:rPr>
          <w:rFonts w:ascii="Times New Roman" w:hAnsi="Times New Roman" w:cs="Times New Roman"/>
        </w:rPr>
        <w:t> </w:t>
      </w:r>
      <w:r w:rsidRPr="007C1A06">
        <w:rPr>
          <w:rFonts w:ascii="Times New Roman" w:hAnsi="Times New Roman" w:cs="Times New Roman"/>
        </w:rPr>
        <w:t>pacientėms (0,8</w:t>
      </w:r>
      <w:r w:rsidR="005F1A3F" w:rsidRPr="007C1A06">
        <w:rPr>
          <w:rFonts w:ascii="Times New Roman" w:hAnsi="Times New Roman" w:cs="Times New Roman"/>
        </w:rPr>
        <w:t> </w:t>
      </w:r>
      <w:r w:rsidRPr="007C1A06">
        <w:rPr>
          <w:rFonts w:ascii="Times New Roman" w:hAnsi="Times New Roman" w:cs="Times New Roman"/>
        </w:rPr>
        <w:t>%) FAC grupėje.</w:t>
      </w:r>
    </w:p>
    <w:p w14:paraId="789B1C8B" w14:textId="77777777" w:rsidR="00E07EA1" w:rsidRPr="001F2C46" w:rsidRDefault="00E07EA1" w:rsidP="00E07EA1">
      <w:pPr>
        <w:autoSpaceDE w:val="0"/>
        <w:autoSpaceDN w:val="0"/>
        <w:adjustRightInd w:val="0"/>
        <w:spacing w:after="0" w:line="240" w:lineRule="auto"/>
        <w:rPr>
          <w:rFonts w:ascii="Times New Roman" w:hAnsi="Times New Roman"/>
        </w:rPr>
      </w:pPr>
    </w:p>
    <w:p w14:paraId="71A2F096" w14:textId="77777777" w:rsidR="00E07EA1" w:rsidRPr="00427D92" w:rsidRDefault="00E07EA1" w:rsidP="00E07EA1">
      <w:pPr>
        <w:autoSpaceDE w:val="0"/>
        <w:autoSpaceDN w:val="0"/>
        <w:adjustRightInd w:val="0"/>
        <w:spacing w:after="0" w:line="240" w:lineRule="auto"/>
        <w:rPr>
          <w:rFonts w:ascii="Times New Roman" w:hAnsi="Times New Roman"/>
          <w:i/>
        </w:rPr>
      </w:pPr>
      <w:r w:rsidRPr="00427D92">
        <w:rPr>
          <w:rFonts w:ascii="Times New Roman" w:hAnsi="Times New Roman"/>
          <w:i/>
        </w:rPr>
        <w:t>Bendrieji sutrikimai ir vartojimo vietos pažeidimai</w:t>
      </w:r>
    </w:p>
    <w:p w14:paraId="12F4A082" w14:textId="77777777" w:rsidR="00E07EA1" w:rsidRPr="007C1A06" w:rsidRDefault="00E07EA1" w:rsidP="00E07EA1">
      <w:pPr>
        <w:autoSpaceDE w:val="0"/>
        <w:autoSpaceDN w:val="0"/>
        <w:adjustRightInd w:val="0"/>
        <w:spacing w:after="0" w:line="240" w:lineRule="auto"/>
        <w:rPr>
          <w:rFonts w:ascii="Times New Roman" w:hAnsi="Times New Roman" w:cs="Times New Roman"/>
        </w:rPr>
      </w:pPr>
      <w:r w:rsidRPr="007C1A06">
        <w:rPr>
          <w:rFonts w:ascii="Times New Roman" w:hAnsi="Times New Roman" w:cs="Times New Roman"/>
        </w:rPr>
        <w:t>Tyrimo TAX316 metu periferinė edema prasidėjo gydymo laikotarpiu ir išliko pradėjus stebėjimo laikotarpį po chemoterapijos pabaigos 119</w:t>
      </w:r>
      <w:r w:rsidR="005F1A3F" w:rsidRPr="007C1A06">
        <w:rPr>
          <w:rFonts w:ascii="Times New Roman" w:hAnsi="Times New Roman" w:cs="Times New Roman"/>
        </w:rPr>
        <w:t> </w:t>
      </w:r>
      <w:r w:rsidRPr="007C1A06">
        <w:rPr>
          <w:rFonts w:ascii="Times New Roman" w:hAnsi="Times New Roman" w:cs="Times New Roman"/>
        </w:rPr>
        <w:t>pacienčių iš 774 (16,0</w:t>
      </w:r>
      <w:r w:rsidR="005F1A3F" w:rsidRPr="007C1A06">
        <w:rPr>
          <w:rFonts w:ascii="Times New Roman" w:hAnsi="Times New Roman" w:cs="Times New Roman"/>
        </w:rPr>
        <w:t> </w:t>
      </w:r>
      <w:r w:rsidRPr="007C1A06">
        <w:rPr>
          <w:rFonts w:ascii="Times New Roman" w:hAnsi="Times New Roman" w:cs="Times New Roman"/>
        </w:rPr>
        <w:t>%) TAC grupėje ir 23</w:t>
      </w:r>
      <w:r w:rsidR="005F1A3F" w:rsidRPr="007C1A06">
        <w:rPr>
          <w:rFonts w:ascii="Times New Roman" w:hAnsi="Times New Roman" w:cs="Times New Roman"/>
        </w:rPr>
        <w:t> </w:t>
      </w:r>
      <w:r w:rsidRPr="007C1A06">
        <w:rPr>
          <w:rFonts w:ascii="Times New Roman" w:hAnsi="Times New Roman" w:cs="Times New Roman"/>
        </w:rPr>
        <w:t>pacientėms iš 736 (3,1</w:t>
      </w:r>
      <w:r w:rsidR="005F1A3F" w:rsidRPr="007C1A06">
        <w:rPr>
          <w:rFonts w:ascii="Times New Roman" w:hAnsi="Times New Roman" w:cs="Times New Roman"/>
        </w:rPr>
        <w:t> </w:t>
      </w:r>
      <w:r w:rsidRPr="007C1A06">
        <w:rPr>
          <w:rFonts w:ascii="Times New Roman" w:hAnsi="Times New Roman" w:cs="Times New Roman"/>
        </w:rPr>
        <w:t>%) FAC grupėje. Stebėjimo laikotarpio pabaigoje (tikroji stebėjimo laiko mediana buvo 8</w:t>
      </w:r>
      <w:r w:rsidR="005F1A3F" w:rsidRPr="007C1A06">
        <w:rPr>
          <w:rFonts w:ascii="Times New Roman" w:hAnsi="Times New Roman" w:cs="Times New Roman"/>
        </w:rPr>
        <w:t> </w:t>
      </w:r>
      <w:r w:rsidRPr="007C1A06">
        <w:rPr>
          <w:rFonts w:ascii="Times New Roman" w:hAnsi="Times New Roman" w:cs="Times New Roman"/>
        </w:rPr>
        <w:t>metai) periferinė edema išliko 19</w:t>
      </w:r>
      <w:r w:rsidR="005F1A3F" w:rsidRPr="007C1A06">
        <w:rPr>
          <w:rFonts w:ascii="Times New Roman" w:hAnsi="Times New Roman" w:cs="Times New Roman"/>
        </w:rPr>
        <w:t> </w:t>
      </w:r>
      <w:r w:rsidRPr="007C1A06">
        <w:rPr>
          <w:rFonts w:ascii="Times New Roman" w:hAnsi="Times New Roman" w:cs="Times New Roman"/>
        </w:rPr>
        <w:t>pacienčių (2,6</w:t>
      </w:r>
      <w:r w:rsidR="005F1A3F" w:rsidRPr="007C1A06">
        <w:rPr>
          <w:rFonts w:ascii="Times New Roman" w:hAnsi="Times New Roman" w:cs="Times New Roman"/>
        </w:rPr>
        <w:t> </w:t>
      </w:r>
      <w:r w:rsidRPr="007C1A06">
        <w:rPr>
          <w:rFonts w:ascii="Times New Roman" w:hAnsi="Times New Roman" w:cs="Times New Roman"/>
        </w:rPr>
        <w:t>%) TAC grupėje ir 4</w:t>
      </w:r>
      <w:r w:rsidR="005F1A3F" w:rsidRPr="007C1A06">
        <w:rPr>
          <w:rFonts w:ascii="Times New Roman" w:hAnsi="Times New Roman" w:cs="Times New Roman"/>
        </w:rPr>
        <w:t> </w:t>
      </w:r>
      <w:r w:rsidRPr="007C1A06">
        <w:rPr>
          <w:rFonts w:ascii="Times New Roman" w:hAnsi="Times New Roman" w:cs="Times New Roman"/>
        </w:rPr>
        <w:t>pacientėms (0,5</w:t>
      </w:r>
      <w:r w:rsidR="005F1A3F" w:rsidRPr="007C1A06">
        <w:rPr>
          <w:rFonts w:ascii="Times New Roman" w:hAnsi="Times New Roman" w:cs="Times New Roman"/>
        </w:rPr>
        <w:t> </w:t>
      </w:r>
      <w:r w:rsidRPr="007C1A06">
        <w:rPr>
          <w:rFonts w:ascii="Times New Roman" w:hAnsi="Times New Roman" w:cs="Times New Roman"/>
        </w:rPr>
        <w:t>%) FAC grupėje. Tyrimo TAX316 metu limfedema prasidėjo gydymo laikotarpiu ir išliko pradėjus stebėjimo laikotarpį</w:t>
      </w:r>
      <w:r w:rsidR="001F2C46">
        <w:rPr>
          <w:rFonts w:ascii="Times New Roman" w:hAnsi="Times New Roman" w:cs="Times New Roman"/>
        </w:rPr>
        <w:t xml:space="preserve"> </w:t>
      </w:r>
      <w:r w:rsidRPr="007C1A06">
        <w:rPr>
          <w:rFonts w:ascii="Times New Roman" w:hAnsi="Times New Roman" w:cs="Times New Roman"/>
        </w:rPr>
        <w:t>po chemoterapijos pabaigos 11</w:t>
      </w:r>
      <w:r w:rsidR="005F1A3F" w:rsidRPr="007C1A06">
        <w:rPr>
          <w:rFonts w:ascii="Times New Roman" w:hAnsi="Times New Roman" w:cs="Times New Roman"/>
        </w:rPr>
        <w:t> </w:t>
      </w:r>
      <w:r w:rsidRPr="007C1A06">
        <w:rPr>
          <w:rFonts w:ascii="Times New Roman" w:hAnsi="Times New Roman" w:cs="Times New Roman"/>
        </w:rPr>
        <w:t>pacienčių iš 774 (1,5</w:t>
      </w:r>
      <w:r w:rsidR="005F1A3F" w:rsidRPr="007C1A06">
        <w:rPr>
          <w:rFonts w:ascii="Times New Roman" w:hAnsi="Times New Roman" w:cs="Times New Roman"/>
        </w:rPr>
        <w:t> </w:t>
      </w:r>
      <w:r w:rsidRPr="007C1A06">
        <w:rPr>
          <w:rFonts w:ascii="Times New Roman" w:hAnsi="Times New Roman" w:cs="Times New Roman"/>
        </w:rPr>
        <w:t>%) TAC grupėje ir 1 pacientei iš 736 (0,1</w:t>
      </w:r>
      <w:r w:rsidR="005F1A3F" w:rsidRPr="007C1A06">
        <w:rPr>
          <w:rFonts w:ascii="Times New Roman" w:hAnsi="Times New Roman" w:cs="Times New Roman"/>
        </w:rPr>
        <w:t> </w:t>
      </w:r>
      <w:r w:rsidRPr="007C1A06">
        <w:rPr>
          <w:rFonts w:ascii="Times New Roman" w:hAnsi="Times New Roman" w:cs="Times New Roman"/>
        </w:rPr>
        <w:t>%) FAC grupėje. Stebėjimo laikotarpio pabaigoje (tikroji stebėjimo laiko mediana buvo 8</w:t>
      </w:r>
      <w:r w:rsidR="005F1A3F" w:rsidRPr="007C1A06">
        <w:rPr>
          <w:rFonts w:ascii="Times New Roman" w:hAnsi="Times New Roman" w:cs="Times New Roman"/>
        </w:rPr>
        <w:t> </w:t>
      </w:r>
      <w:r w:rsidRPr="007C1A06">
        <w:rPr>
          <w:rFonts w:ascii="Times New Roman" w:hAnsi="Times New Roman" w:cs="Times New Roman"/>
        </w:rPr>
        <w:t>metai) limfedema išliko 6</w:t>
      </w:r>
      <w:r w:rsidR="005F1A3F" w:rsidRPr="007C1A06">
        <w:rPr>
          <w:rFonts w:ascii="Times New Roman" w:hAnsi="Times New Roman" w:cs="Times New Roman"/>
        </w:rPr>
        <w:t> </w:t>
      </w:r>
      <w:r w:rsidRPr="007C1A06">
        <w:rPr>
          <w:rFonts w:ascii="Times New Roman" w:hAnsi="Times New Roman" w:cs="Times New Roman"/>
        </w:rPr>
        <w:t>pacientėms (0,8</w:t>
      </w:r>
      <w:r w:rsidR="005F1A3F" w:rsidRPr="007C1A06">
        <w:rPr>
          <w:rFonts w:ascii="Times New Roman" w:hAnsi="Times New Roman" w:cs="Times New Roman"/>
        </w:rPr>
        <w:t> </w:t>
      </w:r>
      <w:r w:rsidRPr="007C1A06">
        <w:rPr>
          <w:rFonts w:ascii="Times New Roman" w:hAnsi="Times New Roman" w:cs="Times New Roman"/>
        </w:rPr>
        <w:t>%) TAC grupėje ir 1</w:t>
      </w:r>
      <w:r w:rsidR="005F1A3F" w:rsidRPr="007C1A06">
        <w:rPr>
          <w:rFonts w:ascii="Times New Roman" w:hAnsi="Times New Roman" w:cs="Times New Roman"/>
        </w:rPr>
        <w:t> </w:t>
      </w:r>
      <w:r w:rsidRPr="007C1A06">
        <w:rPr>
          <w:rFonts w:ascii="Times New Roman" w:hAnsi="Times New Roman" w:cs="Times New Roman"/>
        </w:rPr>
        <w:t>pacientei (0,1</w:t>
      </w:r>
      <w:r w:rsidR="005F1A3F" w:rsidRPr="007C1A06">
        <w:rPr>
          <w:rFonts w:ascii="Times New Roman" w:hAnsi="Times New Roman" w:cs="Times New Roman"/>
        </w:rPr>
        <w:t> </w:t>
      </w:r>
      <w:r w:rsidRPr="007C1A06">
        <w:rPr>
          <w:rFonts w:ascii="Times New Roman" w:hAnsi="Times New Roman" w:cs="Times New Roman"/>
        </w:rPr>
        <w:t>%) FAC grupėje. Tyrimo TAX316 metu astenija prasidėjo gydymo laikotarpiu ir išliko pradėjus stebėjimo laikotarpį po chemoterapijos pabaigos 236 pacientėms iš 774 (31,7</w:t>
      </w:r>
      <w:r w:rsidR="005F1A3F" w:rsidRPr="007C1A06">
        <w:rPr>
          <w:rFonts w:ascii="Times New Roman" w:hAnsi="Times New Roman" w:cs="Times New Roman"/>
        </w:rPr>
        <w:t> </w:t>
      </w:r>
      <w:r w:rsidRPr="007C1A06">
        <w:rPr>
          <w:rFonts w:ascii="Times New Roman" w:hAnsi="Times New Roman" w:cs="Times New Roman"/>
        </w:rPr>
        <w:t>%) TAC grupėje ir 180</w:t>
      </w:r>
      <w:r w:rsidR="005F1A3F" w:rsidRPr="007C1A06">
        <w:rPr>
          <w:rFonts w:ascii="Times New Roman" w:hAnsi="Times New Roman" w:cs="Times New Roman"/>
        </w:rPr>
        <w:t> </w:t>
      </w:r>
      <w:r w:rsidRPr="007C1A06">
        <w:rPr>
          <w:rFonts w:ascii="Times New Roman" w:hAnsi="Times New Roman" w:cs="Times New Roman"/>
        </w:rPr>
        <w:t>pacienčių iš 736 (24,5</w:t>
      </w:r>
      <w:r w:rsidR="005F1A3F" w:rsidRPr="007C1A06">
        <w:rPr>
          <w:rFonts w:ascii="Times New Roman" w:hAnsi="Times New Roman" w:cs="Times New Roman"/>
        </w:rPr>
        <w:t> </w:t>
      </w:r>
      <w:r w:rsidRPr="007C1A06">
        <w:rPr>
          <w:rFonts w:ascii="Times New Roman" w:hAnsi="Times New Roman" w:cs="Times New Roman"/>
        </w:rPr>
        <w:t>%) FAC grupėje. Stebėjimo laikotarpio pabaigoje (tikroji stebėjimo laiko mediana buvo 8</w:t>
      </w:r>
      <w:r w:rsidR="005F1A3F" w:rsidRPr="007C1A06">
        <w:rPr>
          <w:rFonts w:ascii="Times New Roman" w:hAnsi="Times New Roman" w:cs="Times New Roman"/>
        </w:rPr>
        <w:t> </w:t>
      </w:r>
      <w:r w:rsidRPr="007C1A06">
        <w:rPr>
          <w:rFonts w:ascii="Times New Roman" w:hAnsi="Times New Roman" w:cs="Times New Roman"/>
        </w:rPr>
        <w:t>metai) astenija išliko 29</w:t>
      </w:r>
      <w:r w:rsidR="005F1A3F" w:rsidRPr="007C1A06">
        <w:rPr>
          <w:rFonts w:ascii="Times New Roman" w:hAnsi="Times New Roman" w:cs="Times New Roman"/>
        </w:rPr>
        <w:t> </w:t>
      </w:r>
      <w:r w:rsidRPr="007C1A06">
        <w:rPr>
          <w:rFonts w:ascii="Times New Roman" w:hAnsi="Times New Roman" w:cs="Times New Roman"/>
        </w:rPr>
        <w:t>pacientėms (3,9</w:t>
      </w:r>
      <w:r w:rsidR="005F1A3F" w:rsidRPr="007C1A06">
        <w:rPr>
          <w:rFonts w:ascii="Times New Roman" w:hAnsi="Times New Roman" w:cs="Times New Roman"/>
        </w:rPr>
        <w:t> </w:t>
      </w:r>
      <w:r w:rsidRPr="007C1A06">
        <w:rPr>
          <w:rFonts w:ascii="Times New Roman" w:hAnsi="Times New Roman" w:cs="Times New Roman"/>
        </w:rPr>
        <w:t>%) TAC grupėje ir 16</w:t>
      </w:r>
      <w:r w:rsidR="005F1A3F" w:rsidRPr="007C1A06">
        <w:rPr>
          <w:rFonts w:ascii="Times New Roman" w:hAnsi="Times New Roman" w:cs="Times New Roman"/>
        </w:rPr>
        <w:t> </w:t>
      </w:r>
      <w:r w:rsidRPr="007C1A06">
        <w:rPr>
          <w:rFonts w:ascii="Times New Roman" w:hAnsi="Times New Roman" w:cs="Times New Roman"/>
        </w:rPr>
        <w:t>pacienčių (2,2</w:t>
      </w:r>
      <w:r w:rsidR="005F1A3F" w:rsidRPr="007C1A06">
        <w:rPr>
          <w:rFonts w:ascii="Times New Roman" w:hAnsi="Times New Roman" w:cs="Times New Roman"/>
        </w:rPr>
        <w:t> </w:t>
      </w:r>
      <w:r w:rsidRPr="007C1A06">
        <w:rPr>
          <w:rFonts w:ascii="Times New Roman" w:hAnsi="Times New Roman" w:cs="Times New Roman"/>
        </w:rPr>
        <w:t>%) FAC grupėje.</w:t>
      </w:r>
    </w:p>
    <w:p w14:paraId="4DBE5200" w14:textId="77777777" w:rsidR="00E07EA1" w:rsidRPr="007C1A06" w:rsidRDefault="00E07EA1" w:rsidP="00E07EA1">
      <w:pPr>
        <w:autoSpaceDE w:val="0"/>
        <w:autoSpaceDN w:val="0"/>
        <w:adjustRightInd w:val="0"/>
        <w:spacing w:after="0" w:line="240" w:lineRule="auto"/>
        <w:rPr>
          <w:rFonts w:ascii="Times New Roman" w:hAnsi="Times New Roman" w:cs="Times New Roman"/>
        </w:rPr>
      </w:pPr>
    </w:p>
    <w:p w14:paraId="195C9B60" w14:textId="77777777" w:rsidR="00E07EA1" w:rsidRPr="007C1A06" w:rsidRDefault="00E07EA1" w:rsidP="00E07EA1">
      <w:pPr>
        <w:autoSpaceDE w:val="0"/>
        <w:autoSpaceDN w:val="0"/>
        <w:adjustRightInd w:val="0"/>
        <w:spacing w:after="0" w:line="240" w:lineRule="auto"/>
        <w:rPr>
          <w:rFonts w:ascii="Times New Roman" w:eastAsia="Times New Roman" w:hAnsi="Times New Roman" w:cs="Times New Roman"/>
        </w:rPr>
      </w:pPr>
      <w:r w:rsidRPr="007C1A06">
        <w:rPr>
          <w:rFonts w:ascii="Times New Roman" w:hAnsi="Times New Roman" w:cs="Times New Roman"/>
        </w:rPr>
        <w:t>Tyrimo GEICAM 9805 metu periferinė edema prasidėjo gydymo laikotarpiu ir išliko pradėjus stebėjimo laikotarpį 4</w:t>
      </w:r>
      <w:r w:rsidR="005F1A3F" w:rsidRPr="007C1A06">
        <w:rPr>
          <w:rFonts w:ascii="Times New Roman" w:hAnsi="Times New Roman" w:cs="Times New Roman"/>
        </w:rPr>
        <w:t> </w:t>
      </w:r>
      <w:r w:rsidRPr="007C1A06">
        <w:rPr>
          <w:rFonts w:ascii="Times New Roman" w:hAnsi="Times New Roman" w:cs="Times New Roman"/>
        </w:rPr>
        <w:t>pacientėms (0,8</w:t>
      </w:r>
      <w:r w:rsidR="005F1A3F" w:rsidRPr="007C1A06">
        <w:rPr>
          <w:rFonts w:ascii="Times New Roman" w:hAnsi="Times New Roman" w:cs="Times New Roman"/>
        </w:rPr>
        <w:t> </w:t>
      </w:r>
      <w:r w:rsidRPr="007C1A06">
        <w:rPr>
          <w:rFonts w:ascii="Times New Roman" w:hAnsi="Times New Roman" w:cs="Times New Roman"/>
        </w:rPr>
        <w:t>%) TAC grupėje ir 2</w:t>
      </w:r>
      <w:r w:rsidR="005F1A3F" w:rsidRPr="007C1A06">
        <w:rPr>
          <w:rFonts w:ascii="Times New Roman" w:hAnsi="Times New Roman" w:cs="Times New Roman"/>
        </w:rPr>
        <w:t> </w:t>
      </w:r>
      <w:r w:rsidRPr="007C1A06">
        <w:rPr>
          <w:rFonts w:ascii="Times New Roman" w:hAnsi="Times New Roman" w:cs="Times New Roman"/>
        </w:rPr>
        <w:t>pacientėms (0,4</w:t>
      </w:r>
      <w:r w:rsidR="005F1A3F" w:rsidRPr="007C1A06">
        <w:rPr>
          <w:rFonts w:ascii="Times New Roman" w:hAnsi="Times New Roman" w:cs="Times New Roman"/>
        </w:rPr>
        <w:t> </w:t>
      </w:r>
      <w:r w:rsidRPr="007C1A06">
        <w:rPr>
          <w:rFonts w:ascii="Times New Roman" w:hAnsi="Times New Roman" w:cs="Times New Roman"/>
        </w:rPr>
        <w:t>%) FAC grupėje. Stebėjimo laikotarpio pabaigoje (stebėjimo laiko mediana buvo 10</w:t>
      </w:r>
      <w:r w:rsidR="005F1A3F" w:rsidRPr="007C1A06">
        <w:rPr>
          <w:rFonts w:ascii="Times New Roman" w:hAnsi="Times New Roman" w:cs="Times New Roman"/>
        </w:rPr>
        <w:t> </w:t>
      </w:r>
      <w:r w:rsidRPr="007C1A06">
        <w:rPr>
          <w:rFonts w:ascii="Times New Roman" w:hAnsi="Times New Roman" w:cs="Times New Roman"/>
        </w:rPr>
        <w:t>metų ir 5</w:t>
      </w:r>
      <w:r w:rsidR="005F1A3F" w:rsidRPr="007C1A06">
        <w:rPr>
          <w:rFonts w:ascii="Times New Roman" w:hAnsi="Times New Roman" w:cs="Times New Roman"/>
        </w:rPr>
        <w:t> </w:t>
      </w:r>
      <w:r w:rsidRPr="007C1A06">
        <w:rPr>
          <w:rFonts w:ascii="Times New Roman" w:hAnsi="Times New Roman" w:cs="Times New Roman"/>
        </w:rPr>
        <w:t>mėnesiai) TAC grupėje periferinės edemos atvejų nebuvo, o FAC grupėje ji išliko 1</w:t>
      </w:r>
      <w:r w:rsidR="005F1A3F" w:rsidRPr="007C1A06">
        <w:rPr>
          <w:rFonts w:ascii="Times New Roman" w:hAnsi="Times New Roman" w:cs="Times New Roman"/>
        </w:rPr>
        <w:t> </w:t>
      </w:r>
      <w:r w:rsidRPr="007C1A06">
        <w:rPr>
          <w:rFonts w:ascii="Times New Roman" w:hAnsi="Times New Roman" w:cs="Times New Roman"/>
        </w:rPr>
        <w:t>pacientei (0,2</w:t>
      </w:r>
      <w:r w:rsidR="005F1A3F" w:rsidRPr="007C1A06">
        <w:rPr>
          <w:rFonts w:ascii="Times New Roman" w:hAnsi="Times New Roman" w:cs="Times New Roman"/>
        </w:rPr>
        <w:t> </w:t>
      </w:r>
      <w:r w:rsidRPr="007C1A06">
        <w:rPr>
          <w:rFonts w:ascii="Times New Roman" w:hAnsi="Times New Roman" w:cs="Times New Roman"/>
        </w:rPr>
        <w:t>%). Limfedema prasidėjo gydymo laikotarpiu ir išliko pradėjus stebėjimo laikotarpį 5</w:t>
      </w:r>
      <w:r w:rsidR="005F1A3F" w:rsidRPr="007C1A06">
        <w:rPr>
          <w:rFonts w:ascii="Times New Roman" w:hAnsi="Times New Roman" w:cs="Times New Roman"/>
        </w:rPr>
        <w:t> </w:t>
      </w:r>
      <w:r w:rsidRPr="007C1A06">
        <w:rPr>
          <w:rFonts w:ascii="Times New Roman" w:hAnsi="Times New Roman" w:cs="Times New Roman"/>
        </w:rPr>
        <w:t>pacientėms (0,9</w:t>
      </w:r>
      <w:r w:rsidR="005F1A3F" w:rsidRPr="007C1A06">
        <w:rPr>
          <w:rFonts w:ascii="Times New Roman" w:hAnsi="Times New Roman" w:cs="Times New Roman"/>
        </w:rPr>
        <w:t> </w:t>
      </w:r>
      <w:r w:rsidRPr="007C1A06">
        <w:rPr>
          <w:rFonts w:ascii="Times New Roman" w:hAnsi="Times New Roman" w:cs="Times New Roman"/>
        </w:rPr>
        <w:t>%) TAC grupėje ir 2</w:t>
      </w:r>
      <w:r w:rsidR="005F1A3F" w:rsidRPr="007C1A06">
        <w:rPr>
          <w:rFonts w:ascii="Times New Roman" w:hAnsi="Times New Roman" w:cs="Times New Roman"/>
        </w:rPr>
        <w:t> </w:t>
      </w:r>
      <w:r w:rsidRPr="007C1A06">
        <w:rPr>
          <w:rFonts w:ascii="Times New Roman" w:hAnsi="Times New Roman" w:cs="Times New Roman"/>
        </w:rPr>
        <w:t>pacientėms (0,4</w:t>
      </w:r>
      <w:r w:rsidR="005F1A3F" w:rsidRPr="007C1A06">
        <w:rPr>
          <w:rFonts w:ascii="Times New Roman" w:hAnsi="Times New Roman" w:cs="Times New Roman"/>
        </w:rPr>
        <w:t> </w:t>
      </w:r>
      <w:r w:rsidRPr="007C1A06">
        <w:rPr>
          <w:rFonts w:ascii="Times New Roman" w:hAnsi="Times New Roman" w:cs="Times New Roman"/>
        </w:rPr>
        <w:t>%) FAC grupėje. Stebėjimo laikotarpio pabaigoje limfedema išliko 4</w:t>
      </w:r>
      <w:r w:rsidR="005F1A3F" w:rsidRPr="007C1A06">
        <w:rPr>
          <w:rFonts w:ascii="Times New Roman" w:hAnsi="Times New Roman" w:cs="Times New Roman"/>
        </w:rPr>
        <w:t> </w:t>
      </w:r>
      <w:r w:rsidRPr="007C1A06">
        <w:rPr>
          <w:rFonts w:ascii="Times New Roman" w:hAnsi="Times New Roman" w:cs="Times New Roman"/>
        </w:rPr>
        <w:t>pacientėms (0,8</w:t>
      </w:r>
      <w:r w:rsidR="005F1A3F" w:rsidRPr="007C1A06">
        <w:rPr>
          <w:rFonts w:ascii="Times New Roman" w:hAnsi="Times New Roman" w:cs="Times New Roman"/>
        </w:rPr>
        <w:t> </w:t>
      </w:r>
      <w:r w:rsidRPr="007C1A06">
        <w:rPr>
          <w:rFonts w:ascii="Times New Roman" w:hAnsi="Times New Roman" w:cs="Times New Roman"/>
        </w:rPr>
        <w:t>%) TAC grupėje ir 1</w:t>
      </w:r>
      <w:r w:rsidR="005F1A3F" w:rsidRPr="007C1A06">
        <w:rPr>
          <w:rFonts w:ascii="Times New Roman" w:hAnsi="Times New Roman" w:cs="Times New Roman"/>
        </w:rPr>
        <w:t> </w:t>
      </w:r>
      <w:r w:rsidRPr="007C1A06">
        <w:rPr>
          <w:rFonts w:ascii="Times New Roman" w:hAnsi="Times New Roman" w:cs="Times New Roman"/>
        </w:rPr>
        <w:t>pacientei (0,2</w:t>
      </w:r>
      <w:r w:rsidR="005F1A3F" w:rsidRPr="007C1A06">
        <w:rPr>
          <w:rFonts w:ascii="Times New Roman" w:hAnsi="Times New Roman" w:cs="Times New Roman"/>
        </w:rPr>
        <w:t> </w:t>
      </w:r>
      <w:r w:rsidRPr="007C1A06">
        <w:rPr>
          <w:rFonts w:ascii="Times New Roman" w:hAnsi="Times New Roman" w:cs="Times New Roman"/>
        </w:rPr>
        <w:t>%) FAC grupėje. Astenija prasidėjo gydymo laikotarpiu ir išliko pradėjus stebėjimo laikotarpį 12</w:t>
      </w:r>
      <w:r w:rsidR="005F1A3F" w:rsidRPr="007C1A06">
        <w:rPr>
          <w:rFonts w:ascii="Times New Roman" w:hAnsi="Times New Roman" w:cs="Times New Roman"/>
        </w:rPr>
        <w:t> </w:t>
      </w:r>
      <w:r w:rsidRPr="007C1A06">
        <w:rPr>
          <w:rFonts w:ascii="Times New Roman" w:hAnsi="Times New Roman" w:cs="Times New Roman"/>
        </w:rPr>
        <w:t>pacienčių (2,3</w:t>
      </w:r>
      <w:r w:rsidR="005F1A3F" w:rsidRPr="007C1A06">
        <w:rPr>
          <w:rFonts w:ascii="Times New Roman" w:hAnsi="Times New Roman" w:cs="Times New Roman"/>
        </w:rPr>
        <w:t> </w:t>
      </w:r>
      <w:r w:rsidRPr="007C1A06">
        <w:rPr>
          <w:rFonts w:ascii="Times New Roman" w:hAnsi="Times New Roman" w:cs="Times New Roman"/>
        </w:rPr>
        <w:t>%) TAC grupėje ir 4</w:t>
      </w:r>
      <w:r w:rsidR="005F1A3F" w:rsidRPr="007C1A06">
        <w:rPr>
          <w:rFonts w:ascii="Times New Roman" w:hAnsi="Times New Roman" w:cs="Times New Roman"/>
        </w:rPr>
        <w:t> </w:t>
      </w:r>
      <w:r w:rsidRPr="007C1A06">
        <w:rPr>
          <w:rFonts w:ascii="Times New Roman" w:hAnsi="Times New Roman" w:cs="Times New Roman"/>
        </w:rPr>
        <w:t>pacientėms (0,8</w:t>
      </w:r>
      <w:r w:rsidR="005F1A3F" w:rsidRPr="007C1A06">
        <w:rPr>
          <w:rFonts w:ascii="Times New Roman" w:hAnsi="Times New Roman" w:cs="Times New Roman"/>
        </w:rPr>
        <w:t> </w:t>
      </w:r>
      <w:r w:rsidRPr="007C1A06">
        <w:rPr>
          <w:rFonts w:ascii="Times New Roman" w:hAnsi="Times New Roman" w:cs="Times New Roman"/>
        </w:rPr>
        <w:t>%) FAC grupėje. Stebėjimo laikotarpio pabaigoje astenija išliko 2</w:t>
      </w:r>
      <w:r w:rsidR="005F1A3F" w:rsidRPr="007C1A06">
        <w:rPr>
          <w:rFonts w:ascii="Times New Roman" w:hAnsi="Times New Roman" w:cs="Times New Roman"/>
        </w:rPr>
        <w:t> </w:t>
      </w:r>
      <w:r w:rsidRPr="007C1A06">
        <w:rPr>
          <w:rFonts w:ascii="Times New Roman" w:hAnsi="Times New Roman" w:cs="Times New Roman"/>
        </w:rPr>
        <w:t>pacientėms (0,4</w:t>
      </w:r>
      <w:r w:rsidR="005F1A3F" w:rsidRPr="007C1A06">
        <w:rPr>
          <w:rFonts w:ascii="Times New Roman" w:hAnsi="Times New Roman" w:cs="Times New Roman"/>
        </w:rPr>
        <w:t> </w:t>
      </w:r>
      <w:r w:rsidRPr="007C1A06">
        <w:rPr>
          <w:rFonts w:ascii="Times New Roman" w:hAnsi="Times New Roman" w:cs="Times New Roman"/>
        </w:rPr>
        <w:t>%) TAC grupėje ir 2</w:t>
      </w:r>
      <w:r w:rsidR="005F1A3F" w:rsidRPr="007C1A06">
        <w:rPr>
          <w:rFonts w:ascii="Times New Roman" w:hAnsi="Times New Roman" w:cs="Times New Roman"/>
        </w:rPr>
        <w:t> </w:t>
      </w:r>
      <w:r w:rsidRPr="007C1A06">
        <w:rPr>
          <w:rFonts w:ascii="Times New Roman" w:hAnsi="Times New Roman" w:cs="Times New Roman"/>
        </w:rPr>
        <w:t>pacientėms (0,4</w:t>
      </w:r>
      <w:r w:rsidR="005F1A3F" w:rsidRPr="007C1A06">
        <w:rPr>
          <w:rFonts w:ascii="Times New Roman" w:hAnsi="Times New Roman" w:cs="Times New Roman"/>
        </w:rPr>
        <w:t> </w:t>
      </w:r>
      <w:r w:rsidRPr="007C1A06">
        <w:rPr>
          <w:rFonts w:ascii="Times New Roman" w:hAnsi="Times New Roman" w:cs="Times New Roman"/>
        </w:rPr>
        <w:t>%) FAC grupėje.</w:t>
      </w:r>
    </w:p>
    <w:p w14:paraId="10C16F65" w14:textId="77777777" w:rsidR="006F7FC2" w:rsidRPr="004E3CD5" w:rsidRDefault="006F7FC2" w:rsidP="00D875C0">
      <w:pPr>
        <w:autoSpaceDE w:val="0"/>
        <w:autoSpaceDN w:val="0"/>
        <w:adjustRightInd w:val="0"/>
        <w:spacing w:after="0" w:line="240" w:lineRule="auto"/>
        <w:rPr>
          <w:rFonts w:ascii="Times New Roman" w:hAnsi="Times New Roman"/>
          <w:i/>
        </w:rPr>
      </w:pPr>
    </w:p>
    <w:p w14:paraId="67DB2E09" w14:textId="77777777" w:rsidR="00D875C0" w:rsidRPr="00F95B76" w:rsidRDefault="00D875C0" w:rsidP="00D875C0">
      <w:pPr>
        <w:autoSpaceDE w:val="0"/>
        <w:autoSpaceDN w:val="0"/>
        <w:adjustRightInd w:val="0"/>
        <w:spacing w:after="0" w:line="240" w:lineRule="auto"/>
        <w:rPr>
          <w:rFonts w:ascii="Times New Roman" w:hAnsi="Times New Roman"/>
          <w:i/>
        </w:rPr>
      </w:pPr>
      <w:r w:rsidRPr="00F95B76">
        <w:rPr>
          <w:rFonts w:ascii="Times New Roman" w:hAnsi="Times New Roman"/>
          <w:i/>
        </w:rPr>
        <w:t>Ūminė leukemija ir mielodisplazinis sindromas</w:t>
      </w:r>
    </w:p>
    <w:p w14:paraId="5E81FFE3" w14:textId="77777777" w:rsidR="005F1A3F" w:rsidRPr="00F95B76" w:rsidRDefault="005F1A3F" w:rsidP="005F1A3F">
      <w:pPr>
        <w:autoSpaceDE w:val="0"/>
        <w:autoSpaceDN w:val="0"/>
        <w:adjustRightInd w:val="0"/>
        <w:spacing w:after="0" w:line="240" w:lineRule="auto"/>
        <w:rPr>
          <w:rFonts w:ascii="Times New Roman" w:hAnsi="Times New Roman"/>
        </w:rPr>
      </w:pPr>
      <w:r w:rsidRPr="001F2C46">
        <w:rPr>
          <w:rFonts w:ascii="Times New Roman" w:hAnsi="Times New Roman"/>
        </w:rPr>
        <w:t xml:space="preserve">Po tyrimo TAX316 10 metų stebėjimo laikotarpio, ūminė leukemija pasireiškė </w:t>
      </w:r>
      <w:r w:rsidRPr="007C1A06">
        <w:rPr>
          <w:rFonts w:ascii="Times New Roman" w:eastAsia="Times New Roman" w:hAnsi="Times New Roman" w:cs="Times New Roman"/>
        </w:rPr>
        <w:t>3</w:t>
      </w:r>
      <w:r w:rsidRPr="00F95B76">
        <w:rPr>
          <w:rFonts w:ascii="Times New Roman" w:hAnsi="Times New Roman"/>
        </w:rPr>
        <w:t xml:space="preserve"> iš 744 pacientų </w:t>
      </w:r>
      <w:r w:rsidRPr="007C1A06">
        <w:rPr>
          <w:rFonts w:ascii="Times New Roman" w:eastAsia="Times New Roman" w:hAnsi="Times New Roman" w:cs="Times New Roman"/>
        </w:rPr>
        <w:t xml:space="preserve">(0,4 %) </w:t>
      </w:r>
      <w:r w:rsidRPr="00F95B76">
        <w:rPr>
          <w:rFonts w:ascii="Times New Roman" w:hAnsi="Times New Roman"/>
        </w:rPr>
        <w:t xml:space="preserve">TAC grupėje ir 1 iš 736 pacientų </w:t>
      </w:r>
      <w:r w:rsidRPr="007C1A06">
        <w:rPr>
          <w:rFonts w:ascii="Times New Roman" w:eastAsia="Times New Roman" w:hAnsi="Times New Roman" w:cs="Times New Roman"/>
        </w:rPr>
        <w:t xml:space="preserve">(0,1 %) </w:t>
      </w:r>
      <w:r w:rsidRPr="00F95B76">
        <w:rPr>
          <w:rFonts w:ascii="Times New Roman" w:hAnsi="Times New Roman"/>
        </w:rPr>
        <w:t xml:space="preserve">FAC grupėje. </w:t>
      </w:r>
      <w:r w:rsidRPr="007C1A06">
        <w:rPr>
          <w:rFonts w:ascii="Times New Roman" w:eastAsia="Times New Roman" w:hAnsi="Times New Roman" w:cs="Times New Roman"/>
        </w:rPr>
        <w:t xml:space="preserve">Viena TAC grupės pacientė (0,1 %) ir 1 FAC grupės pacientė (0,1 %) mirė nuo ūminės mieloleukemijos stebėjimo laikotarpiu (stebėjimo laiko mediana buvo 8 metai). </w:t>
      </w:r>
      <w:r w:rsidRPr="00F95B76">
        <w:rPr>
          <w:rFonts w:ascii="Times New Roman" w:hAnsi="Times New Roman"/>
        </w:rPr>
        <w:t xml:space="preserve">Mielodisplazinis sindromas buvo nustatytas 2 iš 744 pacientų </w:t>
      </w:r>
      <w:r w:rsidRPr="007C1A06">
        <w:rPr>
          <w:rFonts w:ascii="Times New Roman" w:eastAsia="Times New Roman" w:hAnsi="Times New Roman" w:cs="Times New Roman"/>
        </w:rPr>
        <w:t xml:space="preserve">(0,3 %) </w:t>
      </w:r>
      <w:r w:rsidRPr="00F95B76">
        <w:rPr>
          <w:rFonts w:ascii="Times New Roman" w:hAnsi="Times New Roman"/>
        </w:rPr>
        <w:t>TAC grupėje ir 1 iš 736 pacientų</w:t>
      </w:r>
      <w:r w:rsidRPr="007C1A06">
        <w:rPr>
          <w:rFonts w:ascii="Times New Roman" w:eastAsia="Times New Roman" w:hAnsi="Times New Roman" w:cs="Times New Roman"/>
        </w:rPr>
        <w:t xml:space="preserve"> (0,1 %)</w:t>
      </w:r>
      <w:r w:rsidRPr="00F95B76">
        <w:rPr>
          <w:rFonts w:ascii="Times New Roman" w:hAnsi="Times New Roman"/>
        </w:rPr>
        <w:t xml:space="preserve"> FAC grupėje.</w:t>
      </w:r>
    </w:p>
    <w:p w14:paraId="3C428187" w14:textId="77777777" w:rsidR="005F1A3F" w:rsidRPr="001F2C46" w:rsidRDefault="005F1A3F" w:rsidP="005F1A3F">
      <w:pPr>
        <w:autoSpaceDE w:val="0"/>
        <w:autoSpaceDN w:val="0"/>
        <w:adjustRightInd w:val="0"/>
        <w:spacing w:after="0" w:line="240" w:lineRule="auto"/>
        <w:rPr>
          <w:rFonts w:ascii="Times New Roman" w:hAnsi="Times New Roman"/>
        </w:rPr>
      </w:pPr>
      <w:r w:rsidRPr="001F2C46">
        <w:rPr>
          <w:rFonts w:ascii="Times New Roman" w:hAnsi="Times New Roman"/>
        </w:rPr>
        <w:t>Po tyrimo GEICAM 9805 10 metų stebėjimo laikotarpio ūminė leukemija TAC grupėje pasireiškė 1 iš 532 (0,2 %) pacienčių. Tokių atvejų FAC grupėje nebuvo. Nei vienam pacientui nebuvo diagnozuotas mielodisplazinis sindromas nei vienoje gydytų pacientų grupėje.</w:t>
      </w:r>
    </w:p>
    <w:p w14:paraId="5E6FFE9E" w14:textId="77777777" w:rsidR="00D875C0" w:rsidRPr="00427D92" w:rsidRDefault="00D875C0" w:rsidP="00D875C0">
      <w:pPr>
        <w:autoSpaceDE w:val="0"/>
        <w:autoSpaceDN w:val="0"/>
        <w:adjustRightInd w:val="0"/>
        <w:spacing w:after="0" w:line="240" w:lineRule="auto"/>
        <w:rPr>
          <w:rFonts w:ascii="Times New Roman" w:hAnsi="Times New Roman"/>
        </w:rPr>
      </w:pPr>
    </w:p>
    <w:p w14:paraId="0987E6CB" w14:textId="77777777" w:rsidR="00D875C0" w:rsidRPr="007C1A06" w:rsidRDefault="00D875C0" w:rsidP="00D875C0">
      <w:pPr>
        <w:autoSpaceDE w:val="0"/>
        <w:autoSpaceDN w:val="0"/>
        <w:adjustRightInd w:val="0"/>
        <w:spacing w:after="0" w:line="240" w:lineRule="auto"/>
        <w:rPr>
          <w:rFonts w:ascii="Times New Roman" w:hAnsi="Times New Roman"/>
          <w:i/>
        </w:rPr>
      </w:pPr>
      <w:r w:rsidRPr="00C722B4">
        <w:rPr>
          <w:rFonts w:ascii="Times New Roman" w:hAnsi="Times New Roman"/>
          <w:i/>
        </w:rPr>
        <w:t>Su neutropenija susijusios kom</w:t>
      </w:r>
      <w:r w:rsidRPr="007C1A06">
        <w:rPr>
          <w:rFonts w:ascii="Times New Roman" w:hAnsi="Times New Roman"/>
          <w:i/>
        </w:rPr>
        <w:t>plikacijos</w:t>
      </w:r>
    </w:p>
    <w:p w14:paraId="3DADA2BB" w14:textId="77777777" w:rsidR="00D875C0" w:rsidRPr="00FB5C4B" w:rsidRDefault="00D875C0" w:rsidP="00D875C0">
      <w:pPr>
        <w:autoSpaceDE w:val="0"/>
        <w:autoSpaceDN w:val="0"/>
        <w:adjustRightInd w:val="0"/>
        <w:spacing w:after="0" w:line="240" w:lineRule="auto"/>
        <w:rPr>
          <w:rFonts w:ascii="Times New Roman" w:eastAsiaTheme="minorEastAsia" w:hAnsi="Times New Roman"/>
          <w:lang w:eastAsia="zh-TW"/>
        </w:rPr>
      </w:pPr>
      <w:r w:rsidRPr="004E3CD5">
        <w:rPr>
          <w:rFonts w:ascii="Times New Roman" w:hAnsi="Times New Roman"/>
        </w:rPr>
        <w:t>Toliau pateiktoje lentel</w:t>
      </w:r>
      <w:r w:rsidRPr="004E3CD5">
        <w:rPr>
          <w:rFonts w:ascii="Times New Roman" w:hAnsi="Times New Roman" w:hint="eastAsia"/>
        </w:rPr>
        <w:t>ė</w:t>
      </w:r>
      <w:r w:rsidRPr="004E3CD5">
        <w:rPr>
          <w:rFonts w:ascii="Times New Roman" w:hAnsi="Times New Roman"/>
        </w:rPr>
        <w:t>je parodyta, kad 4</w:t>
      </w:r>
      <w:r w:rsidR="00A276D4" w:rsidRPr="004E3CD5">
        <w:rPr>
          <w:rFonts w:ascii="Times New Roman" w:hAnsi="Times New Roman"/>
        </w:rPr>
        <w:t> </w:t>
      </w:r>
      <w:r w:rsidRPr="004E3CD5">
        <w:rPr>
          <w:rFonts w:ascii="Times New Roman" w:hAnsi="Times New Roman"/>
        </w:rPr>
        <w:t>laipsnio neutropenijos, febrilin</w:t>
      </w:r>
      <w:r w:rsidRPr="004E3CD5">
        <w:rPr>
          <w:rFonts w:ascii="Times New Roman" w:hAnsi="Times New Roman" w:hint="eastAsia"/>
        </w:rPr>
        <w:t>ė</w:t>
      </w:r>
      <w:r w:rsidRPr="004E3CD5">
        <w:rPr>
          <w:rFonts w:ascii="Times New Roman" w:hAnsi="Times New Roman"/>
        </w:rPr>
        <w:t xml:space="preserve">s neutropenijos ar su </w:t>
      </w:r>
      <w:r w:rsidRPr="00F95B76">
        <w:rPr>
          <w:rFonts w:ascii="Times New Roman" w:hAnsi="Times New Roman"/>
        </w:rPr>
        <w:t>neutropenija susijusios infekcijos dažnis buvo mažesnis pacientams, kurie gydymo pradžioje profilaktikai vartojo G-KSF, kai jo vartojimas tapo pr</w:t>
      </w:r>
      <w:r w:rsidRPr="004E3CD5">
        <w:rPr>
          <w:rFonts w:ascii="Times New Roman" w:hAnsi="Times New Roman"/>
        </w:rPr>
        <w:t>ivalomas TAC gydyt</w:t>
      </w:r>
      <w:r w:rsidRPr="004E3CD5">
        <w:rPr>
          <w:rFonts w:ascii="Times New Roman" w:hAnsi="Times New Roman" w:hint="eastAsia"/>
        </w:rPr>
        <w:t>ų</w:t>
      </w:r>
      <w:r w:rsidRPr="004E3CD5">
        <w:rPr>
          <w:rFonts w:ascii="Times New Roman" w:hAnsi="Times New Roman"/>
        </w:rPr>
        <w:t xml:space="preserve"> pacient</w:t>
      </w:r>
      <w:r w:rsidRPr="004E3CD5">
        <w:rPr>
          <w:rFonts w:ascii="Times New Roman" w:hAnsi="Times New Roman" w:hint="eastAsia"/>
        </w:rPr>
        <w:t>ų</w:t>
      </w:r>
      <w:r w:rsidRPr="004E3CD5">
        <w:rPr>
          <w:rFonts w:ascii="Times New Roman" w:hAnsi="Times New Roman"/>
        </w:rPr>
        <w:t xml:space="preserve"> grup</w:t>
      </w:r>
      <w:r w:rsidRPr="004E3CD5">
        <w:rPr>
          <w:rFonts w:ascii="Times New Roman" w:hAnsi="Times New Roman" w:hint="eastAsia"/>
        </w:rPr>
        <w:t>ė</w:t>
      </w:r>
      <w:r w:rsidRPr="004E3CD5">
        <w:rPr>
          <w:rFonts w:ascii="Times New Roman" w:hAnsi="Times New Roman"/>
        </w:rPr>
        <w:t xml:space="preserve">je </w:t>
      </w:r>
      <w:r w:rsidRPr="00F95B76">
        <w:rPr>
          <w:rFonts w:ascii="Times New Roman" w:hAnsi="Times New Roman"/>
        </w:rPr>
        <w:t>– GEICAM tyrimas.</w:t>
      </w:r>
    </w:p>
    <w:p w14:paraId="4948C77C" w14:textId="77777777" w:rsidR="00D875C0" w:rsidRPr="001F2C46" w:rsidRDefault="00D875C0" w:rsidP="00D875C0">
      <w:pPr>
        <w:autoSpaceDE w:val="0"/>
        <w:autoSpaceDN w:val="0"/>
        <w:adjustRightInd w:val="0"/>
        <w:spacing w:after="0" w:line="240" w:lineRule="auto"/>
        <w:rPr>
          <w:rFonts w:ascii="Times New Roman" w:hAnsi="Times New Roman"/>
          <w:u w:val="single"/>
        </w:rPr>
      </w:pPr>
    </w:p>
    <w:p w14:paraId="0819BAF0" w14:textId="77777777" w:rsidR="00D875C0" w:rsidRPr="00427D92" w:rsidRDefault="00D875C0" w:rsidP="00D875C0">
      <w:pPr>
        <w:autoSpaceDE w:val="0"/>
        <w:autoSpaceDN w:val="0"/>
        <w:adjustRightInd w:val="0"/>
        <w:spacing w:after="0" w:line="240" w:lineRule="auto"/>
        <w:rPr>
          <w:rFonts w:ascii="Times New Roman" w:hAnsi="Times New Roman"/>
          <w:u w:val="single"/>
        </w:rPr>
      </w:pPr>
      <w:r w:rsidRPr="00427D92">
        <w:rPr>
          <w:rFonts w:ascii="Times New Roman" w:hAnsi="Times New Roman"/>
          <w:u w:val="single"/>
        </w:rPr>
        <w:t>Su neutropenija susijusios komplikacijos, pasireiškusios pacientams, gydytiems naudojant TAC schemą profilaktikai gydymo pradžioje vartojus arba nevartojus G-KSF (GEICAM 9805 tyrimas)</w:t>
      </w:r>
    </w:p>
    <w:p w14:paraId="5E254953" w14:textId="77777777" w:rsidR="00D875C0" w:rsidRPr="00C722B4" w:rsidRDefault="00D875C0" w:rsidP="00D875C0">
      <w:pPr>
        <w:autoSpaceDE w:val="0"/>
        <w:autoSpaceDN w:val="0"/>
        <w:adjustRightInd w:val="0"/>
        <w:spacing w:after="0"/>
        <w:rPr>
          <w:rFonts w:ascii="Times New Roman" w:hAnsi="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18"/>
      </w:tblGrid>
      <w:tr w:rsidR="00D875C0" w:rsidRPr="007C1A06" w14:paraId="51130F2C" w14:textId="77777777" w:rsidTr="004E3CD5">
        <w:trPr>
          <w:cantSplit/>
          <w:tblHeader/>
        </w:trPr>
        <w:tc>
          <w:tcPr>
            <w:tcW w:w="3095" w:type="dxa"/>
          </w:tcPr>
          <w:p w14:paraId="577AE193" w14:textId="77777777" w:rsidR="00D875C0" w:rsidRPr="007C1A06" w:rsidRDefault="00D875C0" w:rsidP="003876F8">
            <w:pPr>
              <w:tabs>
                <w:tab w:val="left" w:pos="567"/>
              </w:tabs>
              <w:autoSpaceDE w:val="0"/>
              <w:autoSpaceDN w:val="0"/>
              <w:adjustRightInd w:val="0"/>
              <w:spacing w:after="0" w:line="260" w:lineRule="exact"/>
              <w:rPr>
                <w:rFonts w:ascii="Times New Roman" w:hAnsi="Times New Roman"/>
                <w:u w:val="single"/>
              </w:rPr>
            </w:pPr>
          </w:p>
        </w:tc>
        <w:tc>
          <w:tcPr>
            <w:tcW w:w="3095" w:type="dxa"/>
          </w:tcPr>
          <w:p w14:paraId="202C97E0"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Be pradinės profilaktikos</w:t>
            </w:r>
          </w:p>
          <w:p w14:paraId="69CB2D30" w14:textId="77777777" w:rsidR="00D875C0" w:rsidRPr="004E3CD5" w:rsidRDefault="00D875C0" w:rsidP="003876F8">
            <w:pPr>
              <w:tabs>
                <w:tab w:val="left" w:pos="567"/>
              </w:tabs>
              <w:autoSpaceDE w:val="0"/>
              <w:autoSpaceDN w:val="0"/>
              <w:adjustRightInd w:val="0"/>
              <w:spacing w:after="0" w:line="260" w:lineRule="exact"/>
              <w:jc w:val="center"/>
              <w:rPr>
                <w:rFonts w:ascii="Times New Roman" w:eastAsiaTheme="minorEastAsia" w:hAnsi="Times New Roman"/>
                <w:b/>
                <w:lang w:eastAsia="zh-TW"/>
              </w:rPr>
            </w:pPr>
            <w:r w:rsidRPr="007C1A06">
              <w:rPr>
                <w:rFonts w:ascii="Times New Roman" w:hAnsi="Times New Roman"/>
                <w:b/>
              </w:rPr>
              <w:t>G-KSF (n=111)</w:t>
            </w:r>
          </w:p>
          <w:p w14:paraId="329168D9" w14:textId="77777777" w:rsidR="00D875C0" w:rsidRPr="004E3CD5" w:rsidRDefault="00D875C0" w:rsidP="003876F8">
            <w:pPr>
              <w:tabs>
                <w:tab w:val="left" w:pos="567"/>
              </w:tabs>
              <w:autoSpaceDE w:val="0"/>
              <w:autoSpaceDN w:val="0"/>
              <w:adjustRightInd w:val="0"/>
              <w:spacing w:after="0" w:line="260" w:lineRule="exact"/>
              <w:jc w:val="center"/>
              <w:rPr>
                <w:rFonts w:ascii="Times New Roman" w:eastAsiaTheme="minorEastAsia" w:hAnsi="Times New Roman"/>
                <w:u w:val="single"/>
                <w:lang w:eastAsia="zh-TW"/>
              </w:rPr>
            </w:pPr>
            <w:r w:rsidRPr="007C1A06">
              <w:rPr>
                <w:rFonts w:ascii="Times New Roman" w:hAnsi="Times New Roman"/>
                <w:b/>
              </w:rPr>
              <w:t>n (%)</w:t>
            </w:r>
          </w:p>
        </w:tc>
        <w:tc>
          <w:tcPr>
            <w:tcW w:w="3096" w:type="dxa"/>
          </w:tcPr>
          <w:p w14:paraId="0F702194"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b/>
                <w:lang w:eastAsia="zh-TW"/>
              </w:rPr>
            </w:pPr>
            <w:r w:rsidRPr="007C1A06">
              <w:rPr>
                <w:rFonts w:ascii="Times New Roman" w:hAnsi="Times New Roman"/>
                <w:b/>
              </w:rPr>
              <w:t>Su pradine profilaktika</w:t>
            </w:r>
          </w:p>
          <w:p w14:paraId="5BC4EEF3"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b/>
                <w:lang w:eastAsia="zh-TW"/>
              </w:rPr>
            </w:pPr>
            <w:r w:rsidRPr="007C1A06">
              <w:rPr>
                <w:rFonts w:ascii="Times New Roman" w:hAnsi="Times New Roman"/>
                <w:b/>
              </w:rPr>
              <w:t>G-KSF (n=421)</w:t>
            </w:r>
          </w:p>
          <w:p w14:paraId="2D0FC55B" w14:textId="77777777" w:rsidR="00D875C0" w:rsidRPr="004E3CD5" w:rsidRDefault="00D875C0" w:rsidP="003876F8">
            <w:pPr>
              <w:tabs>
                <w:tab w:val="left" w:pos="567"/>
              </w:tabs>
              <w:autoSpaceDE w:val="0"/>
              <w:autoSpaceDN w:val="0"/>
              <w:adjustRightInd w:val="0"/>
              <w:spacing w:after="0" w:line="260" w:lineRule="exact"/>
              <w:jc w:val="center"/>
              <w:rPr>
                <w:rFonts w:ascii="Times New Roman" w:eastAsiaTheme="minorEastAsia" w:hAnsi="Times New Roman"/>
                <w:u w:val="single"/>
                <w:lang w:eastAsia="zh-TW"/>
              </w:rPr>
            </w:pPr>
            <w:r w:rsidRPr="007C1A06">
              <w:rPr>
                <w:rFonts w:ascii="Times New Roman" w:hAnsi="Times New Roman"/>
                <w:b/>
              </w:rPr>
              <w:t>n (%)</w:t>
            </w:r>
          </w:p>
        </w:tc>
      </w:tr>
      <w:tr w:rsidR="00D875C0" w:rsidRPr="007C1A06" w14:paraId="2BE87EBF" w14:textId="77777777" w:rsidTr="004E3CD5">
        <w:trPr>
          <w:cantSplit/>
        </w:trPr>
        <w:tc>
          <w:tcPr>
            <w:tcW w:w="3095" w:type="dxa"/>
          </w:tcPr>
          <w:p w14:paraId="6339E007" w14:textId="77777777" w:rsidR="00D875C0" w:rsidRPr="001F2C46" w:rsidRDefault="00D875C0" w:rsidP="00A276D4">
            <w:pPr>
              <w:tabs>
                <w:tab w:val="left" w:pos="567"/>
              </w:tabs>
              <w:autoSpaceDE w:val="0"/>
              <w:autoSpaceDN w:val="0"/>
              <w:adjustRightInd w:val="0"/>
              <w:spacing w:after="0" w:line="260" w:lineRule="exact"/>
              <w:rPr>
                <w:rFonts w:ascii="Times New Roman" w:hAnsi="Times New Roman"/>
                <w:u w:val="single"/>
              </w:rPr>
            </w:pPr>
            <w:r w:rsidRPr="00F95B76">
              <w:rPr>
                <w:rFonts w:ascii="Times New Roman" w:hAnsi="Times New Roman"/>
                <w:u w:val="single"/>
              </w:rPr>
              <w:t>Neutropenija (4</w:t>
            </w:r>
            <w:r w:rsidR="00A276D4" w:rsidRPr="00F95B76">
              <w:rPr>
                <w:rFonts w:ascii="Times New Roman" w:hAnsi="Times New Roman"/>
                <w:u w:val="single"/>
              </w:rPr>
              <w:t> </w:t>
            </w:r>
            <w:r w:rsidRPr="00F95B76">
              <w:rPr>
                <w:rFonts w:ascii="Times New Roman" w:hAnsi="Times New Roman"/>
                <w:u w:val="single"/>
              </w:rPr>
              <w:t>laipsnio)</w:t>
            </w:r>
          </w:p>
        </w:tc>
        <w:tc>
          <w:tcPr>
            <w:tcW w:w="3095" w:type="dxa"/>
          </w:tcPr>
          <w:p w14:paraId="3E544C9A" w14:textId="77777777" w:rsidR="00D875C0" w:rsidRPr="001F2C46" w:rsidRDefault="00D875C0" w:rsidP="003876F8">
            <w:pPr>
              <w:tabs>
                <w:tab w:val="left" w:pos="567"/>
              </w:tabs>
              <w:autoSpaceDE w:val="0"/>
              <w:autoSpaceDN w:val="0"/>
              <w:adjustRightInd w:val="0"/>
              <w:spacing w:after="0" w:line="260" w:lineRule="exact"/>
              <w:jc w:val="center"/>
              <w:rPr>
                <w:rFonts w:ascii="Times New Roman" w:hAnsi="Times New Roman"/>
                <w:u w:val="single"/>
              </w:rPr>
            </w:pPr>
            <w:r w:rsidRPr="001F2C46">
              <w:rPr>
                <w:rFonts w:ascii="Times New Roman" w:hAnsi="Times New Roman"/>
                <w:u w:val="single"/>
              </w:rPr>
              <w:t>104 (93,7)</w:t>
            </w:r>
          </w:p>
        </w:tc>
        <w:tc>
          <w:tcPr>
            <w:tcW w:w="3096" w:type="dxa"/>
          </w:tcPr>
          <w:p w14:paraId="430B848A" w14:textId="77777777" w:rsidR="00D875C0" w:rsidRPr="00427D92" w:rsidRDefault="00D875C0" w:rsidP="003876F8">
            <w:pPr>
              <w:tabs>
                <w:tab w:val="left" w:pos="567"/>
              </w:tabs>
              <w:autoSpaceDE w:val="0"/>
              <w:autoSpaceDN w:val="0"/>
              <w:adjustRightInd w:val="0"/>
              <w:spacing w:after="0" w:line="260" w:lineRule="exact"/>
              <w:jc w:val="center"/>
              <w:rPr>
                <w:rFonts w:ascii="Times New Roman" w:hAnsi="Times New Roman"/>
                <w:u w:val="single"/>
              </w:rPr>
            </w:pPr>
            <w:r w:rsidRPr="00427D92">
              <w:rPr>
                <w:rFonts w:ascii="Times New Roman" w:hAnsi="Times New Roman"/>
                <w:u w:val="single"/>
              </w:rPr>
              <w:t>135 (32,1)</w:t>
            </w:r>
          </w:p>
        </w:tc>
      </w:tr>
      <w:tr w:rsidR="00D875C0" w:rsidRPr="007C1A06" w14:paraId="4BE1D4A3" w14:textId="77777777" w:rsidTr="004E3CD5">
        <w:trPr>
          <w:cantSplit/>
        </w:trPr>
        <w:tc>
          <w:tcPr>
            <w:tcW w:w="3095" w:type="dxa"/>
          </w:tcPr>
          <w:p w14:paraId="11532C59" w14:textId="77777777" w:rsidR="00D875C0" w:rsidRPr="00F95B76" w:rsidRDefault="00D875C0" w:rsidP="003876F8">
            <w:pPr>
              <w:tabs>
                <w:tab w:val="left" w:pos="567"/>
              </w:tabs>
              <w:autoSpaceDE w:val="0"/>
              <w:autoSpaceDN w:val="0"/>
              <w:adjustRightInd w:val="0"/>
              <w:spacing w:after="0" w:line="260" w:lineRule="exact"/>
              <w:rPr>
                <w:rFonts w:ascii="Times New Roman" w:hAnsi="Times New Roman"/>
                <w:u w:val="single"/>
              </w:rPr>
            </w:pPr>
            <w:r w:rsidRPr="00F95B76">
              <w:rPr>
                <w:rFonts w:ascii="Times New Roman" w:hAnsi="Times New Roman"/>
              </w:rPr>
              <w:t xml:space="preserve">Febrilinė neutropenija </w:t>
            </w:r>
          </w:p>
        </w:tc>
        <w:tc>
          <w:tcPr>
            <w:tcW w:w="3095" w:type="dxa"/>
          </w:tcPr>
          <w:p w14:paraId="3ED90655" w14:textId="77777777" w:rsidR="00D875C0" w:rsidRPr="001F2C46" w:rsidRDefault="00D875C0" w:rsidP="003876F8">
            <w:pPr>
              <w:tabs>
                <w:tab w:val="left" w:pos="567"/>
              </w:tabs>
              <w:autoSpaceDE w:val="0"/>
              <w:autoSpaceDN w:val="0"/>
              <w:adjustRightInd w:val="0"/>
              <w:spacing w:after="0" w:line="260" w:lineRule="exact"/>
              <w:jc w:val="center"/>
              <w:rPr>
                <w:rFonts w:ascii="Times New Roman" w:hAnsi="Times New Roman"/>
                <w:u w:val="single"/>
              </w:rPr>
            </w:pPr>
            <w:r w:rsidRPr="001F2C46">
              <w:rPr>
                <w:rFonts w:ascii="Times New Roman" w:hAnsi="Times New Roman"/>
              </w:rPr>
              <w:t>28 (25,2)</w:t>
            </w:r>
          </w:p>
        </w:tc>
        <w:tc>
          <w:tcPr>
            <w:tcW w:w="3096" w:type="dxa"/>
          </w:tcPr>
          <w:p w14:paraId="26D4C6F8" w14:textId="77777777" w:rsidR="00D875C0" w:rsidRPr="001F2C46" w:rsidRDefault="00D875C0" w:rsidP="003876F8">
            <w:pPr>
              <w:tabs>
                <w:tab w:val="left" w:pos="567"/>
              </w:tabs>
              <w:autoSpaceDE w:val="0"/>
              <w:autoSpaceDN w:val="0"/>
              <w:adjustRightInd w:val="0"/>
              <w:spacing w:after="0" w:line="260" w:lineRule="exact"/>
              <w:jc w:val="center"/>
              <w:rPr>
                <w:rFonts w:ascii="Times New Roman" w:hAnsi="Times New Roman"/>
                <w:u w:val="single"/>
              </w:rPr>
            </w:pPr>
            <w:r w:rsidRPr="001F2C46">
              <w:rPr>
                <w:rFonts w:ascii="Times New Roman" w:hAnsi="Times New Roman"/>
              </w:rPr>
              <w:t>23 (5,5)</w:t>
            </w:r>
          </w:p>
        </w:tc>
      </w:tr>
      <w:tr w:rsidR="00D875C0" w:rsidRPr="007C1A06" w14:paraId="79D90A9D" w14:textId="77777777" w:rsidTr="004E3CD5">
        <w:trPr>
          <w:cantSplit/>
        </w:trPr>
        <w:tc>
          <w:tcPr>
            <w:tcW w:w="3095" w:type="dxa"/>
          </w:tcPr>
          <w:p w14:paraId="31A74210" w14:textId="77777777" w:rsidR="00D875C0" w:rsidRPr="00F95B76" w:rsidRDefault="00D875C0" w:rsidP="003876F8">
            <w:pPr>
              <w:tabs>
                <w:tab w:val="left" w:pos="567"/>
              </w:tabs>
              <w:autoSpaceDE w:val="0"/>
              <w:autoSpaceDN w:val="0"/>
              <w:adjustRightInd w:val="0"/>
              <w:spacing w:after="0" w:line="260" w:lineRule="exact"/>
              <w:rPr>
                <w:rFonts w:ascii="Times New Roman" w:hAnsi="Times New Roman"/>
              </w:rPr>
            </w:pPr>
            <w:r w:rsidRPr="00F95B76">
              <w:rPr>
                <w:rFonts w:ascii="Times New Roman" w:hAnsi="Times New Roman"/>
              </w:rPr>
              <w:t xml:space="preserve">Su neutropenija </w:t>
            </w:r>
            <w:r w:rsidRPr="007C1A06">
              <w:rPr>
                <w:rFonts w:ascii="Times New Roman" w:hAnsi="Times New Roman" w:cs="Times New Roman"/>
              </w:rPr>
              <w:t>susijusi</w:t>
            </w:r>
            <w:r w:rsidR="001F2C46">
              <w:rPr>
                <w:rFonts w:ascii="Times New Roman" w:hAnsi="Times New Roman" w:cs="Times New Roman"/>
              </w:rPr>
              <w:t xml:space="preserve"> </w:t>
            </w:r>
            <w:r w:rsidRPr="007C1A06">
              <w:rPr>
                <w:rFonts w:ascii="Times New Roman" w:hAnsi="Times New Roman" w:cs="Times New Roman"/>
              </w:rPr>
              <w:t>infekcija</w:t>
            </w:r>
            <w:r w:rsidRPr="00F95B76">
              <w:rPr>
                <w:rFonts w:ascii="Times New Roman" w:hAnsi="Times New Roman"/>
              </w:rPr>
              <w:t xml:space="preserve"> </w:t>
            </w:r>
          </w:p>
        </w:tc>
        <w:tc>
          <w:tcPr>
            <w:tcW w:w="3095" w:type="dxa"/>
          </w:tcPr>
          <w:p w14:paraId="789E3946" w14:textId="77777777" w:rsidR="00D875C0" w:rsidRPr="001F2C46" w:rsidRDefault="00D875C0" w:rsidP="003876F8">
            <w:pPr>
              <w:tabs>
                <w:tab w:val="left" w:pos="567"/>
              </w:tabs>
              <w:autoSpaceDE w:val="0"/>
              <w:autoSpaceDN w:val="0"/>
              <w:adjustRightInd w:val="0"/>
              <w:spacing w:after="0" w:line="260" w:lineRule="exact"/>
              <w:jc w:val="center"/>
              <w:rPr>
                <w:rFonts w:ascii="Times New Roman" w:hAnsi="Times New Roman"/>
              </w:rPr>
            </w:pPr>
            <w:r w:rsidRPr="001F2C46">
              <w:rPr>
                <w:rFonts w:ascii="Times New Roman" w:hAnsi="Times New Roman"/>
              </w:rPr>
              <w:t>14 (12,6)</w:t>
            </w:r>
          </w:p>
        </w:tc>
        <w:tc>
          <w:tcPr>
            <w:tcW w:w="3096" w:type="dxa"/>
          </w:tcPr>
          <w:p w14:paraId="69082DFC" w14:textId="77777777" w:rsidR="00D875C0" w:rsidRPr="001F2C46" w:rsidRDefault="00D875C0" w:rsidP="003876F8">
            <w:pPr>
              <w:tabs>
                <w:tab w:val="left" w:pos="567"/>
              </w:tabs>
              <w:autoSpaceDE w:val="0"/>
              <w:autoSpaceDN w:val="0"/>
              <w:adjustRightInd w:val="0"/>
              <w:spacing w:after="0" w:line="260" w:lineRule="exact"/>
              <w:jc w:val="center"/>
              <w:rPr>
                <w:rFonts w:ascii="Times New Roman" w:hAnsi="Times New Roman"/>
              </w:rPr>
            </w:pPr>
            <w:r w:rsidRPr="001F2C46">
              <w:rPr>
                <w:rFonts w:ascii="Times New Roman" w:hAnsi="Times New Roman"/>
              </w:rPr>
              <w:t>21 (5,0)</w:t>
            </w:r>
          </w:p>
        </w:tc>
      </w:tr>
      <w:tr w:rsidR="00D875C0" w:rsidRPr="007C1A06" w14:paraId="291A7027" w14:textId="77777777" w:rsidTr="004E3CD5">
        <w:trPr>
          <w:cantSplit/>
        </w:trPr>
        <w:tc>
          <w:tcPr>
            <w:tcW w:w="3095" w:type="dxa"/>
          </w:tcPr>
          <w:p w14:paraId="167922B9" w14:textId="77777777" w:rsidR="00D875C0" w:rsidRPr="001F2C46" w:rsidRDefault="00D875C0" w:rsidP="00A276D4">
            <w:pPr>
              <w:tabs>
                <w:tab w:val="left" w:pos="567"/>
              </w:tabs>
              <w:autoSpaceDE w:val="0"/>
              <w:autoSpaceDN w:val="0"/>
              <w:adjustRightInd w:val="0"/>
              <w:spacing w:after="0" w:line="260" w:lineRule="exact"/>
              <w:rPr>
                <w:rFonts w:ascii="Times New Roman" w:hAnsi="Times New Roman"/>
              </w:rPr>
            </w:pPr>
            <w:r w:rsidRPr="00F95B76">
              <w:rPr>
                <w:rFonts w:ascii="Times New Roman" w:hAnsi="Times New Roman"/>
              </w:rPr>
              <w:t>Neutropeninė infekcija (3</w:t>
            </w:r>
            <w:r w:rsidR="00A276D4" w:rsidRPr="001F2C46">
              <w:rPr>
                <w:rFonts w:ascii="Times New Roman" w:hAnsi="Times New Roman"/>
              </w:rPr>
              <w:noBreakHyphen/>
            </w:r>
            <w:r w:rsidRPr="001F2C46">
              <w:rPr>
                <w:rFonts w:ascii="Times New Roman" w:hAnsi="Times New Roman"/>
              </w:rPr>
              <w:t>4</w:t>
            </w:r>
            <w:r w:rsidR="00A276D4" w:rsidRPr="001F2C46">
              <w:rPr>
                <w:rFonts w:ascii="Times New Roman" w:hAnsi="Times New Roman"/>
              </w:rPr>
              <w:t> </w:t>
            </w:r>
            <w:r w:rsidRPr="001F2C46">
              <w:rPr>
                <w:rFonts w:ascii="Times New Roman" w:hAnsi="Times New Roman"/>
              </w:rPr>
              <w:t xml:space="preserve">laipsnio) </w:t>
            </w:r>
          </w:p>
        </w:tc>
        <w:tc>
          <w:tcPr>
            <w:tcW w:w="3095" w:type="dxa"/>
          </w:tcPr>
          <w:p w14:paraId="4035C615" w14:textId="77777777" w:rsidR="00D875C0" w:rsidRPr="00427D92" w:rsidRDefault="00D875C0" w:rsidP="003876F8">
            <w:pPr>
              <w:tabs>
                <w:tab w:val="left" w:pos="567"/>
              </w:tabs>
              <w:autoSpaceDE w:val="0"/>
              <w:autoSpaceDN w:val="0"/>
              <w:adjustRightInd w:val="0"/>
              <w:spacing w:after="0" w:line="260" w:lineRule="exact"/>
              <w:jc w:val="center"/>
              <w:rPr>
                <w:rFonts w:ascii="Times New Roman" w:hAnsi="Times New Roman"/>
              </w:rPr>
            </w:pPr>
            <w:r w:rsidRPr="00427D92">
              <w:rPr>
                <w:rFonts w:ascii="Times New Roman" w:hAnsi="Times New Roman"/>
              </w:rPr>
              <w:t>2 (1,8)</w:t>
            </w:r>
          </w:p>
        </w:tc>
        <w:tc>
          <w:tcPr>
            <w:tcW w:w="3096" w:type="dxa"/>
          </w:tcPr>
          <w:p w14:paraId="69FCFA47" w14:textId="77777777" w:rsidR="00D875C0" w:rsidRPr="00C722B4" w:rsidRDefault="00D875C0" w:rsidP="003876F8">
            <w:pPr>
              <w:tabs>
                <w:tab w:val="left" w:pos="567"/>
              </w:tabs>
              <w:autoSpaceDE w:val="0"/>
              <w:autoSpaceDN w:val="0"/>
              <w:adjustRightInd w:val="0"/>
              <w:spacing w:after="0" w:line="260" w:lineRule="exact"/>
              <w:jc w:val="center"/>
              <w:rPr>
                <w:rFonts w:ascii="Times New Roman" w:hAnsi="Times New Roman"/>
              </w:rPr>
            </w:pPr>
            <w:r w:rsidRPr="00C722B4">
              <w:rPr>
                <w:rFonts w:ascii="Times New Roman" w:hAnsi="Times New Roman"/>
              </w:rPr>
              <w:t>5 (1,2)</w:t>
            </w:r>
          </w:p>
        </w:tc>
      </w:tr>
    </w:tbl>
    <w:p w14:paraId="764D5365" w14:textId="77777777" w:rsidR="00D875C0" w:rsidRPr="004E3CD5" w:rsidRDefault="00D875C0" w:rsidP="00D875C0">
      <w:pPr>
        <w:autoSpaceDE w:val="0"/>
        <w:autoSpaceDN w:val="0"/>
        <w:adjustRightInd w:val="0"/>
        <w:spacing w:after="0"/>
        <w:rPr>
          <w:rFonts w:ascii="Times New Roman" w:hAnsi="Times New Roman"/>
          <w:u w:val="single"/>
        </w:rPr>
      </w:pPr>
    </w:p>
    <w:p w14:paraId="0F85319F"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4E3CD5">
        <w:rPr>
          <w:rFonts w:ascii="Times New Roman" w:hAnsi="Times New Roman"/>
          <w:u w:val="single"/>
        </w:rPr>
        <w:t>Nepageidaujam</w:t>
      </w:r>
      <w:r w:rsidRPr="004E3CD5">
        <w:rPr>
          <w:rFonts w:ascii="Times New Roman" w:hAnsi="Times New Roman" w:hint="eastAsia"/>
          <w:u w:val="single"/>
        </w:rPr>
        <w:t>ų</w:t>
      </w:r>
      <w:r w:rsidRPr="004E3CD5">
        <w:rPr>
          <w:rFonts w:ascii="Times New Roman" w:hAnsi="Times New Roman"/>
          <w:u w:val="single"/>
        </w:rPr>
        <w:t xml:space="preserve"> reakcij</w:t>
      </w:r>
      <w:r w:rsidRPr="004E3CD5">
        <w:rPr>
          <w:rFonts w:ascii="Times New Roman" w:hAnsi="Times New Roman" w:hint="eastAsia"/>
          <w:u w:val="single"/>
        </w:rPr>
        <w:t>ų</w:t>
      </w:r>
      <w:r w:rsidRPr="004E3CD5">
        <w:rPr>
          <w:rFonts w:ascii="Times New Roman" w:hAnsi="Times New Roman"/>
          <w:u w:val="single"/>
        </w:rPr>
        <w:t>, atsiradusi</w:t>
      </w:r>
      <w:r w:rsidRPr="004E3CD5">
        <w:rPr>
          <w:rFonts w:ascii="Times New Roman" w:hAnsi="Times New Roman" w:hint="eastAsia"/>
          <w:u w:val="single"/>
        </w:rPr>
        <w:t>ų</w:t>
      </w:r>
      <w:r w:rsidRPr="004E3CD5">
        <w:rPr>
          <w:rFonts w:ascii="Times New Roman" w:hAnsi="Times New Roman"/>
          <w:u w:val="single"/>
        </w:rPr>
        <w:t xml:space="preserve"> </w:t>
      </w:r>
      <w:r w:rsidRPr="00F95B76">
        <w:rPr>
          <w:rFonts w:ascii="Times New Roman" w:hAnsi="Times New Roman"/>
          <w:u w:val="single"/>
        </w:rPr>
        <w:t>vartojant Docet</w:t>
      </w:r>
      <w:r w:rsidR="00807371" w:rsidRPr="00F95B76">
        <w:rPr>
          <w:rFonts w:ascii="Times New Roman" w:hAnsi="Times New Roman"/>
          <w:u w:val="single"/>
        </w:rPr>
        <w:t>a</w:t>
      </w:r>
      <w:r w:rsidRPr="001F2C46">
        <w:rPr>
          <w:rFonts w:ascii="Times New Roman" w:hAnsi="Times New Roman"/>
          <w:u w:val="single"/>
        </w:rPr>
        <w:t>xel Ebewe 75</w:t>
      </w:r>
      <w:r w:rsidR="00A276D4" w:rsidRPr="001F2C46">
        <w:rPr>
          <w:rFonts w:ascii="Times New Roman" w:hAnsi="Times New Roman"/>
          <w:u w:val="single"/>
        </w:rPr>
        <w:t> </w:t>
      </w:r>
      <w:r w:rsidRPr="001F2C46">
        <w:rPr>
          <w:rFonts w:ascii="Times New Roman" w:hAnsi="Times New Roman"/>
          <w:u w:val="single"/>
        </w:rPr>
        <w:t xml:space="preserve">mg/m² su cisplatina ir 5-fluorouracilu </w:t>
      </w:r>
      <w:r w:rsidRPr="004E3CD5">
        <w:rPr>
          <w:rFonts w:ascii="Times New Roman" w:hAnsi="Times New Roman"/>
          <w:u w:val="single"/>
        </w:rPr>
        <w:t>doz</w:t>
      </w:r>
      <w:r w:rsidRPr="004E3CD5">
        <w:rPr>
          <w:rFonts w:ascii="Times New Roman" w:hAnsi="Times New Roman" w:hint="eastAsia"/>
          <w:u w:val="single"/>
        </w:rPr>
        <w:t>ę</w:t>
      </w:r>
      <w:r w:rsidRPr="004E3CD5">
        <w:rPr>
          <w:rFonts w:ascii="Times New Roman" w:hAnsi="Times New Roman"/>
          <w:u w:val="single"/>
        </w:rPr>
        <w:t xml:space="preserve"> skrandžio adenokarcinomai gydyti, s</w:t>
      </w:r>
      <w:r w:rsidRPr="004E3CD5">
        <w:rPr>
          <w:rFonts w:ascii="Times New Roman" w:hAnsi="Times New Roman" w:hint="eastAsia"/>
          <w:u w:val="single"/>
        </w:rPr>
        <w:t>ą</w:t>
      </w:r>
      <w:r w:rsidRPr="004E3CD5">
        <w:rPr>
          <w:rFonts w:ascii="Times New Roman" w:hAnsi="Times New Roman"/>
          <w:u w:val="single"/>
        </w:rPr>
        <w:t>rašas lentel</w:t>
      </w:r>
      <w:r w:rsidRPr="004E3CD5">
        <w:rPr>
          <w:rFonts w:ascii="Times New Roman" w:hAnsi="Times New Roman" w:hint="eastAsia"/>
          <w:u w:val="single"/>
        </w:rPr>
        <w:t>ė</w:t>
      </w:r>
      <w:r w:rsidRPr="004E3CD5">
        <w:rPr>
          <w:rFonts w:ascii="Times New Roman" w:hAnsi="Times New Roman"/>
          <w:u w:val="single"/>
        </w:rPr>
        <w:t>s forma</w:t>
      </w:r>
    </w:p>
    <w:p w14:paraId="03CD51D8" w14:textId="77777777" w:rsidR="00D875C0" w:rsidRPr="00F95B76" w:rsidRDefault="00D875C0" w:rsidP="00D875C0">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3046"/>
        <w:gridCol w:w="3046"/>
      </w:tblGrid>
      <w:tr w:rsidR="00F95B76" w:rsidRPr="007C1A06" w14:paraId="61E2938F" w14:textId="77777777" w:rsidTr="00915C14">
        <w:tc>
          <w:tcPr>
            <w:tcW w:w="3058" w:type="dxa"/>
            <w:shd w:val="clear" w:color="auto" w:fill="D9D9D9" w:themeFill="background1" w:themeFillShade="D9"/>
          </w:tcPr>
          <w:p w14:paraId="76C97DF8" w14:textId="77777777" w:rsidR="00D875C0" w:rsidRPr="001F2C46" w:rsidRDefault="00D875C0" w:rsidP="003876F8">
            <w:pPr>
              <w:spacing w:after="0" w:line="240" w:lineRule="auto"/>
              <w:rPr>
                <w:rFonts w:ascii="Times New Roman" w:hAnsi="Times New Roman"/>
              </w:rPr>
            </w:pPr>
            <w:r w:rsidRPr="001F2C46">
              <w:rPr>
                <w:rFonts w:ascii="Times New Roman" w:hAnsi="Times New Roman"/>
                <w:b/>
              </w:rPr>
              <w:t>MedDRA organų sistemų klasės</w:t>
            </w:r>
          </w:p>
        </w:tc>
        <w:tc>
          <w:tcPr>
            <w:tcW w:w="3114" w:type="dxa"/>
            <w:shd w:val="clear" w:color="auto" w:fill="D9D9D9" w:themeFill="background1" w:themeFillShade="D9"/>
          </w:tcPr>
          <w:p w14:paraId="2AF27D45" w14:textId="77777777" w:rsidR="00D875C0" w:rsidRPr="00C722B4" w:rsidRDefault="00D875C0" w:rsidP="003876F8">
            <w:pPr>
              <w:autoSpaceDE w:val="0"/>
              <w:autoSpaceDN w:val="0"/>
              <w:adjustRightInd w:val="0"/>
              <w:spacing w:after="0" w:line="240" w:lineRule="auto"/>
              <w:rPr>
                <w:rFonts w:ascii="Times New Roman" w:hAnsi="Times New Roman"/>
                <w:b/>
              </w:rPr>
            </w:pPr>
            <w:r w:rsidRPr="00427D92">
              <w:rPr>
                <w:rFonts w:ascii="Times New Roman" w:hAnsi="Times New Roman"/>
                <w:b/>
              </w:rPr>
              <w:t>Labai dažnos ne</w:t>
            </w:r>
            <w:r w:rsidRPr="00C722B4">
              <w:rPr>
                <w:rFonts w:ascii="Times New Roman" w:hAnsi="Times New Roman"/>
                <w:b/>
              </w:rPr>
              <w:t xml:space="preserve">pageidaujamos reakcijos </w:t>
            </w:r>
          </w:p>
        </w:tc>
        <w:tc>
          <w:tcPr>
            <w:tcW w:w="3114" w:type="dxa"/>
            <w:shd w:val="clear" w:color="auto" w:fill="D9D9D9" w:themeFill="background1" w:themeFillShade="D9"/>
          </w:tcPr>
          <w:p w14:paraId="33BC8261"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 xml:space="preserve">Dažnos nepageidaujamos reakcijos </w:t>
            </w:r>
          </w:p>
        </w:tc>
      </w:tr>
      <w:tr w:rsidR="00D875C0" w:rsidRPr="007C1A06" w14:paraId="545EDF67" w14:textId="77777777" w:rsidTr="004E3CD5">
        <w:tc>
          <w:tcPr>
            <w:tcW w:w="3058" w:type="dxa"/>
          </w:tcPr>
          <w:p w14:paraId="4C43CA5D"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Infekcijos ir infestacijos</w:t>
            </w:r>
          </w:p>
        </w:tc>
        <w:tc>
          <w:tcPr>
            <w:tcW w:w="3114" w:type="dxa"/>
          </w:tcPr>
          <w:p w14:paraId="5FB71D76"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Neutropeninė infekcija;</w:t>
            </w:r>
          </w:p>
          <w:p w14:paraId="0EF2233E" w14:textId="77777777" w:rsidR="00D875C0" w:rsidRPr="007C1A06" w:rsidRDefault="00D875C0" w:rsidP="00A276D4">
            <w:pPr>
              <w:autoSpaceDE w:val="0"/>
              <w:autoSpaceDN w:val="0"/>
              <w:adjustRightInd w:val="0"/>
              <w:spacing w:after="0" w:line="240" w:lineRule="auto"/>
              <w:rPr>
                <w:rFonts w:ascii="Times New Roman" w:hAnsi="Times New Roman"/>
                <w:b/>
              </w:rPr>
            </w:pPr>
            <w:r w:rsidRPr="00427D92">
              <w:rPr>
                <w:rFonts w:ascii="Times New Roman" w:hAnsi="Times New Roman"/>
              </w:rPr>
              <w:t>Infekcija (3</w:t>
            </w:r>
            <w:r w:rsidR="00A276D4" w:rsidRPr="00427D92">
              <w:rPr>
                <w:rFonts w:ascii="Times New Roman" w:hAnsi="Times New Roman"/>
              </w:rPr>
              <w:noBreakHyphen/>
            </w:r>
            <w:r w:rsidRPr="00C722B4">
              <w:rPr>
                <w:rFonts w:ascii="Times New Roman" w:hAnsi="Times New Roman"/>
              </w:rPr>
              <w:t>4</w:t>
            </w:r>
            <w:r w:rsidR="00A276D4" w:rsidRPr="007C1A06">
              <w:rPr>
                <w:rFonts w:ascii="Times New Roman" w:hAnsi="Times New Roman"/>
              </w:rPr>
              <w:t> </w:t>
            </w:r>
            <w:r w:rsidRPr="007C1A06">
              <w:rPr>
                <w:rFonts w:ascii="Times New Roman" w:hAnsi="Times New Roman"/>
              </w:rPr>
              <w:t>laipsnio – 11,7</w:t>
            </w:r>
            <w:r w:rsidR="00A276D4" w:rsidRPr="007C1A06">
              <w:rPr>
                <w:rFonts w:ascii="Times New Roman" w:hAnsi="Times New Roman"/>
              </w:rPr>
              <w:t> </w:t>
            </w:r>
            <w:r w:rsidRPr="007C1A06">
              <w:rPr>
                <w:rFonts w:ascii="Times New Roman" w:hAnsi="Times New Roman"/>
              </w:rPr>
              <w:t>%)</w:t>
            </w:r>
          </w:p>
        </w:tc>
        <w:tc>
          <w:tcPr>
            <w:tcW w:w="3114" w:type="dxa"/>
          </w:tcPr>
          <w:p w14:paraId="7A3EC029"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4E591974" w14:textId="77777777" w:rsidTr="004E3CD5">
        <w:tc>
          <w:tcPr>
            <w:tcW w:w="3058" w:type="dxa"/>
          </w:tcPr>
          <w:p w14:paraId="56AD4BA8"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Kraujo ir limfinės sistemos sutrikimai</w:t>
            </w:r>
          </w:p>
        </w:tc>
        <w:tc>
          <w:tcPr>
            <w:tcW w:w="3114" w:type="dxa"/>
          </w:tcPr>
          <w:p w14:paraId="513C52AF" w14:textId="77777777" w:rsidR="00D875C0" w:rsidRPr="00427D92"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Anemija (3</w:t>
            </w:r>
            <w:r w:rsidR="00A276D4" w:rsidRPr="001F2C46">
              <w:rPr>
                <w:rFonts w:ascii="Times New Roman" w:hAnsi="Times New Roman"/>
              </w:rPr>
              <w:noBreakHyphen/>
            </w:r>
            <w:r w:rsidRPr="001F2C46">
              <w:rPr>
                <w:rFonts w:ascii="Times New Roman" w:hAnsi="Times New Roman"/>
              </w:rPr>
              <w:t>4</w:t>
            </w:r>
            <w:r w:rsidR="00A276D4" w:rsidRPr="001F2C46">
              <w:rPr>
                <w:rFonts w:ascii="Times New Roman" w:hAnsi="Times New Roman"/>
              </w:rPr>
              <w:t> </w:t>
            </w:r>
            <w:r w:rsidRPr="001F2C46">
              <w:rPr>
                <w:rFonts w:ascii="Times New Roman" w:hAnsi="Times New Roman"/>
              </w:rPr>
              <w:t>laipsnio – 20,9</w:t>
            </w:r>
            <w:r w:rsidR="00A276D4" w:rsidRPr="00427D92">
              <w:rPr>
                <w:rFonts w:ascii="Times New Roman" w:hAnsi="Times New Roman"/>
              </w:rPr>
              <w:t> </w:t>
            </w:r>
            <w:r w:rsidRPr="00427D92">
              <w:rPr>
                <w:rFonts w:ascii="Times New Roman" w:hAnsi="Times New Roman"/>
              </w:rPr>
              <w:t>%);</w:t>
            </w:r>
          </w:p>
          <w:p w14:paraId="123CD792" w14:textId="77777777" w:rsidR="00D875C0" w:rsidRPr="007C1A06"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Neutropenija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83,2</w:t>
            </w:r>
            <w:r w:rsidR="00A276D4" w:rsidRPr="007C1A06">
              <w:rPr>
                <w:rFonts w:ascii="Times New Roman" w:hAnsi="Times New Roman"/>
              </w:rPr>
              <w:t> </w:t>
            </w:r>
            <w:r w:rsidRPr="007C1A06">
              <w:rPr>
                <w:rFonts w:ascii="Times New Roman" w:hAnsi="Times New Roman"/>
              </w:rPr>
              <w:t>%);</w:t>
            </w:r>
          </w:p>
          <w:p w14:paraId="4326C744"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Trombocitopenija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8,8</w:t>
            </w:r>
            <w:r w:rsidR="00A276D4" w:rsidRPr="007C1A06">
              <w:rPr>
                <w:rFonts w:ascii="Times New Roman" w:hAnsi="Times New Roman"/>
              </w:rPr>
              <w:t> </w:t>
            </w:r>
            <w:r w:rsidRPr="007C1A06">
              <w:rPr>
                <w:rFonts w:ascii="Times New Roman" w:hAnsi="Times New Roman"/>
              </w:rPr>
              <w:t>%);</w:t>
            </w:r>
          </w:p>
          <w:p w14:paraId="41B763A1"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Febrilinė neutropenija</w:t>
            </w:r>
          </w:p>
        </w:tc>
        <w:tc>
          <w:tcPr>
            <w:tcW w:w="3114" w:type="dxa"/>
          </w:tcPr>
          <w:p w14:paraId="3375EEDB"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24AF6FDC" w14:textId="77777777" w:rsidTr="004E3CD5">
        <w:tc>
          <w:tcPr>
            <w:tcW w:w="3058" w:type="dxa"/>
          </w:tcPr>
          <w:p w14:paraId="4B32656F"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Imuninės sistemos sutrikimai</w:t>
            </w:r>
          </w:p>
        </w:tc>
        <w:tc>
          <w:tcPr>
            <w:tcW w:w="3114" w:type="dxa"/>
          </w:tcPr>
          <w:p w14:paraId="676A3B8C" w14:textId="77777777" w:rsidR="00D875C0" w:rsidRPr="007C1A06" w:rsidRDefault="00D875C0" w:rsidP="00A276D4">
            <w:pPr>
              <w:autoSpaceDE w:val="0"/>
              <w:autoSpaceDN w:val="0"/>
              <w:adjustRightInd w:val="0"/>
              <w:spacing w:after="0" w:line="240" w:lineRule="auto"/>
              <w:rPr>
                <w:rFonts w:ascii="Times New Roman" w:hAnsi="Times New Roman"/>
                <w:b/>
              </w:rPr>
            </w:pPr>
            <w:r w:rsidRPr="001F2C46">
              <w:rPr>
                <w:rFonts w:ascii="Times New Roman" w:hAnsi="Times New Roman"/>
              </w:rPr>
              <w:t>Padidėjęs jautrumas (3</w:t>
            </w:r>
            <w:r w:rsidR="00A276D4" w:rsidRPr="00427D92">
              <w:rPr>
                <w:rFonts w:ascii="Times New Roman" w:hAnsi="Times New Roman"/>
              </w:rPr>
              <w:noBreakHyphen/>
            </w:r>
            <w:r w:rsidRPr="00427D92">
              <w:rPr>
                <w:rFonts w:ascii="Times New Roman" w:hAnsi="Times New Roman"/>
              </w:rPr>
              <w:t>4</w:t>
            </w:r>
            <w:r w:rsidR="00A276D4" w:rsidRPr="00C722B4">
              <w:rPr>
                <w:rFonts w:ascii="Times New Roman" w:hAnsi="Times New Roman"/>
              </w:rPr>
              <w:t> </w:t>
            </w:r>
            <w:r w:rsidRPr="007C1A06">
              <w:rPr>
                <w:rFonts w:ascii="Times New Roman" w:hAnsi="Times New Roman"/>
              </w:rPr>
              <w:t>laipsnio – 1,7</w:t>
            </w:r>
            <w:r w:rsidR="00A276D4" w:rsidRPr="007C1A06">
              <w:rPr>
                <w:rFonts w:ascii="Times New Roman" w:hAnsi="Times New Roman"/>
              </w:rPr>
              <w:t> </w:t>
            </w:r>
            <w:r w:rsidRPr="007C1A06">
              <w:rPr>
                <w:rFonts w:ascii="Times New Roman" w:hAnsi="Times New Roman"/>
              </w:rPr>
              <w:t>%)</w:t>
            </w:r>
          </w:p>
        </w:tc>
        <w:tc>
          <w:tcPr>
            <w:tcW w:w="3114" w:type="dxa"/>
          </w:tcPr>
          <w:p w14:paraId="717B5D19"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4B91FF35" w14:textId="77777777" w:rsidTr="004E3CD5">
        <w:tc>
          <w:tcPr>
            <w:tcW w:w="3058" w:type="dxa"/>
          </w:tcPr>
          <w:p w14:paraId="7963146C"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Metabolizmo ir mitybos sutrikimai</w:t>
            </w:r>
          </w:p>
        </w:tc>
        <w:tc>
          <w:tcPr>
            <w:tcW w:w="3114" w:type="dxa"/>
          </w:tcPr>
          <w:p w14:paraId="69137AB4" w14:textId="77777777" w:rsidR="00D875C0" w:rsidRPr="00C722B4" w:rsidRDefault="00D875C0" w:rsidP="00A276D4">
            <w:pPr>
              <w:autoSpaceDE w:val="0"/>
              <w:autoSpaceDN w:val="0"/>
              <w:adjustRightInd w:val="0"/>
              <w:spacing w:after="0" w:line="240" w:lineRule="auto"/>
              <w:rPr>
                <w:rFonts w:ascii="Times New Roman" w:hAnsi="Times New Roman"/>
                <w:b/>
              </w:rPr>
            </w:pPr>
            <w:r w:rsidRPr="001F2C46">
              <w:rPr>
                <w:rFonts w:ascii="Times New Roman" w:hAnsi="Times New Roman"/>
              </w:rPr>
              <w:t>Anoreksija (3</w:t>
            </w:r>
            <w:r w:rsidR="00A276D4" w:rsidRPr="001F2C46">
              <w:rPr>
                <w:rFonts w:ascii="Times New Roman" w:hAnsi="Times New Roman"/>
              </w:rPr>
              <w:noBreakHyphen/>
            </w:r>
            <w:r w:rsidRPr="001F2C46">
              <w:rPr>
                <w:rFonts w:ascii="Times New Roman" w:hAnsi="Times New Roman"/>
              </w:rPr>
              <w:t>4</w:t>
            </w:r>
            <w:r w:rsidR="00A276D4" w:rsidRPr="001F2C46">
              <w:rPr>
                <w:rFonts w:ascii="Times New Roman" w:hAnsi="Times New Roman"/>
              </w:rPr>
              <w:t> </w:t>
            </w:r>
            <w:r w:rsidRPr="001F2C46">
              <w:rPr>
                <w:rFonts w:ascii="Times New Roman" w:hAnsi="Times New Roman"/>
              </w:rPr>
              <w:t>laipsnio – 11,7</w:t>
            </w:r>
            <w:r w:rsidR="00A276D4" w:rsidRPr="00427D92">
              <w:rPr>
                <w:rFonts w:ascii="Times New Roman" w:hAnsi="Times New Roman"/>
              </w:rPr>
              <w:t> </w:t>
            </w:r>
            <w:r w:rsidRPr="00427D92">
              <w:rPr>
                <w:rFonts w:ascii="Times New Roman" w:hAnsi="Times New Roman"/>
              </w:rPr>
              <w:t>%)</w:t>
            </w:r>
          </w:p>
        </w:tc>
        <w:tc>
          <w:tcPr>
            <w:tcW w:w="3114" w:type="dxa"/>
          </w:tcPr>
          <w:p w14:paraId="2B5734D1"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1218BB23" w14:textId="77777777" w:rsidTr="004E3CD5">
        <w:tc>
          <w:tcPr>
            <w:tcW w:w="3058" w:type="dxa"/>
          </w:tcPr>
          <w:p w14:paraId="3AF86075"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Nervų sistemos sutrikimai</w:t>
            </w:r>
          </w:p>
        </w:tc>
        <w:tc>
          <w:tcPr>
            <w:tcW w:w="3114" w:type="dxa"/>
          </w:tcPr>
          <w:p w14:paraId="659937ED" w14:textId="77777777" w:rsidR="00D875C0" w:rsidRPr="007C1A06" w:rsidRDefault="00D875C0" w:rsidP="00A276D4">
            <w:pPr>
              <w:autoSpaceDE w:val="0"/>
              <w:autoSpaceDN w:val="0"/>
              <w:adjustRightInd w:val="0"/>
              <w:spacing w:after="0" w:line="240" w:lineRule="auto"/>
              <w:rPr>
                <w:rFonts w:ascii="Times New Roman" w:hAnsi="Times New Roman"/>
                <w:b/>
              </w:rPr>
            </w:pPr>
            <w:r w:rsidRPr="001F2C46">
              <w:rPr>
                <w:rFonts w:ascii="Times New Roman" w:hAnsi="Times New Roman"/>
              </w:rPr>
              <w:t>Periferinė sensorinė neuropatija (3</w:t>
            </w:r>
            <w:r w:rsidR="00A276D4" w:rsidRPr="00427D92">
              <w:rPr>
                <w:rFonts w:ascii="Times New Roman" w:hAnsi="Times New Roman"/>
              </w:rPr>
              <w:noBreakHyphen/>
            </w:r>
            <w:r w:rsidRPr="00427D92">
              <w:rPr>
                <w:rFonts w:ascii="Times New Roman" w:hAnsi="Times New Roman"/>
              </w:rPr>
              <w:t>4</w:t>
            </w:r>
            <w:r w:rsidR="00A276D4" w:rsidRPr="00C722B4">
              <w:rPr>
                <w:rFonts w:ascii="Times New Roman" w:hAnsi="Times New Roman"/>
              </w:rPr>
              <w:t> </w:t>
            </w:r>
            <w:r w:rsidRPr="007C1A06">
              <w:rPr>
                <w:rFonts w:ascii="Times New Roman" w:hAnsi="Times New Roman"/>
              </w:rPr>
              <w:t>laipsnio – 8,7</w:t>
            </w:r>
            <w:r w:rsidR="00A276D4" w:rsidRPr="007C1A06">
              <w:rPr>
                <w:rFonts w:ascii="Times New Roman" w:hAnsi="Times New Roman"/>
              </w:rPr>
              <w:t> </w:t>
            </w:r>
            <w:r w:rsidRPr="007C1A06">
              <w:rPr>
                <w:rFonts w:ascii="Times New Roman" w:hAnsi="Times New Roman"/>
              </w:rPr>
              <w:t>%)</w:t>
            </w:r>
          </w:p>
        </w:tc>
        <w:tc>
          <w:tcPr>
            <w:tcW w:w="3114" w:type="dxa"/>
          </w:tcPr>
          <w:p w14:paraId="42036D9E"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Svaigulys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2,3</w:t>
            </w:r>
            <w:r w:rsidR="00A276D4" w:rsidRPr="007C1A06">
              <w:rPr>
                <w:rFonts w:ascii="Times New Roman" w:hAnsi="Times New Roman"/>
              </w:rPr>
              <w:t> </w:t>
            </w:r>
            <w:r w:rsidRPr="007C1A06">
              <w:rPr>
                <w:rFonts w:ascii="Times New Roman" w:hAnsi="Times New Roman"/>
              </w:rPr>
              <w:t>%);</w:t>
            </w:r>
          </w:p>
          <w:p w14:paraId="18911D2B" w14:textId="77777777" w:rsidR="00D875C0" w:rsidRPr="004E3CD5" w:rsidRDefault="00D875C0" w:rsidP="00A276D4">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Periferinė motorinė neuropatija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1,3</w:t>
            </w:r>
            <w:r w:rsidR="00A276D4" w:rsidRPr="007C1A06">
              <w:rPr>
                <w:rFonts w:ascii="Times New Roman" w:hAnsi="Times New Roman"/>
              </w:rPr>
              <w:t> </w:t>
            </w:r>
            <w:r w:rsidRPr="007C1A06">
              <w:rPr>
                <w:rFonts w:ascii="Times New Roman" w:hAnsi="Times New Roman"/>
              </w:rPr>
              <w:t>%)</w:t>
            </w:r>
          </w:p>
        </w:tc>
      </w:tr>
      <w:tr w:rsidR="00D875C0" w:rsidRPr="007C1A06" w14:paraId="7D78E24F" w14:textId="77777777" w:rsidTr="004E3CD5">
        <w:tc>
          <w:tcPr>
            <w:tcW w:w="3058" w:type="dxa"/>
          </w:tcPr>
          <w:p w14:paraId="59CFF040"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Akių sutrikimai</w:t>
            </w:r>
          </w:p>
        </w:tc>
        <w:tc>
          <w:tcPr>
            <w:tcW w:w="3114" w:type="dxa"/>
          </w:tcPr>
          <w:p w14:paraId="1940AC7B" w14:textId="77777777" w:rsidR="00D875C0" w:rsidRPr="001F2C46" w:rsidRDefault="00D875C0" w:rsidP="003876F8">
            <w:pPr>
              <w:autoSpaceDE w:val="0"/>
              <w:autoSpaceDN w:val="0"/>
              <w:adjustRightInd w:val="0"/>
              <w:spacing w:after="0" w:line="240" w:lineRule="auto"/>
              <w:rPr>
                <w:rFonts w:ascii="Times New Roman" w:hAnsi="Times New Roman"/>
                <w:b/>
              </w:rPr>
            </w:pPr>
          </w:p>
        </w:tc>
        <w:tc>
          <w:tcPr>
            <w:tcW w:w="3114" w:type="dxa"/>
          </w:tcPr>
          <w:p w14:paraId="6125AD5E" w14:textId="77777777" w:rsidR="00D875C0" w:rsidRPr="007C1A06" w:rsidRDefault="00D875C0" w:rsidP="00A276D4">
            <w:pPr>
              <w:autoSpaceDE w:val="0"/>
              <w:autoSpaceDN w:val="0"/>
              <w:adjustRightInd w:val="0"/>
              <w:spacing w:after="0" w:line="240" w:lineRule="auto"/>
              <w:rPr>
                <w:rFonts w:ascii="Times New Roman" w:hAnsi="Times New Roman"/>
                <w:b/>
              </w:rPr>
            </w:pPr>
            <w:r w:rsidRPr="00427D92">
              <w:rPr>
                <w:rFonts w:ascii="Times New Roman" w:hAnsi="Times New Roman"/>
              </w:rPr>
              <w:t>Ašarojimo sustiprėjimas (3</w:t>
            </w:r>
            <w:r w:rsidR="00A276D4" w:rsidRPr="00C722B4">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0</w:t>
            </w:r>
            <w:r w:rsidR="00A276D4" w:rsidRPr="007C1A06">
              <w:rPr>
                <w:rFonts w:ascii="Times New Roman" w:hAnsi="Times New Roman"/>
              </w:rPr>
              <w:t> </w:t>
            </w:r>
            <w:r w:rsidRPr="007C1A06">
              <w:rPr>
                <w:rFonts w:ascii="Times New Roman" w:hAnsi="Times New Roman"/>
              </w:rPr>
              <w:t>%)</w:t>
            </w:r>
          </w:p>
        </w:tc>
      </w:tr>
      <w:tr w:rsidR="00D875C0" w:rsidRPr="007C1A06" w14:paraId="3F4A8AF8" w14:textId="77777777" w:rsidTr="004E3CD5">
        <w:tc>
          <w:tcPr>
            <w:tcW w:w="3058" w:type="dxa"/>
          </w:tcPr>
          <w:p w14:paraId="218EF7DF"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Ausų ir labirintų sutrikimai</w:t>
            </w:r>
          </w:p>
        </w:tc>
        <w:tc>
          <w:tcPr>
            <w:tcW w:w="3114" w:type="dxa"/>
          </w:tcPr>
          <w:p w14:paraId="04C7F391" w14:textId="77777777" w:rsidR="00D875C0" w:rsidRPr="001F2C46" w:rsidRDefault="00D875C0" w:rsidP="003876F8">
            <w:pPr>
              <w:autoSpaceDE w:val="0"/>
              <w:autoSpaceDN w:val="0"/>
              <w:adjustRightInd w:val="0"/>
              <w:spacing w:after="0" w:line="240" w:lineRule="auto"/>
              <w:rPr>
                <w:rFonts w:ascii="Times New Roman" w:hAnsi="Times New Roman"/>
                <w:b/>
              </w:rPr>
            </w:pPr>
          </w:p>
        </w:tc>
        <w:tc>
          <w:tcPr>
            <w:tcW w:w="3114" w:type="dxa"/>
          </w:tcPr>
          <w:p w14:paraId="05D7B515" w14:textId="77777777" w:rsidR="00D875C0" w:rsidRPr="007C1A06" w:rsidRDefault="00D875C0" w:rsidP="00A276D4">
            <w:pPr>
              <w:autoSpaceDE w:val="0"/>
              <w:autoSpaceDN w:val="0"/>
              <w:adjustRightInd w:val="0"/>
              <w:spacing w:after="0" w:line="240" w:lineRule="auto"/>
              <w:rPr>
                <w:rFonts w:ascii="Times New Roman" w:hAnsi="Times New Roman"/>
              </w:rPr>
            </w:pPr>
            <w:r w:rsidRPr="00427D92">
              <w:rPr>
                <w:rFonts w:ascii="Times New Roman" w:hAnsi="Times New Roman"/>
              </w:rPr>
              <w:t>Klausos susilpnėjimas (3</w:t>
            </w:r>
            <w:r w:rsidR="00A276D4" w:rsidRPr="00C722B4">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0</w:t>
            </w:r>
            <w:r w:rsidR="00A276D4" w:rsidRPr="007C1A06">
              <w:rPr>
                <w:rFonts w:ascii="Times New Roman" w:hAnsi="Times New Roman"/>
              </w:rPr>
              <w:t> </w:t>
            </w:r>
            <w:r w:rsidRPr="007C1A06">
              <w:rPr>
                <w:rFonts w:ascii="Times New Roman" w:hAnsi="Times New Roman"/>
              </w:rPr>
              <w:t>%)</w:t>
            </w:r>
          </w:p>
        </w:tc>
      </w:tr>
      <w:tr w:rsidR="00D875C0" w:rsidRPr="007C1A06" w14:paraId="6E330B33" w14:textId="77777777" w:rsidTr="004E3CD5">
        <w:tc>
          <w:tcPr>
            <w:tcW w:w="3058" w:type="dxa"/>
          </w:tcPr>
          <w:p w14:paraId="29C2299B" w14:textId="77777777" w:rsidR="00D875C0" w:rsidRPr="00F95B76" w:rsidRDefault="00D875C0" w:rsidP="003876F8">
            <w:pPr>
              <w:spacing w:after="0" w:line="240" w:lineRule="auto"/>
              <w:rPr>
                <w:rFonts w:ascii="Times New Roman" w:hAnsi="Times New Roman"/>
              </w:rPr>
            </w:pPr>
            <w:r w:rsidRPr="00F95B76">
              <w:rPr>
                <w:rFonts w:ascii="Times New Roman" w:hAnsi="Times New Roman"/>
              </w:rPr>
              <w:t>Širdies sutrikimai</w:t>
            </w:r>
          </w:p>
        </w:tc>
        <w:tc>
          <w:tcPr>
            <w:tcW w:w="3114" w:type="dxa"/>
          </w:tcPr>
          <w:p w14:paraId="18C2ED29" w14:textId="77777777" w:rsidR="00D875C0" w:rsidRPr="001F2C46" w:rsidRDefault="00D875C0" w:rsidP="003876F8">
            <w:pPr>
              <w:spacing w:after="0" w:line="240" w:lineRule="auto"/>
              <w:rPr>
                <w:rFonts w:ascii="Times New Roman" w:hAnsi="Times New Roman"/>
              </w:rPr>
            </w:pPr>
          </w:p>
        </w:tc>
        <w:tc>
          <w:tcPr>
            <w:tcW w:w="3114" w:type="dxa"/>
          </w:tcPr>
          <w:p w14:paraId="09110D2C" w14:textId="77777777" w:rsidR="00D875C0" w:rsidRPr="007C1A06" w:rsidRDefault="00D875C0" w:rsidP="00A276D4">
            <w:pPr>
              <w:spacing w:after="0" w:line="240" w:lineRule="auto"/>
              <w:rPr>
                <w:rFonts w:ascii="Times New Roman" w:hAnsi="Times New Roman"/>
              </w:rPr>
            </w:pPr>
            <w:r w:rsidRPr="00427D92">
              <w:rPr>
                <w:rFonts w:ascii="Times New Roman" w:hAnsi="Times New Roman"/>
              </w:rPr>
              <w:t>Aritmija (3</w:t>
            </w:r>
            <w:r w:rsidR="00A276D4" w:rsidRPr="00427D92">
              <w:rPr>
                <w:rFonts w:ascii="Times New Roman" w:hAnsi="Times New Roman"/>
              </w:rPr>
              <w:noBreakHyphen/>
            </w:r>
            <w:r w:rsidRPr="00C722B4">
              <w:rPr>
                <w:rFonts w:ascii="Times New Roman" w:hAnsi="Times New Roman"/>
              </w:rPr>
              <w:t>4</w:t>
            </w:r>
            <w:r w:rsidR="00A276D4" w:rsidRPr="007C1A06">
              <w:rPr>
                <w:rFonts w:ascii="Times New Roman" w:hAnsi="Times New Roman"/>
              </w:rPr>
              <w:t> </w:t>
            </w:r>
            <w:r w:rsidRPr="007C1A06">
              <w:rPr>
                <w:rFonts w:ascii="Times New Roman" w:hAnsi="Times New Roman"/>
              </w:rPr>
              <w:t>laipsnio – 1,0</w:t>
            </w:r>
            <w:r w:rsidR="00A276D4" w:rsidRPr="007C1A06">
              <w:rPr>
                <w:rFonts w:ascii="Times New Roman" w:hAnsi="Times New Roman"/>
              </w:rPr>
              <w:t> </w:t>
            </w:r>
            <w:r w:rsidRPr="007C1A06">
              <w:rPr>
                <w:rFonts w:ascii="Times New Roman" w:hAnsi="Times New Roman"/>
              </w:rPr>
              <w:t>%)</w:t>
            </w:r>
          </w:p>
        </w:tc>
      </w:tr>
      <w:tr w:rsidR="00D875C0" w:rsidRPr="007C1A06" w14:paraId="4351FAE5" w14:textId="77777777" w:rsidTr="004E3CD5">
        <w:tc>
          <w:tcPr>
            <w:tcW w:w="3058" w:type="dxa"/>
          </w:tcPr>
          <w:p w14:paraId="3741A8E7" w14:textId="77777777" w:rsidR="00D875C0" w:rsidRPr="001F2C46" w:rsidRDefault="00D875C0" w:rsidP="003876F8">
            <w:pPr>
              <w:spacing w:after="0" w:line="240" w:lineRule="auto"/>
              <w:rPr>
                <w:rFonts w:ascii="Times New Roman" w:hAnsi="Times New Roman"/>
              </w:rPr>
            </w:pPr>
            <w:r w:rsidRPr="00F95B76">
              <w:rPr>
                <w:rFonts w:ascii="Times New Roman" w:hAnsi="Times New Roman"/>
              </w:rPr>
              <w:t>Virškinimo trakto sutrikimai</w:t>
            </w:r>
          </w:p>
        </w:tc>
        <w:tc>
          <w:tcPr>
            <w:tcW w:w="3114" w:type="dxa"/>
          </w:tcPr>
          <w:p w14:paraId="6CF965AE" w14:textId="77777777" w:rsidR="00D875C0" w:rsidRPr="007C1A06"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Viduriavimas (3</w:t>
            </w:r>
            <w:r w:rsidR="00A276D4" w:rsidRPr="00427D92">
              <w:rPr>
                <w:rFonts w:ascii="Times New Roman" w:hAnsi="Times New Roman"/>
              </w:rPr>
              <w:noBreakHyphen/>
            </w:r>
            <w:r w:rsidRPr="00C722B4">
              <w:rPr>
                <w:rFonts w:ascii="Times New Roman" w:hAnsi="Times New Roman"/>
              </w:rPr>
              <w:t>4</w:t>
            </w:r>
            <w:r w:rsidR="00A276D4" w:rsidRPr="007C1A06">
              <w:rPr>
                <w:rFonts w:ascii="Times New Roman" w:hAnsi="Times New Roman"/>
              </w:rPr>
              <w:t> </w:t>
            </w:r>
            <w:r w:rsidRPr="007C1A06">
              <w:rPr>
                <w:rFonts w:ascii="Times New Roman" w:hAnsi="Times New Roman"/>
              </w:rPr>
              <w:t>laipsnio – 19,7</w:t>
            </w:r>
            <w:r w:rsidR="00A276D4" w:rsidRPr="007C1A06">
              <w:rPr>
                <w:rFonts w:ascii="Times New Roman" w:hAnsi="Times New Roman"/>
              </w:rPr>
              <w:t> </w:t>
            </w:r>
            <w:r w:rsidRPr="007C1A06">
              <w:rPr>
                <w:rFonts w:ascii="Times New Roman" w:hAnsi="Times New Roman"/>
              </w:rPr>
              <w:t>%);</w:t>
            </w:r>
          </w:p>
          <w:p w14:paraId="36BEB428"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Pykinimas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16</w:t>
            </w:r>
            <w:r w:rsidR="00A276D4" w:rsidRPr="007C1A06">
              <w:rPr>
                <w:rFonts w:ascii="Times New Roman" w:hAnsi="Times New Roman"/>
              </w:rPr>
              <w:t> </w:t>
            </w:r>
            <w:r w:rsidRPr="007C1A06">
              <w:rPr>
                <w:rFonts w:ascii="Times New Roman" w:hAnsi="Times New Roman"/>
              </w:rPr>
              <w:t>%);</w:t>
            </w:r>
          </w:p>
          <w:p w14:paraId="4D122465"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Stomatitas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23,7</w:t>
            </w:r>
            <w:r w:rsidR="00A276D4" w:rsidRPr="007C1A06">
              <w:rPr>
                <w:rFonts w:ascii="Times New Roman" w:hAnsi="Times New Roman"/>
              </w:rPr>
              <w:t> </w:t>
            </w:r>
            <w:r w:rsidRPr="007C1A06">
              <w:rPr>
                <w:rFonts w:ascii="Times New Roman" w:hAnsi="Times New Roman"/>
              </w:rPr>
              <w:t>%);</w:t>
            </w:r>
          </w:p>
          <w:p w14:paraId="4C0B0391" w14:textId="77777777" w:rsidR="00D875C0" w:rsidRPr="004E3CD5" w:rsidRDefault="00D875C0" w:rsidP="00A276D4">
            <w:pPr>
              <w:spacing w:after="0" w:line="240" w:lineRule="auto"/>
              <w:rPr>
                <w:rFonts w:ascii="Times New Roman" w:eastAsiaTheme="minorEastAsia" w:hAnsi="Times New Roman"/>
                <w:lang w:eastAsia="zh-TW"/>
              </w:rPr>
            </w:pPr>
            <w:r w:rsidRPr="007C1A06">
              <w:rPr>
                <w:rFonts w:ascii="Times New Roman" w:hAnsi="Times New Roman"/>
              </w:rPr>
              <w:t>Vėmimas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14,3</w:t>
            </w:r>
            <w:r w:rsidR="00A276D4" w:rsidRPr="007C1A06">
              <w:rPr>
                <w:rFonts w:ascii="Times New Roman" w:hAnsi="Times New Roman"/>
              </w:rPr>
              <w:t> </w:t>
            </w:r>
            <w:r w:rsidRPr="007C1A06">
              <w:rPr>
                <w:rFonts w:ascii="Times New Roman" w:hAnsi="Times New Roman"/>
              </w:rPr>
              <w:t>%)</w:t>
            </w:r>
          </w:p>
        </w:tc>
        <w:tc>
          <w:tcPr>
            <w:tcW w:w="3114" w:type="dxa"/>
          </w:tcPr>
          <w:p w14:paraId="5D94B973"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Vidurių užkietėjimas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1,0</w:t>
            </w:r>
            <w:r w:rsidR="00A276D4" w:rsidRPr="007C1A06">
              <w:rPr>
                <w:rFonts w:ascii="Times New Roman" w:hAnsi="Times New Roman"/>
              </w:rPr>
              <w:t> </w:t>
            </w:r>
            <w:r w:rsidRPr="007C1A06">
              <w:rPr>
                <w:rFonts w:ascii="Times New Roman" w:hAnsi="Times New Roman"/>
              </w:rPr>
              <w:t>%);</w:t>
            </w:r>
          </w:p>
          <w:p w14:paraId="2D9B6092"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Virškinimo trakto skausmas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1,0</w:t>
            </w:r>
            <w:r w:rsidR="00A276D4" w:rsidRPr="007C1A06">
              <w:rPr>
                <w:rFonts w:ascii="Times New Roman" w:hAnsi="Times New Roman"/>
              </w:rPr>
              <w:t> </w:t>
            </w:r>
            <w:r w:rsidRPr="007C1A06">
              <w:rPr>
                <w:rFonts w:ascii="Times New Roman" w:hAnsi="Times New Roman"/>
              </w:rPr>
              <w:t>%);</w:t>
            </w:r>
          </w:p>
          <w:p w14:paraId="3CD49B2E" w14:textId="77777777" w:rsidR="00D875C0" w:rsidRPr="004E3CD5" w:rsidRDefault="00D875C0" w:rsidP="00A276D4">
            <w:pPr>
              <w:spacing w:after="0" w:line="240" w:lineRule="auto"/>
              <w:rPr>
                <w:rFonts w:ascii="Times New Roman" w:eastAsiaTheme="minorEastAsia" w:hAnsi="Times New Roman"/>
                <w:lang w:eastAsia="zh-TW"/>
              </w:rPr>
            </w:pPr>
            <w:r w:rsidRPr="007C1A06">
              <w:rPr>
                <w:rFonts w:ascii="Times New Roman" w:hAnsi="Times New Roman"/>
              </w:rPr>
              <w:t>Ezofagitas arba disfagija arba odinofagija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0,7</w:t>
            </w:r>
            <w:r w:rsidR="00A276D4" w:rsidRPr="007C1A06">
              <w:rPr>
                <w:rFonts w:ascii="Times New Roman" w:hAnsi="Times New Roman"/>
              </w:rPr>
              <w:t> </w:t>
            </w:r>
            <w:r w:rsidRPr="007C1A06">
              <w:rPr>
                <w:rFonts w:ascii="Times New Roman" w:hAnsi="Times New Roman"/>
              </w:rPr>
              <w:t>%)</w:t>
            </w:r>
          </w:p>
        </w:tc>
      </w:tr>
      <w:tr w:rsidR="00D875C0" w:rsidRPr="007C1A06" w14:paraId="18EB048F" w14:textId="77777777" w:rsidTr="004E3CD5">
        <w:tc>
          <w:tcPr>
            <w:tcW w:w="3058" w:type="dxa"/>
          </w:tcPr>
          <w:p w14:paraId="3B12EC19" w14:textId="77777777" w:rsidR="00D875C0" w:rsidRPr="00F95B76" w:rsidRDefault="00D875C0" w:rsidP="003876F8">
            <w:pPr>
              <w:spacing w:after="0" w:line="240" w:lineRule="auto"/>
              <w:rPr>
                <w:rFonts w:ascii="Times New Roman" w:hAnsi="Times New Roman"/>
              </w:rPr>
            </w:pPr>
            <w:r w:rsidRPr="00F95B76">
              <w:rPr>
                <w:rFonts w:ascii="Times New Roman" w:hAnsi="Times New Roman"/>
              </w:rPr>
              <w:t>Odos ir poodinio audinio sutrikimai</w:t>
            </w:r>
          </w:p>
        </w:tc>
        <w:tc>
          <w:tcPr>
            <w:tcW w:w="3114" w:type="dxa"/>
          </w:tcPr>
          <w:p w14:paraId="5FF84ACE" w14:textId="77777777" w:rsidR="00D875C0" w:rsidRPr="007C1A06" w:rsidRDefault="00D875C0" w:rsidP="00A276D4">
            <w:pPr>
              <w:spacing w:after="0" w:line="240" w:lineRule="auto"/>
              <w:rPr>
                <w:rFonts w:ascii="Times New Roman" w:hAnsi="Times New Roman"/>
              </w:rPr>
            </w:pPr>
            <w:r w:rsidRPr="001F2C46">
              <w:rPr>
                <w:rFonts w:ascii="Times New Roman" w:hAnsi="Times New Roman"/>
              </w:rPr>
              <w:t>Alopecija (3</w:t>
            </w:r>
            <w:r w:rsidR="00A276D4" w:rsidRPr="001F2C46">
              <w:rPr>
                <w:rFonts w:ascii="Times New Roman" w:hAnsi="Times New Roman"/>
              </w:rPr>
              <w:noBreakHyphen/>
            </w:r>
            <w:r w:rsidRPr="001F2C46">
              <w:rPr>
                <w:rFonts w:ascii="Times New Roman" w:hAnsi="Times New Roman"/>
              </w:rPr>
              <w:t>4</w:t>
            </w:r>
            <w:r w:rsidR="00A276D4" w:rsidRPr="00427D92">
              <w:rPr>
                <w:rFonts w:ascii="Times New Roman" w:hAnsi="Times New Roman"/>
              </w:rPr>
              <w:t> </w:t>
            </w:r>
            <w:r w:rsidRPr="00427D92">
              <w:rPr>
                <w:rFonts w:ascii="Times New Roman" w:hAnsi="Times New Roman"/>
              </w:rPr>
              <w:t>laipsnio – 4,0</w:t>
            </w:r>
            <w:r w:rsidR="00A276D4" w:rsidRPr="00C722B4">
              <w:rPr>
                <w:rFonts w:ascii="Times New Roman" w:hAnsi="Times New Roman"/>
              </w:rPr>
              <w:t> </w:t>
            </w:r>
            <w:r w:rsidRPr="007C1A06">
              <w:rPr>
                <w:rFonts w:ascii="Times New Roman" w:hAnsi="Times New Roman"/>
              </w:rPr>
              <w:t>%)</w:t>
            </w:r>
          </w:p>
        </w:tc>
        <w:tc>
          <w:tcPr>
            <w:tcW w:w="3114" w:type="dxa"/>
          </w:tcPr>
          <w:p w14:paraId="535AA4DD" w14:textId="77777777" w:rsidR="00A276D4" w:rsidRPr="004E3CD5" w:rsidRDefault="00D875C0" w:rsidP="00A276D4">
            <w:pPr>
              <w:spacing w:after="0" w:line="240" w:lineRule="auto"/>
              <w:rPr>
                <w:rFonts w:ascii="Times New Roman" w:eastAsiaTheme="minorEastAsia" w:hAnsi="Times New Roman"/>
                <w:lang w:eastAsia="zh-TW"/>
              </w:rPr>
            </w:pPr>
            <w:r w:rsidRPr="007C1A06">
              <w:rPr>
                <w:rFonts w:ascii="Times New Roman" w:hAnsi="Times New Roman"/>
              </w:rPr>
              <w:t>Išbėrimas ir niežėjimas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0,7</w:t>
            </w:r>
            <w:r w:rsidR="00A276D4" w:rsidRPr="007C1A06">
              <w:rPr>
                <w:rFonts w:ascii="Times New Roman" w:hAnsi="Times New Roman"/>
              </w:rPr>
              <w:t> </w:t>
            </w:r>
            <w:r w:rsidRPr="007C1A06">
              <w:rPr>
                <w:rFonts w:ascii="Times New Roman" w:hAnsi="Times New Roman"/>
              </w:rPr>
              <w:t>%);</w:t>
            </w:r>
          </w:p>
          <w:p w14:paraId="57739EEE" w14:textId="77777777" w:rsidR="00A276D4" w:rsidRPr="004E3CD5" w:rsidRDefault="00D875C0" w:rsidP="00A276D4">
            <w:pPr>
              <w:spacing w:after="0" w:line="240" w:lineRule="auto"/>
              <w:rPr>
                <w:rFonts w:ascii="Times New Roman" w:eastAsiaTheme="minorEastAsia" w:hAnsi="Times New Roman"/>
                <w:lang w:eastAsia="zh-TW"/>
              </w:rPr>
            </w:pPr>
            <w:r w:rsidRPr="007C1A06">
              <w:rPr>
                <w:rFonts w:ascii="Times New Roman" w:hAnsi="Times New Roman"/>
              </w:rPr>
              <w:t>Nagų pažeidimai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0,7</w:t>
            </w:r>
            <w:r w:rsidR="00A276D4" w:rsidRPr="007C1A06">
              <w:rPr>
                <w:rFonts w:ascii="Times New Roman" w:hAnsi="Times New Roman"/>
              </w:rPr>
              <w:t> </w:t>
            </w:r>
            <w:r w:rsidRPr="007C1A06">
              <w:rPr>
                <w:rFonts w:ascii="Times New Roman" w:hAnsi="Times New Roman"/>
              </w:rPr>
              <w:t>%);</w:t>
            </w:r>
          </w:p>
          <w:p w14:paraId="09A4F8D7" w14:textId="77777777" w:rsidR="00D875C0" w:rsidRPr="004E3CD5" w:rsidRDefault="00D875C0" w:rsidP="00A276D4">
            <w:pPr>
              <w:spacing w:after="0" w:line="240" w:lineRule="auto"/>
              <w:rPr>
                <w:rFonts w:ascii="Times New Roman" w:eastAsiaTheme="minorEastAsia" w:hAnsi="Times New Roman"/>
                <w:lang w:eastAsia="zh-TW"/>
              </w:rPr>
            </w:pPr>
            <w:r w:rsidRPr="007C1A06">
              <w:rPr>
                <w:rFonts w:ascii="Times New Roman" w:hAnsi="Times New Roman"/>
              </w:rPr>
              <w:t>Odos eksfoliacija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0</w:t>
            </w:r>
            <w:r w:rsidR="00A276D4" w:rsidRPr="007C1A06">
              <w:rPr>
                <w:rFonts w:ascii="Times New Roman" w:hAnsi="Times New Roman"/>
              </w:rPr>
              <w:t> </w:t>
            </w:r>
            <w:r w:rsidRPr="007C1A06">
              <w:rPr>
                <w:rFonts w:ascii="Times New Roman" w:hAnsi="Times New Roman"/>
              </w:rPr>
              <w:t>%)</w:t>
            </w:r>
          </w:p>
        </w:tc>
      </w:tr>
      <w:tr w:rsidR="00D875C0" w:rsidRPr="007C1A06" w14:paraId="770717BA" w14:textId="77777777" w:rsidTr="004E3CD5">
        <w:tc>
          <w:tcPr>
            <w:tcW w:w="3058" w:type="dxa"/>
          </w:tcPr>
          <w:p w14:paraId="0B1A9B20"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Bendrieji sutrikimai ir vartojimo vietos pažeidimai</w:t>
            </w:r>
          </w:p>
        </w:tc>
        <w:tc>
          <w:tcPr>
            <w:tcW w:w="3114" w:type="dxa"/>
          </w:tcPr>
          <w:p w14:paraId="16BDBE72"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Letargija (3</w:t>
            </w:r>
            <w:r w:rsidR="00A276D4" w:rsidRPr="001F2C46">
              <w:rPr>
                <w:rFonts w:ascii="Times New Roman" w:hAnsi="Times New Roman"/>
              </w:rPr>
              <w:noBreakHyphen/>
            </w:r>
            <w:r w:rsidRPr="001F2C46">
              <w:rPr>
                <w:rFonts w:ascii="Times New Roman" w:hAnsi="Times New Roman"/>
              </w:rPr>
              <w:t>4</w:t>
            </w:r>
            <w:r w:rsidR="00A276D4" w:rsidRPr="00427D92">
              <w:rPr>
                <w:rFonts w:ascii="Times New Roman" w:hAnsi="Times New Roman"/>
              </w:rPr>
              <w:t> </w:t>
            </w:r>
            <w:r w:rsidRPr="00427D92">
              <w:rPr>
                <w:rFonts w:ascii="Times New Roman" w:hAnsi="Times New Roman"/>
              </w:rPr>
              <w:t>laipsnio – 19,0</w:t>
            </w:r>
            <w:r w:rsidR="00A276D4" w:rsidRPr="00C722B4">
              <w:rPr>
                <w:rFonts w:ascii="Times New Roman" w:hAnsi="Times New Roman"/>
              </w:rPr>
              <w:t> </w:t>
            </w:r>
            <w:r w:rsidRPr="007C1A06">
              <w:rPr>
                <w:rFonts w:ascii="Times New Roman" w:hAnsi="Times New Roman"/>
              </w:rPr>
              <w:t>%);</w:t>
            </w:r>
          </w:p>
          <w:p w14:paraId="083FC826" w14:textId="77777777" w:rsidR="00D875C0" w:rsidRPr="001F2C46" w:rsidRDefault="00D875C0" w:rsidP="00A276D4">
            <w:pPr>
              <w:autoSpaceDE w:val="0"/>
              <w:autoSpaceDN w:val="0"/>
              <w:adjustRightInd w:val="0"/>
              <w:spacing w:after="0" w:line="240" w:lineRule="auto"/>
              <w:rPr>
                <w:rFonts w:ascii="Times New Roman" w:hAnsi="Times New Roman"/>
              </w:rPr>
            </w:pPr>
            <w:r w:rsidRPr="007C1A06">
              <w:rPr>
                <w:rFonts w:ascii="Times New Roman" w:hAnsi="Times New Roman"/>
              </w:rPr>
              <w:t>Karščiavimas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2,3</w:t>
            </w:r>
            <w:r w:rsidR="00A276D4" w:rsidRPr="007C1A06">
              <w:rPr>
                <w:rFonts w:ascii="Times New Roman" w:hAnsi="Times New Roman"/>
              </w:rPr>
              <w:t> </w:t>
            </w:r>
            <w:r w:rsidRPr="007C1A06">
              <w:rPr>
                <w:rFonts w:ascii="Times New Roman" w:hAnsi="Times New Roman"/>
              </w:rPr>
              <w:t>%);</w:t>
            </w:r>
            <w:r w:rsidRPr="007C1A06">
              <w:rPr>
                <w:rFonts w:ascii="Times New Roman" w:eastAsia="Times New Roman" w:hAnsi="Times New Roman" w:cs="Times New Roman"/>
              </w:rPr>
              <w:t xml:space="preserve"> </w:t>
            </w:r>
            <w:r w:rsidRPr="00F95B76">
              <w:rPr>
                <w:rFonts w:ascii="Times New Roman" w:hAnsi="Times New Roman"/>
              </w:rPr>
              <w:t>Skysčių susilaikymas (sunkus arba pavojingas gyvybei - 1</w:t>
            </w:r>
            <w:r w:rsidR="00A276D4" w:rsidRPr="00F95B76">
              <w:rPr>
                <w:rFonts w:ascii="Times New Roman" w:hAnsi="Times New Roman"/>
              </w:rPr>
              <w:t> </w:t>
            </w:r>
            <w:r w:rsidRPr="001F2C46">
              <w:rPr>
                <w:rFonts w:ascii="Times New Roman" w:hAnsi="Times New Roman"/>
              </w:rPr>
              <w:t>%)</w:t>
            </w:r>
          </w:p>
        </w:tc>
        <w:tc>
          <w:tcPr>
            <w:tcW w:w="3114" w:type="dxa"/>
          </w:tcPr>
          <w:p w14:paraId="11EE1E24" w14:textId="77777777" w:rsidR="00D875C0" w:rsidRPr="00427D92" w:rsidRDefault="00D875C0" w:rsidP="003876F8">
            <w:pPr>
              <w:autoSpaceDE w:val="0"/>
              <w:autoSpaceDN w:val="0"/>
              <w:adjustRightInd w:val="0"/>
              <w:spacing w:after="0" w:line="240" w:lineRule="auto"/>
              <w:rPr>
                <w:rFonts w:ascii="Times New Roman" w:hAnsi="Times New Roman"/>
              </w:rPr>
            </w:pPr>
          </w:p>
        </w:tc>
      </w:tr>
    </w:tbl>
    <w:p w14:paraId="662633CD" w14:textId="77777777" w:rsidR="00D875C0" w:rsidRPr="00F95B76" w:rsidRDefault="00D875C0" w:rsidP="00D875C0">
      <w:pPr>
        <w:spacing w:after="0" w:line="240" w:lineRule="auto"/>
        <w:rPr>
          <w:rFonts w:ascii="Times New Roman" w:hAnsi="Times New Roman"/>
        </w:rPr>
      </w:pPr>
    </w:p>
    <w:p w14:paraId="629E3BC7"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4E3CD5">
        <w:rPr>
          <w:rFonts w:ascii="Times New Roman" w:hAnsi="Times New Roman"/>
          <w:u w:val="single"/>
        </w:rPr>
        <w:t>Pasirinkt</w:t>
      </w:r>
      <w:r w:rsidRPr="004E3CD5">
        <w:rPr>
          <w:rFonts w:ascii="Times New Roman" w:hAnsi="Times New Roman" w:hint="eastAsia"/>
          <w:u w:val="single"/>
        </w:rPr>
        <w:t>ų</w:t>
      </w:r>
      <w:r w:rsidRPr="004E3CD5">
        <w:rPr>
          <w:rFonts w:ascii="Times New Roman" w:hAnsi="Times New Roman"/>
          <w:u w:val="single"/>
        </w:rPr>
        <w:t xml:space="preserve"> nepageidaujam</w:t>
      </w:r>
      <w:r w:rsidRPr="004E3CD5">
        <w:rPr>
          <w:rFonts w:ascii="Times New Roman" w:hAnsi="Times New Roman" w:hint="eastAsia"/>
          <w:u w:val="single"/>
        </w:rPr>
        <w:t>ų</w:t>
      </w:r>
      <w:r w:rsidRPr="004E3CD5">
        <w:rPr>
          <w:rFonts w:ascii="Times New Roman" w:hAnsi="Times New Roman"/>
          <w:u w:val="single"/>
        </w:rPr>
        <w:t xml:space="preserve"> reakcij</w:t>
      </w:r>
      <w:r w:rsidRPr="004E3CD5">
        <w:rPr>
          <w:rFonts w:ascii="Times New Roman" w:hAnsi="Times New Roman" w:hint="eastAsia"/>
          <w:u w:val="single"/>
        </w:rPr>
        <w:t>ų</w:t>
      </w:r>
      <w:r w:rsidRPr="004E3CD5">
        <w:rPr>
          <w:rFonts w:ascii="Times New Roman" w:hAnsi="Times New Roman"/>
          <w:u w:val="single"/>
        </w:rPr>
        <w:t>, atsiradusi</w:t>
      </w:r>
      <w:r w:rsidRPr="004E3CD5">
        <w:rPr>
          <w:rFonts w:ascii="Times New Roman" w:hAnsi="Times New Roman" w:hint="eastAsia"/>
          <w:u w:val="single"/>
        </w:rPr>
        <w:t>ų</w:t>
      </w:r>
      <w:r w:rsidRPr="004E3CD5">
        <w:rPr>
          <w:rFonts w:ascii="Times New Roman" w:hAnsi="Times New Roman"/>
          <w:u w:val="single"/>
        </w:rPr>
        <w:t xml:space="preserve"> </w:t>
      </w:r>
      <w:r w:rsidRPr="00F95B76">
        <w:rPr>
          <w:rFonts w:ascii="Times New Roman" w:hAnsi="Times New Roman"/>
          <w:u w:val="single"/>
        </w:rPr>
        <w:t>vartojant Docetaxel Ebewe 75</w:t>
      </w:r>
      <w:r w:rsidR="00A276D4" w:rsidRPr="001F2C46">
        <w:rPr>
          <w:rFonts w:ascii="Times New Roman" w:hAnsi="Times New Roman"/>
          <w:u w:val="single"/>
        </w:rPr>
        <w:t> </w:t>
      </w:r>
      <w:r w:rsidRPr="001F2C46">
        <w:rPr>
          <w:rFonts w:ascii="Times New Roman" w:hAnsi="Times New Roman"/>
          <w:u w:val="single"/>
        </w:rPr>
        <w:t>mg/m² su cisplatina ir 5-</w:t>
      </w:r>
      <w:r w:rsidRPr="004E3CD5">
        <w:rPr>
          <w:rFonts w:ascii="Times New Roman" w:hAnsi="Times New Roman"/>
          <w:u w:val="single"/>
        </w:rPr>
        <w:t>fluorouracilu doz</w:t>
      </w:r>
      <w:r w:rsidRPr="004E3CD5">
        <w:rPr>
          <w:rFonts w:ascii="Times New Roman" w:hAnsi="Times New Roman" w:hint="eastAsia"/>
          <w:u w:val="single"/>
        </w:rPr>
        <w:t>ę</w:t>
      </w:r>
      <w:r w:rsidRPr="004E3CD5">
        <w:rPr>
          <w:rFonts w:ascii="Times New Roman" w:hAnsi="Times New Roman"/>
          <w:u w:val="single"/>
        </w:rPr>
        <w:t xml:space="preserve"> skrandžio adenokarcinomai gydyti, aprašymas</w:t>
      </w:r>
    </w:p>
    <w:p w14:paraId="6B68283E" w14:textId="77777777" w:rsidR="00D875C0" w:rsidRPr="00F95B76" w:rsidRDefault="00D875C0" w:rsidP="00D875C0">
      <w:pPr>
        <w:autoSpaceDE w:val="0"/>
        <w:autoSpaceDN w:val="0"/>
        <w:adjustRightInd w:val="0"/>
        <w:spacing w:after="0" w:line="240" w:lineRule="auto"/>
        <w:rPr>
          <w:rFonts w:ascii="Times New Roman" w:hAnsi="Times New Roman"/>
          <w:i/>
          <w:u w:val="single"/>
        </w:rPr>
      </w:pPr>
    </w:p>
    <w:p w14:paraId="15DCC265" w14:textId="77777777" w:rsidR="00D875C0" w:rsidRPr="001F2C46" w:rsidRDefault="00D875C0" w:rsidP="00D875C0">
      <w:pPr>
        <w:autoSpaceDE w:val="0"/>
        <w:autoSpaceDN w:val="0"/>
        <w:adjustRightInd w:val="0"/>
        <w:spacing w:after="0" w:line="240" w:lineRule="auto"/>
        <w:rPr>
          <w:rFonts w:ascii="Times New Roman" w:hAnsi="Times New Roman"/>
          <w:i/>
          <w:u w:val="single"/>
        </w:rPr>
      </w:pPr>
      <w:r w:rsidRPr="001F2C46">
        <w:rPr>
          <w:rFonts w:ascii="Times New Roman" w:hAnsi="Times New Roman"/>
          <w:i/>
          <w:u w:val="single"/>
        </w:rPr>
        <w:t>Kraujo ir limfinės sistemos sutrikimai</w:t>
      </w:r>
    </w:p>
    <w:p w14:paraId="511A5782" w14:textId="77777777" w:rsidR="00D875C0" w:rsidRPr="007C1A06" w:rsidRDefault="00D875C0" w:rsidP="00D875C0">
      <w:pPr>
        <w:autoSpaceDE w:val="0"/>
        <w:autoSpaceDN w:val="0"/>
        <w:adjustRightInd w:val="0"/>
        <w:spacing w:after="0" w:line="240" w:lineRule="auto"/>
        <w:rPr>
          <w:rFonts w:ascii="Times New Roman" w:hAnsi="Times New Roman"/>
        </w:rPr>
      </w:pPr>
      <w:r w:rsidRPr="00427D92">
        <w:rPr>
          <w:rFonts w:ascii="Times New Roman" w:hAnsi="Times New Roman"/>
        </w:rPr>
        <w:t>Febrilinė neutropenija pasireiškė 17,2</w:t>
      </w:r>
      <w:r w:rsidR="00A276D4" w:rsidRPr="00427D92">
        <w:rPr>
          <w:rFonts w:ascii="Times New Roman" w:hAnsi="Times New Roman"/>
        </w:rPr>
        <w:t> </w:t>
      </w:r>
      <w:r w:rsidRPr="00C722B4">
        <w:rPr>
          <w:rFonts w:ascii="Times New Roman" w:hAnsi="Times New Roman"/>
        </w:rPr>
        <w:t>%,</w:t>
      </w:r>
      <w:r w:rsidRPr="007C1A06">
        <w:rPr>
          <w:rFonts w:ascii="Times New Roman" w:hAnsi="Times New Roman"/>
        </w:rPr>
        <w:t xml:space="preserve"> o su neutropenija susijusi infekcija – 13,5</w:t>
      </w:r>
      <w:r w:rsidR="00A276D4" w:rsidRPr="007C1A06">
        <w:rPr>
          <w:rFonts w:ascii="Times New Roman" w:hAnsi="Times New Roman"/>
        </w:rPr>
        <w:t> </w:t>
      </w:r>
      <w:r w:rsidRPr="007C1A06">
        <w:rPr>
          <w:rFonts w:ascii="Times New Roman" w:hAnsi="Times New Roman"/>
        </w:rPr>
        <w:t>% pacientų (neatsižvelgiant, buvo vartojama G-KSF ar ne). Antrinė profilaktika G-KSF taikyta 19,3</w:t>
      </w:r>
      <w:r w:rsidR="00A276D4" w:rsidRPr="007C1A06">
        <w:rPr>
          <w:rFonts w:ascii="Times New Roman" w:hAnsi="Times New Roman"/>
        </w:rPr>
        <w:t> </w:t>
      </w:r>
      <w:r w:rsidRPr="007C1A06">
        <w:rPr>
          <w:rFonts w:ascii="Times New Roman" w:hAnsi="Times New Roman"/>
        </w:rPr>
        <w:t>% pacientų (10,7</w:t>
      </w:r>
      <w:r w:rsidR="00A276D4" w:rsidRPr="007C1A06">
        <w:rPr>
          <w:rFonts w:ascii="Times New Roman" w:hAnsi="Times New Roman"/>
        </w:rPr>
        <w:t> </w:t>
      </w:r>
      <w:r w:rsidRPr="007C1A06">
        <w:rPr>
          <w:rFonts w:ascii="Times New Roman" w:hAnsi="Times New Roman"/>
        </w:rPr>
        <w:t>% ciklų). Febrilinė neutropenija ir su neutropenija susijusi infekcija pasireiškė atitinkamai 12,1</w:t>
      </w:r>
      <w:r w:rsidR="00A276D4" w:rsidRPr="007C1A06">
        <w:rPr>
          <w:rFonts w:ascii="Times New Roman" w:hAnsi="Times New Roman"/>
        </w:rPr>
        <w:t> </w:t>
      </w:r>
      <w:r w:rsidRPr="007C1A06">
        <w:rPr>
          <w:rFonts w:ascii="Times New Roman" w:hAnsi="Times New Roman"/>
        </w:rPr>
        <w:t>% ir 3,4</w:t>
      </w:r>
      <w:r w:rsidR="00A276D4" w:rsidRPr="007C1A06">
        <w:rPr>
          <w:rFonts w:ascii="Times New Roman" w:hAnsi="Times New Roman"/>
        </w:rPr>
        <w:t> </w:t>
      </w:r>
      <w:r w:rsidRPr="007C1A06">
        <w:rPr>
          <w:rFonts w:ascii="Times New Roman" w:hAnsi="Times New Roman"/>
        </w:rPr>
        <w:t>% pacientų, profilaktikai vartojusių G-KSF, ir 15,6</w:t>
      </w:r>
      <w:r w:rsidR="00A276D4" w:rsidRPr="007C1A06">
        <w:rPr>
          <w:rFonts w:ascii="Times New Roman" w:hAnsi="Times New Roman"/>
        </w:rPr>
        <w:t> </w:t>
      </w:r>
      <w:r w:rsidRPr="007C1A06">
        <w:rPr>
          <w:rFonts w:ascii="Times New Roman" w:hAnsi="Times New Roman"/>
        </w:rPr>
        <w:t>% bei 12,9</w:t>
      </w:r>
      <w:r w:rsidR="00A276D4" w:rsidRPr="007C1A06">
        <w:rPr>
          <w:rFonts w:ascii="Times New Roman" w:hAnsi="Times New Roman"/>
        </w:rPr>
        <w:t> </w:t>
      </w:r>
      <w:r w:rsidRPr="007C1A06">
        <w:rPr>
          <w:rFonts w:ascii="Times New Roman" w:hAnsi="Times New Roman"/>
        </w:rPr>
        <w:t xml:space="preserve">% </w:t>
      </w:r>
      <w:r w:rsidR="00AF7FB2">
        <w:rPr>
          <w:rFonts w:ascii="Times New Roman" w:hAnsi="Times New Roman"/>
        </w:rPr>
        <w:t>pacientų</w:t>
      </w:r>
      <w:r w:rsidRPr="007C1A06">
        <w:rPr>
          <w:rFonts w:ascii="Times New Roman" w:hAnsi="Times New Roman"/>
        </w:rPr>
        <w:t>, kuriems nebuvo taikytas profilaktinis gydymas G-KSF (žr. 4.2 skyrių).</w:t>
      </w:r>
    </w:p>
    <w:p w14:paraId="7A9C069E" w14:textId="77777777" w:rsidR="00D875C0" w:rsidRPr="007C1A06" w:rsidRDefault="00D875C0" w:rsidP="00D875C0">
      <w:pPr>
        <w:spacing w:after="0" w:line="240" w:lineRule="auto"/>
        <w:rPr>
          <w:rFonts w:ascii="Times New Roman" w:hAnsi="Times New Roman"/>
        </w:rPr>
      </w:pPr>
    </w:p>
    <w:p w14:paraId="4EB6C6EC"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4E3CD5">
        <w:rPr>
          <w:rFonts w:ascii="Times New Roman" w:hAnsi="Times New Roman"/>
          <w:u w:val="single"/>
        </w:rPr>
        <w:t>Nepageidaujam</w:t>
      </w:r>
      <w:r w:rsidRPr="004E3CD5">
        <w:rPr>
          <w:rFonts w:ascii="Times New Roman" w:hAnsi="Times New Roman" w:hint="eastAsia"/>
          <w:u w:val="single"/>
        </w:rPr>
        <w:t>ų</w:t>
      </w:r>
      <w:r w:rsidRPr="004E3CD5">
        <w:rPr>
          <w:rFonts w:ascii="Times New Roman" w:hAnsi="Times New Roman"/>
          <w:u w:val="single"/>
        </w:rPr>
        <w:t xml:space="preserve"> reakcij</w:t>
      </w:r>
      <w:r w:rsidRPr="004E3CD5">
        <w:rPr>
          <w:rFonts w:ascii="Times New Roman" w:hAnsi="Times New Roman" w:hint="eastAsia"/>
          <w:u w:val="single"/>
        </w:rPr>
        <w:t>ų</w:t>
      </w:r>
      <w:r w:rsidRPr="004E3CD5">
        <w:rPr>
          <w:rFonts w:ascii="Times New Roman" w:hAnsi="Times New Roman"/>
          <w:u w:val="single"/>
        </w:rPr>
        <w:t>, atsiradusi</w:t>
      </w:r>
      <w:r w:rsidRPr="004E3CD5">
        <w:rPr>
          <w:rFonts w:ascii="Times New Roman" w:hAnsi="Times New Roman" w:hint="eastAsia"/>
          <w:u w:val="single"/>
        </w:rPr>
        <w:t>ų</w:t>
      </w:r>
      <w:r w:rsidRPr="004E3CD5">
        <w:rPr>
          <w:rFonts w:ascii="Times New Roman" w:hAnsi="Times New Roman"/>
          <w:u w:val="single"/>
        </w:rPr>
        <w:t xml:space="preserve"> </w:t>
      </w:r>
      <w:r w:rsidRPr="00F95B76">
        <w:rPr>
          <w:rFonts w:ascii="Times New Roman" w:hAnsi="Times New Roman"/>
          <w:u w:val="single"/>
        </w:rPr>
        <w:t>vartojant Docetaxel Ebewe 75</w:t>
      </w:r>
      <w:r w:rsidR="00A276D4" w:rsidRPr="00F95B76">
        <w:rPr>
          <w:rFonts w:ascii="Times New Roman" w:hAnsi="Times New Roman"/>
          <w:u w:val="single"/>
        </w:rPr>
        <w:t> </w:t>
      </w:r>
      <w:r w:rsidRPr="001F2C46">
        <w:rPr>
          <w:rFonts w:ascii="Times New Roman" w:hAnsi="Times New Roman"/>
          <w:u w:val="single"/>
        </w:rPr>
        <w:t xml:space="preserve">mg/m² su cisplatina ir 5-fluorouracilu </w:t>
      </w:r>
      <w:r w:rsidRPr="004E3CD5">
        <w:rPr>
          <w:rFonts w:ascii="Times New Roman" w:hAnsi="Times New Roman"/>
          <w:u w:val="single"/>
        </w:rPr>
        <w:t>doz</w:t>
      </w:r>
      <w:r w:rsidRPr="004E3CD5">
        <w:rPr>
          <w:rFonts w:ascii="Times New Roman" w:hAnsi="Times New Roman" w:hint="eastAsia"/>
          <w:u w:val="single"/>
        </w:rPr>
        <w:t>ę</w:t>
      </w:r>
      <w:r w:rsidRPr="004E3CD5">
        <w:rPr>
          <w:rFonts w:ascii="Times New Roman" w:hAnsi="Times New Roman"/>
          <w:u w:val="single"/>
        </w:rPr>
        <w:t xml:space="preserve"> galvos ir kaklo v</w:t>
      </w:r>
      <w:r w:rsidRPr="004E3CD5">
        <w:rPr>
          <w:rFonts w:ascii="Times New Roman" w:hAnsi="Times New Roman" w:hint="eastAsia"/>
          <w:u w:val="single"/>
        </w:rPr>
        <w:t>ėž</w:t>
      </w:r>
      <w:r w:rsidRPr="004E3CD5">
        <w:rPr>
          <w:rFonts w:ascii="Times New Roman" w:hAnsi="Times New Roman"/>
          <w:u w:val="single"/>
        </w:rPr>
        <w:t>iui gydyti, s</w:t>
      </w:r>
      <w:r w:rsidRPr="004E3CD5">
        <w:rPr>
          <w:rFonts w:ascii="Times New Roman" w:hAnsi="Times New Roman" w:hint="eastAsia"/>
          <w:u w:val="single"/>
        </w:rPr>
        <w:t>ą</w:t>
      </w:r>
      <w:r w:rsidRPr="004E3CD5">
        <w:rPr>
          <w:rFonts w:ascii="Times New Roman" w:hAnsi="Times New Roman"/>
          <w:u w:val="single"/>
        </w:rPr>
        <w:t>rašas lentel</w:t>
      </w:r>
      <w:r w:rsidRPr="004E3CD5">
        <w:rPr>
          <w:rFonts w:ascii="Times New Roman" w:hAnsi="Times New Roman" w:hint="eastAsia"/>
          <w:u w:val="single"/>
        </w:rPr>
        <w:t>ė</w:t>
      </w:r>
      <w:r w:rsidRPr="004E3CD5">
        <w:rPr>
          <w:rFonts w:ascii="Times New Roman" w:hAnsi="Times New Roman"/>
          <w:u w:val="single"/>
        </w:rPr>
        <w:t>s forma</w:t>
      </w:r>
    </w:p>
    <w:p w14:paraId="54FA1863" w14:textId="77777777" w:rsidR="00D875C0" w:rsidRPr="00F95B76" w:rsidRDefault="00D875C0" w:rsidP="00D875C0">
      <w:pPr>
        <w:autoSpaceDE w:val="0"/>
        <w:autoSpaceDN w:val="0"/>
        <w:adjustRightInd w:val="0"/>
        <w:spacing w:after="0" w:line="240" w:lineRule="auto"/>
        <w:rPr>
          <w:rFonts w:ascii="Times New Roman" w:hAnsi="Times New Roman"/>
        </w:rPr>
      </w:pPr>
    </w:p>
    <w:p w14:paraId="198660D7" w14:textId="77777777" w:rsidR="00D875C0" w:rsidRPr="001F2C46" w:rsidRDefault="00D875C0" w:rsidP="004E3CD5">
      <w:pPr>
        <w:pStyle w:val="Sraopastraipa"/>
        <w:numPr>
          <w:ilvl w:val="0"/>
          <w:numId w:val="22"/>
        </w:numPr>
        <w:autoSpaceDE w:val="0"/>
        <w:autoSpaceDN w:val="0"/>
        <w:adjustRightInd w:val="0"/>
        <w:spacing w:after="0" w:line="240" w:lineRule="auto"/>
        <w:rPr>
          <w:rFonts w:ascii="Times New Roman" w:hAnsi="Times New Roman"/>
        </w:rPr>
      </w:pPr>
      <w:r w:rsidRPr="00F95B76">
        <w:rPr>
          <w:rFonts w:ascii="Times New Roman" w:hAnsi="Times New Roman"/>
        </w:rPr>
        <w:t>Įvadinė chem</w:t>
      </w:r>
      <w:r w:rsidRPr="001F2C46">
        <w:rPr>
          <w:rFonts w:ascii="Times New Roman" w:hAnsi="Times New Roman"/>
        </w:rPr>
        <w:t>oterapija, kai vėliau gydoma spinduliais (TAX 323)</w:t>
      </w:r>
    </w:p>
    <w:p w14:paraId="533DC789" w14:textId="77777777" w:rsidR="00D875C0" w:rsidRPr="00427D92" w:rsidRDefault="00D875C0" w:rsidP="00D875C0">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297"/>
        <w:gridCol w:w="2297"/>
        <w:gridCol w:w="2297"/>
      </w:tblGrid>
      <w:tr w:rsidR="00F957E7" w:rsidRPr="007C1A06" w14:paraId="3DC6BD00" w14:textId="77777777" w:rsidTr="00915C14">
        <w:tc>
          <w:tcPr>
            <w:tcW w:w="2252" w:type="dxa"/>
            <w:shd w:val="clear" w:color="auto" w:fill="D9D9D9" w:themeFill="background1" w:themeFillShade="D9"/>
          </w:tcPr>
          <w:p w14:paraId="041CABCA" w14:textId="77777777" w:rsidR="00D875C0" w:rsidRPr="007C1A06" w:rsidRDefault="00D875C0" w:rsidP="003876F8">
            <w:pPr>
              <w:spacing w:after="0" w:line="240" w:lineRule="auto"/>
              <w:rPr>
                <w:rFonts w:ascii="Times New Roman" w:hAnsi="Times New Roman"/>
              </w:rPr>
            </w:pPr>
            <w:r w:rsidRPr="00C722B4">
              <w:rPr>
                <w:rFonts w:ascii="Times New Roman" w:hAnsi="Times New Roman"/>
                <w:b/>
              </w:rPr>
              <w:t>MedDRA organų sistemų klasės</w:t>
            </w:r>
          </w:p>
        </w:tc>
        <w:tc>
          <w:tcPr>
            <w:tcW w:w="2344" w:type="dxa"/>
            <w:shd w:val="clear" w:color="auto" w:fill="D9D9D9" w:themeFill="background1" w:themeFillShade="D9"/>
          </w:tcPr>
          <w:p w14:paraId="5AF70FC4"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Labai dažnos nepageidaujamos reakcijos</w:t>
            </w:r>
          </w:p>
        </w:tc>
        <w:tc>
          <w:tcPr>
            <w:tcW w:w="2345" w:type="dxa"/>
            <w:shd w:val="clear" w:color="auto" w:fill="D9D9D9" w:themeFill="background1" w:themeFillShade="D9"/>
          </w:tcPr>
          <w:p w14:paraId="5324B28F"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 xml:space="preserve">Dažnos nepageidaujamos reakcijos </w:t>
            </w:r>
          </w:p>
        </w:tc>
        <w:tc>
          <w:tcPr>
            <w:tcW w:w="2345" w:type="dxa"/>
            <w:shd w:val="clear" w:color="auto" w:fill="D9D9D9" w:themeFill="background1" w:themeFillShade="D9"/>
          </w:tcPr>
          <w:p w14:paraId="41E3086B"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 xml:space="preserve">Nedažnos nepageidaujamos reakcijos </w:t>
            </w:r>
          </w:p>
        </w:tc>
      </w:tr>
      <w:tr w:rsidR="00D875C0" w:rsidRPr="007C1A06" w14:paraId="15A957C2" w14:textId="77777777" w:rsidTr="004E3CD5">
        <w:tc>
          <w:tcPr>
            <w:tcW w:w="2252" w:type="dxa"/>
          </w:tcPr>
          <w:p w14:paraId="0C4D7176"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Infekcijos ir infestacijos</w:t>
            </w:r>
          </w:p>
        </w:tc>
        <w:tc>
          <w:tcPr>
            <w:tcW w:w="2344" w:type="dxa"/>
          </w:tcPr>
          <w:p w14:paraId="120661C9"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Infekcija (3</w:t>
            </w:r>
            <w:r w:rsidR="00A276D4" w:rsidRPr="001F2C46">
              <w:rPr>
                <w:rFonts w:ascii="Times New Roman" w:hAnsi="Times New Roman"/>
              </w:rPr>
              <w:noBreakHyphen/>
            </w:r>
            <w:r w:rsidRPr="001F2C46">
              <w:rPr>
                <w:rFonts w:ascii="Times New Roman" w:hAnsi="Times New Roman"/>
              </w:rPr>
              <w:t>4</w:t>
            </w:r>
            <w:r w:rsidR="00A276D4" w:rsidRPr="00427D92">
              <w:rPr>
                <w:rFonts w:ascii="Times New Roman" w:hAnsi="Times New Roman"/>
              </w:rPr>
              <w:t> </w:t>
            </w:r>
            <w:r w:rsidRPr="00427D92">
              <w:rPr>
                <w:rFonts w:ascii="Times New Roman" w:hAnsi="Times New Roman"/>
              </w:rPr>
              <w:t>laipsnio – 6,3</w:t>
            </w:r>
            <w:r w:rsidR="00A276D4" w:rsidRPr="00C722B4">
              <w:rPr>
                <w:rFonts w:ascii="Times New Roman" w:hAnsi="Times New Roman"/>
              </w:rPr>
              <w:t> </w:t>
            </w:r>
            <w:r w:rsidRPr="007C1A06">
              <w:rPr>
                <w:rFonts w:ascii="Times New Roman" w:hAnsi="Times New Roman"/>
              </w:rPr>
              <w:t>%);</w:t>
            </w:r>
          </w:p>
          <w:p w14:paraId="19E20C0D"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Neutropeninė infekcija</w:t>
            </w:r>
          </w:p>
        </w:tc>
        <w:tc>
          <w:tcPr>
            <w:tcW w:w="2345" w:type="dxa"/>
          </w:tcPr>
          <w:p w14:paraId="0FF512C3" w14:textId="77777777" w:rsidR="00D875C0" w:rsidRPr="007C1A06" w:rsidRDefault="00D875C0" w:rsidP="003876F8">
            <w:pPr>
              <w:autoSpaceDE w:val="0"/>
              <w:autoSpaceDN w:val="0"/>
              <w:adjustRightInd w:val="0"/>
              <w:spacing w:after="0" w:line="240" w:lineRule="auto"/>
              <w:rPr>
                <w:rFonts w:ascii="Times New Roman" w:hAnsi="Times New Roman"/>
                <w:b/>
              </w:rPr>
            </w:pPr>
          </w:p>
        </w:tc>
        <w:tc>
          <w:tcPr>
            <w:tcW w:w="2345" w:type="dxa"/>
          </w:tcPr>
          <w:p w14:paraId="47DD739E"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55BF6099" w14:textId="77777777" w:rsidTr="004E3CD5">
        <w:tc>
          <w:tcPr>
            <w:tcW w:w="2252" w:type="dxa"/>
          </w:tcPr>
          <w:p w14:paraId="1C985B69"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Gerybiniai, piktybiniai ir nepatikslinti navikai (tarp jų cistos ir polipai)</w:t>
            </w:r>
          </w:p>
        </w:tc>
        <w:tc>
          <w:tcPr>
            <w:tcW w:w="2344" w:type="dxa"/>
          </w:tcPr>
          <w:p w14:paraId="1BF78BE3" w14:textId="77777777" w:rsidR="00D875C0" w:rsidRPr="001F2C46" w:rsidRDefault="00D875C0" w:rsidP="003876F8">
            <w:pPr>
              <w:autoSpaceDE w:val="0"/>
              <w:autoSpaceDN w:val="0"/>
              <w:adjustRightInd w:val="0"/>
              <w:spacing w:after="0" w:line="240" w:lineRule="auto"/>
              <w:rPr>
                <w:rFonts w:ascii="Times New Roman" w:hAnsi="Times New Roman"/>
                <w:b/>
              </w:rPr>
            </w:pPr>
          </w:p>
        </w:tc>
        <w:tc>
          <w:tcPr>
            <w:tcW w:w="2345" w:type="dxa"/>
          </w:tcPr>
          <w:p w14:paraId="02BE348C" w14:textId="77777777" w:rsidR="00D875C0" w:rsidRPr="007C1A06" w:rsidRDefault="00D875C0" w:rsidP="00A276D4">
            <w:pPr>
              <w:autoSpaceDE w:val="0"/>
              <w:autoSpaceDN w:val="0"/>
              <w:adjustRightInd w:val="0"/>
              <w:spacing w:after="0" w:line="240" w:lineRule="auto"/>
              <w:rPr>
                <w:rFonts w:ascii="Times New Roman" w:hAnsi="Times New Roman"/>
                <w:b/>
              </w:rPr>
            </w:pPr>
            <w:r w:rsidRPr="00427D92">
              <w:rPr>
                <w:rFonts w:ascii="Times New Roman" w:hAnsi="Times New Roman"/>
              </w:rPr>
              <w:t>Vėžio sukeltas skausmas (3</w:t>
            </w:r>
            <w:r w:rsidR="00A276D4" w:rsidRPr="00427D92">
              <w:rPr>
                <w:rFonts w:ascii="Times New Roman" w:hAnsi="Times New Roman"/>
              </w:rPr>
              <w:noBreakHyphen/>
            </w:r>
            <w:r w:rsidRPr="00C722B4">
              <w:rPr>
                <w:rFonts w:ascii="Times New Roman" w:hAnsi="Times New Roman"/>
              </w:rPr>
              <w:t>4</w:t>
            </w:r>
            <w:r w:rsidR="00A276D4" w:rsidRPr="007C1A06">
              <w:rPr>
                <w:rFonts w:ascii="Times New Roman" w:hAnsi="Times New Roman"/>
              </w:rPr>
              <w:t> </w:t>
            </w:r>
            <w:r w:rsidRPr="007C1A06">
              <w:rPr>
                <w:rFonts w:ascii="Times New Roman" w:hAnsi="Times New Roman"/>
              </w:rPr>
              <w:t>laipsnio – 0,6</w:t>
            </w:r>
            <w:r w:rsidR="00A276D4" w:rsidRPr="007C1A06">
              <w:rPr>
                <w:rFonts w:ascii="Times New Roman" w:hAnsi="Times New Roman"/>
              </w:rPr>
              <w:t> </w:t>
            </w:r>
            <w:r w:rsidRPr="007C1A06">
              <w:rPr>
                <w:rFonts w:ascii="Times New Roman" w:hAnsi="Times New Roman"/>
              </w:rPr>
              <w:t>%)</w:t>
            </w:r>
          </w:p>
        </w:tc>
        <w:tc>
          <w:tcPr>
            <w:tcW w:w="2345" w:type="dxa"/>
          </w:tcPr>
          <w:p w14:paraId="55F2915C"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4E22208E" w14:textId="77777777" w:rsidTr="004E3CD5">
        <w:tc>
          <w:tcPr>
            <w:tcW w:w="2252" w:type="dxa"/>
          </w:tcPr>
          <w:p w14:paraId="29E9A6D3"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Kraujo ir limfinės sistemos sutrikimai</w:t>
            </w:r>
          </w:p>
        </w:tc>
        <w:tc>
          <w:tcPr>
            <w:tcW w:w="2344" w:type="dxa"/>
          </w:tcPr>
          <w:p w14:paraId="03B1ACF2"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Neutropenija (3</w:t>
            </w:r>
            <w:r w:rsidR="00A276D4" w:rsidRPr="00427D92">
              <w:rPr>
                <w:rFonts w:ascii="Times New Roman" w:hAnsi="Times New Roman"/>
              </w:rPr>
              <w:noBreakHyphen/>
            </w:r>
            <w:r w:rsidRPr="00427D92">
              <w:rPr>
                <w:rFonts w:ascii="Times New Roman" w:hAnsi="Times New Roman"/>
              </w:rPr>
              <w:t>4</w:t>
            </w:r>
            <w:r w:rsidR="00A276D4" w:rsidRPr="00C722B4">
              <w:rPr>
                <w:rFonts w:ascii="Times New Roman" w:hAnsi="Times New Roman"/>
              </w:rPr>
              <w:t> </w:t>
            </w:r>
            <w:r w:rsidRPr="007C1A06">
              <w:rPr>
                <w:rFonts w:ascii="Times New Roman" w:hAnsi="Times New Roman"/>
              </w:rPr>
              <w:t>laipsnio – 76,3</w:t>
            </w:r>
            <w:r w:rsidR="00A276D4" w:rsidRPr="007C1A06">
              <w:rPr>
                <w:rFonts w:ascii="Times New Roman" w:hAnsi="Times New Roman"/>
              </w:rPr>
              <w:t> </w:t>
            </w:r>
            <w:r w:rsidRPr="007C1A06">
              <w:rPr>
                <w:rFonts w:ascii="Times New Roman" w:hAnsi="Times New Roman"/>
              </w:rPr>
              <w:t>%);</w:t>
            </w:r>
          </w:p>
          <w:p w14:paraId="52446D8B"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Anemija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9,2</w:t>
            </w:r>
            <w:r w:rsidR="00A276D4" w:rsidRPr="007C1A06">
              <w:rPr>
                <w:rFonts w:ascii="Times New Roman" w:hAnsi="Times New Roman"/>
              </w:rPr>
              <w:t> </w:t>
            </w:r>
            <w:r w:rsidRPr="007C1A06">
              <w:rPr>
                <w:rFonts w:ascii="Times New Roman" w:hAnsi="Times New Roman"/>
              </w:rPr>
              <w:t>%);</w:t>
            </w:r>
          </w:p>
          <w:p w14:paraId="262B5F17" w14:textId="77777777" w:rsidR="00D875C0" w:rsidRPr="004E3CD5" w:rsidRDefault="00D875C0" w:rsidP="00A276D4">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Trombocitopenija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5,2</w:t>
            </w:r>
            <w:r w:rsidR="00A276D4" w:rsidRPr="007C1A06">
              <w:rPr>
                <w:rFonts w:ascii="Times New Roman" w:hAnsi="Times New Roman"/>
              </w:rPr>
              <w:t> </w:t>
            </w:r>
            <w:r w:rsidRPr="007C1A06">
              <w:rPr>
                <w:rFonts w:ascii="Times New Roman" w:hAnsi="Times New Roman"/>
              </w:rPr>
              <w:t>%)</w:t>
            </w:r>
          </w:p>
        </w:tc>
        <w:tc>
          <w:tcPr>
            <w:tcW w:w="2345" w:type="dxa"/>
          </w:tcPr>
          <w:p w14:paraId="68EBB6EA"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Febrilinė neutropenija</w:t>
            </w:r>
          </w:p>
        </w:tc>
        <w:tc>
          <w:tcPr>
            <w:tcW w:w="2345" w:type="dxa"/>
          </w:tcPr>
          <w:p w14:paraId="35D52CBD"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55677F2A" w14:textId="77777777" w:rsidTr="004E3CD5">
        <w:tc>
          <w:tcPr>
            <w:tcW w:w="2252" w:type="dxa"/>
          </w:tcPr>
          <w:p w14:paraId="0E47D5E2"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Imuninės sistemos sutrikimai</w:t>
            </w:r>
          </w:p>
        </w:tc>
        <w:tc>
          <w:tcPr>
            <w:tcW w:w="2344" w:type="dxa"/>
          </w:tcPr>
          <w:p w14:paraId="74E500F6" w14:textId="77777777" w:rsidR="00D875C0" w:rsidRPr="001F2C46" w:rsidRDefault="00D875C0" w:rsidP="003876F8">
            <w:pPr>
              <w:autoSpaceDE w:val="0"/>
              <w:autoSpaceDN w:val="0"/>
              <w:adjustRightInd w:val="0"/>
              <w:spacing w:after="0" w:line="240" w:lineRule="auto"/>
              <w:rPr>
                <w:rFonts w:ascii="Times New Roman" w:hAnsi="Times New Roman"/>
                <w:b/>
              </w:rPr>
            </w:pPr>
          </w:p>
        </w:tc>
        <w:tc>
          <w:tcPr>
            <w:tcW w:w="2345" w:type="dxa"/>
          </w:tcPr>
          <w:p w14:paraId="1062D09C" w14:textId="77777777" w:rsidR="00D875C0" w:rsidRPr="00427D92" w:rsidRDefault="00D875C0" w:rsidP="003876F8">
            <w:pPr>
              <w:autoSpaceDE w:val="0"/>
              <w:autoSpaceDN w:val="0"/>
              <w:adjustRightInd w:val="0"/>
              <w:spacing w:after="0" w:line="240" w:lineRule="auto"/>
              <w:rPr>
                <w:rFonts w:ascii="Times New Roman" w:hAnsi="Times New Roman"/>
                <w:b/>
              </w:rPr>
            </w:pPr>
            <w:r w:rsidRPr="00427D92">
              <w:rPr>
                <w:rFonts w:ascii="Times New Roman" w:hAnsi="Times New Roman"/>
              </w:rPr>
              <w:t>Padidėjęs jautrumas (nesunkus)</w:t>
            </w:r>
          </w:p>
        </w:tc>
        <w:tc>
          <w:tcPr>
            <w:tcW w:w="2345" w:type="dxa"/>
          </w:tcPr>
          <w:p w14:paraId="39E9B23C" w14:textId="77777777" w:rsidR="00D875C0" w:rsidRPr="00C722B4" w:rsidRDefault="00D875C0" w:rsidP="003876F8">
            <w:pPr>
              <w:autoSpaceDE w:val="0"/>
              <w:autoSpaceDN w:val="0"/>
              <w:adjustRightInd w:val="0"/>
              <w:spacing w:after="0" w:line="240" w:lineRule="auto"/>
              <w:rPr>
                <w:rFonts w:ascii="Times New Roman" w:hAnsi="Times New Roman"/>
                <w:b/>
              </w:rPr>
            </w:pPr>
          </w:p>
        </w:tc>
      </w:tr>
      <w:tr w:rsidR="00D875C0" w:rsidRPr="007C1A06" w14:paraId="1C00ECF1" w14:textId="77777777" w:rsidTr="004E3CD5">
        <w:tc>
          <w:tcPr>
            <w:tcW w:w="2252" w:type="dxa"/>
          </w:tcPr>
          <w:p w14:paraId="7E864027"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Metabolizmo ir mitybos sutrikimai</w:t>
            </w:r>
          </w:p>
        </w:tc>
        <w:tc>
          <w:tcPr>
            <w:tcW w:w="2344" w:type="dxa"/>
          </w:tcPr>
          <w:p w14:paraId="7F580675" w14:textId="77777777" w:rsidR="00D875C0" w:rsidRPr="007C1A06" w:rsidRDefault="00D875C0" w:rsidP="00A276D4">
            <w:pPr>
              <w:autoSpaceDE w:val="0"/>
              <w:autoSpaceDN w:val="0"/>
              <w:adjustRightInd w:val="0"/>
              <w:spacing w:after="0" w:line="240" w:lineRule="auto"/>
              <w:rPr>
                <w:rFonts w:ascii="Times New Roman" w:hAnsi="Times New Roman"/>
                <w:b/>
              </w:rPr>
            </w:pPr>
            <w:r w:rsidRPr="001F2C46">
              <w:rPr>
                <w:rFonts w:ascii="Times New Roman" w:hAnsi="Times New Roman"/>
              </w:rPr>
              <w:t>Anoreksija (3</w:t>
            </w:r>
            <w:r w:rsidR="00A276D4" w:rsidRPr="00427D92">
              <w:rPr>
                <w:rFonts w:ascii="Times New Roman" w:hAnsi="Times New Roman"/>
              </w:rPr>
              <w:noBreakHyphen/>
            </w:r>
            <w:r w:rsidRPr="00427D92">
              <w:rPr>
                <w:rFonts w:ascii="Times New Roman" w:hAnsi="Times New Roman"/>
              </w:rPr>
              <w:t>4</w:t>
            </w:r>
            <w:r w:rsidR="00A276D4" w:rsidRPr="00C722B4">
              <w:rPr>
                <w:rFonts w:ascii="Times New Roman" w:hAnsi="Times New Roman"/>
              </w:rPr>
              <w:t> </w:t>
            </w:r>
            <w:r w:rsidRPr="007C1A06">
              <w:rPr>
                <w:rFonts w:ascii="Times New Roman" w:hAnsi="Times New Roman"/>
              </w:rPr>
              <w:t>laipsnio – 0,6</w:t>
            </w:r>
            <w:r w:rsidR="00A276D4" w:rsidRPr="007C1A06">
              <w:rPr>
                <w:rFonts w:ascii="Times New Roman" w:hAnsi="Times New Roman"/>
              </w:rPr>
              <w:t> </w:t>
            </w:r>
            <w:r w:rsidRPr="007C1A06">
              <w:rPr>
                <w:rFonts w:ascii="Times New Roman" w:hAnsi="Times New Roman"/>
              </w:rPr>
              <w:t>%)</w:t>
            </w:r>
          </w:p>
        </w:tc>
        <w:tc>
          <w:tcPr>
            <w:tcW w:w="2345" w:type="dxa"/>
          </w:tcPr>
          <w:p w14:paraId="6EFCC517" w14:textId="77777777" w:rsidR="00D875C0" w:rsidRPr="007C1A06" w:rsidRDefault="00D875C0" w:rsidP="003876F8">
            <w:pPr>
              <w:autoSpaceDE w:val="0"/>
              <w:autoSpaceDN w:val="0"/>
              <w:adjustRightInd w:val="0"/>
              <w:spacing w:after="0" w:line="240" w:lineRule="auto"/>
              <w:rPr>
                <w:rFonts w:ascii="Times New Roman" w:hAnsi="Times New Roman"/>
                <w:b/>
              </w:rPr>
            </w:pPr>
          </w:p>
        </w:tc>
        <w:tc>
          <w:tcPr>
            <w:tcW w:w="2345" w:type="dxa"/>
          </w:tcPr>
          <w:p w14:paraId="7221F6AB"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278CD751" w14:textId="77777777" w:rsidTr="004E3CD5">
        <w:tc>
          <w:tcPr>
            <w:tcW w:w="2252" w:type="dxa"/>
          </w:tcPr>
          <w:p w14:paraId="6A8EA5E7"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Nervų sistemos sutrikimai</w:t>
            </w:r>
          </w:p>
        </w:tc>
        <w:tc>
          <w:tcPr>
            <w:tcW w:w="2344" w:type="dxa"/>
          </w:tcPr>
          <w:p w14:paraId="7D7F6C46" w14:textId="77777777" w:rsidR="00665DE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 xml:space="preserve">Disgeuzija arba parosmija; </w:t>
            </w:r>
          </w:p>
          <w:p w14:paraId="1C69C613" w14:textId="77777777" w:rsidR="00D875C0" w:rsidRPr="007C1A06" w:rsidRDefault="00665DE0" w:rsidP="00A276D4">
            <w:pPr>
              <w:autoSpaceDE w:val="0"/>
              <w:autoSpaceDN w:val="0"/>
              <w:adjustRightInd w:val="0"/>
              <w:spacing w:after="0" w:line="240" w:lineRule="auto"/>
              <w:rPr>
                <w:rFonts w:ascii="Times New Roman" w:hAnsi="Times New Roman"/>
              </w:rPr>
            </w:pPr>
            <w:r w:rsidRPr="00427D92">
              <w:rPr>
                <w:rFonts w:ascii="Times New Roman" w:hAnsi="Times New Roman"/>
              </w:rPr>
              <w:t>P</w:t>
            </w:r>
            <w:r w:rsidR="00D875C0" w:rsidRPr="00427D92">
              <w:rPr>
                <w:rFonts w:ascii="Times New Roman" w:hAnsi="Times New Roman"/>
              </w:rPr>
              <w:t>eriferinė sensorinė neuropatija (3</w:t>
            </w:r>
            <w:r w:rsidR="00A276D4" w:rsidRPr="00C722B4">
              <w:rPr>
                <w:rFonts w:ascii="Times New Roman" w:hAnsi="Times New Roman"/>
              </w:rPr>
              <w:noBreakHyphen/>
            </w:r>
            <w:r w:rsidR="00D875C0" w:rsidRPr="007C1A06">
              <w:rPr>
                <w:rFonts w:ascii="Times New Roman" w:hAnsi="Times New Roman"/>
              </w:rPr>
              <w:t>4</w:t>
            </w:r>
            <w:r w:rsidR="00A276D4" w:rsidRPr="007C1A06">
              <w:rPr>
                <w:rFonts w:ascii="Times New Roman" w:hAnsi="Times New Roman"/>
              </w:rPr>
              <w:t> </w:t>
            </w:r>
            <w:r w:rsidR="00D875C0" w:rsidRPr="007C1A06">
              <w:rPr>
                <w:rFonts w:ascii="Times New Roman" w:hAnsi="Times New Roman"/>
              </w:rPr>
              <w:t>laipsnio – 0,6</w:t>
            </w:r>
            <w:r w:rsidR="00A276D4" w:rsidRPr="007C1A06">
              <w:rPr>
                <w:rFonts w:ascii="Times New Roman" w:hAnsi="Times New Roman"/>
              </w:rPr>
              <w:t> </w:t>
            </w:r>
            <w:r w:rsidR="00D875C0" w:rsidRPr="007C1A06">
              <w:rPr>
                <w:rFonts w:ascii="Times New Roman" w:hAnsi="Times New Roman"/>
              </w:rPr>
              <w:t>%)</w:t>
            </w:r>
          </w:p>
        </w:tc>
        <w:tc>
          <w:tcPr>
            <w:tcW w:w="2345" w:type="dxa"/>
          </w:tcPr>
          <w:p w14:paraId="20E07822"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 xml:space="preserve">Svaigulys </w:t>
            </w:r>
          </w:p>
        </w:tc>
        <w:tc>
          <w:tcPr>
            <w:tcW w:w="2345" w:type="dxa"/>
          </w:tcPr>
          <w:p w14:paraId="5E6D70CA"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7252855C" w14:textId="77777777" w:rsidTr="004E3CD5">
        <w:tc>
          <w:tcPr>
            <w:tcW w:w="2252" w:type="dxa"/>
          </w:tcPr>
          <w:p w14:paraId="612D0169"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Akių sutrikimai</w:t>
            </w:r>
          </w:p>
        </w:tc>
        <w:tc>
          <w:tcPr>
            <w:tcW w:w="2344" w:type="dxa"/>
          </w:tcPr>
          <w:p w14:paraId="169C01D2"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2345" w:type="dxa"/>
          </w:tcPr>
          <w:p w14:paraId="79FEA59C"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Ašarojimo sustiprėjimas;</w:t>
            </w:r>
          </w:p>
          <w:p w14:paraId="39244716" w14:textId="77777777" w:rsidR="00D875C0" w:rsidRPr="007C1A06" w:rsidRDefault="00D875C0" w:rsidP="003876F8">
            <w:pPr>
              <w:autoSpaceDE w:val="0"/>
              <w:autoSpaceDN w:val="0"/>
              <w:adjustRightInd w:val="0"/>
              <w:spacing w:after="0" w:line="240" w:lineRule="auto"/>
              <w:rPr>
                <w:rFonts w:ascii="Times New Roman" w:hAnsi="Times New Roman"/>
                <w:b/>
              </w:rPr>
            </w:pPr>
            <w:r w:rsidRPr="00C722B4">
              <w:rPr>
                <w:rFonts w:ascii="Times New Roman" w:hAnsi="Times New Roman"/>
              </w:rPr>
              <w:t>Konjunktyvitas</w:t>
            </w:r>
          </w:p>
        </w:tc>
        <w:tc>
          <w:tcPr>
            <w:tcW w:w="2345" w:type="dxa"/>
          </w:tcPr>
          <w:p w14:paraId="3FC7E2BF"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54BED036" w14:textId="77777777" w:rsidTr="004E3CD5">
        <w:tc>
          <w:tcPr>
            <w:tcW w:w="2252" w:type="dxa"/>
          </w:tcPr>
          <w:p w14:paraId="62D321AA"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Ausų ir labirintų sutrikimai</w:t>
            </w:r>
          </w:p>
        </w:tc>
        <w:tc>
          <w:tcPr>
            <w:tcW w:w="2344" w:type="dxa"/>
          </w:tcPr>
          <w:p w14:paraId="58BF71B7"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2345" w:type="dxa"/>
          </w:tcPr>
          <w:p w14:paraId="437A5618"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Klausos susilpnėjimas</w:t>
            </w:r>
          </w:p>
        </w:tc>
        <w:tc>
          <w:tcPr>
            <w:tcW w:w="2345" w:type="dxa"/>
          </w:tcPr>
          <w:p w14:paraId="47459DAD" w14:textId="77777777" w:rsidR="00D875C0" w:rsidRPr="00C722B4" w:rsidRDefault="00D875C0" w:rsidP="003876F8">
            <w:pPr>
              <w:autoSpaceDE w:val="0"/>
              <w:autoSpaceDN w:val="0"/>
              <w:adjustRightInd w:val="0"/>
              <w:spacing w:after="0" w:line="240" w:lineRule="auto"/>
              <w:rPr>
                <w:rFonts w:ascii="Times New Roman" w:hAnsi="Times New Roman"/>
                <w:b/>
              </w:rPr>
            </w:pPr>
          </w:p>
        </w:tc>
      </w:tr>
      <w:tr w:rsidR="00D875C0" w:rsidRPr="007C1A06" w14:paraId="46F34F4A" w14:textId="77777777" w:rsidTr="004E3CD5">
        <w:tc>
          <w:tcPr>
            <w:tcW w:w="2252" w:type="dxa"/>
          </w:tcPr>
          <w:p w14:paraId="374683B4"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Širdies sutrikimai</w:t>
            </w:r>
          </w:p>
        </w:tc>
        <w:tc>
          <w:tcPr>
            <w:tcW w:w="2344" w:type="dxa"/>
          </w:tcPr>
          <w:p w14:paraId="2737734C"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2345" w:type="dxa"/>
          </w:tcPr>
          <w:p w14:paraId="154EFB76" w14:textId="77777777" w:rsidR="00D875C0" w:rsidRPr="007C1A06" w:rsidRDefault="00D875C0" w:rsidP="00A276D4">
            <w:pPr>
              <w:autoSpaceDE w:val="0"/>
              <w:autoSpaceDN w:val="0"/>
              <w:adjustRightInd w:val="0"/>
              <w:spacing w:after="0" w:line="240" w:lineRule="auto"/>
              <w:rPr>
                <w:rFonts w:ascii="Times New Roman" w:hAnsi="Times New Roman"/>
              </w:rPr>
            </w:pPr>
            <w:r w:rsidRPr="00427D92">
              <w:rPr>
                <w:rFonts w:ascii="Times New Roman" w:hAnsi="Times New Roman"/>
              </w:rPr>
              <w:t>Miokardo išemija (3</w:t>
            </w:r>
            <w:r w:rsidR="00A276D4" w:rsidRPr="00C722B4">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1,7</w:t>
            </w:r>
            <w:r w:rsidR="00A276D4" w:rsidRPr="007C1A06">
              <w:rPr>
                <w:rFonts w:ascii="Times New Roman" w:hAnsi="Times New Roman"/>
              </w:rPr>
              <w:t> </w:t>
            </w:r>
            <w:r w:rsidRPr="007C1A06">
              <w:rPr>
                <w:rFonts w:ascii="Times New Roman" w:hAnsi="Times New Roman"/>
              </w:rPr>
              <w:t>%)</w:t>
            </w:r>
          </w:p>
        </w:tc>
        <w:tc>
          <w:tcPr>
            <w:tcW w:w="2345" w:type="dxa"/>
          </w:tcPr>
          <w:p w14:paraId="121190F9" w14:textId="77777777" w:rsidR="00D875C0" w:rsidRPr="004E3CD5" w:rsidRDefault="00D875C0" w:rsidP="00A276D4">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Aritmija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0,6</w:t>
            </w:r>
            <w:r w:rsidR="00A276D4" w:rsidRPr="007C1A06">
              <w:rPr>
                <w:rFonts w:ascii="Times New Roman" w:hAnsi="Times New Roman"/>
              </w:rPr>
              <w:t> </w:t>
            </w:r>
            <w:r w:rsidRPr="007C1A06">
              <w:rPr>
                <w:rFonts w:ascii="Times New Roman" w:hAnsi="Times New Roman"/>
              </w:rPr>
              <w:t>%)</w:t>
            </w:r>
          </w:p>
        </w:tc>
      </w:tr>
      <w:tr w:rsidR="00D875C0" w:rsidRPr="007C1A06" w14:paraId="5F3862F5" w14:textId="77777777" w:rsidTr="004E3CD5">
        <w:tc>
          <w:tcPr>
            <w:tcW w:w="2252" w:type="dxa"/>
          </w:tcPr>
          <w:p w14:paraId="7F359183"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Kraujagyslių sutrikimai</w:t>
            </w:r>
          </w:p>
        </w:tc>
        <w:tc>
          <w:tcPr>
            <w:tcW w:w="2344" w:type="dxa"/>
          </w:tcPr>
          <w:p w14:paraId="451C414E"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2345" w:type="dxa"/>
          </w:tcPr>
          <w:p w14:paraId="68022AC5" w14:textId="77777777" w:rsidR="00D875C0" w:rsidRPr="007C1A06" w:rsidRDefault="00D875C0" w:rsidP="00A276D4">
            <w:pPr>
              <w:autoSpaceDE w:val="0"/>
              <w:autoSpaceDN w:val="0"/>
              <w:adjustRightInd w:val="0"/>
              <w:spacing w:after="0" w:line="240" w:lineRule="auto"/>
              <w:rPr>
                <w:rFonts w:ascii="Times New Roman" w:hAnsi="Times New Roman"/>
              </w:rPr>
            </w:pPr>
            <w:r w:rsidRPr="00427D92">
              <w:rPr>
                <w:rFonts w:ascii="Times New Roman" w:hAnsi="Times New Roman"/>
              </w:rPr>
              <w:t>Venų sutrikimai (3</w:t>
            </w:r>
            <w:r w:rsidR="00A276D4" w:rsidRPr="00C722B4">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0,6</w:t>
            </w:r>
            <w:r w:rsidR="00A276D4" w:rsidRPr="007C1A06">
              <w:rPr>
                <w:rFonts w:ascii="Times New Roman" w:hAnsi="Times New Roman"/>
              </w:rPr>
              <w:t> </w:t>
            </w:r>
            <w:r w:rsidRPr="007C1A06">
              <w:rPr>
                <w:rFonts w:ascii="Times New Roman" w:hAnsi="Times New Roman"/>
              </w:rPr>
              <w:t>%)</w:t>
            </w:r>
          </w:p>
        </w:tc>
        <w:tc>
          <w:tcPr>
            <w:tcW w:w="2345" w:type="dxa"/>
          </w:tcPr>
          <w:p w14:paraId="362FB4D0"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57FFCC8A" w14:textId="77777777" w:rsidTr="004E3CD5">
        <w:tc>
          <w:tcPr>
            <w:tcW w:w="2252" w:type="dxa"/>
          </w:tcPr>
          <w:p w14:paraId="11393137"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Virškinimo trakto sutrikimai</w:t>
            </w:r>
          </w:p>
        </w:tc>
        <w:tc>
          <w:tcPr>
            <w:tcW w:w="2344" w:type="dxa"/>
          </w:tcPr>
          <w:p w14:paraId="5A21C726"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Pykinimas (3</w:t>
            </w:r>
            <w:r w:rsidR="00A276D4" w:rsidRPr="00427D92">
              <w:rPr>
                <w:rFonts w:ascii="Times New Roman" w:hAnsi="Times New Roman"/>
              </w:rPr>
              <w:noBreakHyphen/>
            </w:r>
            <w:r w:rsidRPr="00427D92">
              <w:rPr>
                <w:rFonts w:ascii="Times New Roman" w:hAnsi="Times New Roman"/>
              </w:rPr>
              <w:t>4</w:t>
            </w:r>
            <w:r w:rsidR="00A276D4" w:rsidRPr="00C722B4">
              <w:rPr>
                <w:rFonts w:ascii="Times New Roman" w:hAnsi="Times New Roman"/>
              </w:rPr>
              <w:t> </w:t>
            </w:r>
            <w:r w:rsidRPr="007C1A06">
              <w:rPr>
                <w:rFonts w:ascii="Times New Roman" w:hAnsi="Times New Roman"/>
              </w:rPr>
              <w:t>laipsnio – 0,6</w:t>
            </w:r>
            <w:r w:rsidR="00A276D4" w:rsidRPr="007C1A06">
              <w:rPr>
                <w:rFonts w:ascii="Times New Roman" w:hAnsi="Times New Roman"/>
              </w:rPr>
              <w:t> </w:t>
            </w:r>
            <w:r w:rsidRPr="007C1A06">
              <w:rPr>
                <w:rFonts w:ascii="Times New Roman" w:hAnsi="Times New Roman"/>
              </w:rPr>
              <w:t>%);</w:t>
            </w:r>
          </w:p>
          <w:p w14:paraId="5CE1D12C"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Stomatitas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4,0</w:t>
            </w:r>
            <w:r w:rsidR="00A276D4" w:rsidRPr="007C1A06">
              <w:rPr>
                <w:rFonts w:ascii="Times New Roman" w:hAnsi="Times New Roman"/>
              </w:rPr>
              <w:t> </w:t>
            </w:r>
            <w:r w:rsidRPr="007C1A06">
              <w:rPr>
                <w:rFonts w:ascii="Times New Roman" w:hAnsi="Times New Roman"/>
              </w:rPr>
              <w:t>%);</w:t>
            </w:r>
          </w:p>
          <w:p w14:paraId="5E22730D"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Viduriavimas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2,9</w:t>
            </w:r>
            <w:r w:rsidR="00A276D4" w:rsidRPr="007C1A06">
              <w:rPr>
                <w:rFonts w:ascii="Times New Roman" w:hAnsi="Times New Roman"/>
              </w:rPr>
              <w:t> </w:t>
            </w:r>
            <w:r w:rsidRPr="007C1A06">
              <w:rPr>
                <w:rFonts w:ascii="Times New Roman" w:hAnsi="Times New Roman"/>
              </w:rPr>
              <w:t>%);</w:t>
            </w:r>
          </w:p>
          <w:p w14:paraId="6AA4B367" w14:textId="77777777" w:rsidR="00D875C0" w:rsidRPr="004E3CD5" w:rsidRDefault="00D875C0" w:rsidP="00A276D4">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Vėmimas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0,6</w:t>
            </w:r>
            <w:r w:rsidR="00A276D4" w:rsidRPr="007C1A06">
              <w:rPr>
                <w:rFonts w:ascii="Times New Roman" w:hAnsi="Times New Roman"/>
              </w:rPr>
              <w:t> </w:t>
            </w:r>
            <w:r w:rsidRPr="007C1A06">
              <w:rPr>
                <w:rFonts w:ascii="Times New Roman" w:hAnsi="Times New Roman"/>
              </w:rPr>
              <w:t>%)</w:t>
            </w:r>
          </w:p>
        </w:tc>
        <w:tc>
          <w:tcPr>
            <w:tcW w:w="2345" w:type="dxa"/>
          </w:tcPr>
          <w:p w14:paraId="4B837605"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Vidurių užkietėjimas;</w:t>
            </w:r>
          </w:p>
          <w:p w14:paraId="0D538479" w14:textId="77777777" w:rsidR="00665DE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Ezofagitas arba disfagija arba odinofagija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0,6</w:t>
            </w:r>
            <w:r w:rsidR="00A276D4" w:rsidRPr="007C1A06">
              <w:rPr>
                <w:rFonts w:ascii="Times New Roman" w:hAnsi="Times New Roman"/>
              </w:rPr>
              <w:t> </w:t>
            </w:r>
            <w:r w:rsidRPr="007C1A06">
              <w:rPr>
                <w:rFonts w:ascii="Times New Roman" w:hAnsi="Times New Roman"/>
              </w:rPr>
              <w:t xml:space="preserve">%); </w:t>
            </w:r>
          </w:p>
          <w:p w14:paraId="580DC396" w14:textId="77777777" w:rsidR="00A276D4"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Pilvo skausmas;</w:t>
            </w:r>
          </w:p>
          <w:p w14:paraId="23154316"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Dispepsija;</w:t>
            </w:r>
          </w:p>
          <w:p w14:paraId="01BB648F" w14:textId="77777777" w:rsidR="00D875C0" w:rsidRPr="004E3CD5" w:rsidRDefault="00D875C0" w:rsidP="00A276D4">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Kraujavimas iš virškinimo takto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0,6</w:t>
            </w:r>
            <w:r w:rsidR="00A276D4" w:rsidRPr="007C1A06">
              <w:rPr>
                <w:rFonts w:ascii="Times New Roman" w:hAnsi="Times New Roman"/>
              </w:rPr>
              <w:t> </w:t>
            </w:r>
            <w:r w:rsidRPr="007C1A06">
              <w:rPr>
                <w:rFonts w:ascii="Times New Roman" w:hAnsi="Times New Roman"/>
              </w:rPr>
              <w:t>%)</w:t>
            </w:r>
          </w:p>
        </w:tc>
        <w:tc>
          <w:tcPr>
            <w:tcW w:w="2345" w:type="dxa"/>
          </w:tcPr>
          <w:p w14:paraId="0D0D72F5"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2FDD54D5" w14:textId="77777777" w:rsidTr="004E3CD5">
        <w:tc>
          <w:tcPr>
            <w:tcW w:w="2252" w:type="dxa"/>
          </w:tcPr>
          <w:p w14:paraId="0B56A910"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Odos ir poodinio audinio sutrikimai</w:t>
            </w:r>
          </w:p>
        </w:tc>
        <w:tc>
          <w:tcPr>
            <w:tcW w:w="2344" w:type="dxa"/>
          </w:tcPr>
          <w:p w14:paraId="16A07453" w14:textId="77777777" w:rsidR="00D875C0" w:rsidRPr="007C1A06" w:rsidRDefault="00D875C0" w:rsidP="00A276D4">
            <w:pPr>
              <w:autoSpaceDE w:val="0"/>
              <w:autoSpaceDN w:val="0"/>
              <w:adjustRightInd w:val="0"/>
              <w:spacing w:after="0" w:line="240" w:lineRule="auto"/>
              <w:rPr>
                <w:rFonts w:ascii="Times New Roman" w:hAnsi="Times New Roman"/>
              </w:rPr>
            </w:pPr>
            <w:r w:rsidRPr="001F2C46">
              <w:rPr>
                <w:rFonts w:ascii="Times New Roman" w:hAnsi="Times New Roman"/>
              </w:rPr>
              <w:t>Alopecija (3</w:t>
            </w:r>
            <w:r w:rsidR="00A276D4" w:rsidRPr="001F2C46">
              <w:rPr>
                <w:rFonts w:ascii="Times New Roman" w:hAnsi="Times New Roman"/>
              </w:rPr>
              <w:noBreakHyphen/>
            </w:r>
            <w:r w:rsidRPr="001F2C46">
              <w:rPr>
                <w:rFonts w:ascii="Times New Roman" w:hAnsi="Times New Roman"/>
              </w:rPr>
              <w:t>4</w:t>
            </w:r>
            <w:r w:rsidR="00A276D4" w:rsidRPr="00427D92">
              <w:rPr>
                <w:rFonts w:ascii="Times New Roman" w:hAnsi="Times New Roman"/>
              </w:rPr>
              <w:t> </w:t>
            </w:r>
            <w:r w:rsidRPr="00427D92">
              <w:rPr>
                <w:rFonts w:ascii="Times New Roman" w:hAnsi="Times New Roman"/>
              </w:rPr>
              <w:t>laipsnio – 10,9</w:t>
            </w:r>
            <w:r w:rsidR="00A276D4" w:rsidRPr="00C722B4">
              <w:rPr>
                <w:rFonts w:ascii="Times New Roman" w:hAnsi="Times New Roman"/>
              </w:rPr>
              <w:t> </w:t>
            </w:r>
            <w:r w:rsidRPr="007C1A06">
              <w:rPr>
                <w:rFonts w:ascii="Times New Roman" w:hAnsi="Times New Roman"/>
              </w:rPr>
              <w:t>%)</w:t>
            </w:r>
          </w:p>
        </w:tc>
        <w:tc>
          <w:tcPr>
            <w:tcW w:w="2345" w:type="dxa"/>
          </w:tcPr>
          <w:p w14:paraId="249B5FC2" w14:textId="77777777" w:rsidR="00665DE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Odos išbėrimas su niežėjimu; </w:t>
            </w:r>
          </w:p>
          <w:p w14:paraId="77B55384" w14:textId="77777777" w:rsidR="00665DE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Odos sausumas; </w:t>
            </w:r>
          </w:p>
          <w:p w14:paraId="0251D815" w14:textId="77777777" w:rsidR="00D875C0" w:rsidRPr="004E3CD5" w:rsidRDefault="00D875C0" w:rsidP="00A276D4">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Odos eksfoliacija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0,6</w:t>
            </w:r>
            <w:r w:rsidR="00A276D4" w:rsidRPr="007C1A06">
              <w:rPr>
                <w:rFonts w:ascii="Times New Roman" w:hAnsi="Times New Roman"/>
              </w:rPr>
              <w:t> </w:t>
            </w:r>
            <w:r w:rsidRPr="007C1A06">
              <w:rPr>
                <w:rFonts w:ascii="Times New Roman" w:hAnsi="Times New Roman"/>
              </w:rPr>
              <w:t>%)</w:t>
            </w:r>
          </w:p>
        </w:tc>
        <w:tc>
          <w:tcPr>
            <w:tcW w:w="2345" w:type="dxa"/>
          </w:tcPr>
          <w:p w14:paraId="18DB4B1D"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6E911DCE" w14:textId="77777777" w:rsidTr="004E3CD5">
        <w:tc>
          <w:tcPr>
            <w:tcW w:w="2252" w:type="dxa"/>
          </w:tcPr>
          <w:p w14:paraId="590C29D2"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Skeleto, raumenų ir jungiamojo audinio sutrikimai</w:t>
            </w:r>
          </w:p>
        </w:tc>
        <w:tc>
          <w:tcPr>
            <w:tcW w:w="2344" w:type="dxa"/>
          </w:tcPr>
          <w:p w14:paraId="42AD5134"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2345" w:type="dxa"/>
          </w:tcPr>
          <w:p w14:paraId="0E1111A8" w14:textId="77777777" w:rsidR="00D875C0" w:rsidRPr="007C1A06" w:rsidRDefault="00D875C0" w:rsidP="00A276D4">
            <w:pPr>
              <w:autoSpaceDE w:val="0"/>
              <w:autoSpaceDN w:val="0"/>
              <w:adjustRightInd w:val="0"/>
              <w:spacing w:after="0" w:line="240" w:lineRule="auto"/>
              <w:rPr>
                <w:rFonts w:ascii="Times New Roman" w:hAnsi="Times New Roman"/>
              </w:rPr>
            </w:pPr>
            <w:r w:rsidRPr="00427D92">
              <w:rPr>
                <w:rFonts w:ascii="Times New Roman" w:hAnsi="Times New Roman"/>
              </w:rPr>
              <w:t>Mialgija (3</w:t>
            </w:r>
            <w:r w:rsidR="00A276D4" w:rsidRPr="00427D92">
              <w:rPr>
                <w:rFonts w:ascii="Times New Roman" w:hAnsi="Times New Roman"/>
              </w:rPr>
              <w:noBreakHyphen/>
            </w:r>
            <w:r w:rsidRPr="00C722B4">
              <w:rPr>
                <w:rFonts w:ascii="Times New Roman" w:hAnsi="Times New Roman"/>
              </w:rPr>
              <w:t>4</w:t>
            </w:r>
            <w:r w:rsidR="00A276D4" w:rsidRPr="007C1A06">
              <w:rPr>
                <w:rFonts w:ascii="Times New Roman" w:hAnsi="Times New Roman"/>
              </w:rPr>
              <w:t> </w:t>
            </w:r>
            <w:r w:rsidRPr="007C1A06">
              <w:rPr>
                <w:rFonts w:ascii="Times New Roman" w:hAnsi="Times New Roman"/>
              </w:rPr>
              <w:t>laipsnio – 0,6</w:t>
            </w:r>
            <w:r w:rsidR="00A276D4" w:rsidRPr="007C1A06">
              <w:rPr>
                <w:rFonts w:ascii="Times New Roman" w:hAnsi="Times New Roman"/>
              </w:rPr>
              <w:t> </w:t>
            </w:r>
            <w:r w:rsidRPr="007C1A06">
              <w:rPr>
                <w:rFonts w:ascii="Times New Roman" w:hAnsi="Times New Roman"/>
              </w:rPr>
              <w:t>%)</w:t>
            </w:r>
          </w:p>
        </w:tc>
        <w:tc>
          <w:tcPr>
            <w:tcW w:w="2345" w:type="dxa"/>
          </w:tcPr>
          <w:p w14:paraId="3FDF24BC"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D875C0" w:rsidRPr="007C1A06" w14:paraId="05CE7B6B" w14:textId="77777777" w:rsidTr="004E3CD5">
        <w:tc>
          <w:tcPr>
            <w:tcW w:w="2252" w:type="dxa"/>
          </w:tcPr>
          <w:p w14:paraId="50315C0D"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Bendrieji sutrikimai ir vartojimo vietos pažeidimai</w:t>
            </w:r>
          </w:p>
        </w:tc>
        <w:tc>
          <w:tcPr>
            <w:tcW w:w="2344" w:type="dxa"/>
          </w:tcPr>
          <w:p w14:paraId="10A52E13" w14:textId="77777777" w:rsidR="00665DE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Letargija (3</w:t>
            </w:r>
            <w:r w:rsidR="00A276D4" w:rsidRPr="001F2C46">
              <w:rPr>
                <w:rFonts w:ascii="Times New Roman" w:hAnsi="Times New Roman"/>
              </w:rPr>
              <w:softHyphen/>
            </w:r>
            <w:r w:rsidRPr="001F2C46">
              <w:rPr>
                <w:rFonts w:ascii="Times New Roman" w:hAnsi="Times New Roman"/>
              </w:rPr>
              <w:t>4</w:t>
            </w:r>
            <w:r w:rsidR="00A276D4" w:rsidRPr="00427D92">
              <w:rPr>
                <w:rFonts w:ascii="Times New Roman" w:hAnsi="Times New Roman"/>
              </w:rPr>
              <w:t> </w:t>
            </w:r>
            <w:r w:rsidRPr="00427D92">
              <w:rPr>
                <w:rFonts w:ascii="Times New Roman" w:hAnsi="Times New Roman"/>
              </w:rPr>
              <w:t>laipsnio – 3,4</w:t>
            </w:r>
            <w:r w:rsidR="00A276D4" w:rsidRPr="00C722B4">
              <w:rPr>
                <w:rFonts w:ascii="Times New Roman" w:hAnsi="Times New Roman"/>
              </w:rPr>
              <w:t> </w:t>
            </w:r>
            <w:r w:rsidRPr="007C1A06">
              <w:rPr>
                <w:rFonts w:ascii="Times New Roman" w:hAnsi="Times New Roman"/>
              </w:rPr>
              <w:t xml:space="preserve">%); </w:t>
            </w:r>
          </w:p>
          <w:p w14:paraId="2BE55017" w14:textId="77777777" w:rsidR="00D875C0" w:rsidRPr="00F95B76" w:rsidRDefault="00D875C0" w:rsidP="003876F8">
            <w:pPr>
              <w:autoSpaceDE w:val="0"/>
              <w:autoSpaceDN w:val="0"/>
              <w:adjustRightInd w:val="0"/>
              <w:spacing w:after="0" w:line="240" w:lineRule="auto"/>
              <w:rPr>
                <w:rFonts w:ascii="Times New Roman" w:hAnsi="Times New Roman"/>
              </w:rPr>
            </w:pPr>
            <w:r w:rsidRPr="007C1A06">
              <w:rPr>
                <w:rFonts w:ascii="Times New Roman" w:hAnsi="Times New Roman"/>
              </w:rPr>
              <w:t>Karščiavimas (3</w:t>
            </w:r>
            <w:r w:rsidR="00A276D4" w:rsidRPr="007C1A06">
              <w:rPr>
                <w:rFonts w:ascii="Times New Roman" w:hAnsi="Times New Roman"/>
              </w:rPr>
              <w:noBreakHyphen/>
            </w:r>
            <w:r w:rsidRPr="007C1A06">
              <w:rPr>
                <w:rFonts w:ascii="Times New Roman" w:hAnsi="Times New Roman"/>
              </w:rPr>
              <w:t>4</w:t>
            </w:r>
            <w:r w:rsidR="00A276D4" w:rsidRPr="007C1A06">
              <w:rPr>
                <w:rFonts w:ascii="Times New Roman" w:hAnsi="Times New Roman"/>
              </w:rPr>
              <w:t> </w:t>
            </w:r>
            <w:r w:rsidRPr="007C1A06">
              <w:rPr>
                <w:rFonts w:ascii="Times New Roman" w:hAnsi="Times New Roman"/>
              </w:rPr>
              <w:t>laipsnio – 0,6</w:t>
            </w:r>
            <w:r w:rsidR="00A276D4" w:rsidRPr="007C1A06">
              <w:rPr>
                <w:rFonts w:ascii="Times New Roman" w:hAnsi="Times New Roman"/>
              </w:rPr>
              <w:t> </w:t>
            </w:r>
            <w:r w:rsidRPr="007C1A06">
              <w:rPr>
                <w:rFonts w:ascii="Times New Roman" w:hAnsi="Times New Roman"/>
              </w:rPr>
              <w:t>%);</w:t>
            </w:r>
            <w:r w:rsidRPr="007C1A06">
              <w:rPr>
                <w:rFonts w:ascii="Times New Roman" w:eastAsia="Times New Roman" w:hAnsi="Times New Roman" w:cs="Times New Roman"/>
              </w:rPr>
              <w:t xml:space="preserve"> </w:t>
            </w:r>
            <w:r w:rsidRPr="00F95B76">
              <w:rPr>
                <w:rFonts w:ascii="Times New Roman" w:hAnsi="Times New Roman"/>
              </w:rPr>
              <w:t>Skysčių susilaikymas;</w:t>
            </w:r>
          </w:p>
          <w:p w14:paraId="173E5D3F" w14:textId="77777777" w:rsidR="00D875C0" w:rsidRPr="001F2C4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Edema</w:t>
            </w:r>
          </w:p>
        </w:tc>
        <w:tc>
          <w:tcPr>
            <w:tcW w:w="2345" w:type="dxa"/>
          </w:tcPr>
          <w:p w14:paraId="4E8BFA06" w14:textId="77777777" w:rsidR="00D875C0" w:rsidRPr="00427D92" w:rsidRDefault="00D875C0" w:rsidP="003876F8">
            <w:pPr>
              <w:autoSpaceDE w:val="0"/>
              <w:autoSpaceDN w:val="0"/>
              <w:adjustRightInd w:val="0"/>
              <w:spacing w:after="0" w:line="240" w:lineRule="auto"/>
              <w:rPr>
                <w:rFonts w:ascii="Times New Roman" w:hAnsi="Times New Roman"/>
              </w:rPr>
            </w:pPr>
          </w:p>
        </w:tc>
        <w:tc>
          <w:tcPr>
            <w:tcW w:w="2345" w:type="dxa"/>
          </w:tcPr>
          <w:p w14:paraId="6B03A499" w14:textId="77777777" w:rsidR="00D875C0" w:rsidRPr="00C722B4" w:rsidRDefault="00D875C0" w:rsidP="003876F8">
            <w:pPr>
              <w:autoSpaceDE w:val="0"/>
              <w:autoSpaceDN w:val="0"/>
              <w:adjustRightInd w:val="0"/>
              <w:spacing w:after="0" w:line="240" w:lineRule="auto"/>
              <w:rPr>
                <w:rFonts w:ascii="Times New Roman" w:hAnsi="Times New Roman"/>
              </w:rPr>
            </w:pPr>
          </w:p>
        </w:tc>
      </w:tr>
      <w:tr w:rsidR="00D875C0" w:rsidRPr="007C1A06" w14:paraId="27C80FB9" w14:textId="77777777" w:rsidTr="004E3CD5">
        <w:tc>
          <w:tcPr>
            <w:tcW w:w="2252" w:type="dxa"/>
          </w:tcPr>
          <w:p w14:paraId="5D6178D5" w14:textId="77777777" w:rsidR="00D875C0" w:rsidRPr="00F95B76" w:rsidRDefault="00D875C0" w:rsidP="003876F8">
            <w:pPr>
              <w:spacing w:after="0" w:line="240" w:lineRule="auto"/>
              <w:rPr>
                <w:rFonts w:ascii="Times New Roman" w:hAnsi="Times New Roman"/>
              </w:rPr>
            </w:pPr>
            <w:r w:rsidRPr="00F95B76">
              <w:rPr>
                <w:rFonts w:ascii="Times New Roman" w:hAnsi="Times New Roman"/>
              </w:rPr>
              <w:t>Tyrimai</w:t>
            </w:r>
          </w:p>
        </w:tc>
        <w:tc>
          <w:tcPr>
            <w:tcW w:w="2344" w:type="dxa"/>
          </w:tcPr>
          <w:p w14:paraId="7F656FB9" w14:textId="77777777" w:rsidR="00D875C0" w:rsidRPr="001F2C46" w:rsidRDefault="00D875C0" w:rsidP="003876F8">
            <w:pPr>
              <w:spacing w:after="0" w:line="240" w:lineRule="auto"/>
              <w:rPr>
                <w:rFonts w:ascii="Times New Roman" w:hAnsi="Times New Roman"/>
              </w:rPr>
            </w:pPr>
          </w:p>
        </w:tc>
        <w:tc>
          <w:tcPr>
            <w:tcW w:w="2345" w:type="dxa"/>
          </w:tcPr>
          <w:p w14:paraId="717BFF12" w14:textId="77777777" w:rsidR="00D875C0" w:rsidRPr="00427D92" w:rsidRDefault="00D875C0" w:rsidP="003876F8">
            <w:pPr>
              <w:spacing w:after="0" w:line="240" w:lineRule="auto"/>
              <w:rPr>
                <w:rFonts w:ascii="Times New Roman" w:hAnsi="Times New Roman"/>
              </w:rPr>
            </w:pPr>
            <w:r w:rsidRPr="00427D92">
              <w:rPr>
                <w:rFonts w:ascii="Times New Roman" w:hAnsi="Times New Roman"/>
              </w:rPr>
              <w:t>Svorio padidėjimas</w:t>
            </w:r>
          </w:p>
        </w:tc>
        <w:tc>
          <w:tcPr>
            <w:tcW w:w="2345" w:type="dxa"/>
          </w:tcPr>
          <w:p w14:paraId="3CF540E9" w14:textId="77777777" w:rsidR="00D875C0" w:rsidRPr="00C722B4" w:rsidRDefault="00D875C0" w:rsidP="003876F8">
            <w:pPr>
              <w:spacing w:after="0" w:line="240" w:lineRule="auto"/>
              <w:rPr>
                <w:rFonts w:ascii="Times New Roman" w:hAnsi="Times New Roman"/>
              </w:rPr>
            </w:pPr>
          </w:p>
        </w:tc>
      </w:tr>
    </w:tbl>
    <w:p w14:paraId="41100752" w14:textId="77777777" w:rsidR="00D875C0" w:rsidRPr="00F95B76" w:rsidRDefault="00D875C0" w:rsidP="00D875C0">
      <w:pPr>
        <w:spacing w:after="0" w:line="240" w:lineRule="auto"/>
        <w:rPr>
          <w:rFonts w:ascii="Times New Roman" w:hAnsi="Times New Roman"/>
        </w:rPr>
      </w:pPr>
    </w:p>
    <w:p w14:paraId="1EF5A9D6" w14:textId="77777777" w:rsidR="00D875C0" w:rsidRPr="001F2C46" w:rsidRDefault="00D875C0" w:rsidP="004E3CD5">
      <w:pPr>
        <w:pStyle w:val="Sraopastraipa"/>
        <w:numPr>
          <w:ilvl w:val="0"/>
          <w:numId w:val="22"/>
        </w:numPr>
        <w:autoSpaceDE w:val="0"/>
        <w:autoSpaceDN w:val="0"/>
        <w:adjustRightInd w:val="0"/>
        <w:spacing w:after="0" w:line="240" w:lineRule="auto"/>
        <w:rPr>
          <w:rFonts w:ascii="Times New Roman" w:hAnsi="Times New Roman"/>
          <w:u w:val="single"/>
        </w:rPr>
      </w:pPr>
      <w:r w:rsidRPr="00F95B76">
        <w:rPr>
          <w:rFonts w:ascii="Times New Roman" w:hAnsi="Times New Roman"/>
          <w:u w:val="single"/>
        </w:rPr>
        <w:t>Įvadinė chemoterapija, kai vėliau taikoma chemoterapija bei gydoma spinduliais (TAX 324)</w:t>
      </w:r>
    </w:p>
    <w:p w14:paraId="51813070" w14:textId="77777777" w:rsidR="00D875C0" w:rsidRPr="00427D92" w:rsidRDefault="00D875C0" w:rsidP="00D875C0">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297"/>
        <w:gridCol w:w="2297"/>
        <w:gridCol w:w="2297"/>
      </w:tblGrid>
      <w:tr w:rsidR="00F957E7" w:rsidRPr="007C1A06" w14:paraId="1028DC16" w14:textId="77777777" w:rsidTr="00915C14">
        <w:tc>
          <w:tcPr>
            <w:tcW w:w="2252" w:type="dxa"/>
            <w:shd w:val="clear" w:color="auto" w:fill="D9D9D9" w:themeFill="background1" w:themeFillShade="D9"/>
          </w:tcPr>
          <w:p w14:paraId="642C0D48" w14:textId="77777777" w:rsidR="00D875C0" w:rsidRPr="00C722B4" w:rsidRDefault="00D875C0" w:rsidP="003876F8">
            <w:pPr>
              <w:autoSpaceDE w:val="0"/>
              <w:autoSpaceDN w:val="0"/>
              <w:adjustRightInd w:val="0"/>
              <w:spacing w:after="0" w:line="240" w:lineRule="auto"/>
              <w:rPr>
                <w:rFonts w:ascii="Times New Roman" w:hAnsi="Times New Roman"/>
                <w:b/>
              </w:rPr>
            </w:pPr>
            <w:r w:rsidRPr="00C722B4">
              <w:rPr>
                <w:rFonts w:ascii="Times New Roman" w:hAnsi="Times New Roman"/>
                <w:b/>
              </w:rPr>
              <w:t>MedDRA organų sistemų klasės</w:t>
            </w:r>
          </w:p>
        </w:tc>
        <w:tc>
          <w:tcPr>
            <w:tcW w:w="2344" w:type="dxa"/>
            <w:shd w:val="clear" w:color="auto" w:fill="D9D9D9" w:themeFill="background1" w:themeFillShade="D9"/>
          </w:tcPr>
          <w:p w14:paraId="09065FC5"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b/>
              </w:rPr>
              <w:t xml:space="preserve">Labai dažnos nepageidaujamos reakcijos </w:t>
            </w:r>
          </w:p>
        </w:tc>
        <w:tc>
          <w:tcPr>
            <w:tcW w:w="2345" w:type="dxa"/>
            <w:shd w:val="clear" w:color="auto" w:fill="D9D9D9" w:themeFill="background1" w:themeFillShade="D9"/>
          </w:tcPr>
          <w:p w14:paraId="5494CF86"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 xml:space="preserve">Dažnos nepageidaujamos reakcijos </w:t>
            </w:r>
          </w:p>
        </w:tc>
        <w:tc>
          <w:tcPr>
            <w:tcW w:w="2345" w:type="dxa"/>
            <w:shd w:val="clear" w:color="auto" w:fill="D9D9D9" w:themeFill="background1" w:themeFillShade="D9"/>
          </w:tcPr>
          <w:p w14:paraId="6BEA220A"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 xml:space="preserve">Nedažnos nepageidaujamos reakcijos </w:t>
            </w:r>
          </w:p>
        </w:tc>
      </w:tr>
      <w:tr w:rsidR="00D875C0" w:rsidRPr="007C1A06" w14:paraId="3B3776D6" w14:textId="77777777" w:rsidTr="004E3CD5">
        <w:tc>
          <w:tcPr>
            <w:tcW w:w="2252" w:type="dxa"/>
          </w:tcPr>
          <w:p w14:paraId="0A8FF49D"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Infekcijos ir infestacijos</w:t>
            </w:r>
          </w:p>
        </w:tc>
        <w:tc>
          <w:tcPr>
            <w:tcW w:w="2344" w:type="dxa"/>
          </w:tcPr>
          <w:p w14:paraId="4FA7DC7D" w14:textId="77777777" w:rsidR="00D875C0" w:rsidRPr="007C1A06" w:rsidRDefault="00D875C0" w:rsidP="001C79C8">
            <w:pPr>
              <w:autoSpaceDE w:val="0"/>
              <w:autoSpaceDN w:val="0"/>
              <w:adjustRightInd w:val="0"/>
              <w:spacing w:after="0" w:line="240" w:lineRule="auto"/>
              <w:rPr>
                <w:rFonts w:ascii="Times New Roman" w:hAnsi="Times New Roman"/>
                <w:b/>
              </w:rPr>
            </w:pPr>
            <w:r w:rsidRPr="001F2C46">
              <w:rPr>
                <w:rFonts w:ascii="Times New Roman" w:hAnsi="Times New Roman"/>
              </w:rPr>
              <w:t>Infekcija (3</w:t>
            </w:r>
            <w:r w:rsidR="001C79C8" w:rsidRPr="001F2C46">
              <w:rPr>
                <w:rFonts w:ascii="Times New Roman" w:hAnsi="Times New Roman"/>
              </w:rPr>
              <w:noBreakHyphen/>
            </w:r>
            <w:r w:rsidRPr="001F2C46">
              <w:rPr>
                <w:rFonts w:ascii="Times New Roman" w:hAnsi="Times New Roman"/>
              </w:rPr>
              <w:t>4</w:t>
            </w:r>
            <w:r w:rsidR="001C79C8" w:rsidRPr="00427D92">
              <w:rPr>
                <w:rFonts w:ascii="Times New Roman" w:hAnsi="Times New Roman"/>
              </w:rPr>
              <w:t> </w:t>
            </w:r>
            <w:r w:rsidRPr="00427D92">
              <w:rPr>
                <w:rFonts w:ascii="Times New Roman" w:hAnsi="Times New Roman"/>
              </w:rPr>
              <w:t>laipsnio – 3,6</w:t>
            </w:r>
            <w:r w:rsidR="001C79C8" w:rsidRPr="00C722B4">
              <w:rPr>
                <w:rFonts w:ascii="Times New Roman" w:hAnsi="Times New Roman"/>
              </w:rPr>
              <w:t> </w:t>
            </w:r>
            <w:r w:rsidRPr="007C1A06">
              <w:rPr>
                <w:rFonts w:ascii="Times New Roman" w:hAnsi="Times New Roman"/>
              </w:rPr>
              <w:t>%)</w:t>
            </w:r>
          </w:p>
        </w:tc>
        <w:tc>
          <w:tcPr>
            <w:tcW w:w="2345" w:type="dxa"/>
          </w:tcPr>
          <w:p w14:paraId="75C27CC0"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Neutropeninė infekcija</w:t>
            </w:r>
          </w:p>
        </w:tc>
        <w:tc>
          <w:tcPr>
            <w:tcW w:w="2345" w:type="dxa"/>
          </w:tcPr>
          <w:p w14:paraId="4138CDAF"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61E78615" w14:textId="77777777" w:rsidTr="004E3CD5">
        <w:tc>
          <w:tcPr>
            <w:tcW w:w="2252" w:type="dxa"/>
          </w:tcPr>
          <w:p w14:paraId="59D6B56D" w14:textId="77777777" w:rsidR="00D875C0" w:rsidRPr="001F2C4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Gerybiniai, piktybiniai ir nepatikslinti navikai (tarp jų cistos ir polipai)</w:t>
            </w:r>
          </w:p>
        </w:tc>
        <w:tc>
          <w:tcPr>
            <w:tcW w:w="2344" w:type="dxa"/>
          </w:tcPr>
          <w:p w14:paraId="1CFAED98" w14:textId="77777777" w:rsidR="00D875C0" w:rsidRPr="00427D92" w:rsidRDefault="00D875C0" w:rsidP="003876F8">
            <w:pPr>
              <w:autoSpaceDE w:val="0"/>
              <w:autoSpaceDN w:val="0"/>
              <w:adjustRightInd w:val="0"/>
              <w:spacing w:after="0" w:line="240" w:lineRule="auto"/>
              <w:rPr>
                <w:rFonts w:ascii="Times New Roman" w:hAnsi="Times New Roman"/>
                <w:b/>
              </w:rPr>
            </w:pPr>
          </w:p>
        </w:tc>
        <w:tc>
          <w:tcPr>
            <w:tcW w:w="2345" w:type="dxa"/>
          </w:tcPr>
          <w:p w14:paraId="61798F46" w14:textId="77777777" w:rsidR="00D875C0" w:rsidRPr="007C1A06" w:rsidRDefault="00D875C0" w:rsidP="001C79C8">
            <w:pPr>
              <w:autoSpaceDE w:val="0"/>
              <w:autoSpaceDN w:val="0"/>
              <w:adjustRightInd w:val="0"/>
              <w:spacing w:after="0" w:line="240" w:lineRule="auto"/>
              <w:rPr>
                <w:rFonts w:ascii="Times New Roman" w:hAnsi="Times New Roman"/>
                <w:b/>
              </w:rPr>
            </w:pPr>
            <w:r w:rsidRPr="00C722B4">
              <w:rPr>
                <w:rFonts w:ascii="Times New Roman" w:hAnsi="Times New Roman"/>
              </w:rPr>
              <w:t>Vėžio sukeltas skausmas (3</w:t>
            </w:r>
            <w:r w:rsidR="001C79C8" w:rsidRPr="007C1A06">
              <w:rPr>
                <w:rFonts w:ascii="Times New Roman" w:hAnsi="Times New Roman"/>
              </w:rPr>
              <w:noBreakHyphen/>
            </w:r>
            <w:r w:rsidRPr="007C1A06">
              <w:rPr>
                <w:rFonts w:ascii="Times New Roman" w:hAnsi="Times New Roman"/>
              </w:rPr>
              <w:t>4</w:t>
            </w:r>
            <w:r w:rsidR="001C79C8" w:rsidRPr="007C1A06">
              <w:rPr>
                <w:rFonts w:ascii="Times New Roman" w:hAnsi="Times New Roman"/>
              </w:rPr>
              <w:t> </w:t>
            </w:r>
            <w:r w:rsidRPr="007C1A06">
              <w:rPr>
                <w:rFonts w:ascii="Times New Roman" w:hAnsi="Times New Roman"/>
              </w:rPr>
              <w:t>laipsnio – 1,2</w:t>
            </w:r>
            <w:r w:rsidR="001C79C8" w:rsidRPr="007C1A06">
              <w:rPr>
                <w:rFonts w:ascii="Times New Roman" w:hAnsi="Times New Roman"/>
              </w:rPr>
              <w:t> </w:t>
            </w:r>
            <w:r w:rsidRPr="007C1A06">
              <w:rPr>
                <w:rFonts w:ascii="Times New Roman" w:hAnsi="Times New Roman"/>
              </w:rPr>
              <w:t>%)</w:t>
            </w:r>
          </w:p>
        </w:tc>
        <w:tc>
          <w:tcPr>
            <w:tcW w:w="2345" w:type="dxa"/>
          </w:tcPr>
          <w:p w14:paraId="0F7A4CF8"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72AB028A" w14:textId="77777777" w:rsidTr="004E3CD5">
        <w:tc>
          <w:tcPr>
            <w:tcW w:w="2252" w:type="dxa"/>
          </w:tcPr>
          <w:p w14:paraId="0A0FB21E"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Kraujo ir limfinės sistemos sutrikimai</w:t>
            </w:r>
          </w:p>
        </w:tc>
        <w:tc>
          <w:tcPr>
            <w:tcW w:w="2344" w:type="dxa"/>
          </w:tcPr>
          <w:p w14:paraId="1730DE40"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Neutropenija (3</w:t>
            </w:r>
            <w:r w:rsidR="001C79C8" w:rsidRPr="00427D92">
              <w:rPr>
                <w:rFonts w:ascii="Times New Roman" w:hAnsi="Times New Roman"/>
              </w:rPr>
              <w:noBreakHyphen/>
            </w:r>
            <w:r w:rsidRPr="00427D92">
              <w:rPr>
                <w:rFonts w:ascii="Times New Roman" w:hAnsi="Times New Roman"/>
              </w:rPr>
              <w:t>4</w:t>
            </w:r>
            <w:r w:rsidR="001C79C8" w:rsidRPr="000C43D3">
              <w:rPr>
                <w:rFonts w:ascii="Times New Roman" w:hAnsi="Times New Roman"/>
              </w:rPr>
              <w:t> </w:t>
            </w:r>
            <w:r w:rsidRPr="00C722B4">
              <w:rPr>
                <w:rFonts w:ascii="Times New Roman" w:hAnsi="Times New Roman"/>
              </w:rPr>
              <w:t>laipsnio – 83,5</w:t>
            </w:r>
            <w:r w:rsidR="001C79C8" w:rsidRPr="007C1A06">
              <w:rPr>
                <w:rFonts w:ascii="Times New Roman" w:hAnsi="Times New Roman"/>
              </w:rPr>
              <w:t> </w:t>
            </w:r>
            <w:r w:rsidRPr="007C1A06">
              <w:rPr>
                <w:rFonts w:ascii="Times New Roman" w:hAnsi="Times New Roman"/>
              </w:rPr>
              <w:t>%);</w:t>
            </w:r>
          </w:p>
          <w:p w14:paraId="48CAFD50" w14:textId="77777777" w:rsidR="00D875C0" w:rsidRPr="000C43D3" w:rsidRDefault="00D875C0" w:rsidP="003876F8">
            <w:pPr>
              <w:autoSpaceDE w:val="0"/>
              <w:autoSpaceDN w:val="0"/>
              <w:adjustRightInd w:val="0"/>
              <w:spacing w:after="0" w:line="240" w:lineRule="auto"/>
              <w:rPr>
                <w:rFonts w:ascii="Times New Roman" w:hAnsi="Times New Roman"/>
              </w:rPr>
            </w:pPr>
            <w:r w:rsidRPr="007C1A06">
              <w:rPr>
                <w:rFonts w:ascii="Times New Roman" w:hAnsi="Times New Roman"/>
              </w:rPr>
              <w:t>Anemija (3</w:t>
            </w:r>
            <w:r w:rsidR="001C79C8" w:rsidRPr="007C1A06">
              <w:rPr>
                <w:rFonts w:ascii="Times New Roman" w:hAnsi="Times New Roman"/>
              </w:rPr>
              <w:noBreakHyphen/>
            </w:r>
            <w:r w:rsidRPr="007C1A06">
              <w:rPr>
                <w:rFonts w:ascii="Times New Roman" w:hAnsi="Times New Roman"/>
              </w:rPr>
              <w:t>4</w:t>
            </w:r>
            <w:r w:rsidR="001C79C8" w:rsidRPr="007C1A06">
              <w:rPr>
                <w:rFonts w:ascii="Times New Roman" w:hAnsi="Times New Roman"/>
              </w:rPr>
              <w:t> </w:t>
            </w:r>
            <w:r w:rsidRPr="007C1A06">
              <w:rPr>
                <w:rFonts w:ascii="Times New Roman" w:hAnsi="Times New Roman"/>
              </w:rPr>
              <w:t>laipsnio – 12,4</w:t>
            </w:r>
            <w:r w:rsidR="001C79C8" w:rsidRPr="007C1A06">
              <w:rPr>
                <w:rFonts w:ascii="Times New Roman" w:hAnsi="Times New Roman"/>
              </w:rPr>
              <w:t> </w:t>
            </w:r>
            <w:r w:rsidRPr="007C1A06">
              <w:rPr>
                <w:rFonts w:ascii="Times New Roman" w:hAnsi="Times New Roman"/>
              </w:rPr>
              <w:t>%);</w:t>
            </w:r>
            <w:r w:rsidRPr="007C1A06">
              <w:rPr>
                <w:rFonts w:ascii="Times New Roman" w:eastAsia="Times New Roman" w:hAnsi="Times New Roman" w:cs="Times New Roman"/>
              </w:rPr>
              <w:t xml:space="preserve"> </w:t>
            </w:r>
            <w:r w:rsidRPr="00F95B76">
              <w:rPr>
                <w:rFonts w:ascii="Times New Roman" w:hAnsi="Times New Roman"/>
              </w:rPr>
              <w:t>Trombocitopenija (3</w:t>
            </w:r>
            <w:r w:rsidR="001C79C8" w:rsidRPr="001F2C46">
              <w:rPr>
                <w:rFonts w:ascii="Times New Roman" w:hAnsi="Times New Roman"/>
              </w:rPr>
              <w:noBreakHyphen/>
            </w:r>
            <w:r w:rsidRPr="001F2C46">
              <w:rPr>
                <w:rFonts w:ascii="Times New Roman" w:hAnsi="Times New Roman"/>
              </w:rPr>
              <w:t>4</w:t>
            </w:r>
            <w:r w:rsidR="001C79C8" w:rsidRPr="001F2C46">
              <w:rPr>
                <w:rFonts w:ascii="Times New Roman" w:hAnsi="Times New Roman"/>
              </w:rPr>
              <w:t> </w:t>
            </w:r>
            <w:r w:rsidRPr="00427D92">
              <w:rPr>
                <w:rFonts w:ascii="Times New Roman" w:hAnsi="Times New Roman"/>
              </w:rPr>
              <w:t>laipsnio – 4,0</w:t>
            </w:r>
            <w:r w:rsidR="001C79C8" w:rsidRPr="00427D92">
              <w:rPr>
                <w:rFonts w:ascii="Times New Roman" w:hAnsi="Times New Roman"/>
              </w:rPr>
              <w:t> </w:t>
            </w:r>
            <w:r w:rsidRPr="000C43D3">
              <w:rPr>
                <w:rFonts w:ascii="Times New Roman" w:hAnsi="Times New Roman"/>
              </w:rPr>
              <w:t>%);</w:t>
            </w:r>
          </w:p>
          <w:p w14:paraId="2E64CB84" w14:textId="77777777" w:rsidR="00D875C0" w:rsidRPr="007C1A06" w:rsidRDefault="00D875C0" w:rsidP="003876F8">
            <w:pPr>
              <w:autoSpaceDE w:val="0"/>
              <w:autoSpaceDN w:val="0"/>
              <w:adjustRightInd w:val="0"/>
              <w:spacing w:after="0" w:line="240" w:lineRule="auto"/>
              <w:rPr>
                <w:rFonts w:ascii="Times New Roman" w:hAnsi="Times New Roman"/>
                <w:b/>
              </w:rPr>
            </w:pPr>
            <w:r w:rsidRPr="00C722B4">
              <w:rPr>
                <w:rFonts w:ascii="Times New Roman" w:hAnsi="Times New Roman"/>
              </w:rPr>
              <w:t>Febrilin</w:t>
            </w:r>
            <w:r w:rsidRPr="007C1A06">
              <w:rPr>
                <w:rFonts w:ascii="Times New Roman" w:hAnsi="Times New Roman"/>
              </w:rPr>
              <w:t>ė neutropenija</w:t>
            </w:r>
          </w:p>
        </w:tc>
        <w:tc>
          <w:tcPr>
            <w:tcW w:w="2345" w:type="dxa"/>
          </w:tcPr>
          <w:p w14:paraId="6BE05E8B" w14:textId="77777777" w:rsidR="00D875C0" w:rsidRPr="007C1A06" w:rsidRDefault="00D875C0" w:rsidP="003876F8">
            <w:pPr>
              <w:autoSpaceDE w:val="0"/>
              <w:autoSpaceDN w:val="0"/>
              <w:adjustRightInd w:val="0"/>
              <w:spacing w:after="0" w:line="240" w:lineRule="auto"/>
              <w:rPr>
                <w:rFonts w:ascii="Times New Roman" w:hAnsi="Times New Roman"/>
                <w:b/>
              </w:rPr>
            </w:pPr>
          </w:p>
        </w:tc>
        <w:tc>
          <w:tcPr>
            <w:tcW w:w="2345" w:type="dxa"/>
          </w:tcPr>
          <w:p w14:paraId="1997E14D"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14791FC6" w14:textId="77777777" w:rsidTr="004E3CD5">
        <w:tc>
          <w:tcPr>
            <w:tcW w:w="2252" w:type="dxa"/>
          </w:tcPr>
          <w:p w14:paraId="258D517C" w14:textId="77777777" w:rsidR="00D875C0" w:rsidRPr="001F2C4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Imuninės sistemos sutrikimai</w:t>
            </w:r>
          </w:p>
        </w:tc>
        <w:tc>
          <w:tcPr>
            <w:tcW w:w="2344" w:type="dxa"/>
          </w:tcPr>
          <w:p w14:paraId="397BC482" w14:textId="77777777" w:rsidR="00D875C0" w:rsidRPr="00427D92" w:rsidRDefault="00D875C0" w:rsidP="003876F8">
            <w:pPr>
              <w:autoSpaceDE w:val="0"/>
              <w:autoSpaceDN w:val="0"/>
              <w:adjustRightInd w:val="0"/>
              <w:spacing w:after="0" w:line="240" w:lineRule="auto"/>
              <w:rPr>
                <w:rFonts w:ascii="Times New Roman" w:hAnsi="Times New Roman"/>
                <w:b/>
              </w:rPr>
            </w:pPr>
          </w:p>
        </w:tc>
        <w:tc>
          <w:tcPr>
            <w:tcW w:w="2345" w:type="dxa"/>
          </w:tcPr>
          <w:p w14:paraId="5C2E8D7C" w14:textId="77777777" w:rsidR="00D875C0" w:rsidRPr="00C722B4" w:rsidRDefault="00D875C0" w:rsidP="003876F8">
            <w:pPr>
              <w:autoSpaceDE w:val="0"/>
              <w:autoSpaceDN w:val="0"/>
              <w:adjustRightInd w:val="0"/>
              <w:spacing w:after="0" w:line="240" w:lineRule="auto"/>
              <w:rPr>
                <w:rFonts w:ascii="Times New Roman" w:hAnsi="Times New Roman"/>
                <w:b/>
              </w:rPr>
            </w:pPr>
          </w:p>
        </w:tc>
        <w:tc>
          <w:tcPr>
            <w:tcW w:w="2345" w:type="dxa"/>
          </w:tcPr>
          <w:p w14:paraId="00F6BB39"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Padidėjęs jautrumas</w:t>
            </w:r>
          </w:p>
        </w:tc>
      </w:tr>
      <w:tr w:rsidR="00D875C0" w:rsidRPr="007C1A06" w14:paraId="0E6E0C54" w14:textId="77777777" w:rsidTr="004E3CD5">
        <w:tc>
          <w:tcPr>
            <w:tcW w:w="2252" w:type="dxa"/>
          </w:tcPr>
          <w:p w14:paraId="05C4ACE7"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Metabolizmo ir mitybos sutrikimai</w:t>
            </w:r>
          </w:p>
        </w:tc>
        <w:tc>
          <w:tcPr>
            <w:tcW w:w="2344" w:type="dxa"/>
          </w:tcPr>
          <w:p w14:paraId="6529BAD9" w14:textId="77777777" w:rsidR="00D875C0" w:rsidRPr="007C1A06" w:rsidRDefault="00D875C0" w:rsidP="001C79C8">
            <w:pPr>
              <w:autoSpaceDE w:val="0"/>
              <w:autoSpaceDN w:val="0"/>
              <w:adjustRightInd w:val="0"/>
              <w:spacing w:after="0" w:line="240" w:lineRule="auto"/>
              <w:rPr>
                <w:rFonts w:ascii="Times New Roman" w:hAnsi="Times New Roman"/>
                <w:b/>
              </w:rPr>
            </w:pPr>
            <w:r w:rsidRPr="001F2C46">
              <w:rPr>
                <w:rFonts w:ascii="Times New Roman" w:hAnsi="Times New Roman"/>
              </w:rPr>
              <w:t>Anoreksija (3</w:t>
            </w:r>
            <w:r w:rsidR="001C79C8" w:rsidRPr="00427D92">
              <w:rPr>
                <w:rFonts w:ascii="Times New Roman" w:hAnsi="Times New Roman"/>
              </w:rPr>
              <w:noBreakHyphen/>
            </w:r>
            <w:r w:rsidRPr="00427D92">
              <w:rPr>
                <w:rFonts w:ascii="Times New Roman" w:hAnsi="Times New Roman"/>
              </w:rPr>
              <w:t>4</w:t>
            </w:r>
            <w:r w:rsidR="001C79C8" w:rsidRPr="000C43D3">
              <w:rPr>
                <w:rFonts w:ascii="Times New Roman" w:hAnsi="Times New Roman"/>
              </w:rPr>
              <w:t> </w:t>
            </w:r>
            <w:r w:rsidRPr="00C722B4">
              <w:rPr>
                <w:rFonts w:ascii="Times New Roman" w:hAnsi="Times New Roman"/>
              </w:rPr>
              <w:t>laipsnio – 12,0</w:t>
            </w:r>
            <w:r w:rsidR="001C79C8" w:rsidRPr="007C1A06">
              <w:rPr>
                <w:rFonts w:ascii="Times New Roman" w:hAnsi="Times New Roman"/>
              </w:rPr>
              <w:t> </w:t>
            </w:r>
            <w:r w:rsidRPr="007C1A06">
              <w:rPr>
                <w:rFonts w:ascii="Times New Roman" w:hAnsi="Times New Roman"/>
              </w:rPr>
              <w:t>%)</w:t>
            </w:r>
          </w:p>
        </w:tc>
        <w:tc>
          <w:tcPr>
            <w:tcW w:w="2345" w:type="dxa"/>
          </w:tcPr>
          <w:p w14:paraId="0CF1FD60" w14:textId="77777777" w:rsidR="00D875C0" w:rsidRPr="007C1A06" w:rsidRDefault="00D875C0" w:rsidP="003876F8">
            <w:pPr>
              <w:autoSpaceDE w:val="0"/>
              <w:autoSpaceDN w:val="0"/>
              <w:adjustRightInd w:val="0"/>
              <w:spacing w:after="0" w:line="240" w:lineRule="auto"/>
              <w:rPr>
                <w:rFonts w:ascii="Times New Roman" w:hAnsi="Times New Roman"/>
                <w:b/>
              </w:rPr>
            </w:pPr>
          </w:p>
        </w:tc>
        <w:tc>
          <w:tcPr>
            <w:tcW w:w="2345" w:type="dxa"/>
          </w:tcPr>
          <w:p w14:paraId="3A920246"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55C14E24" w14:textId="77777777" w:rsidTr="004E3CD5">
        <w:tc>
          <w:tcPr>
            <w:tcW w:w="2252" w:type="dxa"/>
          </w:tcPr>
          <w:p w14:paraId="2EDB9E46"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Nervų sistemos sutrikimai</w:t>
            </w:r>
          </w:p>
        </w:tc>
        <w:tc>
          <w:tcPr>
            <w:tcW w:w="2344" w:type="dxa"/>
          </w:tcPr>
          <w:p w14:paraId="3A53C044" w14:textId="77777777" w:rsidR="00665DE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Disgeuzija arba parosmija (3</w:t>
            </w:r>
            <w:r w:rsidR="001C79C8" w:rsidRPr="001F2C46">
              <w:rPr>
                <w:rFonts w:ascii="Times New Roman" w:hAnsi="Times New Roman"/>
              </w:rPr>
              <w:noBreakHyphen/>
            </w:r>
            <w:r w:rsidRPr="001F2C46">
              <w:rPr>
                <w:rFonts w:ascii="Times New Roman" w:hAnsi="Times New Roman"/>
              </w:rPr>
              <w:t>4</w:t>
            </w:r>
            <w:r w:rsidR="001C79C8" w:rsidRPr="00427D92">
              <w:rPr>
                <w:rFonts w:ascii="Times New Roman" w:hAnsi="Times New Roman"/>
              </w:rPr>
              <w:t> </w:t>
            </w:r>
            <w:r w:rsidRPr="00427D92">
              <w:rPr>
                <w:rFonts w:ascii="Times New Roman" w:hAnsi="Times New Roman"/>
              </w:rPr>
              <w:t>laipsnio – 0,4</w:t>
            </w:r>
            <w:r w:rsidR="001C79C8" w:rsidRPr="00C722B4">
              <w:rPr>
                <w:rFonts w:ascii="Times New Roman" w:hAnsi="Times New Roman"/>
              </w:rPr>
              <w:t> </w:t>
            </w:r>
            <w:r w:rsidRPr="007C1A06">
              <w:rPr>
                <w:rFonts w:ascii="Times New Roman" w:hAnsi="Times New Roman"/>
              </w:rPr>
              <w:t xml:space="preserve">%); </w:t>
            </w:r>
          </w:p>
          <w:p w14:paraId="3A03CC91" w14:textId="77777777" w:rsidR="00D875C0" w:rsidRPr="004E3CD5" w:rsidRDefault="00D875C0" w:rsidP="001C79C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Periferinė sensorinė neuropatija (3</w:t>
            </w:r>
            <w:r w:rsidR="001C79C8" w:rsidRPr="007C1A06">
              <w:rPr>
                <w:rFonts w:ascii="Times New Roman" w:hAnsi="Times New Roman"/>
              </w:rPr>
              <w:noBreakHyphen/>
            </w:r>
            <w:r w:rsidRPr="007C1A06">
              <w:rPr>
                <w:rFonts w:ascii="Times New Roman" w:hAnsi="Times New Roman"/>
              </w:rPr>
              <w:t>4</w:t>
            </w:r>
            <w:r w:rsidR="001C79C8" w:rsidRPr="007C1A06">
              <w:rPr>
                <w:rFonts w:ascii="Times New Roman" w:hAnsi="Times New Roman"/>
              </w:rPr>
              <w:t> </w:t>
            </w:r>
            <w:r w:rsidRPr="007C1A06">
              <w:rPr>
                <w:rFonts w:ascii="Times New Roman" w:hAnsi="Times New Roman"/>
              </w:rPr>
              <w:t>laipsnio – 1,2</w:t>
            </w:r>
            <w:r w:rsidR="001C79C8" w:rsidRPr="007C1A06">
              <w:rPr>
                <w:rFonts w:ascii="Times New Roman" w:hAnsi="Times New Roman"/>
              </w:rPr>
              <w:t> </w:t>
            </w:r>
            <w:r w:rsidRPr="007C1A06">
              <w:rPr>
                <w:rFonts w:ascii="Times New Roman" w:hAnsi="Times New Roman"/>
              </w:rPr>
              <w:t>%)</w:t>
            </w:r>
          </w:p>
        </w:tc>
        <w:tc>
          <w:tcPr>
            <w:tcW w:w="2345" w:type="dxa"/>
          </w:tcPr>
          <w:p w14:paraId="3ECBA4AD" w14:textId="77777777" w:rsidR="00D875C0" w:rsidRPr="00F95B76" w:rsidRDefault="00D875C0" w:rsidP="003876F8">
            <w:pPr>
              <w:autoSpaceDE w:val="0"/>
              <w:autoSpaceDN w:val="0"/>
              <w:adjustRightInd w:val="0"/>
              <w:spacing w:after="0" w:line="240" w:lineRule="auto"/>
              <w:rPr>
                <w:rFonts w:ascii="Times New Roman" w:eastAsiaTheme="minorEastAsia" w:hAnsi="Times New Roman"/>
                <w:lang w:val="en-US" w:eastAsia="zh-TW"/>
              </w:rPr>
            </w:pPr>
            <w:r w:rsidRPr="007C1A06">
              <w:rPr>
                <w:rFonts w:ascii="Times New Roman" w:hAnsi="Times New Roman"/>
              </w:rPr>
              <w:t>Svaigulys (3</w:t>
            </w:r>
            <w:r w:rsidR="001C79C8" w:rsidRPr="007C1A06">
              <w:rPr>
                <w:rFonts w:ascii="Times New Roman" w:hAnsi="Times New Roman"/>
              </w:rPr>
              <w:noBreakHyphen/>
            </w:r>
            <w:r w:rsidRPr="007C1A06">
              <w:rPr>
                <w:rFonts w:ascii="Times New Roman" w:hAnsi="Times New Roman"/>
              </w:rPr>
              <w:t>4</w:t>
            </w:r>
            <w:r w:rsidR="001C79C8" w:rsidRPr="007C1A06">
              <w:rPr>
                <w:rFonts w:ascii="Times New Roman" w:hAnsi="Times New Roman"/>
              </w:rPr>
              <w:t> </w:t>
            </w:r>
            <w:r w:rsidRPr="007C1A06">
              <w:rPr>
                <w:rFonts w:ascii="Times New Roman" w:hAnsi="Times New Roman"/>
              </w:rPr>
              <w:t>laipsnio – 2,0</w:t>
            </w:r>
            <w:r w:rsidR="001C79C8" w:rsidRPr="007C1A06">
              <w:rPr>
                <w:rFonts w:ascii="Times New Roman" w:hAnsi="Times New Roman"/>
              </w:rPr>
              <w:t> </w:t>
            </w:r>
            <w:r w:rsidRPr="007C1A06">
              <w:rPr>
                <w:rFonts w:ascii="Times New Roman" w:eastAsia="Times New Roman" w:hAnsi="Times New Roman" w:cs="Times New Roman"/>
              </w:rPr>
              <w:t>%)</w:t>
            </w:r>
            <w:r w:rsidR="005E00ED">
              <w:rPr>
                <w:rFonts w:ascii="Times New Roman" w:eastAsia="Times New Roman" w:hAnsi="Times New Roman" w:cs="Times New Roman"/>
              </w:rPr>
              <w:t>;</w:t>
            </w:r>
          </w:p>
          <w:p w14:paraId="25795E0F" w14:textId="77777777" w:rsidR="00D875C0" w:rsidRPr="007C1A06" w:rsidRDefault="00D875C0" w:rsidP="001C79C8">
            <w:pPr>
              <w:autoSpaceDE w:val="0"/>
              <w:autoSpaceDN w:val="0"/>
              <w:adjustRightInd w:val="0"/>
              <w:spacing w:after="0" w:line="240" w:lineRule="auto"/>
              <w:rPr>
                <w:rFonts w:ascii="Times New Roman" w:hAnsi="Times New Roman"/>
                <w:b/>
              </w:rPr>
            </w:pPr>
            <w:r w:rsidRPr="001F2C46">
              <w:rPr>
                <w:rFonts w:ascii="Times New Roman" w:hAnsi="Times New Roman"/>
              </w:rPr>
              <w:t>Periferinė motorinė neuropatija (3</w:t>
            </w:r>
            <w:r w:rsidR="001C79C8" w:rsidRPr="00427D92">
              <w:rPr>
                <w:rFonts w:ascii="Times New Roman" w:hAnsi="Times New Roman"/>
              </w:rPr>
              <w:noBreakHyphen/>
            </w:r>
            <w:r w:rsidRPr="00427D92">
              <w:rPr>
                <w:rFonts w:ascii="Times New Roman" w:hAnsi="Times New Roman"/>
              </w:rPr>
              <w:t>4</w:t>
            </w:r>
            <w:r w:rsidR="001C79C8" w:rsidRPr="000C43D3">
              <w:rPr>
                <w:rFonts w:ascii="Times New Roman" w:hAnsi="Times New Roman"/>
              </w:rPr>
              <w:t> </w:t>
            </w:r>
            <w:r w:rsidRPr="00C722B4">
              <w:rPr>
                <w:rFonts w:ascii="Times New Roman" w:hAnsi="Times New Roman"/>
              </w:rPr>
              <w:t>laipsnio – 0,4</w:t>
            </w:r>
            <w:r w:rsidR="001C79C8" w:rsidRPr="007C1A06">
              <w:rPr>
                <w:rFonts w:ascii="Times New Roman" w:hAnsi="Times New Roman"/>
              </w:rPr>
              <w:t> </w:t>
            </w:r>
            <w:r w:rsidRPr="007C1A06">
              <w:rPr>
                <w:rFonts w:ascii="Times New Roman" w:hAnsi="Times New Roman"/>
              </w:rPr>
              <w:t>%)</w:t>
            </w:r>
          </w:p>
        </w:tc>
        <w:tc>
          <w:tcPr>
            <w:tcW w:w="2345" w:type="dxa"/>
          </w:tcPr>
          <w:p w14:paraId="3C1A3DCA"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19A25363" w14:textId="77777777" w:rsidTr="004E3CD5">
        <w:tc>
          <w:tcPr>
            <w:tcW w:w="2252" w:type="dxa"/>
          </w:tcPr>
          <w:p w14:paraId="73DF9A29"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Akių sutrikimai</w:t>
            </w:r>
          </w:p>
        </w:tc>
        <w:tc>
          <w:tcPr>
            <w:tcW w:w="2344" w:type="dxa"/>
          </w:tcPr>
          <w:p w14:paraId="642A03FD" w14:textId="77777777" w:rsidR="00D875C0" w:rsidRPr="001F2C46" w:rsidRDefault="00D875C0" w:rsidP="003876F8">
            <w:pPr>
              <w:autoSpaceDE w:val="0"/>
              <w:autoSpaceDN w:val="0"/>
              <w:adjustRightInd w:val="0"/>
              <w:spacing w:after="0" w:line="240" w:lineRule="auto"/>
              <w:rPr>
                <w:rFonts w:ascii="Times New Roman" w:hAnsi="Times New Roman"/>
                <w:b/>
              </w:rPr>
            </w:pPr>
          </w:p>
        </w:tc>
        <w:tc>
          <w:tcPr>
            <w:tcW w:w="2345" w:type="dxa"/>
          </w:tcPr>
          <w:p w14:paraId="3AE7ECBC" w14:textId="77777777" w:rsidR="00D875C0" w:rsidRPr="00427D92" w:rsidRDefault="00D875C0" w:rsidP="003876F8">
            <w:pPr>
              <w:autoSpaceDE w:val="0"/>
              <w:autoSpaceDN w:val="0"/>
              <w:adjustRightInd w:val="0"/>
              <w:spacing w:after="0" w:line="240" w:lineRule="auto"/>
              <w:rPr>
                <w:rFonts w:ascii="Times New Roman" w:hAnsi="Times New Roman"/>
                <w:b/>
              </w:rPr>
            </w:pPr>
            <w:r w:rsidRPr="00427D92">
              <w:rPr>
                <w:rFonts w:ascii="Times New Roman" w:hAnsi="Times New Roman"/>
              </w:rPr>
              <w:t>Ašarojimo sustiprėjimas</w:t>
            </w:r>
          </w:p>
        </w:tc>
        <w:tc>
          <w:tcPr>
            <w:tcW w:w="2345" w:type="dxa"/>
          </w:tcPr>
          <w:p w14:paraId="6E71AA62" w14:textId="77777777" w:rsidR="00D875C0" w:rsidRPr="007C1A06" w:rsidRDefault="00D875C0" w:rsidP="003876F8">
            <w:pPr>
              <w:autoSpaceDE w:val="0"/>
              <w:autoSpaceDN w:val="0"/>
              <w:adjustRightInd w:val="0"/>
              <w:spacing w:after="0" w:line="240" w:lineRule="auto"/>
              <w:rPr>
                <w:rFonts w:ascii="Times New Roman" w:hAnsi="Times New Roman"/>
                <w:b/>
              </w:rPr>
            </w:pPr>
            <w:r w:rsidRPr="00C722B4">
              <w:rPr>
                <w:rFonts w:ascii="Times New Roman" w:hAnsi="Times New Roman"/>
              </w:rPr>
              <w:t>Konjunktyvitas</w:t>
            </w:r>
          </w:p>
        </w:tc>
      </w:tr>
      <w:tr w:rsidR="00D875C0" w:rsidRPr="007C1A06" w14:paraId="40CC33F1" w14:textId="77777777" w:rsidTr="004E3CD5">
        <w:tc>
          <w:tcPr>
            <w:tcW w:w="2252" w:type="dxa"/>
          </w:tcPr>
          <w:p w14:paraId="0365B218"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Ausų ir labirintų sutrikimai</w:t>
            </w:r>
          </w:p>
        </w:tc>
        <w:tc>
          <w:tcPr>
            <w:tcW w:w="2344" w:type="dxa"/>
          </w:tcPr>
          <w:p w14:paraId="6F6DEDE0" w14:textId="77777777" w:rsidR="00D875C0" w:rsidRPr="007C1A06" w:rsidRDefault="00D875C0" w:rsidP="001C79C8">
            <w:pPr>
              <w:autoSpaceDE w:val="0"/>
              <w:autoSpaceDN w:val="0"/>
              <w:adjustRightInd w:val="0"/>
              <w:spacing w:after="0" w:line="240" w:lineRule="auto"/>
              <w:rPr>
                <w:rFonts w:ascii="Times New Roman" w:hAnsi="Times New Roman"/>
                <w:b/>
              </w:rPr>
            </w:pPr>
            <w:r w:rsidRPr="001F2C46">
              <w:rPr>
                <w:rFonts w:ascii="Times New Roman" w:hAnsi="Times New Roman"/>
              </w:rPr>
              <w:t>Klausos susilpnėjimas (3</w:t>
            </w:r>
            <w:r w:rsidR="001C79C8" w:rsidRPr="001F2C46">
              <w:rPr>
                <w:rFonts w:ascii="Times New Roman" w:hAnsi="Times New Roman"/>
              </w:rPr>
              <w:noBreakHyphen/>
            </w:r>
            <w:r w:rsidRPr="001F2C46">
              <w:rPr>
                <w:rFonts w:ascii="Times New Roman" w:hAnsi="Times New Roman"/>
              </w:rPr>
              <w:t>4</w:t>
            </w:r>
            <w:r w:rsidR="001C79C8" w:rsidRPr="00427D92">
              <w:rPr>
                <w:rFonts w:ascii="Times New Roman" w:hAnsi="Times New Roman"/>
              </w:rPr>
              <w:t> </w:t>
            </w:r>
            <w:r w:rsidRPr="00427D92">
              <w:rPr>
                <w:rFonts w:ascii="Times New Roman" w:hAnsi="Times New Roman"/>
              </w:rPr>
              <w:t>laipsnio – 1,2</w:t>
            </w:r>
            <w:r w:rsidR="001C79C8" w:rsidRPr="000C43D3">
              <w:rPr>
                <w:rFonts w:ascii="Times New Roman" w:hAnsi="Times New Roman"/>
              </w:rPr>
              <w:t> </w:t>
            </w:r>
            <w:r w:rsidRPr="00C722B4">
              <w:rPr>
                <w:rFonts w:ascii="Times New Roman" w:hAnsi="Times New Roman"/>
              </w:rPr>
              <w:t>%)</w:t>
            </w:r>
          </w:p>
        </w:tc>
        <w:tc>
          <w:tcPr>
            <w:tcW w:w="2345" w:type="dxa"/>
          </w:tcPr>
          <w:p w14:paraId="674B9C30" w14:textId="77777777" w:rsidR="00D875C0" w:rsidRPr="007C1A06" w:rsidRDefault="00D875C0" w:rsidP="003876F8">
            <w:pPr>
              <w:autoSpaceDE w:val="0"/>
              <w:autoSpaceDN w:val="0"/>
              <w:adjustRightInd w:val="0"/>
              <w:spacing w:after="0" w:line="240" w:lineRule="auto"/>
              <w:rPr>
                <w:rFonts w:ascii="Times New Roman" w:hAnsi="Times New Roman"/>
                <w:b/>
              </w:rPr>
            </w:pPr>
          </w:p>
        </w:tc>
        <w:tc>
          <w:tcPr>
            <w:tcW w:w="2345" w:type="dxa"/>
          </w:tcPr>
          <w:p w14:paraId="5AB3DA57"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5A1EC656" w14:textId="77777777" w:rsidTr="004E3CD5">
        <w:tc>
          <w:tcPr>
            <w:tcW w:w="2252" w:type="dxa"/>
          </w:tcPr>
          <w:p w14:paraId="74F17373"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Širdies sutrikimai</w:t>
            </w:r>
          </w:p>
        </w:tc>
        <w:tc>
          <w:tcPr>
            <w:tcW w:w="2344" w:type="dxa"/>
          </w:tcPr>
          <w:p w14:paraId="6DE6E6E1"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2345" w:type="dxa"/>
          </w:tcPr>
          <w:p w14:paraId="4E34395A" w14:textId="77777777" w:rsidR="00D875C0" w:rsidRPr="007C1A06" w:rsidRDefault="00D875C0" w:rsidP="001C79C8">
            <w:pPr>
              <w:autoSpaceDE w:val="0"/>
              <w:autoSpaceDN w:val="0"/>
              <w:adjustRightInd w:val="0"/>
              <w:spacing w:after="0" w:line="240" w:lineRule="auto"/>
              <w:rPr>
                <w:rFonts w:ascii="Times New Roman" w:hAnsi="Times New Roman"/>
                <w:b/>
              </w:rPr>
            </w:pPr>
            <w:r w:rsidRPr="00427D92">
              <w:rPr>
                <w:rFonts w:ascii="Times New Roman" w:hAnsi="Times New Roman"/>
              </w:rPr>
              <w:t>Aritmija (3</w:t>
            </w:r>
            <w:r w:rsidR="001C79C8" w:rsidRPr="00427D92">
              <w:rPr>
                <w:rFonts w:ascii="Times New Roman" w:hAnsi="Times New Roman"/>
              </w:rPr>
              <w:noBreakHyphen/>
            </w:r>
            <w:r w:rsidRPr="000C43D3">
              <w:rPr>
                <w:rFonts w:ascii="Times New Roman" w:hAnsi="Times New Roman"/>
              </w:rPr>
              <w:t>4</w:t>
            </w:r>
            <w:r w:rsidR="001C79C8" w:rsidRPr="00C722B4">
              <w:rPr>
                <w:rFonts w:ascii="Times New Roman" w:hAnsi="Times New Roman"/>
              </w:rPr>
              <w:t> </w:t>
            </w:r>
            <w:r w:rsidRPr="007C1A06">
              <w:rPr>
                <w:rFonts w:ascii="Times New Roman" w:hAnsi="Times New Roman"/>
              </w:rPr>
              <w:t>laipsnio – 2,0</w:t>
            </w:r>
            <w:r w:rsidR="001C79C8" w:rsidRPr="007C1A06">
              <w:rPr>
                <w:rFonts w:ascii="Times New Roman" w:hAnsi="Times New Roman"/>
              </w:rPr>
              <w:t> </w:t>
            </w:r>
            <w:r w:rsidRPr="007C1A06">
              <w:rPr>
                <w:rFonts w:ascii="Times New Roman" w:hAnsi="Times New Roman"/>
              </w:rPr>
              <w:t>%)</w:t>
            </w:r>
          </w:p>
        </w:tc>
        <w:tc>
          <w:tcPr>
            <w:tcW w:w="2345" w:type="dxa"/>
          </w:tcPr>
          <w:p w14:paraId="44891606"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Miokardo išemija</w:t>
            </w:r>
          </w:p>
        </w:tc>
      </w:tr>
      <w:tr w:rsidR="00D875C0" w:rsidRPr="007C1A06" w14:paraId="301D6E1F" w14:textId="77777777" w:rsidTr="004E3CD5">
        <w:tc>
          <w:tcPr>
            <w:tcW w:w="2252" w:type="dxa"/>
          </w:tcPr>
          <w:p w14:paraId="69ABA921" w14:textId="77777777" w:rsidR="00D875C0" w:rsidRPr="00F95B7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Kraujagyslių sutrikimai</w:t>
            </w:r>
          </w:p>
        </w:tc>
        <w:tc>
          <w:tcPr>
            <w:tcW w:w="2344" w:type="dxa"/>
          </w:tcPr>
          <w:p w14:paraId="798459A9" w14:textId="77777777" w:rsidR="00D875C0" w:rsidRPr="001F2C46" w:rsidRDefault="00D875C0" w:rsidP="003876F8">
            <w:pPr>
              <w:autoSpaceDE w:val="0"/>
              <w:autoSpaceDN w:val="0"/>
              <w:adjustRightInd w:val="0"/>
              <w:spacing w:after="0" w:line="240" w:lineRule="auto"/>
              <w:rPr>
                <w:rFonts w:ascii="Times New Roman" w:hAnsi="Times New Roman"/>
              </w:rPr>
            </w:pPr>
          </w:p>
        </w:tc>
        <w:tc>
          <w:tcPr>
            <w:tcW w:w="2345" w:type="dxa"/>
          </w:tcPr>
          <w:p w14:paraId="6570A034" w14:textId="77777777" w:rsidR="00D875C0" w:rsidRPr="00427D92" w:rsidRDefault="00D875C0" w:rsidP="003876F8">
            <w:pPr>
              <w:autoSpaceDE w:val="0"/>
              <w:autoSpaceDN w:val="0"/>
              <w:adjustRightInd w:val="0"/>
              <w:spacing w:after="0" w:line="240" w:lineRule="auto"/>
              <w:rPr>
                <w:rFonts w:ascii="Times New Roman" w:hAnsi="Times New Roman"/>
                <w:b/>
              </w:rPr>
            </w:pPr>
          </w:p>
        </w:tc>
        <w:tc>
          <w:tcPr>
            <w:tcW w:w="2345" w:type="dxa"/>
          </w:tcPr>
          <w:p w14:paraId="2CBED5D1" w14:textId="77777777" w:rsidR="00D875C0" w:rsidRPr="007C1A06" w:rsidRDefault="00D875C0" w:rsidP="003876F8">
            <w:pPr>
              <w:autoSpaceDE w:val="0"/>
              <w:autoSpaceDN w:val="0"/>
              <w:adjustRightInd w:val="0"/>
              <w:spacing w:after="0" w:line="240" w:lineRule="auto"/>
              <w:rPr>
                <w:rFonts w:ascii="Times New Roman" w:hAnsi="Times New Roman"/>
                <w:b/>
              </w:rPr>
            </w:pPr>
            <w:r w:rsidRPr="00C722B4">
              <w:rPr>
                <w:rFonts w:ascii="Times New Roman" w:hAnsi="Times New Roman"/>
              </w:rPr>
              <w:t>Venų sutrikimai</w:t>
            </w:r>
          </w:p>
        </w:tc>
      </w:tr>
      <w:tr w:rsidR="00D875C0" w:rsidRPr="007C1A06" w14:paraId="3AE09A41" w14:textId="77777777" w:rsidTr="004E3CD5">
        <w:tc>
          <w:tcPr>
            <w:tcW w:w="2252" w:type="dxa"/>
          </w:tcPr>
          <w:p w14:paraId="741661C4"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Virškinimo trakto sutrikimai</w:t>
            </w:r>
          </w:p>
        </w:tc>
        <w:tc>
          <w:tcPr>
            <w:tcW w:w="2344" w:type="dxa"/>
          </w:tcPr>
          <w:p w14:paraId="19B1997C"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Pykinimas (3</w:t>
            </w:r>
            <w:r w:rsidR="001C79C8" w:rsidRPr="00427D92">
              <w:rPr>
                <w:rFonts w:ascii="Times New Roman" w:hAnsi="Times New Roman"/>
              </w:rPr>
              <w:noBreakHyphen/>
            </w:r>
            <w:r w:rsidRPr="00427D92">
              <w:rPr>
                <w:rFonts w:ascii="Times New Roman" w:hAnsi="Times New Roman"/>
              </w:rPr>
              <w:t>4</w:t>
            </w:r>
            <w:r w:rsidR="001C79C8" w:rsidRPr="000C43D3">
              <w:rPr>
                <w:rFonts w:ascii="Times New Roman" w:hAnsi="Times New Roman"/>
              </w:rPr>
              <w:t> </w:t>
            </w:r>
            <w:r w:rsidRPr="00C722B4">
              <w:rPr>
                <w:rFonts w:ascii="Times New Roman" w:hAnsi="Times New Roman"/>
              </w:rPr>
              <w:t>laipsnio – 13,9</w:t>
            </w:r>
            <w:r w:rsidR="001C79C8" w:rsidRPr="007C1A06">
              <w:rPr>
                <w:rFonts w:ascii="Times New Roman" w:hAnsi="Times New Roman"/>
              </w:rPr>
              <w:t> </w:t>
            </w:r>
            <w:r w:rsidRPr="007C1A06">
              <w:rPr>
                <w:rFonts w:ascii="Times New Roman" w:hAnsi="Times New Roman"/>
              </w:rPr>
              <w:t>%);</w:t>
            </w:r>
          </w:p>
          <w:p w14:paraId="4D59F87F"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Stomatitas (3</w:t>
            </w:r>
            <w:r w:rsidR="001C79C8" w:rsidRPr="007C1A06">
              <w:rPr>
                <w:rFonts w:ascii="Times New Roman" w:hAnsi="Times New Roman"/>
              </w:rPr>
              <w:noBreakHyphen/>
            </w:r>
            <w:r w:rsidRPr="007C1A06">
              <w:rPr>
                <w:rFonts w:ascii="Times New Roman" w:hAnsi="Times New Roman"/>
              </w:rPr>
              <w:t>4</w:t>
            </w:r>
            <w:r w:rsidR="001C79C8" w:rsidRPr="007C1A06">
              <w:rPr>
                <w:rFonts w:ascii="Times New Roman" w:hAnsi="Times New Roman"/>
              </w:rPr>
              <w:t> </w:t>
            </w:r>
            <w:r w:rsidRPr="007C1A06">
              <w:rPr>
                <w:rFonts w:ascii="Times New Roman" w:hAnsi="Times New Roman"/>
              </w:rPr>
              <w:t>laipsnio – 20,7</w:t>
            </w:r>
            <w:r w:rsidR="001C79C8" w:rsidRPr="007C1A06">
              <w:rPr>
                <w:rFonts w:ascii="Times New Roman" w:hAnsi="Times New Roman"/>
              </w:rPr>
              <w:t> </w:t>
            </w:r>
            <w:r w:rsidRPr="007C1A06">
              <w:rPr>
                <w:rFonts w:ascii="Times New Roman" w:hAnsi="Times New Roman"/>
              </w:rPr>
              <w:t>%);</w:t>
            </w:r>
          </w:p>
          <w:p w14:paraId="0F9F00CC" w14:textId="77777777" w:rsidR="00D875C0" w:rsidRPr="00F95B76" w:rsidRDefault="00D875C0" w:rsidP="003876F8">
            <w:pPr>
              <w:autoSpaceDE w:val="0"/>
              <w:autoSpaceDN w:val="0"/>
              <w:adjustRightInd w:val="0"/>
              <w:spacing w:after="0" w:line="240" w:lineRule="auto"/>
              <w:rPr>
                <w:rFonts w:ascii="Times New Roman" w:eastAsiaTheme="minorEastAsia" w:hAnsi="Times New Roman"/>
                <w:lang w:val="en-US" w:eastAsia="zh-TW"/>
              </w:rPr>
            </w:pPr>
            <w:r w:rsidRPr="007C1A06">
              <w:rPr>
                <w:rFonts w:ascii="Times New Roman" w:hAnsi="Times New Roman"/>
              </w:rPr>
              <w:t>Vėmimas (3</w:t>
            </w:r>
            <w:r w:rsidR="001C79C8" w:rsidRPr="007C1A06">
              <w:rPr>
                <w:rFonts w:ascii="Times New Roman" w:hAnsi="Times New Roman"/>
              </w:rPr>
              <w:noBreakHyphen/>
            </w:r>
            <w:r w:rsidRPr="007C1A06">
              <w:rPr>
                <w:rFonts w:ascii="Times New Roman" w:hAnsi="Times New Roman"/>
              </w:rPr>
              <w:t>4</w:t>
            </w:r>
            <w:r w:rsidR="001C79C8" w:rsidRPr="007C1A06">
              <w:rPr>
                <w:rFonts w:ascii="Times New Roman" w:hAnsi="Times New Roman"/>
              </w:rPr>
              <w:t> </w:t>
            </w:r>
            <w:r w:rsidRPr="007C1A06">
              <w:rPr>
                <w:rFonts w:ascii="Times New Roman" w:hAnsi="Times New Roman"/>
              </w:rPr>
              <w:t>laipsnio – 8,4</w:t>
            </w:r>
            <w:r w:rsidR="001C79C8" w:rsidRPr="007C1A06">
              <w:rPr>
                <w:rFonts w:ascii="Times New Roman" w:hAnsi="Times New Roman"/>
              </w:rPr>
              <w:t> </w:t>
            </w:r>
            <w:r w:rsidRPr="007C1A06">
              <w:rPr>
                <w:rFonts w:ascii="Times New Roman" w:eastAsia="Times New Roman" w:hAnsi="Times New Roman" w:cs="Times New Roman"/>
              </w:rPr>
              <w:t>%)</w:t>
            </w:r>
          </w:p>
          <w:p w14:paraId="61EE51B9" w14:textId="77777777" w:rsidR="00D875C0" w:rsidRPr="007C1A0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Viduriavimas (3</w:t>
            </w:r>
            <w:r w:rsidR="001C79C8" w:rsidRPr="00427D92">
              <w:rPr>
                <w:rFonts w:ascii="Times New Roman" w:hAnsi="Times New Roman"/>
              </w:rPr>
              <w:noBreakHyphen/>
            </w:r>
            <w:r w:rsidRPr="00427D92">
              <w:rPr>
                <w:rFonts w:ascii="Times New Roman" w:hAnsi="Times New Roman"/>
              </w:rPr>
              <w:t>4</w:t>
            </w:r>
            <w:r w:rsidR="001C79C8" w:rsidRPr="000C43D3">
              <w:rPr>
                <w:rFonts w:ascii="Times New Roman" w:hAnsi="Times New Roman"/>
              </w:rPr>
              <w:t> </w:t>
            </w:r>
            <w:r w:rsidRPr="00C722B4">
              <w:rPr>
                <w:rFonts w:ascii="Times New Roman" w:hAnsi="Times New Roman"/>
              </w:rPr>
              <w:t>l</w:t>
            </w:r>
            <w:r w:rsidRPr="007C1A06">
              <w:rPr>
                <w:rFonts w:ascii="Times New Roman" w:hAnsi="Times New Roman"/>
              </w:rPr>
              <w:t>aipsnio – 6,8</w:t>
            </w:r>
            <w:r w:rsidR="001C79C8" w:rsidRPr="007C1A06">
              <w:rPr>
                <w:rFonts w:ascii="Times New Roman" w:hAnsi="Times New Roman"/>
              </w:rPr>
              <w:t> </w:t>
            </w:r>
            <w:r w:rsidRPr="007C1A06">
              <w:rPr>
                <w:rFonts w:ascii="Times New Roman" w:hAnsi="Times New Roman"/>
              </w:rPr>
              <w:t>%);</w:t>
            </w:r>
          </w:p>
          <w:p w14:paraId="0EC20837"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Ezofagitas arba disfagija arba odinofagija (3</w:t>
            </w:r>
            <w:r w:rsidR="001C79C8" w:rsidRPr="007C1A06">
              <w:rPr>
                <w:rFonts w:ascii="Times New Roman" w:hAnsi="Times New Roman"/>
              </w:rPr>
              <w:noBreakHyphen/>
            </w:r>
            <w:r w:rsidRPr="007C1A06">
              <w:rPr>
                <w:rFonts w:ascii="Times New Roman" w:hAnsi="Times New Roman"/>
              </w:rPr>
              <w:t>4</w:t>
            </w:r>
            <w:r w:rsidR="001C79C8" w:rsidRPr="007C1A06">
              <w:rPr>
                <w:rFonts w:ascii="Times New Roman" w:hAnsi="Times New Roman"/>
              </w:rPr>
              <w:t> </w:t>
            </w:r>
            <w:r w:rsidRPr="007C1A06">
              <w:rPr>
                <w:rFonts w:ascii="Times New Roman" w:hAnsi="Times New Roman"/>
              </w:rPr>
              <w:t>laipsnio – 12,0</w:t>
            </w:r>
            <w:r w:rsidR="001C79C8" w:rsidRPr="007C1A06">
              <w:rPr>
                <w:rFonts w:ascii="Times New Roman" w:hAnsi="Times New Roman"/>
              </w:rPr>
              <w:t> </w:t>
            </w:r>
            <w:r w:rsidRPr="007C1A06">
              <w:rPr>
                <w:rFonts w:ascii="Times New Roman" w:hAnsi="Times New Roman"/>
              </w:rPr>
              <w:t>%);</w:t>
            </w:r>
          </w:p>
          <w:p w14:paraId="44C1EFEF" w14:textId="77777777" w:rsidR="00D875C0" w:rsidRPr="004E3CD5" w:rsidRDefault="00D875C0" w:rsidP="001C79C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Vidurių užkietėjimas (3</w:t>
            </w:r>
            <w:r w:rsidR="001C79C8" w:rsidRPr="007C1A06">
              <w:rPr>
                <w:rFonts w:ascii="Times New Roman" w:hAnsi="Times New Roman"/>
              </w:rPr>
              <w:noBreakHyphen/>
            </w:r>
            <w:r w:rsidRPr="007C1A06">
              <w:rPr>
                <w:rFonts w:ascii="Times New Roman" w:hAnsi="Times New Roman"/>
              </w:rPr>
              <w:t>4</w:t>
            </w:r>
            <w:r w:rsidR="001C79C8" w:rsidRPr="007C1A06">
              <w:rPr>
                <w:rFonts w:ascii="Times New Roman" w:hAnsi="Times New Roman"/>
              </w:rPr>
              <w:t> </w:t>
            </w:r>
            <w:r w:rsidRPr="007C1A06">
              <w:rPr>
                <w:rFonts w:ascii="Times New Roman" w:hAnsi="Times New Roman"/>
              </w:rPr>
              <w:t>laipsnio – 0,4</w:t>
            </w:r>
            <w:r w:rsidR="001C79C8" w:rsidRPr="007C1A06">
              <w:rPr>
                <w:rFonts w:ascii="Times New Roman" w:hAnsi="Times New Roman"/>
              </w:rPr>
              <w:t> </w:t>
            </w:r>
            <w:r w:rsidRPr="007C1A06">
              <w:rPr>
                <w:rFonts w:ascii="Times New Roman" w:hAnsi="Times New Roman"/>
              </w:rPr>
              <w:t>%)</w:t>
            </w:r>
          </w:p>
        </w:tc>
        <w:tc>
          <w:tcPr>
            <w:tcW w:w="2345" w:type="dxa"/>
          </w:tcPr>
          <w:p w14:paraId="5F1E8860" w14:textId="77777777" w:rsidR="00D875C0" w:rsidRPr="00874783"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Dispepsija (3</w:t>
            </w:r>
            <w:r w:rsidR="001C79C8" w:rsidRPr="007C1A06">
              <w:rPr>
                <w:rFonts w:ascii="Times New Roman" w:hAnsi="Times New Roman"/>
              </w:rPr>
              <w:noBreakHyphen/>
            </w:r>
            <w:r w:rsidRPr="007C1A06">
              <w:rPr>
                <w:rFonts w:ascii="Times New Roman" w:hAnsi="Times New Roman"/>
              </w:rPr>
              <w:t>4</w:t>
            </w:r>
            <w:r w:rsidR="001C79C8" w:rsidRPr="007C1A06">
              <w:rPr>
                <w:rFonts w:ascii="Times New Roman" w:hAnsi="Times New Roman"/>
              </w:rPr>
              <w:t> </w:t>
            </w:r>
            <w:r w:rsidRPr="007C1A06">
              <w:rPr>
                <w:rFonts w:ascii="Times New Roman" w:hAnsi="Times New Roman"/>
              </w:rPr>
              <w:t>laipsnio – 0,8</w:t>
            </w:r>
            <w:r w:rsidR="001C79C8" w:rsidRPr="007C1A06">
              <w:rPr>
                <w:rFonts w:ascii="Times New Roman" w:hAnsi="Times New Roman"/>
              </w:rPr>
              <w:t> </w:t>
            </w:r>
            <w:r w:rsidRPr="007C1A06">
              <w:rPr>
                <w:rFonts w:ascii="Times New Roman" w:eastAsia="Times New Roman" w:hAnsi="Times New Roman" w:cs="Times New Roman"/>
              </w:rPr>
              <w:t>%)</w:t>
            </w:r>
            <w:r w:rsidR="005E00ED">
              <w:rPr>
                <w:rFonts w:ascii="Times New Roman" w:eastAsia="Times New Roman" w:hAnsi="Times New Roman" w:cs="Times New Roman"/>
              </w:rPr>
              <w:t>;</w:t>
            </w:r>
          </w:p>
          <w:p w14:paraId="3162C1F0" w14:textId="77777777" w:rsidR="00D875C0" w:rsidRPr="00F95B76" w:rsidRDefault="00D875C0" w:rsidP="003876F8">
            <w:pPr>
              <w:autoSpaceDE w:val="0"/>
              <w:autoSpaceDN w:val="0"/>
              <w:adjustRightInd w:val="0"/>
              <w:spacing w:after="0" w:line="240" w:lineRule="auto"/>
              <w:rPr>
                <w:rFonts w:ascii="Times New Roman" w:hAnsi="Times New Roman"/>
              </w:rPr>
            </w:pPr>
            <w:r w:rsidRPr="001F2C46">
              <w:rPr>
                <w:rFonts w:ascii="Times New Roman" w:hAnsi="Times New Roman"/>
              </w:rPr>
              <w:t>Virškinimo trakto skausmas (3</w:t>
            </w:r>
            <w:r w:rsidR="001C79C8" w:rsidRPr="001F2C46">
              <w:rPr>
                <w:rFonts w:ascii="Times New Roman" w:hAnsi="Times New Roman"/>
              </w:rPr>
              <w:noBreakHyphen/>
            </w:r>
            <w:r w:rsidRPr="001F2C46">
              <w:rPr>
                <w:rFonts w:ascii="Times New Roman" w:hAnsi="Times New Roman"/>
              </w:rPr>
              <w:t>4</w:t>
            </w:r>
            <w:r w:rsidR="001C79C8" w:rsidRPr="00427D92">
              <w:rPr>
                <w:rFonts w:ascii="Times New Roman" w:hAnsi="Times New Roman"/>
              </w:rPr>
              <w:t> </w:t>
            </w:r>
            <w:r w:rsidRPr="00427D92">
              <w:rPr>
                <w:rFonts w:ascii="Times New Roman" w:hAnsi="Times New Roman"/>
              </w:rPr>
              <w:t>laipsnio – 1,2</w:t>
            </w:r>
            <w:r w:rsidR="001C79C8" w:rsidRPr="00C722B4">
              <w:rPr>
                <w:rFonts w:ascii="Times New Roman" w:hAnsi="Times New Roman"/>
              </w:rPr>
              <w:t> </w:t>
            </w:r>
            <w:r w:rsidRPr="007C1A06">
              <w:rPr>
                <w:rFonts w:ascii="Times New Roman" w:eastAsia="Times New Roman" w:hAnsi="Times New Roman" w:cs="Times New Roman"/>
              </w:rPr>
              <w:t>%)</w:t>
            </w:r>
            <w:r w:rsidR="005E00ED">
              <w:rPr>
                <w:rFonts w:ascii="Times New Roman" w:eastAsia="Times New Roman" w:hAnsi="Times New Roman" w:cs="Times New Roman"/>
              </w:rPr>
              <w:t>;</w:t>
            </w:r>
          </w:p>
          <w:p w14:paraId="34B6DFB7" w14:textId="77777777" w:rsidR="00D875C0" w:rsidRPr="007C1A06" w:rsidRDefault="00D875C0" w:rsidP="001C79C8">
            <w:pPr>
              <w:autoSpaceDE w:val="0"/>
              <w:autoSpaceDN w:val="0"/>
              <w:adjustRightInd w:val="0"/>
              <w:spacing w:after="0" w:line="240" w:lineRule="auto"/>
              <w:rPr>
                <w:rFonts w:ascii="Times New Roman" w:hAnsi="Times New Roman"/>
                <w:b/>
              </w:rPr>
            </w:pPr>
            <w:r w:rsidRPr="001F2C46">
              <w:rPr>
                <w:rFonts w:ascii="Times New Roman" w:hAnsi="Times New Roman"/>
              </w:rPr>
              <w:t>Kraujavimas iš virškinimo takto (3</w:t>
            </w:r>
            <w:r w:rsidR="001C79C8" w:rsidRPr="00427D92">
              <w:rPr>
                <w:rFonts w:ascii="Times New Roman" w:hAnsi="Times New Roman"/>
              </w:rPr>
              <w:noBreakHyphen/>
            </w:r>
            <w:r w:rsidRPr="00427D92">
              <w:rPr>
                <w:rFonts w:ascii="Times New Roman" w:hAnsi="Times New Roman"/>
              </w:rPr>
              <w:t>4</w:t>
            </w:r>
            <w:r w:rsidR="001C79C8" w:rsidRPr="000C43D3">
              <w:rPr>
                <w:rFonts w:ascii="Times New Roman" w:hAnsi="Times New Roman"/>
              </w:rPr>
              <w:t> </w:t>
            </w:r>
            <w:r w:rsidRPr="00C722B4">
              <w:rPr>
                <w:rFonts w:ascii="Times New Roman" w:hAnsi="Times New Roman"/>
              </w:rPr>
              <w:t>laipsnio – 0,4</w:t>
            </w:r>
            <w:r w:rsidR="001C79C8" w:rsidRPr="007C1A06">
              <w:rPr>
                <w:rFonts w:ascii="Times New Roman" w:hAnsi="Times New Roman"/>
              </w:rPr>
              <w:t> </w:t>
            </w:r>
            <w:r w:rsidRPr="007C1A06">
              <w:rPr>
                <w:rFonts w:ascii="Times New Roman" w:hAnsi="Times New Roman"/>
              </w:rPr>
              <w:t>%)</w:t>
            </w:r>
          </w:p>
        </w:tc>
        <w:tc>
          <w:tcPr>
            <w:tcW w:w="2345" w:type="dxa"/>
          </w:tcPr>
          <w:p w14:paraId="66B14CEA"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1654274B" w14:textId="77777777" w:rsidTr="004E3CD5">
        <w:tc>
          <w:tcPr>
            <w:tcW w:w="2252" w:type="dxa"/>
          </w:tcPr>
          <w:p w14:paraId="558A8302" w14:textId="77777777" w:rsidR="00D875C0" w:rsidRPr="00F95B76" w:rsidRDefault="00D875C0" w:rsidP="003876F8">
            <w:pPr>
              <w:spacing w:after="0" w:line="240" w:lineRule="auto"/>
              <w:rPr>
                <w:rFonts w:ascii="Times New Roman" w:hAnsi="Times New Roman"/>
              </w:rPr>
            </w:pPr>
            <w:r w:rsidRPr="00F95B76">
              <w:rPr>
                <w:rFonts w:ascii="Times New Roman" w:hAnsi="Times New Roman"/>
              </w:rPr>
              <w:t>Odos ir poodinio audinio sutrikimai</w:t>
            </w:r>
          </w:p>
        </w:tc>
        <w:tc>
          <w:tcPr>
            <w:tcW w:w="2344" w:type="dxa"/>
          </w:tcPr>
          <w:p w14:paraId="3DD0C3EF" w14:textId="77777777" w:rsidR="001C79C8" w:rsidRPr="007C1A06" w:rsidRDefault="00D875C0" w:rsidP="001C79C8">
            <w:pPr>
              <w:autoSpaceDE w:val="0"/>
              <w:autoSpaceDN w:val="0"/>
              <w:adjustRightInd w:val="0"/>
              <w:spacing w:after="0" w:line="240" w:lineRule="auto"/>
              <w:rPr>
                <w:rFonts w:ascii="Times New Roman" w:hAnsi="Times New Roman"/>
              </w:rPr>
            </w:pPr>
            <w:r w:rsidRPr="001F2C46">
              <w:rPr>
                <w:rFonts w:ascii="Times New Roman" w:hAnsi="Times New Roman"/>
              </w:rPr>
              <w:t>Alopecija (3</w:t>
            </w:r>
            <w:r w:rsidR="001C79C8" w:rsidRPr="001F2C46">
              <w:rPr>
                <w:rFonts w:ascii="Times New Roman" w:hAnsi="Times New Roman"/>
              </w:rPr>
              <w:noBreakHyphen/>
            </w:r>
            <w:r w:rsidRPr="001F2C46">
              <w:rPr>
                <w:rFonts w:ascii="Times New Roman" w:hAnsi="Times New Roman"/>
              </w:rPr>
              <w:t>4</w:t>
            </w:r>
            <w:r w:rsidR="001C79C8" w:rsidRPr="00427D92">
              <w:rPr>
                <w:rFonts w:ascii="Times New Roman" w:hAnsi="Times New Roman"/>
              </w:rPr>
              <w:t> </w:t>
            </w:r>
            <w:r w:rsidRPr="00427D92">
              <w:rPr>
                <w:rFonts w:ascii="Times New Roman" w:hAnsi="Times New Roman"/>
              </w:rPr>
              <w:t>laipsnio – 4,0</w:t>
            </w:r>
            <w:r w:rsidR="001C79C8" w:rsidRPr="00C722B4">
              <w:rPr>
                <w:rFonts w:ascii="Times New Roman" w:hAnsi="Times New Roman"/>
              </w:rPr>
              <w:t> </w:t>
            </w:r>
            <w:r w:rsidRPr="007C1A06">
              <w:rPr>
                <w:rFonts w:ascii="Times New Roman" w:hAnsi="Times New Roman"/>
              </w:rPr>
              <w:t>%);</w:t>
            </w:r>
          </w:p>
          <w:p w14:paraId="0CF98A5C" w14:textId="77777777" w:rsidR="00D875C0" w:rsidRPr="004E3CD5" w:rsidRDefault="00D875C0" w:rsidP="001C79C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Odos išbėrimas su niežėjimu</w:t>
            </w:r>
          </w:p>
        </w:tc>
        <w:tc>
          <w:tcPr>
            <w:tcW w:w="2345" w:type="dxa"/>
          </w:tcPr>
          <w:p w14:paraId="5C3D996D"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Odos sausumas;</w:t>
            </w:r>
          </w:p>
          <w:p w14:paraId="4233D8AB" w14:textId="77777777" w:rsidR="00D875C0" w:rsidRPr="004E3CD5" w:rsidRDefault="00D875C0" w:rsidP="003876F8">
            <w:pPr>
              <w:spacing w:after="0" w:line="240" w:lineRule="auto"/>
              <w:rPr>
                <w:rFonts w:ascii="Times New Roman" w:eastAsiaTheme="minorEastAsia" w:hAnsi="Times New Roman"/>
                <w:lang w:eastAsia="zh-TW"/>
              </w:rPr>
            </w:pPr>
            <w:r w:rsidRPr="007C1A06">
              <w:rPr>
                <w:rFonts w:ascii="Times New Roman" w:hAnsi="Times New Roman"/>
              </w:rPr>
              <w:t>Deskvamacija</w:t>
            </w:r>
          </w:p>
        </w:tc>
        <w:tc>
          <w:tcPr>
            <w:tcW w:w="2345" w:type="dxa"/>
          </w:tcPr>
          <w:p w14:paraId="5A0BEB71" w14:textId="77777777" w:rsidR="00D875C0" w:rsidRPr="007C1A06" w:rsidRDefault="00D875C0" w:rsidP="003876F8">
            <w:pPr>
              <w:spacing w:after="0" w:line="240" w:lineRule="auto"/>
              <w:rPr>
                <w:rFonts w:ascii="Times New Roman" w:hAnsi="Times New Roman"/>
              </w:rPr>
            </w:pPr>
          </w:p>
        </w:tc>
      </w:tr>
      <w:tr w:rsidR="00D875C0" w:rsidRPr="007C1A06" w14:paraId="14563BE9" w14:textId="77777777" w:rsidTr="004E3CD5">
        <w:tc>
          <w:tcPr>
            <w:tcW w:w="2252" w:type="dxa"/>
          </w:tcPr>
          <w:p w14:paraId="35742889"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 xml:space="preserve">Skeleto, raumenų ir jungiamojo audinio sutrikimai </w:t>
            </w:r>
          </w:p>
        </w:tc>
        <w:tc>
          <w:tcPr>
            <w:tcW w:w="2344" w:type="dxa"/>
          </w:tcPr>
          <w:p w14:paraId="4443E3C4" w14:textId="77777777" w:rsidR="00D875C0" w:rsidRPr="001F2C46" w:rsidRDefault="00D875C0" w:rsidP="003876F8">
            <w:pPr>
              <w:autoSpaceDE w:val="0"/>
              <w:autoSpaceDN w:val="0"/>
              <w:adjustRightInd w:val="0"/>
              <w:spacing w:after="0" w:line="240" w:lineRule="auto"/>
              <w:rPr>
                <w:rFonts w:ascii="Times New Roman" w:hAnsi="Times New Roman"/>
                <w:b/>
              </w:rPr>
            </w:pPr>
          </w:p>
        </w:tc>
        <w:tc>
          <w:tcPr>
            <w:tcW w:w="2345" w:type="dxa"/>
          </w:tcPr>
          <w:p w14:paraId="7B85A16E" w14:textId="77777777" w:rsidR="00D875C0" w:rsidRPr="007C1A06" w:rsidRDefault="00D875C0" w:rsidP="001C79C8">
            <w:pPr>
              <w:autoSpaceDE w:val="0"/>
              <w:autoSpaceDN w:val="0"/>
              <w:adjustRightInd w:val="0"/>
              <w:spacing w:after="0" w:line="240" w:lineRule="auto"/>
              <w:rPr>
                <w:rFonts w:ascii="Times New Roman" w:hAnsi="Times New Roman"/>
                <w:b/>
              </w:rPr>
            </w:pPr>
            <w:r w:rsidRPr="00427D92">
              <w:rPr>
                <w:rFonts w:ascii="Times New Roman" w:hAnsi="Times New Roman"/>
              </w:rPr>
              <w:t>Mialgija (3</w:t>
            </w:r>
            <w:r w:rsidR="001C79C8" w:rsidRPr="00427D92">
              <w:rPr>
                <w:rFonts w:ascii="Times New Roman" w:hAnsi="Times New Roman"/>
              </w:rPr>
              <w:noBreakHyphen/>
            </w:r>
            <w:r w:rsidRPr="000C43D3">
              <w:rPr>
                <w:rFonts w:ascii="Times New Roman" w:hAnsi="Times New Roman"/>
              </w:rPr>
              <w:t>4</w:t>
            </w:r>
            <w:r w:rsidR="001C79C8" w:rsidRPr="00C722B4">
              <w:rPr>
                <w:rFonts w:ascii="Times New Roman" w:hAnsi="Times New Roman"/>
              </w:rPr>
              <w:t> </w:t>
            </w:r>
            <w:r w:rsidRPr="007C1A06">
              <w:rPr>
                <w:rFonts w:ascii="Times New Roman" w:hAnsi="Times New Roman"/>
              </w:rPr>
              <w:t>laipsnio – 0,4</w:t>
            </w:r>
            <w:r w:rsidR="001C79C8" w:rsidRPr="007C1A06">
              <w:rPr>
                <w:rFonts w:ascii="Times New Roman" w:hAnsi="Times New Roman"/>
              </w:rPr>
              <w:t> </w:t>
            </w:r>
            <w:r w:rsidRPr="007C1A06">
              <w:rPr>
                <w:rFonts w:ascii="Times New Roman" w:hAnsi="Times New Roman"/>
              </w:rPr>
              <w:t>%)</w:t>
            </w:r>
          </w:p>
        </w:tc>
        <w:tc>
          <w:tcPr>
            <w:tcW w:w="2345" w:type="dxa"/>
          </w:tcPr>
          <w:p w14:paraId="508EE0E3"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0C5B09F4" w14:textId="77777777" w:rsidTr="004E3CD5">
        <w:tc>
          <w:tcPr>
            <w:tcW w:w="2252" w:type="dxa"/>
          </w:tcPr>
          <w:p w14:paraId="4B450C25" w14:textId="77777777" w:rsidR="00D875C0" w:rsidRPr="001F2C4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rPr>
              <w:t xml:space="preserve">Bendrieji sutrikimai ir vartojimo vietos </w:t>
            </w:r>
            <w:r w:rsidRPr="001F2C46">
              <w:rPr>
                <w:rFonts w:ascii="Times New Roman" w:hAnsi="Times New Roman"/>
              </w:rPr>
              <w:t>pažeidimai</w:t>
            </w:r>
          </w:p>
        </w:tc>
        <w:tc>
          <w:tcPr>
            <w:tcW w:w="2344" w:type="dxa"/>
          </w:tcPr>
          <w:p w14:paraId="32EFD19E" w14:textId="77777777" w:rsidR="00D875C0" w:rsidRPr="007C1A06"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Letargija (3</w:t>
            </w:r>
            <w:r w:rsidR="001C79C8" w:rsidRPr="00427D92">
              <w:rPr>
                <w:rFonts w:ascii="Times New Roman" w:hAnsi="Times New Roman"/>
              </w:rPr>
              <w:noBreakHyphen/>
            </w:r>
            <w:r w:rsidRPr="000C43D3">
              <w:rPr>
                <w:rFonts w:ascii="Times New Roman" w:hAnsi="Times New Roman"/>
              </w:rPr>
              <w:t>4</w:t>
            </w:r>
            <w:r w:rsidR="001C79C8" w:rsidRPr="00C722B4">
              <w:rPr>
                <w:rFonts w:ascii="Times New Roman" w:hAnsi="Times New Roman"/>
              </w:rPr>
              <w:t> </w:t>
            </w:r>
            <w:r w:rsidRPr="007C1A06">
              <w:rPr>
                <w:rFonts w:ascii="Times New Roman" w:hAnsi="Times New Roman"/>
              </w:rPr>
              <w:t>laipsnio – 4,0</w:t>
            </w:r>
            <w:r w:rsidR="001C79C8" w:rsidRPr="007C1A06">
              <w:rPr>
                <w:rFonts w:ascii="Times New Roman" w:hAnsi="Times New Roman"/>
              </w:rPr>
              <w:t> </w:t>
            </w:r>
            <w:r w:rsidRPr="007C1A06">
              <w:rPr>
                <w:rFonts w:ascii="Times New Roman" w:hAnsi="Times New Roman"/>
              </w:rPr>
              <w:t>%);</w:t>
            </w:r>
          </w:p>
          <w:p w14:paraId="35495CA3"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Karščiavimas (3</w:t>
            </w:r>
            <w:r w:rsidR="001C79C8" w:rsidRPr="007C1A06">
              <w:rPr>
                <w:rFonts w:ascii="Times New Roman" w:hAnsi="Times New Roman"/>
              </w:rPr>
              <w:noBreakHyphen/>
            </w:r>
            <w:r w:rsidRPr="007C1A06">
              <w:rPr>
                <w:rFonts w:ascii="Times New Roman" w:hAnsi="Times New Roman"/>
              </w:rPr>
              <w:t>4</w:t>
            </w:r>
            <w:r w:rsidR="001C79C8" w:rsidRPr="007C1A06">
              <w:rPr>
                <w:rFonts w:ascii="Times New Roman" w:hAnsi="Times New Roman"/>
              </w:rPr>
              <w:t> </w:t>
            </w:r>
            <w:r w:rsidRPr="007C1A06">
              <w:rPr>
                <w:rFonts w:ascii="Times New Roman" w:hAnsi="Times New Roman"/>
              </w:rPr>
              <w:t>laipsnio – 3,6</w:t>
            </w:r>
            <w:r w:rsidR="001C79C8" w:rsidRPr="007C1A06">
              <w:rPr>
                <w:rFonts w:ascii="Times New Roman" w:hAnsi="Times New Roman"/>
              </w:rPr>
              <w:t> </w:t>
            </w:r>
            <w:r w:rsidRPr="007C1A06">
              <w:rPr>
                <w:rFonts w:ascii="Times New Roman" w:hAnsi="Times New Roman"/>
              </w:rPr>
              <w:t>%);</w:t>
            </w:r>
          </w:p>
          <w:p w14:paraId="5A73A291"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Skysčių susilaikymas (3</w:t>
            </w:r>
            <w:r w:rsidR="001C79C8" w:rsidRPr="007C1A06">
              <w:rPr>
                <w:rFonts w:ascii="Times New Roman" w:hAnsi="Times New Roman"/>
              </w:rPr>
              <w:noBreakHyphen/>
            </w:r>
            <w:r w:rsidRPr="007C1A06">
              <w:rPr>
                <w:rFonts w:ascii="Times New Roman" w:hAnsi="Times New Roman"/>
              </w:rPr>
              <w:t>4</w:t>
            </w:r>
            <w:r w:rsidR="001C79C8" w:rsidRPr="007C1A06">
              <w:rPr>
                <w:rFonts w:ascii="Times New Roman" w:hAnsi="Times New Roman"/>
              </w:rPr>
              <w:t> </w:t>
            </w:r>
            <w:r w:rsidRPr="007C1A06">
              <w:rPr>
                <w:rFonts w:ascii="Times New Roman" w:hAnsi="Times New Roman"/>
              </w:rPr>
              <w:t>laipsnio – 1,2</w:t>
            </w:r>
            <w:r w:rsidR="001C79C8" w:rsidRPr="007C1A06">
              <w:rPr>
                <w:rFonts w:ascii="Times New Roman" w:hAnsi="Times New Roman"/>
              </w:rPr>
              <w:t> </w:t>
            </w:r>
            <w:r w:rsidRPr="007C1A06">
              <w:rPr>
                <w:rFonts w:ascii="Times New Roman" w:hAnsi="Times New Roman"/>
              </w:rPr>
              <w:t>%);</w:t>
            </w:r>
          </w:p>
          <w:p w14:paraId="21308E36" w14:textId="77777777" w:rsidR="00D875C0" w:rsidRPr="004E3CD5" w:rsidRDefault="00D875C0" w:rsidP="001C79C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rPr>
              <w:t>Edema (3</w:t>
            </w:r>
            <w:r w:rsidR="001C79C8" w:rsidRPr="007C1A06">
              <w:rPr>
                <w:rFonts w:ascii="Times New Roman" w:hAnsi="Times New Roman"/>
              </w:rPr>
              <w:noBreakHyphen/>
            </w:r>
            <w:r w:rsidRPr="007C1A06">
              <w:rPr>
                <w:rFonts w:ascii="Times New Roman" w:hAnsi="Times New Roman"/>
              </w:rPr>
              <w:t>4</w:t>
            </w:r>
            <w:r w:rsidR="001C79C8" w:rsidRPr="007C1A06">
              <w:rPr>
                <w:rFonts w:ascii="Times New Roman" w:hAnsi="Times New Roman"/>
              </w:rPr>
              <w:t> </w:t>
            </w:r>
            <w:r w:rsidRPr="007C1A06">
              <w:rPr>
                <w:rFonts w:ascii="Times New Roman" w:hAnsi="Times New Roman"/>
              </w:rPr>
              <w:t>laipsnio – 1,2</w:t>
            </w:r>
            <w:r w:rsidR="001C79C8" w:rsidRPr="007C1A06">
              <w:rPr>
                <w:rFonts w:ascii="Times New Roman" w:hAnsi="Times New Roman"/>
              </w:rPr>
              <w:t> </w:t>
            </w:r>
            <w:r w:rsidRPr="007C1A06">
              <w:rPr>
                <w:rFonts w:ascii="Times New Roman" w:hAnsi="Times New Roman"/>
              </w:rPr>
              <w:t>%)</w:t>
            </w:r>
          </w:p>
        </w:tc>
        <w:tc>
          <w:tcPr>
            <w:tcW w:w="2345" w:type="dxa"/>
          </w:tcPr>
          <w:p w14:paraId="5ECC78EB" w14:textId="77777777" w:rsidR="00D875C0" w:rsidRPr="007C1A06" w:rsidRDefault="00D875C0" w:rsidP="003876F8">
            <w:pPr>
              <w:autoSpaceDE w:val="0"/>
              <w:autoSpaceDN w:val="0"/>
              <w:adjustRightInd w:val="0"/>
              <w:spacing w:after="0" w:line="240" w:lineRule="auto"/>
              <w:rPr>
                <w:rFonts w:ascii="Times New Roman" w:hAnsi="Times New Roman"/>
                <w:b/>
              </w:rPr>
            </w:pPr>
          </w:p>
        </w:tc>
        <w:tc>
          <w:tcPr>
            <w:tcW w:w="2345" w:type="dxa"/>
          </w:tcPr>
          <w:p w14:paraId="6547BE43" w14:textId="77777777" w:rsidR="00D875C0" w:rsidRPr="007C1A06" w:rsidRDefault="00D875C0" w:rsidP="003876F8">
            <w:pPr>
              <w:autoSpaceDE w:val="0"/>
              <w:autoSpaceDN w:val="0"/>
              <w:adjustRightInd w:val="0"/>
              <w:spacing w:after="0" w:line="240" w:lineRule="auto"/>
              <w:rPr>
                <w:rFonts w:ascii="Times New Roman" w:hAnsi="Times New Roman"/>
                <w:b/>
              </w:rPr>
            </w:pPr>
          </w:p>
        </w:tc>
      </w:tr>
      <w:tr w:rsidR="00D875C0" w:rsidRPr="007C1A06" w14:paraId="542359EC" w14:textId="77777777" w:rsidTr="004E3CD5">
        <w:tc>
          <w:tcPr>
            <w:tcW w:w="2252" w:type="dxa"/>
          </w:tcPr>
          <w:p w14:paraId="1B99818D" w14:textId="77777777" w:rsidR="00D875C0" w:rsidRPr="00F95B76" w:rsidRDefault="00D875C0" w:rsidP="003876F8">
            <w:pPr>
              <w:spacing w:after="0" w:line="240" w:lineRule="auto"/>
              <w:rPr>
                <w:rFonts w:ascii="Times New Roman" w:hAnsi="Times New Roman"/>
              </w:rPr>
            </w:pPr>
            <w:r w:rsidRPr="00F95B76">
              <w:rPr>
                <w:rFonts w:ascii="Times New Roman" w:hAnsi="Times New Roman"/>
              </w:rPr>
              <w:t>Tyrimai</w:t>
            </w:r>
          </w:p>
        </w:tc>
        <w:tc>
          <w:tcPr>
            <w:tcW w:w="2344" w:type="dxa"/>
          </w:tcPr>
          <w:p w14:paraId="6B0BC2A1" w14:textId="77777777" w:rsidR="00D875C0" w:rsidRPr="001F2C46" w:rsidRDefault="00D875C0" w:rsidP="003876F8">
            <w:pPr>
              <w:spacing w:after="0" w:line="240" w:lineRule="auto"/>
              <w:rPr>
                <w:rFonts w:ascii="Times New Roman" w:hAnsi="Times New Roman"/>
              </w:rPr>
            </w:pPr>
            <w:r w:rsidRPr="001F2C46">
              <w:rPr>
                <w:rFonts w:ascii="Times New Roman" w:hAnsi="Times New Roman"/>
              </w:rPr>
              <w:t>Svorio sumažėjimas</w:t>
            </w:r>
          </w:p>
        </w:tc>
        <w:tc>
          <w:tcPr>
            <w:tcW w:w="2345" w:type="dxa"/>
          </w:tcPr>
          <w:p w14:paraId="3D369479" w14:textId="77777777" w:rsidR="00D875C0" w:rsidRPr="00427D92" w:rsidRDefault="00D875C0" w:rsidP="003876F8">
            <w:pPr>
              <w:spacing w:after="0" w:line="240" w:lineRule="auto"/>
              <w:rPr>
                <w:rFonts w:ascii="Times New Roman" w:hAnsi="Times New Roman"/>
              </w:rPr>
            </w:pPr>
          </w:p>
        </w:tc>
        <w:tc>
          <w:tcPr>
            <w:tcW w:w="2345" w:type="dxa"/>
          </w:tcPr>
          <w:p w14:paraId="71EAB4B4" w14:textId="77777777" w:rsidR="00D875C0" w:rsidRPr="00C722B4" w:rsidRDefault="00D875C0" w:rsidP="003876F8">
            <w:pPr>
              <w:spacing w:after="0" w:line="240" w:lineRule="auto"/>
              <w:rPr>
                <w:rFonts w:ascii="Times New Roman" w:hAnsi="Times New Roman"/>
              </w:rPr>
            </w:pPr>
            <w:r w:rsidRPr="00C722B4">
              <w:rPr>
                <w:rFonts w:ascii="Times New Roman" w:hAnsi="Times New Roman"/>
              </w:rPr>
              <w:t>Svorio padidėjimas</w:t>
            </w:r>
          </w:p>
        </w:tc>
      </w:tr>
    </w:tbl>
    <w:p w14:paraId="6B3D8860" w14:textId="77777777" w:rsidR="00D875C0" w:rsidRPr="00F95B76" w:rsidRDefault="00D875C0" w:rsidP="00D875C0">
      <w:pPr>
        <w:spacing w:after="0" w:line="240" w:lineRule="auto"/>
        <w:rPr>
          <w:rFonts w:ascii="Times New Roman" w:hAnsi="Times New Roman"/>
        </w:rPr>
      </w:pPr>
    </w:p>
    <w:p w14:paraId="32A5BC51" w14:textId="77777777" w:rsidR="00D875C0" w:rsidRPr="001F2C46" w:rsidRDefault="00D875C0" w:rsidP="00D875C0">
      <w:pPr>
        <w:autoSpaceDE w:val="0"/>
        <w:autoSpaceDN w:val="0"/>
        <w:adjustRightInd w:val="0"/>
        <w:spacing w:after="0" w:line="240" w:lineRule="auto"/>
        <w:rPr>
          <w:rFonts w:ascii="Times New Roman" w:hAnsi="Times New Roman"/>
          <w:u w:val="single"/>
        </w:rPr>
      </w:pPr>
      <w:r w:rsidRPr="001F2C46">
        <w:rPr>
          <w:rFonts w:ascii="Times New Roman" w:hAnsi="Times New Roman"/>
          <w:u w:val="single"/>
        </w:rPr>
        <w:t>Po vaistinio preparato pasirodymo rinkoje pastebėtas nepageidaujamas poveikis:</w:t>
      </w:r>
    </w:p>
    <w:p w14:paraId="1B364991" w14:textId="77777777" w:rsidR="00D875C0" w:rsidRPr="00427D92" w:rsidRDefault="00D875C0" w:rsidP="00D875C0">
      <w:pPr>
        <w:autoSpaceDE w:val="0"/>
        <w:autoSpaceDN w:val="0"/>
        <w:adjustRightInd w:val="0"/>
        <w:spacing w:after="0" w:line="240" w:lineRule="auto"/>
        <w:rPr>
          <w:rFonts w:ascii="Times New Roman" w:hAnsi="Times New Roman"/>
          <w:u w:val="single"/>
        </w:rPr>
      </w:pPr>
    </w:p>
    <w:p w14:paraId="0CB106DC" w14:textId="77777777" w:rsidR="00D875C0" w:rsidRPr="00C722B4" w:rsidRDefault="00D875C0" w:rsidP="00D875C0">
      <w:pPr>
        <w:autoSpaceDE w:val="0"/>
        <w:autoSpaceDN w:val="0"/>
        <w:adjustRightInd w:val="0"/>
        <w:spacing w:after="0" w:line="240" w:lineRule="auto"/>
        <w:rPr>
          <w:rFonts w:ascii="Times New Roman" w:hAnsi="Times New Roman"/>
          <w:i/>
        </w:rPr>
      </w:pPr>
      <w:r w:rsidRPr="00C722B4">
        <w:rPr>
          <w:rFonts w:ascii="Times New Roman" w:hAnsi="Times New Roman"/>
          <w:i/>
        </w:rPr>
        <w:t>Gerybiniai, piktybiniai ir nepatikslinti navikai (tarp jų cistos ir polipai)</w:t>
      </w:r>
    </w:p>
    <w:p w14:paraId="7E60EED3" w14:textId="77777777" w:rsidR="00E85DB9" w:rsidRPr="00874783" w:rsidRDefault="000F6A03" w:rsidP="00874783">
      <w:pPr>
        <w:shd w:val="clear" w:color="auto" w:fill="FFFFFF" w:themeFill="background1"/>
        <w:autoSpaceDE w:val="0"/>
        <w:autoSpaceDN w:val="0"/>
        <w:adjustRightInd w:val="0"/>
        <w:spacing w:after="0" w:line="240" w:lineRule="auto"/>
        <w:rPr>
          <w:rFonts w:ascii="Times New Roman" w:hAnsi="Times New Roman"/>
        </w:rPr>
      </w:pPr>
      <w:r w:rsidRPr="000F6A03">
        <w:rPr>
          <w:rFonts w:ascii="Times New Roman" w:hAnsi="Times New Roman"/>
        </w:rPr>
        <w:t>Gauta pranešimų apie papildomus pirminius piktybinius navikus</w:t>
      </w:r>
      <w:r>
        <w:rPr>
          <w:rFonts w:ascii="Times New Roman" w:hAnsi="Times New Roman"/>
        </w:rPr>
        <w:t xml:space="preserve"> (dažnis nežinomas)</w:t>
      </w:r>
      <w:r w:rsidRPr="000F6A03">
        <w:rPr>
          <w:rFonts w:ascii="Times New Roman" w:hAnsi="Times New Roman"/>
        </w:rPr>
        <w:t xml:space="preserve">, </w:t>
      </w:r>
      <w:r>
        <w:rPr>
          <w:rFonts w:ascii="Times New Roman" w:hAnsi="Times New Roman"/>
        </w:rPr>
        <w:t>įskaitant ne Hodžkino limfomą, susijusi</w:t>
      </w:r>
      <w:r w:rsidR="00762168">
        <w:rPr>
          <w:rFonts w:ascii="Times New Roman" w:hAnsi="Times New Roman"/>
        </w:rPr>
        <w:t>us</w:t>
      </w:r>
      <w:r>
        <w:rPr>
          <w:rFonts w:ascii="Times New Roman" w:hAnsi="Times New Roman"/>
        </w:rPr>
        <w:t xml:space="preserve"> su docetakseliu, kai jo buvo vartojama </w:t>
      </w:r>
      <w:r w:rsidRPr="000F6A03">
        <w:rPr>
          <w:rFonts w:ascii="Times New Roman" w:hAnsi="Times New Roman"/>
        </w:rPr>
        <w:t xml:space="preserve">derinyje su kitokiu priešvėžiniu gydymu, kuris, kaip žinoma, yra susijęs papildomais pirminiais piktybiniais navikais. </w:t>
      </w:r>
      <w:r>
        <w:rPr>
          <w:rFonts w:ascii="Times New Roman" w:hAnsi="Times New Roman"/>
        </w:rPr>
        <w:t>Buvo praneša apie ū</w:t>
      </w:r>
      <w:r w:rsidRPr="000F6A03">
        <w:rPr>
          <w:rFonts w:ascii="Times New Roman" w:hAnsi="Times New Roman"/>
        </w:rPr>
        <w:t>min</w:t>
      </w:r>
      <w:r>
        <w:rPr>
          <w:rFonts w:ascii="Times New Roman" w:hAnsi="Times New Roman"/>
        </w:rPr>
        <w:t>ę</w:t>
      </w:r>
      <w:r w:rsidRPr="000F6A03">
        <w:rPr>
          <w:rFonts w:ascii="Times New Roman" w:hAnsi="Times New Roman"/>
        </w:rPr>
        <w:t xml:space="preserve"> mieloidin</w:t>
      </w:r>
      <w:r>
        <w:rPr>
          <w:rFonts w:ascii="Times New Roman" w:hAnsi="Times New Roman"/>
        </w:rPr>
        <w:t>ę</w:t>
      </w:r>
      <w:r w:rsidRPr="000F6A03">
        <w:rPr>
          <w:rFonts w:ascii="Times New Roman" w:hAnsi="Times New Roman"/>
        </w:rPr>
        <w:t xml:space="preserve"> leukemij</w:t>
      </w:r>
      <w:r>
        <w:rPr>
          <w:rFonts w:ascii="Times New Roman" w:hAnsi="Times New Roman"/>
        </w:rPr>
        <w:t>ą ir</w:t>
      </w:r>
      <w:r w:rsidRPr="000F6A03">
        <w:rPr>
          <w:rFonts w:ascii="Times New Roman" w:hAnsi="Times New Roman"/>
        </w:rPr>
        <w:t xml:space="preserve"> mielodisplazinį sindromą </w:t>
      </w:r>
      <w:r>
        <w:rPr>
          <w:rFonts w:ascii="Times New Roman" w:hAnsi="Times New Roman"/>
        </w:rPr>
        <w:t>(dažnis nežinomas)</w:t>
      </w:r>
      <w:r w:rsidR="00E85DB9">
        <w:rPr>
          <w:rFonts w:ascii="Times New Roman" w:hAnsi="Times New Roman"/>
        </w:rPr>
        <w:t xml:space="preserve"> krūties vėžio gydymo taikant</w:t>
      </w:r>
      <w:r w:rsidR="00E85DB9" w:rsidRPr="00874783">
        <w:rPr>
          <w:rFonts w:ascii="Times New Roman" w:hAnsi="Times New Roman"/>
        </w:rPr>
        <w:t xml:space="preserve"> TAC schemą </w:t>
      </w:r>
      <w:r w:rsidR="00E85DB9">
        <w:rPr>
          <w:rFonts w:ascii="Times New Roman" w:hAnsi="Times New Roman"/>
        </w:rPr>
        <w:t>pagrindžiamųjų klinikinių tyrimų metu.</w:t>
      </w:r>
    </w:p>
    <w:p w14:paraId="67B70ABD" w14:textId="77777777" w:rsidR="00D875C0" w:rsidRPr="00427D92" w:rsidRDefault="00D875C0" w:rsidP="00D875C0">
      <w:pPr>
        <w:autoSpaceDE w:val="0"/>
        <w:autoSpaceDN w:val="0"/>
        <w:adjustRightInd w:val="0"/>
        <w:spacing w:after="0" w:line="240" w:lineRule="auto"/>
        <w:rPr>
          <w:rFonts w:ascii="Times New Roman" w:hAnsi="Times New Roman"/>
        </w:rPr>
      </w:pPr>
    </w:p>
    <w:p w14:paraId="7423D8B0" w14:textId="77777777" w:rsidR="00D875C0" w:rsidRPr="00C722B4" w:rsidRDefault="00D875C0" w:rsidP="00D875C0">
      <w:pPr>
        <w:autoSpaceDE w:val="0"/>
        <w:autoSpaceDN w:val="0"/>
        <w:adjustRightInd w:val="0"/>
        <w:spacing w:after="0" w:line="240" w:lineRule="auto"/>
        <w:rPr>
          <w:rFonts w:ascii="Times New Roman" w:hAnsi="Times New Roman"/>
          <w:i/>
        </w:rPr>
      </w:pPr>
      <w:r w:rsidRPr="00C722B4">
        <w:rPr>
          <w:rFonts w:ascii="Times New Roman" w:hAnsi="Times New Roman"/>
          <w:i/>
        </w:rPr>
        <w:t>Kraujo ir limfinės sistemos sutrikimai</w:t>
      </w:r>
    </w:p>
    <w:p w14:paraId="1E3CC496"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Pasireiškė kaulų čiulpų slopinimas ir kitokių hematologinių nepageidaujamų reakcijų. Taip pat buvo pranešimų apie diseminuotą intravaskulinę koaguliaciją (DIC), dažnai kartu su sepsiu ir multiorganiniu nepakankamumu.</w:t>
      </w:r>
    </w:p>
    <w:p w14:paraId="1C4E70A8" w14:textId="77777777" w:rsidR="002320F5" w:rsidRDefault="002320F5" w:rsidP="00D875C0">
      <w:pPr>
        <w:autoSpaceDE w:val="0"/>
        <w:autoSpaceDN w:val="0"/>
        <w:adjustRightInd w:val="0"/>
        <w:spacing w:after="0" w:line="240" w:lineRule="auto"/>
        <w:rPr>
          <w:rFonts w:ascii="Times New Roman" w:hAnsi="Times New Roman"/>
          <w:i/>
        </w:rPr>
      </w:pPr>
    </w:p>
    <w:p w14:paraId="08449F6C" w14:textId="77777777" w:rsidR="00D875C0" w:rsidRPr="00F95B76" w:rsidRDefault="00D875C0" w:rsidP="00D875C0">
      <w:pPr>
        <w:autoSpaceDE w:val="0"/>
        <w:autoSpaceDN w:val="0"/>
        <w:adjustRightInd w:val="0"/>
        <w:spacing w:after="0" w:line="240" w:lineRule="auto"/>
        <w:rPr>
          <w:rFonts w:ascii="Times New Roman" w:hAnsi="Times New Roman"/>
          <w:i/>
        </w:rPr>
      </w:pPr>
      <w:r w:rsidRPr="00F95B76">
        <w:rPr>
          <w:rFonts w:ascii="Times New Roman" w:hAnsi="Times New Roman"/>
          <w:i/>
        </w:rPr>
        <w:t>Imuninės sistemos sutrikimai</w:t>
      </w:r>
    </w:p>
    <w:p w14:paraId="4BA4A32A" w14:textId="77777777" w:rsidR="00D875C0" w:rsidRPr="001F2C46" w:rsidRDefault="00D875C0" w:rsidP="00D875C0">
      <w:pPr>
        <w:autoSpaceDE w:val="0"/>
        <w:autoSpaceDN w:val="0"/>
        <w:adjustRightInd w:val="0"/>
        <w:spacing w:after="0" w:line="240" w:lineRule="auto"/>
        <w:rPr>
          <w:rFonts w:ascii="Times New Roman" w:hAnsi="Times New Roman"/>
        </w:rPr>
      </w:pPr>
      <w:r w:rsidRPr="001F2C46">
        <w:rPr>
          <w:rFonts w:ascii="Times New Roman" w:hAnsi="Times New Roman"/>
        </w:rPr>
        <w:t>Buvo anafilaksinio šoko (kai kada mirtino) atvejų.</w:t>
      </w:r>
    </w:p>
    <w:p w14:paraId="06144D31" w14:textId="77777777" w:rsidR="00450E8B" w:rsidRPr="004E3CD5" w:rsidRDefault="00450E8B" w:rsidP="004E3CD5">
      <w:pPr>
        <w:pStyle w:val="Pagrindinistekstas"/>
        <w:spacing w:before="6"/>
        <w:ind w:right="654"/>
        <w:jc w:val="left"/>
      </w:pPr>
      <w:r w:rsidRPr="004E3CD5">
        <w:rPr>
          <w:sz w:val="22"/>
        </w:rPr>
        <w:t>Pranešta apie padidėjusio jautrumo reakcijų pasireiškimą (dažnis nežinomas) docetakseliu gydomiems pacientams, kuriems anksčiau buvo pasireiškusi padidėjusio jautrumo reakcija į paklitakselį.</w:t>
      </w:r>
    </w:p>
    <w:p w14:paraId="53E1F67D" w14:textId="77777777" w:rsidR="00D875C0" w:rsidRPr="00F95B76" w:rsidRDefault="00D875C0" w:rsidP="00D875C0">
      <w:pPr>
        <w:autoSpaceDE w:val="0"/>
        <w:autoSpaceDN w:val="0"/>
        <w:adjustRightInd w:val="0"/>
        <w:spacing w:after="0" w:line="240" w:lineRule="auto"/>
        <w:rPr>
          <w:rFonts w:ascii="Times New Roman" w:hAnsi="Times New Roman"/>
        </w:rPr>
      </w:pPr>
    </w:p>
    <w:p w14:paraId="1EBA0143" w14:textId="77777777" w:rsidR="00D875C0" w:rsidRPr="001F2C46" w:rsidRDefault="00D875C0" w:rsidP="00D875C0">
      <w:pPr>
        <w:autoSpaceDE w:val="0"/>
        <w:autoSpaceDN w:val="0"/>
        <w:adjustRightInd w:val="0"/>
        <w:spacing w:after="0" w:line="240" w:lineRule="auto"/>
        <w:rPr>
          <w:rFonts w:ascii="Times New Roman" w:hAnsi="Times New Roman"/>
          <w:i/>
        </w:rPr>
      </w:pPr>
      <w:r w:rsidRPr="001F2C46">
        <w:rPr>
          <w:rFonts w:ascii="Times New Roman" w:hAnsi="Times New Roman"/>
          <w:i/>
        </w:rPr>
        <w:t>Nervų sistemos sutrikimai</w:t>
      </w:r>
    </w:p>
    <w:p w14:paraId="60CF37BC" w14:textId="77777777" w:rsidR="00D875C0" w:rsidRPr="00427D92" w:rsidRDefault="00D875C0" w:rsidP="00D875C0">
      <w:pPr>
        <w:autoSpaceDE w:val="0"/>
        <w:autoSpaceDN w:val="0"/>
        <w:adjustRightInd w:val="0"/>
        <w:spacing w:after="0" w:line="240" w:lineRule="auto"/>
        <w:rPr>
          <w:rFonts w:ascii="Times New Roman" w:hAnsi="Times New Roman"/>
        </w:rPr>
      </w:pPr>
      <w:r w:rsidRPr="00427D92">
        <w:rPr>
          <w:rFonts w:ascii="Times New Roman" w:hAnsi="Times New Roman"/>
        </w:rPr>
        <w:t>Docetakselio vartojimo metu retais atvejais ištiko traukuliai, trumpam išnyko sąmonė. Kartais šių reakcijų pasireiškia vaistinio preparato infuzijos metu.</w:t>
      </w:r>
    </w:p>
    <w:p w14:paraId="089A23AE" w14:textId="77777777" w:rsidR="005E00ED" w:rsidRPr="00C722B4" w:rsidRDefault="005E00ED" w:rsidP="00D875C0">
      <w:pPr>
        <w:autoSpaceDE w:val="0"/>
        <w:autoSpaceDN w:val="0"/>
        <w:adjustRightInd w:val="0"/>
        <w:spacing w:after="0" w:line="240" w:lineRule="auto"/>
        <w:rPr>
          <w:rFonts w:ascii="Times New Roman" w:hAnsi="Times New Roman"/>
          <w:i/>
        </w:rPr>
      </w:pPr>
    </w:p>
    <w:p w14:paraId="1C5791C5"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A7747E">
        <w:rPr>
          <w:rFonts w:ascii="Times New Roman" w:hAnsi="Times New Roman"/>
          <w:i/>
        </w:rPr>
        <w:t>Akių sutrikimai</w:t>
      </w:r>
    </w:p>
    <w:p w14:paraId="667FF7F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A7747E">
        <w:rPr>
          <w:rFonts w:ascii="Times New Roman" w:hAnsi="Times New Roman"/>
        </w:rPr>
        <w:t>Gauta labai retų pranešimų apie trumpalaikius regos sutrikimus (blykčiojimas, žaibai akyse, skotomos), kurie paprastai atsirasdavo vaistinio preparato lašinimo metu ir būdavo susiję su padidėjusio jautrumo reakcijomis. Infuziją baigus, šie sutrikimai praeidavo. Aprašyta retų ašarojimo (su konjunktyvitu ar be jo) ir ašarų latakų užsikimšimo, sukėlusio per didelį ašarojimą, atvejų.</w:t>
      </w:r>
    </w:p>
    <w:p w14:paraId="565806C2" w14:textId="77777777" w:rsidR="00A7747E" w:rsidRPr="007C1A06" w:rsidRDefault="00A7747E" w:rsidP="00D875C0">
      <w:pPr>
        <w:autoSpaceDE w:val="0"/>
        <w:autoSpaceDN w:val="0"/>
        <w:adjustRightInd w:val="0"/>
        <w:spacing w:after="0" w:line="240" w:lineRule="auto"/>
        <w:rPr>
          <w:rFonts w:ascii="Times New Roman" w:eastAsia="Times New Roman" w:hAnsi="Times New Roman" w:cs="Times New Roman"/>
        </w:rPr>
      </w:pPr>
      <w:r w:rsidRPr="007C1A06">
        <w:rPr>
          <w:rFonts w:ascii="Times New Roman" w:hAnsi="Times New Roman" w:cs="Times New Roman"/>
        </w:rPr>
        <w:t>Gauta pranešimų apie cistinės geltonosios dėmės edemos (GDE) atvejus pacientams, gydytiems docetakseliu.</w:t>
      </w:r>
    </w:p>
    <w:p w14:paraId="0A082662" w14:textId="77777777" w:rsidR="00D875C0" w:rsidRPr="00F95B76" w:rsidRDefault="00D875C0" w:rsidP="00D875C0">
      <w:pPr>
        <w:autoSpaceDE w:val="0"/>
        <w:autoSpaceDN w:val="0"/>
        <w:adjustRightInd w:val="0"/>
        <w:spacing w:after="0" w:line="240" w:lineRule="auto"/>
        <w:rPr>
          <w:rFonts w:ascii="Times New Roman" w:hAnsi="Times New Roman"/>
          <w:i/>
        </w:rPr>
      </w:pPr>
    </w:p>
    <w:p w14:paraId="75B53246" w14:textId="77777777" w:rsidR="00D875C0" w:rsidRPr="001F2C46" w:rsidRDefault="00D875C0" w:rsidP="00D875C0">
      <w:pPr>
        <w:autoSpaceDE w:val="0"/>
        <w:autoSpaceDN w:val="0"/>
        <w:adjustRightInd w:val="0"/>
        <w:spacing w:after="0" w:line="240" w:lineRule="auto"/>
        <w:rPr>
          <w:rFonts w:ascii="Times New Roman" w:hAnsi="Times New Roman"/>
          <w:i/>
        </w:rPr>
      </w:pPr>
      <w:r w:rsidRPr="001F2C46">
        <w:rPr>
          <w:rFonts w:ascii="Times New Roman" w:hAnsi="Times New Roman"/>
          <w:i/>
        </w:rPr>
        <w:t>Ausų ir labirintų sutrikimai</w:t>
      </w:r>
    </w:p>
    <w:p w14:paraId="43569BDE" w14:textId="77777777" w:rsidR="00D875C0" w:rsidRPr="00427D92" w:rsidRDefault="00D875C0" w:rsidP="00D875C0">
      <w:pPr>
        <w:autoSpaceDE w:val="0"/>
        <w:autoSpaceDN w:val="0"/>
        <w:adjustRightInd w:val="0"/>
        <w:spacing w:after="0" w:line="240" w:lineRule="auto"/>
        <w:rPr>
          <w:rFonts w:ascii="Times New Roman" w:hAnsi="Times New Roman"/>
        </w:rPr>
      </w:pPr>
      <w:r w:rsidRPr="00427D92">
        <w:rPr>
          <w:rFonts w:ascii="Times New Roman" w:hAnsi="Times New Roman"/>
        </w:rPr>
        <w:t>Buvo pastebėta retų ototoksinio poveikio, klausos sutrikimo ir (arba) netekimo atvejų.</w:t>
      </w:r>
    </w:p>
    <w:p w14:paraId="6CA677FA" w14:textId="77777777" w:rsidR="00D875C0" w:rsidRPr="00C722B4" w:rsidRDefault="00D875C0" w:rsidP="00D875C0">
      <w:pPr>
        <w:autoSpaceDE w:val="0"/>
        <w:autoSpaceDN w:val="0"/>
        <w:adjustRightInd w:val="0"/>
        <w:spacing w:after="0" w:line="240" w:lineRule="auto"/>
        <w:rPr>
          <w:rFonts w:ascii="Times New Roman" w:hAnsi="Times New Roman"/>
          <w:i/>
        </w:rPr>
      </w:pPr>
    </w:p>
    <w:p w14:paraId="495593FA"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i/>
        </w:rPr>
        <w:t>Širdies sutrikimai</w:t>
      </w:r>
    </w:p>
    <w:p w14:paraId="731AB5DC"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Aprašyta retų miokardo infarkto atvejų.</w:t>
      </w:r>
    </w:p>
    <w:p w14:paraId="62BFA32B" w14:textId="77777777" w:rsidR="007C1A06" w:rsidRPr="007C1A06" w:rsidRDefault="007C1A06" w:rsidP="00D875C0">
      <w:pPr>
        <w:autoSpaceDE w:val="0"/>
        <w:autoSpaceDN w:val="0"/>
        <w:adjustRightInd w:val="0"/>
        <w:spacing w:after="0" w:line="240" w:lineRule="auto"/>
        <w:rPr>
          <w:rFonts w:ascii="Times New Roman" w:eastAsia="Times New Roman" w:hAnsi="Times New Roman" w:cs="Times New Roman"/>
        </w:rPr>
      </w:pPr>
      <w:r w:rsidRPr="007C1A06">
        <w:rPr>
          <w:rFonts w:ascii="Times New Roman" w:eastAsia="Times New Roman" w:hAnsi="Times New Roman" w:cs="Times New Roman"/>
        </w:rPr>
        <w:t>Gauta pranešimų apie skilvelių aritmijos, įskaitant skilvelių tachikardiją (dažnis nežinomas), kuri kai kuriais atvejais buvo mirtina, atvejus pacientams, gydytiems docetakseliu, kai kartu buvo vartojama doksorubicino, 5-fluorouracilo ir (arba) ciklofosfamido.</w:t>
      </w:r>
    </w:p>
    <w:p w14:paraId="6CE39856" w14:textId="77777777" w:rsidR="00D875C0" w:rsidRPr="00F95B76" w:rsidRDefault="00D875C0" w:rsidP="00D875C0">
      <w:pPr>
        <w:autoSpaceDE w:val="0"/>
        <w:autoSpaceDN w:val="0"/>
        <w:adjustRightInd w:val="0"/>
        <w:spacing w:after="0" w:line="240" w:lineRule="auto"/>
        <w:rPr>
          <w:rFonts w:ascii="Times New Roman" w:hAnsi="Times New Roman"/>
        </w:rPr>
      </w:pPr>
    </w:p>
    <w:p w14:paraId="725814C6" w14:textId="77777777" w:rsidR="00D875C0" w:rsidRPr="001F2C46" w:rsidRDefault="00D875C0" w:rsidP="00D875C0">
      <w:pPr>
        <w:autoSpaceDE w:val="0"/>
        <w:autoSpaceDN w:val="0"/>
        <w:adjustRightInd w:val="0"/>
        <w:spacing w:after="0" w:line="240" w:lineRule="auto"/>
        <w:rPr>
          <w:rFonts w:ascii="Times New Roman" w:hAnsi="Times New Roman"/>
          <w:i/>
        </w:rPr>
      </w:pPr>
      <w:r w:rsidRPr="001F2C46">
        <w:rPr>
          <w:rFonts w:ascii="Times New Roman" w:hAnsi="Times New Roman"/>
          <w:i/>
        </w:rPr>
        <w:t>Kraujagyslių sutrikimai</w:t>
      </w:r>
    </w:p>
    <w:p w14:paraId="3821E1BF" w14:textId="77777777" w:rsidR="00D875C0" w:rsidRPr="00427D92" w:rsidRDefault="00D875C0" w:rsidP="00D875C0">
      <w:pPr>
        <w:autoSpaceDE w:val="0"/>
        <w:autoSpaceDN w:val="0"/>
        <w:adjustRightInd w:val="0"/>
        <w:spacing w:after="0" w:line="240" w:lineRule="auto"/>
        <w:rPr>
          <w:rFonts w:ascii="Times New Roman" w:hAnsi="Times New Roman"/>
        </w:rPr>
      </w:pPr>
      <w:r w:rsidRPr="00427D92">
        <w:rPr>
          <w:rFonts w:ascii="Times New Roman" w:hAnsi="Times New Roman"/>
        </w:rPr>
        <w:t>Atsirado retų venų tromboembolijos atvejų.</w:t>
      </w:r>
    </w:p>
    <w:p w14:paraId="06DE32EF" w14:textId="77777777" w:rsidR="00D875C0" w:rsidRPr="00C722B4" w:rsidRDefault="00D875C0" w:rsidP="00D875C0">
      <w:pPr>
        <w:autoSpaceDE w:val="0"/>
        <w:autoSpaceDN w:val="0"/>
        <w:adjustRightInd w:val="0"/>
        <w:spacing w:after="0" w:line="240" w:lineRule="auto"/>
        <w:rPr>
          <w:rFonts w:ascii="Times New Roman" w:hAnsi="Times New Roman"/>
          <w:i/>
        </w:rPr>
      </w:pPr>
    </w:p>
    <w:p w14:paraId="1554A66F"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i/>
        </w:rPr>
        <w:t>Kvėpavimo sistemos, krūtinės ląstos ir tarpuplaučio  sutrikimai</w:t>
      </w:r>
    </w:p>
    <w:p w14:paraId="6B81BF3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Aprašyta retų ūminio kvėpavimo distreso sindromo, intersticinės pneumonijos ir plaučių fibrozės atvejų. Retai pacientams, kuriems tuo pačiu metu buvo taikomas spindulinis gydymas, pasireiškė radiacinis pneumonitas.</w:t>
      </w:r>
    </w:p>
    <w:p w14:paraId="6B91D1CF" w14:textId="77777777" w:rsidR="00D875C0" w:rsidRPr="007C1A06" w:rsidRDefault="00D875C0" w:rsidP="00D875C0">
      <w:pPr>
        <w:autoSpaceDE w:val="0"/>
        <w:autoSpaceDN w:val="0"/>
        <w:adjustRightInd w:val="0"/>
        <w:spacing w:after="0" w:line="240" w:lineRule="auto"/>
        <w:rPr>
          <w:rFonts w:ascii="Times New Roman" w:hAnsi="Times New Roman"/>
        </w:rPr>
      </w:pPr>
    </w:p>
    <w:p w14:paraId="542AE5D0"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i/>
        </w:rPr>
        <w:t>Virškinimo trakto sutrikimai</w:t>
      </w:r>
    </w:p>
    <w:p w14:paraId="0CBF40E5" w14:textId="77777777" w:rsidR="002320F5" w:rsidRDefault="002320F5" w:rsidP="002320F5">
      <w:pPr>
        <w:autoSpaceDE w:val="0"/>
        <w:autoSpaceDN w:val="0"/>
        <w:adjustRightInd w:val="0"/>
        <w:spacing w:after="0" w:line="240" w:lineRule="auto"/>
        <w:rPr>
          <w:rFonts w:ascii="Times New Roman" w:hAnsi="Times New Roman"/>
        </w:rPr>
      </w:pPr>
      <w:r>
        <w:rPr>
          <w:rFonts w:ascii="Times New Roman" w:hAnsi="Times New Roman"/>
        </w:rPr>
        <w:t>Retai gauta pranešimų apie</w:t>
      </w:r>
      <w:r w:rsidRPr="002320F5">
        <w:rPr>
          <w:rFonts w:ascii="Times New Roman" w:hAnsi="Times New Roman"/>
        </w:rPr>
        <w:t xml:space="preserve"> enterokolit</w:t>
      </w:r>
      <w:r>
        <w:rPr>
          <w:rFonts w:ascii="Times New Roman" w:hAnsi="Times New Roman"/>
        </w:rPr>
        <w:t>o</w:t>
      </w:r>
      <w:r w:rsidRPr="002320F5">
        <w:rPr>
          <w:rFonts w:ascii="Times New Roman" w:hAnsi="Times New Roman"/>
        </w:rPr>
        <w:t>, įskaitant kolitą, išeminį kolitą ir neutropeninį enterokolitą,</w:t>
      </w:r>
      <w:r>
        <w:rPr>
          <w:rFonts w:ascii="Times New Roman" w:hAnsi="Times New Roman"/>
        </w:rPr>
        <w:t xml:space="preserve"> atvejus, kurie</w:t>
      </w:r>
      <w:r w:rsidRPr="002320F5">
        <w:rPr>
          <w:rFonts w:ascii="Times New Roman" w:hAnsi="Times New Roman"/>
        </w:rPr>
        <w:t xml:space="preserve"> gali </w:t>
      </w:r>
      <w:r>
        <w:rPr>
          <w:rFonts w:ascii="Times New Roman" w:hAnsi="Times New Roman"/>
        </w:rPr>
        <w:t>baigtis mirtimi</w:t>
      </w:r>
      <w:r w:rsidRPr="002320F5">
        <w:rPr>
          <w:rFonts w:ascii="Times New Roman" w:hAnsi="Times New Roman"/>
        </w:rPr>
        <w:t xml:space="preserve"> (dažnis nežinomas).</w:t>
      </w:r>
      <w:r>
        <w:rPr>
          <w:rFonts w:ascii="Times New Roman" w:hAnsi="Times New Roman"/>
        </w:rPr>
        <w:t xml:space="preserve"> </w:t>
      </w:r>
    </w:p>
    <w:p w14:paraId="20294CFD" w14:textId="77777777" w:rsidR="00D875C0" w:rsidRPr="004E3CD5" w:rsidRDefault="00BC2654" w:rsidP="002320F5">
      <w:pPr>
        <w:autoSpaceDE w:val="0"/>
        <w:autoSpaceDN w:val="0"/>
        <w:adjustRightInd w:val="0"/>
        <w:spacing w:after="0" w:line="240" w:lineRule="auto"/>
        <w:rPr>
          <w:rFonts w:ascii="Times New Roman" w:eastAsiaTheme="minorEastAsia" w:hAnsi="Times New Roman"/>
          <w:lang w:eastAsia="zh-TW"/>
        </w:rPr>
      </w:pPr>
      <w:r w:rsidRPr="00BC2654">
        <w:rPr>
          <w:rFonts w:ascii="Times New Roman" w:eastAsia="Calibri" w:hAnsi="Times New Roman" w:cs="Times New Roman"/>
        </w:rPr>
        <w:t>Pranešta apie r</w:t>
      </w:r>
      <w:r>
        <w:rPr>
          <w:rFonts w:ascii="Times New Roman" w:eastAsia="Calibri" w:hAnsi="Times New Roman" w:cs="Times New Roman"/>
        </w:rPr>
        <w:t>e</w:t>
      </w:r>
      <w:r w:rsidRPr="00BC2654">
        <w:rPr>
          <w:rFonts w:ascii="Times New Roman" w:eastAsia="Calibri" w:hAnsi="Times New Roman" w:cs="Times New Roman"/>
        </w:rPr>
        <w:t xml:space="preserve">tais atvejais pasireiškusią dehidrataciją, kurią lėmė virškinimo trakto reiškiniai, </w:t>
      </w:r>
      <w:r>
        <w:rPr>
          <w:rFonts w:ascii="Times New Roman" w:eastAsia="Calibri" w:hAnsi="Times New Roman" w:cs="Times New Roman"/>
        </w:rPr>
        <w:t xml:space="preserve">įskaitant enterokolitą ir </w:t>
      </w:r>
      <w:r w:rsidRPr="00BC2654">
        <w:rPr>
          <w:rFonts w:ascii="Times New Roman" w:eastAsia="Calibri" w:hAnsi="Times New Roman" w:cs="Times New Roman"/>
        </w:rPr>
        <w:t>virškinimo trakto perforaciją</w:t>
      </w:r>
      <w:r>
        <w:rPr>
          <w:rFonts w:ascii="Times New Roman" w:eastAsia="Calibri" w:hAnsi="Times New Roman" w:cs="Times New Roman"/>
        </w:rPr>
        <w:t>.</w:t>
      </w:r>
      <w:r w:rsidR="00D875C0" w:rsidRPr="007C1A06">
        <w:rPr>
          <w:rFonts w:ascii="Times New Roman" w:hAnsi="Times New Roman"/>
        </w:rPr>
        <w:t xml:space="preserve"> Retais atvejais pasireiškė žarnų nepraeinamumas ir žarnų obstrukcija.</w:t>
      </w:r>
    </w:p>
    <w:p w14:paraId="6B7B376F" w14:textId="77777777" w:rsidR="00D875C0" w:rsidRPr="007C1A06" w:rsidRDefault="00D875C0" w:rsidP="00D875C0">
      <w:pPr>
        <w:autoSpaceDE w:val="0"/>
        <w:autoSpaceDN w:val="0"/>
        <w:adjustRightInd w:val="0"/>
        <w:spacing w:after="0" w:line="240" w:lineRule="auto"/>
        <w:rPr>
          <w:rFonts w:ascii="Times New Roman" w:hAnsi="Times New Roman"/>
          <w:i/>
        </w:rPr>
      </w:pPr>
    </w:p>
    <w:p w14:paraId="710A9FFF"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i/>
        </w:rPr>
        <w:t>Kepenų, tulžies pūslės ir latakų sutrikimai</w:t>
      </w:r>
    </w:p>
    <w:p w14:paraId="3FA8F17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Aprašyta labai retų hepatito atvejų. Kai kuriais jis buvo mirtinas, ypač jeigu pacientas jau anksčiau sirgo kepenų liga.</w:t>
      </w:r>
    </w:p>
    <w:p w14:paraId="4F438D56" w14:textId="77777777" w:rsidR="00D875C0" w:rsidRPr="007C1A06" w:rsidRDefault="00D875C0" w:rsidP="00D875C0">
      <w:pPr>
        <w:autoSpaceDE w:val="0"/>
        <w:autoSpaceDN w:val="0"/>
        <w:adjustRightInd w:val="0"/>
        <w:spacing w:after="0" w:line="240" w:lineRule="auto"/>
        <w:rPr>
          <w:rFonts w:ascii="Times New Roman" w:hAnsi="Times New Roman"/>
          <w:i/>
        </w:rPr>
      </w:pPr>
    </w:p>
    <w:p w14:paraId="6D91FDCC"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i/>
        </w:rPr>
        <w:t>Odos ir poodinio audinio sutrikimai</w:t>
      </w:r>
    </w:p>
    <w:p w14:paraId="14C267FC" w14:textId="77777777" w:rsidR="004E680F" w:rsidRPr="00F54C45" w:rsidRDefault="004E680F" w:rsidP="00396A8F">
      <w:pPr>
        <w:autoSpaceDE w:val="0"/>
        <w:autoSpaceDN w:val="0"/>
        <w:adjustRightInd w:val="0"/>
        <w:spacing w:after="0" w:line="240" w:lineRule="auto"/>
        <w:rPr>
          <w:rFonts w:ascii="Times New Roman" w:hAnsi="Times New Roman"/>
          <w:i/>
        </w:rPr>
      </w:pPr>
    </w:p>
    <w:p w14:paraId="011BDF2E" w14:textId="77777777" w:rsidR="00396A8F" w:rsidRPr="005F7AE4" w:rsidRDefault="004E680F" w:rsidP="004E680F">
      <w:pPr>
        <w:autoSpaceDE w:val="0"/>
        <w:autoSpaceDN w:val="0"/>
        <w:adjustRightInd w:val="0"/>
        <w:spacing w:after="0" w:line="240" w:lineRule="auto"/>
        <w:rPr>
          <w:rFonts w:ascii="Times New Roman" w:hAnsi="Times New Roman"/>
          <w:iCs/>
        </w:rPr>
      </w:pPr>
      <w:r w:rsidRPr="00F54C45">
        <w:rPr>
          <w:rFonts w:ascii="Times New Roman" w:hAnsi="Times New Roman"/>
          <w:iCs/>
        </w:rPr>
        <w:t>Docetakselį vartojantiems pacientams buvo sisteminės raudonosios vilkligės odos formos, pūslinio</w:t>
      </w:r>
      <w:r w:rsidR="005F7AE4">
        <w:rPr>
          <w:rFonts w:ascii="Times New Roman" w:hAnsi="Times New Roman"/>
          <w:iCs/>
        </w:rPr>
        <w:t xml:space="preserve"> </w:t>
      </w:r>
      <w:r w:rsidRPr="00F54C45">
        <w:rPr>
          <w:rFonts w:ascii="Times New Roman" w:hAnsi="Times New Roman"/>
          <w:iCs/>
        </w:rPr>
        <w:t>išbėrimo, pvz., daugiaformės eritemos, ir sunkių odos nepageidaujamų reakcijų, tokių kaip Stivenso-Džonsono (Stevens-Johnson) sindromas (SJS), toksinė epidermio nekrolizė (TEN) ir ūminė išplitusi</w:t>
      </w:r>
      <w:r w:rsidR="005F7AE4">
        <w:rPr>
          <w:rFonts w:ascii="Times New Roman" w:hAnsi="Times New Roman"/>
          <w:iCs/>
        </w:rPr>
        <w:t xml:space="preserve"> </w:t>
      </w:r>
      <w:r w:rsidRPr="00F54C45">
        <w:rPr>
          <w:rFonts w:ascii="Times New Roman" w:hAnsi="Times New Roman"/>
          <w:iCs/>
        </w:rPr>
        <w:t>egzanteminė pustuliozė (</w:t>
      </w:r>
      <w:r w:rsidRPr="00F54C45">
        <w:rPr>
          <w:rFonts w:ascii="Times New Roman" w:hAnsi="Times New Roman"/>
          <w:i/>
        </w:rPr>
        <w:t>angl</w:t>
      </w:r>
      <w:r w:rsidRPr="00F54C45">
        <w:rPr>
          <w:rFonts w:ascii="Times New Roman" w:hAnsi="Times New Roman"/>
          <w:iCs/>
        </w:rPr>
        <w:t>. acute generalised exanthematous pustulosis, AGEP), atvejų.</w:t>
      </w:r>
      <w:r w:rsidR="00D875C0" w:rsidRPr="005F7AE4">
        <w:rPr>
          <w:rFonts w:ascii="Times New Roman" w:hAnsi="Times New Roman"/>
          <w:iCs/>
        </w:rPr>
        <w:t xml:space="preserve"> </w:t>
      </w:r>
    </w:p>
    <w:p w14:paraId="254D96C5" w14:textId="77777777" w:rsidR="00D875C0" w:rsidRPr="00FB5C4B"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Gauta pranešimų apie </w:t>
      </w:r>
      <w:r w:rsidR="004E680F">
        <w:rPr>
          <w:rFonts w:ascii="Times New Roman" w:hAnsi="Times New Roman"/>
        </w:rPr>
        <w:t xml:space="preserve">tai, kad </w:t>
      </w:r>
      <w:r w:rsidRPr="007C1A06">
        <w:rPr>
          <w:rFonts w:ascii="Times New Roman" w:hAnsi="Times New Roman"/>
        </w:rPr>
        <w:t>docetakselio vartojusiems pacientams atsirad</w:t>
      </w:r>
      <w:r w:rsidR="004E680F">
        <w:rPr>
          <w:rFonts w:ascii="Times New Roman" w:hAnsi="Times New Roman"/>
        </w:rPr>
        <w:t>o</w:t>
      </w:r>
      <w:r w:rsidRPr="007C1A06">
        <w:rPr>
          <w:rFonts w:ascii="Times New Roman" w:hAnsi="Times New Roman"/>
        </w:rPr>
        <w:t xml:space="preserve"> į sklerodermiją panaši</w:t>
      </w:r>
      <w:r w:rsidR="004E680F">
        <w:rPr>
          <w:rFonts w:ascii="Times New Roman" w:hAnsi="Times New Roman"/>
        </w:rPr>
        <w:t>ų</w:t>
      </w:r>
      <w:r w:rsidRPr="007C1A06">
        <w:rPr>
          <w:rFonts w:ascii="Times New Roman" w:hAnsi="Times New Roman"/>
        </w:rPr>
        <w:t xml:space="preserve"> pokyči</w:t>
      </w:r>
      <w:r w:rsidR="004E680F">
        <w:rPr>
          <w:rFonts w:ascii="Times New Roman" w:hAnsi="Times New Roman"/>
        </w:rPr>
        <w:t>ų</w:t>
      </w:r>
      <w:r w:rsidRPr="007C1A06">
        <w:rPr>
          <w:rFonts w:ascii="Times New Roman" w:hAnsi="Times New Roman"/>
        </w:rPr>
        <w:t xml:space="preserve"> (paprastai prieš tai pasireikšdavo periferinė limfedema).</w:t>
      </w:r>
      <w:r w:rsidR="00EC5B32">
        <w:rPr>
          <w:rFonts w:ascii="Times New Roman" w:hAnsi="Times New Roman"/>
        </w:rPr>
        <w:t xml:space="preserve"> </w:t>
      </w:r>
      <w:r w:rsidR="007C1A06" w:rsidRPr="007C1A06">
        <w:rPr>
          <w:rFonts w:ascii="Times New Roman" w:eastAsia="Times New Roman" w:hAnsi="Times New Roman" w:cs="Times New Roman"/>
        </w:rPr>
        <w:t>Gauta pranešimų apie permanentinės alopecijos atvejus (dažnis nežinomas).</w:t>
      </w:r>
    </w:p>
    <w:p w14:paraId="2C9DB9BE" w14:textId="77777777" w:rsidR="00D875C0" w:rsidRPr="001F2C46" w:rsidRDefault="00D875C0" w:rsidP="00D875C0">
      <w:pPr>
        <w:autoSpaceDE w:val="0"/>
        <w:autoSpaceDN w:val="0"/>
        <w:adjustRightInd w:val="0"/>
        <w:spacing w:after="0" w:line="240" w:lineRule="auto"/>
        <w:rPr>
          <w:rFonts w:ascii="Times New Roman" w:hAnsi="Times New Roman"/>
          <w:i/>
          <w:u w:val="single"/>
        </w:rPr>
      </w:pPr>
    </w:p>
    <w:p w14:paraId="39EB798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4E3CD5">
        <w:rPr>
          <w:rFonts w:ascii="Times New Roman" w:hAnsi="Times New Roman"/>
          <w:i/>
        </w:rPr>
        <w:t>Inkst</w:t>
      </w:r>
      <w:r w:rsidRPr="004E3CD5">
        <w:rPr>
          <w:rFonts w:ascii="Times New Roman" w:hAnsi="Times New Roman" w:hint="eastAsia"/>
          <w:i/>
        </w:rPr>
        <w:t>ų</w:t>
      </w:r>
      <w:r w:rsidRPr="004E3CD5">
        <w:rPr>
          <w:rFonts w:ascii="Times New Roman" w:hAnsi="Times New Roman"/>
          <w:i/>
        </w:rPr>
        <w:t xml:space="preserve"> ir šlapimo tak</w:t>
      </w:r>
      <w:r w:rsidRPr="004E3CD5">
        <w:rPr>
          <w:rFonts w:ascii="Times New Roman" w:hAnsi="Times New Roman" w:hint="eastAsia"/>
          <w:i/>
        </w:rPr>
        <w:t>ų</w:t>
      </w:r>
      <w:r w:rsidRPr="004E3CD5">
        <w:rPr>
          <w:rFonts w:ascii="Times New Roman" w:hAnsi="Times New Roman"/>
          <w:i/>
        </w:rPr>
        <w:t xml:space="preserve"> sutrikimai</w:t>
      </w:r>
    </w:p>
    <w:p w14:paraId="19A183BA" w14:textId="77777777" w:rsidR="00D875C0" w:rsidRPr="00F95B7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Gau</w:t>
      </w:r>
      <w:r w:rsidRPr="004E3CD5">
        <w:rPr>
          <w:rFonts w:ascii="Times New Roman" w:hAnsi="Times New Roman"/>
        </w:rPr>
        <w:t>ta duomen</w:t>
      </w:r>
      <w:r w:rsidRPr="004E3CD5">
        <w:rPr>
          <w:rFonts w:ascii="Times New Roman" w:hAnsi="Times New Roman" w:hint="eastAsia"/>
        </w:rPr>
        <w:t>ų</w:t>
      </w:r>
      <w:r w:rsidRPr="004E3CD5">
        <w:rPr>
          <w:rFonts w:ascii="Times New Roman" w:hAnsi="Times New Roman"/>
        </w:rPr>
        <w:t xml:space="preserve"> apie inkst</w:t>
      </w:r>
      <w:r w:rsidRPr="004E3CD5">
        <w:rPr>
          <w:rFonts w:ascii="Times New Roman" w:hAnsi="Times New Roman" w:hint="eastAsia"/>
        </w:rPr>
        <w:t>ų</w:t>
      </w:r>
      <w:r w:rsidRPr="004E3CD5">
        <w:rPr>
          <w:rFonts w:ascii="Times New Roman" w:hAnsi="Times New Roman"/>
        </w:rPr>
        <w:t xml:space="preserve"> nepakankamumo ir sutrikimo atvejus. Maždaug 20</w:t>
      </w:r>
      <w:r w:rsidR="005E00ED">
        <w:rPr>
          <w:rFonts w:ascii="Times New Roman" w:hAnsi="Times New Roman"/>
        </w:rPr>
        <w:t> </w:t>
      </w:r>
      <w:r w:rsidRPr="004E3CD5">
        <w:rPr>
          <w:rFonts w:ascii="Times New Roman" w:hAnsi="Times New Roman"/>
        </w:rPr>
        <w:t>% atvej</w:t>
      </w:r>
      <w:r w:rsidRPr="004E3CD5">
        <w:rPr>
          <w:rFonts w:ascii="Times New Roman" w:hAnsi="Times New Roman" w:hint="eastAsia"/>
        </w:rPr>
        <w:t>ų</w:t>
      </w:r>
      <w:r w:rsidRPr="004E3CD5">
        <w:rPr>
          <w:rFonts w:ascii="Times New Roman" w:hAnsi="Times New Roman"/>
        </w:rPr>
        <w:t xml:space="preserve"> nebuvo </w:t>
      </w:r>
      <w:r w:rsidRPr="004E3CD5">
        <w:rPr>
          <w:rFonts w:ascii="Times New Roman" w:hAnsi="Times New Roman" w:hint="eastAsia"/>
        </w:rPr>
        <w:t>ū</w:t>
      </w:r>
      <w:r w:rsidRPr="004E3CD5">
        <w:rPr>
          <w:rFonts w:ascii="Times New Roman" w:hAnsi="Times New Roman"/>
        </w:rPr>
        <w:t>minio inkst</w:t>
      </w:r>
      <w:r w:rsidRPr="004E3CD5">
        <w:rPr>
          <w:rFonts w:ascii="Times New Roman" w:hAnsi="Times New Roman" w:hint="eastAsia"/>
        </w:rPr>
        <w:t>ų</w:t>
      </w:r>
      <w:r w:rsidRPr="004E3CD5">
        <w:rPr>
          <w:rFonts w:ascii="Times New Roman" w:hAnsi="Times New Roman"/>
        </w:rPr>
        <w:t xml:space="preserve"> nepakankamumo rizikos veiksni</w:t>
      </w:r>
      <w:r w:rsidRPr="004E3CD5">
        <w:rPr>
          <w:rFonts w:ascii="Times New Roman" w:hAnsi="Times New Roman" w:hint="eastAsia"/>
        </w:rPr>
        <w:t>ų</w:t>
      </w:r>
      <w:r w:rsidRPr="004E3CD5">
        <w:rPr>
          <w:rFonts w:ascii="Times New Roman" w:hAnsi="Times New Roman"/>
        </w:rPr>
        <w:t>, toki</w:t>
      </w:r>
      <w:r w:rsidRPr="004E3CD5">
        <w:rPr>
          <w:rFonts w:ascii="Times New Roman" w:hAnsi="Times New Roman" w:hint="eastAsia"/>
        </w:rPr>
        <w:t>ų</w:t>
      </w:r>
      <w:r w:rsidRPr="00F95B76">
        <w:rPr>
          <w:rFonts w:ascii="Times New Roman" w:hAnsi="Times New Roman"/>
        </w:rPr>
        <w:t>, kaip kartu vartojami nefrotoksiniai vaistiniai preparatai ir virškinimo trakto sistemos sutrikimai.</w:t>
      </w:r>
    </w:p>
    <w:p w14:paraId="64472C5E" w14:textId="77777777" w:rsidR="00D875C0" w:rsidRPr="001F2C46" w:rsidRDefault="00D875C0" w:rsidP="00D875C0">
      <w:pPr>
        <w:autoSpaceDE w:val="0"/>
        <w:autoSpaceDN w:val="0"/>
        <w:adjustRightInd w:val="0"/>
        <w:spacing w:after="0" w:line="240" w:lineRule="auto"/>
        <w:rPr>
          <w:rFonts w:ascii="Times New Roman" w:hAnsi="Times New Roman"/>
          <w:i/>
          <w:u w:val="single"/>
        </w:rPr>
      </w:pPr>
    </w:p>
    <w:p w14:paraId="197DFC06" w14:textId="77777777" w:rsidR="00D875C0" w:rsidRPr="00F54C45" w:rsidRDefault="00D875C0" w:rsidP="00D875C0">
      <w:pPr>
        <w:autoSpaceDE w:val="0"/>
        <w:autoSpaceDN w:val="0"/>
        <w:adjustRightInd w:val="0"/>
        <w:spacing w:after="0" w:line="240" w:lineRule="auto"/>
        <w:rPr>
          <w:rFonts w:ascii="Times New Roman" w:hAnsi="Times New Roman"/>
          <w:i/>
        </w:rPr>
      </w:pPr>
      <w:r w:rsidRPr="00F54C45">
        <w:rPr>
          <w:rFonts w:ascii="Times New Roman" w:hAnsi="Times New Roman"/>
          <w:i/>
        </w:rPr>
        <w:t>Bendrieji sutrikimai ir vartojimo vietos pažeidimai</w:t>
      </w:r>
    </w:p>
    <w:p w14:paraId="113A3EE9" w14:textId="77777777" w:rsidR="00D875C0" w:rsidRPr="007C1A06" w:rsidRDefault="00D875C0" w:rsidP="00D875C0">
      <w:pPr>
        <w:autoSpaceDE w:val="0"/>
        <w:autoSpaceDN w:val="0"/>
        <w:adjustRightInd w:val="0"/>
        <w:spacing w:after="0" w:line="240" w:lineRule="auto"/>
        <w:rPr>
          <w:rFonts w:ascii="Times New Roman" w:hAnsi="Times New Roman"/>
        </w:rPr>
      </w:pPr>
      <w:r w:rsidRPr="00C722B4">
        <w:rPr>
          <w:rFonts w:ascii="Times New Roman" w:hAnsi="Times New Roman"/>
        </w:rPr>
        <w:t>Aprašyta retų spindulinio gydymo sukeltų</w:t>
      </w:r>
      <w:r w:rsidRPr="007C1A06">
        <w:rPr>
          <w:rFonts w:ascii="Times New Roman" w:hAnsi="Times New Roman"/>
        </w:rPr>
        <w:t xml:space="preserve"> reakcijų atsinaujinimo fenomeno atvejų.</w:t>
      </w:r>
    </w:p>
    <w:p w14:paraId="028C2420" w14:textId="77777777" w:rsidR="00450E8B" w:rsidRPr="004E3CD5" w:rsidRDefault="00450E8B" w:rsidP="001C7207">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Buvo stebėtas injekcijos vietos reakcijos atsinaujinimas (odos reakcijos pasikartojimas ankstesnės ekstravazacijos vietoje po docetakselio suleidimo kitoje vietoje) ankstesnės ekstravazacijos vietoje (dažnis nežinomas).</w:t>
      </w:r>
    </w:p>
    <w:p w14:paraId="55528AEF" w14:textId="77777777" w:rsidR="00D875C0" w:rsidRPr="001F2C4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 xml:space="preserve">Kartu su skysčių susilaikymu ūminių oligurijos ar hipotenzijos epizodų nepasitaikė. Retais atvejais atsirado dehidratacija ir plaučių edema. </w:t>
      </w:r>
    </w:p>
    <w:p w14:paraId="5AA8CC37" w14:textId="77777777" w:rsidR="007C1A06" w:rsidRPr="001F2C46" w:rsidRDefault="007C1A06" w:rsidP="004E3CD5">
      <w:pPr>
        <w:autoSpaceDE w:val="0"/>
        <w:autoSpaceDN w:val="0"/>
        <w:adjustRightInd w:val="0"/>
        <w:spacing w:after="0" w:line="240" w:lineRule="auto"/>
        <w:rPr>
          <w:rFonts w:ascii="Times New Roman" w:hAnsi="Times New Roman"/>
        </w:rPr>
      </w:pPr>
    </w:p>
    <w:p w14:paraId="18AF3F36" w14:textId="77777777" w:rsidR="007C1A06" w:rsidRPr="00F54C45" w:rsidRDefault="00083798" w:rsidP="007C1A06">
      <w:pPr>
        <w:autoSpaceDE w:val="0"/>
        <w:autoSpaceDN w:val="0"/>
        <w:adjustRightInd w:val="0"/>
        <w:spacing w:after="0" w:line="240" w:lineRule="auto"/>
        <w:rPr>
          <w:rFonts w:ascii="Times New Roman" w:eastAsia="Times New Roman" w:hAnsi="Times New Roman" w:cs="Times New Roman"/>
          <w:i/>
        </w:rPr>
      </w:pPr>
      <w:r w:rsidRPr="00F54C45">
        <w:rPr>
          <w:rFonts w:ascii="Times New Roman" w:eastAsia="Times New Roman" w:hAnsi="Times New Roman" w:cs="Times New Roman"/>
          <w:i/>
        </w:rPr>
        <w:t>Metabolizmo ir mitybos sutrikimai</w:t>
      </w:r>
    </w:p>
    <w:p w14:paraId="1618BD4E" w14:textId="77777777" w:rsidR="007C1A06" w:rsidRPr="007C1A06" w:rsidRDefault="007C1A06" w:rsidP="007C1A06">
      <w:pPr>
        <w:autoSpaceDE w:val="0"/>
        <w:autoSpaceDN w:val="0"/>
        <w:adjustRightInd w:val="0"/>
        <w:spacing w:after="0" w:line="240" w:lineRule="auto"/>
        <w:rPr>
          <w:rFonts w:ascii="Times New Roman" w:eastAsia="Times New Roman" w:hAnsi="Times New Roman" w:cs="Times New Roman"/>
        </w:rPr>
      </w:pPr>
      <w:r w:rsidRPr="007C1A06">
        <w:rPr>
          <w:rFonts w:ascii="Times New Roman" w:eastAsia="Times New Roman" w:hAnsi="Times New Roman" w:cs="Times New Roman"/>
        </w:rPr>
        <w:t>Gauta pranešimų apie elektrolitų pusiausvyros sutrikimo atvejus. Gauta pranešimų apie hiponatremijos atvejus, kurie dažniausiai pasireiškė kartu su dehidratacija, vėmimu ir pneumonija. Buvo hipokalemijos, hipomagnezemijos ir hipokalcemijos atvejų, paprastai susijusių su virškinimo trakto sutrikimais, ypač viduriavimu.</w:t>
      </w:r>
      <w:r w:rsidR="00067F7F">
        <w:rPr>
          <w:rFonts w:ascii="Times New Roman" w:eastAsia="Times New Roman" w:hAnsi="Times New Roman" w:cs="Times New Roman"/>
        </w:rPr>
        <w:t xml:space="preserve"> </w:t>
      </w:r>
      <w:r w:rsidR="00CF077D">
        <w:rPr>
          <w:rFonts w:ascii="Times New Roman" w:eastAsia="Times New Roman" w:hAnsi="Times New Roman" w:cs="Times New Roman"/>
        </w:rPr>
        <w:t>Gauta pr</w:t>
      </w:r>
      <w:r w:rsidR="004175FA">
        <w:rPr>
          <w:rFonts w:ascii="Times New Roman" w:eastAsia="Times New Roman" w:hAnsi="Times New Roman" w:cs="Times New Roman"/>
        </w:rPr>
        <w:t>a</w:t>
      </w:r>
      <w:r w:rsidR="00CF077D">
        <w:rPr>
          <w:rFonts w:ascii="Times New Roman" w:eastAsia="Times New Roman" w:hAnsi="Times New Roman" w:cs="Times New Roman"/>
        </w:rPr>
        <w:t>nešimų apie naviko lizės si</w:t>
      </w:r>
      <w:r w:rsidR="004175FA">
        <w:rPr>
          <w:rFonts w:ascii="Times New Roman" w:eastAsia="Times New Roman" w:hAnsi="Times New Roman" w:cs="Times New Roman"/>
        </w:rPr>
        <w:t>n</w:t>
      </w:r>
      <w:r w:rsidR="00CF077D">
        <w:rPr>
          <w:rFonts w:ascii="Times New Roman" w:eastAsia="Times New Roman" w:hAnsi="Times New Roman" w:cs="Times New Roman"/>
        </w:rPr>
        <w:t>dromą, kuris gali būti mirti</w:t>
      </w:r>
      <w:r w:rsidR="005E4CED">
        <w:rPr>
          <w:rFonts w:ascii="Times New Roman" w:eastAsia="Times New Roman" w:hAnsi="Times New Roman" w:cs="Times New Roman"/>
        </w:rPr>
        <w:t>n</w:t>
      </w:r>
      <w:r w:rsidR="00CF077D">
        <w:rPr>
          <w:rFonts w:ascii="Times New Roman" w:eastAsia="Times New Roman" w:hAnsi="Times New Roman" w:cs="Times New Roman"/>
        </w:rPr>
        <w:t>as</w:t>
      </w:r>
      <w:r w:rsidR="005E4CED">
        <w:rPr>
          <w:rFonts w:ascii="Times New Roman" w:eastAsia="Times New Roman" w:hAnsi="Times New Roman" w:cs="Times New Roman"/>
        </w:rPr>
        <w:t xml:space="preserve"> (dažnis nežinomas).</w:t>
      </w:r>
    </w:p>
    <w:p w14:paraId="4E232623" w14:textId="77777777" w:rsidR="00FA781C" w:rsidRDefault="00FA781C" w:rsidP="00D875C0">
      <w:pPr>
        <w:spacing w:after="0" w:line="240" w:lineRule="auto"/>
        <w:rPr>
          <w:rFonts w:ascii="Times New Roman" w:eastAsia="Times New Roman" w:hAnsi="Times New Roman" w:cs="Times New Roman"/>
        </w:rPr>
      </w:pPr>
    </w:p>
    <w:p w14:paraId="357AED86" w14:textId="77777777" w:rsidR="005E4CED" w:rsidRPr="00F54C45" w:rsidRDefault="00DD7A02" w:rsidP="00D875C0">
      <w:pPr>
        <w:spacing w:after="0" w:line="240" w:lineRule="auto"/>
        <w:rPr>
          <w:rFonts w:ascii="Times New Roman" w:eastAsia="Times New Roman" w:hAnsi="Times New Roman" w:cs="Times New Roman"/>
          <w:i/>
          <w:iCs/>
        </w:rPr>
      </w:pPr>
      <w:r w:rsidRPr="00F54C45">
        <w:rPr>
          <w:rFonts w:ascii="Times New Roman" w:eastAsia="Times New Roman" w:hAnsi="Times New Roman" w:cs="Times New Roman"/>
          <w:i/>
          <w:iCs/>
        </w:rPr>
        <w:t>Skeleto, raumenų ir jungiamojo audinio sutrikimai</w:t>
      </w:r>
    </w:p>
    <w:p w14:paraId="47F6FB3B" w14:textId="77777777" w:rsidR="005E4CED" w:rsidRPr="007C1A06" w:rsidRDefault="005739C6" w:rsidP="00D875C0">
      <w:pPr>
        <w:spacing w:after="0" w:line="240" w:lineRule="auto"/>
        <w:rPr>
          <w:rFonts w:ascii="Times New Roman" w:eastAsia="Times New Roman" w:hAnsi="Times New Roman" w:cs="Times New Roman"/>
        </w:rPr>
      </w:pPr>
      <w:r>
        <w:rPr>
          <w:rFonts w:ascii="Times New Roman" w:eastAsia="Times New Roman" w:hAnsi="Times New Roman" w:cs="Times New Roman"/>
        </w:rPr>
        <w:t>Vartojant docetakselio gauta pranešimų apie miozitą (dažnis nežinomas).</w:t>
      </w:r>
    </w:p>
    <w:p w14:paraId="6910E032" w14:textId="77777777" w:rsidR="005739C6" w:rsidRDefault="005739C6" w:rsidP="00D875C0">
      <w:pPr>
        <w:spacing w:after="0" w:line="240" w:lineRule="auto"/>
        <w:rPr>
          <w:rFonts w:ascii="Times New Roman" w:hAnsi="Times New Roman"/>
          <w:u w:val="single"/>
        </w:rPr>
      </w:pPr>
    </w:p>
    <w:p w14:paraId="4775CF3B" w14:textId="76743D9B" w:rsidR="00D875C0" w:rsidRDefault="00D875C0" w:rsidP="00D875C0">
      <w:pPr>
        <w:spacing w:after="0" w:line="240" w:lineRule="auto"/>
        <w:rPr>
          <w:rFonts w:ascii="Times New Roman" w:hAnsi="Times New Roman"/>
          <w:u w:val="single"/>
        </w:rPr>
      </w:pPr>
      <w:r w:rsidRPr="00F95B76">
        <w:rPr>
          <w:rFonts w:ascii="Times New Roman" w:hAnsi="Times New Roman"/>
          <w:u w:val="single"/>
        </w:rPr>
        <w:t>Pranešimas apie įtariamas nepageidaujamas reakcijas</w:t>
      </w:r>
    </w:p>
    <w:p w14:paraId="2980B4F6" w14:textId="77777777" w:rsidR="00484C25" w:rsidRPr="00C54EAD" w:rsidRDefault="00484C25" w:rsidP="00361542">
      <w:pPr>
        <w:autoSpaceDE w:val="0"/>
        <w:autoSpaceDN w:val="0"/>
        <w:adjustRightInd w:val="0"/>
        <w:spacing w:after="0" w:line="240" w:lineRule="auto"/>
        <w:rPr>
          <w:rFonts w:ascii="Times New Roman" w:eastAsia="Times New Roman" w:hAnsi="Times New Roman" w:cs="Times New Roman"/>
          <w:noProof/>
          <w:snapToGrid w:val="0"/>
          <w:szCs w:val="24"/>
        </w:rPr>
      </w:pPr>
      <w:r w:rsidRPr="00C54EAD">
        <w:rPr>
          <w:rFonts w:ascii="Times New Roman" w:eastAsia="Times New Roman" w:hAnsi="Times New Roman" w:cs="Times New Roman"/>
          <w:noProof/>
        </w:rPr>
        <w:t xml:space="preserve">Svarbu pranešti apie įtariamas nepageidaujamas reakcijas, pastebėtas po vaistinio preparato registracijos, nes tai leidžia nuolat stebėti vaistinio preparato naudos ir rizikos santykį. </w:t>
      </w:r>
      <w:r w:rsidRPr="00C54EAD">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453BC4">
          <w:rPr>
            <w:rFonts w:ascii="Times New Roman" w:hAnsi="Times New Roman" w:cs="Times New Roman"/>
          </w:rPr>
          <w:t>https://vapris.vvkt.lt/vvkt-web/public/nrvSpecialist</w:t>
        </w:r>
      </w:hyperlink>
      <w:r w:rsidRPr="00C54EAD">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9" w:history="1">
        <w:r w:rsidRPr="00453BC4">
          <w:rPr>
            <w:rFonts w:ascii="Times New Roman" w:hAnsi="Times New Roman" w:cs="Times New Roman"/>
          </w:rPr>
          <w:t>https://www.vvkt.lt/index.php?1399030386</w:t>
        </w:r>
      </w:hyperlink>
      <w:r w:rsidRPr="00C54EAD">
        <w:rPr>
          <w:rFonts w:ascii="Times New Roman" w:eastAsia="Times New Roman" w:hAnsi="Times New Roman" w:cs="Times New Roman"/>
          <w:noProof/>
          <w:snapToGrid w:val="0"/>
          <w:szCs w:val="24"/>
        </w:rPr>
        <w:t xml:space="preserve"> , ir atsiųsti elektroniniu paštu (adresu </w:t>
      </w:r>
      <w:hyperlink r:id="rId10" w:history="1">
        <w:r w:rsidRPr="00453BC4">
          <w:rPr>
            <w:rFonts w:ascii="Times New Roman" w:hAnsi="Times New Roman" w:cs="Times New Roman"/>
          </w:rPr>
          <w:t>NepageidaujamaR@vvkt.lt</w:t>
        </w:r>
      </w:hyperlink>
      <w:r w:rsidRPr="00C54EAD">
        <w:rPr>
          <w:rFonts w:ascii="Times New Roman" w:eastAsia="Times New Roman" w:hAnsi="Times New Roman" w:cs="Times New Roman"/>
          <w:noProof/>
          <w:snapToGrid w:val="0"/>
          <w:szCs w:val="24"/>
        </w:rPr>
        <w:t xml:space="preserve"> ).</w:t>
      </w:r>
    </w:p>
    <w:p w14:paraId="646C4ADC" w14:textId="77777777" w:rsidR="00484C25" w:rsidRPr="00361542" w:rsidRDefault="00484C25" w:rsidP="00D875C0">
      <w:pPr>
        <w:spacing w:after="0" w:line="240" w:lineRule="auto"/>
        <w:rPr>
          <w:rFonts w:ascii="Times New Roman" w:hAnsi="Times New Roman"/>
          <w:u w:val="single"/>
        </w:rPr>
      </w:pPr>
    </w:p>
    <w:p w14:paraId="311DFCC4" w14:textId="77777777" w:rsidR="00D875C0" w:rsidRPr="00C722B4" w:rsidRDefault="00D875C0" w:rsidP="00D875C0">
      <w:pPr>
        <w:spacing w:after="0" w:line="240" w:lineRule="auto"/>
        <w:rPr>
          <w:rFonts w:ascii="Times New Roman" w:hAnsi="Times New Roman"/>
        </w:rPr>
      </w:pPr>
    </w:p>
    <w:p w14:paraId="6676BA7A" w14:textId="77777777" w:rsidR="00D875C0" w:rsidRPr="007C1A06" w:rsidRDefault="00D875C0" w:rsidP="00D875C0">
      <w:pPr>
        <w:keepNext/>
        <w:keepLines/>
        <w:tabs>
          <w:tab w:val="left" w:pos="567"/>
        </w:tabs>
        <w:spacing w:after="0" w:line="240" w:lineRule="auto"/>
        <w:ind w:left="567" w:hanging="567"/>
        <w:outlineLvl w:val="2"/>
        <w:rPr>
          <w:rFonts w:ascii="Times New Roman" w:hAnsi="Times New Roman"/>
          <w:b/>
          <w:kern w:val="28"/>
        </w:rPr>
      </w:pPr>
      <w:bookmarkStart w:id="29" w:name="_Toc129243110"/>
      <w:bookmarkStart w:id="30" w:name="_Toc129243235"/>
      <w:r w:rsidRPr="007C1A06">
        <w:rPr>
          <w:rFonts w:ascii="Times New Roman" w:hAnsi="Times New Roman"/>
          <w:b/>
          <w:kern w:val="28"/>
        </w:rPr>
        <w:t>4.9</w:t>
      </w:r>
      <w:r w:rsidRPr="007C1A06">
        <w:rPr>
          <w:rFonts w:ascii="Times New Roman" w:hAnsi="Times New Roman"/>
          <w:b/>
          <w:kern w:val="28"/>
        </w:rPr>
        <w:tab/>
        <w:t>Perdozavimas</w:t>
      </w:r>
      <w:bookmarkEnd w:id="29"/>
      <w:bookmarkEnd w:id="30"/>
    </w:p>
    <w:p w14:paraId="73DCBAE6" w14:textId="77777777" w:rsidR="00D875C0" w:rsidRPr="007C1A06" w:rsidRDefault="00D875C0" w:rsidP="00D875C0">
      <w:pPr>
        <w:spacing w:after="0" w:line="240" w:lineRule="auto"/>
        <w:rPr>
          <w:rFonts w:ascii="Times New Roman" w:hAnsi="Times New Roman"/>
        </w:rPr>
      </w:pPr>
    </w:p>
    <w:p w14:paraId="75FB0EED"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Užfiksuoti keli perdozavimo atvejai. Priešnuodis perdozuotam docetakseliui nežinomas. Perdozavus šio vaistinio preparato, </w:t>
      </w:r>
      <w:r w:rsidR="00AF7FB2">
        <w:rPr>
          <w:rFonts w:ascii="Times New Roman" w:hAnsi="Times New Roman"/>
        </w:rPr>
        <w:t>pacientą</w:t>
      </w:r>
      <w:r w:rsidRPr="007C1A06">
        <w:rPr>
          <w:rFonts w:ascii="Times New Roman" w:hAnsi="Times New Roman"/>
        </w:rPr>
        <w:t xml:space="preserve"> reikia gydyti specializuotame skyriuje ir atidžiai stebėti gyvybines funkcijas.</w:t>
      </w:r>
    </w:p>
    <w:p w14:paraId="3B78803A"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Perdozavus tikėtinas nepageidaujamų reiškinių paūmėjimas. Labiausiai tikėtinos perdozavimo komplikacijos – kaulų čiulpų slopinimas, periferinis neurotoksinis poveikis ir mukozitas. Sužinojus apie perdozavimą, reikia nedelsiant skirti G-KSF, prireikus taikomos kitos simptominės priemonės.</w:t>
      </w:r>
    </w:p>
    <w:p w14:paraId="18DBFABA" w14:textId="77777777" w:rsidR="00D875C0" w:rsidRPr="007C1A06" w:rsidRDefault="00D875C0" w:rsidP="00D875C0">
      <w:pPr>
        <w:spacing w:after="0" w:line="240" w:lineRule="auto"/>
        <w:rPr>
          <w:rFonts w:ascii="Times New Roman" w:hAnsi="Times New Roman"/>
        </w:rPr>
      </w:pPr>
    </w:p>
    <w:p w14:paraId="4A2E7A40" w14:textId="77777777" w:rsidR="00D875C0" w:rsidRPr="007C1A06" w:rsidRDefault="00D875C0" w:rsidP="00D875C0">
      <w:pPr>
        <w:spacing w:after="0" w:line="240" w:lineRule="auto"/>
        <w:rPr>
          <w:rFonts w:ascii="Times New Roman" w:hAnsi="Times New Roman"/>
        </w:rPr>
      </w:pPr>
    </w:p>
    <w:p w14:paraId="7414CA6E" w14:textId="77777777" w:rsidR="00D875C0" w:rsidRPr="007C1A06" w:rsidRDefault="00D875C0" w:rsidP="00D875C0">
      <w:pPr>
        <w:keepNext/>
        <w:tabs>
          <w:tab w:val="left" w:pos="567"/>
        </w:tabs>
        <w:spacing w:after="0" w:line="240" w:lineRule="auto"/>
        <w:ind w:left="567" w:hanging="567"/>
        <w:outlineLvl w:val="1"/>
        <w:rPr>
          <w:rFonts w:ascii="Times New Roman" w:hAnsi="Times New Roman"/>
          <w:b/>
        </w:rPr>
      </w:pPr>
      <w:bookmarkStart w:id="31" w:name="_Toc129243111"/>
      <w:bookmarkStart w:id="32" w:name="_Toc129243236"/>
      <w:r w:rsidRPr="007C1A06">
        <w:rPr>
          <w:rFonts w:ascii="Times New Roman" w:hAnsi="Times New Roman"/>
          <w:b/>
        </w:rPr>
        <w:t>5.</w:t>
      </w:r>
      <w:r w:rsidRPr="007C1A06">
        <w:rPr>
          <w:rFonts w:ascii="Times New Roman" w:hAnsi="Times New Roman"/>
          <w:b/>
        </w:rPr>
        <w:tab/>
        <w:t>FARMAKOLOGINĖS SAVYBĖS</w:t>
      </w:r>
      <w:bookmarkEnd w:id="31"/>
      <w:bookmarkEnd w:id="32"/>
    </w:p>
    <w:p w14:paraId="5CA6CE5A" w14:textId="77777777" w:rsidR="00D875C0" w:rsidRPr="007C1A06" w:rsidRDefault="00D875C0" w:rsidP="00D875C0">
      <w:pPr>
        <w:spacing w:after="0" w:line="240" w:lineRule="auto"/>
        <w:rPr>
          <w:rFonts w:ascii="Times New Roman" w:hAnsi="Times New Roman"/>
        </w:rPr>
      </w:pPr>
    </w:p>
    <w:p w14:paraId="06473E39" w14:textId="77777777" w:rsidR="00D875C0" w:rsidRPr="007C1A06" w:rsidRDefault="00D875C0" w:rsidP="00D875C0">
      <w:pPr>
        <w:keepNext/>
        <w:keepLines/>
        <w:tabs>
          <w:tab w:val="left" w:pos="567"/>
        </w:tabs>
        <w:spacing w:after="0" w:line="240" w:lineRule="auto"/>
        <w:ind w:left="567" w:hanging="567"/>
        <w:outlineLvl w:val="2"/>
        <w:rPr>
          <w:rFonts w:ascii="Times New Roman" w:hAnsi="Times New Roman"/>
          <w:b/>
          <w:kern w:val="28"/>
        </w:rPr>
      </w:pPr>
      <w:bookmarkStart w:id="33" w:name="_Toc129243112"/>
      <w:bookmarkStart w:id="34" w:name="_Toc129243237"/>
      <w:r w:rsidRPr="007C1A06">
        <w:rPr>
          <w:rFonts w:ascii="Times New Roman" w:hAnsi="Times New Roman"/>
          <w:b/>
          <w:kern w:val="28"/>
        </w:rPr>
        <w:t>5.1</w:t>
      </w:r>
      <w:r w:rsidRPr="007C1A06">
        <w:rPr>
          <w:rFonts w:ascii="Times New Roman" w:hAnsi="Times New Roman"/>
          <w:b/>
          <w:kern w:val="28"/>
        </w:rPr>
        <w:tab/>
        <w:t>Farmakodinaminės savybės</w:t>
      </w:r>
      <w:bookmarkEnd w:id="33"/>
      <w:bookmarkEnd w:id="34"/>
    </w:p>
    <w:p w14:paraId="762AB6EB" w14:textId="77777777" w:rsidR="00D875C0" w:rsidRPr="007C1A06" w:rsidRDefault="00D875C0" w:rsidP="00D875C0">
      <w:pPr>
        <w:spacing w:after="0" w:line="240" w:lineRule="auto"/>
        <w:rPr>
          <w:rFonts w:ascii="Times New Roman" w:hAnsi="Times New Roman"/>
        </w:rPr>
      </w:pPr>
    </w:p>
    <w:p w14:paraId="5FB847A3" w14:textId="77777777" w:rsidR="00D875C0" w:rsidRPr="00FB5C4B"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Farmakoterapinė grupė –</w:t>
      </w:r>
      <w:r w:rsidR="008D2442">
        <w:rPr>
          <w:rFonts w:ascii="Times New Roman" w:hAnsi="Times New Roman"/>
        </w:rPr>
        <w:t xml:space="preserve"> </w:t>
      </w:r>
      <w:r w:rsidR="007C1A06" w:rsidRPr="007C1A06">
        <w:rPr>
          <w:rFonts w:ascii="Times New Roman" w:eastAsia="Times New Roman" w:hAnsi="Times New Roman" w:cs="Times New Roman"/>
        </w:rPr>
        <w:t>antinavikinės ir imunomoduliuojančios medžiagos</w:t>
      </w:r>
      <w:r w:rsidR="007C1A06">
        <w:rPr>
          <w:rFonts w:ascii="Times New Roman" w:eastAsia="Times New Roman" w:hAnsi="Times New Roman" w:cs="Times New Roman"/>
        </w:rPr>
        <w:t>,</w:t>
      </w:r>
      <w:r w:rsidR="007C1A06" w:rsidRPr="007C1A06">
        <w:rPr>
          <w:rFonts w:ascii="Times New Roman" w:eastAsia="Times New Roman" w:hAnsi="Times New Roman" w:cs="Times New Roman"/>
        </w:rPr>
        <w:t xml:space="preserve"> antinavikinės medžiagos, augalų alkaloidai ir kiti gamtiniai produktai, taksanai,</w:t>
      </w:r>
      <w:r w:rsidR="007C1A06" w:rsidRPr="00F95B76">
        <w:rPr>
          <w:rFonts w:ascii="Times New Roman" w:hAnsi="Times New Roman"/>
        </w:rPr>
        <w:t xml:space="preserve"> </w:t>
      </w:r>
      <w:r w:rsidRPr="00F95B76">
        <w:rPr>
          <w:rFonts w:ascii="Times New Roman" w:hAnsi="Times New Roman"/>
        </w:rPr>
        <w:t>ATC kodas – L01CD02.</w:t>
      </w:r>
    </w:p>
    <w:p w14:paraId="3BA11234" w14:textId="77777777" w:rsidR="00D875C0" w:rsidRPr="00427D92" w:rsidRDefault="00D875C0" w:rsidP="00D875C0">
      <w:pPr>
        <w:autoSpaceDE w:val="0"/>
        <w:autoSpaceDN w:val="0"/>
        <w:adjustRightInd w:val="0"/>
        <w:spacing w:after="0" w:line="240" w:lineRule="auto"/>
        <w:rPr>
          <w:rFonts w:ascii="Times New Roman" w:hAnsi="Times New Roman"/>
        </w:rPr>
      </w:pPr>
    </w:p>
    <w:p w14:paraId="2D443480" w14:textId="77777777" w:rsidR="00D875C0" w:rsidRPr="00C722B4" w:rsidRDefault="00D875C0" w:rsidP="00D875C0">
      <w:pPr>
        <w:autoSpaceDE w:val="0"/>
        <w:autoSpaceDN w:val="0"/>
        <w:adjustRightInd w:val="0"/>
        <w:spacing w:after="0" w:line="240" w:lineRule="auto"/>
        <w:rPr>
          <w:rFonts w:ascii="Times New Roman" w:hAnsi="Times New Roman"/>
          <w:u w:val="single"/>
        </w:rPr>
      </w:pPr>
      <w:r w:rsidRPr="00C722B4">
        <w:rPr>
          <w:rFonts w:ascii="Times New Roman" w:hAnsi="Times New Roman"/>
          <w:u w:val="single"/>
        </w:rPr>
        <w:t>Veikimo mechanizmas</w:t>
      </w:r>
    </w:p>
    <w:p w14:paraId="2C9EE3A6"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Docetakselis yra vaistinis preparatas nuo vėžio, skatinantis tubulino jungimąsi į stabilius mikrovamzdelius ir neleidžiantis jiems atsiskirti. Dėl tokio poveikio gerokai sumažėja laisvojo tubulino. Įtakos protofilamenų skaičiui docetakselio prisijungimas prie mikrovamzdelių neturi.</w:t>
      </w:r>
    </w:p>
    <w:p w14:paraId="66902647"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Nustatyta, kad </w:t>
      </w:r>
      <w:r w:rsidRPr="007C1A06">
        <w:rPr>
          <w:rFonts w:ascii="Times New Roman" w:hAnsi="Times New Roman"/>
          <w:i/>
        </w:rPr>
        <w:t xml:space="preserve">in vitro </w:t>
      </w:r>
      <w:r w:rsidRPr="007C1A06">
        <w:rPr>
          <w:rFonts w:ascii="Times New Roman" w:hAnsi="Times New Roman"/>
        </w:rPr>
        <w:t>docetakselis suardo mikrovamzdelių tinklą, kuris yra būtinas gyvybinėms ląstelės funkcijoms mitozės ir interfazės metu.</w:t>
      </w:r>
    </w:p>
    <w:p w14:paraId="43195CDE" w14:textId="77777777" w:rsidR="00D875C0" w:rsidRPr="007C1A06" w:rsidRDefault="00D875C0" w:rsidP="00D875C0">
      <w:pPr>
        <w:autoSpaceDE w:val="0"/>
        <w:autoSpaceDN w:val="0"/>
        <w:adjustRightInd w:val="0"/>
        <w:spacing w:after="0" w:line="240" w:lineRule="auto"/>
        <w:rPr>
          <w:rFonts w:ascii="Times New Roman" w:hAnsi="Times New Roman"/>
        </w:rPr>
      </w:pPr>
    </w:p>
    <w:p w14:paraId="3F0C79C7"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Farmakodinaminis poveikis</w:t>
      </w:r>
    </w:p>
    <w:p w14:paraId="5CA8ABEC" w14:textId="77777777" w:rsidR="00D875C0" w:rsidRPr="00FB5C4B"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Klonogeniniais tyrimais nustatyta, kad </w:t>
      </w:r>
      <w:r w:rsidRPr="007C1A06">
        <w:rPr>
          <w:rFonts w:ascii="Times New Roman" w:hAnsi="Times New Roman"/>
          <w:i/>
        </w:rPr>
        <w:t xml:space="preserve">in vitro </w:t>
      </w:r>
      <w:r w:rsidRPr="007C1A06">
        <w:rPr>
          <w:rFonts w:ascii="Times New Roman" w:hAnsi="Times New Roman"/>
        </w:rPr>
        <w:t xml:space="preserve">docetakselis yra citotoksiškas įvairioms graužikų ir žmonių navikinių ląstelių linijoms ir ką tik pašalintoms žmogaus navikų ląstelėms. Ląstelėse susidaro didelė docetakselio koncentracija, šis vaistinis preparatas jose išlieka ilgai. Taip pat nustatyta, kad docetakselis veikia kai kurias (bet ne visas) ląstelių linijas, kuriose labai stipriai išreikšta p- glikoproteino ekspresija (pastarąjį koduoja naviko atsparumą daugeliui vaistinių preparatų lemiantis genas). </w:t>
      </w:r>
      <w:r w:rsidRPr="007C1A06">
        <w:rPr>
          <w:rFonts w:ascii="Times New Roman" w:eastAsia="Times New Roman" w:hAnsi="Times New Roman" w:cs="Times New Roman"/>
          <w:i/>
          <w:iCs/>
        </w:rPr>
        <w:t>In</w:t>
      </w:r>
      <w:r w:rsidR="00EC5B32">
        <w:rPr>
          <w:rFonts w:ascii="Times New Roman" w:eastAsia="Times New Roman" w:hAnsi="Times New Roman" w:cs="Times New Roman"/>
          <w:i/>
          <w:iCs/>
        </w:rPr>
        <w:t xml:space="preserve"> </w:t>
      </w:r>
      <w:r w:rsidRPr="007C1A06">
        <w:rPr>
          <w:rFonts w:ascii="Times New Roman" w:eastAsia="Times New Roman" w:hAnsi="Times New Roman" w:cs="Times New Roman"/>
          <w:i/>
          <w:iCs/>
        </w:rPr>
        <w:t>vivo</w:t>
      </w:r>
      <w:r w:rsidRPr="00F95B76">
        <w:rPr>
          <w:rFonts w:ascii="Times New Roman" w:hAnsi="Times New Roman"/>
          <w:i/>
        </w:rPr>
        <w:t xml:space="preserve"> </w:t>
      </w:r>
      <w:r w:rsidRPr="00F95B76">
        <w:rPr>
          <w:rFonts w:ascii="Times New Roman" w:hAnsi="Times New Roman"/>
        </w:rPr>
        <w:t>docetakselio poveikis nepriklauso nuo jo vartojimo tvarkos. Eksperimentais</w:t>
      </w:r>
      <w:r w:rsidRPr="001F2C46">
        <w:rPr>
          <w:rFonts w:ascii="Times New Roman" w:hAnsi="Times New Roman"/>
        </w:rPr>
        <w:t xml:space="preserve"> nustatytas platus jo veikimo prieš progresavusius graužikų navikus ir persodintus žmogaus navikus spektras.</w:t>
      </w:r>
    </w:p>
    <w:p w14:paraId="4DD85466" w14:textId="77777777" w:rsidR="00D875C0" w:rsidRPr="00427D92" w:rsidRDefault="00D875C0" w:rsidP="00D875C0">
      <w:pPr>
        <w:autoSpaceDE w:val="0"/>
        <w:autoSpaceDN w:val="0"/>
        <w:adjustRightInd w:val="0"/>
        <w:spacing w:after="0" w:line="240" w:lineRule="auto"/>
        <w:rPr>
          <w:rFonts w:ascii="Times New Roman" w:hAnsi="Times New Roman"/>
        </w:rPr>
      </w:pPr>
    </w:p>
    <w:p w14:paraId="7F2ABAD2" w14:textId="77777777" w:rsidR="00D875C0" w:rsidRPr="00C722B4" w:rsidRDefault="00D875C0" w:rsidP="00D875C0">
      <w:pPr>
        <w:autoSpaceDE w:val="0"/>
        <w:autoSpaceDN w:val="0"/>
        <w:adjustRightInd w:val="0"/>
        <w:spacing w:after="0" w:line="240" w:lineRule="auto"/>
        <w:rPr>
          <w:rFonts w:ascii="Times New Roman" w:hAnsi="Times New Roman"/>
          <w:u w:val="single"/>
        </w:rPr>
      </w:pPr>
      <w:r w:rsidRPr="00C722B4">
        <w:rPr>
          <w:rFonts w:ascii="Times New Roman" w:hAnsi="Times New Roman"/>
          <w:u w:val="single"/>
        </w:rPr>
        <w:t>Klinikinis veiksmingumas ir saugumas</w:t>
      </w:r>
    </w:p>
    <w:p w14:paraId="254E0E77" w14:textId="77777777" w:rsidR="00D875C0" w:rsidRPr="007C1A06" w:rsidRDefault="00D875C0" w:rsidP="00D875C0">
      <w:pPr>
        <w:autoSpaceDE w:val="0"/>
        <w:autoSpaceDN w:val="0"/>
        <w:adjustRightInd w:val="0"/>
        <w:spacing w:after="0" w:line="240" w:lineRule="auto"/>
        <w:rPr>
          <w:rFonts w:ascii="Times New Roman" w:hAnsi="Times New Roman"/>
          <w:u w:val="single"/>
        </w:rPr>
      </w:pPr>
    </w:p>
    <w:p w14:paraId="3E8DAE97"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u w:val="single"/>
          <w:lang w:eastAsia="zh-TW"/>
        </w:rPr>
      </w:pPr>
      <w:r w:rsidRPr="007C1A06">
        <w:rPr>
          <w:rFonts w:ascii="Times New Roman" w:hAnsi="Times New Roman"/>
          <w:i/>
          <w:u w:val="single"/>
        </w:rPr>
        <w:t>Krūties vėžys</w:t>
      </w:r>
    </w:p>
    <w:p w14:paraId="5C6FBC02" w14:textId="77777777" w:rsidR="00D875C0" w:rsidRPr="007C1A06" w:rsidRDefault="00D875C0" w:rsidP="00D875C0">
      <w:pPr>
        <w:autoSpaceDE w:val="0"/>
        <w:autoSpaceDN w:val="0"/>
        <w:adjustRightInd w:val="0"/>
        <w:spacing w:after="0" w:line="240" w:lineRule="auto"/>
        <w:rPr>
          <w:rFonts w:ascii="Times New Roman" w:hAnsi="Times New Roman"/>
          <w:i/>
          <w:u w:val="single"/>
        </w:rPr>
      </w:pPr>
    </w:p>
    <w:p w14:paraId="458C7ACF"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i/>
        </w:rPr>
        <w:t>Docetakselio derinys su doksorubicinu ir ciklofosfamidu (pagalbinis gydymas)</w:t>
      </w:r>
    </w:p>
    <w:p w14:paraId="3950281F" w14:textId="77777777" w:rsidR="00D875C0" w:rsidRPr="007C1A06" w:rsidRDefault="00D875C0" w:rsidP="00D875C0">
      <w:pPr>
        <w:autoSpaceDE w:val="0"/>
        <w:autoSpaceDN w:val="0"/>
        <w:adjustRightInd w:val="0"/>
        <w:spacing w:after="0" w:line="240" w:lineRule="auto"/>
        <w:rPr>
          <w:rFonts w:ascii="Times New Roman" w:hAnsi="Times New Roman"/>
        </w:rPr>
      </w:pPr>
    </w:p>
    <w:p w14:paraId="53200DB2"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Pacientės sergančios tinkamu operuoti į limfmazgius metastazavusiu krūties vėžiu (TAX 316)</w:t>
      </w:r>
    </w:p>
    <w:p w14:paraId="0FBA36BD" w14:textId="77777777" w:rsidR="00D875C0" w:rsidRPr="007C1A06" w:rsidRDefault="00D875C0" w:rsidP="00D875C0">
      <w:pPr>
        <w:autoSpaceDE w:val="0"/>
        <w:autoSpaceDN w:val="0"/>
        <w:adjustRightInd w:val="0"/>
        <w:spacing w:after="0" w:line="240" w:lineRule="auto"/>
        <w:rPr>
          <w:rFonts w:ascii="Times New Roman" w:hAnsi="Times New Roman"/>
        </w:rPr>
      </w:pPr>
    </w:p>
    <w:p w14:paraId="75D2B8AA" w14:textId="77777777" w:rsidR="00F3053A" w:rsidRPr="00874783" w:rsidRDefault="00D875C0" w:rsidP="00D875C0">
      <w:pPr>
        <w:autoSpaceDE w:val="0"/>
        <w:autoSpaceDN w:val="0"/>
        <w:adjustRightInd w:val="0"/>
        <w:spacing w:after="0" w:line="240" w:lineRule="auto"/>
        <w:rPr>
          <w:rFonts w:ascii="Times New Roman" w:eastAsiaTheme="minorEastAsia" w:hAnsi="Times New Roman"/>
          <w:lang w:eastAsia="zh-TW"/>
        </w:rPr>
      </w:pPr>
      <w:r w:rsidRPr="004A1D8F">
        <w:rPr>
          <w:rFonts w:ascii="Times New Roman" w:hAnsi="Times New Roman"/>
        </w:rPr>
        <w:t>Docetakselio</w:t>
      </w:r>
      <w:r w:rsidRPr="007C1A06">
        <w:rPr>
          <w:rFonts w:ascii="Times New Roman" w:hAnsi="Times New Roman"/>
        </w:rPr>
        <w:t xml:space="preserve"> vartojimas į limfmazgius metastazavusio tinkamo operuoti krūties vėžio pagalbiniam gydymui 18</w:t>
      </w:r>
      <w:r w:rsidR="001C79C8" w:rsidRPr="007C1A06">
        <w:rPr>
          <w:rFonts w:ascii="Times New Roman" w:hAnsi="Times New Roman"/>
        </w:rPr>
        <w:noBreakHyphen/>
      </w:r>
      <w:r w:rsidRPr="007C1A06">
        <w:rPr>
          <w:rFonts w:ascii="Times New Roman" w:hAnsi="Times New Roman"/>
        </w:rPr>
        <w:t>70</w:t>
      </w:r>
      <w:r w:rsidR="001C79C8" w:rsidRPr="007C1A06">
        <w:rPr>
          <w:rFonts w:ascii="Times New Roman" w:hAnsi="Times New Roman"/>
        </w:rPr>
        <w:t> </w:t>
      </w:r>
      <w:r w:rsidRPr="007C1A06">
        <w:rPr>
          <w:rFonts w:ascii="Times New Roman" w:hAnsi="Times New Roman"/>
        </w:rPr>
        <w:t xml:space="preserve">metų pacientėms, kurių KPS (būklė pagal </w:t>
      </w:r>
      <w:r w:rsidRPr="007C1A06">
        <w:rPr>
          <w:rFonts w:ascii="Times New Roman" w:hAnsi="Times New Roman"/>
          <w:i/>
        </w:rPr>
        <w:t xml:space="preserve">Karnofsky </w:t>
      </w:r>
      <w:r w:rsidRPr="007C1A06">
        <w:rPr>
          <w:rFonts w:ascii="Times New Roman" w:hAnsi="Times New Roman"/>
        </w:rPr>
        <w:t>skalę) vertinama 80</w:t>
      </w:r>
      <w:r w:rsidR="001C79C8" w:rsidRPr="007C1A06">
        <w:rPr>
          <w:rFonts w:ascii="Times New Roman" w:hAnsi="Times New Roman"/>
        </w:rPr>
        <w:t> </w:t>
      </w:r>
      <w:r w:rsidRPr="007C1A06">
        <w:rPr>
          <w:rFonts w:ascii="Times New Roman" w:hAnsi="Times New Roman"/>
        </w:rPr>
        <w:t>% ar daugiau, pagrįstas daugiacentrinio atviro atsitiktinės atrankos tyrimo duomenimis. Atlikus stratifikavimą pagal limfmazgių, kuriuose rasta metastazių, skaičių (1</w:t>
      </w:r>
      <w:r w:rsidR="001C79C8" w:rsidRPr="007C1A06">
        <w:rPr>
          <w:rFonts w:ascii="Times New Roman" w:hAnsi="Times New Roman"/>
        </w:rPr>
        <w:noBreakHyphen/>
      </w:r>
      <w:r w:rsidRPr="007C1A06">
        <w:rPr>
          <w:rFonts w:ascii="Times New Roman" w:hAnsi="Times New Roman"/>
        </w:rPr>
        <w:t>3, 4+), 1491 pacientės atsitiktinai parinktos vartoti 75</w:t>
      </w:r>
      <w:r w:rsidR="001C79C8"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docetakselio 1</w:t>
      </w:r>
      <w:r w:rsidR="001C79C8" w:rsidRPr="007C1A06">
        <w:rPr>
          <w:rFonts w:ascii="Times New Roman" w:hAnsi="Times New Roman"/>
        </w:rPr>
        <w:t> </w:t>
      </w:r>
      <w:r w:rsidRPr="007C1A06">
        <w:rPr>
          <w:rFonts w:ascii="Times New Roman" w:hAnsi="Times New Roman"/>
        </w:rPr>
        <w:t>val. po 50</w:t>
      </w:r>
      <w:r w:rsidR="001C79C8"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doksorubicino ir 500</w:t>
      </w:r>
      <w:r w:rsidR="001C79C8"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ciklofosfamido (TAC grupė) arba 50</w:t>
      </w:r>
      <w:r w:rsidR="001C79C8"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doksorubicino, o paskui 500</w:t>
      </w:r>
      <w:r w:rsidR="001C79C8"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 xml:space="preserve">2 </w:t>
      </w:r>
      <w:r w:rsidRPr="007C1A06">
        <w:rPr>
          <w:rFonts w:ascii="Times New Roman" w:hAnsi="Times New Roman"/>
        </w:rPr>
        <w:t>fluorouracilo ir 500</w:t>
      </w:r>
      <w:r w:rsidR="001C79C8"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ciklofosfamido (FAC grupė). Abu deriniai vartoti kas 3</w:t>
      </w:r>
      <w:r w:rsidR="001C79C8" w:rsidRPr="007C1A06">
        <w:rPr>
          <w:rFonts w:ascii="Times New Roman" w:hAnsi="Times New Roman"/>
        </w:rPr>
        <w:t> </w:t>
      </w:r>
      <w:r w:rsidRPr="007C1A06">
        <w:rPr>
          <w:rFonts w:ascii="Times New Roman" w:hAnsi="Times New Roman"/>
        </w:rPr>
        <w:t>savaites, iš viso 6 kursus. Docetakselis infuzuotas per 1</w:t>
      </w:r>
      <w:r w:rsidR="001C79C8" w:rsidRPr="007C1A06">
        <w:rPr>
          <w:rFonts w:ascii="Times New Roman" w:hAnsi="Times New Roman"/>
        </w:rPr>
        <w:t> </w:t>
      </w:r>
      <w:r w:rsidRPr="007C1A06">
        <w:rPr>
          <w:rFonts w:ascii="Times New Roman" w:hAnsi="Times New Roman"/>
        </w:rPr>
        <w:t>val., visi kiti vaistiniai preparatai vartoti intraveninio boliuso būdu pi</w:t>
      </w:r>
      <w:r w:rsidR="00807371" w:rsidRPr="007C1A06">
        <w:rPr>
          <w:rFonts w:ascii="Times New Roman" w:hAnsi="Times New Roman"/>
        </w:rPr>
        <w:t>r</w:t>
      </w:r>
      <w:r w:rsidRPr="007C1A06">
        <w:rPr>
          <w:rFonts w:ascii="Times New Roman" w:hAnsi="Times New Roman"/>
        </w:rPr>
        <w:t>mąją kurso dieną. Pacientėms, kurioms pasireiškė neutropenija su komplikacijomis (febriline neutropenija, ilgalaike neutropenija ar infekcija), antrinei profilaktikai skirta G-KSF. TAC grupės pacientės infekcijos profilaktikai gėrė po 500</w:t>
      </w:r>
      <w:r w:rsidR="001C79C8" w:rsidRPr="007C1A06">
        <w:rPr>
          <w:rFonts w:ascii="Times New Roman" w:hAnsi="Times New Roman"/>
        </w:rPr>
        <w:t> </w:t>
      </w:r>
      <w:r w:rsidRPr="007C1A06">
        <w:rPr>
          <w:rFonts w:ascii="Times New Roman" w:hAnsi="Times New Roman"/>
        </w:rPr>
        <w:t>mg ciprofloksacino 2</w:t>
      </w:r>
      <w:r w:rsidR="001C79C8" w:rsidRPr="007C1A06">
        <w:rPr>
          <w:rFonts w:ascii="Times New Roman" w:hAnsi="Times New Roman"/>
        </w:rPr>
        <w:t> </w:t>
      </w:r>
      <w:r w:rsidRPr="007C1A06">
        <w:rPr>
          <w:rFonts w:ascii="Times New Roman" w:hAnsi="Times New Roman"/>
        </w:rPr>
        <w:t>kartus per parą 10</w:t>
      </w:r>
      <w:r w:rsidR="001C79C8" w:rsidRPr="007C1A06">
        <w:rPr>
          <w:rFonts w:ascii="Times New Roman" w:hAnsi="Times New Roman"/>
        </w:rPr>
        <w:t> </w:t>
      </w:r>
      <w:r w:rsidRPr="007C1A06">
        <w:rPr>
          <w:rFonts w:ascii="Times New Roman" w:hAnsi="Times New Roman"/>
        </w:rPr>
        <w:t>dienų nuo 5-os kiekvieno kurso dienos arba atitinkamai kitą antibiotiką. Po paskutinio chemoterapijos kurso abiejų grupių pacientėms, kurioms buvo rasta teigiamų estrogenų ir (arba) progesterono receptorių, skirta 20</w:t>
      </w:r>
      <w:r w:rsidR="001C79C8" w:rsidRPr="007C1A06">
        <w:rPr>
          <w:rFonts w:ascii="Times New Roman" w:hAnsi="Times New Roman"/>
        </w:rPr>
        <w:t> </w:t>
      </w:r>
      <w:r w:rsidRPr="007C1A06">
        <w:rPr>
          <w:rFonts w:ascii="Times New Roman" w:hAnsi="Times New Roman"/>
        </w:rPr>
        <w:t>mg tamoksifeno per parą iki 5</w:t>
      </w:r>
      <w:r w:rsidR="001C79C8" w:rsidRPr="007C1A06">
        <w:rPr>
          <w:rFonts w:ascii="Times New Roman" w:hAnsi="Times New Roman"/>
        </w:rPr>
        <w:t> </w:t>
      </w:r>
      <w:r w:rsidRPr="007C1A06">
        <w:rPr>
          <w:rFonts w:ascii="Times New Roman" w:hAnsi="Times New Roman"/>
        </w:rPr>
        <w:t>metų. Pagalbinis spindulinis gydymas skirtas 69</w:t>
      </w:r>
      <w:r w:rsidR="001C79C8" w:rsidRPr="007C1A06">
        <w:rPr>
          <w:rFonts w:ascii="Times New Roman" w:hAnsi="Times New Roman"/>
        </w:rPr>
        <w:t> </w:t>
      </w:r>
      <w:r w:rsidRPr="007C1A06">
        <w:rPr>
          <w:rFonts w:ascii="Times New Roman" w:hAnsi="Times New Roman"/>
        </w:rPr>
        <w:t>% TAC grupės ir 72</w:t>
      </w:r>
      <w:r w:rsidR="001C79C8" w:rsidRPr="007C1A06">
        <w:rPr>
          <w:rFonts w:ascii="Times New Roman" w:hAnsi="Times New Roman"/>
        </w:rPr>
        <w:t> </w:t>
      </w:r>
      <w:r w:rsidRPr="007C1A06">
        <w:rPr>
          <w:rFonts w:ascii="Times New Roman" w:hAnsi="Times New Roman"/>
        </w:rPr>
        <w:t xml:space="preserve">% FAC grupės pacienčių pagal tyrime dalyvavusiose institucijose priimtą praktiką. </w:t>
      </w:r>
    </w:p>
    <w:p w14:paraId="300340F4" w14:textId="77777777" w:rsidR="008377C5" w:rsidRPr="00327F03" w:rsidRDefault="00375EF3" w:rsidP="0036248E">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Buvo atliktos</w:t>
      </w:r>
      <w:r w:rsidRPr="00375EF3">
        <w:rPr>
          <w:rFonts w:ascii="Times New Roman" w:eastAsia="Times New Roman" w:hAnsi="Times New Roman" w:cs="Times New Roman"/>
        </w:rPr>
        <w:t xml:space="preserve"> d</w:t>
      </w:r>
      <w:r>
        <w:rPr>
          <w:rFonts w:ascii="Times New Roman" w:eastAsia="Times New Roman" w:hAnsi="Times New Roman" w:cs="Times New Roman"/>
        </w:rPr>
        <w:t>vi</w:t>
      </w:r>
      <w:r w:rsidRPr="00375EF3">
        <w:rPr>
          <w:rFonts w:ascii="Times New Roman" w:eastAsia="Times New Roman" w:hAnsi="Times New Roman" w:cs="Times New Roman"/>
        </w:rPr>
        <w:t xml:space="preserve"> tarpin</w:t>
      </w:r>
      <w:r>
        <w:rPr>
          <w:rFonts w:ascii="Times New Roman" w:eastAsia="Times New Roman" w:hAnsi="Times New Roman" w:cs="Times New Roman"/>
        </w:rPr>
        <w:t xml:space="preserve">ės </w:t>
      </w:r>
      <w:r w:rsidRPr="00375EF3">
        <w:rPr>
          <w:rFonts w:ascii="Times New Roman" w:eastAsia="Times New Roman" w:hAnsi="Times New Roman" w:cs="Times New Roman"/>
        </w:rPr>
        <w:t>ir viena baigiamoji analizė.</w:t>
      </w:r>
      <w:r w:rsidR="00C44652" w:rsidRPr="00C44652">
        <w:t xml:space="preserve"> </w:t>
      </w:r>
      <w:r w:rsidR="00C44652" w:rsidRPr="00C44652">
        <w:rPr>
          <w:rFonts w:ascii="Times New Roman" w:eastAsia="Times New Roman" w:hAnsi="Times New Roman" w:cs="Times New Roman"/>
        </w:rPr>
        <w:t xml:space="preserve">Pirmoji tarpinė analizė buvo planuojama praėjus 3 metams nuo tos dienos, kai buvo atlikta </w:t>
      </w:r>
      <w:r w:rsidR="00C44652">
        <w:rPr>
          <w:rFonts w:ascii="Times New Roman" w:eastAsia="Times New Roman" w:hAnsi="Times New Roman" w:cs="Times New Roman"/>
        </w:rPr>
        <w:t>pusinė tyrimų registracija.</w:t>
      </w:r>
      <w:r w:rsidR="00C44652" w:rsidRPr="00C44652">
        <w:rPr>
          <w:rFonts w:ascii="Times New Roman" w:eastAsia="Times New Roman" w:hAnsi="Times New Roman" w:cs="Times New Roman"/>
        </w:rPr>
        <w:t xml:space="preserve"> Antroji tarpinė analizė buvo atlikta</w:t>
      </w:r>
      <w:r w:rsidR="003E1E21">
        <w:rPr>
          <w:rFonts w:ascii="Times New Roman" w:eastAsia="Times New Roman" w:hAnsi="Times New Roman" w:cs="Times New Roman"/>
        </w:rPr>
        <w:t xml:space="preserve"> po to, kai buvo iš viso užfiksuoti 400 </w:t>
      </w:r>
      <w:r w:rsidR="003A76A2" w:rsidRPr="007C1A06">
        <w:rPr>
          <w:rFonts w:ascii="Times New Roman" w:eastAsia="Times New Roman" w:hAnsi="Times New Roman" w:cs="Times New Roman"/>
          <w:color w:val="000000"/>
        </w:rPr>
        <w:t>be ligos simptomų išgyvent</w:t>
      </w:r>
      <w:r w:rsidR="003A76A2">
        <w:rPr>
          <w:rFonts w:ascii="Times New Roman" w:eastAsia="Times New Roman" w:hAnsi="Times New Roman" w:cs="Times New Roman"/>
          <w:color w:val="000000"/>
        </w:rPr>
        <w:t>o laikotarpio</w:t>
      </w:r>
      <w:r w:rsidR="003A76A2" w:rsidRPr="007C1A06">
        <w:rPr>
          <w:rFonts w:ascii="Times New Roman" w:eastAsia="Times New Roman" w:hAnsi="Times New Roman" w:cs="Times New Roman"/>
          <w:color w:val="000000"/>
        </w:rPr>
        <w:t xml:space="preserve"> (BLSIL)</w:t>
      </w:r>
      <w:r w:rsidR="00C44652" w:rsidRPr="00C44652">
        <w:rPr>
          <w:rFonts w:ascii="Times New Roman" w:eastAsia="Times New Roman" w:hAnsi="Times New Roman" w:cs="Times New Roman"/>
        </w:rPr>
        <w:t xml:space="preserve"> </w:t>
      </w:r>
      <w:r w:rsidR="003E1E21">
        <w:rPr>
          <w:rFonts w:ascii="Times New Roman" w:eastAsia="Times New Roman" w:hAnsi="Times New Roman" w:cs="Times New Roman"/>
        </w:rPr>
        <w:t>atvejai</w:t>
      </w:r>
      <w:r w:rsidR="00C44652" w:rsidRPr="00C44652">
        <w:rPr>
          <w:rFonts w:ascii="Times New Roman" w:eastAsia="Times New Roman" w:hAnsi="Times New Roman" w:cs="Times New Roman"/>
        </w:rPr>
        <w:t xml:space="preserve">, dėl kurių </w:t>
      </w:r>
      <w:r w:rsidR="003E1E21">
        <w:rPr>
          <w:rFonts w:ascii="Times New Roman" w:eastAsia="Times New Roman" w:hAnsi="Times New Roman" w:cs="Times New Roman"/>
        </w:rPr>
        <w:t xml:space="preserve">mediana </w:t>
      </w:r>
      <w:r w:rsidR="00C44652" w:rsidRPr="00C44652">
        <w:rPr>
          <w:rFonts w:ascii="Times New Roman" w:eastAsia="Times New Roman" w:hAnsi="Times New Roman" w:cs="Times New Roman"/>
        </w:rPr>
        <w:t>buvo 55 mėnesiai.</w:t>
      </w:r>
      <w:r w:rsidR="00C44652">
        <w:rPr>
          <w:rFonts w:ascii="Times New Roman" w:eastAsia="Times New Roman" w:hAnsi="Times New Roman" w:cs="Times New Roman"/>
        </w:rPr>
        <w:t xml:space="preserve"> </w:t>
      </w:r>
      <w:r w:rsidR="003E1E21">
        <w:rPr>
          <w:rFonts w:ascii="Times New Roman" w:eastAsia="Times New Roman" w:hAnsi="Times New Roman" w:cs="Times New Roman"/>
        </w:rPr>
        <w:t xml:space="preserve">Baigiamoji </w:t>
      </w:r>
      <w:r w:rsidR="003E1E21" w:rsidRPr="003E1E21">
        <w:rPr>
          <w:rFonts w:ascii="Times New Roman" w:eastAsia="Times New Roman" w:hAnsi="Times New Roman" w:cs="Times New Roman"/>
        </w:rPr>
        <w:t xml:space="preserve">analizė buvo atlikta, kai visi pacientai pasiekė 10 metų </w:t>
      </w:r>
      <w:r w:rsidR="00412EC4">
        <w:rPr>
          <w:rFonts w:ascii="Times New Roman" w:eastAsia="Times New Roman" w:hAnsi="Times New Roman" w:cs="Times New Roman"/>
        </w:rPr>
        <w:t>tolimesnių stebėjimų ribą</w:t>
      </w:r>
      <w:r w:rsidR="003E1E21" w:rsidRPr="003E1E21">
        <w:rPr>
          <w:rFonts w:ascii="Times New Roman" w:eastAsia="Times New Roman" w:hAnsi="Times New Roman" w:cs="Times New Roman"/>
        </w:rPr>
        <w:t xml:space="preserve"> (nebent jie turėjo </w:t>
      </w:r>
      <w:r w:rsidR="003A76A2">
        <w:rPr>
          <w:rFonts w:ascii="Times New Roman" w:eastAsia="Times New Roman" w:hAnsi="Times New Roman" w:cs="Times New Roman"/>
        </w:rPr>
        <w:t>BLSIL</w:t>
      </w:r>
      <w:r w:rsidR="003E1E21" w:rsidRPr="003E1E21">
        <w:rPr>
          <w:rFonts w:ascii="Times New Roman" w:eastAsia="Times New Roman" w:hAnsi="Times New Roman" w:cs="Times New Roman"/>
        </w:rPr>
        <w:t xml:space="preserve"> atvejį arba </w:t>
      </w:r>
      <w:r w:rsidR="00DB1C6F">
        <w:rPr>
          <w:rFonts w:ascii="Times New Roman" w:eastAsia="Times New Roman" w:hAnsi="Times New Roman" w:cs="Times New Roman"/>
        </w:rPr>
        <w:t xml:space="preserve">duomenys </w:t>
      </w:r>
      <w:r w:rsidR="00DB1C6F" w:rsidRPr="003E1E21">
        <w:rPr>
          <w:rFonts w:ascii="Times New Roman" w:eastAsia="Times New Roman" w:hAnsi="Times New Roman" w:cs="Times New Roman"/>
        </w:rPr>
        <w:t xml:space="preserve">buvo </w:t>
      </w:r>
      <w:r w:rsidR="003E1E21" w:rsidRPr="003E1E21">
        <w:rPr>
          <w:rFonts w:ascii="Times New Roman" w:eastAsia="Times New Roman" w:hAnsi="Times New Roman" w:cs="Times New Roman"/>
        </w:rPr>
        <w:t>anksčiau prarasti).</w:t>
      </w:r>
      <w:r w:rsidR="00DB1C6F" w:rsidRPr="00DB1C6F">
        <w:t xml:space="preserve"> </w:t>
      </w:r>
      <w:r w:rsidR="00DB1C6F" w:rsidRPr="00DB1C6F">
        <w:rPr>
          <w:rFonts w:ascii="Times New Roman" w:eastAsia="Times New Roman" w:hAnsi="Times New Roman" w:cs="Times New Roman"/>
        </w:rPr>
        <w:t xml:space="preserve">Pirminis veiksmingumo rodiklis buvo </w:t>
      </w:r>
      <w:r w:rsidR="003A76A2" w:rsidRPr="007C1A06">
        <w:rPr>
          <w:rFonts w:ascii="Times New Roman" w:eastAsia="Times New Roman" w:hAnsi="Times New Roman" w:cs="Times New Roman"/>
          <w:color w:val="000000"/>
        </w:rPr>
        <w:t>be ligos simptomų išgyvent</w:t>
      </w:r>
      <w:r w:rsidR="003A76A2">
        <w:rPr>
          <w:rFonts w:ascii="Times New Roman" w:eastAsia="Times New Roman" w:hAnsi="Times New Roman" w:cs="Times New Roman"/>
          <w:color w:val="000000"/>
        </w:rPr>
        <w:t xml:space="preserve">as laikotarpis </w:t>
      </w:r>
      <w:r w:rsidR="003A76A2" w:rsidRPr="007C1A06">
        <w:rPr>
          <w:rFonts w:ascii="Times New Roman" w:eastAsia="Times New Roman" w:hAnsi="Times New Roman" w:cs="Times New Roman"/>
          <w:color w:val="000000"/>
        </w:rPr>
        <w:t>(BLSIL)</w:t>
      </w:r>
      <w:r w:rsidR="003A76A2">
        <w:rPr>
          <w:rFonts w:ascii="Times New Roman" w:eastAsia="Times New Roman" w:hAnsi="Times New Roman" w:cs="Times New Roman"/>
        </w:rPr>
        <w:t xml:space="preserve">, </w:t>
      </w:r>
      <w:r w:rsidR="00DB1C6F" w:rsidRPr="00DB1C6F">
        <w:rPr>
          <w:rFonts w:ascii="Times New Roman" w:eastAsia="Times New Roman" w:hAnsi="Times New Roman" w:cs="Times New Roman"/>
        </w:rPr>
        <w:t>o bendras išgyven</w:t>
      </w:r>
      <w:r w:rsidR="003A76A2">
        <w:rPr>
          <w:rFonts w:ascii="Times New Roman" w:eastAsia="Times New Roman" w:hAnsi="Times New Roman" w:cs="Times New Roman"/>
        </w:rPr>
        <w:t>amumo laikotarpis</w:t>
      </w:r>
      <w:r w:rsidR="00DB1C6F" w:rsidRPr="00DB1C6F">
        <w:rPr>
          <w:rFonts w:ascii="Times New Roman" w:eastAsia="Times New Roman" w:hAnsi="Times New Roman" w:cs="Times New Roman"/>
        </w:rPr>
        <w:t xml:space="preserve"> (</w:t>
      </w:r>
      <w:r w:rsidR="00DB1C6F">
        <w:rPr>
          <w:rFonts w:ascii="Times New Roman" w:eastAsia="Times New Roman" w:hAnsi="Times New Roman" w:cs="Times New Roman"/>
        </w:rPr>
        <w:t>BI)</w:t>
      </w:r>
      <w:r w:rsidR="00DB1C6F" w:rsidRPr="00DB1C6F">
        <w:rPr>
          <w:rFonts w:ascii="Times New Roman" w:eastAsia="Times New Roman" w:hAnsi="Times New Roman" w:cs="Times New Roman"/>
        </w:rPr>
        <w:t xml:space="preserve"> buvo antrinis veiksmingumo rodiklis.</w:t>
      </w:r>
      <w:r w:rsidR="00DB1C6F" w:rsidRPr="00DB1C6F">
        <w:t xml:space="preserve"> </w:t>
      </w:r>
      <w:r w:rsidR="00DB1C6F" w:rsidRPr="00DB1C6F">
        <w:rPr>
          <w:rFonts w:ascii="Times New Roman" w:eastAsia="Times New Roman" w:hAnsi="Times New Roman" w:cs="Times New Roman"/>
        </w:rPr>
        <w:t>Ž</w:t>
      </w:r>
      <w:r w:rsidR="0078756E">
        <w:rPr>
          <w:rFonts w:ascii="Times New Roman" w:eastAsia="Times New Roman" w:hAnsi="Times New Roman" w:cs="Times New Roman"/>
        </w:rPr>
        <w:t>enkliai</w:t>
      </w:r>
      <w:r w:rsidR="00DB1C6F" w:rsidRPr="00DB1C6F">
        <w:rPr>
          <w:rFonts w:ascii="Times New Roman" w:eastAsia="Times New Roman" w:hAnsi="Times New Roman" w:cs="Times New Roman"/>
        </w:rPr>
        <w:t xml:space="preserve"> ilg</w:t>
      </w:r>
      <w:r w:rsidR="00DB1C6F">
        <w:rPr>
          <w:rFonts w:ascii="Times New Roman" w:eastAsia="Times New Roman" w:hAnsi="Times New Roman" w:cs="Times New Roman"/>
        </w:rPr>
        <w:t xml:space="preserve">esnis </w:t>
      </w:r>
      <w:r w:rsidR="003A76A2" w:rsidRPr="007C1A06">
        <w:rPr>
          <w:rFonts w:ascii="Times New Roman" w:eastAsia="Times New Roman" w:hAnsi="Times New Roman" w:cs="Times New Roman"/>
          <w:color w:val="000000"/>
        </w:rPr>
        <w:t>be ligos simptomų išgyvent</w:t>
      </w:r>
      <w:r w:rsidR="003A76A2">
        <w:rPr>
          <w:rFonts w:ascii="Times New Roman" w:eastAsia="Times New Roman" w:hAnsi="Times New Roman" w:cs="Times New Roman"/>
          <w:color w:val="000000"/>
        </w:rPr>
        <w:t>as laikotarpio</w:t>
      </w:r>
      <w:r w:rsidR="00DB1C6F">
        <w:rPr>
          <w:rFonts w:ascii="Times New Roman" w:eastAsia="Times New Roman" w:hAnsi="Times New Roman" w:cs="Times New Roman"/>
        </w:rPr>
        <w:t xml:space="preserve"> rodiklis buvo nustatytas </w:t>
      </w:r>
      <w:r w:rsidR="00DB1C6F" w:rsidRPr="007C1A06">
        <w:rPr>
          <w:rFonts w:ascii="Times New Roman" w:eastAsia="Times New Roman" w:hAnsi="Times New Roman" w:cs="Times New Roman"/>
        </w:rPr>
        <w:t>TAC grupės</w:t>
      </w:r>
      <w:r w:rsidR="00DB1C6F">
        <w:rPr>
          <w:rFonts w:ascii="Times New Roman" w:eastAsia="Times New Roman" w:hAnsi="Times New Roman" w:cs="Times New Roman"/>
        </w:rPr>
        <w:t xml:space="preserve"> pacienčių palyginus su FAC grupe. </w:t>
      </w:r>
      <w:r w:rsidR="00187307">
        <w:rPr>
          <w:rFonts w:ascii="Times New Roman" w:eastAsia="Times New Roman" w:hAnsi="Times New Roman" w:cs="Times New Roman"/>
        </w:rPr>
        <w:t xml:space="preserve">Galutinė analizė buvo atlikta po 96 mėnesių stebėjimo. </w:t>
      </w:r>
      <w:r w:rsidR="0078756E">
        <w:rPr>
          <w:rFonts w:ascii="Times New Roman" w:eastAsia="Times New Roman" w:hAnsi="Times New Roman" w:cs="Times New Roman"/>
        </w:rPr>
        <w:t>Atkryčio paplitimas po 10 metų buvo sumažėjęs TAC grupės pacienčių tarpe palyginus su FAC grupe (</w:t>
      </w:r>
      <w:r w:rsidR="0078756E" w:rsidRPr="0078756E">
        <w:rPr>
          <w:rFonts w:ascii="Times New Roman" w:eastAsia="Times New Roman" w:hAnsi="Times New Roman" w:cs="Times New Roman"/>
        </w:rPr>
        <w:t>39</w:t>
      </w:r>
      <w:r w:rsidR="00821237">
        <w:rPr>
          <w:rFonts w:ascii="Times New Roman" w:eastAsia="Times New Roman" w:hAnsi="Times New Roman" w:cs="Times New Roman"/>
        </w:rPr>
        <w:t> </w:t>
      </w:r>
      <w:r w:rsidR="0078756E" w:rsidRPr="0078756E">
        <w:rPr>
          <w:rFonts w:ascii="Times New Roman" w:eastAsia="Times New Roman" w:hAnsi="Times New Roman" w:cs="Times New Roman"/>
        </w:rPr>
        <w:t>%, palyginti su 45</w:t>
      </w:r>
      <w:r w:rsidR="00821237">
        <w:rPr>
          <w:rFonts w:ascii="Times New Roman" w:eastAsia="Times New Roman" w:hAnsi="Times New Roman" w:cs="Times New Roman"/>
        </w:rPr>
        <w:t> </w:t>
      </w:r>
      <w:r w:rsidR="0078756E" w:rsidRPr="0078756E">
        <w:rPr>
          <w:rFonts w:ascii="Times New Roman" w:eastAsia="Times New Roman" w:hAnsi="Times New Roman" w:cs="Times New Roman"/>
        </w:rPr>
        <w:t>%</w:t>
      </w:r>
      <w:r w:rsidR="0078756E">
        <w:rPr>
          <w:rFonts w:ascii="Times New Roman" w:eastAsia="Times New Roman" w:hAnsi="Times New Roman" w:cs="Times New Roman"/>
        </w:rPr>
        <w:t xml:space="preserve"> atitinkamai), </w:t>
      </w:r>
      <w:r w:rsidR="0078756E" w:rsidRPr="0078756E">
        <w:rPr>
          <w:rFonts w:ascii="Times New Roman" w:eastAsia="Times New Roman" w:hAnsi="Times New Roman" w:cs="Times New Roman"/>
        </w:rPr>
        <w:t>t. y. absoliutus rizikos sumaž</w:t>
      </w:r>
      <w:r w:rsidR="0078756E">
        <w:rPr>
          <w:rFonts w:ascii="Times New Roman" w:eastAsia="Times New Roman" w:hAnsi="Times New Roman" w:cs="Times New Roman"/>
        </w:rPr>
        <w:t>ėjimas</w:t>
      </w:r>
      <w:r w:rsidR="0078756E" w:rsidRPr="0078756E">
        <w:rPr>
          <w:rFonts w:ascii="Times New Roman" w:eastAsia="Times New Roman" w:hAnsi="Times New Roman" w:cs="Times New Roman"/>
        </w:rPr>
        <w:t xml:space="preserve"> 6</w:t>
      </w:r>
      <w:r w:rsidR="00821237">
        <w:rPr>
          <w:rFonts w:ascii="Times New Roman" w:eastAsia="Times New Roman" w:hAnsi="Times New Roman" w:cs="Times New Roman"/>
        </w:rPr>
        <w:t> </w:t>
      </w:r>
      <w:r w:rsidR="0078756E" w:rsidRPr="0078756E">
        <w:rPr>
          <w:rFonts w:ascii="Times New Roman" w:eastAsia="Times New Roman" w:hAnsi="Times New Roman" w:cs="Times New Roman"/>
        </w:rPr>
        <w:t>% (p = 0,0043)</w:t>
      </w:r>
      <w:r w:rsidR="0078756E">
        <w:rPr>
          <w:rFonts w:ascii="Times New Roman" w:eastAsia="Times New Roman" w:hAnsi="Times New Roman" w:cs="Times New Roman"/>
        </w:rPr>
        <w:t xml:space="preserve">. Bendras išgyvenamumo rodiklis po 10 metų buvo taip pat ženkliai </w:t>
      </w:r>
      <w:r w:rsidR="0036248E">
        <w:rPr>
          <w:rFonts w:ascii="Times New Roman" w:eastAsia="Times New Roman" w:hAnsi="Times New Roman" w:cs="Times New Roman"/>
        </w:rPr>
        <w:t>padidėjęs TAC grupės pacienčių tarpe palyginus su FAC grupe (</w:t>
      </w:r>
      <w:r w:rsidR="0036248E" w:rsidRPr="00327F03">
        <w:rPr>
          <w:rFonts w:ascii="Times New Roman" w:eastAsia="Times New Roman" w:hAnsi="Times New Roman" w:cs="Times New Roman"/>
        </w:rPr>
        <w:t>76</w:t>
      </w:r>
      <w:r w:rsidR="00821237">
        <w:rPr>
          <w:rFonts w:ascii="Times New Roman" w:eastAsia="Times New Roman" w:hAnsi="Times New Roman" w:cs="Times New Roman"/>
        </w:rPr>
        <w:t> </w:t>
      </w:r>
      <w:r w:rsidR="0036248E" w:rsidRPr="0078756E">
        <w:rPr>
          <w:rFonts w:ascii="Times New Roman" w:eastAsia="Times New Roman" w:hAnsi="Times New Roman" w:cs="Times New Roman"/>
        </w:rPr>
        <w:t xml:space="preserve">%, palyginti su </w:t>
      </w:r>
      <w:r w:rsidR="0036248E">
        <w:rPr>
          <w:rFonts w:ascii="Times New Roman" w:eastAsia="Times New Roman" w:hAnsi="Times New Roman" w:cs="Times New Roman"/>
        </w:rPr>
        <w:t>69</w:t>
      </w:r>
      <w:r w:rsidR="00821237">
        <w:rPr>
          <w:rFonts w:ascii="Times New Roman" w:eastAsia="Times New Roman" w:hAnsi="Times New Roman" w:cs="Times New Roman"/>
        </w:rPr>
        <w:t> </w:t>
      </w:r>
      <w:r w:rsidR="0036248E" w:rsidRPr="0078756E">
        <w:rPr>
          <w:rFonts w:ascii="Times New Roman" w:eastAsia="Times New Roman" w:hAnsi="Times New Roman" w:cs="Times New Roman"/>
        </w:rPr>
        <w:t>%</w:t>
      </w:r>
      <w:r w:rsidR="0036248E">
        <w:rPr>
          <w:rFonts w:ascii="Times New Roman" w:eastAsia="Times New Roman" w:hAnsi="Times New Roman" w:cs="Times New Roman"/>
        </w:rPr>
        <w:t xml:space="preserve"> atitinkamai), </w:t>
      </w:r>
      <w:r w:rsidR="0036248E" w:rsidRPr="0036248E">
        <w:rPr>
          <w:rFonts w:ascii="Times New Roman" w:eastAsia="Times New Roman" w:hAnsi="Times New Roman" w:cs="Times New Roman"/>
        </w:rPr>
        <w:t xml:space="preserve">t. y. </w:t>
      </w:r>
      <w:r w:rsidR="0036248E">
        <w:rPr>
          <w:rFonts w:ascii="Times New Roman" w:eastAsia="Times New Roman" w:hAnsi="Times New Roman" w:cs="Times New Roman"/>
        </w:rPr>
        <w:t xml:space="preserve">absoliutus mirties rizikos sumažėjimas </w:t>
      </w:r>
      <w:r w:rsidR="0036248E" w:rsidRPr="0036248E">
        <w:rPr>
          <w:rFonts w:ascii="Times New Roman" w:eastAsia="Times New Roman" w:hAnsi="Times New Roman" w:cs="Times New Roman"/>
        </w:rPr>
        <w:t>7</w:t>
      </w:r>
      <w:r w:rsidR="00821237">
        <w:rPr>
          <w:rFonts w:ascii="Times New Roman" w:eastAsia="Times New Roman" w:hAnsi="Times New Roman" w:cs="Times New Roman"/>
        </w:rPr>
        <w:t> </w:t>
      </w:r>
      <w:r w:rsidR="0036248E" w:rsidRPr="0036248E">
        <w:rPr>
          <w:rFonts w:ascii="Times New Roman" w:eastAsia="Times New Roman" w:hAnsi="Times New Roman" w:cs="Times New Roman"/>
        </w:rPr>
        <w:t>%</w:t>
      </w:r>
      <w:r w:rsidR="0036248E">
        <w:rPr>
          <w:rFonts w:ascii="Times New Roman" w:eastAsia="Times New Roman" w:hAnsi="Times New Roman" w:cs="Times New Roman"/>
        </w:rPr>
        <w:t xml:space="preserve"> (</w:t>
      </w:r>
      <w:r w:rsidR="0036248E" w:rsidRPr="0078756E">
        <w:rPr>
          <w:rFonts w:ascii="Times New Roman" w:eastAsia="Times New Roman" w:hAnsi="Times New Roman" w:cs="Times New Roman"/>
        </w:rPr>
        <w:t>p = 0,00</w:t>
      </w:r>
      <w:r w:rsidR="0036248E" w:rsidRPr="00327F03">
        <w:rPr>
          <w:rFonts w:ascii="Times New Roman" w:eastAsia="Times New Roman" w:hAnsi="Times New Roman" w:cs="Times New Roman"/>
        </w:rPr>
        <w:t>2).</w:t>
      </w:r>
      <w:r w:rsidR="00AC7818" w:rsidRPr="00327F03">
        <w:rPr>
          <w:rFonts w:ascii="Times New Roman" w:eastAsia="Times New Roman" w:hAnsi="Times New Roman" w:cs="Times New Roman"/>
        </w:rPr>
        <w:t xml:space="preserve"> </w:t>
      </w:r>
      <w:r w:rsidR="0036248E" w:rsidRPr="00327F03">
        <w:rPr>
          <w:rFonts w:ascii="Times New Roman" w:eastAsia="Times New Roman" w:hAnsi="Times New Roman" w:cs="Times New Roman"/>
        </w:rPr>
        <w:t>Kadangi nauda</w:t>
      </w:r>
      <w:r w:rsidR="00AC7818" w:rsidRPr="00327F03">
        <w:rPr>
          <w:rFonts w:ascii="Times New Roman" w:eastAsia="Times New Roman" w:hAnsi="Times New Roman" w:cs="Times New Roman"/>
        </w:rPr>
        <w:t xml:space="preserve"> pacientėms, kurių </w:t>
      </w:r>
      <w:r w:rsidR="008377C5" w:rsidRPr="00327F03">
        <w:rPr>
          <w:rFonts w:ascii="Times New Roman" w:eastAsia="Times New Roman" w:hAnsi="Times New Roman" w:cs="Times New Roman"/>
        </w:rPr>
        <w:t xml:space="preserve">metastazių pažeistų </w:t>
      </w:r>
      <w:r w:rsidR="00AC7818" w:rsidRPr="00327F03">
        <w:rPr>
          <w:rFonts w:ascii="Times New Roman" w:eastAsia="Times New Roman" w:hAnsi="Times New Roman" w:cs="Times New Roman"/>
        </w:rPr>
        <w:t xml:space="preserve">limfmazgių skaičius buvo 4+, </w:t>
      </w:r>
      <w:r w:rsidR="0036248E" w:rsidRPr="00327F03">
        <w:rPr>
          <w:rFonts w:ascii="Times New Roman" w:eastAsia="Times New Roman" w:hAnsi="Times New Roman" w:cs="Times New Roman"/>
        </w:rPr>
        <w:t xml:space="preserve">nebuvo statistiškai reikšminga </w:t>
      </w:r>
      <w:r w:rsidR="00AC7818" w:rsidRPr="00327F03">
        <w:rPr>
          <w:rFonts w:ascii="Times New Roman" w:eastAsia="Times New Roman" w:hAnsi="Times New Roman" w:cs="Times New Roman"/>
        </w:rPr>
        <w:t xml:space="preserve">tiek </w:t>
      </w:r>
      <w:r w:rsidR="003A76A2" w:rsidRPr="007C1A06">
        <w:rPr>
          <w:rFonts w:ascii="Times New Roman" w:eastAsia="Times New Roman" w:hAnsi="Times New Roman" w:cs="Times New Roman"/>
          <w:color w:val="000000"/>
        </w:rPr>
        <w:t>BLSIL</w:t>
      </w:r>
      <w:r w:rsidR="00AC7818" w:rsidRPr="00327F03">
        <w:rPr>
          <w:rFonts w:ascii="Times New Roman" w:eastAsia="Times New Roman" w:hAnsi="Times New Roman" w:cs="Times New Roman"/>
        </w:rPr>
        <w:t xml:space="preserve"> tiek BI, teigiamas naudos/rizikos faktorius TAC grupės pacientėms </w:t>
      </w:r>
      <w:r w:rsidR="008377C5" w:rsidRPr="00327F03">
        <w:rPr>
          <w:rFonts w:ascii="Times New Roman" w:eastAsia="Times New Roman" w:hAnsi="Times New Roman" w:cs="Times New Roman"/>
        </w:rPr>
        <w:t>su metastazių pažeistų limfmazgių skaičiumi 4+ pilnai nebuvo įrodytas baigiamosios analizės atveju.</w:t>
      </w:r>
    </w:p>
    <w:p w14:paraId="07DF9966" w14:textId="77777777" w:rsidR="008377C5" w:rsidRPr="00327F03" w:rsidRDefault="008377C5" w:rsidP="0036248E">
      <w:pPr>
        <w:autoSpaceDE w:val="0"/>
        <w:autoSpaceDN w:val="0"/>
        <w:adjustRightInd w:val="0"/>
        <w:spacing w:after="0" w:line="240" w:lineRule="auto"/>
        <w:rPr>
          <w:rFonts w:ascii="Times New Roman" w:eastAsia="Times New Roman" w:hAnsi="Times New Roman" w:cs="Times New Roman"/>
        </w:rPr>
      </w:pPr>
    </w:p>
    <w:p w14:paraId="280C9FD8" w14:textId="77777777" w:rsidR="002456AC" w:rsidRPr="00327F03" w:rsidRDefault="008377C5" w:rsidP="0036248E">
      <w:pPr>
        <w:autoSpaceDE w:val="0"/>
        <w:autoSpaceDN w:val="0"/>
        <w:adjustRightInd w:val="0"/>
        <w:spacing w:after="0" w:line="240" w:lineRule="auto"/>
        <w:rPr>
          <w:rFonts w:ascii="Times New Roman" w:eastAsia="Times New Roman" w:hAnsi="Times New Roman" w:cs="Times New Roman"/>
        </w:rPr>
      </w:pPr>
      <w:r w:rsidRPr="00327F03">
        <w:rPr>
          <w:rFonts w:ascii="Times New Roman" w:eastAsia="Times New Roman" w:hAnsi="Times New Roman" w:cs="Times New Roman"/>
        </w:rPr>
        <w:t>Apskritai, tyrimo rezultatai rodo</w:t>
      </w:r>
      <w:r w:rsidR="002456AC" w:rsidRPr="00327F03">
        <w:rPr>
          <w:rFonts w:ascii="Times New Roman" w:eastAsia="Times New Roman" w:hAnsi="Times New Roman" w:cs="Times New Roman"/>
        </w:rPr>
        <w:t xml:space="preserve"> teigiamą naudos ir rizikos santykį lyginant TAC ir FAC grupes.</w:t>
      </w:r>
    </w:p>
    <w:p w14:paraId="075CE761" w14:textId="77777777" w:rsidR="002456AC" w:rsidRDefault="002456AC" w:rsidP="002456AC">
      <w:pPr>
        <w:spacing w:after="0" w:line="240" w:lineRule="auto"/>
        <w:rPr>
          <w:rFonts w:ascii="Times New Roman" w:eastAsia="Times New Roman" w:hAnsi="Times New Roman" w:cs="Times New Roman"/>
        </w:rPr>
      </w:pPr>
    </w:p>
    <w:p w14:paraId="122539C6" w14:textId="77777777" w:rsidR="00D875C0" w:rsidRDefault="002456AC" w:rsidP="002456AC">
      <w:pPr>
        <w:spacing w:after="0" w:line="240" w:lineRule="auto"/>
        <w:rPr>
          <w:rFonts w:ascii="Times New Roman" w:eastAsia="Times New Roman" w:hAnsi="Times New Roman" w:cs="Times New Roman"/>
        </w:rPr>
      </w:pPr>
      <w:r w:rsidRPr="00F95B76">
        <w:rPr>
          <w:rFonts w:ascii="Times New Roman" w:hAnsi="Times New Roman"/>
        </w:rPr>
        <w:t>Išanalizuoti TAC gydytų pacienčių poaibiai</w:t>
      </w:r>
      <w:r w:rsidRPr="001F2C46">
        <w:rPr>
          <w:rFonts w:ascii="Times New Roman" w:hAnsi="Times New Roman"/>
        </w:rPr>
        <w:t>, sudaryti pagal prospektyviniu būdu nustatytus pagrindinius prognozės 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125"/>
        <w:gridCol w:w="1329"/>
        <w:gridCol w:w="1068"/>
        <w:gridCol w:w="823"/>
        <w:gridCol w:w="1439"/>
        <w:gridCol w:w="1170"/>
        <w:gridCol w:w="826"/>
      </w:tblGrid>
      <w:tr w:rsidR="00D875C0" w:rsidRPr="007C1A06" w14:paraId="109319E1" w14:textId="77777777" w:rsidTr="004E3CD5">
        <w:tc>
          <w:tcPr>
            <w:tcW w:w="1281" w:type="dxa"/>
          </w:tcPr>
          <w:p w14:paraId="392629FC" w14:textId="77777777" w:rsidR="00D875C0" w:rsidRPr="00F95B76" w:rsidRDefault="00D875C0" w:rsidP="003876F8">
            <w:pPr>
              <w:spacing w:after="0" w:line="240" w:lineRule="auto"/>
              <w:rPr>
                <w:rFonts w:ascii="Times New Roman" w:hAnsi="Times New Roman"/>
              </w:rPr>
            </w:pPr>
          </w:p>
        </w:tc>
        <w:tc>
          <w:tcPr>
            <w:tcW w:w="1181" w:type="dxa"/>
          </w:tcPr>
          <w:p w14:paraId="08258636" w14:textId="77777777" w:rsidR="00D875C0" w:rsidRPr="001F2C46" w:rsidRDefault="00D875C0" w:rsidP="003876F8">
            <w:pPr>
              <w:spacing w:after="0" w:line="240" w:lineRule="auto"/>
              <w:rPr>
                <w:rFonts w:ascii="Times New Roman" w:hAnsi="Times New Roman"/>
              </w:rPr>
            </w:pPr>
          </w:p>
        </w:tc>
        <w:tc>
          <w:tcPr>
            <w:tcW w:w="3357" w:type="dxa"/>
            <w:gridSpan w:val="3"/>
          </w:tcPr>
          <w:p w14:paraId="229A7B0B" w14:textId="77777777" w:rsidR="00D875C0" w:rsidRPr="00427D92" w:rsidRDefault="00D875C0" w:rsidP="003876F8">
            <w:pPr>
              <w:spacing w:after="0" w:line="240" w:lineRule="auto"/>
              <w:rPr>
                <w:rFonts w:ascii="Times New Roman" w:hAnsi="Times New Roman"/>
              </w:rPr>
            </w:pPr>
            <w:r w:rsidRPr="00427D92">
              <w:rPr>
                <w:rFonts w:ascii="Times New Roman" w:hAnsi="Times New Roman"/>
                <w:b/>
              </w:rPr>
              <w:t>Be ligos reiškinių išgyventas laikotarpis</w:t>
            </w:r>
          </w:p>
        </w:tc>
        <w:tc>
          <w:tcPr>
            <w:tcW w:w="3467" w:type="dxa"/>
            <w:gridSpan w:val="3"/>
          </w:tcPr>
          <w:p w14:paraId="1B6F1C08" w14:textId="77777777" w:rsidR="00D875C0" w:rsidRPr="007C1A06" w:rsidRDefault="00D875C0" w:rsidP="003876F8">
            <w:pPr>
              <w:spacing w:after="0" w:line="240" w:lineRule="auto"/>
              <w:rPr>
                <w:rFonts w:ascii="Times New Roman" w:hAnsi="Times New Roman"/>
              </w:rPr>
            </w:pPr>
            <w:r w:rsidRPr="00C722B4">
              <w:rPr>
                <w:rFonts w:ascii="Times New Roman" w:hAnsi="Times New Roman"/>
                <w:b/>
              </w:rPr>
              <w:t>Bendras išgyventas laikotarpis</w:t>
            </w:r>
          </w:p>
        </w:tc>
      </w:tr>
      <w:tr w:rsidR="00D875C0" w:rsidRPr="007C1A06" w14:paraId="7B7F1E38" w14:textId="77777777" w:rsidTr="004E3CD5">
        <w:tc>
          <w:tcPr>
            <w:tcW w:w="1281" w:type="dxa"/>
          </w:tcPr>
          <w:p w14:paraId="76547E56" w14:textId="77777777" w:rsidR="00D875C0" w:rsidRPr="00F95B76" w:rsidRDefault="00D875C0" w:rsidP="003876F8">
            <w:pPr>
              <w:spacing w:after="0" w:line="240" w:lineRule="auto"/>
              <w:rPr>
                <w:rFonts w:ascii="Times New Roman" w:hAnsi="Times New Roman"/>
              </w:rPr>
            </w:pPr>
            <w:r w:rsidRPr="00F95B76">
              <w:rPr>
                <w:rFonts w:ascii="Times New Roman" w:hAnsi="Times New Roman"/>
                <w:b/>
              </w:rPr>
              <w:t>Pacienčių poaibis</w:t>
            </w:r>
          </w:p>
        </w:tc>
        <w:tc>
          <w:tcPr>
            <w:tcW w:w="1181" w:type="dxa"/>
          </w:tcPr>
          <w:p w14:paraId="227FB2E3" w14:textId="77777777" w:rsidR="00D875C0" w:rsidRPr="001F2C46" w:rsidRDefault="00D875C0" w:rsidP="003876F8">
            <w:pPr>
              <w:spacing w:after="0" w:line="240" w:lineRule="auto"/>
              <w:rPr>
                <w:rFonts w:ascii="Times New Roman" w:hAnsi="Times New Roman"/>
              </w:rPr>
            </w:pPr>
            <w:r w:rsidRPr="001F2C46">
              <w:rPr>
                <w:rFonts w:ascii="Times New Roman" w:hAnsi="Times New Roman"/>
                <w:b/>
              </w:rPr>
              <w:t>Pacienčių skaičius</w:t>
            </w:r>
          </w:p>
        </w:tc>
        <w:tc>
          <w:tcPr>
            <w:tcW w:w="1329" w:type="dxa"/>
          </w:tcPr>
          <w:p w14:paraId="17FE7BDE"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b/>
              </w:rPr>
              <w:t>Rizikos koeficientas *</w:t>
            </w:r>
          </w:p>
        </w:tc>
        <w:tc>
          <w:tcPr>
            <w:tcW w:w="1177" w:type="dxa"/>
          </w:tcPr>
          <w:p w14:paraId="18E2BF7B" w14:textId="77777777" w:rsidR="00D875C0" w:rsidRPr="007C1A06" w:rsidRDefault="00D875C0" w:rsidP="001C79C8">
            <w:pPr>
              <w:spacing w:after="0" w:line="240" w:lineRule="auto"/>
              <w:rPr>
                <w:rFonts w:ascii="Times New Roman" w:hAnsi="Times New Roman"/>
              </w:rPr>
            </w:pPr>
            <w:r w:rsidRPr="00C722B4">
              <w:rPr>
                <w:rFonts w:ascii="Times New Roman" w:hAnsi="Times New Roman"/>
                <w:b/>
              </w:rPr>
              <w:t>95</w:t>
            </w:r>
            <w:r w:rsidR="001C79C8" w:rsidRPr="007C1A06">
              <w:rPr>
                <w:rFonts w:ascii="Times New Roman" w:hAnsi="Times New Roman"/>
                <w:b/>
              </w:rPr>
              <w:t> </w:t>
            </w:r>
            <w:r w:rsidRPr="007C1A06">
              <w:rPr>
                <w:rFonts w:ascii="Times New Roman" w:hAnsi="Times New Roman"/>
                <w:b/>
              </w:rPr>
              <w:t>% PI</w:t>
            </w:r>
          </w:p>
        </w:tc>
        <w:tc>
          <w:tcPr>
            <w:tcW w:w="851" w:type="dxa"/>
          </w:tcPr>
          <w:p w14:paraId="4DD87E44" w14:textId="77777777" w:rsidR="00D875C0" w:rsidRPr="004E3CD5" w:rsidRDefault="00D875C0" w:rsidP="003876F8">
            <w:pPr>
              <w:spacing w:after="0" w:line="240" w:lineRule="auto"/>
              <w:rPr>
                <w:rFonts w:ascii="Times New Roman" w:eastAsiaTheme="minorEastAsia" w:hAnsi="Times New Roman"/>
                <w:lang w:eastAsia="zh-TW"/>
              </w:rPr>
            </w:pPr>
            <w:r w:rsidRPr="007C1A06">
              <w:rPr>
                <w:rFonts w:ascii="Times New Roman" w:hAnsi="Times New Roman"/>
                <w:b/>
              </w:rPr>
              <w:t>p=</w:t>
            </w:r>
          </w:p>
        </w:tc>
        <w:tc>
          <w:tcPr>
            <w:tcW w:w="1439" w:type="dxa"/>
          </w:tcPr>
          <w:p w14:paraId="0570D378" w14:textId="77777777" w:rsidR="00D875C0" w:rsidRPr="004E3CD5" w:rsidRDefault="00D875C0" w:rsidP="003876F8">
            <w:pPr>
              <w:spacing w:after="0" w:line="240" w:lineRule="auto"/>
              <w:rPr>
                <w:rFonts w:ascii="Times New Roman" w:eastAsiaTheme="minorEastAsia" w:hAnsi="Times New Roman"/>
                <w:lang w:eastAsia="zh-TW"/>
              </w:rPr>
            </w:pPr>
            <w:r w:rsidRPr="007C1A06">
              <w:rPr>
                <w:rFonts w:ascii="Times New Roman" w:hAnsi="Times New Roman"/>
                <w:b/>
              </w:rPr>
              <w:t>Rizikos koeficientas*</w:t>
            </w:r>
          </w:p>
        </w:tc>
        <w:tc>
          <w:tcPr>
            <w:tcW w:w="1130" w:type="dxa"/>
          </w:tcPr>
          <w:p w14:paraId="546D5120" w14:textId="77777777" w:rsidR="00D875C0" w:rsidRPr="004E3CD5" w:rsidRDefault="00D875C0" w:rsidP="001C79C8">
            <w:pPr>
              <w:spacing w:after="0" w:line="240" w:lineRule="auto"/>
              <w:rPr>
                <w:rFonts w:ascii="Times New Roman" w:eastAsiaTheme="minorEastAsia" w:hAnsi="Times New Roman"/>
                <w:lang w:eastAsia="zh-TW"/>
              </w:rPr>
            </w:pPr>
            <w:r w:rsidRPr="007C1A06">
              <w:rPr>
                <w:rFonts w:ascii="Times New Roman" w:hAnsi="Times New Roman"/>
                <w:b/>
              </w:rPr>
              <w:t>95</w:t>
            </w:r>
            <w:r w:rsidR="001C79C8" w:rsidRPr="007C1A06">
              <w:rPr>
                <w:rFonts w:ascii="Times New Roman" w:hAnsi="Times New Roman"/>
                <w:b/>
              </w:rPr>
              <w:t> </w:t>
            </w:r>
            <w:r w:rsidRPr="007C1A06">
              <w:rPr>
                <w:rFonts w:ascii="Times New Roman" w:hAnsi="Times New Roman"/>
                <w:b/>
              </w:rPr>
              <w:t>% PI</w:t>
            </w:r>
          </w:p>
        </w:tc>
        <w:tc>
          <w:tcPr>
            <w:tcW w:w="898" w:type="dxa"/>
          </w:tcPr>
          <w:p w14:paraId="00CE0AC0" w14:textId="77777777" w:rsidR="00D875C0" w:rsidRPr="004E3CD5" w:rsidRDefault="00D875C0" w:rsidP="003876F8">
            <w:pPr>
              <w:spacing w:after="0" w:line="240" w:lineRule="auto"/>
              <w:rPr>
                <w:rFonts w:ascii="Times New Roman" w:eastAsiaTheme="minorEastAsia" w:hAnsi="Times New Roman"/>
                <w:lang w:eastAsia="zh-TW"/>
              </w:rPr>
            </w:pPr>
            <w:r w:rsidRPr="007C1A06">
              <w:rPr>
                <w:rFonts w:ascii="Times New Roman" w:hAnsi="Times New Roman"/>
                <w:b/>
              </w:rPr>
              <w:t>p=</w:t>
            </w:r>
          </w:p>
        </w:tc>
      </w:tr>
      <w:tr w:rsidR="00D875C0" w:rsidRPr="007C1A06" w14:paraId="361D092C" w14:textId="77777777" w:rsidTr="004E3CD5">
        <w:tc>
          <w:tcPr>
            <w:tcW w:w="1281" w:type="dxa"/>
          </w:tcPr>
          <w:p w14:paraId="56B74C92" w14:textId="77777777" w:rsidR="00D875C0" w:rsidRPr="00F95B76" w:rsidRDefault="00D875C0" w:rsidP="003876F8">
            <w:pPr>
              <w:autoSpaceDE w:val="0"/>
              <w:autoSpaceDN w:val="0"/>
              <w:adjustRightInd w:val="0"/>
              <w:spacing w:after="0" w:line="240" w:lineRule="auto"/>
              <w:rPr>
                <w:rFonts w:ascii="Times New Roman" w:hAnsi="Times New Roman"/>
                <w:b/>
              </w:rPr>
            </w:pPr>
            <w:r w:rsidRPr="00F95B76">
              <w:rPr>
                <w:rFonts w:ascii="Times New Roman" w:hAnsi="Times New Roman"/>
                <w:b/>
              </w:rPr>
              <w:t>Pažeistų limfmazgių skaičius</w:t>
            </w:r>
          </w:p>
        </w:tc>
        <w:tc>
          <w:tcPr>
            <w:tcW w:w="1181" w:type="dxa"/>
          </w:tcPr>
          <w:p w14:paraId="51015694" w14:textId="77777777" w:rsidR="00D875C0" w:rsidRPr="001F2C46" w:rsidRDefault="00D875C0" w:rsidP="003876F8">
            <w:pPr>
              <w:spacing w:after="0" w:line="240" w:lineRule="auto"/>
              <w:rPr>
                <w:rFonts w:ascii="Times New Roman" w:hAnsi="Times New Roman"/>
              </w:rPr>
            </w:pPr>
          </w:p>
        </w:tc>
        <w:tc>
          <w:tcPr>
            <w:tcW w:w="1329" w:type="dxa"/>
          </w:tcPr>
          <w:p w14:paraId="3B6347EE" w14:textId="77777777" w:rsidR="00D875C0" w:rsidRPr="00427D92" w:rsidRDefault="00D875C0" w:rsidP="003876F8">
            <w:pPr>
              <w:spacing w:after="0" w:line="240" w:lineRule="auto"/>
              <w:rPr>
                <w:rFonts w:ascii="Times New Roman" w:hAnsi="Times New Roman"/>
              </w:rPr>
            </w:pPr>
          </w:p>
        </w:tc>
        <w:tc>
          <w:tcPr>
            <w:tcW w:w="1177" w:type="dxa"/>
          </w:tcPr>
          <w:p w14:paraId="6ACB38F8" w14:textId="77777777" w:rsidR="00D875C0" w:rsidRPr="00C722B4" w:rsidRDefault="00D875C0" w:rsidP="003876F8">
            <w:pPr>
              <w:spacing w:after="0" w:line="240" w:lineRule="auto"/>
              <w:rPr>
                <w:rFonts w:ascii="Times New Roman" w:hAnsi="Times New Roman"/>
              </w:rPr>
            </w:pPr>
          </w:p>
        </w:tc>
        <w:tc>
          <w:tcPr>
            <w:tcW w:w="851" w:type="dxa"/>
          </w:tcPr>
          <w:p w14:paraId="11557530" w14:textId="77777777" w:rsidR="00D875C0" w:rsidRPr="007C1A06" w:rsidRDefault="00D875C0" w:rsidP="003876F8">
            <w:pPr>
              <w:spacing w:after="0" w:line="240" w:lineRule="auto"/>
              <w:rPr>
                <w:rFonts w:ascii="Times New Roman" w:hAnsi="Times New Roman"/>
              </w:rPr>
            </w:pPr>
          </w:p>
        </w:tc>
        <w:tc>
          <w:tcPr>
            <w:tcW w:w="1439" w:type="dxa"/>
          </w:tcPr>
          <w:p w14:paraId="167D65EB" w14:textId="77777777" w:rsidR="00D875C0" w:rsidRPr="007C1A06" w:rsidRDefault="00D875C0" w:rsidP="003876F8">
            <w:pPr>
              <w:spacing w:after="0" w:line="240" w:lineRule="auto"/>
              <w:rPr>
                <w:rFonts w:ascii="Times New Roman" w:hAnsi="Times New Roman"/>
              </w:rPr>
            </w:pPr>
          </w:p>
        </w:tc>
        <w:tc>
          <w:tcPr>
            <w:tcW w:w="1130" w:type="dxa"/>
          </w:tcPr>
          <w:p w14:paraId="63BB93AE" w14:textId="77777777" w:rsidR="00D875C0" w:rsidRPr="007C1A06" w:rsidRDefault="00D875C0" w:rsidP="003876F8">
            <w:pPr>
              <w:spacing w:after="0" w:line="240" w:lineRule="auto"/>
              <w:rPr>
                <w:rFonts w:ascii="Times New Roman" w:hAnsi="Times New Roman"/>
              </w:rPr>
            </w:pPr>
          </w:p>
        </w:tc>
        <w:tc>
          <w:tcPr>
            <w:tcW w:w="898" w:type="dxa"/>
          </w:tcPr>
          <w:p w14:paraId="2E1D539A" w14:textId="77777777" w:rsidR="00D875C0" w:rsidRPr="007C1A06" w:rsidRDefault="00D875C0" w:rsidP="003876F8">
            <w:pPr>
              <w:spacing w:after="0" w:line="240" w:lineRule="auto"/>
              <w:rPr>
                <w:rFonts w:ascii="Times New Roman" w:hAnsi="Times New Roman"/>
              </w:rPr>
            </w:pPr>
          </w:p>
        </w:tc>
      </w:tr>
      <w:tr w:rsidR="00D875C0" w:rsidRPr="007C1A06" w14:paraId="2D6307C8" w14:textId="77777777" w:rsidTr="004E3CD5">
        <w:tc>
          <w:tcPr>
            <w:tcW w:w="1281" w:type="dxa"/>
          </w:tcPr>
          <w:p w14:paraId="12F5A8BD" w14:textId="77777777" w:rsidR="00D875C0" w:rsidRPr="00F95B76" w:rsidRDefault="00D875C0" w:rsidP="003876F8">
            <w:pPr>
              <w:spacing w:after="0" w:line="240" w:lineRule="auto"/>
              <w:rPr>
                <w:rFonts w:ascii="Times New Roman" w:hAnsi="Times New Roman"/>
              </w:rPr>
            </w:pPr>
            <w:r w:rsidRPr="00F95B76">
              <w:rPr>
                <w:rFonts w:ascii="Times New Roman" w:hAnsi="Times New Roman"/>
              </w:rPr>
              <w:t>Iš viso</w:t>
            </w:r>
          </w:p>
        </w:tc>
        <w:tc>
          <w:tcPr>
            <w:tcW w:w="1181" w:type="dxa"/>
          </w:tcPr>
          <w:p w14:paraId="755726A2" w14:textId="77777777" w:rsidR="00D875C0" w:rsidRPr="001F2C46" w:rsidRDefault="00D875C0" w:rsidP="004E3CD5">
            <w:pPr>
              <w:spacing w:after="0" w:line="240" w:lineRule="auto"/>
              <w:rPr>
                <w:rFonts w:ascii="Times New Roman" w:hAnsi="Times New Roman"/>
              </w:rPr>
            </w:pPr>
            <w:r w:rsidRPr="001F2C46">
              <w:rPr>
                <w:rFonts w:ascii="Times New Roman" w:hAnsi="Times New Roman"/>
              </w:rPr>
              <w:t>745</w:t>
            </w:r>
          </w:p>
        </w:tc>
        <w:tc>
          <w:tcPr>
            <w:tcW w:w="1329" w:type="dxa"/>
          </w:tcPr>
          <w:p w14:paraId="2B721C19" w14:textId="77777777" w:rsidR="00D875C0" w:rsidRPr="00F95B76" w:rsidRDefault="00D875C0" w:rsidP="004E3CD5">
            <w:pPr>
              <w:spacing w:after="0" w:line="240" w:lineRule="auto"/>
              <w:rPr>
                <w:rFonts w:ascii="Times New Roman" w:hAnsi="Times New Roman"/>
              </w:rPr>
            </w:pPr>
            <w:r w:rsidRPr="00427D92">
              <w:rPr>
                <w:rFonts w:ascii="Times New Roman" w:hAnsi="Times New Roman"/>
              </w:rPr>
              <w:t>0,</w:t>
            </w:r>
            <w:r w:rsidR="00F3053A">
              <w:rPr>
                <w:rFonts w:ascii="Times New Roman" w:eastAsia="Times New Roman" w:hAnsi="Times New Roman" w:cs="Times New Roman"/>
              </w:rPr>
              <w:t>80</w:t>
            </w:r>
          </w:p>
        </w:tc>
        <w:tc>
          <w:tcPr>
            <w:tcW w:w="1177" w:type="dxa"/>
          </w:tcPr>
          <w:p w14:paraId="53ACBFAD" w14:textId="77777777" w:rsidR="00D875C0" w:rsidRPr="00F95B76" w:rsidRDefault="00D875C0" w:rsidP="004E3CD5">
            <w:pPr>
              <w:spacing w:after="0" w:line="240" w:lineRule="auto"/>
              <w:rPr>
                <w:rFonts w:ascii="Times New Roman" w:hAnsi="Times New Roman"/>
              </w:rPr>
            </w:pPr>
            <w:r w:rsidRPr="00F95B76">
              <w:rPr>
                <w:rFonts w:ascii="Times New Roman" w:hAnsi="Times New Roman"/>
              </w:rPr>
              <w:t>0,</w:t>
            </w:r>
            <w:r w:rsidR="00F3053A">
              <w:rPr>
                <w:rFonts w:ascii="Times New Roman" w:eastAsia="Times New Roman" w:hAnsi="Times New Roman" w:cs="Times New Roman"/>
              </w:rPr>
              <w:t>68</w:t>
            </w:r>
            <w:r w:rsidR="001C79C8" w:rsidRPr="00F95B76">
              <w:rPr>
                <w:rFonts w:ascii="Times New Roman" w:hAnsi="Times New Roman"/>
              </w:rPr>
              <w:noBreakHyphen/>
            </w:r>
            <w:r w:rsidRPr="00F95B76">
              <w:rPr>
                <w:rFonts w:ascii="Times New Roman" w:hAnsi="Times New Roman"/>
              </w:rPr>
              <w:t>0,</w:t>
            </w:r>
            <w:r w:rsidR="00F3053A">
              <w:rPr>
                <w:rFonts w:ascii="Times New Roman" w:eastAsia="Times New Roman" w:hAnsi="Times New Roman" w:cs="Times New Roman"/>
              </w:rPr>
              <w:t>93</w:t>
            </w:r>
          </w:p>
        </w:tc>
        <w:tc>
          <w:tcPr>
            <w:tcW w:w="851" w:type="dxa"/>
          </w:tcPr>
          <w:p w14:paraId="25422C76" w14:textId="77777777" w:rsidR="00D875C0" w:rsidRPr="00F95B76" w:rsidRDefault="00D875C0" w:rsidP="004E3CD5">
            <w:pPr>
              <w:spacing w:after="0" w:line="240" w:lineRule="auto"/>
              <w:rPr>
                <w:rFonts w:ascii="Times New Roman" w:hAnsi="Times New Roman"/>
              </w:rPr>
            </w:pPr>
            <w:r w:rsidRPr="00F95B76">
              <w:rPr>
                <w:rFonts w:ascii="Times New Roman" w:hAnsi="Times New Roman"/>
              </w:rPr>
              <w:t>0,</w:t>
            </w:r>
            <w:r w:rsidRPr="007C1A06">
              <w:rPr>
                <w:rFonts w:ascii="Times New Roman" w:eastAsia="Times New Roman" w:hAnsi="Times New Roman" w:cs="Times New Roman"/>
              </w:rPr>
              <w:t>00</w:t>
            </w:r>
            <w:r w:rsidR="00F3053A">
              <w:rPr>
                <w:rFonts w:ascii="Times New Roman" w:eastAsia="Times New Roman" w:hAnsi="Times New Roman" w:cs="Times New Roman"/>
              </w:rPr>
              <w:t>43</w:t>
            </w:r>
          </w:p>
        </w:tc>
        <w:tc>
          <w:tcPr>
            <w:tcW w:w="1439" w:type="dxa"/>
          </w:tcPr>
          <w:p w14:paraId="76B071D2" w14:textId="77777777" w:rsidR="00D875C0" w:rsidRPr="00F95B76" w:rsidRDefault="00D875C0" w:rsidP="004E3CD5">
            <w:pPr>
              <w:spacing w:after="0" w:line="240" w:lineRule="auto"/>
              <w:rPr>
                <w:rFonts w:ascii="Times New Roman" w:hAnsi="Times New Roman"/>
              </w:rPr>
            </w:pPr>
            <w:r w:rsidRPr="00F95B76">
              <w:rPr>
                <w:rFonts w:ascii="Times New Roman" w:hAnsi="Times New Roman"/>
              </w:rPr>
              <w:t>0,</w:t>
            </w:r>
            <w:r w:rsidRPr="007C1A06">
              <w:rPr>
                <w:rFonts w:ascii="Times New Roman" w:eastAsia="Times New Roman" w:hAnsi="Times New Roman" w:cs="Times New Roman"/>
              </w:rPr>
              <w:t>7</w:t>
            </w:r>
            <w:r w:rsidR="00F3053A">
              <w:rPr>
                <w:rFonts w:ascii="Times New Roman" w:eastAsia="Times New Roman" w:hAnsi="Times New Roman" w:cs="Times New Roman"/>
              </w:rPr>
              <w:t>4</w:t>
            </w:r>
          </w:p>
        </w:tc>
        <w:tc>
          <w:tcPr>
            <w:tcW w:w="1130" w:type="dxa"/>
          </w:tcPr>
          <w:p w14:paraId="6A0B8603" w14:textId="77777777" w:rsidR="00D875C0" w:rsidRPr="00F95B76" w:rsidRDefault="00D875C0" w:rsidP="004E3CD5">
            <w:pPr>
              <w:spacing w:after="0" w:line="240" w:lineRule="auto"/>
              <w:rPr>
                <w:rFonts w:ascii="Times New Roman" w:hAnsi="Times New Roman"/>
              </w:rPr>
            </w:pPr>
            <w:r w:rsidRPr="00F95B76">
              <w:rPr>
                <w:rFonts w:ascii="Times New Roman" w:hAnsi="Times New Roman"/>
              </w:rPr>
              <w:t>0,</w:t>
            </w:r>
            <w:r w:rsidR="0046417B">
              <w:rPr>
                <w:rFonts w:ascii="Times New Roman" w:eastAsia="Times New Roman" w:hAnsi="Times New Roman" w:cs="Times New Roman"/>
              </w:rPr>
              <w:t>61</w:t>
            </w:r>
            <w:r w:rsidR="001C79C8" w:rsidRPr="00F95B76">
              <w:rPr>
                <w:rFonts w:ascii="Times New Roman" w:hAnsi="Times New Roman"/>
              </w:rPr>
              <w:noBreakHyphen/>
            </w:r>
            <w:r w:rsidRPr="00F95B76">
              <w:rPr>
                <w:rFonts w:ascii="Times New Roman" w:hAnsi="Times New Roman"/>
              </w:rPr>
              <w:t>0,</w:t>
            </w:r>
            <w:r w:rsidRPr="007C1A06">
              <w:rPr>
                <w:rFonts w:ascii="Times New Roman" w:eastAsia="Times New Roman" w:hAnsi="Times New Roman" w:cs="Times New Roman"/>
              </w:rPr>
              <w:t>9</w:t>
            </w:r>
            <w:r w:rsidR="0046417B">
              <w:rPr>
                <w:rFonts w:ascii="Times New Roman" w:eastAsia="Times New Roman" w:hAnsi="Times New Roman" w:cs="Times New Roman"/>
              </w:rPr>
              <w:t>0</w:t>
            </w:r>
            <w:r w:rsidRPr="007C1A06">
              <w:rPr>
                <w:rFonts w:ascii="Times New Roman" w:eastAsia="Times New Roman" w:hAnsi="Times New Roman" w:cs="Times New Roman"/>
              </w:rPr>
              <w:t>1</w:t>
            </w:r>
          </w:p>
        </w:tc>
        <w:tc>
          <w:tcPr>
            <w:tcW w:w="898" w:type="dxa"/>
          </w:tcPr>
          <w:p w14:paraId="572123B0" w14:textId="77777777" w:rsidR="00D875C0" w:rsidRPr="00F95B76" w:rsidRDefault="00D875C0" w:rsidP="004E3CD5">
            <w:pPr>
              <w:spacing w:after="0" w:line="240" w:lineRule="auto"/>
              <w:rPr>
                <w:rFonts w:ascii="Times New Roman" w:hAnsi="Times New Roman"/>
              </w:rPr>
            </w:pPr>
            <w:r w:rsidRPr="00F95B76">
              <w:rPr>
                <w:rFonts w:ascii="Times New Roman" w:hAnsi="Times New Roman"/>
              </w:rPr>
              <w:t>0,</w:t>
            </w:r>
            <w:r w:rsidRPr="007C1A06">
              <w:rPr>
                <w:rFonts w:ascii="Times New Roman" w:eastAsia="Times New Roman" w:hAnsi="Times New Roman" w:cs="Times New Roman"/>
              </w:rPr>
              <w:t>00</w:t>
            </w:r>
            <w:r w:rsidR="0046417B">
              <w:rPr>
                <w:rFonts w:ascii="Times New Roman" w:eastAsia="Times New Roman" w:hAnsi="Times New Roman" w:cs="Times New Roman"/>
              </w:rPr>
              <w:t>20</w:t>
            </w:r>
          </w:p>
        </w:tc>
      </w:tr>
      <w:tr w:rsidR="00D875C0" w:rsidRPr="007C1A06" w14:paraId="53C743CB" w14:textId="77777777" w:rsidTr="004E3CD5">
        <w:tc>
          <w:tcPr>
            <w:tcW w:w="1281" w:type="dxa"/>
          </w:tcPr>
          <w:p w14:paraId="4B2E4C43" w14:textId="77777777" w:rsidR="00D875C0" w:rsidRPr="001F2C46" w:rsidRDefault="00D875C0" w:rsidP="001C79C8">
            <w:pPr>
              <w:spacing w:after="0" w:line="240" w:lineRule="auto"/>
              <w:rPr>
                <w:rFonts w:ascii="Times New Roman" w:hAnsi="Times New Roman"/>
              </w:rPr>
            </w:pPr>
            <w:r w:rsidRPr="00F95B76">
              <w:rPr>
                <w:rFonts w:ascii="Times New Roman" w:hAnsi="Times New Roman"/>
              </w:rPr>
              <w:t>1</w:t>
            </w:r>
            <w:r w:rsidR="001C79C8" w:rsidRPr="00F95B76">
              <w:rPr>
                <w:rFonts w:ascii="Times New Roman" w:hAnsi="Times New Roman"/>
              </w:rPr>
              <w:noBreakHyphen/>
            </w:r>
            <w:r w:rsidRPr="001F2C46">
              <w:rPr>
                <w:rFonts w:ascii="Times New Roman" w:hAnsi="Times New Roman"/>
              </w:rPr>
              <w:t>3</w:t>
            </w:r>
          </w:p>
        </w:tc>
        <w:tc>
          <w:tcPr>
            <w:tcW w:w="1181" w:type="dxa"/>
          </w:tcPr>
          <w:p w14:paraId="4A30808E" w14:textId="77777777" w:rsidR="00D875C0" w:rsidRPr="001F2C46" w:rsidRDefault="00D875C0" w:rsidP="004E3CD5">
            <w:pPr>
              <w:spacing w:after="0" w:line="240" w:lineRule="auto"/>
              <w:rPr>
                <w:rFonts w:ascii="Times New Roman" w:hAnsi="Times New Roman"/>
              </w:rPr>
            </w:pPr>
            <w:r w:rsidRPr="001F2C46">
              <w:rPr>
                <w:rFonts w:ascii="Times New Roman" w:hAnsi="Times New Roman"/>
              </w:rPr>
              <w:t>467</w:t>
            </w:r>
          </w:p>
        </w:tc>
        <w:tc>
          <w:tcPr>
            <w:tcW w:w="1329" w:type="dxa"/>
          </w:tcPr>
          <w:p w14:paraId="41C095BD" w14:textId="77777777" w:rsidR="00D875C0" w:rsidRPr="00F95B76" w:rsidRDefault="00D875C0" w:rsidP="004E3CD5">
            <w:pPr>
              <w:spacing w:after="0" w:line="240" w:lineRule="auto"/>
              <w:rPr>
                <w:rFonts w:ascii="Times New Roman" w:hAnsi="Times New Roman"/>
              </w:rPr>
            </w:pPr>
            <w:r w:rsidRPr="00427D92">
              <w:rPr>
                <w:rFonts w:ascii="Times New Roman" w:hAnsi="Times New Roman"/>
              </w:rPr>
              <w:t>0,</w:t>
            </w:r>
            <w:r w:rsidR="00F3053A">
              <w:rPr>
                <w:rFonts w:ascii="Times New Roman" w:eastAsia="Times New Roman" w:hAnsi="Times New Roman" w:cs="Times New Roman"/>
              </w:rPr>
              <w:t>72</w:t>
            </w:r>
          </w:p>
        </w:tc>
        <w:tc>
          <w:tcPr>
            <w:tcW w:w="1177" w:type="dxa"/>
          </w:tcPr>
          <w:p w14:paraId="143D3873" w14:textId="77777777" w:rsidR="00D875C0" w:rsidRPr="00F95B76" w:rsidRDefault="00D875C0" w:rsidP="004E3CD5">
            <w:pPr>
              <w:spacing w:after="0" w:line="240" w:lineRule="auto"/>
              <w:rPr>
                <w:rFonts w:ascii="Times New Roman" w:hAnsi="Times New Roman"/>
              </w:rPr>
            </w:pPr>
            <w:r w:rsidRPr="00F95B76">
              <w:rPr>
                <w:rFonts w:ascii="Times New Roman" w:hAnsi="Times New Roman"/>
              </w:rPr>
              <w:t>0,</w:t>
            </w:r>
            <w:r w:rsidR="00F3053A">
              <w:rPr>
                <w:rFonts w:ascii="Times New Roman" w:eastAsia="Times New Roman" w:hAnsi="Times New Roman" w:cs="Times New Roman"/>
              </w:rPr>
              <w:t>58</w:t>
            </w:r>
            <w:r w:rsidR="001C79C8" w:rsidRPr="00F95B76">
              <w:rPr>
                <w:rFonts w:ascii="Times New Roman" w:hAnsi="Times New Roman"/>
              </w:rPr>
              <w:noBreakHyphen/>
            </w:r>
            <w:r w:rsidRPr="00F95B76">
              <w:rPr>
                <w:rFonts w:ascii="Times New Roman" w:hAnsi="Times New Roman"/>
              </w:rPr>
              <w:t>0,</w:t>
            </w:r>
            <w:r w:rsidR="00F3053A">
              <w:rPr>
                <w:rFonts w:ascii="Times New Roman" w:eastAsia="Times New Roman" w:hAnsi="Times New Roman" w:cs="Times New Roman"/>
              </w:rPr>
              <w:t>91</w:t>
            </w:r>
          </w:p>
        </w:tc>
        <w:tc>
          <w:tcPr>
            <w:tcW w:w="851" w:type="dxa"/>
          </w:tcPr>
          <w:p w14:paraId="0BAB3D84" w14:textId="77777777" w:rsidR="00D875C0" w:rsidRPr="00F95B76" w:rsidRDefault="00D875C0" w:rsidP="004E3CD5">
            <w:pPr>
              <w:spacing w:after="0" w:line="240" w:lineRule="auto"/>
              <w:rPr>
                <w:rFonts w:ascii="Times New Roman" w:hAnsi="Times New Roman"/>
              </w:rPr>
            </w:pPr>
            <w:r w:rsidRPr="001F2C46">
              <w:rPr>
                <w:rFonts w:ascii="Times New Roman" w:hAnsi="Times New Roman"/>
              </w:rPr>
              <w:t>0,</w:t>
            </w:r>
            <w:r w:rsidRPr="007C1A06">
              <w:rPr>
                <w:rFonts w:ascii="Times New Roman" w:eastAsia="Times New Roman" w:hAnsi="Times New Roman" w:cs="Times New Roman"/>
              </w:rPr>
              <w:t>00</w:t>
            </w:r>
            <w:r w:rsidR="00F3053A">
              <w:rPr>
                <w:rFonts w:ascii="Times New Roman" w:eastAsia="Times New Roman" w:hAnsi="Times New Roman" w:cs="Times New Roman"/>
              </w:rPr>
              <w:t>47</w:t>
            </w:r>
          </w:p>
        </w:tc>
        <w:tc>
          <w:tcPr>
            <w:tcW w:w="1439" w:type="dxa"/>
          </w:tcPr>
          <w:p w14:paraId="4363AB19" w14:textId="77777777" w:rsidR="00D875C0" w:rsidRPr="00F95B76" w:rsidRDefault="00D875C0" w:rsidP="004E3CD5">
            <w:pPr>
              <w:spacing w:after="0" w:line="240" w:lineRule="auto"/>
              <w:rPr>
                <w:rFonts w:ascii="Times New Roman" w:hAnsi="Times New Roman"/>
              </w:rPr>
            </w:pPr>
            <w:r w:rsidRPr="00F95B76">
              <w:rPr>
                <w:rFonts w:ascii="Times New Roman" w:hAnsi="Times New Roman"/>
              </w:rPr>
              <w:t>0,</w:t>
            </w:r>
            <w:r w:rsidR="00F3053A">
              <w:rPr>
                <w:rFonts w:ascii="Times New Roman" w:eastAsia="Times New Roman" w:hAnsi="Times New Roman" w:cs="Times New Roman"/>
              </w:rPr>
              <w:t>62</w:t>
            </w:r>
          </w:p>
        </w:tc>
        <w:tc>
          <w:tcPr>
            <w:tcW w:w="1130" w:type="dxa"/>
          </w:tcPr>
          <w:p w14:paraId="61A7B61F" w14:textId="77777777" w:rsidR="00D875C0" w:rsidRPr="00F95B76" w:rsidRDefault="00D875C0" w:rsidP="004E3CD5">
            <w:pPr>
              <w:spacing w:after="0" w:line="240" w:lineRule="auto"/>
              <w:rPr>
                <w:rFonts w:ascii="Times New Roman" w:hAnsi="Times New Roman"/>
              </w:rPr>
            </w:pPr>
            <w:r w:rsidRPr="00F95B76">
              <w:rPr>
                <w:rFonts w:ascii="Times New Roman" w:hAnsi="Times New Roman"/>
              </w:rPr>
              <w:t>0,</w:t>
            </w:r>
            <w:r w:rsidR="0046417B">
              <w:rPr>
                <w:rFonts w:ascii="Times New Roman" w:eastAsia="Times New Roman" w:hAnsi="Times New Roman" w:cs="Times New Roman"/>
              </w:rPr>
              <w:t>46</w:t>
            </w:r>
            <w:r w:rsidR="001C79C8" w:rsidRPr="00F95B76">
              <w:rPr>
                <w:rFonts w:ascii="Times New Roman" w:hAnsi="Times New Roman"/>
              </w:rPr>
              <w:noBreakHyphen/>
            </w:r>
            <w:r w:rsidRPr="00F95B76">
              <w:rPr>
                <w:rFonts w:ascii="Times New Roman" w:hAnsi="Times New Roman"/>
              </w:rPr>
              <w:t>0,</w:t>
            </w:r>
            <w:r w:rsidR="0046417B">
              <w:rPr>
                <w:rFonts w:ascii="Times New Roman" w:eastAsia="Times New Roman" w:hAnsi="Times New Roman" w:cs="Times New Roman"/>
              </w:rPr>
              <w:t>82</w:t>
            </w:r>
          </w:p>
        </w:tc>
        <w:tc>
          <w:tcPr>
            <w:tcW w:w="898" w:type="dxa"/>
          </w:tcPr>
          <w:p w14:paraId="7A02AD82" w14:textId="77777777" w:rsidR="00D875C0" w:rsidRPr="00F95B76" w:rsidRDefault="00D875C0" w:rsidP="004E3CD5">
            <w:pPr>
              <w:spacing w:after="0" w:line="240" w:lineRule="auto"/>
              <w:rPr>
                <w:rFonts w:ascii="Times New Roman" w:hAnsi="Times New Roman"/>
              </w:rPr>
            </w:pPr>
            <w:r w:rsidRPr="001F2C46">
              <w:rPr>
                <w:rFonts w:ascii="Times New Roman" w:hAnsi="Times New Roman"/>
              </w:rPr>
              <w:t>0,</w:t>
            </w:r>
            <w:r w:rsidRPr="007C1A06">
              <w:rPr>
                <w:rFonts w:ascii="Times New Roman" w:eastAsia="Times New Roman" w:hAnsi="Times New Roman" w:cs="Times New Roman"/>
              </w:rPr>
              <w:t>000</w:t>
            </w:r>
            <w:r w:rsidR="0046417B">
              <w:rPr>
                <w:rFonts w:ascii="Times New Roman" w:eastAsia="Times New Roman" w:hAnsi="Times New Roman" w:cs="Times New Roman"/>
              </w:rPr>
              <w:t>8</w:t>
            </w:r>
          </w:p>
        </w:tc>
      </w:tr>
      <w:tr w:rsidR="00D875C0" w:rsidRPr="007C1A06" w14:paraId="618F72CB" w14:textId="77777777" w:rsidTr="004E3CD5">
        <w:tc>
          <w:tcPr>
            <w:tcW w:w="1281" w:type="dxa"/>
          </w:tcPr>
          <w:p w14:paraId="1E80AE6C" w14:textId="77777777" w:rsidR="00D875C0" w:rsidRPr="00F95B76" w:rsidRDefault="00D875C0" w:rsidP="003876F8">
            <w:pPr>
              <w:spacing w:after="0" w:line="240" w:lineRule="auto"/>
              <w:rPr>
                <w:rFonts w:ascii="Times New Roman" w:hAnsi="Times New Roman"/>
              </w:rPr>
            </w:pPr>
            <w:r w:rsidRPr="00F95B76">
              <w:rPr>
                <w:rFonts w:ascii="Times New Roman" w:hAnsi="Times New Roman"/>
              </w:rPr>
              <w:t>4+</w:t>
            </w:r>
          </w:p>
        </w:tc>
        <w:tc>
          <w:tcPr>
            <w:tcW w:w="1181" w:type="dxa"/>
          </w:tcPr>
          <w:p w14:paraId="49B01962" w14:textId="77777777" w:rsidR="00D875C0" w:rsidRPr="001F2C46" w:rsidRDefault="00D875C0" w:rsidP="004E3CD5">
            <w:pPr>
              <w:spacing w:after="0" w:line="240" w:lineRule="auto"/>
              <w:rPr>
                <w:rFonts w:ascii="Times New Roman" w:hAnsi="Times New Roman"/>
              </w:rPr>
            </w:pPr>
            <w:r w:rsidRPr="001F2C46">
              <w:rPr>
                <w:rFonts w:ascii="Times New Roman" w:hAnsi="Times New Roman"/>
              </w:rPr>
              <w:t>278</w:t>
            </w:r>
          </w:p>
        </w:tc>
        <w:tc>
          <w:tcPr>
            <w:tcW w:w="1329" w:type="dxa"/>
          </w:tcPr>
          <w:p w14:paraId="03CAAEA1" w14:textId="77777777" w:rsidR="00D875C0" w:rsidRPr="00F95B76" w:rsidRDefault="00D875C0" w:rsidP="004E3CD5">
            <w:pPr>
              <w:spacing w:after="0" w:line="240" w:lineRule="auto"/>
              <w:rPr>
                <w:rFonts w:ascii="Times New Roman" w:hAnsi="Times New Roman"/>
              </w:rPr>
            </w:pPr>
            <w:r w:rsidRPr="00427D92">
              <w:rPr>
                <w:rFonts w:ascii="Times New Roman" w:hAnsi="Times New Roman"/>
              </w:rPr>
              <w:t>0,</w:t>
            </w:r>
            <w:r w:rsidRPr="007C1A06">
              <w:rPr>
                <w:rFonts w:ascii="Times New Roman" w:eastAsia="Times New Roman" w:hAnsi="Times New Roman" w:cs="Times New Roman"/>
              </w:rPr>
              <w:t>8</w:t>
            </w:r>
            <w:r w:rsidR="00F3053A">
              <w:rPr>
                <w:rFonts w:ascii="Times New Roman" w:eastAsia="Times New Roman" w:hAnsi="Times New Roman" w:cs="Times New Roman"/>
              </w:rPr>
              <w:t>7</w:t>
            </w:r>
          </w:p>
        </w:tc>
        <w:tc>
          <w:tcPr>
            <w:tcW w:w="1177" w:type="dxa"/>
          </w:tcPr>
          <w:p w14:paraId="119A0ACB" w14:textId="77777777" w:rsidR="00D875C0" w:rsidRPr="00F95B76" w:rsidRDefault="00D875C0" w:rsidP="004E3CD5">
            <w:pPr>
              <w:spacing w:after="0" w:line="240" w:lineRule="auto"/>
              <w:rPr>
                <w:rFonts w:ascii="Times New Roman" w:hAnsi="Times New Roman"/>
              </w:rPr>
            </w:pPr>
            <w:r w:rsidRPr="00F95B76">
              <w:rPr>
                <w:rFonts w:ascii="Times New Roman" w:hAnsi="Times New Roman"/>
              </w:rPr>
              <w:t>0,</w:t>
            </w:r>
            <w:r w:rsidR="00F3053A">
              <w:rPr>
                <w:rFonts w:ascii="Times New Roman" w:eastAsia="Times New Roman" w:hAnsi="Times New Roman" w:cs="Times New Roman"/>
              </w:rPr>
              <w:t>70</w:t>
            </w:r>
            <w:r w:rsidR="001C79C8" w:rsidRPr="00F95B76">
              <w:rPr>
                <w:rFonts w:ascii="Times New Roman" w:hAnsi="Times New Roman"/>
              </w:rPr>
              <w:noBreakHyphen/>
            </w:r>
            <w:r w:rsidRPr="00F95B76">
              <w:rPr>
                <w:rFonts w:ascii="Times New Roman" w:hAnsi="Times New Roman"/>
              </w:rPr>
              <w:t>1,</w:t>
            </w:r>
            <w:r w:rsidRPr="007C1A06">
              <w:rPr>
                <w:rFonts w:ascii="Times New Roman" w:eastAsia="Times New Roman" w:hAnsi="Times New Roman" w:cs="Times New Roman"/>
              </w:rPr>
              <w:t>0</w:t>
            </w:r>
            <w:r w:rsidR="00F3053A">
              <w:rPr>
                <w:rFonts w:ascii="Times New Roman" w:eastAsia="Times New Roman" w:hAnsi="Times New Roman" w:cs="Times New Roman"/>
              </w:rPr>
              <w:t>9</w:t>
            </w:r>
          </w:p>
        </w:tc>
        <w:tc>
          <w:tcPr>
            <w:tcW w:w="851" w:type="dxa"/>
          </w:tcPr>
          <w:p w14:paraId="5D9CB8FA" w14:textId="77777777" w:rsidR="00D875C0" w:rsidRPr="00F95B76" w:rsidRDefault="00D875C0" w:rsidP="004E3CD5">
            <w:pPr>
              <w:spacing w:after="0" w:line="240" w:lineRule="auto"/>
              <w:rPr>
                <w:rFonts w:ascii="Times New Roman" w:hAnsi="Times New Roman"/>
              </w:rPr>
            </w:pPr>
            <w:r w:rsidRPr="00F95B76">
              <w:rPr>
                <w:rFonts w:ascii="Times New Roman" w:hAnsi="Times New Roman"/>
              </w:rPr>
              <w:t>0,</w:t>
            </w:r>
            <w:r w:rsidR="00F3053A">
              <w:rPr>
                <w:rFonts w:ascii="Times New Roman" w:eastAsia="Times New Roman" w:hAnsi="Times New Roman" w:cs="Times New Roman"/>
              </w:rPr>
              <w:t>2290</w:t>
            </w:r>
          </w:p>
        </w:tc>
        <w:tc>
          <w:tcPr>
            <w:tcW w:w="1439" w:type="dxa"/>
          </w:tcPr>
          <w:p w14:paraId="6071479A" w14:textId="77777777" w:rsidR="00D875C0" w:rsidRPr="00F95B76" w:rsidRDefault="00D875C0" w:rsidP="004E3CD5">
            <w:pPr>
              <w:spacing w:after="0" w:line="240" w:lineRule="auto"/>
              <w:rPr>
                <w:rFonts w:ascii="Times New Roman" w:hAnsi="Times New Roman"/>
              </w:rPr>
            </w:pPr>
            <w:r w:rsidRPr="00F95B76">
              <w:rPr>
                <w:rFonts w:ascii="Times New Roman" w:hAnsi="Times New Roman"/>
              </w:rPr>
              <w:t>0,</w:t>
            </w:r>
            <w:r w:rsidR="00F3053A">
              <w:rPr>
                <w:rFonts w:ascii="Times New Roman" w:eastAsia="Times New Roman" w:hAnsi="Times New Roman" w:cs="Times New Roman"/>
              </w:rPr>
              <w:t>87</w:t>
            </w:r>
          </w:p>
        </w:tc>
        <w:tc>
          <w:tcPr>
            <w:tcW w:w="1130" w:type="dxa"/>
          </w:tcPr>
          <w:p w14:paraId="74D4D7A7" w14:textId="77777777" w:rsidR="00D875C0" w:rsidRPr="00F95B76" w:rsidRDefault="00D875C0" w:rsidP="004E3CD5">
            <w:pPr>
              <w:spacing w:after="0" w:line="240" w:lineRule="auto"/>
              <w:rPr>
                <w:rFonts w:ascii="Times New Roman" w:hAnsi="Times New Roman"/>
              </w:rPr>
            </w:pPr>
            <w:r w:rsidRPr="00F95B76">
              <w:rPr>
                <w:rFonts w:ascii="Times New Roman" w:hAnsi="Times New Roman"/>
              </w:rPr>
              <w:t>0,</w:t>
            </w:r>
            <w:r w:rsidRPr="007C1A06">
              <w:rPr>
                <w:rFonts w:ascii="Times New Roman" w:eastAsia="Times New Roman" w:hAnsi="Times New Roman" w:cs="Times New Roman"/>
              </w:rPr>
              <w:t>6</w:t>
            </w:r>
            <w:r w:rsidR="0046417B">
              <w:rPr>
                <w:rFonts w:ascii="Times New Roman" w:eastAsia="Times New Roman" w:hAnsi="Times New Roman" w:cs="Times New Roman"/>
              </w:rPr>
              <w:t>7</w:t>
            </w:r>
            <w:r w:rsidR="001C79C8" w:rsidRPr="00F95B76">
              <w:rPr>
                <w:rFonts w:ascii="Times New Roman" w:hAnsi="Times New Roman"/>
              </w:rPr>
              <w:noBreakHyphen/>
            </w:r>
            <w:r w:rsidRPr="00F95B76">
              <w:rPr>
                <w:rFonts w:ascii="Times New Roman" w:hAnsi="Times New Roman"/>
              </w:rPr>
              <w:t>1,</w:t>
            </w:r>
            <w:r w:rsidR="0046417B">
              <w:rPr>
                <w:rFonts w:ascii="Times New Roman" w:eastAsia="Times New Roman" w:hAnsi="Times New Roman" w:cs="Times New Roman"/>
              </w:rPr>
              <w:t>12</w:t>
            </w:r>
          </w:p>
        </w:tc>
        <w:tc>
          <w:tcPr>
            <w:tcW w:w="898" w:type="dxa"/>
          </w:tcPr>
          <w:p w14:paraId="24621369" w14:textId="77777777" w:rsidR="00D875C0" w:rsidRPr="00F95B76" w:rsidRDefault="00D875C0" w:rsidP="004E3CD5">
            <w:pPr>
              <w:spacing w:after="0" w:line="240" w:lineRule="auto"/>
              <w:rPr>
                <w:rFonts w:ascii="Times New Roman" w:hAnsi="Times New Roman"/>
              </w:rPr>
            </w:pPr>
            <w:r w:rsidRPr="00F95B76">
              <w:rPr>
                <w:rFonts w:ascii="Times New Roman" w:hAnsi="Times New Roman"/>
              </w:rPr>
              <w:t>0,</w:t>
            </w:r>
            <w:r w:rsidR="0046417B">
              <w:rPr>
                <w:rFonts w:ascii="Times New Roman" w:eastAsia="Times New Roman" w:hAnsi="Times New Roman" w:cs="Times New Roman"/>
              </w:rPr>
              <w:t>2746</w:t>
            </w:r>
          </w:p>
        </w:tc>
      </w:tr>
    </w:tbl>
    <w:p w14:paraId="5733B2CE" w14:textId="77777777" w:rsidR="00D875C0" w:rsidRPr="00F95B76" w:rsidRDefault="00D875C0" w:rsidP="00D875C0">
      <w:pPr>
        <w:spacing w:after="0" w:line="240" w:lineRule="auto"/>
        <w:rPr>
          <w:rFonts w:ascii="Times New Roman" w:hAnsi="Times New Roman"/>
        </w:rPr>
      </w:pPr>
    </w:p>
    <w:p w14:paraId="755F799A" w14:textId="77777777" w:rsidR="00D875C0" w:rsidRPr="001F2C46" w:rsidRDefault="00D875C0" w:rsidP="00D875C0">
      <w:pPr>
        <w:autoSpaceDE w:val="0"/>
        <w:autoSpaceDN w:val="0"/>
        <w:adjustRightInd w:val="0"/>
        <w:spacing w:after="0" w:line="240" w:lineRule="auto"/>
        <w:rPr>
          <w:rFonts w:ascii="Times New Roman" w:hAnsi="Times New Roman"/>
        </w:rPr>
      </w:pPr>
      <w:r w:rsidRPr="001F2C46">
        <w:rPr>
          <w:rFonts w:ascii="Times New Roman" w:hAnsi="Times New Roman"/>
          <w:b/>
        </w:rPr>
        <w:t>*</w:t>
      </w:r>
      <w:r w:rsidRPr="001F2C46">
        <w:rPr>
          <w:rFonts w:ascii="Times New Roman" w:hAnsi="Times New Roman"/>
        </w:rPr>
        <w:t>mažesnis už 1 rizikos koeficientas rodo, kad vartojant TAC be ligos reiškinių išgyventas laikotarpis ir bendras išgyventas laikotarpis buvo ilgesni negu vartojant FAC.</w:t>
      </w:r>
    </w:p>
    <w:p w14:paraId="6AC8F0F2" w14:textId="77777777" w:rsidR="00D875C0" w:rsidRPr="00427D92" w:rsidRDefault="00D875C0" w:rsidP="00D875C0">
      <w:pPr>
        <w:autoSpaceDE w:val="0"/>
        <w:autoSpaceDN w:val="0"/>
        <w:adjustRightInd w:val="0"/>
        <w:spacing w:after="0" w:line="240" w:lineRule="auto"/>
        <w:ind w:left="360"/>
        <w:rPr>
          <w:rFonts w:ascii="Times New Roman" w:hAnsi="Times New Roman"/>
        </w:rPr>
      </w:pPr>
    </w:p>
    <w:p w14:paraId="39D05240" w14:textId="77777777" w:rsidR="00D875C0" w:rsidRPr="007C1A06" w:rsidRDefault="00D875C0" w:rsidP="00D875C0">
      <w:pPr>
        <w:autoSpaceDE w:val="0"/>
        <w:autoSpaceDN w:val="0"/>
        <w:adjustRightInd w:val="0"/>
        <w:spacing w:after="0" w:line="240" w:lineRule="auto"/>
        <w:rPr>
          <w:rFonts w:ascii="Times New Roman" w:hAnsi="Times New Roman"/>
          <w:color w:val="000000"/>
          <w:u w:val="single"/>
        </w:rPr>
      </w:pPr>
      <w:r w:rsidRPr="00C722B4">
        <w:rPr>
          <w:rFonts w:ascii="Times New Roman" w:hAnsi="Times New Roman"/>
          <w:color w:val="000000"/>
          <w:u w:val="single"/>
        </w:rPr>
        <w:t>Pacientės, sergančios</w:t>
      </w:r>
      <w:r w:rsidRPr="007C1A06">
        <w:rPr>
          <w:rFonts w:ascii="Times New Roman" w:hAnsi="Times New Roman"/>
          <w:color w:val="000000"/>
          <w:u w:val="single"/>
        </w:rPr>
        <w:t xml:space="preserve"> tinkamu operuoti į limfmazgius nemetastazavusiu krūties vėžiu, kurioms galima chemoterapija (GEICAM 9805)</w:t>
      </w:r>
    </w:p>
    <w:p w14:paraId="07F02F1B" w14:textId="77777777" w:rsidR="00D875C0" w:rsidRPr="007C1A06" w:rsidRDefault="00D875C0" w:rsidP="00D875C0">
      <w:pPr>
        <w:autoSpaceDE w:val="0"/>
        <w:autoSpaceDN w:val="0"/>
        <w:adjustRightInd w:val="0"/>
        <w:spacing w:after="0" w:line="240" w:lineRule="auto"/>
        <w:rPr>
          <w:rFonts w:ascii="Times New Roman" w:hAnsi="Times New Roman"/>
          <w:color w:val="000000"/>
        </w:rPr>
      </w:pPr>
    </w:p>
    <w:p w14:paraId="244BC7B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color w:val="000000"/>
          <w:lang w:eastAsia="zh-TW"/>
        </w:rPr>
      </w:pPr>
      <w:r w:rsidRPr="007C1A06">
        <w:rPr>
          <w:rFonts w:ascii="Times New Roman" w:hAnsi="Times New Roman"/>
          <w:color w:val="000000"/>
        </w:rPr>
        <w:t xml:space="preserve">Multicentrinio, atvirojo, atsitiktinės parinkties tyrimo duomenys patvirtina docetakselio vartojimą pagalbiniam gydymui pacienčių, sergančių tinkamu operuoti į limfmazgius nemetastazavusiu krūties vėžiu, kurioms gali būti taikoma chemoterapija. 1060 </w:t>
      </w:r>
      <w:r w:rsidRPr="007C1A06">
        <w:rPr>
          <w:rFonts w:ascii="Times New Roman" w:eastAsia="Times New Roman" w:hAnsi="Times New Roman" w:cs="Times New Roman"/>
          <w:color w:val="000000"/>
        </w:rPr>
        <w:t>pacien</w:t>
      </w:r>
      <w:r w:rsidR="0046417B">
        <w:rPr>
          <w:rFonts w:ascii="Times New Roman" w:eastAsia="Times New Roman" w:hAnsi="Times New Roman" w:cs="Times New Roman"/>
          <w:color w:val="000000"/>
        </w:rPr>
        <w:t>čių</w:t>
      </w:r>
      <w:r w:rsidRPr="007C1A06">
        <w:rPr>
          <w:rFonts w:ascii="Times New Roman" w:eastAsia="Times New Roman" w:hAnsi="Times New Roman" w:cs="Times New Roman"/>
          <w:color w:val="000000"/>
        </w:rPr>
        <w:t>, serganči</w:t>
      </w:r>
      <w:r w:rsidR="0046417B">
        <w:rPr>
          <w:rFonts w:ascii="Times New Roman" w:eastAsia="Times New Roman" w:hAnsi="Times New Roman" w:cs="Times New Roman"/>
          <w:color w:val="000000"/>
        </w:rPr>
        <w:t>ų</w:t>
      </w:r>
      <w:r w:rsidRPr="00F95B76">
        <w:rPr>
          <w:rFonts w:ascii="Times New Roman" w:hAnsi="Times New Roman"/>
          <w:color w:val="000000"/>
        </w:rPr>
        <w:t xml:space="preserve"> tinkamu operuoti į limfmazgius nemetastazavusiu krūties vėžiu su didele atkryčio rizika pagal 1998 </w:t>
      </w:r>
      <w:r w:rsidRPr="001F2C46">
        <w:rPr>
          <w:rFonts w:ascii="Times New Roman" w:hAnsi="Times New Roman"/>
          <w:i/>
          <w:color w:val="000000"/>
        </w:rPr>
        <w:t xml:space="preserve">St.Gallen </w:t>
      </w:r>
      <w:r w:rsidRPr="001F2C46">
        <w:rPr>
          <w:rFonts w:ascii="Times New Roman" w:hAnsi="Times New Roman"/>
          <w:color w:val="000000"/>
        </w:rPr>
        <w:t>kriterijus (naviko dydis &gt;</w:t>
      </w:r>
      <w:r w:rsidR="001C79C8" w:rsidRPr="001F2C46">
        <w:rPr>
          <w:rFonts w:ascii="Times New Roman" w:hAnsi="Times New Roman"/>
          <w:color w:val="000000"/>
        </w:rPr>
        <w:t> </w:t>
      </w:r>
      <w:r w:rsidRPr="00427D92">
        <w:rPr>
          <w:rFonts w:ascii="Times New Roman" w:hAnsi="Times New Roman"/>
          <w:color w:val="000000"/>
        </w:rPr>
        <w:t>2</w:t>
      </w:r>
      <w:r w:rsidR="001C79C8" w:rsidRPr="00427D92">
        <w:rPr>
          <w:rFonts w:ascii="Times New Roman" w:hAnsi="Times New Roman"/>
          <w:color w:val="000000"/>
        </w:rPr>
        <w:t> </w:t>
      </w:r>
      <w:r w:rsidRPr="000C43D3">
        <w:rPr>
          <w:rFonts w:ascii="Times New Roman" w:hAnsi="Times New Roman"/>
          <w:color w:val="000000"/>
        </w:rPr>
        <w:t>cm ir (arba) neigiamas ER ir PR ir (arba) didelis histologinis branduolių diferenciacijos laipsnis (2 arba 3</w:t>
      </w:r>
      <w:r w:rsidR="001C79C8" w:rsidRPr="00C722B4">
        <w:rPr>
          <w:rFonts w:ascii="Times New Roman" w:hAnsi="Times New Roman"/>
          <w:color w:val="000000"/>
        </w:rPr>
        <w:t> </w:t>
      </w:r>
      <w:r w:rsidRPr="007C1A06">
        <w:rPr>
          <w:rFonts w:ascii="Times New Roman" w:hAnsi="Times New Roman"/>
          <w:color w:val="000000"/>
        </w:rPr>
        <w:t>laipsnis) ir (arba) amžius &lt;</w:t>
      </w:r>
      <w:r w:rsidR="001C79C8" w:rsidRPr="007C1A06">
        <w:rPr>
          <w:rFonts w:ascii="Times New Roman" w:hAnsi="Times New Roman"/>
          <w:color w:val="000000"/>
        </w:rPr>
        <w:t> </w:t>
      </w:r>
      <w:r w:rsidRPr="007C1A06">
        <w:rPr>
          <w:rFonts w:ascii="Times New Roman" w:hAnsi="Times New Roman"/>
          <w:color w:val="000000"/>
        </w:rPr>
        <w:t>35</w:t>
      </w:r>
      <w:r w:rsidR="001C79C8" w:rsidRPr="007C1A06">
        <w:rPr>
          <w:rFonts w:ascii="Times New Roman" w:hAnsi="Times New Roman"/>
          <w:color w:val="000000"/>
        </w:rPr>
        <w:t> </w:t>
      </w:r>
      <w:r w:rsidRPr="007C1A06">
        <w:rPr>
          <w:rFonts w:ascii="Times New Roman" w:hAnsi="Times New Roman"/>
          <w:color w:val="000000"/>
        </w:rPr>
        <w:t>metai) buvo atsitiktinai suskirstytos ir vartojo arba docetakselio 75</w:t>
      </w:r>
      <w:r w:rsidR="001C79C8" w:rsidRPr="007C1A06">
        <w:rPr>
          <w:rFonts w:ascii="Times New Roman" w:hAnsi="Times New Roman"/>
          <w:color w:val="000000"/>
        </w:rPr>
        <w:t> </w:t>
      </w:r>
      <w:r w:rsidRPr="007C1A06">
        <w:rPr>
          <w:rFonts w:ascii="Times New Roman" w:hAnsi="Times New Roman"/>
          <w:color w:val="000000"/>
        </w:rPr>
        <w:t>mg/m</w:t>
      </w:r>
      <w:r w:rsidRPr="007C1A06">
        <w:rPr>
          <w:rFonts w:ascii="Times New Roman" w:hAnsi="Times New Roman"/>
          <w:color w:val="000000"/>
          <w:vertAlign w:val="superscript"/>
        </w:rPr>
        <w:t>2</w:t>
      </w:r>
      <w:r w:rsidRPr="007C1A06">
        <w:rPr>
          <w:rFonts w:ascii="Times New Roman" w:hAnsi="Times New Roman"/>
          <w:color w:val="000000"/>
        </w:rPr>
        <w:t>, skiriamo praėjus 1</w:t>
      </w:r>
      <w:r w:rsidR="001C79C8" w:rsidRPr="007C1A06">
        <w:rPr>
          <w:rFonts w:ascii="Times New Roman" w:hAnsi="Times New Roman"/>
          <w:color w:val="000000"/>
        </w:rPr>
        <w:t> </w:t>
      </w:r>
      <w:r w:rsidRPr="007C1A06">
        <w:rPr>
          <w:rFonts w:ascii="Times New Roman" w:hAnsi="Times New Roman"/>
          <w:color w:val="000000"/>
        </w:rPr>
        <w:t>valandai po doksorubicino 50</w:t>
      </w:r>
      <w:r w:rsidR="001C79C8" w:rsidRPr="007C1A06">
        <w:rPr>
          <w:rFonts w:ascii="Times New Roman" w:hAnsi="Times New Roman"/>
          <w:color w:val="000000"/>
        </w:rPr>
        <w:t> </w:t>
      </w:r>
      <w:r w:rsidRPr="007C1A06">
        <w:rPr>
          <w:rFonts w:ascii="Times New Roman" w:hAnsi="Times New Roman"/>
          <w:color w:val="000000"/>
        </w:rPr>
        <w:t>mg/m</w:t>
      </w:r>
      <w:r w:rsidRPr="007C1A06">
        <w:rPr>
          <w:rFonts w:ascii="Times New Roman" w:hAnsi="Times New Roman"/>
          <w:color w:val="000000"/>
          <w:vertAlign w:val="superscript"/>
        </w:rPr>
        <w:t>2</w:t>
      </w:r>
      <w:r w:rsidRPr="007C1A06">
        <w:rPr>
          <w:rFonts w:ascii="Times New Roman" w:hAnsi="Times New Roman"/>
          <w:color w:val="000000"/>
        </w:rPr>
        <w:t xml:space="preserve"> ir ciklofosfamido 500</w:t>
      </w:r>
      <w:r w:rsidR="001C79C8" w:rsidRPr="007C1A06">
        <w:rPr>
          <w:rFonts w:ascii="Times New Roman" w:hAnsi="Times New Roman"/>
          <w:color w:val="000000"/>
        </w:rPr>
        <w:t> </w:t>
      </w:r>
      <w:r w:rsidRPr="007C1A06">
        <w:rPr>
          <w:rFonts w:ascii="Times New Roman" w:hAnsi="Times New Roman"/>
          <w:color w:val="000000"/>
        </w:rPr>
        <w:t>mg/m</w:t>
      </w:r>
      <w:r w:rsidRPr="007C1A06">
        <w:rPr>
          <w:rFonts w:ascii="Times New Roman" w:hAnsi="Times New Roman"/>
          <w:color w:val="000000"/>
          <w:vertAlign w:val="superscript"/>
        </w:rPr>
        <w:t>2</w:t>
      </w:r>
      <w:r w:rsidRPr="007C1A06">
        <w:rPr>
          <w:rFonts w:ascii="Times New Roman" w:hAnsi="Times New Roman"/>
          <w:color w:val="000000"/>
        </w:rPr>
        <w:t xml:space="preserve"> vartojimo (539 pacientės TAC grupėje), arba doksorubicino 50</w:t>
      </w:r>
      <w:r w:rsidR="001C79C8" w:rsidRPr="007C1A06">
        <w:rPr>
          <w:rFonts w:ascii="Times New Roman" w:hAnsi="Times New Roman"/>
          <w:color w:val="000000"/>
        </w:rPr>
        <w:t> </w:t>
      </w:r>
      <w:r w:rsidRPr="007C1A06">
        <w:rPr>
          <w:rFonts w:ascii="Times New Roman" w:hAnsi="Times New Roman"/>
          <w:color w:val="000000"/>
        </w:rPr>
        <w:t>mg/m</w:t>
      </w:r>
      <w:r w:rsidRPr="007C1A06">
        <w:rPr>
          <w:rFonts w:ascii="Times New Roman" w:hAnsi="Times New Roman"/>
          <w:color w:val="000000"/>
          <w:vertAlign w:val="superscript"/>
        </w:rPr>
        <w:t>2</w:t>
      </w:r>
      <w:r w:rsidRPr="007C1A06">
        <w:rPr>
          <w:rFonts w:ascii="Times New Roman" w:hAnsi="Times New Roman"/>
          <w:color w:val="000000"/>
        </w:rPr>
        <w:t xml:space="preserve"> skiriamo po fluorouracilo 500</w:t>
      </w:r>
      <w:r w:rsidR="001C79C8" w:rsidRPr="007C1A06">
        <w:rPr>
          <w:rFonts w:ascii="Times New Roman" w:hAnsi="Times New Roman"/>
          <w:color w:val="000000"/>
        </w:rPr>
        <w:t> </w:t>
      </w:r>
      <w:r w:rsidRPr="007C1A06">
        <w:rPr>
          <w:rFonts w:ascii="Times New Roman" w:hAnsi="Times New Roman"/>
          <w:color w:val="000000"/>
        </w:rPr>
        <w:t>mg/m</w:t>
      </w:r>
      <w:r w:rsidRPr="007C1A06">
        <w:rPr>
          <w:rFonts w:ascii="Times New Roman" w:hAnsi="Times New Roman"/>
          <w:color w:val="000000"/>
          <w:vertAlign w:val="superscript"/>
        </w:rPr>
        <w:t>2</w:t>
      </w:r>
      <w:r w:rsidRPr="007C1A06">
        <w:rPr>
          <w:rFonts w:ascii="Times New Roman" w:hAnsi="Times New Roman"/>
          <w:color w:val="000000"/>
        </w:rPr>
        <w:t xml:space="preserve"> ir ciklofosfamido 500</w:t>
      </w:r>
      <w:r w:rsidR="001C79C8" w:rsidRPr="007C1A06">
        <w:rPr>
          <w:rFonts w:ascii="Times New Roman" w:hAnsi="Times New Roman"/>
          <w:color w:val="000000"/>
        </w:rPr>
        <w:t> </w:t>
      </w:r>
      <w:r w:rsidRPr="007C1A06">
        <w:rPr>
          <w:rFonts w:ascii="Times New Roman" w:hAnsi="Times New Roman"/>
          <w:color w:val="000000"/>
        </w:rPr>
        <w:t>mg/m</w:t>
      </w:r>
      <w:r w:rsidRPr="007C1A06">
        <w:rPr>
          <w:rFonts w:ascii="Times New Roman" w:hAnsi="Times New Roman"/>
          <w:color w:val="000000"/>
          <w:vertAlign w:val="superscript"/>
        </w:rPr>
        <w:t>2</w:t>
      </w:r>
      <w:r w:rsidRPr="007C1A06">
        <w:rPr>
          <w:rFonts w:ascii="Times New Roman" w:hAnsi="Times New Roman"/>
          <w:color w:val="000000"/>
        </w:rPr>
        <w:t xml:space="preserve"> (521 pacientė FAC grup</w:t>
      </w:r>
      <w:r w:rsidR="00807371" w:rsidRPr="007C1A06">
        <w:rPr>
          <w:rFonts w:ascii="Times New Roman" w:hAnsi="Times New Roman"/>
          <w:color w:val="000000"/>
        </w:rPr>
        <w:t>ė</w:t>
      </w:r>
      <w:r w:rsidRPr="007C1A06">
        <w:rPr>
          <w:rFonts w:ascii="Times New Roman" w:hAnsi="Times New Roman"/>
          <w:color w:val="000000"/>
        </w:rPr>
        <w:t>je).</w:t>
      </w:r>
    </w:p>
    <w:p w14:paraId="0A39BE6E" w14:textId="77777777" w:rsidR="00D875C0" w:rsidRPr="004E3CD5" w:rsidRDefault="00D875C0" w:rsidP="00D875C0">
      <w:pPr>
        <w:autoSpaceDE w:val="0"/>
        <w:autoSpaceDN w:val="0"/>
        <w:adjustRightInd w:val="0"/>
        <w:spacing w:after="0" w:line="240" w:lineRule="auto"/>
        <w:rPr>
          <w:rFonts w:ascii="Times New Roman" w:eastAsiaTheme="minorEastAsia" w:hAnsi="Times New Roman"/>
          <w:color w:val="000000"/>
          <w:lang w:eastAsia="zh-TW"/>
        </w:rPr>
      </w:pPr>
      <w:r w:rsidRPr="007C1A06">
        <w:rPr>
          <w:rFonts w:ascii="Times New Roman" w:hAnsi="Times New Roman"/>
          <w:color w:val="000000"/>
        </w:rPr>
        <w:t>Abi gydymo schemos buvo taikomos kartą kas 3</w:t>
      </w:r>
      <w:r w:rsidR="001C79C8" w:rsidRPr="007C1A06">
        <w:rPr>
          <w:rFonts w:ascii="Times New Roman" w:hAnsi="Times New Roman"/>
          <w:color w:val="000000"/>
        </w:rPr>
        <w:t> </w:t>
      </w:r>
      <w:r w:rsidRPr="007C1A06">
        <w:rPr>
          <w:rFonts w:ascii="Times New Roman" w:hAnsi="Times New Roman"/>
          <w:color w:val="000000"/>
        </w:rPr>
        <w:t>savaites 6</w:t>
      </w:r>
      <w:r w:rsidR="001C79C8" w:rsidRPr="007C1A06">
        <w:rPr>
          <w:rFonts w:ascii="Times New Roman" w:hAnsi="Times New Roman"/>
          <w:color w:val="000000"/>
        </w:rPr>
        <w:t> </w:t>
      </w:r>
      <w:r w:rsidRPr="007C1A06">
        <w:rPr>
          <w:rFonts w:ascii="Times New Roman" w:hAnsi="Times New Roman"/>
          <w:color w:val="000000"/>
        </w:rPr>
        <w:t>gydymo kursus. Docetakselis buvo suleidžiamas 1</w:t>
      </w:r>
      <w:r w:rsidR="001C79C8" w:rsidRPr="007C1A06">
        <w:rPr>
          <w:rFonts w:ascii="Times New Roman" w:hAnsi="Times New Roman"/>
          <w:color w:val="000000"/>
        </w:rPr>
        <w:t> </w:t>
      </w:r>
      <w:r w:rsidRPr="007C1A06">
        <w:rPr>
          <w:rFonts w:ascii="Times New Roman" w:hAnsi="Times New Roman"/>
          <w:color w:val="000000"/>
        </w:rPr>
        <w:t>valandos trukmės infuzijos metu, visi kiti vaistiniai preparatai buvo vartojami į veną pirmąją dieną kas tris savaites. Kai buvo atrinkta 230 pacienčių, TAC grupėje pradžioje buvo privaloma profilaktiškai vartoti G-KSF. 4 laipsnio neutropenijos, febrilinės neutropenijos ir su neutropeninės infekcijos dažnis buvo mažesnis pacientėms, kurios pradžioje profilaktikai vartojo G-KSF (žr. 4.8 skyrių). Po paskutinio chemoterapijos kurso, abiejų grupių pacientės, kurioms nustatyti ER ir PR teigiami navikai, vartojo tamoksifeną 20</w:t>
      </w:r>
      <w:r w:rsidR="001C79C8" w:rsidRPr="007C1A06">
        <w:rPr>
          <w:rFonts w:ascii="Times New Roman" w:hAnsi="Times New Roman"/>
          <w:color w:val="000000"/>
        </w:rPr>
        <w:t> </w:t>
      </w:r>
      <w:r w:rsidRPr="007C1A06">
        <w:rPr>
          <w:rFonts w:ascii="Times New Roman" w:hAnsi="Times New Roman"/>
          <w:color w:val="000000"/>
        </w:rPr>
        <w:t>mg kartą per parą 5</w:t>
      </w:r>
      <w:r w:rsidR="001C79C8" w:rsidRPr="007C1A06">
        <w:rPr>
          <w:rFonts w:ascii="Times New Roman" w:hAnsi="Times New Roman"/>
          <w:color w:val="000000"/>
        </w:rPr>
        <w:t> </w:t>
      </w:r>
      <w:r w:rsidRPr="007C1A06">
        <w:rPr>
          <w:rFonts w:ascii="Times New Roman" w:hAnsi="Times New Roman"/>
          <w:color w:val="000000"/>
        </w:rPr>
        <w:t>metus. Pagalbinis spindulinis gydymas buvo taikomas pagal dalyvaujančiose institucijose esančias gaires. Jis buvo pritaikytas 57,3</w:t>
      </w:r>
      <w:r w:rsidR="001C79C8" w:rsidRPr="007C1A06">
        <w:rPr>
          <w:rFonts w:ascii="Times New Roman" w:hAnsi="Times New Roman"/>
          <w:color w:val="000000"/>
        </w:rPr>
        <w:t> </w:t>
      </w:r>
      <w:r w:rsidRPr="007C1A06">
        <w:rPr>
          <w:rFonts w:ascii="Times New Roman" w:hAnsi="Times New Roman"/>
          <w:color w:val="000000"/>
        </w:rPr>
        <w:t>% pacienčių, kurios buvo gydytos taikant TAC schemą ir 51,2</w:t>
      </w:r>
      <w:r w:rsidR="001C79C8" w:rsidRPr="007C1A06">
        <w:rPr>
          <w:rFonts w:ascii="Times New Roman" w:hAnsi="Times New Roman"/>
          <w:color w:val="000000"/>
        </w:rPr>
        <w:t> </w:t>
      </w:r>
      <w:r w:rsidRPr="007C1A06">
        <w:rPr>
          <w:rFonts w:ascii="Times New Roman" w:hAnsi="Times New Roman"/>
          <w:color w:val="000000"/>
        </w:rPr>
        <w:t>% gydytoms taikant FAC schemą.</w:t>
      </w:r>
    </w:p>
    <w:p w14:paraId="644B3A9B" w14:textId="77777777" w:rsidR="00D875C0" w:rsidRPr="007C1A06" w:rsidRDefault="00D875C0" w:rsidP="00D875C0">
      <w:pPr>
        <w:autoSpaceDE w:val="0"/>
        <w:autoSpaceDN w:val="0"/>
        <w:adjustRightInd w:val="0"/>
        <w:spacing w:after="0" w:line="240" w:lineRule="auto"/>
        <w:rPr>
          <w:rFonts w:ascii="Times New Roman" w:hAnsi="Times New Roman"/>
          <w:color w:val="000000"/>
        </w:rPr>
      </w:pPr>
    </w:p>
    <w:p w14:paraId="35143270" w14:textId="77777777" w:rsidR="00D875C0" w:rsidRPr="004E3CD5" w:rsidRDefault="00D875C0" w:rsidP="00D875C0">
      <w:pPr>
        <w:autoSpaceDE w:val="0"/>
        <w:autoSpaceDN w:val="0"/>
        <w:adjustRightInd w:val="0"/>
        <w:spacing w:after="0" w:line="240" w:lineRule="auto"/>
        <w:rPr>
          <w:rFonts w:ascii="Times New Roman" w:eastAsiaTheme="minorEastAsia" w:hAnsi="Times New Roman"/>
          <w:color w:val="000000"/>
          <w:lang w:eastAsia="zh-TW"/>
        </w:rPr>
      </w:pPr>
      <w:r w:rsidRPr="007C1A06">
        <w:rPr>
          <w:rFonts w:ascii="Times New Roman" w:hAnsi="Times New Roman"/>
          <w:color w:val="000000"/>
        </w:rPr>
        <w:t>Buvo atliktos viena pagrindinė ir viena atnaujinta analizė. Pagrindinė analizė buvo atlikta tada, kai visų pacienčių stebėjimo laikotarpis viršijo 5</w:t>
      </w:r>
      <w:r w:rsidR="001C79C8" w:rsidRPr="007C1A06">
        <w:rPr>
          <w:rFonts w:ascii="Times New Roman" w:hAnsi="Times New Roman"/>
          <w:color w:val="000000"/>
        </w:rPr>
        <w:t> </w:t>
      </w:r>
      <w:r w:rsidRPr="007C1A06">
        <w:rPr>
          <w:rFonts w:ascii="Times New Roman" w:hAnsi="Times New Roman"/>
          <w:color w:val="000000"/>
        </w:rPr>
        <w:t>metus (stebėjimo laikotarpio mediana buvo 77</w:t>
      </w:r>
      <w:r w:rsidR="001C79C8" w:rsidRPr="007C1A06">
        <w:rPr>
          <w:rFonts w:ascii="Times New Roman" w:hAnsi="Times New Roman"/>
          <w:color w:val="000000"/>
        </w:rPr>
        <w:t> </w:t>
      </w:r>
      <w:r w:rsidRPr="007C1A06">
        <w:rPr>
          <w:rFonts w:ascii="Times New Roman" w:hAnsi="Times New Roman"/>
          <w:color w:val="000000"/>
        </w:rPr>
        <w:t>mėnesiai).</w:t>
      </w:r>
    </w:p>
    <w:p w14:paraId="62DFBC4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color w:val="000000"/>
          <w:lang w:eastAsia="zh-TW"/>
        </w:rPr>
      </w:pPr>
      <w:r w:rsidRPr="007C1A06">
        <w:rPr>
          <w:rFonts w:ascii="Times New Roman" w:hAnsi="Times New Roman"/>
          <w:color w:val="000000"/>
        </w:rPr>
        <w:t>Atnaujinta analizė buvo atlikta tada, kai visos pacientės atliko 10-ųjų metų (stebėjimo laikotarpio mediana buvo 10</w:t>
      </w:r>
      <w:r w:rsidR="001C79C8" w:rsidRPr="007C1A06">
        <w:rPr>
          <w:rFonts w:ascii="Times New Roman" w:hAnsi="Times New Roman"/>
          <w:color w:val="000000"/>
        </w:rPr>
        <w:t> </w:t>
      </w:r>
      <w:r w:rsidRPr="007C1A06">
        <w:rPr>
          <w:rFonts w:ascii="Times New Roman" w:hAnsi="Times New Roman"/>
          <w:color w:val="000000"/>
        </w:rPr>
        <w:t>metų ir 5</w:t>
      </w:r>
      <w:r w:rsidR="001C79C8" w:rsidRPr="007C1A06">
        <w:rPr>
          <w:rFonts w:ascii="Times New Roman" w:hAnsi="Times New Roman"/>
          <w:color w:val="000000"/>
        </w:rPr>
        <w:t> </w:t>
      </w:r>
      <w:r w:rsidRPr="007C1A06">
        <w:rPr>
          <w:rFonts w:ascii="Times New Roman" w:hAnsi="Times New Roman"/>
          <w:color w:val="000000"/>
        </w:rPr>
        <w:t>mėnesiai) stebėjimo vizitą (išskyrus atvejus, kai pasireiškė BLSIL reiškinys arba pacientės stebėjimas nutrūko anksčiau). Pirminė veiksmingumo vertinamoji baigtis buvo be ligos simptomų išgyventas laikotarpis (BLSIL), o antrinė veiksmingumo vertinamoji baigtis – bendrasis išgyvenamumas (BI).</w:t>
      </w:r>
    </w:p>
    <w:p w14:paraId="3C4664C7" w14:textId="77777777" w:rsidR="00D875C0" w:rsidRPr="007C1A06" w:rsidRDefault="00D875C0" w:rsidP="00D875C0">
      <w:pPr>
        <w:autoSpaceDE w:val="0"/>
        <w:autoSpaceDN w:val="0"/>
        <w:adjustRightInd w:val="0"/>
        <w:spacing w:after="0" w:line="240" w:lineRule="auto"/>
        <w:rPr>
          <w:rFonts w:ascii="Times New Roman" w:hAnsi="Times New Roman"/>
          <w:color w:val="000000"/>
        </w:rPr>
      </w:pPr>
    </w:p>
    <w:p w14:paraId="73950B98" w14:textId="77777777" w:rsidR="00D875C0" w:rsidRPr="004E3CD5" w:rsidRDefault="00D875C0" w:rsidP="00D875C0">
      <w:pPr>
        <w:autoSpaceDE w:val="0"/>
        <w:autoSpaceDN w:val="0"/>
        <w:adjustRightInd w:val="0"/>
        <w:spacing w:after="0" w:line="240" w:lineRule="auto"/>
        <w:rPr>
          <w:rFonts w:ascii="Times New Roman" w:eastAsiaTheme="minorEastAsia" w:hAnsi="Times New Roman"/>
          <w:color w:val="000000"/>
          <w:lang w:eastAsia="zh-TW"/>
        </w:rPr>
      </w:pPr>
      <w:r w:rsidRPr="007C1A06">
        <w:rPr>
          <w:rFonts w:ascii="Times New Roman" w:hAnsi="Times New Roman"/>
          <w:color w:val="000000"/>
        </w:rPr>
        <w:t>Pasiekus 77</w:t>
      </w:r>
      <w:r w:rsidR="001C79C8" w:rsidRPr="007C1A06">
        <w:rPr>
          <w:rFonts w:ascii="Times New Roman" w:hAnsi="Times New Roman"/>
          <w:color w:val="000000"/>
        </w:rPr>
        <w:t> </w:t>
      </w:r>
      <w:r w:rsidRPr="007C1A06">
        <w:rPr>
          <w:rFonts w:ascii="Times New Roman" w:hAnsi="Times New Roman"/>
          <w:color w:val="000000"/>
        </w:rPr>
        <w:t>mėnesių stebėjimo laikotarpio medianą, buvo nustatytas reikšmingai ilgesnis be ligos reiškinių išgyventas laikotarpis TAC grupėje lyginant su FAC grupe. TAC gydytoms pacientėms atkryčio rizika buvo 32</w:t>
      </w:r>
      <w:r w:rsidR="001C79C8" w:rsidRPr="007C1A06">
        <w:rPr>
          <w:rFonts w:ascii="Times New Roman" w:hAnsi="Times New Roman"/>
          <w:color w:val="000000"/>
        </w:rPr>
        <w:t> </w:t>
      </w:r>
      <w:r w:rsidRPr="007C1A06">
        <w:rPr>
          <w:rFonts w:ascii="Times New Roman" w:hAnsi="Times New Roman"/>
          <w:color w:val="000000"/>
        </w:rPr>
        <w:t>% mažesnė nei FAC gydytųjų grupėje (rizikos koeficientas = 0,68, 95</w:t>
      </w:r>
      <w:r w:rsidR="001C79C8" w:rsidRPr="007C1A06">
        <w:rPr>
          <w:rFonts w:ascii="Times New Roman" w:hAnsi="Times New Roman"/>
          <w:color w:val="000000"/>
        </w:rPr>
        <w:t> </w:t>
      </w:r>
      <w:r w:rsidRPr="007C1A06">
        <w:rPr>
          <w:rFonts w:ascii="Times New Roman" w:hAnsi="Times New Roman"/>
          <w:color w:val="000000"/>
        </w:rPr>
        <w:t>% PI (0,49</w:t>
      </w:r>
      <w:r w:rsidR="001C79C8" w:rsidRPr="007C1A06">
        <w:rPr>
          <w:rFonts w:ascii="Times New Roman" w:hAnsi="Times New Roman"/>
          <w:color w:val="000000"/>
        </w:rPr>
        <w:noBreakHyphen/>
      </w:r>
      <w:r w:rsidRPr="007C1A06">
        <w:rPr>
          <w:rFonts w:ascii="Times New Roman" w:hAnsi="Times New Roman"/>
          <w:color w:val="000000"/>
        </w:rPr>
        <w:t>0,93), p=0,01). Pasiekus 10</w:t>
      </w:r>
      <w:r w:rsidR="001C79C8" w:rsidRPr="007C1A06">
        <w:rPr>
          <w:rFonts w:ascii="Times New Roman" w:hAnsi="Times New Roman"/>
          <w:color w:val="000000"/>
        </w:rPr>
        <w:t> </w:t>
      </w:r>
      <w:r w:rsidRPr="007C1A06">
        <w:rPr>
          <w:rFonts w:ascii="Times New Roman" w:hAnsi="Times New Roman"/>
          <w:color w:val="000000"/>
        </w:rPr>
        <w:t>metų ir 5</w:t>
      </w:r>
      <w:r w:rsidR="001C79C8" w:rsidRPr="007C1A06">
        <w:rPr>
          <w:rFonts w:ascii="Times New Roman" w:hAnsi="Times New Roman"/>
          <w:color w:val="000000"/>
        </w:rPr>
        <w:t> </w:t>
      </w:r>
      <w:r w:rsidRPr="007C1A06">
        <w:rPr>
          <w:rFonts w:ascii="Times New Roman" w:hAnsi="Times New Roman"/>
          <w:color w:val="000000"/>
        </w:rPr>
        <w:t>mėnesių stebėjimo laikotarpio medianą, TAC gydytoms pacientėms atkryčio rizika buvo 16,5</w:t>
      </w:r>
      <w:r w:rsidR="001C79C8" w:rsidRPr="007C1A06">
        <w:rPr>
          <w:rFonts w:ascii="Times New Roman" w:hAnsi="Times New Roman"/>
          <w:color w:val="000000"/>
        </w:rPr>
        <w:t> </w:t>
      </w:r>
      <w:r w:rsidRPr="007C1A06">
        <w:rPr>
          <w:rFonts w:ascii="Times New Roman" w:hAnsi="Times New Roman"/>
          <w:color w:val="000000"/>
        </w:rPr>
        <w:t>% mažesnė nei FAC gydytųjų grupėje (rizikos koeficientas = 0,84, 95</w:t>
      </w:r>
      <w:r w:rsidR="001C79C8" w:rsidRPr="007C1A06">
        <w:rPr>
          <w:rFonts w:ascii="Times New Roman" w:hAnsi="Times New Roman"/>
          <w:color w:val="000000"/>
        </w:rPr>
        <w:t> </w:t>
      </w:r>
      <w:r w:rsidRPr="007C1A06">
        <w:rPr>
          <w:rFonts w:ascii="Times New Roman" w:hAnsi="Times New Roman"/>
          <w:color w:val="000000"/>
        </w:rPr>
        <w:t>% PI (0,65</w:t>
      </w:r>
      <w:r w:rsidR="001C79C8" w:rsidRPr="007C1A06">
        <w:rPr>
          <w:rFonts w:ascii="Times New Roman" w:hAnsi="Times New Roman"/>
          <w:color w:val="000000"/>
        </w:rPr>
        <w:noBreakHyphen/>
      </w:r>
      <w:r w:rsidRPr="007C1A06">
        <w:rPr>
          <w:rFonts w:ascii="Times New Roman" w:hAnsi="Times New Roman"/>
          <w:color w:val="000000"/>
        </w:rPr>
        <w:t xml:space="preserve">1,08), p=0,1646). BLSIL duomenys statistiškai reikšmingai nesiskyrė, tačiau stebėta palanki tendencija TAC grupėje. </w:t>
      </w:r>
    </w:p>
    <w:p w14:paraId="37EAB63D" w14:textId="77777777" w:rsidR="00D875C0" w:rsidRPr="007C1A06" w:rsidRDefault="00D875C0" w:rsidP="00D875C0">
      <w:pPr>
        <w:autoSpaceDE w:val="0"/>
        <w:autoSpaceDN w:val="0"/>
        <w:adjustRightInd w:val="0"/>
        <w:spacing w:after="0" w:line="240" w:lineRule="auto"/>
        <w:rPr>
          <w:rFonts w:ascii="Times New Roman" w:hAnsi="Times New Roman"/>
          <w:color w:val="000000"/>
        </w:rPr>
      </w:pPr>
    </w:p>
    <w:p w14:paraId="425E0AEA" w14:textId="77777777" w:rsidR="00D875C0" w:rsidRPr="004E3CD5" w:rsidRDefault="00D875C0" w:rsidP="00D875C0">
      <w:pPr>
        <w:autoSpaceDE w:val="0"/>
        <w:autoSpaceDN w:val="0"/>
        <w:adjustRightInd w:val="0"/>
        <w:spacing w:after="0" w:line="240" w:lineRule="auto"/>
        <w:rPr>
          <w:rFonts w:ascii="Times New Roman" w:eastAsiaTheme="minorEastAsia" w:hAnsi="Times New Roman"/>
          <w:color w:val="000000"/>
          <w:lang w:eastAsia="zh-TW"/>
        </w:rPr>
      </w:pPr>
      <w:r w:rsidRPr="007C1A06">
        <w:rPr>
          <w:rFonts w:ascii="Times New Roman" w:hAnsi="Times New Roman"/>
          <w:color w:val="000000"/>
        </w:rPr>
        <w:t>Pasiekus 77</w:t>
      </w:r>
      <w:r w:rsidR="001C79C8" w:rsidRPr="007C1A06">
        <w:rPr>
          <w:rFonts w:ascii="Times New Roman" w:hAnsi="Times New Roman"/>
          <w:color w:val="000000"/>
        </w:rPr>
        <w:t> </w:t>
      </w:r>
      <w:r w:rsidRPr="007C1A06">
        <w:rPr>
          <w:rFonts w:ascii="Times New Roman" w:hAnsi="Times New Roman"/>
          <w:color w:val="000000"/>
        </w:rPr>
        <w:t>mėnesių stebėjimo laikotarpio medianą, bendras išgyventas laikotarpis (BIL) taip pat buvo ilgesnis TAC grupėje, nes TAC gydytoms pacientėms mirties rizika buvo 24</w:t>
      </w:r>
      <w:r w:rsidR="001C79C8" w:rsidRPr="007C1A06">
        <w:rPr>
          <w:rFonts w:ascii="Times New Roman" w:hAnsi="Times New Roman"/>
          <w:color w:val="000000"/>
        </w:rPr>
        <w:t> </w:t>
      </w:r>
      <w:r w:rsidRPr="007C1A06">
        <w:rPr>
          <w:rFonts w:ascii="Times New Roman" w:hAnsi="Times New Roman"/>
          <w:color w:val="000000"/>
        </w:rPr>
        <w:t>% mažesnė lyginant su FAC grupe (rizikos koeficientas = 0,76, 95</w:t>
      </w:r>
      <w:r w:rsidR="001C79C8" w:rsidRPr="007C1A06">
        <w:rPr>
          <w:rFonts w:ascii="Times New Roman" w:hAnsi="Times New Roman"/>
          <w:color w:val="000000"/>
        </w:rPr>
        <w:t> </w:t>
      </w:r>
      <w:r w:rsidRPr="007C1A06">
        <w:rPr>
          <w:rFonts w:ascii="Times New Roman" w:hAnsi="Times New Roman"/>
          <w:color w:val="000000"/>
        </w:rPr>
        <w:t>% PI (0,46</w:t>
      </w:r>
      <w:r w:rsidR="001C79C8" w:rsidRPr="007C1A06">
        <w:rPr>
          <w:rFonts w:ascii="Times New Roman" w:hAnsi="Times New Roman"/>
          <w:color w:val="000000"/>
        </w:rPr>
        <w:noBreakHyphen/>
      </w:r>
      <w:r w:rsidRPr="007C1A06">
        <w:rPr>
          <w:rFonts w:ascii="Times New Roman" w:hAnsi="Times New Roman"/>
          <w:color w:val="000000"/>
        </w:rPr>
        <w:t>1,26</w:t>
      </w:r>
      <w:r w:rsidR="00821237">
        <w:rPr>
          <w:rFonts w:ascii="Times New Roman" w:hAnsi="Times New Roman"/>
          <w:color w:val="000000"/>
        </w:rPr>
        <w:t>)</w:t>
      </w:r>
      <w:r w:rsidRPr="007C1A06">
        <w:rPr>
          <w:rFonts w:ascii="Times New Roman" w:hAnsi="Times New Roman"/>
          <w:color w:val="000000"/>
        </w:rPr>
        <w:t>, p=0,29). Tačiau BIL abiejose grupėse reikšmingai nesiskyrė.</w:t>
      </w:r>
    </w:p>
    <w:p w14:paraId="2CD59B2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color w:val="000000"/>
          <w:lang w:eastAsia="zh-TW"/>
        </w:rPr>
      </w:pPr>
      <w:r w:rsidRPr="007C1A06">
        <w:rPr>
          <w:rFonts w:ascii="Times New Roman" w:hAnsi="Times New Roman"/>
          <w:color w:val="000000"/>
        </w:rPr>
        <w:t>Pasiekus 10</w:t>
      </w:r>
      <w:r w:rsidR="001C79C8" w:rsidRPr="007C1A06">
        <w:rPr>
          <w:rFonts w:ascii="Times New Roman" w:hAnsi="Times New Roman"/>
          <w:color w:val="000000"/>
        </w:rPr>
        <w:t> </w:t>
      </w:r>
      <w:r w:rsidRPr="007C1A06">
        <w:rPr>
          <w:rFonts w:ascii="Times New Roman" w:hAnsi="Times New Roman"/>
          <w:color w:val="000000"/>
        </w:rPr>
        <w:t>metų ir 5</w:t>
      </w:r>
      <w:r w:rsidR="001C79C8" w:rsidRPr="007C1A06">
        <w:rPr>
          <w:rFonts w:ascii="Times New Roman" w:hAnsi="Times New Roman"/>
          <w:color w:val="000000"/>
        </w:rPr>
        <w:t> </w:t>
      </w:r>
      <w:r w:rsidRPr="007C1A06">
        <w:rPr>
          <w:rFonts w:ascii="Times New Roman" w:hAnsi="Times New Roman"/>
          <w:color w:val="000000"/>
        </w:rPr>
        <w:t>mėnesių stebėjimo laikotarpio medianą, TAC gydytoms pacientėms mirties rizika buvo 9</w:t>
      </w:r>
      <w:r w:rsidR="001C79C8" w:rsidRPr="007C1A06">
        <w:rPr>
          <w:rFonts w:ascii="Times New Roman" w:hAnsi="Times New Roman"/>
          <w:color w:val="000000"/>
        </w:rPr>
        <w:t> </w:t>
      </w:r>
      <w:r w:rsidRPr="007C1A06">
        <w:rPr>
          <w:rFonts w:ascii="Times New Roman" w:hAnsi="Times New Roman"/>
          <w:color w:val="000000"/>
        </w:rPr>
        <w:t>% mažesnė lyginant su FAC grupės pacientėmis (rizikos koeficientas = 0,91, 95</w:t>
      </w:r>
      <w:r w:rsidR="001C79C8" w:rsidRPr="007C1A06">
        <w:rPr>
          <w:rFonts w:ascii="Times New Roman" w:hAnsi="Times New Roman"/>
          <w:color w:val="000000"/>
        </w:rPr>
        <w:t> </w:t>
      </w:r>
      <w:r w:rsidRPr="007C1A06">
        <w:rPr>
          <w:rFonts w:ascii="Times New Roman" w:hAnsi="Times New Roman"/>
          <w:color w:val="000000"/>
        </w:rPr>
        <w:t>% PI (0,63</w:t>
      </w:r>
      <w:r w:rsidR="001C79C8" w:rsidRPr="007C1A06">
        <w:rPr>
          <w:rFonts w:ascii="Times New Roman" w:hAnsi="Times New Roman"/>
          <w:color w:val="000000"/>
        </w:rPr>
        <w:noBreakHyphen/>
      </w:r>
      <w:r w:rsidRPr="007C1A06">
        <w:rPr>
          <w:rFonts w:ascii="Times New Roman" w:hAnsi="Times New Roman"/>
          <w:color w:val="000000"/>
        </w:rPr>
        <w:t>1,32)).</w:t>
      </w:r>
    </w:p>
    <w:p w14:paraId="19AE39CE" w14:textId="77777777" w:rsidR="00D875C0" w:rsidRPr="004E3CD5" w:rsidRDefault="00D875C0" w:rsidP="00D875C0">
      <w:pPr>
        <w:autoSpaceDE w:val="0"/>
        <w:autoSpaceDN w:val="0"/>
        <w:adjustRightInd w:val="0"/>
        <w:spacing w:after="0" w:line="240" w:lineRule="auto"/>
        <w:rPr>
          <w:rFonts w:ascii="Times New Roman" w:eastAsiaTheme="minorEastAsia" w:hAnsi="Times New Roman"/>
          <w:color w:val="000000"/>
          <w:lang w:eastAsia="zh-TW"/>
        </w:rPr>
      </w:pPr>
      <w:r w:rsidRPr="007C1A06">
        <w:rPr>
          <w:rFonts w:ascii="Times New Roman" w:hAnsi="Times New Roman"/>
          <w:color w:val="000000"/>
        </w:rPr>
        <w:t>Išgyvenamumo dažnis buvo 93,7</w:t>
      </w:r>
      <w:r w:rsidR="001C79C8" w:rsidRPr="007C1A06">
        <w:rPr>
          <w:rFonts w:ascii="Times New Roman" w:hAnsi="Times New Roman"/>
          <w:color w:val="000000"/>
        </w:rPr>
        <w:t> </w:t>
      </w:r>
      <w:r w:rsidRPr="007C1A06">
        <w:rPr>
          <w:rFonts w:ascii="Times New Roman" w:hAnsi="Times New Roman"/>
          <w:color w:val="000000"/>
        </w:rPr>
        <w:t>% TAC grupėje ir 91,4</w:t>
      </w:r>
      <w:r w:rsidR="001C79C8" w:rsidRPr="007C1A06">
        <w:rPr>
          <w:rFonts w:ascii="Times New Roman" w:hAnsi="Times New Roman"/>
          <w:color w:val="000000"/>
        </w:rPr>
        <w:t> </w:t>
      </w:r>
      <w:r w:rsidRPr="007C1A06">
        <w:rPr>
          <w:rFonts w:ascii="Times New Roman" w:hAnsi="Times New Roman"/>
          <w:color w:val="000000"/>
        </w:rPr>
        <w:t>% FAC grupėje, kai stebėjimo laikotarpio mediana buvo 8</w:t>
      </w:r>
      <w:r w:rsidR="001C79C8" w:rsidRPr="007C1A06">
        <w:rPr>
          <w:rFonts w:ascii="Times New Roman" w:hAnsi="Times New Roman"/>
          <w:color w:val="000000"/>
        </w:rPr>
        <w:t> </w:t>
      </w:r>
      <w:r w:rsidRPr="007C1A06">
        <w:rPr>
          <w:rFonts w:ascii="Times New Roman" w:hAnsi="Times New Roman"/>
          <w:color w:val="000000"/>
        </w:rPr>
        <w:t>metai, bei 91,3</w:t>
      </w:r>
      <w:r w:rsidR="001C79C8" w:rsidRPr="007C1A06">
        <w:rPr>
          <w:rFonts w:ascii="Times New Roman" w:hAnsi="Times New Roman"/>
          <w:color w:val="000000"/>
        </w:rPr>
        <w:t> </w:t>
      </w:r>
      <w:r w:rsidRPr="007C1A06">
        <w:rPr>
          <w:rFonts w:ascii="Times New Roman" w:hAnsi="Times New Roman"/>
          <w:color w:val="000000"/>
        </w:rPr>
        <w:t>% TAC grupėje ir 89</w:t>
      </w:r>
      <w:r w:rsidR="001C79C8" w:rsidRPr="007C1A06">
        <w:rPr>
          <w:rFonts w:ascii="Times New Roman" w:hAnsi="Times New Roman"/>
          <w:color w:val="000000"/>
        </w:rPr>
        <w:t> </w:t>
      </w:r>
      <w:r w:rsidRPr="007C1A06">
        <w:rPr>
          <w:rFonts w:ascii="Times New Roman" w:hAnsi="Times New Roman"/>
          <w:color w:val="000000"/>
        </w:rPr>
        <w:t>% FAC grupėje, kai stebėjimo laikotarpio mediana buvo 10</w:t>
      </w:r>
      <w:r w:rsidR="001C79C8" w:rsidRPr="007C1A06">
        <w:rPr>
          <w:rFonts w:ascii="Times New Roman" w:hAnsi="Times New Roman"/>
          <w:color w:val="000000"/>
        </w:rPr>
        <w:t> </w:t>
      </w:r>
      <w:r w:rsidRPr="007C1A06">
        <w:rPr>
          <w:rFonts w:ascii="Times New Roman" w:hAnsi="Times New Roman"/>
          <w:color w:val="000000"/>
        </w:rPr>
        <w:t>metų.</w:t>
      </w:r>
    </w:p>
    <w:p w14:paraId="4BEC595E" w14:textId="77777777" w:rsidR="00D875C0" w:rsidRPr="007C1A06" w:rsidRDefault="00D875C0" w:rsidP="00D875C0">
      <w:pPr>
        <w:autoSpaceDE w:val="0"/>
        <w:autoSpaceDN w:val="0"/>
        <w:adjustRightInd w:val="0"/>
        <w:spacing w:after="0" w:line="240" w:lineRule="auto"/>
        <w:rPr>
          <w:rFonts w:ascii="Times New Roman" w:hAnsi="Times New Roman"/>
          <w:color w:val="000000"/>
        </w:rPr>
      </w:pPr>
    </w:p>
    <w:p w14:paraId="452D5A91" w14:textId="77777777" w:rsidR="00D875C0" w:rsidRPr="004E3CD5" w:rsidRDefault="00D875C0" w:rsidP="00D875C0">
      <w:pPr>
        <w:autoSpaceDE w:val="0"/>
        <w:autoSpaceDN w:val="0"/>
        <w:adjustRightInd w:val="0"/>
        <w:spacing w:after="0" w:line="240" w:lineRule="auto"/>
        <w:rPr>
          <w:rFonts w:ascii="Times New Roman" w:eastAsiaTheme="minorEastAsia" w:hAnsi="Times New Roman"/>
          <w:color w:val="000000"/>
          <w:lang w:eastAsia="zh-TW"/>
        </w:rPr>
      </w:pPr>
      <w:r w:rsidRPr="007C1A06">
        <w:rPr>
          <w:rFonts w:ascii="Times New Roman" w:hAnsi="Times New Roman"/>
          <w:color w:val="000000"/>
        </w:rPr>
        <w:t>Palankus naudos ir rizikos santykis TAC grupėje, palyginti su FAC grupe, nepakito.</w:t>
      </w:r>
    </w:p>
    <w:p w14:paraId="77F84A55" w14:textId="77777777" w:rsidR="00D875C0" w:rsidRPr="007C1A06" w:rsidRDefault="00D875C0" w:rsidP="00D875C0">
      <w:pPr>
        <w:autoSpaceDE w:val="0"/>
        <w:autoSpaceDN w:val="0"/>
        <w:adjustRightInd w:val="0"/>
        <w:spacing w:after="0" w:line="240" w:lineRule="auto"/>
        <w:rPr>
          <w:rFonts w:ascii="Times New Roman" w:hAnsi="Times New Roman"/>
          <w:color w:val="000000"/>
        </w:rPr>
      </w:pPr>
    </w:p>
    <w:p w14:paraId="0B48A108" w14:textId="77777777" w:rsidR="00D875C0" w:rsidRPr="004E3CD5" w:rsidRDefault="00D875C0" w:rsidP="00D875C0">
      <w:pPr>
        <w:autoSpaceDE w:val="0"/>
        <w:autoSpaceDN w:val="0"/>
        <w:adjustRightInd w:val="0"/>
        <w:spacing w:after="0" w:line="240" w:lineRule="auto"/>
        <w:rPr>
          <w:rFonts w:ascii="Times New Roman" w:eastAsiaTheme="minorEastAsia" w:hAnsi="Times New Roman"/>
          <w:color w:val="000000"/>
          <w:lang w:eastAsia="zh-TW"/>
        </w:rPr>
      </w:pPr>
      <w:r w:rsidRPr="007C1A06">
        <w:rPr>
          <w:rFonts w:ascii="Times New Roman" w:hAnsi="Times New Roman"/>
          <w:color w:val="000000"/>
        </w:rPr>
        <w:t>TAC gydytų pacienčių pogrupių, pagal prospektyviai nustatytus didžiuosius prognostinius kriterijus, pagrindinė analizė (stebėjimo laikotarpio mediana buvo 77</w:t>
      </w:r>
      <w:r w:rsidR="001C79C8" w:rsidRPr="007C1A06">
        <w:rPr>
          <w:rFonts w:ascii="Times New Roman" w:hAnsi="Times New Roman"/>
          <w:color w:val="000000"/>
        </w:rPr>
        <w:t> </w:t>
      </w:r>
      <w:r w:rsidRPr="007C1A06">
        <w:rPr>
          <w:rFonts w:ascii="Times New Roman" w:hAnsi="Times New Roman"/>
          <w:color w:val="000000"/>
        </w:rPr>
        <w:t>mėnesiai) (žr. lentelę žemiau).</w:t>
      </w:r>
    </w:p>
    <w:p w14:paraId="7C567703" w14:textId="77777777" w:rsidR="00D875C0" w:rsidRPr="007C1A06" w:rsidRDefault="00D875C0" w:rsidP="00D875C0">
      <w:pPr>
        <w:autoSpaceDE w:val="0"/>
        <w:autoSpaceDN w:val="0"/>
        <w:adjustRightInd w:val="0"/>
        <w:spacing w:after="0" w:line="240" w:lineRule="auto"/>
        <w:rPr>
          <w:rFonts w:ascii="Times New Roman" w:hAnsi="Times New Roman"/>
        </w:rPr>
      </w:pPr>
    </w:p>
    <w:p w14:paraId="1C20966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color w:val="000000"/>
          <w:u w:val="single"/>
          <w:lang w:eastAsia="zh-TW"/>
        </w:rPr>
      </w:pPr>
      <w:r w:rsidRPr="007C1A06">
        <w:rPr>
          <w:rFonts w:ascii="Times New Roman" w:hAnsi="Times New Roman"/>
          <w:color w:val="000000"/>
          <w:u w:val="single"/>
        </w:rPr>
        <w:t>Pacienčių, sergančių į limfmazgius nemetastazavusiu krūties vėžiu, pagalbinio gydymo tyrimo pogrupių analizė (Visų tyrime dalyvavusių pacienčių duomenų analizė)</w:t>
      </w:r>
    </w:p>
    <w:p w14:paraId="29364E2D" w14:textId="77777777" w:rsidR="00D875C0" w:rsidRPr="007C1A06" w:rsidRDefault="00D875C0" w:rsidP="00D875C0">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2988"/>
        <w:gridCol w:w="1468"/>
        <w:gridCol w:w="1595"/>
      </w:tblGrid>
      <w:tr w:rsidR="00D875C0" w:rsidRPr="007C1A06" w14:paraId="32290549" w14:textId="77777777" w:rsidTr="004E3CD5">
        <w:trPr>
          <w:trHeight w:val="330"/>
        </w:trPr>
        <w:tc>
          <w:tcPr>
            <w:tcW w:w="3095" w:type="dxa"/>
            <w:vMerge w:val="restart"/>
            <w:shd w:val="clear" w:color="auto" w:fill="auto"/>
          </w:tcPr>
          <w:p w14:paraId="2361D1A4" w14:textId="77777777" w:rsidR="00D875C0" w:rsidRPr="007C1A06" w:rsidRDefault="00D875C0" w:rsidP="003876F8">
            <w:pPr>
              <w:autoSpaceDE w:val="0"/>
              <w:autoSpaceDN w:val="0"/>
              <w:adjustRightInd w:val="0"/>
              <w:spacing w:after="0" w:line="240" w:lineRule="auto"/>
              <w:rPr>
                <w:rFonts w:ascii="Times New Roman" w:hAnsi="Times New Roman"/>
                <w:b/>
              </w:rPr>
            </w:pPr>
            <w:r w:rsidRPr="007C1A06">
              <w:rPr>
                <w:rFonts w:ascii="Times New Roman" w:hAnsi="Times New Roman"/>
                <w:b/>
              </w:rPr>
              <w:t>Pacienčių pogrupis</w:t>
            </w:r>
          </w:p>
        </w:tc>
        <w:tc>
          <w:tcPr>
            <w:tcW w:w="3095" w:type="dxa"/>
            <w:vMerge w:val="restart"/>
            <w:shd w:val="clear" w:color="auto" w:fill="auto"/>
          </w:tcPr>
          <w:p w14:paraId="7AB44A61"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b/>
                <w:color w:val="000000"/>
              </w:rPr>
              <w:t>Pacienčių skaičius TAC grupėje</w:t>
            </w:r>
          </w:p>
        </w:tc>
        <w:tc>
          <w:tcPr>
            <w:tcW w:w="3096" w:type="dxa"/>
            <w:gridSpan w:val="2"/>
            <w:shd w:val="clear" w:color="auto" w:fill="auto"/>
          </w:tcPr>
          <w:p w14:paraId="71966837" w14:textId="77777777" w:rsidR="00D875C0" w:rsidRPr="004E3CD5" w:rsidRDefault="00D875C0" w:rsidP="003876F8">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b/>
                <w:color w:val="000000"/>
              </w:rPr>
              <w:t>Be ligos reiškinių išgyventas laikotarpis</w:t>
            </w:r>
          </w:p>
        </w:tc>
      </w:tr>
      <w:tr w:rsidR="00F95B76" w:rsidRPr="007C1A06" w14:paraId="32A8E702" w14:textId="77777777" w:rsidTr="003876F8">
        <w:trPr>
          <w:trHeight w:val="180"/>
        </w:trPr>
        <w:tc>
          <w:tcPr>
            <w:tcW w:w="3095" w:type="dxa"/>
            <w:vMerge/>
            <w:shd w:val="clear" w:color="auto" w:fill="auto"/>
          </w:tcPr>
          <w:p w14:paraId="6ABC8C5F" w14:textId="77777777" w:rsidR="00D875C0" w:rsidRPr="007C1A06" w:rsidRDefault="00D875C0" w:rsidP="003876F8">
            <w:pPr>
              <w:autoSpaceDE w:val="0"/>
              <w:autoSpaceDN w:val="0"/>
              <w:adjustRightInd w:val="0"/>
              <w:spacing w:after="0" w:line="240" w:lineRule="auto"/>
              <w:rPr>
                <w:rFonts w:ascii="Times New Roman" w:hAnsi="Times New Roman"/>
              </w:rPr>
            </w:pPr>
          </w:p>
        </w:tc>
        <w:tc>
          <w:tcPr>
            <w:tcW w:w="3095" w:type="dxa"/>
            <w:vMerge/>
            <w:shd w:val="clear" w:color="auto" w:fill="auto"/>
          </w:tcPr>
          <w:p w14:paraId="5E6203F5" w14:textId="77777777" w:rsidR="00D875C0" w:rsidRPr="007C1A06" w:rsidRDefault="00D875C0" w:rsidP="003876F8">
            <w:pPr>
              <w:autoSpaceDE w:val="0"/>
              <w:autoSpaceDN w:val="0"/>
              <w:adjustRightInd w:val="0"/>
              <w:spacing w:after="0" w:line="240" w:lineRule="auto"/>
              <w:rPr>
                <w:rFonts w:ascii="Times New Roman" w:hAnsi="Times New Roman"/>
                <w:b/>
                <w:color w:val="000000"/>
              </w:rPr>
            </w:pPr>
          </w:p>
        </w:tc>
        <w:tc>
          <w:tcPr>
            <w:tcW w:w="1470" w:type="dxa"/>
            <w:shd w:val="clear" w:color="auto" w:fill="auto"/>
          </w:tcPr>
          <w:p w14:paraId="713EB9F9"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i/>
                <w:lang w:eastAsia="zh-TW"/>
              </w:rPr>
            </w:pPr>
            <w:r w:rsidRPr="007C1A06">
              <w:rPr>
                <w:rFonts w:ascii="Times New Roman" w:hAnsi="Times New Roman"/>
                <w:b/>
                <w:color w:val="000000"/>
              </w:rPr>
              <w:t>Rizikos koeficientas*</w:t>
            </w:r>
          </w:p>
        </w:tc>
        <w:tc>
          <w:tcPr>
            <w:tcW w:w="1626" w:type="dxa"/>
            <w:shd w:val="clear" w:color="auto" w:fill="auto"/>
          </w:tcPr>
          <w:p w14:paraId="0E717BD9" w14:textId="77777777" w:rsidR="00D875C0" w:rsidRPr="004E3CD5" w:rsidRDefault="00D875C0" w:rsidP="001C79C8">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b/>
                <w:color w:val="000000"/>
              </w:rPr>
              <w:t>95</w:t>
            </w:r>
            <w:r w:rsidR="001C79C8" w:rsidRPr="007C1A06">
              <w:rPr>
                <w:rFonts w:ascii="Times New Roman" w:hAnsi="Times New Roman"/>
                <w:b/>
                <w:color w:val="000000"/>
              </w:rPr>
              <w:t> </w:t>
            </w:r>
            <w:r w:rsidRPr="007C1A06">
              <w:rPr>
                <w:rFonts w:ascii="Times New Roman" w:hAnsi="Times New Roman"/>
                <w:b/>
                <w:color w:val="000000"/>
              </w:rPr>
              <w:t>% PI</w:t>
            </w:r>
          </w:p>
        </w:tc>
      </w:tr>
      <w:tr w:rsidR="00D875C0" w:rsidRPr="007C1A06" w14:paraId="72B11183" w14:textId="77777777" w:rsidTr="004E3CD5">
        <w:tc>
          <w:tcPr>
            <w:tcW w:w="3095" w:type="dxa"/>
            <w:shd w:val="clear" w:color="auto" w:fill="auto"/>
          </w:tcPr>
          <w:p w14:paraId="14B313E4" w14:textId="77777777" w:rsidR="00D875C0" w:rsidRPr="001F2C46" w:rsidRDefault="00D875C0" w:rsidP="003876F8">
            <w:pPr>
              <w:autoSpaceDE w:val="0"/>
              <w:autoSpaceDN w:val="0"/>
              <w:adjustRightInd w:val="0"/>
              <w:spacing w:after="0" w:line="240" w:lineRule="auto"/>
              <w:rPr>
                <w:rFonts w:ascii="Times New Roman" w:hAnsi="Times New Roman"/>
                <w:i/>
              </w:rPr>
            </w:pPr>
            <w:r w:rsidRPr="00F95B76">
              <w:rPr>
                <w:rFonts w:ascii="Times New Roman" w:hAnsi="Times New Roman"/>
                <w:b/>
                <w:color w:val="000000"/>
              </w:rPr>
              <w:t xml:space="preserve">Bendras </w:t>
            </w:r>
          </w:p>
        </w:tc>
        <w:tc>
          <w:tcPr>
            <w:tcW w:w="3095" w:type="dxa"/>
            <w:shd w:val="clear" w:color="auto" w:fill="auto"/>
          </w:tcPr>
          <w:p w14:paraId="350ED557" w14:textId="77777777" w:rsidR="00D875C0" w:rsidRPr="00427D92" w:rsidRDefault="00D875C0" w:rsidP="003876F8">
            <w:pPr>
              <w:autoSpaceDE w:val="0"/>
              <w:autoSpaceDN w:val="0"/>
              <w:adjustRightInd w:val="0"/>
              <w:spacing w:after="0" w:line="240" w:lineRule="auto"/>
              <w:jc w:val="center"/>
              <w:rPr>
                <w:rFonts w:ascii="Times New Roman" w:hAnsi="Times New Roman"/>
              </w:rPr>
            </w:pPr>
            <w:r w:rsidRPr="00427D92">
              <w:rPr>
                <w:rFonts w:ascii="Times New Roman" w:hAnsi="Times New Roman"/>
              </w:rPr>
              <w:t>539</w:t>
            </w:r>
          </w:p>
        </w:tc>
        <w:tc>
          <w:tcPr>
            <w:tcW w:w="1470" w:type="dxa"/>
            <w:shd w:val="clear" w:color="auto" w:fill="auto"/>
          </w:tcPr>
          <w:p w14:paraId="151B3756" w14:textId="77777777" w:rsidR="00D875C0" w:rsidRPr="00C722B4" w:rsidRDefault="00D875C0" w:rsidP="003876F8">
            <w:pPr>
              <w:autoSpaceDE w:val="0"/>
              <w:autoSpaceDN w:val="0"/>
              <w:adjustRightInd w:val="0"/>
              <w:spacing w:after="0" w:line="240" w:lineRule="auto"/>
              <w:jc w:val="center"/>
              <w:rPr>
                <w:rFonts w:ascii="Times New Roman" w:hAnsi="Times New Roman"/>
              </w:rPr>
            </w:pPr>
            <w:r w:rsidRPr="00C722B4">
              <w:rPr>
                <w:rFonts w:ascii="Times New Roman" w:hAnsi="Times New Roman"/>
              </w:rPr>
              <w:t>0,68</w:t>
            </w:r>
          </w:p>
        </w:tc>
        <w:tc>
          <w:tcPr>
            <w:tcW w:w="1626" w:type="dxa"/>
            <w:shd w:val="clear" w:color="auto" w:fill="auto"/>
          </w:tcPr>
          <w:p w14:paraId="502691B8" w14:textId="77777777" w:rsidR="00D875C0" w:rsidRPr="004E3CD5" w:rsidRDefault="00D875C0" w:rsidP="001C79C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color w:val="000000"/>
              </w:rPr>
              <w:t>0,49</w:t>
            </w:r>
            <w:r w:rsidR="001C79C8" w:rsidRPr="007C1A06">
              <w:rPr>
                <w:rFonts w:ascii="Times New Roman" w:hAnsi="Times New Roman"/>
                <w:color w:val="000000"/>
              </w:rPr>
              <w:noBreakHyphen/>
            </w:r>
            <w:r w:rsidRPr="007C1A06">
              <w:rPr>
                <w:rFonts w:ascii="Times New Roman" w:hAnsi="Times New Roman"/>
                <w:color w:val="000000"/>
              </w:rPr>
              <w:t>0,93</w:t>
            </w:r>
          </w:p>
        </w:tc>
      </w:tr>
      <w:tr w:rsidR="00D875C0" w:rsidRPr="007C1A06" w14:paraId="42A02E69" w14:textId="77777777" w:rsidTr="004E3CD5">
        <w:tc>
          <w:tcPr>
            <w:tcW w:w="3095" w:type="dxa"/>
            <w:shd w:val="clear" w:color="auto" w:fill="auto"/>
          </w:tcPr>
          <w:p w14:paraId="0DF9CE59" w14:textId="77777777" w:rsidR="00D875C0" w:rsidRPr="001F2C46" w:rsidRDefault="00D875C0" w:rsidP="003876F8">
            <w:pPr>
              <w:autoSpaceDE w:val="0"/>
              <w:autoSpaceDN w:val="0"/>
              <w:adjustRightInd w:val="0"/>
              <w:spacing w:after="0" w:line="240" w:lineRule="auto"/>
              <w:rPr>
                <w:rFonts w:ascii="Times New Roman" w:hAnsi="Times New Roman"/>
                <w:b/>
                <w:color w:val="000000"/>
              </w:rPr>
            </w:pPr>
            <w:r w:rsidRPr="00F95B76">
              <w:rPr>
                <w:rFonts w:ascii="Times New Roman" w:hAnsi="Times New Roman"/>
                <w:b/>
                <w:color w:val="000000"/>
              </w:rPr>
              <w:t>1 amžiaus kategorija</w:t>
            </w:r>
          </w:p>
          <w:p w14:paraId="436DD445" w14:textId="77777777" w:rsidR="00D875C0" w:rsidRPr="000C43D3" w:rsidRDefault="00D875C0" w:rsidP="003876F8">
            <w:pPr>
              <w:autoSpaceDE w:val="0"/>
              <w:autoSpaceDN w:val="0"/>
              <w:adjustRightInd w:val="0"/>
              <w:spacing w:after="0" w:line="240" w:lineRule="auto"/>
              <w:rPr>
                <w:rFonts w:ascii="Times New Roman" w:hAnsi="Times New Roman"/>
                <w:color w:val="000000"/>
              </w:rPr>
            </w:pPr>
            <w:r w:rsidRPr="00427D92">
              <w:rPr>
                <w:rFonts w:ascii="Times New Roman" w:hAnsi="Times New Roman"/>
                <w:color w:val="000000"/>
              </w:rPr>
              <w:t>&lt;</w:t>
            </w:r>
            <w:r w:rsidR="001C79C8" w:rsidRPr="00427D92">
              <w:rPr>
                <w:rFonts w:ascii="Times New Roman" w:hAnsi="Times New Roman"/>
                <w:color w:val="000000"/>
              </w:rPr>
              <w:t> </w:t>
            </w:r>
            <w:r w:rsidRPr="00427D92">
              <w:rPr>
                <w:rFonts w:ascii="Times New Roman" w:hAnsi="Times New Roman"/>
                <w:color w:val="000000"/>
              </w:rPr>
              <w:t>50</w:t>
            </w:r>
            <w:r w:rsidR="001C79C8" w:rsidRPr="000C43D3">
              <w:rPr>
                <w:rFonts w:ascii="Times New Roman" w:hAnsi="Times New Roman"/>
                <w:color w:val="000000"/>
              </w:rPr>
              <w:t> </w:t>
            </w:r>
            <w:r w:rsidRPr="000C43D3">
              <w:rPr>
                <w:rFonts w:ascii="Times New Roman" w:hAnsi="Times New Roman"/>
                <w:color w:val="000000"/>
              </w:rPr>
              <w:t xml:space="preserve">metai </w:t>
            </w:r>
          </w:p>
          <w:p w14:paraId="67752DC9" w14:textId="77777777" w:rsidR="00D875C0" w:rsidRPr="007C1A06" w:rsidRDefault="00D875C0" w:rsidP="001C79C8">
            <w:pPr>
              <w:autoSpaceDE w:val="0"/>
              <w:autoSpaceDN w:val="0"/>
              <w:adjustRightInd w:val="0"/>
              <w:spacing w:after="0" w:line="240" w:lineRule="auto"/>
              <w:rPr>
                <w:rFonts w:ascii="Times New Roman" w:hAnsi="Times New Roman"/>
                <w:i/>
              </w:rPr>
            </w:pPr>
            <w:r w:rsidRPr="00C722B4">
              <w:rPr>
                <w:rFonts w:ascii="Times New Roman" w:hAnsi="Times New Roman"/>
                <w:color w:val="000000"/>
              </w:rPr>
              <w:t>≥</w:t>
            </w:r>
            <w:r w:rsidR="001C79C8" w:rsidRPr="007C1A06">
              <w:rPr>
                <w:rFonts w:ascii="Times New Roman" w:hAnsi="Times New Roman"/>
                <w:color w:val="000000"/>
              </w:rPr>
              <w:t> </w:t>
            </w:r>
            <w:r w:rsidRPr="007C1A06">
              <w:rPr>
                <w:rFonts w:ascii="Times New Roman" w:hAnsi="Times New Roman"/>
                <w:color w:val="000000"/>
              </w:rPr>
              <w:t>50</w:t>
            </w:r>
            <w:r w:rsidR="001C79C8" w:rsidRPr="007C1A06">
              <w:rPr>
                <w:rFonts w:ascii="Times New Roman" w:hAnsi="Times New Roman"/>
                <w:color w:val="000000"/>
              </w:rPr>
              <w:t> </w:t>
            </w:r>
            <w:r w:rsidRPr="007C1A06">
              <w:rPr>
                <w:rFonts w:ascii="Times New Roman" w:hAnsi="Times New Roman"/>
                <w:color w:val="000000"/>
              </w:rPr>
              <w:t xml:space="preserve">metai </w:t>
            </w:r>
          </w:p>
        </w:tc>
        <w:tc>
          <w:tcPr>
            <w:tcW w:w="3095" w:type="dxa"/>
            <w:shd w:val="clear" w:color="auto" w:fill="auto"/>
          </w:tcPr>
          <w:p w14:paraId="156A663E" w14:textId="77777777" w:rsidR="00D875C0" w:rsidRPr="007C1A06" w:rsidRDefault="00D875C0" w:rsidP="003876F8">
            <w:pPr>
              <w:autoSpaceDE w:val="0"/>
              <w:autoSpaceDN w:val="0"/>
              <w:adjustRightInd w:val="0"/>
              <w:spacing w:after="0" w:line="240" w:lineRule="auto"/>
              <w:rPr>
                <w:rFonts w:ascii="Times New Roman" w:hAnsi="Times New Roman"/>
                <w:i/>
              </w:rPr>
            </w:pPr>
          </w:p>
          <w:p w14:paraId="2DE1136B"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260</w:t>
            </w:r>
          </w:p>
          <w:p w14:paraId="2EB2C0DF"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i/>
                <w:lang w:eastAsia="zh-TW"/>
              </w:rPr>
            </w:pPr>
            <w:r w:rsidRPr="007C1A06">
              <w:rPr>
                <w:rFonts w:ascii="Times New Roman" w:hAnsi="Times New Roman"/>
              </w:rPr>
              <w:t>279</w:t>
            </w:r>
          </w:p>
        </w:tc>
        <w:tc>
          <w:tcPr>
            <w:tcW w:w="1470" w:type="dxa"/>
            <w:shd w:val="clear" w:color="auto" w:fill="auto"/>
          </w:tcPr>
          <w:p w14:paraId="1A9DEC0D" w14:textId="77777777" w:rsidR="00D875C0" w:rsidRPr="007C1A06" w:rsidRDefault="00D875C0" w:rsidP="003876F8">
            <w:pPr>
              <w:autoSpaceDE w:val="0"/>
              <w:autoSpaceDN w:val="0"/>
              <w:adjustRightInd w:val="0"/>
              <w:spacing w:after="0" w:line="240" w:lineRule="auto"/>
              <w:rPr>
                <w:rFonts w:ascii="Times New Roman" w:hAnsi="Times New Roman"/>
                <w:i/>
              </w:rPr>
            </w:pPr>
          </w:p>
          <w:p w14:paraId="37757BAD"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0,67</w:t>
            </w:r>
          </w:p>
          <w:p w14:paraId="3116643B"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i/>
                <w:lang w:eastAsia="zh-TW"/>
              </w:rPr>
            </w:pPr>
            <w:r w:rsidRPr="007C1A06">
              <w:rPr>
                <w:rFonts w:ascii="Times New Roman" w:hAnsi="Times New Roman"/>
              </w:rPr>
              <w:t>0,67</w:t>
            </w:r>
          </w:p>
        </w:tc>
        <w:tc>
          <w:tcPr>
            <w:tcW w:w="1626" w:type="dxa"/>
            <w:shd w:val="clear" w:color="auto" w:fill="auto"/>
          </w:tcPr>
          <w:p w14:paraId="430FF0BE" w14:textId="77777777" w:rsidR="00D875C0" w:rsidRPr="007C1A06" w:rsidRDefault="00D875C0" w:rsidP="003876F8">
            <w:pPr>
              <w:autoSpaceDE w:val="0"/>
              <w:autoSpaceDN w:val="0"/>
              <w:adjustRightInd w:val="0"/>
              <w:spacing w:after="0" w:line="240" w:lineRule="auto"/>
              <w:rPr>
                <w:rFonts w:ascii="Times New Roman" w:hAnsi="Times New Roman"/>
                <w:i/>
              </w:rPr>
            </w:pPr>
          </w:p>
          <w:p w14:paraId="55938389"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color w:val="000000"/>
                <w:lang w:eastAsia="zh-TW"/>
              </w:rPr>
            </w:pPr>
            <w:r w:rsidRPr="007C1A06">
              <w:rPr>
                <w:rFonts w:ascii="Times New Roman" w:hAnsi="Times New Roman"/>
                <w:color w:val="000000"/>
              </w:rPr>
              <w:t>0,43</w:t>
            </w:r>
            <w:r w:rsidR="001C79C8" w:rsidRPr="007C1A06">
              <w:rPr>
                <w:rFonts w:ascii="Times New Roman" w:hAnsi="Times New Roman"/>
                <w:color w:val="000000"/>
              </w:rPr>
              <w:noBreakHyphen/>
            </w:r>
            <w:r w:rsidRPr="007C1A06">
              <w:rPr>
                <w:rFonts w:ascii="Times New Roman" w:hAnsi="Times New Roman"/>
                <w:color w:val="000000"/>
              </w:rPr>
              <w:t>1,05</w:t>
            </w:r>
          </w:p>
          <w:p w14:paraId="172A08CC" w14:textId="77777777" w:rsidR="00D875C0" w:rsidRPr="004E3CD5" w:rsidRDefault="00D875C0" w:rsidP="001C79C8">
            <w:pPr>
              <w:autoSpaceDE w:val="0"/>
              <w:autoSpaceDN w:val="0"/>
              <w:adjustRightInd w:val="0"/>
              <w:spacing w:after="0" w:line="240" w:lineRule="auto"/>
              <w:jc w:val="center"/>
              <w:rPr>
                <w:rFonts w:ascii="Times New Roman" w:eastAsiaTheme="minorEastAsia" w:hAnsi="Times New Roman"/>
                <w:i/>
                <w:lang w:eastAsia="zh-TW"/>
              </w:rPr>
            </w:pPr>
            <w:r w:rsidRPr="007C1A06">
              <w:rPr>
                <w:rFonts w:ascii="Times New Roman" w:hAnsi="Times New Roman"/>
                <w:color w:val="000000"/>
              </w:rPr>
              <w:t>0,43</w:t>
            </w:r>
            <w:r w:rsidR="001C79C8" w:rsidRPr="007C1A06">
              <w:rPr>
                <w:rFonts w:ascii="Times New Roman" w:hAnsi="Times New Roman"/>
                <w:color w:val="000000"/>
              </w:rPr>
              <w:noBreakHyphen/>
            </w:r>
            <w:r w:rsidRPr="007C1A06">
              <w:rPr>
                <w:rFonts w:ascii="Times New Roman" w:hAnsi="Times New Roman"/>
                <w:color w:val="000000"/>
              </w:rPr>
              <w:t>1,05</w:t>
            </w:r>
          </w:p>
        </w:tc>
      </w:tr>
      <w:tr w:rsidR="00D875C0" w:rsidRPr="007C1A06" w14:paraId="617BC508" w14:textId="77777777" w:rsidTr="004E3CD5">
        <w:tc>
          <w:tcPr>
            <w:tcW w:w="3095" w:type="dxa"/>
            <w:shd w:val="clear" w:color="auto" w:fill="auto"/>
          </w:tcPr>
          <w:p w14:paraId="162143BF" w14:textId="77777777" w:rsidR="00D875C0" w:rsidRPr="001F2C46" w:rsidRDefault="00D875C0" w:rsidP="003876F8">
            <w:pPr>
              <w:autoSpaceDE w:val="0"/>
              <w:autoSpaceDN w:val="0"/>
              <w:adjustRightInd w:val="0"/>
              <w:spacing w:after="0" w:line="240" w:lineRule="auto"/>
              <w:rPr>
                <w:rFonts w:ascii="Times New Roman" w:hAnsi="Times New Roman"/>
                <w:b/>
                <w:color w:val="000000"/>
              </w:rPr>
            </w:pPr>
            <w:r w:rsidRPr="00F95B76">
              <w:rPr>
                <w:rFonts w:ascii="Times New Roman" w:hAnsi="Times New Roman"/>
                <w:b/>
                <w:color w:val="000000"/>
              </w:rPr>
              <w:t xml:space="preserve">2 amžiaus </w:t>
            </w:r>
            <w:r w:rsidRPr="001F2C46">
              <w:rPr>
                <w:rFonts w:ascii="Times New Roman" w:hAnsi="Times New Roman"/>
                <w:b/>
                <w:color w:val="000000"/>
              </w:rPr>
              <w:t>kategorija</w:t>
            </w:r>
          </w:p>
          <w:p w14:paraId="1530A273" w14:textId="77777777" w:rsidR="00D875C0" w:rsidRPr="000C43D3" w:rsidRDefault="00D875C0" w:rsidP="003876F8">
            <w:pPr>
              <w:autoSpaceDE w:val="0"/>
              <w:autoSpaceDN w:val="0"/>
              <w:adjustRightInd w:val="0"/>
              <w:spacing w:after="0" w:line="240" w:lineRule="auto"/>
              <w:rPr>
                <w:rFonts w:ascii="Times New Roman" w:hAnsi="Times New Roman"/>
                <w:color w:val="000000"/>
              </w:rPr>
            </w:pPr>
            <w:r w:rsidRPr="00427D92">
              <w:rPr>
                <w:rFonts w:ascii="Times New Roman" w:hAnsi="Times New Roman"/>
                <w:color w:val="000000"/>
              </w:rPr>
              <w:t>&lt;</w:t>
            </w:r>
            <w:r w:rsidR="001C79C8" w:rsidRPr="00427D92">
              <w:rPr>
                <w:rFonts w:ascii="Times New Roman" w:hAnsi="Times New Roman"/>
                <w:color w:val="000000"/>
              </w:rPr>
              <w:t> </w:t>
            </w:r>
            <w:r w:rsidRPr="00427D92">
              <w:rPr>
                <w:rFonts w:ascii="Times New Roman" w:hAnsi="Times New Roman"/>
                <w:color w:val="000000"/>
              </w:rPr>
              <w:t>35</w:t>
            </w:r>
            <w:r w:rsidR="001C79C8" w:rsidRPr="000C43D3">
              <w:rPr>
                <w:rFonts w:ascii="Times New Roman" w:hAnsi="Times New Roman"/>
                <w:color w:val="000000"/>
              </w:rPr>
              <w:t> </w:t>
            </w:r>
            <w:r w:rsidRPr="000C43D3">
              <w:rPr>
                <w:rFonts w:ascii="Times New Roman" w:hAnsi="Times New Roman"/>
                <w:color w:val="000000"/>
              </w:rPr>
              <w:t xml:space="preserve">metai </w:t>
            </w:r>
          </w:p>
          <w:p w14:paraId="05D4C1C4" w14:textId="77777777" w:rsidR="00D875C0" w:rsidRPr="007C1A06" w:rsidRDefault="00D875C0" w:rsidP="001C79C8">
            <w:pPr>
              <w:autoSpaceDE w:val="0"/>
              <w:autoSpaceDN w:val="0"/>
              <w:adjustRightInd w:val="0"/>
              <w:spacing w:after="0" w:line="240" w:lineRule="auto"/>
              <w:rPr>
                <w:rFonts w:ascii="Times New Roman" w:hAnsi="Times New Roman"/>
                <w:i/>
              </w:rPr>
            </w:pPr>
            <w:r w:rsidRPr="00C722B4">
              <w:rPr>
                <w:rFonts w:ascii="Times New Roman" w:hAnsi="Times New Roman"/>
                <w:color w:val="000000"/>
              </w:rPr>
              <w:t>≥</w:t>
            </w:r>
            <w:r w:rsidR="001C79C8" w:rsidRPr="007C1A06">
              <w:rPr>
                <w:rFonts w:ascii="Times New Roman" w:hAnsi="Times New Roman"/>
                <w:color w:val="000000"/>
              </w:rPr>
              <w:t> </w:t>
            </w:r>
            <w:r w:rsidRPr="007C1A06">
              <w:rPr>
                <w:rFonts w:ascii="Times New Roman" w:hAnsi="Times New Roman"/>
                <w:color w:val="000000"/>
              </w:rPr>
              <w:t>35</w:t>
            </w:r>
            <w:r w:rsidR="001C79C8" w:rsidRPr="007C1A06">
              <w:rPr>
                <w:rFonts w:ascii="Times New Roman" w:hAnsi="Times New Roman"/>
                <w:color w:val="000000"/>
              </w:rPr>
              <w:t> </w:t>
            </w:r>
            <w:r w:rsidRPr="007C1A06">
              <w:rPr>
                <w:rFonts w:ascii="Times New Roman" w:hAnsi="Times New Roman"/>
                <w:color w:val="000000"/>
              </w:rPr>
              <w:t xml:space="preserve">metai </w:t>
            </w:r>
          </w:p>
        </w:tc>
        <w:tc>
          <w:tcPr>
            <w:tcW w:w="3095" w:type="dxa"/>
            <w:shd w:val="clear" w:color="auto" w:fill="auto"/>
          </w:tcPr>
          <w:p w14:paraId="4E1A2138" w14:textId="77777777" w:rsidR="00D875C0" w:rsidRPr="007C1A06" w:rsidRDefault="00D875C0" w:rsidP="003876F8">
            <w:pPr>
              <w:autoSpaceDE w:val="0"/>
              <w:autoSpaceDN w:val="0"/>
              <w:adjustRightInd w:val="0"/>
              <w:spacing w:after="0" w:line="240" w:lineRule="auto"/>
              <w:rPr>
                <w:rFonts w:ascii="Times New Roman" w:hAnsi="Times New Roman"/>
                <w:i/>
              </w:rPr>
            </w:pPr>
          </w:p>
          <w:p w14:paraId="5B7930D7"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42</w:t>
            </w:r>
          </w:p>
          <w:p w14:paraId="53539D98"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i/>
                <w:lang w:eastAsia="zh-TW"/>
              </w:rPr>
            </w:pPr>
            <w:r w:rsidRPr="007C1A06">
              <w:rPr>
                <w:rFonts w:ascii="Times New Roman" w:hAnsi="Times New Roman"/>
              </w:rPr>
              <w:t>497</w:t>
            </w:r>
          </w:p>
        </w:tc>
        <w:tc>
          <w:tcPr>
            <w:tcW w:w="1470" w:type="dxa"/>
            <w:shd w:val="clear" w:color="auto" w:fill="auto"/>
          </w:tcPr>
          <w:p w14:paraId="49D1A2DD" w14:textId="77777777" w:rsidR="00D875C0" w:rsidRPr="007C1A06" w:rsidRDefault="00D875C0" w:rsidP="003876F8">
            <w:pPr>
              <w:autoSpaceDE w:val="0"/>
              <w:autoSpaceDN w:val="0"/>
              <w:adjustRightInd w:val="0"/>
              <w:spacing w:after="0" w:line="240" w:lineRule="auto"/>
              <w:rPr>
                <w:rFonts w:ascii="Times New Roman" w:hAnsi="Times New Roman"/>
              </w:rPr>
            </w:pPr>
          </w:p>
          <w:p w14:paraId="0A61DF8A"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0,31</w:t>
            </w:r>
          </w:p>
          <w:p w14:paraId="67C97025"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0,73</w:t>
            </w:r>
          </w:p>
        </w:tc>
        <w:tc>
          <w:tcPr>
            <w:tcW w:w="1626" w:type="dxa"/>
            <w:shd w:val="clear" w:color="auto" w:fill="auto"/>
          </w:tcPr>
          <w:p w14:paraId="35E0326E" w14:textId="77777777" w:rsidR="00D875C0" w:rsidRPr="007C1A06" w:rsidRDefault="00D875C0" w:rsidP="003876F8">
            <w:pPr>
              <w:autoSpaceDE w:val="0"/>
              <w:autoSpaceDN w:val="0"/>
              <w:adjustRightInd w:val="0"/>
              <w:spacing w:after="0" w:line="240" w:lineRule="auto"/>
              <w:rPr>
                <w:rFonts w:ascii="Times New Roman" w:hAnsi="Times New Roman"/>
                <w:i/>
              </w:rPr>
            </w:pPr>
          </w:p>
          <w:p w14:paraId="74FB6A84"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0,11</w:t>
            </w:r>
            <w:r w:rsidR="001C79C8" w:rsidRPr="007C1A06">
              <w:rPr>
                <w:rFonts w:ascii="Times New Roman" w:hAnsi="Times New Roman"/>
              </w:rPr>
              <w:noBreakHyphen/>
            </w:r>
            <w:r w:rsidRPr="007C1A06">
              <w:rPr>
                <w:rFonts w:ascii="Times New Roman" w:hAnsi="Times New Roman"/>
              </w:rPr>
              <w:t>0,89</w:t>
            </w:r>
          </w:p>
          <w:p w14:paraId="6C3251DF" w14:textId="77777777" w:rsidR="00D875C0" w:rsidRPr="004E3CD5" w:rsidRDefault="00D875C0" w:rsidP="001C79C8">
            <w:pPr>
              <w:autoSpaceDE w:val="0"/>
              <w:autoSpaceDN w:val="0"/>
              <w:adjustRightInd w:val="0"/>
              <w:spacing w:after="0" w:line="240" w:lineRule="auto"/>
              <w:jc w:val="center"/>
              <w:rPr>
                <w:rFonts w:ascii="Times New Roman" w:eastAsiaTheme="minorEastAsia" w:hAnsi="Times New Roman"/>
                <w:i/>
                <w:lang w:eastAsia="zh-TW"/>
              </w:rPr>
            </w:pPr>
            <w:r w:rsidRPr="007C1A06">
              <w:rPr>
                <w:rFonts w:ascii="Times New Roman" w:hAnsi="Times New Roman"/>
              </w:rPr>
              <w:t>0,52</w:t>
            </w:r>
            <w:r w:rsidR="001C79C8" w:rsidRPr="007C1A06">
              <w:rPr>
                <w:rFonts w:ascii="Times New Roman" w:hAnsi="Times New Roman"/>
              </w:rPr>
              <w:noBreakHyphen/>
            </w:r>
            <w:r w:rsidRPr="007C1A06">
              <w:rPr>
                <w:rFonts w:ascii="Times New Roman" w:hAnsi="Times New Roman"/>
              </w:rPr>
              <w:t>1,01</w:t>
            </w:r>
          </w:p>
        </w:tc>
      </w:tr>
      <w:tr w:rsidR="00D875C0" w:rsidRPr="007C1A06" w14:paraId="34A8A4BE" w14:textId="77777777" w:rsidTr="004E3CD5">
        <w:tc>
          <w:tcPr>
            <w:tcW w:w="3095" w:type="dxa"/>
            <w:shd w:val="clear" w:color="auto" w:fill="auto"/>
          </w:tcPr>
          <w:p w14:paraId="6442A8D5" w14:textId="77777777" w:rsidR="00D875C0" w:rsidRPr="001F2C46" w:rsidRDefault="00D875C0" w:rsidP="003876F8">
            <w:pPr>
              <w:autoSpaceDE w:val="0"/>
              <w:autoSpaceDN w:val="0"/>
              <w:adjustRightInd w:val="0"/>
              <w:spacing w:after="0" w:line="240" w:lineRule="auto"/>
              <w:rPr>
                <w:rFonts w:ascii="Times New Roman" w:hAnsi="Times New Roman"/>
                <w:b/>
                <w:color w:val="000000"/>
              </w:rPr>
            </w:pPr>
            <w:r w:rsidRPr="00F95B76">
              <w:rPr>
                <w:rFonts w:ascii="Times New Roman" w:hAnsi="Times New Roman"/>
                <w:b/>
                <w:color w:val="000000"/>
              </w:rPr>
              <w:t>Hormonų receptoriai</w:t>
            </w:r>
          </w:p>
          <w:p w14:paraId="6C53E6EA" w14:textId="77777777" w:rsidR="00D875C0" w:rsidRPr="00427D92" w:rsidRDefault="00D875C0" w:rsidP="003876F8">
            <w:pPr>
              <w:autoSpaceDE w:val="0"/>
              <w:autoSpaceDN w:val="0"/>
              <w:adjustRightInd w:val="0"/>
              <w:spacing w:after="0" w:line="240" w:lineRule="auto"/>
              <w:rPr>
                <w:rFonts w:ascii="Times New Roman" w:hAnsi="Times New Roman"/>
                <w:color w:val="000000"/>
              </w:rPr>
            </w:pPr>
            <w:r w:rsidRPr="00427D92">
              <w:rPr>
                <w:rFonts w:ascii="Times New Roman" w:hAnsi="Times New Roman"/>
                <w:color w:val="000000"/>
              </w:rPr>
              <w:t xml:space="preserve">Neigiami </w:t>
            </w:r>
          </w:p>
          <w:p w14:paraId="69CEA2A8" w14:textId="77777777" w:rsidR="00D875C0" w:rsidRPr="007C1A06" w:rsidRDefault="00D875C0" w:rsidP="003876F8">
            <w:pPr>
              <w:autoSpaceDE w:val="0"/>
              <w:autoSpaceDN w:val="0"/>
              <w:adjustRightInd w:val="0"/>
              <w:spacing w:after="0" w:line="240" w:lineRule="auto"/>
              <w:rPr>
                <w:rFonts w:ascii="Times New Roman" w:hAnsi="Times New Roman"/>
                <w:b/>
                <w:color w:val="000000"/>
              </w:rPr>
            </w:pPr>
            <w:r w:rsidRPr="00C722B4">
              <w:rPr>
                <w:rFonts w:ascii="Times New Roman" w:hAnsi="Times New Roman"/>
                <w:color w:val="000000"/>
              </w:rPr>
              <w:t xml:space="preserve">Teigiami </w:t>
            </w:r>
          </w:p>
        </w:tc>
        <w:tc>
          <w:tcPr>
            <w:tcW w:w="3095" w:type="dxa"/>
            <w:shd w:val="clear" w:color="auto" w:fill="auto"/>
          </w:tcPr>
          <w:p w14:paraId="3742E66A" w14:textId="77777777" w:rsidR="00D875C0" w:rsidRPr="007C1A06" w:rsidRDefault="00D875C0" w:rsidP="003876F8">
            <w:pPr>
              <w:autoSpaceDE w:val="0"/>
              <w:autoSpaceDN w:val="0"/>
              <w:adjustRightInd w:val="0"/>
              <w:spacing w:after="0" w:line="240" w:lineRule="auto"/>
              <w:rPr>
                <w:rFonts w:ascii="Times New Roman" w:hAnsi="Times New Roman"/>
                <w:i/>
              </w:rPr>
            </w:pPr>
          </w:p>
          <w:p w14:paraId="1C8E531E"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195</w:t>
            </w:r>
          </w:p>
          <w:p w14:paraId="1B175AE0"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i/>
                <w:lang w:eastAsia="zh-TW"/>
              </w:rPr>
            </w:pPr>
            <w:r w:rsidRPr="007C1A06">
              <w:rPr>
                <w:rFonts w:ascii="Times New Roman" w:hAnsi="Times New Roman"/>
              </w:rPr>
              <w:t>344</w:t>
            </w:r>
          </w:p>
        </w:tc>
        <w:tc>
          <w:tcPr>
            <w:tcW w:w="1470" w:type="dxa"/>
            <w:shd w:val="clear" w:color="auto" w:fill="auto"/>
          </w:tcPr>
          <w:p w14:paraId="6A0606F5" w14:textId="77777777" w:rsidR="00D875C0" w:rsidRPr="007C1A06" w:rsidRDefault="00D875C0" w:rsidP="003876F8">
            <w:pPr>
              <w:autoSpaceDE w:val="0"/>
              <w:autoSpaceDN w:val="0"/>
              <w:adjustRightInd w:val="0"/>
              <w:spacing w:after="0" w:line="240" w:lineRule="auto"/>
              <w:rPr>
                <w:rFonts w:ascii="Times New Roman" w:hAnsi="Times New Roman"/>
              </w:rPr>
            </w:pPr>
          </w:p>
          <w:p w14:paraId="0445DF11"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0,7</w:t>
            </w:r>
          </w:p>
          <w:p w14:paraId="078B3E89"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0,62</w:t>
            </w:r>
          </w:p>
        </w:tc>
        <w:tc>
          <w:tcPr>
            <w:tcW w:w="1626" w:type="dxa"/>
            <w:shd w:val="clear" w:color="auto" w:fill="auto"/>
          </w:tcPr>
          <w:p w14:paraId="03EAB975" w14:textId="77777777" w:rsidR="00D875C0" w:rsidRPr="007C1A06" w:rsidRDefault="00D875C0" w:rsidP="003876F8">
            <w:pPr>
              <w:autoSpaceDE w:val="0"/>
              <w:autoSpaceDN w:val="0"/>
              <w:adjustRightInd w:val="0"/>
              <w:spacing w:after="0" w:line="240" w:lineRule="auto"/>
              <w:rPr>
                <w:rFonts w:ascii="Times New Roman" w:hAnsi="Times New Roman"/>
                <w:i/>
              </w:rPr>
            </w:pPr>
          </w:p>
          <w:p w14:paraId="5ED96D02"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color w:val="000000"/>
                <w:lang w:eastAsia="zh-TW"/>
              </w:rPr>
            </w:pPr>
            <w:r w:rsidRPr="007C1A06">
              <w:rPr>
                <w:rFonts w:ascii="Times New Roman" w:hAnsi="Times New Roman"/>
                <w:color w:val="000000"/>
              </w:rPr>
              <w:t>0,45</w:t>
            </w:r>
            <w:r w:rsidR="001C79C8" w:rsidRPr="007C1A06">
              <w:rPr>
                <w:rFonts w:ascii="Times New Roman" w:hAnsi="Times New Roman"/>
                <w:color w:val="000000"/>
              </w:rPr>
              <w:noBreakHyphen/>
            </w:r>
            <w:r w:rsidRPr="007C1A06">
              <w:rPr>
                <w:rFonts w:ascii="Times New Roman" w:hAnsi="Times New Roman"/>
                <w:color w:val="000000"/>
              </w:rPr>
              <w:t>1,1</w:t>
            </w:r>
          </w:p>
          <w:p w14:paraId="5637C5B5" w14:textId="77777777" w:rsidR="00D875C0" w:rsidRPr="004E3CD5" w:rsidRDefault="00D875C0" w:rsidP="001C79C8">
            <w:pPr>
              <w:autoSpaceDE w:val="0"/>
              <w:autoSpaceDN w:val="0"/>
              <w:adjustRightInd w:val="0"/>
              <w:spacing w:after="0" w:line="240" w:lineRule="auto"/>
              <w:jc w:val="center"/>
              <w:rPr>
                <w:rFonts w:ascii="Times New Roman" w:eastAsiaTheme="minorEastAsia" w:hAnsi="Times New Roman"/>
                <w:i/>
                <w:lang w:eastAsia="zh-TW"/>
              </w:rPr>
            </w:pPr>
            <w:r w:rsidRPr="007C1A06">
              <w:rPr>
                <w:rFonts w:ascii="Times New Roman" w:hAnsi="Times New Roman"/>
                <w:color w:val="000000"/>
              </w:rPr>
              <w:t>0,4</w:t>
            </w:r>
            <w:r w:rsidR="001C79C8" w:rsidRPr="007C1A06">
              <w:rPr>
                <w:rFonts w:ascii="Times New Roman" w:hAnsi="Times New Roman"/>
                <w:color w:val="000000"/>
              </w:rPr>
              <w:noBreakHyphen/>
            </w:r>
            <w:r w:rsidRPr="007C1A06">
              <w:rPr>
                <w:rFonts w:ascii="Times New Roman" w:hAnsi="Times New Roman"/>
                <w:color w:val="000000"/>
              </w:rPr>
              <w:t>0,97</w:t>
            </w:r>
          </w:p>
        </w:tc>
      </w:tr>
      <w:tr w:rsidR="00D875C0" w:rsidRPr="007C1A06" w14:paraId="3918A885" w14:textId="77777777" w:rsidTr="004E3CD5">
        <w:tc>
          <w:tcPr>
            <w:tcW w:w="3095" w:type="dxa"/>
            <w:shd w:val="clear" w:color="auto" w:fill="auto"/>
          </w:tcPr>
          <w:p w14:paraId="44C4EDC2" w14:textId="77777777" w:rsidR="00D875C0" w:rsidRPr="001F2C46" w:rsidRDefault="00D875C0" w:rsidP="003876F8">
            <w:pPr>
              <w:autoSpaceDE w:val="0"/>
              <w:autoSpaceDN w:val="0"/>
              <w:adjustRightInd w:val="0"/>
              <w:spacing w:after="0" w:line="240" w:lineRule="auto"/>
              <w:rPr>
                <w:rFonts w:ascii="Times New Roman" w:hAnsi="Times New Roman"/>
                <w:b/>
                <w:color w:val="000000"/>
              </w:rPr>
            </w:pPr>
            <w:r w:rsidRPr="00F95B76">
              <w:rPr>
                <w:rFonts w:ascii="Times New Roman" w:hAnsi="Times New Roman"/>
                <w:b/>
                <w:color w:val="000000"/>
              </w:rPr>
              <w:t>Naviko dydis</w:t>
            </w:r>
          </w:p>
          <w:p w14:paraId="51E1F20F" w14:textId="77777777" w:rsidR="00D875C0" w:rsidRPr="000C43D3" w:rsidRDefault="00D875C0" w:rsidP="003876F8">
            <w:pPr>
              <w:autoSpaceDE w:val="0"/>
              <w:autoSpaceDN w:val="0"/>
              <w:adjustRightInd w:val="0"/>
              <w:spacing w:after="0" w:line="240" w:lineRule="auto"/>
              <w:rPr>
                <w:rFonts w:ascii="Times New Roman" w:hAnsi="Times New Roman"/>
                <w:color w:val="000000"/>
              </w:rPr>
            </w:pPr>
            <w:r w:rsidRPr="00427D92">
              <w:rPr>
                <w:rFonts w:ascii="Times New Roman" w:hAnsi="Times New Roman"/>
                <w:color w:val="000000"/>
              </w:rPr>
              <w:t>≤</w:t>
            </w:r>
            <w:r w:rsidR="001C79C8" w:rsidRPr="00427D92">
              <w:rPr>
                <w:rFonts w:ascii="Times New Roman" w:hAnsi="Times New Roman"/>
                <w:color w:val="000000"/>
              </w:rPr>
              <w:t> </w:t>
            </w:r>
            <w:r w:rsidRPr="00427D92">
              <w:rPr>
                <w:rFonts w:ascii="Times New Roman" w:hAnsi="Times New Roman"/>
                <w:color w:val="000000"/>
              </w:rPr>
              <w:t>2</w:t>
            </w:r>
            <w:r w:rsidR="001C79C8" w:rsidRPr="000C43D3">
              <w:rPr>
                <w:rFonts w:ascii="Times New Roman" w:hAnsi="Times New Roman"/>
                <w:color w:val="000000"/>
              </w:rPr>
              <w:t> </w:t>
            </w:r>
            <w:r w:rsidRPr="000C43D3">
              <w:rPr>
                <w:rFonts w:ascii="Times New Roman" w:hAnsi="Times New Roman"/>
                <w:color w:val="000000"/>
              </w:rPr>
              <w:t xml:space="preserve">cm </w:t>
            </w:r>
          </w:p>
          <w:p w14:paraId="64100755" w14:textId="77777777" w:rsidR="00D875C0" w:rsidRPr="007C1A06" w:rsidRDefault="00D875C0" w:rsidP="001C79C8">
            <w:pPr>
              <w:autoSpaceDE w:val="0"/>
              <w:autoSpaceDN w:val="0"/>
              <w:adjustRightInd w:val="0"/>
              <w:spacing w:after="0" w:line="240" w:lineRule="auto"/>
              <w:rPr>
                <w:rFonts w:ascii="Times New Roman" w:hAnsi="Times New Roman"/>
                <w:b/>
                <w:color w:val="000000"/>
              </w:rPr>
            </w:pPr>
            <w:r w:rsidRPr="00C722B4">
              <w:rPr>
                <w:rFonts w:ascii="Times New Roman" w:hAnsi="Times New Roman"/>
                <w:color w:val="000000"/>
              </w:rPr>
              <w:t>&gt;</w:t>
            </w:r>
            <w:r w:rsidR="001C79C8" w:rsidRPr="007C1A06">
              <w:rPr>
                <w:rFonts w:ascii="Times New Roman" w:hAnsi="Times New Roman"/>
                <w:color w:val="000000"/>
              </w:rPr>
              <w:t> </w:t>
            </w:r>
            <w:r w:rsidRPr="007C1A06">
              <w:rPr>
                <w:rFonts w:ascii="Times New Roman" w:hAnsi="Times New Roman"/>
                <w:color w:val="000000"/>
              </w:rPr>
              <w:t>2</w:t>
            </w:r>
            <w:r w:rsidR="001C79C8" w:rsidRPr="007C1A06">
              <w:rPr>
                <w:rFonts w:ascii="Times New Roman" w:hAnsi="Times New Roman"/>
                <w:color w:val="000000"/>
              </w:rPr>
              <w:t> </w:t>
            </w:r>
            <w:r w:rsidRPr="007C1A06">
              <w:rPr>
                <w:rFonts w:ascii="Times New Roman" w:hAnsi="Times New Roman"/>
                <w:color w:val="000000"/>
              </w:rPr>
              <w:t xml:space="preserve">cm </w:t>
            </w:r>
          </w:p>
        </w:tc>
        <w:tc>
          <w:tcPr>
            <w:tcW w:w="3095" w:type="dxa"/>
            <w:shd w:val="clear" w:color="auto" w:fill="auto"/>
          </w:tcPr>
          <w:p w14:paraId="55F63892" w14:textId="77777777" w:rsidR="00D875C0" w:rsidRPr="007C1A06" w:rsidRDefault="00D875C0" w:rsidP="003876F8">
            <w:pPr>
              <w:autoSpaceDE w:val="0"/>
              <w:autoSpaceDN w:val="0"/>
              <w:adjustRightInd w:val="0"/>
              <w:spacing w:after="0" w:line="240" w:lineRule="auto"/>
              <w:rPr>
                <w:rFonts w:ascii="Times New Roman" w:hAnsi="Times New Roman"/>
                <w:i/>
              </w:rPr>
            </w:pPr>
          </w:p>
          <w:p w14:paraId="61E51A12"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285</w:t>
            </w:r>
          </w:p>
          <w:p w14:paraId="2D2606FF"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i/>
                <w:lang w:eastAsia="zh-TW"/>
              </w:rPr>
            </w:pPr>
            <w:r w:rsidRPr="007C1A06">
              <w:rPr>
                <w:rFonts w:ascii="Times New Roman" w:hAnsi="Times New Roman"/>
              </w:rPr>
              <w:t>254</w:t>
            </w:r>
          </w:p>
        </w:tc>
        <w:tc>
          <w:tcPr>
            <w:tcW w:w="1470" w:type="dxa"/>
            <w:shd w:val="clear" w:color="auto" w:fill="auto"/>
          </w:tcPr>
          <w:p w14:paraId="26E7320A" w14:textId="77777777" w:rsidR="00D875C0" w:rsidRPr="007C1A06" w:rsidRDefault="00D875C0" w:rsidP="003876F8">
            <w:pPr>
              <w:autoSpaceDE w:val="0"/>
              <w:autoSpaceDN w:val="0"/>
              <w:adjustRightInd w:val="0"/>
              <w:spacing w:after="0" w:line="240" w:lineRule="auto"/>
              <w:rPr>
                <w:rFonts w:ascii="Times New Roman" w:hAnsi="Times New Roman"/>
              </w:rPr>
            </w:pPr>
          </w:p>
          <w:p w14:paraId="0E777577"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0,69</w:t>
            </w:r>
          </w:p>
          <w:p w14:paraId="17E202D1"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0,68</w:t>
            </w:r>
          </w:p>
        </w:tc>
        <w:tc>
          <w:tcPr>
            <w:tcW w:w="1626" w:type="dxa"/>
            <w:shd w:val="clear" w:color="auto" w:fill="auto"/>
          </w:tcPr>
          <w:p w14:paraId="5492C253" w14:textId="77777777" w:rsidR="00D875C0" w:rsidRPr="007C1A06" w:rsidRDefault="00D875C0" w:rsidP="003876F8">
            <w:pPr>
              <w:autoSpaceDE w:val="0"/>
              <w:autoSpaceDN w:val="0"/>
              <w:adjustRightInd w:val="0"/>
              <w:spacing w:after="0" w:line="240" w:lineRule="auto"/>
              <w:rPr>
                <w:rFonts w:ascii="Times New Roman" w:hAnsi="Times New Roman"/>
                <w:i/>
              </w:rPr>
            </w:pPr>
          </w:p>
          <w:p w14:paraId="1D35BF0C"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color w:val="000000"/>
                <w:lang w:eastAsia="zh-TW"/>
              </w:rPr>
            </w:pPr>
            <w:r w:rsidRPr="007C1A06">
              <w:rPr>
                <w:rFonts w:ascii="Times New Roman" w:hAnsi="Times New Roman"/>
                <w:color w:val="000000"/>
              </w:rPr>
              <w:t>0,43</w:t>
            </w:r>
            <w:r w:rsidR="001C79C8" w:rsidRPr="007C1A06">
              <w:rPr>
                <w:rFonts w:ascii="Times New Roman" w:hAnsi="Times New Roman"/>
                <w:color w:val="000000"/>
              </w:rPr>
              <w:noBreakHyphen/>
            </w:r>
            <w:r w:rsidRPr="007C1A06">
              <w:rPr>
                <w:rFonts w:ascii="Times New Roman" w:hAnsi="Times New Roman"/>
                <w:color w:val="000000"/>
              </w:rPr>
              <w:t>1,1</w:t>
            </w:r>
          </w:p>
          <w:p w14:paraId="31EF017B" w14:textId="77777777" w:rsidR="00D875C0" w:rsidRPr="004E3CD5" w:rsidRDefault="00D875C0" w:rsidP="001C79C8">
            <w:pPr>
              <w:autoSpaceDE w:val="0"/>
              <w:autoSpaceDN w:val="0"/>
              <w:adjustRightInd w:val="0"/>
              <w:spacing w:after="0" w:line="240" w:lineRule="auto"/>
              <w:jc w:val="center"/>
              <w:rPr>
                <w:rFonts w:ascii="Times New Roman" w:eastAsiaTheme="minorEastAsia" w:hAnsi="Times New Roman"/>
                <w:i/>
                <w:lang w:eastAsia="zh-TW"/>
              </w:rPr>
            </w:pPr>
            <w:r w:rsidRPr="007C1A06">
              <w:rPr>
                <w:rFonts w:ascii="Times New Roman" w:hAnsi="Times New Roman"/>
                <w:color w:val="000000"/>
              </w:rPr>
              <w:t>0,45</w:t>
            </w:r>
            <w:r w:rsidR="001C79C8" w:rsidRPr="007C1A06">
              <w:rPr>
                <w:rFonts w:ascii="Times New Roman" w:hAnsi="Times New Roman"/>
                <w:color w:val="000000"/>
              </w:rPr>
              <w:noBreakHyphen/>
            </w:r>
            <w:r w:rsidRPr="007C1A06">
              <w:rPr>
                <w:rFonts w:ascii="Times New Roman" w:hAnsi="Times New Roman"/>
                <w:color w:val="000000"/>
              </w:rPr>
              <w:t>1,04</w:t>
            </w:r>
          </w:p>
        </w:tc>
      </w:tr>
      <w:tr w:rsidR="00D875C0" w:rsidRPr="007C1A06" w14:paraId="391618D4" w14:textId="77777777" w:rsidTr="004E3CD5">
        <w:tc>
          <w:tcPr>
            <w:tcW w:w="3095" w:type="dxa"/>
            <w:shd w:val="clear" w:color="auto" w:fill="auto"/>
          </w:tcPr>
          <w:p w14:paraId="0205D22F" w14:textId="77777777" w:rsidR="00D875C0" w:rsidRPr="001F2C46" w:rsidRDefault="00D875C0" w:rsidP="003876F8">
            <w:pPr>
              <w:autoSpaceDE w:val="0"/>
              <w:autoSpaceDN w:val="0"/>
              <w:adjustRightInd w:val="0"/>
              <w:spacing w:after="0" w:line="240" w:lineRule="auto"/>
              <w:rPr>
                <w:rFonts w:ascii="Times New Roman" w:hAnsi="Times New Roman"/>
                <w:b/>
                <w:color w:val="000000"/>
              </w:rPr>
            </w:pPr>
            <w:r w:rsidRPr="00F95B76">
              <w:rPr>
                <w:rFonts w:ascii="Times New Roman" w:hAnsi="Times New Roman"/>
                <w:b/>
                <w:color w:val="000000"/>
              </w:rPr>
              <w:t>Histologinis laipsnis</w:t>
            </w:r>
          </w:p>
          <w:p w14:paraId="345CFCB6" w14:textId="77777777" w:rsidR="00D875C0" w:rsidRPr="00427D92" w:rsidRDefault="00D875C0" w:rsidP="003876F8">
            <w:pPr>
              <w:autoSpaceDE w:val="0"/>
              <w:autoSpaceDN w:val="0"/>
              <w:adjustRightInd w:val="0"/>
              <w:spacing w:after="0" w:line="240" w:lineRule="auto"/>
              <w:rPr>
                <w:rFonts w:ascii="Times New Roman" w:hAnsi="Times New Roman"/>
                <w:color w:val="000000"/>
              </w:rPr>
            </w:pPr>
            <w:r w:rsidRPr="00427D92">
              <w:rPr>
                <w:rFonts w:ascii="Times New Roman" w:hAnsi="Times New Roman"/>
                <w:color w:val="000000"/>
              </w:rPr>
              <w:t>1</w:t>
            </w:r>
            <w:r w:rsidR="001C79C8" w:rsidRPr="00427D92">
              <w:rPr>
                <w:rFonts w:ascii="Times New Roman" w:hAnsi="Times New Roman"/>
                <w:color w:val="000000"/>
              </w:rPr>
              <w:t> </w:t>
            </w:r>
            <w:r w:rsidRPr="00427D92">
              <w:rPr>
                <w:rFonts w:ascii="Times New Roman" w:hAnsi="Times New Roman"/>
                <w:color w:val="000000"/>
              </w:rPr>
              <w:t>laipsnis (įskaitant</w:t>
            </w:r>
          </w:p>
          <w:p w14:paraId="6E57AF54" w14:textId="77777777" w:rsidR="00D875C0" w:rsidRPr="00C722B4" w:rsidRDefault="00D875C0" w:rsidP="003876F8">
            <w:pPr>
              <w:autoSpaceDE w:val="0"/>
              <w:autoSpaceDN w:val="0"/>
              <w:adjustRightInd w:val="0"/>
              <w:spacing w:after="0" w:line="240" w:lineRule="auto"/>
              <w:rPr>
                <w:rFonts w:ascii="Times New Roman" w:hAnsi="Times New Roman"/>
                <w:color w:val="000000"/>
              </w:rPr>
            </w:pPr>
            <w:r w:rsidRPr="00C722B4">
              <w:rPr>
                <w:rFonts w:ascii="Times New Roman" w:hAnsi="Times New Roman"/>
                <w:color w:val="000000"/>
              </w:rPr>
              <w:t>neįvertinamą laipsnį)</w:t>
            </w:r>
          </w:p>
          <w:p w14:paraId="34EE18DC" w14:textId="77777777" w:rsidR="00D875C0" w:rsidRPr="007C1A06" w:rsidRDefault="00D875C0" w:rsidP="003876F8">
            <w:pPr>
              <w:autoSpaceDE w:val="0"/>
              <w:autoSpaceDN w:val="0"/>
              <w:adjustRightInd w:val="0"/>
              <w:spacing w:after="0" w:line="240" w:lineRule="auto"/>
              <w:rPr>
                <w:rFonts w:ascii="Times New Roman" w:hAnsi="Times New Roman"/>
                <w:color w:val="000000"/>
              </w:rPr>
            </w:pPr>
            <w:r w:rsidRPr="007C1A06">
              <w:rPr>
                <w:rFonts w:ascii="Times New Roman" w:hAnsi="Times New Roman"/>
                <w:color w:val="000000"/>
              </w:rPr>
              <w:t>2</w:t>
            </w:r>
            <w:r w:rsidR="001C79C8" w:rsidRPr="007C1A06">
              <w:rPr>
                <w:rFonts w:ascii="Times New Roman" w:hAnsi="Times New Roman"/>
                <w:color w:val="000000"/>
              </w:rPr>
              <w:t> </w:t>
            </w:r>
            <w:r w:rsidRPr="007C1A06">
              <w:rPr>
                <w:rFonts w:ascii="Times New Roman" w:hAnsi="Times New Roman"/>
                <w:color w:val="000000"/>
              </w:rPr>
              <w:t xml:space="preserve">laipsnis </w:t>
            </w:r>
          </w:p>
          <w:p w14:paraId="2D3C86C4" w14:textId="77777777" w:rsidR="00D875C0" w:rsidRPr="007C1A06" w:rsidRDefault="00D875C0" w:rsidP="001C79C8">
            <w:pPr>
              <w:autoSpaceDE w:val="0"/>
              <w:autoSpaceDN w:val="0"/>
              <w:adjustRightInd w:val="0"/>
              <w:spacing w:after="0" w:line="240" w:lineRule="auto"/>
              <w:rPr>
                <w:rFonts w:ascii="Times New Roman" w:hAnsi="Times New Roman"/>
                <w:b/>
                <w:color w:val="000000"/>
              </w:rPr>
            </w:pPr>
            <w:r w:rsidRPr="007C1A06">
              <w:rPr>
                <w:rFonts w:ascii="Times New Roman" w:hAnsi="Times New Roman"/>
                <w:color w:val="000000"/>
              </w:rPr>
              <w:t>3</w:t>
            </w:r>
            <w:r w:rsidR="001C79C8" w:rsidRPr="007C1A06">
              <w:rPr>
                <w:rFonts w:ascii="Times New Roman" w:hAnsi="Times New Roman"/>
                <w:color w:val="000000"/>
              </w:rPr>
              <w:t> </w:t>
            </w:r>
            <w:r w:rsidRPr="007C1A06">
              <w:rPr>
                <w:rFonts w:ascii="Times New Roman" w:hAnsi="Times New Roman"/>
                <w:color w:val="000000"/>
              </w:rPr>
              <w:t xml:space="preserve">laipsnis </w:t>
            </w:r>
          </w:p>
        </w:tc>
        <w:tc>
          <w:tcPr>
            <w:tcW w:w="3095" w:type="dxa"/>
            <w:shd w:val="clear" w:color="auto" w:fill="auto"/>
          </w:tcPr>
          <w:p w14:paraId="060AD4B0" w14:textId="77777777" w:rsidR="00D875C0" w:rsidRPr="007C1A06" w:rsidRDefault="00D875C0" w:rsidP="003876F8">
            <w:pPr>
              <w:autoSpaceDE w:val="0"/>
              <w:autoSpaceDN w:val="0"/>
              <w:adjustRightInd w:val="0"/>
              <w:spacing w:after="0" w:line="240" w:lineRule="auto"/>
              <w:rPr>
                <w:rFonts w:ascii="Times New Roman" w:hAnsi="Times New Roman"/>
              </w:rPr>
            </w:pPr>
          </w:p>
          <w:p w14:paraId="688E225A"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64</w:t>
            </w:r>
          </w:p>
          <w:p w14:paraId="2FC8BC4D" w14:textId="77777777" w:rsidR="00D875C0" w:rsidRPr="007C1A06" w:rsidRDefault="00D875C0" w:rsidP="003876F8">
            <w:pPr>
              <w:autoSpaceDE w:val="0"/>
              <w:autoSpaceDN w:val="0"/>
              <w:adjustRightInd w:val="0"/>
              <w:spacing w:after="0" w:line="240" w:lineRule="auto"/>
              <w:jc w:val="center"/>
              <w:rPr>
                <w:rFonts w:ascii="Times New Roman" w:hAnsi="Times New Roman"/>
              </w:rPr>
            </w:pPr>
          </w:p>
          <w:p w14:paraId="42EC9523"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216</w:t>
            </w:r>
          </w:p>
          <w:p w14:paraId="09223E47"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259</w:t>
            </w:r>
          </w:p>
        </w:tc>
        <w:tc>
          <w:tcPr>
            <w:tcW w:w="1470" w:type="dxa"/>
            <w:shd w:val="clear" w:color="auto" w:fill="auto"/>
          </w:tcPr>
          <w:p w14:paraId="01BBE61D" w14:textId="77777777" w:rsidR="00D875C0" w:rsidRPr="007C1A06" w:rsidRDefault="00D875C0" w:rsidP="003876F8">
            <w:pPr>
              <w:autoSpaceDE w:val="0"/>
              <w:autoSpaceDN w:val="0"/>
              <w:adjustRightInd w:val="0"/>
              <w:spacing w:after="0" w:line="240" w:lineRule="auto"/>
              <w:rPr>
                <w:rFonts w:ascii="Times New Roman" w:hAnsi="Times New Roman"/>
              </w:rPr>
            </w:pPr>
          </w:p>
          <w:p w14:paraId="2077A27B"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color w:val="000000"/>
                <w:lang w:eastAsia="zh-TW"/>
              </w:rPr>
            </w:pPr>
            <w:r w:rsidRPr="007C1A06">
              <w:rPr>
                <w:rFonts w:ascii="Times New Roman" w:hAnsi="Times New Roman"/>
                <w:color w:val="000000"/>
              </w:rPr>
              <w:t>0,79</w:t>
            </w:r>
          </w:p>
          <w:p w14:paraId="28A10827" w14:textId="77777777" w:rsidR="00D875C0" w:rsidRPr="007C1A06" w:rsidRDefault="00D875C0" w:rsidP="003876F8">
            <w:pPr>
              <w:autoSpaceDE w:val="0"/>
              <w:autoSpaceDN w:val="0"/>
              <w:adjustRightInd w:val="0"/>
              <w:spacing w:after="0" w:line="240" w:lineRule="auto"/>
              <w:jc w:val="center"/>
              <w:rPr>
                <w:rFonts w:ascii="Times New Roman" w:hAnsi="Times New Roman"/>
                <w:color w:val="000000"/>
              </w:rPr>
            </w:pPr>
          </w:p>
          <w:p w14:paraId="44C284E1"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color w:val="000000"/>
                <w:lang w:eastAsia="zh-TW"/>
              </w:rPr>
            </w:pPr>
            <w:r w:rsidRPr="007C1A06">
              <w:rPr>
                <w:rFonts w:ascii="Times New Roman" w:hAnsi="Times New Roman"/>
                <w:color w:val="000000"/>
              </w:rPr>
              <w:t>0,77</w:t>
            </w:r>
          </w:p>
          <w:p w14:paraId="757074DE"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color w:val="000000"/>
              </w:rPr>
              <w:t>0,59</w:t>
            </w:r>
          </w:p>
        </w:tc>
        <w:tc>
          <w:tcPr>
            <w:tcW w:w="1626" w:type="dxa"/>
            <w:shd w:val="clear" w:color="auto" w:fill="auto"/>
          </w:tcPr>
          <w:p w14:paraId="76404D46" w14:textId="77777777" w:rsidR="00D875C0" w:rsidRPr="007C1A06" w:rsidRDefault="00D875C0" w:rsidP="003876F8">
            <w:pPr>
              <w:autoSpaceDE w:val="0"/>
              <w:autoSpaceDN w:val="0"/>
              <w:adjustRightInd w:val="0"/>
              <w:spacing w:after="0" w:line="240" w:lineRule="auto"/>
              <w:rPr>
                <w:rFonts w:ascii="Times New Roman" w:hAnsi="Times New Roman"/>
              </w:rPr>
            </w:pPr>
          </w:p>
          <w:p w14:paraId="1BE17489"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color w:val="000000"/>
                <w:lang w:eastAsia="zh-TW"/>
              </w:rPr>
            </w:pPr>
            <w:r w:rsidRPr="007C1A06">
              <w:rPr>
                <w:rFonts w:ascii="Times New Roman" w:hAnsi="Times New Roman"/>
                <w:color w:val="000000"/>
              </w:rPr>
              <w:t>0,24</w:t>
            </w:r>
            <w:r w:rsidR="001C79C8" w:rsidRPr="007C1A06">
              <w:rPr>
                <w:rFonts w:ascii="Times New Roman" w:hAnsi="Times New Roman"/>
                <w:color w:val="000000"/>
              </w:rPr>
              <w:noBreakHyphen/>
            </w:r>
            <w:r w:rsidRPr="007C1A06">
              <w:rPr>
                <w:rFonts w:ascii="Times New Roman" w:hAnsi="Times New Roman"/>
                <w:color w:val="000000"/>
              </w:rPr>
              <w:t>2,6</w:t>
            </w:r>
          </w:p>
          <w:p w14:paraId="33407A38" w14:textId="77777777" w:rsidR="00D875C0" w:rsidRPr="007C1A06" w:rsidRDefault="00D875C0" w:rsidP="003876F8">
            <w:pPr>
              <w:autoSpaceDE w:val="0"/>
              <w:autoSpaceDN w:val="0"/>
              <w:adjustRightInd w:val="0"/>
              <w:spacing w:after="0" w:line="240" w:lineRule="auto"/>
              <w:jc w:val="center"/>
              <w:rPr>
                <w:rFonts w:ascii="Times New Roman" w:hAnsi="Times New Roman"/>
                <w:color w:val="000000"/>
              </w:rPr>
            </w:pPr>
          </w:p>
          <w:p w14:paraId="4B9D9700"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color w:val="000000"/>
                <w:lang w:eastAsia="zh-TW"/>
              </w:rPr>
            </w:pPr>
            <w:r w:rsidRPr="007C1A06">
              <w:rPr>
                <w:rFonts w:ascii="Times New Roman" w:hAnsi="Times New Roman"/>
                <w:color w:val="000000"/>
              </w:rPr>
              <w:t>0,46</w:t>
            </w:r>
            <w:r w:rsidR="001C79C8" w:rsidRPr="007C1A06">
              <w:rPr>
                <w:rFonts w:ascii="Times New Roman" w:hAnsi="Times New Roman"/>
                <w:color w:val="000000"/>
              </w:rPr>
              <w:noBreakHyphen/>
            </w:r>
            <w:r w:rsidRPr="007C1A06">
              <w:rPr>
                <w:rFonts w:ascii="Times New Roman" w:hAnsi="Times New Roman"/>
                <w:color w:val="000000"/>
              </w:rPr>
              <w:t>1,3</w:t>
            </w:r>
          </w:p>
          <w:p w14:paraId="77B6C0F9" w14:textId="77777777" w:rsidR="00D875C0" w:rsidRPr="004E3CD5" w:rsidRDefault="00D875C0" w:rsidP="001C79C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color w:val="000000"/>
              </w:rPr>
              <w:t>0,39</w:t>
            </w:r>
            <w:r w:rsidR="001C79C8" w:rsidRPr="007C1A06">
              <w:rPr>
                <w:rFonts w:ascii="Times New Roman" w:hAnsi="Times New Roman"/>
                <w:color w:val="000000"/>
              </w:rPr>
              <w:noBreakHyphen/>
            </w:r>
            <w:r w:rsidRPr="007C1A06">
              <w:rPr>
                <w:rFonts w:ascii="Times New Roman" w:hAnsi="Times New Roman"/>
                <w:color w:val="000000"/>
              </w:rPr>
              <w:t>0,9</w:t>
            </w:r>
          </w:p>
        </w:tc>
      </w:tr>
      <w:tr w:rsidR="00D875C0" w:rsidRPr="007C1A06" w14:paraId="335AC493" w14:textId="77777777" w:rsidTr="004E3CD5">
        <w:tc>
          <w:tcPr>
            <w:tcW w:w="3095" w:type="dxa"/>
            <w:shd w:val="clear" w:color="auto" w:fill="auto"/>
          </w:tcPr>
          <w:p w14:paraId="1FC346F9" w14:textId="77777777" w:rsidR="00D875C0" w:rsidRPr="001F2C46" w:rsidRDefault="00D875C0" w:rsidP="003876F8">
            <w:pPr>
              <w:autoSpaceDE w:val="0"/>
              <w:autoSpaceDN w:val="0"/>
              <w:adjustRightInd w:val="0"/>
              <w:spacing w:after="0" w:line="240" w:lineRule="auto"/>
              <w:rPr>
                <w:rFonts w:ascii="Times New Roman" w:hAnsi="Times New Roman"/>
                <w:b/>
                <w:color w:val="000000"/>
              </w:rPr>
            </w:pPr>
            <w:r w:rsidRPr="00F95B76">
              <w:rPr>
                <w:rFonts w:ascii="Times New Roman" w:hAnsi="Times New Roman"/>
                <w:b/>
                <w:color w:val="000000"/>
              </w:rPr>
              <w:t>Menopauzė</w:t>
            </w:r>
          </w:p>
          <w:p w14:paraId="21867CA6" w14:textId="77777777" w:rsidR="00D875C0" w:rsidRPr="00427D92" w:rsidRDefault="00D875C0" w:rsidP="003876F8">
            <w:pPr>
              <w:autoSpaceDE w:val="0"/>
              <w:autoSpaceDN w:val="0"/>
              <w:adjustRightInd w:val="0"/>
              <w:spacing w:after="0" w:line="240" w:lineRule="auto"/>
              <w:rPr>
                <w:rFonts w:ascii="Times New Roman" w:hAnsi="Times New Roman"/>
                <w:color w:val="000000"/>
              </w:rPr>
            </w:pPr>
            <w:r w:rsidRPr="00427D92">
              <w:rPr>
                <w:rFonts w:ascii="Times New Roman" w:hAnsi="Times New Roman"/>
                <w:color w:val="000000"/>
              </w:rPr>
              <w:t xml:space="preserve">Premenopauzė </w:t>
            </w:r>
          </w:p>
          <w:p w14:paraId="3F68BD01" w14:textId="77777777" w:rsidR="00D875C0" w:rsidRPr="007C1A06" w:rsidRDefault="00D875C0" w:rsidP="003876F8">
            <w:pPr>
              <w:autoSpaceDE w:val="0"/>
              <w:autoSpaceDN w:val="0"/>
              <w:adjustRightInd w:val="0"/>
              <w:spacing w:after="0" w:line="240" w:lineRule="auto"/>
              <w:rPr>
                <w:rFonts w:ascii="Times New Roman" w:hAnsi="Times New Roman"/>
                <w:b/>
                <w:color w:val="000000"/>
              </w:rPr>
            </w:pPr>
            <w:r w:rsidRPr="00C722B4">
              <w:rPr>
                <w:rFonts w:ascii="Times New Roman" w:hAnsi="Times New Roman"/>
                <w:color w:val="000000"/>
              </w:rPr>
              <w:t xml:space="preserve">Pomenopauzė </w:t>
            </w:r>
          </w:p>
        </w:tc>
        <w:tc>
          <w:tcPr>
            <w:tcW w:w="3095" w:type="dxa"/>
            <w:shd w:val="clear" w:color="auto" w:fill="auto"/>
          </w:tcPr>
          <w:p w14:paraId="30279AE4" w14:textId="77777777" w:rsidR="00D875C0" w:rsidRPr="007C1A06" w:rsidRDefault="00D875C0" w:rsidP="003876F8">
            <w:pPr>
              <w:autoSpaceDE w:val="0"/>
              <w:autoSpaceDN w:val="0"/>
              <w:adjustRightInd w:val="0"/>
              <w:spacing w:after="0" w:line="240" w:lineRule="auto"/>
              <w:rPr>
                <w:rFonts w:ascii="Times New Roman" w:hAnsi="Times New Roman"/>
                <w:i/>
              </w:rPr>
            </w:pPr>
          </w:p>
          <w:p w14:paraId="7A6DFA43"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285</w:t>
            </w:r>
          </w:p>
          <w:p w14:paraId="6826C995"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254</w:t>
            </w:r>
          </w:p>
        </w:tc>
        <w:tc>
          <w:tcPr>
            <w:tcW w:w="1470" w:type="dxa"/>
            <w:shd w:val="clear" w:color="auto" w:fill="auto"/>
          </w:tcPr>
          <w:p w14:paraId="3310530A" w14:textId="77777777" w:rsidR="00D875C0" w:rsidRPr="007C1A06" w:rsidRDefault="00D875C0" w:rsidP="003876F8">
            <w:pPr>
              <w:autoSpaceDE w:val="0"/>
              <w:autoSpaceDN w:val="0"/>
              <w:adjustRightInd w:val="0"/>
              <w:spacing w:after="0" w:line="240" w:lineRule="auto"/>
              <w:rPr>
                <w:rFonts w:ascii="Times New Roman" w:hAnsi="Times New Roman"/>
              </w:rPr>
            </w:pPr>
          </w:p>
          <w:p w14:paraId="144E6E6B"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0,64</w:t>
            </w:r>
          </w:p>
          <w:p w14:paraId="1FEEB2CC"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0,72</w:t>
            </w:r>
          </w:p>
        </w:tc>
        <w:tc>
          <w:tcPr>
            <w:tcW w:w="1626" w:type="dxa"/>
            <w:shd w:val="clear" w:color="auto" w:fill="auto"/>
          </w:tcPr>
          <w:p w14:paraId="234E113B" w14:textId="77777777" w:rsidR="00D875C0" w:rsidRPr="007C1A06" w:rsidRDefault="00D875C0" w:rsidP="003876F8">
            <w:pPr>
              <w:autoSpaceDE w:val="0"/>
              <w:autoSpaceDN w:val="0"/>
              <w:adjustRightInd w:val="0"/>
              <w:spacing w:after="0" w:line="240" w:lineRule="auto"/>
              <w:rPr>
                <w:rFonts w:ascii="Times New Roman" w:hAnsi="Times New Roman"/>
                <w:i/>
              </w:rPr>
            </w:pPr>
          </w:p>
          <w:p w14:paraId="04F7C51A"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rPr>
              <w:t>0,40</w:t>
            </w:r>
            <w:r w:rsidR="001C79C8" w:rsidRPr="007C1A06">
              <w:rPr>
                <w:rFonts w:ascii="Times New Roman" w:hAnsi="Times New Roman"/>
              </w:rPr>
              <w:noBreakHyphen/>
            </w:r>
            <w:r w:rsidRPr="007C1A06">
              <w:rPr>
                <w:rFonts w:ascii="Times New Roman" w:hAnsi="Times New Roman"/>
              </w:rPr>
              <w:t>1</w:t>
            </w:r>
          </w:p>
          <w:p w14:paraId="3051208E" w14:textId="77777777" w:rsidR="00D875C0" w:rsidRPr="004E3CD5" w:rsidRDefault="00D875C0" w:rsidP="001C79C8">
            <w:pPr>
              <w:autoSpaceDE w:val="0"/>
              <w:autoSpaceDN w:val="0"/>
              <w:adjustRightInd w:val="0"/>
              <w:spacing w:after="0" w:line="240" w:lineRule="auto"/>
              <w:jc w:val="center"/>
              <w:rPr>
                <w:rFonts w:ascii="Times New Roman" w:eastAsiaTheme="minorEastAsia" w:hAnsi="Times New Roman"/>
                <w:i/>
                <w:lang w:eastAsia="zh-TW"/>
              </w:rPr>
            </w:pPr>
            <w:r w:rsidRPr="007C1A06">
              <w:rPr>
                <w:rFonts w:ascii="Times New Roman" w:hAnsi="Times New Roman"/>
              </w:rPr>
              <w:t>0,47</w:t>
            </w:r>
            <w:r w:rsidR="001C79C8" w:rsidRPr="007C1A06">
              <w:rPr>
                <w:rFonts w:ascii="Times New Roman" w:hAnsi="Times New Roman"/>
              </w:rPr>
              <w:noBreakHyphen/>
            </w:r>
            <w:r w:rsidRPr="007C1A06">
              <w:rPr>
                <w:rFonts w:ascii="Times New Roman" w:hAnsi="Times New Roman"/>
              </w:rPr>
              <w:t>1,12</w:t>
            </w:r>
          </w:p>
        </w:tc>
      </w:tr>
    </w:tbl>
    <w:p w14:paraId="3C33FED7" w14:textId="77777777" w:rsidR="00D875C0" w:rsidRPr="001F2C46" w:rsidRDefault="00D875C0" w:rsidP="00D875C0">
      <w:pPr>
        <w:autoSpaceDE w:val="0"/>
        <w:autoSpaceDN w:val="0"/>
        <w:adjustRightInd w:val="0"/>
        <w:spacing w:after="0" w:line="240" w:lineRule="auto"/>
        <w:rPr>
          <w:rFonts w:ascii="Times New Roman" w:hAnsi="Times New Roman"/>
          <w:color w:val="000000"/>
        </w:rPr>
      </w:pPr>
      <w:r w:rsidRPr="00F95B76">
        <w:rPr>
          <w:rFonts w:ascii="Times New Roman" w:hAnsi="Times New Roman"/>
          <w:color w:val="000000"/>
        </w:rPr>
        <w:t>*rizikos koeficientas (TAC/FAC) mažiau nei 1 rodo, kad</w:t>
      </w:r>
      <w:r w:rsidRPr="001F2C46">
        <w:rPr>
          <w:rFonts w:ascii="Times New Roman" w:hAnsi="Times New Roman"/>
          <w:color w:val="000000"/>
        </w:rPr>
        <w:t xml:space="preserve"> gydymas TAC susijęs su ilgesniu be ligos reiškinių išgyventu laikotarpiu lyginant su gydymu FAC.</w:t>
      </w:r>
    </w:p>
    <w:p w14:paraId="31C443DD" w14:textId="77777777" w:rsidR="00D875C0" w:rsidRPr="00427D92" w:rsidRDefault="00D875C0" w:rsidP="00D875C0">
      <w:pPr>
        <w:autoSpaceDE w:val="0"/>
        <w:autoSpaceDN w:val="0"/>
        <w:adjustRightInd w:val="0"/>
        <w:spacing w:after="0" w:line="240" w:lineRule="auto"/>
        <w:rPr>
          <w:rFonts w:ascii="Times New Roman" w:hAnsi="Times New Roman"/>
        </w:rPr>
      </w:pPr>
    </w:p>
    <w:p w14:paraId="516C533F" w14:textId="77777777" w:rsidR="00D875C0" w:rsidRPr="007C1A06" w:rsidRDefault="00D875C0" w:rsidP="00D875C0">
      <w:pPr>
        <w:autoSpaceDE w:val="0"/>
        <w:autoSpaceDN w:val="0"/>
        <w:adjustRightInd w:val="0"/>
        <w:spacing w:after="0" w:line="240" w:lineRule="auto"/>
        <w:rPr>
          <w:rFonts w:ascii="Times New Roman" w:hAnsi="Times New Roman"/>
          <w:color w:val="000000"/>
          <w:u w:val="single"/>
        </w:rPr>
      </w:pPr>
      <w:r w:rsidRPr="00C722B4">
        <w:rPr>
          <w:rFonts w:ascii="Times New Roman" w:hAnsi="Times New Roman"/>
          <w:color w:val="000000"/>
          <w:u w:val="single"/>
        </w:rPr>
        <w:t xml:space="preserve">Atlikta pacienčių, kurios atitiko 2009 </w:t>
      </w:r>
      <w:r w:rsidRPr="007C1A06">
        <w:rPr>
          <w:rFonts w:ascii="Times New Roman" w:hAnsi="Times New Roman"/>
          <w:i/>
          <w:color w:val="000000"/>
          <w:u w:val="single"/>
        </w:rPr>
        <w:t xml:space="preserve">St. Gallen </w:t>
      </w:r>
      <w:r w:rsidRPr="007C1A06">
        <w:rPr>
          <w:rFonts w:ascii="Times New Roman" w:hAnsi="Times New Roman"/>
          <w:color w:val="000000"/>
          <w:u w:val="single"/>
        </w:rPr>
        <w:t>chemoterapijos kriterijus išplėstinė pogrupių analizė – (Tyrimą baigusių pacienčių duomenų analizė) pateikta žemiau</w:t>
      </w:r>
    </w:p>
    <w:p w14:paraId="43C2692F" w14:textId="77777777" w:rsidR="00D875C0" w:rsidRPr="007C1A06" w:rsidRDefault="00D875C0" w:rsidP="00D875C0">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799"/>
        <w:gridCol w:w="1799"/>
        <w:gridCol w:w="1828"/>
        <w:gridCol w:w="1798"/>
      </w:tblGrid>
      <w:tr w:rsidR="00F95B76" w:rsidRPr="007C1A06" w14:paraId="7CB314E8" w14:textId="77777777" w:rsidTr="003876F8">
        <w:tc>
          <w:tcPr>
            <w:tcW w:w="1857" w:type="dxa"/>
            <w:shd w:val="clear" w:color="auto" w:fill="auto"/>
          </w:tcPr>
          <w:p w14:paraId="144A0CFD" w14:textId="77777777" w:rsidR="00D875C0" w:rsidRPr="007C1A06" w:rsidRDefault="00D875C0" w:rsidP="003876F8">
            <w:pPr>
              <w:autoSpaceDE w:val="0"/>
              <w:autoSpaceDN w:val="0"/>
              <w:adjustRightInd w:val="0"/>
              <w:spacing w:after="0" w:line="240" w:lineRule="auto"/>
              <w:rPr>
                <w:rFonts w:ascii="Times New Roman" w:hAnsi="Times New Roman"/>
                <w:b/>
              </w:rPr>
            </w:pPr>
          </w:p>
          <w:p w14:paraId="77E10260"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Pogrupiai</w:t>
            </w:r>
          </w:p>
        </w:tc>
        <w:tc>
          <w:tcPr>
            <w:tcW w:w="1857" w:type="dxa"/>
            <w:shd w:val="clear" w:color="auto" w:fill="auto"/>
          </w:tcPr>
          <w:p w14:paraId="0E250D1F"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b/>
                <w:lang w:eastAsia="zh-TW"/>
              </w:rPr>
            </w:pPr>
            <w:r w:rsidRPr="007C1A06">
              <w:rPr>
                <w:rFonts w:ascii="Times New Roman" w:hAnsi="Times New Roman"/>
                <w:b/>
              </w:rPr>
              <w:t>TAC</w:t>
            </w:r>
          </w:p>
          <w:p w14:paraId="3E7515A2"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color w:val="000000"/>
              </w:rPr>
              <w:t>(n=539)</w:t>
            </w:r>
          </w:p>
        </w:tc>
        <w:tc>
          <w:tcPr>
            <w:tcW w:w="1857" w:type="dxa"/>
            <w:shd w:val="clear" w:color="auto" w:fill="auto"/>
          </w:tcPr>
          <w:p w14:paraId="2CCBCA9C"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b/>
                <w:lang w:eastAsia="zh-TW"/>
              </w:rPr>
            </w:pPr>
            <w:r w:rsidRPr="007C1A06">
              <w:rPr>
                <w:rFonts w:ascii="Times New Roman" w:hAnsi="Times New Roman"/>
                <w:b/>
              </w:rPr>
              <w:t>TAC</w:t>
            </w:r>
          </w:p>
          <w:p w14:paraId="21288596"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b/>
                <w:lang w:eastAsia="zh-TW"/>
              </w:rPr>
            </w:pPr>
            <w:r w:rsidRPr="007C1A06">
              <w:rPr>
                <w:rFonts w:ascii="Times New Roman" w:hAnsi="Times New Roman"/>
                <w:color w:val="000000"/>
              </w:rPr>
              <w:t>(n=521)</w:t>
            </w:r>
          </w:p>
        </w:tc>
        <w:tc>
          <w:tcPr>
            <w:tcW w:w="1857" w:type="dxa"/>
            <w:shd w:val="clear" w:color="auto" w:fill="auto"/>
          </w:tcPr>
          <w:p w14:paraId="2A9986D6"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b/>
                <w:color w:val="000000"/>
                <w:lang w:eastAsia="zh-TW"/>
              </w:rPr>
            </w:pPr>
            <w:r w:rsidRPr="007C1A06">
              <w:rPr>
                <w:rFonts w:ascii="Times New Roman" w:hAnsi="Times New Roman"/>
                <w:b/>
                <w:color w:val="000000"/>
              </w:rPr>
              <w:t>Rizikos koeficientas</w:t>
            </w:r>
          </w:p>
          <w:p w14:paraId="5ED6942F"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b/>
                <w:color w:val="000000"/>
                <w:lang w:eastAsia="zh-TW"/>
              </w:rPr>
            </w:pPr>
            <w:r w:rsidRPr="007C1A06">
              <w:rPr>
                <w:rFonts w:ascii="Times New Roman" w:hAnsi="Times New Roman"/>
                <w:b/>
                <w:color w:val="000000"/>
              </w:rPr>
              <w:t>(TAC/FAC)</w:t>
            </w:r>
          </w:p>
          <w:p w14:paraId="68FFC41C"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color w:val="000000"/>
              </w:rPr>
              <w:t>(95</w:t>
            </w:r>
            <w:r w:rsidR="00C03DAC" w:rsidRPr="007C1A06">
              <w:rPr>
                <w:rFonts w:ascii="Times New Roman" w:hAnsi="Times New Roman"/>
                <w:color w:val="000000"/>
              </w:rPr>
              <w:t> </w:t>
            </w:r>
            <w:r w:rsidRPr="007C1A06">
              <w:rPr>
                <w:rFonts w:ascii="Times New Roman" w:hAnsi="Times New Roman"/>
                <w:color w:val="000000"/>
              </w:rPr>
              <w:t>% PI)</w:t>
            </w:r>
          </w:p>
        </w:tc>
        <w:tc>
          <w:tcPr>
            <w:tcW w:w="1858" w:type="dxa"/>
            <w:shd w:val="clear" w:color="auto" w:fill="auto"/>
          </w:tcPr>
          <w:p w14:paraId="37135BBC"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b/>
                <w:color w:val="000000"/>
              </w:rPr>
              <w:t>p-reikšmė</w:t>
            </w:r>
          </w:p>
        </w:tc>
      </w:tr>
      <w:tr w:rsidR="00F95B76" w:rsidRPr="007C1A06" w14:paraId="525A6FC5" w14:textId="77777777" w:rsidTr="003876F8">
        <w:tc>
          <w:tcPr>
            <w:tcW w:w="1857" w:type="dxa"/>
            <w:shd w:val="clear" w:color="auto" w:fill="auto"/>
          </w:tcPr>
          <w:p w14:paraId="7D3611C5"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color w:val="000000"/>
              </w:rPr>
              <w:t>Santykinis indikacijos chemoterapijai atitikimas</w:t>
            </w:r>
            <w:r w:rsidRPr="001F2C46">
              <w:rPr>
                <w:rFonts w:ascii="Times New Roman" w:hAnsi="Times New Roman"/>
                <w:color w:val="000000"/>
                <w:vertAlign w:val="superscript"/>
              </w:rPr>
              <w:t xml:space="preserve"> a</w:t>
            </w:r>
          </w:p>
        </w:tc>
        <w:tc>
          <w:tcPr>
            <w:tcW w:w="1857" w:type="dxa"/>
            <w:shd w:val="clear" w:color="auto" w:fill="auto"/>
          </w:tcPr>
          <w:p w14:paraId="1E54BEC2" w14:textId="77777777" w:rsidR="00D875C0" w:rsidRPr="00427D92" w:rsidRDefault="00D875C0" w:rsidP="003876F8">
            <w:pPr>
              <w:autoSpaceDE w:val="0"/>
              <w:autoSpaceDN w:val="0"/>
              <w:adjustRightInd w:val="0"/>
              <w:spacing w:after="0" w:line="240" w:lineRule="auto"/>
              <w:rPr>
                <w:rFonts w:ascii="Times New Roman" w:hAnsi="Times New Roman"/>
              </w:rPr>
            </w:pPr>
          </w:p>
        </w:tc>
        <w:tc>
          <w:tcPr>
            <w:tcW w:w="1857" w:type="dxa"/>
            <w:shd w:val="clear" w:color="auto" w:fill="auto"/>
          </w:tcPr>
          <w:p w14:paraId="3426EC9F" w14:textId="77777777" w:rsidR="00D875C0" w:rsidRPr="00C722B4" w:rsidRDefault="00D875C0" w:rsidP="003876F8">
            <w:pPr>
              <w:autoSpaceDE w:val="0"/>
              <w:autoSpaceDN w:val="0"/>
              <w:adjustRightInd w:val="0"/>
              <w:spacing w:after="0" w:line="240" w:lineRule="auto"/>
              <w:rPr>
                <w:rFonts w:ascii="Times New Roman" w:hAnsi="Times New Roman"/>
              </w:rPr>
            </w:pPr>
          </w:p>
        </w:tc>
        <w:tc>
          <w:tcPr>
            <w:tcW w:w="1857" w:type="dxa"/>
            <w:shd w:val="clear" w:color="auto" w:fill="auto"/>
          </w:tcPr>
          <w:p w14:paraId="545068ED" w14:textId="77777777" w:rsidR="00D875C0" w:rsidRPr="007C1A06" w:rsidRDefault="00D875C0" w:rsidP="003876F8">
            <w:pPr>
              <w:autoSpaceDE w:val="0"/>
              <w:autoSpaceDN w:val="0"/>
              <w:adjustRightInd w:val="0"/>
              <w:spacing w:after="0" w:line="240" w:lineRule="auto"/>
              <w:jc w:val="both"/>
              <w:rPr>
                <w:rFonts w:ascii="Times New Roman" w:hAnsi="Times New Roman"/>
              </w:rPr>
            </w:pPr>
          </w:p>
        </w:tc>
        <w:tc>
          <w:tcPr>
            <w:tcW w:w="1858" w:type="dxa"/>
            <w:shd w:val="clear" w:color="auto" w:fill="auto"/>
          </w:tcPr>
          <w:p w14:paraId="2BD62BC8" w14:textId="77777777" w:rsidR="00D875C0" w:rsidRPr="007C1A06" w:rsidRDefault="00D875C0" w:rsidP="003876F8">
            <w:pPr>
              <w:autoSpaceDE w:val="0"/>
              <w:autoSpaceDN w:val="0"/>
              <w:adjustRightInd w:val="0"/>
              <w:spacing w:after="0" w:line="240" w:lineRule="auto"/>
              <w:rPr>
                <w:rFonts w:ascii="Times New Roman" w:hAnsi="Times New Roman"/>
              </w:rPr>
            </w:pPr>
          </w:p>
        </w:tc>
      </w:tr>
      <w:tr w:rsidR="00F95B76" w:rsidRPr="007C1A06" w14:paraId="1F169944" w14:textId="77777777" w:rsidTr="003876F8">
        <w:tc>
          <w:tcPr>
            <w:tcW w:w="1857" w:type="dxa"/>
            <w:shd w:val="clear" w:color="auto" w:fill="auto"/>
          </w:tcPr>
          <w:p w14:paraId="727EC9C8"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Ne</w:t>
            </w:r>
          </w:p>
        </w:tc>
        <w:tc>
          <w:tcPr>
            <w:tcW w:w="1857" w:type="dxa"/>
            <w:shd w:val="clear" w:color="auto" w:fill="auto"/>
          </w:tcPr>
          <w:p w14:paraId="050FE91B" w14:textId="77777777" w:rsidR="00D875C0" w:rsidRPr="00427D92" w:rsidRDefault="00D875C0" w:rsidP="003876F8">
            <w:pPr>
              <w:autoSpaceDE w:val="0"/>
              <w:autoSpaceDN w:val="0"/>
              <w:adjustRightInd w:val="0"/>
              <w:spacing w:after="0" w:line="240" w:lineRule="auto"/>
              <w:jc w:val="center"/>
              <w:rPr>
                <w:rFonts w:ascii="Times New Roman" w:hAnsi="Times New Roman"/>
                <w:color w:val="000000"/>
              </w:rPr>
            </w:pPr>
            <w:r w:rsidRPr="00427D92">
              <w:rPr>
                <w:rFonts w:ascii="Times New Roman" w:hAnsi="Times New Roman"/>
                <w:color w:val="000000"/>
              </w:rPr>
              <w:t>18/214</w:t>
            </w:r>
          </w:p>
          <w:p w14:paraId="4E6E7691" w14:textId="77777777" w:rsidR="00D875C0" w:rsidRPr="007C1A06" w:rsidRDefault="00D875C0" w:rsidP="00C03DAC">
            <w:pPr>
              <w:autoSpaceDE w:val="0"/>
              <w:autoSpaceDN w:val="0"/>
              <w:adjustRightInd w:val="0"/>
              <w:spacing w:after="0" w:line="240" w:lineRule="auto"/>
              <w:jc w:val="center"/>
              <w:rPr>
                <w:rFonts w:ascii="Times New Roman" w:hAnsi="Times New Roman"/>
              </w:rPr>
            </w:pPr>
            <w:r w:rsidRPr="00C722B4">
              <w:rPr>
                <w:rFonts w:ascii="Times New Roman" w:hAnsi="Times New Roman"/>
                <w:color w:val="000000"/>
              </w:rPr>
              <w:t>(8,4</w:t>
            </w:r>
            <w:r w:rsidR="00C03DAC" w:rsidRPr="007C1A06">
              <w:rPr>
                <w:rFonts w:ascii="Times New Roman" w:hAnsi="Times New Roman"/>
                <w:color w:val="000000"/>
              </w:rPr>
              <w:t> </w:t>
            </w:r>
            <w:r w:rsidRPr="007C1A06">
              <w:rPr>
                <w:rFonts w:ascii="Times New Roman" w:hAnsi="Times New Roman"/>
                <w:color w:val="000000"/>
              </w:rPr>
              <w:t>%)</w:t>
            </w:r>
          </w:p>
        </w:tc>
        <w:tc>
          <w:tcPr>
            <w:tcW w:w="1857" w:type="dxa"/>
            <w:shd w:val="clear" w:color="auto" w:fill="auto"/>
          </w:tcPr>
          <w:p w14:paraId="7EC776A2"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color w:val="000000"/>
                <w:lang w:eastAsia="zh-TW"/>
              </w:rPr>
            </w:pPr>
            <w:r w:rsidRPr="007C1A06">
              <w:rPr>
                <w:rFonts w:ascii="Times New Roman" w:hAnsi="Times New Roman"/>
                <w:color w:val="000000"/>
              </w:rPr>
              <w:t>26/227</w:t>
            </w:r>
          </w:p>
          <w:p w14:paraId="451F1C83"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color w:val="000000"/>
                <w:lang w:eastAsia="zh-TW"/>
              </w:rPr>
            </w:pPr>
            <w:r w:rsidRPr="007C1A06">
              <w:rPr>
                <w:rFonts w:ascii="Times New Roman" w:hAnsi="Times New Roman"/>
                <w:color w:val="000000"/>
              </w:rPr>
              <w:t>(11,5</w:t>
            </w:r>
            <w:r w:rsidR="00C03DAC" w:rsidRPr="007C1A06">
              <w:rPr>
                <w:rFonts w:ascii="Times New Roman" w:hAnsi="Times New Roman"/>
                <w:color w:val="000000"/>
              </w:rPr>
              <w:t> </w:t>
            </w:r>
            <w:r w:rsidRPr="007C1A06">
              <w:rPr>
                <w:rFonts w:ascii="Times New Roman" w:hAnsi="Times New Roman"/>
                <w:color w:val="000000"/>
              </w:rPr>
              <w:t>%)</w:t>
            </w:r>
          </w:p>
          <w:p w14:paraId="5595AA93" w14:textId="77777777" w:rsidR="00D875C0" w:rsidRPr="007C1A06" w:rsidRDefault="00D875C0" w:rsidP="003876F8">
            <w:pPr>
              <w:autoSpaceDE w:val="0"/>
              <w:autoSpaceDN w:val="0"/>
              <w:adjustRightInd w:val="0"/>
              <w:spacing w:after="0" w:line="240" w:lineRule="auto"/>
              <w:rPr>
                <w:rFonts w:ascii="Times New Roman" w:hAnsi="Times New Roman"/>
              </w:rPr>
            </w:pPr>
          </w:p>
        </w:tc>
        <w:tc>
          <w:tcPr>
            <w:tcW w:w="1857" w:type="dxa"/>
            <w:shd w:val="clear" w:color="auto" w:fill="auto"/>
          </w:tcPr>
          <w:p w14:paraId="69BDB333"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color w:val="000000"/>
              </w:rPr>
              <w:t>0,796 (0,434</w:t>
            </w:r>
            <w:r w:rsidR="00C03DAC" w:rsidRPr="007C1A06">
              <w:rPr>
                <w:rFonts w:ascii="Times New Roman" w:hAnsi="Times New Roman"/>
                <w:color w:val="000000"/>
              </w:rPr>
              <w:noBreakHyphen/>
            </w:r>
            <w:r w:rsidRPr="007C1A06">
              <w:rPr>
                <w:rFonts w:ascii="Times New Roman" w:hAnsi="Times New Roman"/>
                <w:color w:val="000000"/>
              </w:rPr>
              <w:t>1,459)</w:t>
            </w:r>
          </w:p>
        </w:tc>
        <w:tc>
          <w:tcPr>
            <w:tcW w:w="1858" w:type="dxa"/>
            <w:shd w:val="clear" w:color="auto" w:fill="auto"/>
          </w:tcPr>
          <w:p w14:paraId="2D9097A6"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color w:val="000000"/>
              </w:rPr>
              <w:t>0,4593</w:t>
            </w:r>
          </w:p>
        </w:tc>
      </w:tr>
      <w:tr w:rsidR="00F95B76" w:rsidRPr="007C1A06" w14:paraId="2080C80F" w14:textId="77777777" w:rsidTr="003876F8">
        <w:tc>
          <w:tcPr>
            <w:tcW w:w="1857" w:type="dxa"/>
            <w:shd w:val="clear" w:color="auto" w:fill="auto"/>
          </w:tcPr>
          <w:p w14:paraId="41029700"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Taip</w:t>
            </w:r>
          </w:p>
        </w:tc>
        <w:tc>
          <w:tcPr>
            <w:tcW w:w="1857" w:type="dxa"/>
            <w:shd w:val="clear" w:color="auto" w:fill="auto"/>
          </w:tcPr>
          <w:p w14:paraId="1B67B7EA" w14:textId="77777777" w:rsidR="00D875C0" w:rsidRPr="00427D92" w:rsidRDefault="00D875C0" w:rsidP="00387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olor w:val="000000"/>
              </w:rPr>
            </w:pPr>
            <w:r w:rsidRPr="00427D92">
              <w:rPr>
                <w:rFonts w:ascii="Times New Roman" w:hAnsi="Times New Roman"/>
                <w:color w:val="000000"/>
              </w:rPr>
              <w:t>48/325</w:t>
            </w:r>
          </w:p>
          <w:p w14:paraId="75074879" w14:textId="77777777" w:rsidR="00D875C0" w:rsidRPr="007C1A06" w:rsidRDefault="00D875C0" w:rsidP="00C03DAC">
            <w:pPr>
              <w:autoSpaceDE w:val="0"/>
              <w:autoSpaceDN w:val="0"/>
              <w:adjustRightInd w:val="0"/>
              <w:spacing w:after="0" w:line="240" w:lineRule="auto"/>
              <w:jc w:val="center"/>
              <w:rPr>
                <w:rFonts w:ascii="Times New Roman" w:hAnsi="Times New Roman"/>
              </w:rPr>
            </w:pPr>
            <w:r w:rsidRPr="00C722B4">
              <w:rPr>
                <w:rFonts w:ascii="Times New Roman" w:hAnsi="Times New Roman"/>
                <w:color w:val="000000"/>
              </w:rPr>
              <w:t>(14,8</w:t>
            </w:r>
            <w:r w:rsidR="00C03DAC" w:rsidRPr="007C1A06">
              <w:rPr>
                <w:rFonts w:ascii="Times New Roman" w:hAnsi="Times New Roman"/>
                <w:color w:val="000000"/>
              </w:rPr>
              <w:t> </w:t>
            </w:r>
            <w:r w:rsidRPr="007C1A06">
              <w:rPr>
                <w:rFonts w:ascii="Times New Roman" w:hAnsi="Times New Roman"/>
                <w:color w:val="000000"/>
              </w:rPr>
              <w:t>%)</w:t>
            </w:r>
          </w:p>
        </w:tc>
        <w:tc>
          <w:tcPr>
            <w:tcW w:w="1857" w:type="dxa"/>
            <w:shd w:val="clear" w:color="auto" w:fill="auto"/>
          </w:tcPr>
          <w:p w14:paraId="33743A33" w14:textId="77777777" w:rsidR="00D875C0" w:rsidRPr="004E3CD5" w:rsidRDefault="00D875C0" w:rsidP="00387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Theme="minorEastAsia" w:hAnsi="Times New Roman"/>
                <w:color w:val="000000"/>
                <w:lang w:eastAsia="zh-TW"/>
              </w:rPr>
            </w:pPr>
            <w:r w:rsidRPr="007C1A06">
              <w:rPr>
                <w:rFonts w:ascii="Times New Roman" w:hAnsi="Times New Roman"/>
                <w:color w:val="000000"/>
              </w:rPr>
              <w:t>69/294</w:t>
            </w:r>
          </w:p>
          <w:p w14:paraId="0CE99444" w14:textId="77777777" w:rsidR="00D875C0" w:rsidRPr="004E3CD5" w:rsidRDefault="00D875C0" w:rsidP="00C03DAC">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color w:val="000000"/>
              </w:rPr>
              <w:t>(23,5</w:t>
            </w:r>
            <w:r w:rsidR="00C03DAC" w:rsidRPr="007C1A06">
              <w:rPr>
                <w:rFonts w:ascii="Times New Roman" w:hAnsi="Times New Roman"/>
                <w:color w:val="000000"/>
              </w:rPr>
              <w:t> </w:t>
            </w:r>
            <w:r w:rsidRPr="007C1A06">
              <w:rPr>
                <w:rFonts w:ascii="Times New Roman" w:hAnsi="Times New Roman"/>
                <w:color w:val="000000"/>
              </w:rPr>
              <w:t>%)</w:t>
            </w:r>
          </w:p>
        </w:tc>
        <w:tc>
          <w:tcPr>
            <w:tcW w:w="1857" w:type="dxa"/>
            <w:shd w:val="clear" w:color="auto" w:fill="auto"/>
          </w:tcPr>
          <w:p w14:paraId="77E9B118"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color w:val="000000"/>
              </w:rPr>
              <w:t>0,606 (0,42</w:t>
            </w:r>
            <w:r w:rsidR="00C03DAC" w:rsidRPr="007C1A06">
              <w:rPr>
                <w:rFonts w:ascii="Times New Roman" w:hAnsi="Times New Roman"/>
                <w:color w:val="000000"/>
              </w:rPr>
              <w:noBreakHyphen/>
            </w:r>
            <w:r w:rsidRPr="007C1A06">
              <w:rPr>
                <w:rFonts w:ascii="Times New Roman" w:hAnsi="Times New Roman"/>
                <w:color w:val="000000"/>
              </w:rPr>
              <w:t>0,877)</w:t>
            </w:r>
          </w:p>
        </w:tc>
        <w:tc>
          <w:tcPr>
            <w:tcW w:w="1858" w:type="dxa"/>
            <w:shd w:val="clear" w:color="auto" w:fill="auto"/>
          </w:tcPr>
          <w:p w14:paraId="5B3BCEFE" w14:textId="77777777" w:rsidR="00D875C0" w:rsidRPr="004E3CD5" w:rsidRDefault="00D875C0" w:rsidP="003876F8">
            <w:pPr>
              <w:autoSpaceDE w:val="0"/>
              <w:autoSpaceDN w:val="0"/>
              <w:adjustRightInd w:val="0"/>
              <w:spacing w:after="0" w:line="240" w:lineRule="auto"/>
              <w:jc w:val="center"/>
              <w:rPr>
                <w:rFonts w:ascii="Times New Roman" w:eastAsiaTheme="minorEastAsia" w:hAnsi="Times New Roman"/>
                <w:lang w:eastAsia="zh-TW"/>
              </w:rPr>
            </w:pPr>
            <w:r w:rsidRPr="007C1A06">
              <w:rPr>
                <w:rFonts w:ascii="Times New Roman" w:hAnsi="Times New Roman"/>
                <w:color w:val="000000"/>
              </w:rPr>
              <w:t>0,0072</w:t>
            </w:r>
          </w:p>
        </w:tc>
      </w:tr>
    </w:tbl>
    <w:p w14:paraId="07879C81" w14:textId="77777777" w:rsidR="00D875C0" w:rsidRPr="001F2C46" w:rsidRDefault="00D875C0" w:rsidP="00D875C0">
      <w:pPr>
        <w:autoSpaceDE w:val="0"/>
        <w:autoSpaceDN w:val="0"/>
        <w:adjustRightInd w:val="0"/>
        <w:spacing w:after="0" w:line="240" w:lineRule="auto"/>
        <w:rPr>
          <w:rFonts w:ascii="Times New Roman" w:hAnsi="Times New Roman"/>
          <w:color w:val="000000"/>
        </w:rPr>
      </w:pPr>
      <w:r w:rsidRPr="00F95B76">
        <w:rPr>
          <w:rFonts w:ascii="Times New Roman" w:hAnsi="Times New Roman"/>
          <w:color w:val="000000"/>
        </w:rPr>
        <w:t>TAC = docetakselis, doksorubicinas ir ciklofosfamidas</w:t>
      </w:r>
    </w:p>
    <w:p w14:paraId="788BA50D" w14:textId="77777777" w:rsidR="00D875C0" w:rsidRPr="00427D92" w:rsidRDefault="00D875C0" w:rsidP="00D875C0">
      <w:pPr>
        <w:autoSpaceDE w:val="0"/>
        <w:autoSpaceDN w:val="0"/>
        <w:adjustRightInd w:val="0"/>
        <w:spacing w:after="0" w:line="240" w:lineRule="auto"/>
        <w:rPr>
          <w:rFonts w:ascii="Times New Roman" w:hAnsi="Times New Roman"/>
          <w:color w:val="000000"/>
        </w:rPr>
      </w:pPr>
      <w:r w:rsidRPr="00427D92">
        <w:rPr>
          <w:rFonts w:ascii="Times New Roman" w:hAnsi="Times New Roman"/>
          <w:color w:val="000000"/>
        </w:rPr>
        <w:t>FAC = 5-fluorouracilas, doksorubicinas ir ciklofosfamidas</w:t>
      </w:r>
    </w:p>
    <w:p w14:paraId="2047D9A9" w14:textId="77777777" w:rsidR="00D875C0" w:rsidRPr="00C722B4" w:rsidRDefault="00D875C0" w:rsidP="00D875C0">
      <w:pPr>
        <w:autoSpaceDE w:val="0"/>
        <w:autoSpaceDN w:val="0"/>
        <w:adjustRightInd w:val="0"/>
        <w:spacing w:after="0" w:line="240" w:lineRule="auto"/>
        <w:rPr>
          <w:rFonts w:ascii="Times New Roman" w:hAnsi="Times New Roman"/>
          <w:color w:val="000000"/>
        </w:rPr>
      </w:pPr>
      <w:r w:rsidRPr="00C722B4">
        <w:rPr>
          <w:rFonts w:ascii="Times New Roman" w:hAnsi="Times New Roman"/>
          <w:color w:val="000000"/>
        </w:rPr>
        <w:t>PI = pasikliautinis intervalas; ER = estrogenų receptorius</w:t>
      </w:r>
    </w:p>
    <w:p w14:paraId="7F75FEA2" w14:textId="77777777" w:rsidR="00D875C0" w:rsidRPr="004E3CD5" w:rsidRDefault="00D875C0" w:rsidP="00D875C0">
      <w:pPr>
        <w:autoSpaceDE w:val="0"/>
        <w:autoSpaceDN w:val="0"/>
        <w:adjustRightInd w:val="0"/>
        <w:spacing w:after="0" w:line="240" w:lineRule="auto"/>
        <w:rPr>
          <w:rFonts w:ascii="Times New Roman" w:eastAsiaTheme="minorEastAsia" w:hAnsi="Times New Roman"/>
          <w:color w:val="000000"/>
          <w:lang w:eastAsia="zh-TW"/>
        </w:rPr>
      </w:pPr>
      <w:r w:rsidRPr="007C1A06">
        <w:rPr>
          <w:rFonts w:ascii="Times New Roman" w:hAnsi="Times New Roman"/>
          <w:color w:val="000000"/>
        </w:rPr>
        <w:t>PR = progesterono receptorius</w:t>
      </w:r>
    </w:p>
    <w:p w14:paraId="6CB68FAD" w14:textId="77777777" w:rsidR="00D875C0" w:rsidRPr="007C1A06" w:rsidRDefault="00D875C0" w:rsidP="00D875C0">
      <w:pPr>
        <w:autoSpaceDE w:val="0"/>
        <w:autoSpaceDN w:val="0"/>
        <w:adjustRightInd w:val="0"/>
        <w:spacing w:after="0" w:line="240" w:lineRule="auto"/>
        <w:rPr>
          <w:rFonts w:ascii="Times New Roman" w:hAnsi="Times New Roman"/>
          <w:color w:val="000000"/>
        </w:rPr>
      </w:pPr>
      <w:r w:rsidRPr="007C1A06">
        <w:rPr>
          <w:rFonts w:ascii="Times New Roman" w:hAnsi="Times New Roman"/>
          <w:color w:val="000000"/>
          <w:vertAlign w:val="superscript"/>
        </w:rPr>
        <w:t>a</w:t>
      </w:r>
      <w:r w:rsidRPr="007C1A06">
        <w:rPr>
          <w:rFonts w:ascii="Times New Roman" w:hAnsi="Times New Roman"/>
          <w:color w:val="000000"/>
        </w:rPr>
        <w:t xml:space="preserve"> ER/PR-neigiami arba 3</w:t>
      </w:r>
      <w:r w:rsidR="00C03DAC" w:rsidRPr="007C1A06">
        <w:rPr>
          <w:rFonts w:ascii="Times New Roman" w:hAnsi="Times New Roman"/>
          <w:color w:val="000000"/>
        </w:rPr>
        <w:t> </w:t>
      </w:r>
      <w:r w:rsidRPr="007C1A06">
        <w:rPr>
          <w:rFonts w:ascii="Times New Roman" w:hAnsi="Times New Roman"/>
          <w:color w:val="000000"/>
        </w:rPr>
        <w:t>laipsnio ar naviko dydis &gt;</w:t>
      </w:r>
      <w:r w:rsidR="00C03DAC" w:rsidRPr="007C1A06">
        <w:rPr>
          <w:rFonts w:ascii="Times New Roman" w:hAnsi="Times New Roman"/>
          <w:color w:val="000000"/>
        </w:rPr>
        <w:t> </w:t>
      </w:r>
      <w:r w:rsidRPr="007C1A06">
        <w:rPr>
          <w:rFonts w:ascii="Times New Roman" w:hAnsi="Times New Roman"/>
          <w:color w:val="000000"/>
        </w:rPr>
        <w:t>5</w:t>
      </w:r>
      <w:r w:rsidR="00C03DAC" w:rsidRPr="007C1A06">
        <w:rPr>
          <w:rFonts w:ascii="Times New Roman" w:hAnsi="Times New Roman"/>
          <w:color w:val="000000"/>
        </w:rPr>
        <w:t> </w:t>
      </w:r>
      <w:r w:rsidRPr="007C1A06">
        <w:rPr>
          <w:rFonts w:ascii="Times New Roman" w:hAnsi="Times New Roman"/>
          <w:color w:val="000000"/>
        </w:rPr>
        <w:t>cm</w:t>
      </w:r>
    </w:p>
    <w:p w14:paraId="32B2BF62" w14:textId="77777777" w:rsidR="00D875C0" w:rsidRPr="007C1A06" w:rsidRDefault="00D875C0" w:rsidP="00D875C0">
      <w:pPr>
        <w:autoSpaceDE w:val="0"/>
        <w:autoSpaceDN w:val="0"/>
        <w:adjustRightInd w:val="0"/>
        <w:spacing w:after="0" w:line="240" w:lineRule="auto"/>
        <w:rPr>
          <w:rFonts w:ascii="Times New Roman" w:hAnsi="Times New Roman"/>
          <w:color w:val="000000"/>
        </w:rPr>
      </w:pPr>
    </w:p>
    <w:p w14:paraId="0E64DCDC" w14:textId="77777777" w:rsidR="00D875C0" w:rsidRPr="004E3CD5" w:rsidRDefault="00D875C0" w:rsidP="00D875C0">
      <w:pPr>
        <w:autoSpaceDE w:val="0"/>
        <w:autoSpaceDN w:val="0"/>
        <w:adjustRightInd w:val="0"/>
        <w:spacing w:after="0" w:line="240" w:lineRule="auto"/>
        <w:rPr>
          <w:rFonts w:ascii="Times New Roman" w:eastAsiaTheme="minorEastAsia" w:hAnsi="Times New Roman"/>
          <w:color w:val="000000"/>
          <w:lang w:eastAsia="zh-TW"/>
        </w:rPr>
      </w:pPr>
      <w:r w:rsidRPr="007C1A06">
        <w:rPr>
          <w:rFonts w:ascii="Times New Roman" w:hAnsi="Times New Roman"/>
          <w:color w:val="000000"/>
        </w:rPr>
        <w:t xml:space="preserve">Apskaičiuotas rizikos koeficientas gautas naudojantis </w:t>
      </w:r>
      <w:r w:rsidRPr="007C1A06">
        <w:rPr>
          <w:rFonts w:ascii="Times New Roman" w:hAnsi="Times New Roman"/>
          <w:i/>
          <w:color w:val="000000"/>
        </w:rPr>
        <w:t>Cox</w:t>
      </w:r>
      <w:r w:rsidRPr="007C1A06">
        <w:rPr>
          <w:rFonts w:ascii="Times New Roman" w:hAnsi="Times New Roman"/>
          <w:color w:val="000000"/>
        </w:rPr>
        <w:t xml:space="preserve"> proporcinės rizikos modeliu gydomąją grupę laikant faktoriumi.</w:t>
      </w:r>
    </w:p>
    <w:p w14:paraId="4E79979F" w14:textId="77777777" w:rsidR="00D875C0" w:rsidRPr="007C1A06" w:rsidRDefault="00D875C0" w:rsidP="00D875C0">
      <w:pPr>
        <w:autoSpaceDE w:val="0"/>
        <w:autoSpaceDN w:val="0"/>
        <w:adjustRightInd w:val="0"/>
        <w:spacing w:after="0" w:line="240" w:lineRule="auto"/>
        <w:rPr>
          <w:rFonts w:ascii="Times New Roman" w:hAnsi="Times New Roman"/>
          <w:i/>
        </w:rPr>
      </w:pPr>
    </w:p>
    <w:p w14:paraId="29BA9557"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i/>
        </w:rPr>
        <w:t xml:space="preserve">Monoterapija docetakseliu </w:t>
      </w:r>
    </w:p>
    <w:p w14:paraId="75FFF7A1"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Atlikti du atsitiktiniai III fazės palyginamieji tyrimai su pacientėmis, sergančiomis metastazavusiu krūties vėžiu. Prieš tai 326 šiame tyrime dalyvavusioms pacientėms buvo neveiksmingas gydymas alkilinančiais vaistiniais preparatais, o 392 pacientėms – antraciklinais. Docetakselio infuzuota rekomenduojamomis dozėmis ir tvarka (100</w:t>
      </w:r>
      <w:r w:rsidR="00C03DAC" w:rsidRPr="007C1A06">
        <w:rPr>
          <w:rFonts w:ascii="Times New Roman" w:hAnsi="Times New Roman"/>
        </w:rPr>
        <w:t> </w:t>
      </w:r>
      <w:r w:rsidRPr="007C1A06">
        <w:rPr>
          <w:rFonts w:ascii="Times New Roman" w:hAnsi="Times New Roman"/>
        </w:rPr>
        <w:t>mg/m² kas 3</w:t>
      </w:r>
      <w:r w:rsidR="00C03DAC" w:rsidRPr="007C1A06">
        <w:rPr>
          <w:rFonts w:ascii="Times New Roman" w:hAnsi="Times New Roman"/>
        </w:rPr>
        <w:t> </w:t>
      </w:r>
      <w:r w:rsidRPr="007C1A06">
        <w:rPr>
          <w:rFonts w:ascii="Times New Roman" w:hAnsi="Times New Roman"/>
        </w:rPr>
        <w:t>savaites).</w:t>
      </w:r>
    </w:p>
    <w:p w14:paraId="77CBD13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Toms pacientėms, kurioms gydymas alkilinančiais vaistais buvo neveiksmingas, palygintas docetakselio ir doksorubicino (75</w:t>
      </w:r>
      <w:r w:rsidR="00C03DAC"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kas 3</w:t>
      </w:r>
      <w:r w:rsidR="00C03DAC" w:rsidRPr="007C1A06">
        <w:rPr>
          <w:rFonts w:ascii="Times New Roman" w:hAnsi="Times New Roman"/>
        </w:rPr>
        <w:t> </w:t>
      </w:r>
      <w:r w:rsidRPr="007C1A06">
        <w:rPr>
          <w:rFonts w:ascii="Times New Roman" w:hAnsi="Times New Roman"/>
        </w:rPr>
        <w:t>savaites) poveikis. Docetakselis sukėlė atsaką dažniau (docetakselis – 52</w:t>
      </w:r>
      <w:r w:rsidR="00C03DAC" w:rsidRPr="007C1A06">
        <w:rPr>
          <w:rFonts w:ascii="Times New Roman" w:hAnsi="Times New Roman"/>
        </w:rPr>
        <w:t> </w:t>
      </w:r>
      <w:r w:rsidRPr="007C1A06">
        <w:rPr>
          <w:rFonts w:ascii="Times New Roman" w:hAnsi="Times New Roman"/>
        </w:rPr>
        <w:t>%, doksorubicinas – 37</w:t>
      </w:r>
      <w:r w:rsidR="00C03DAC" w:rsidRPr="007C1A06">
        <w:rPr>
          <w:rFonts w:ascii="Times New Roman" w:hAnsi="Times New Roman"/>
        </w:rPr>
        <w:t> </w:t>
      </w:r>
      <w:r w:rsidRPr="007C1A06">
        <w:rPr>
          <w:rFonts w:ascii="Times New Roman" w:hAnsi="Times New Roman"/>
        </w:rPr>
        <w:t>%, p=0,01) ir greičiau (docetakselis – per 12</w:t>
      </w:r>
      <w:r w:rsidR="00C03DAC" w:rsidRPr="007C1A06">
        <w:rPr>
          <w:rFonts w:ascii="Times New Roman" w:hAnsi="Times New Roman"/>
        </w:rPr>
        <w:t> </w:t>
      </w:r>
      <w:r w:rsidRPr="007C1A06">
        <w:rPr>
          <w:rFonts w:ascii="Times New Roman" w:hAnsi="Times New Roman"/>
        </w:rPr>
        <w:t>savaičių, doksorubicinas – per 23</w:t>
      </w:r>
      <w:r w:rsidR="00C03DAC" w:rsidRPr="007C1A06">
        <w:rPr>
          <w:rFonts w:ascii="Times New Roman" w:hAnsi="Times New Roman"/>
        </w:rPr>
        <w:t> </w:t>
      </w:r>
      <w:r w:rsidRPr="007C1A06">
        <w:rPr>
          <w:rFonts w:ascii="Times New Roman" w:hAnsi="Times New Roman"/>
        </w:rPr>
        <w:t>savaites, p=0,007), tačiau nepakeitė bendrosios išgyvenimo trukmės (docetakselis – 15</w:t>
      </w:r>
      <w:r w:rsidR="00C03DAC" w:rsidRPr="007C1A06">
        <w:rPr>
          <w:rFonts w:ascii="Times New Roman" w:hAnsi="Times New Roman"/>
        </w:rPr>
        <w:t> </w:t>
      </w:r>
      <w:r w:rsidRPr="007C1A06">
        <w:rPr>
          <w:rFonts w:ascii="Times New Roman" w:hAnsi="Times New Roman"/>
        </w:rPr>
        <w:t>mėn., doksorubicinas – 14</w:t>
      </w:r>
      <w:r w:rsidR="00C03DAC" w:rsidRPr="007C1A06">
        <w:rPr>
          <w:rFonts w:ascii="Times New Roman" w:hAnsi="Times New Roman"/>
        </w:rPr>
        <w:t> </w:t>
      </w:r>
      <w:r w:rsidRPr="007C1A06">
        <w:rPr>
          <w:rFonts w:ascii="Times New Roman" w:hAnsi="Times New Roman"/>
        </w:rPr>
        <w:t>mėn., p=0,38) ir laikotarpio iki ligos progresavimo trukmės (docetakselis – 27</w:t>
      </w:r>
      <w:r w:rsidR="00C03DAC" w:rsidRPr="007C1A06">
        <w:rPr>
          <w:rFonts w:ascii="Times New Roman" w:hAnsi="Times New Roman"/>
        </w:rPr>
        <w:t> </w:t>
      </w:r>
      <w:r w:rsidR="009F7D2E">
        <w:rPr>
          <w:rFonts w:ascii="Times New Roman" w:eastAsia="Times New Roman" w:hAnsi="Times New Roman" w:cs="Times New Roman"/>
        </w:rPr>
        <w:t>sav</w:t>
      </w:r>
      <w:r w:rsidRPr="00F95B76">
        <w:rPr>
          <w:rFonts w:ascii="Times New Roman" w:hAnsi="Times New Roman"/>
        </w:rPr>
        <w:t>., doksorubicinas – 23</w:t>
      </w:r>
      <w:r w:rsidR="00C03DAC" w:rsidRPr="001F2C46">
        <w:rPr>
          <w:rFonts w:ascii="Times New Roman" w:hAnsi="Times New Roman"/>
        </w:rPr>
        <w:t> </w:t>
      </w:r>
      <w:r w:rsidR="009F7D2E">
        <w:rPr>
          <w:rFonts w:ascii="Times New Roman" w:eastAsia="Times New Roman" w:hAnsi="Times New Roman" w:cs="Times New Roman"/>
        </w:rPr>
        <w:t>sav</w:t>
      </w:r>
      <w:r w:rsidRPr="00F95B76">
        <w:rPr>
          <w:rFonts w:ascii="Times New Roman" w:hAnsi="Times New Roman"/>
        </w:rPr>
        <w:t>., p=0,54). Trys docetakseliu gydytos pacientės (2</w:t>
      </w:r>
      <w:r w:rsidR="00C03DAC" w:rsidRPr="001F2C46">
        <w:rPr>
          <w:rFonts w:ascii="Times New Roman" w:hAnsi="Times New Roman"/>
        </w:rPr>
        <w:t> </w:t>
      </w:r>
      <w:r w:rsidRPr="001F2C46">
        <w:rPr>
          <w:rFonts w:ascii="Times New Roman" w:hAnsi="Times New Roman"/>
        </w:rPr>
        <w:t>%) nutraukė vaist</w:t>
      </w:r>
      <w:r w:rsidR="00DA6E7A" w:rsidRPr="001F2C46">
        <w:rPr>
          <w:rFonts w:ascii="Times New Roman" w:hAnsi="Times New Roman"/>
        </w:rPr>
        <w:t>inio preparat</w:t>
      </w:r>
      <w:r w:rsidRPr="001F2C46">
        <w:rPr>
          <w:rFonts w:ascii="Times New Roman" w:hAnsi="Times New Roman"/>
        </w:rPr>
        <w:t>o vartojimą dėl skysčių susilaikymo, 15 (9</w:t>
      </w:r>
      <w:r w:rsidR="00C03DAC" w:rsidRPr="001F2C46">
        <w:rPr>
          <w:rFonts w:ascii="Times New Roman" w:hAnsi="Times New Roman"/>
        </w:rPr>
        <w:t> </w:t>
      </w:r>
      <w:r w:rsidRPr="00427D92">
        <w:rPr>
          <w:rFonts w:ascii="Times New Roman" w:hAnsi="Times New Roman"/>
        </w:rPr>
        <w:t>%) doksorubicinu gydytų pacienčių – dėl kardiotoksinio poveikio (3 pacientės mirė nuo stazinio širdies nepakankamumo). Ligonėms, kurioms gydymas antraciklinais buvo neveiksmingas, docetakselio poveikis palygintas su mitomicino C (12</w:t>
      </w:r>
      <w:r w:rsidR="00C03DAC" w:rsidRPr="00C722B4">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kas 6</w:t>
      </w:r>
      <w:r w:rsidR="00C03DAC" w:rsidRPr="007C1A06">
        <w:rPr>
          <w:rFonts w:ascii="Times New Roman" w:hAnsi="Times New Roman"/>
        </w:rPr>
        <w:t> </w:t>
      </w:r>
      <w:r w:rsidRPr="007C1A06">
        <w:rPr>
          <w:rFonts w:ascii="Times New Roman" w:hAnsi="Times New Roman"/>
        </w:rPr>
        <w:t>savaites) ir vinblastino (6</w:t>
      </w:r>
      <w:r w:rsidR="00C03DAC"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kas 3</w:t>
      </w:r>
      <w:r w:rsidR="00C03DAC" w:rsidRPr="007C1A06">
        <w:rPr>
          <w:rFonts w:ascii="Times New Roman" w:hAnsi="Times New Roman"/>
        </w:rPr>
        <w:t> </w:t>
      </w:r>
      <w:r w:rsidRPr="007C1A06">
        <w:rPr>
          <w:rFonts w:ascii="Times New Roman" w:hAnsi="Times New Roman"/>
        </w:rPr>
        <w:t>savaites) derinio poveikiu. Docetakselis dažniau sukėlė atsaką (33</w:t>
      </w:r>
      <w:r w:rsidR="00C03DAC" w:rsidRPr="007C1A06">
        <w:rPr>
          <w:rFonts w:ascii="Times New Roman" w:hAnsi="Times New Roman"/>
        </w:rPr>
        <w:t> </w:t>
      </w:r>
      <w:r w:rsidRPr="007C1A06">
        <w:rPr>
          <w:rFonts w:ascii="Times New Roman" w:hAnsi="Times New Roman"/>
        </w:rPr>
        <w:t>% palyginus su 12</w:t>
      </w:r>
      <w:r w:rsidR="00C03DAC" w:rsidRPr="007C1A06">
        <w:rPr>
          <w:rFonts w:ascii="Times New Roman" w:hAnsi="Times New Roman"/>
        </w:rPr>
        <w:t> </w:t>
      </w:r>
      <w:r w:rsidRPr="007C1A06">
        <w:rPr>
          <w:rFonts w:ascii="Times New Roman" w:hAnsi="Times New Roman"/>
        </w:rPr>
        <w:t>%, p</w:t>
      </w:r>
      <w:r w:rsidR="00C03DAC" w:rsidRPr="007C1A06">
        <w:rPr>
          <w:rFonts w:ascii="Times New Roman" w:hAnsi="Times New Roman"/>
        </w:rPr>
        <w:t> </w:t>
      </w:r>
      <w:r w:rsidRPr="007C1A06">
        <w:rPr>
          <w:rFonts w:ascii="Times New Roman" w:hAnsi="Times New Roman"/>
        </w:rPr>
        <w:t>&lt;</w:t>
      </w:r>
      <w:r w:rsidR="00C03DAC" w:rsidRPr="007C1A06">
        <w:rPr>
          <w:rFonts w:ascii="Times New Roman" w:hAnsi="Times New Roman"/>
        </w:rPr>
        <w:t> </w:t>
      </w:r>
      <w:r w:rsidRPr="007C1A06">
        <w:rPr>
          <w:rFonts w:ascii="Times New Roman" w:hAnsi="Times New Roman"/>
        </w:rPr>
        <w:t>0,0001), prailgino laikotarpį iki ligos progresavimo (19</w:t>
      </w:r>
      <w:r w:rsidR="00C03DAC" w:rsidRPr="007C1A06">
        <w:rPr>
          <w:rFonts w:ascii="Times New Roman" w:hAnsi="Times New Roman"/>
        </w:rPr>
        <w:t> </w:t>
      </w:r>
      <w:r w:rsidRPr="007C1A06">
        <w:rPr>
          <w:rFonts w:ascii="Times New Roman" w:hAnsi="Times New Roman"/>
        </w:rPr>
        <w:t>savaičių lyginant su 11</w:t>
      </w:r>
      <w:r w:rsidR="00C03DAC" w:rsidRPr="007C1A06">
        <w:rPr>
          <w:rFonts w:ascii="Times New Roman" w:hAnsi="Times New Roman"/>
        </w:rPr>
        <w:t> </w:t>
      </w:r>
      <w:r w:rsidRPr="007C1A06">
        <w:rPr>
          <w:rFonts w:ascii="Times New Roman" w:hAnsi="Times New Roman"/>
        </w:rPr>
        <w:t>savaičių, p=0,0004) ir bendrąją išgyvenimo trukmę (11</w:t>
      </w:r>
      <w:r w:rsidR="00C03DAC" w:rsidRPr="007C1A06">
        <w:rPr>
          <w:rFonts w:ascii="Times New Roman" w:hAnsi="Times New Roman"/>
        </w:rPr>
        <w:t> </w:t>
      </w:r>
      <w:r w:rsidRPr="007C1A06">
        <w:rPr>
          <w:rFonts w:ascii="Times New Roman" w:hAnsi="Times New Roman"/>
        </w:rPr>
        <w:t>mėn. palyginus su 9</w:t>
      </w:r>
      <w:r w:rsidR="00C03DAC" w:rsidRPr="007C1A06">
        <w:rPr>
          <w:rFonts w:ascii="Times New Roman" w:hAnsi="Times New Roman"/>
        </w:rPr>
        <w:t> </w:t>
      </w:r>
      <w:r w:rsidRPr="007C1A06">
        <w:rPr>
          <w:rFonts w:ascii="Times New Roman" w:hAnsi="Times New Roman"/>
        </w:rPr>
        <w:t>mėn., p=0,01).</w:t>
      </w:r>
    </w:p>
    <w:p w14:paraId="61257927"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Šių dvejų III fazės klinikinių tyrimų metu nustatytas docetakselio saugumo pobūdis buvo panašus į nustatytą II fazės tyrimuose (žr. 4.8 skyrių).</w:t>
      </w:r>
    </w:p>
    <w:p w14:paraId="75A5AF19" w14:textId="77777777" w:rsidR="003B5720" w:rsidRPr="007C1A06" w:rsidRDefault="003B5720" w:rsidP="00D875C0">
      <w:pPr>
        <w:autoSpaceDE w:val="0"/>
        <w:autoSpaceDN w:val="0"/>
        <w:adjustRightInd w:val="0"/>
        <w:spacing w:after="0" w:line="240" w:lineRule="auto"/>
        <w:rPr>
          <w:rFonts w:ascii="Times New Roman" w:eastAsia="Times New Roman" w:hAnsi="Times New Roman" w:cs="Times New Roman"/>
        </w:rPr>
      </w:pPr>
    </w:p>
    <w:p w14:paraId="703B3B6E" w14:textId="77777777" w:rsidR="00D875C0" w:rsidRPr="007C1A0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Atviro daugelyje centrų vykusio atsitiktinių imčių III</w:t>
      </w:r>
      <w:r w:rsidR="00C03DAC" w:rsidRPr="001F2C46">
        <w:rPr>
          <w:rFonts w:ascii="Times New Roman" w:hAnsi="Times New Roman"/>
        </w:rPr>
        <w:t> </w:t>
      </w:r>
      <w:r w:rsidRPr="001F2C46">
        <w:rPr>
          <w:rFonts w:ascii="Times New Roman" w:hAnsi="Times New Roman"/>
        </w:rPr>
        <w:t>fazės tyrimo metu lygintas docetakselio monoterapijos bei gydymo paklitakseliu veiksmingumas pažengusiu krūties vėžiu sergantiems pacientams, kurie ankstesnio gydymo metu</w:t>
      </w:r>
      <w:r w:rsidRPr="00427D92">
        <w:rPr>
          <w:rFonts w:ascii="Times New Roman" w:hAnsi="Times New Roman"/>
        </w:rPr>
        <w:t xml:space="preserve"> vartojo antraciklino. Iš viso 449 pacientams atsitiktiniu būdu buvo parinktas gydymas arba vien tik docetakseliu (100</w:t>
      </w:r>
      <w:r w:rsidR="00C03DAC" w:rsidRPr="00427D92">
        <w:rPr>
          <w:rFonts w:ascii="Times New Roman" w:hAnsi="Times New Roman"/>
        </w:rPr>
        <w:t> </w:t>
      </w:r>
      <w:r w:rsidRPr="00427D92">
        <w:rPr>
          <w:rFonts w:ascii="Times New Roman" w:hAnsi="Times New Roman"/>
        </w:rPr>
        <w:t>mg/m² dozę infuzuojant per 1</w:t>
      </w:r>
      <w:r w:rsidR="00C03DAC" w:rsidRPr="000C43D3">
        <w:rPr>
          <w:rFonts w:ascii="Times New Roman" w:hAnsi="Times New Roman"/>
        </w:rPr>
        <w:t> </w:t>
      </w:r>
      <w:r w:rsidRPr="00C722B4">
        <w:rPr>
          <w:rFonts w:ascii="Times New Roman" w:hAnsi="Times New Roman"/>
        </w:rPr>
        <w:t>valandą) arba vien tik paklitakseliu (175</w:t>
      </w:r>
      <w:r w:rsidR="00C03DAC" w:rsidRPr="007C1A06">
        <w:rPr>
          <w:rFonts w:ascii="Times New Roman" w:hAnsi="Times New Roman"/>
        </w:rPr>
        <w:t> </w:t>
      </w:r>
      <w:r w:rsidRPr="007C1A06">
        <w:rPr>
          <w:rFonts w:ascii="Times New Roman" w:hAnsi="Times New Roman"/>
        </w:rPr>
        <w:t>mg/m² dozę infuzuojant per 3</w:t>
      </w:r>
      <w:r w:rsidR="00C03DAC" w:rsidRPr="007C1A06">
        <w:rPr>
          <w:rFonts w:ascii="Times New Roman" w:hAnsi="Times New Roman"/>
        </w:rPr>
        <w:t> </w:t>
      </w:r>
      <w:r w:rsidRPr="007C1A06">
        <w:rPr>
          <w:rFonts w:ascii="Times New Roman" w:hAnsi="Times New Roman"/>
        </w:rPr>
        <w:t>valandas). Abiejų gydymų kursai kartoti kas 3</w:t>
      </w:r>
      <w:r w:rsidR="00C03DAC" w:rsidRPr="007C1A06">
        <w:rPr>
          <w:rFonts w:ascii="Times New Roman" w:hAnsi="Times New Roman"/>
        </w:rPr>
        <w:t> </w:t>
      </w:r>
      <w:r w:rsidRPr="007C1A06">
        <w:rPr>
          <w:rFonts w:ascii="Times New Roman" w:hAnsi="Times New Roman"/>
        </w:rPr>
        <w:t>savaites.</w:t>
      </w:r>
    </w:p>
    <w:p w14:paraId="2B63D3CA"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Nors ir pagrindinė vertinamoji baigtis (bendras atsako dažnis) nesiskyrė (32</w:t>
      </w:r>
      <w:r w:rsidR="00C03DAC" w:rsidRPr="007C1A06">
        <w:rPr>
          <w:rFonts w:ascii="Times New Roman" w:hAnsi="Times New Roman"/>
        </w:rPr>
        <w:t> </w:t>
      </w:r>
      <w:r w:rsidRPr="007C1A06">
        <w:rPr>
          <w:rFonts w:ascii="Times New Roman" w:hAnsi="Times New Roman"/>
        </w:rPr>
        <w:t>% ir 25</w:t>
      </w:r>
      <w:r w:rsidR="00C03DAC" w:rsidRPr="007C1A06">
        <w:rPr>
          <w:rFonts w:ascii="Times New Roman" w:hAnsi="Times New Roman"/>
        </w:rPr>
        <w:t> </w:t>
      </w:r>
      <w:r w:rsidRPr="007C1A06">
        <w:rPr>
          <w:rFonts w:ascii="Times New Roman" w:hAnsi="Times New Roman"/>
        </w:rPr>
        <w:t>%, p=0,10), bet docetakselis pailgino laikotarpio iki ligos progresavimo medianą (24,6</w:t>
      </w:r>
      <w:r w:rsidR="00C03DAC" w:rsidRPr="007C1A06">
        <w:rPr>
          <w:rFonts w:ascii="Times New Roman" w:hAnsi="Times New Roman"/>
        </w:rPr>
        <w:t> </w:t>
      </w:r>
      <w:r w:rsidRPr="007C1A06">
        <w:rPr>
          <w:rFonts w:ascii="Times New Roman" w:hAnsi="Times New Roman"/>
        </w:rPr>
        <w:t>savaitės ir 15,6</w:t>
      </w:r>
      <w:r w:rsidR="00C03DAC" w:rsidRPr="007C1A06">
        <w:rPr>
          <w:rFonts w:ascii="Times New Roman" w:hAnsi="Times New Roman"/>
        </w:rPr>
        <w:t> </w:t>
      </w:r>
      <w:r w:rsidRPr="007C1A06">
        <w:rPr>
          <w:rFonts w:ascii="Times New Roman" w:hAnsi="Times New Roman"/>
        </w:rPr>
        <w:t>savaitės; p</w:t>
      </w:r>
      <w:r w:rsidR="00C03DAC" w:rsidRPr="007C1A06">
        <w:rPr>
          <w:rFonts w:ascii="Times New Roman" w:hAnsi="Times New Roman"/>
        </w:rPr>
        <w:t> </w:t>
      </w:r>
      <w:r w:rsidRPr="007C1A06">
        <w:rPr>
          <w:rFonts w:ascii="Times New Roman" w:hAnsi="Times New Roman"/>
        </w:rPr>
        <w:t>&lt;</w:t>
      </w:r>
      <w:r w:rsidR="00C03DAC" w:rsidRPr="007C1A06">
        <w:rPr>
          <w:rFonts w:ascii="Times New Roman" w:hAnsi="Times New Roman"/>
        </w:rPr>
        <w:t> </w:t>
      </w:r>
      <w:r w:rsidRPr="007C1A06">
        <w:rPr>
          <w:rFonts w:ascii="Times New Roman" w:hAnsi="Times New Roman"/>
        </w:rPr>
        <w:t>0,01) bei išgyvento laikotarpio medianą (15,3</w:t>
      </w:r>
      <w:r w:rsidR="00C03DAC" w:rsidRPr="007C1A06">
        <w:rPr>
          <w:rFonts w:ascii="Times New Roman" w:hAnsi="Times New Roman"/>
        </w:rPr>
        <w:t> </w:t>
      </w:r>
      <w:r w:rsidRPr="007C1A06">
        <w:rPr>
          <w:rFonts w:ascii="Times New Roman" w:hAnsi="Times New Roman"/>
        </w:rPr>
        <w:t>mėnesio ir 12,7</w:t>
      </w:r>
      <w:r w:rsidR="00C03DAC" w:rsidRPr="007C1A06">
        <w:rPr>
          <w:rFonts w:ascii="Times New Roman" w:hAnsi="Times New Roman"/>
        </w:rPr>
        <w:t> </w:t>
      </w:r>
      <w:r w:rsidRPr="007C1A06">
        <w:rPr>
          <w:rFonts w:ascii="Times New Roman" w:hAnsi="Times New Roman"/>
        </w:rPr>
        <w:t>mėnesio; p=0,03). Pacientams, kuriems taikyta monoterapija docetakseliu, dažniau pasireiškė 3 arba 4</w:t>
      </w:r>
      <w:r w:rsidR="00C03DAC" w:rsidRPr="007C1A06">
        <w:rPr>
          <w:rFonts w:ascii="Times New Roman" w:hAnsi="Times New Roman"/>
        </w:rPr>
        <w:t> </w:t>
      </w:r>
      <w:r w:rsidRPr="007C1A06">
        <w:rPr>
          <w:rFonts w:ascii="Times New Roman" w:hAnsi="Times New Roman"/>
        </w:rPr>
        <w:t>laipsnio nepageidaujamų reiškinių (55,4</w:t>
      </w:r>
      <w:r w:rsidR="00C03DAC" w:rsidRPr="007C1A06">
        <w:rPr>
          <w:rFonts w:ascii="Times New Roman" w:hAnsi="Times New Roman"/>
        </w:rPr>
        <w:t> </w:t>
      </w:r>
      <w:r w:rsidRPr="007C1A06">
        <w:rPr>
          <w:rFonts w:ascii="Times New Roman" w:hAnsi="Times New Roman"/>
        </w:rPr>
        <w:t>%), palyginti su vartojusiais paklitakselio (23,0</w:t>
      </w:r>
      <w:r w:rsidR="00C03DAC" w:rsidRPr="007C1A06">
        <w:rPr>
          <w:rFonts w:ascii="Times New Roman" w:hAnsi="Times New Roman"/>
        </w:rPr>
        <w:t> </w:t>
      </w:r>
      <w:r w:rsidRPr="007C1A06">
        <w:rPr>
          <w:rFonts w:ascii="Times New Roman" w:hAnsi="Times New Roman"/>
        </w:rPr>
        <w:t>%).</w:t>
      </w:r>
    </w:p>
    <w:p w14:paraId="2FC0A45B" w14:textId="77777777" w:rsidR="00D875C0" w:rsidRPr="007C1A06" w:rsidRDefault="00D875C0" w:rsidP="00D875C0">
      <w:pPr>
        <w:autoSpaceDE w:val="0"/>
        <w:autoSpaceDN w:val="0"/>
        <w:adjustRightInd w:val="0"/>
        <w:spacing w:after="0" w:line="240" w:lineRule="auto"/>
        <w:rPr>
          <w:rFonts w:ascii="Times New Roman" w:hAnsi="Times New Roman"/>
        </w:rPr>
      </w:pPr>
    </w:p>
    <w:p w14:paraId="0C6E04D6"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i/>
        </w:rPr>
        <w:t>Docetakselio derinys su doksorubicinu</w:t>
      </w:r>
    </w:p>
    <w:p w14:paraId="73BC4E0C"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Atliktas didelės apimties atsitiktinis III fazės tyrimas, kuriame dalyvavo 429 pacientės, sergančios iki tol negydytu metastazavusiu krūties vėžiu. Viena tiriamųjų grupė (AT) gydyta doksorubicinu (50</w:t>
      </w:r>
      <w:r w:rsidR="00C03DAC"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ir docetakseliu (75</w:t>
      </w:r>
      <w:r w:rsidR="00C03DAC"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kita (AC) – doksorubicinu (60</w:t>
      </w:r>
      <w:r w:rsidR="00C03DAC"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ir ciklofosfamidu (600</w:t>
      </w:r>
      <w:r w:rsidR="00C03DAC"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Abiem atvejais nurodytų vaist</w:t>
      </w:r>
      <w:r w:rsidR="00DA6E7A" w:rsidRPr="007C1A06">
        <w:rPr>
          <w:rFonts w:ascii="Times New Roman" w:hAnsi="Times New Roman"/>
        </w:rPr>
        <w:t>inių preparat</w:t>
      </w:r>
      <w:r w:rsidRPr="007C1A06">
        <w:rPr>
          <w:rFonts w:ascii="Times New Roman" w:hAnsi="Times New Roman"/>
        </w:rPr>
        <w:t>ų infuzuota pirmąją kiekvieno 3</w:t>
      </w:r>
      <w:r w:rsidR="00C03DAC" w:rsidRPr="007C1A06">
        <w:rPr>
          <w:rFonts w:ascii="Times New Roman" w:hAnsi="Times New Roman"/>
        </w:rPr>
        <w:t> </w:t>
      </w:r>
      <w:r w:rsidRPr="007C1A06">
        <w:rPr>
          <w:rFonts w:ascii="Times New Roman" w:hAnsi="Times New Roman"/>
        </w:rPr>
        <w:t>savaičių ciklo dieną. AT grupės tiriamųjų laikotarpis iki ligos progresavimo buvo reikšmingai ilgesnis negu AC (p=0,0138). Laikotarpio iki ligos progresavimo mediana AT grupėje buvo 37,3</w:t>
      </w:r>
      <w:r w:rsidR="00C03DAC" w:rsidRPr="007C1A06">
        <w:rPr>
          <w:rFonts w:ascii="Times New Roman" w:hAnsi="Times New Roman"/>
        </w:rPr>
        <w:t> </w:t>
      </w:r>
      <w:r w:rsidRPr="007C1A06">
        <w:rPr>
          <w:rFonts w:ascii="Times New Roman" w:hAnsi="Times New Roman"/>
        </w:rPr>
        <w:t>savaitės (95</w:t>
      </w:r>
      <w:r w:rsidR="00C03DAC" w:rsidRPr="007C1A06">
        <w:rPr>
          <w:rFonts w:ascii="Times New Roman" w:hAnsi="Times New Roman"/>
        </w:rPr>
        <w:t> </w:t>
      </w:r>
      <w:r w:rsidRPr="007C1A06">
        <w:rPr>
          <w:rFonts w:ascii="Times New Roman" w:hAnsi="Times New Roman"/>
        </w:rPr>
        <w:t>% pasikliautinumo intervalas – 33,4</w:t>
      </w:r>
      <w:r w:rsidR="00C03DAC" w:rsidRPr="007C1A06">
        <w:rPr>
          <w:rFonts w:ascii="Times New Roman" w:hAnsi="Times New Roman"/>
        </w:rPr>
        <w:noBreakHyphen/>
      </w:r>
      <w:r w:rsidRPr="007C1A06">
        <w:rPr>
          <w:rFonts w:ascii="Times New Roman" w:hAnsi="Times New Roman"/>
        </w:rPr>
        <w:t>42,1</w:t>
      </w:r>
      <w:r w:rsidR="00C03DAC" w:rsidRPr="007C1A06">
        <w:rPr>
          <w:rFonts w:ascii="Times New Roman" w:hAnsi="Times New Roman"/>
        </w:rPr>
        <w:t> </w:t>
      </w:r>
      <w:r w:rsidRPr="007C1A06">
        <w:rPr>
          <w:rFonts w:ascii="Times New Roman" w:hAnsi="Times New Roman"/>
        </w:rPr>
        <w:t>savaitės), AC grupėje – 31,9</w:t>
      </w:r>
      <w:r w:rsidR="00C03DAC" w:rsidRPr="007C1A06">
        <w:rPr>
          <w:rFonts w:ascii="Times New Roman" w:hAnsi="Times New Roman"/>
        </w:rPr>
        <w:t> </w:t>
      </w:r>
      <w:r w:rsidRPr="007C1A06">
        <w:rPr>
          <w:rFonts w:ascii="Times New Roman" w:hAnsi="Times New Roman"/>
        </w:rPr>
        <w:t>savaitės (95</w:t>
      </w:r>
      <w:r w:rsidR="00C03DAC" w:rsidRPr="007C1A06">
        <w:rPr>
          <w:rFonts w:ascii="Times New Roman" w:hAnsi="Times New Roman"/>
        </w:rPr>
        <w:t> </w:t>
      </w:r>
      <w:r w:rsidRPr="007C1A06">
        <w:rPr>
          <w:rFonts w:ascii="Times New Roman" w:hAnsi="Times New Roman"/>
        </w:rPr>
        <w:t>% pasikliautinumo intervalas – 27,4</w:t>
      </w:r>
      <w:r w:rsidR="00C03DAC" w:rsidRPr="007C1A06">
        <w:rPr>
          <w:rFonts w:ascii="Times New Roman" w:hAnsi="Times New Roman"/>
        </w:rPr>
        <w:noBreakHyphen/>
      </w:r>
      <w:r w:rsidRPr="007C1A06">
        <w:rPr>
          <w:rFonts w:ascii="Times New Roman" w:hAnsi="Times New Roman"/>
        </w:rPr>
        <w:t>36</w:t>
      </w:r>
      <w:r w:rsidR="00C03DAC" w:rsidRPr="007C1A06">
        <w:rPr>
          <w:rFonts w:ascii="Times New Roman" w:hAnsi="Times New Roman"/>
        </w:rPr>
        <w:t> </w:t>
      </w:r>
      <w:r w:rsidRPr="007C1A06">
        <w:rPr>
          <w:rFonts w:ascii="Times New Roman" w:hAnsi="Times New Roman"/>
        </w:rPr>
        <w:t>savaitės).</w:t>
      </w:r>
    </w:p>
    <w:p w14:paraId="1A0B0711"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Bendras atsako dažnumas AT grupėje buvo reikšmingai didesnis negu AC (p=0,009). Bendras atsako dažnis AT grupėje buvo 59,3</w:t>
      </w:r>
      <w:r w:rsidR="00C03DAC" w:rsidRPr="007C1A06">
        <w:rPr>
          <w:rFonts w:ascii="Times New Roman" w:hAnsi="Times New Roman"/>
        </w:rPr>
        <w:t> </w:t>
      </w:r>
      <w:r w:rsidRPr="007C1A06">
        <w:rPr>
          <w:rFonts w:ascii="Times New Roman" w:hAnsi="Times New Roman"/>
        </w:rPr>
        <w:t>% (95</w:t>
      </w:r>
      <w:r w:rsidR="00C03DAC" w:rsidRPr="007C1A06">
        <w:rPr>
          <w:rFonts w:ascii="Times New Roman" w:hAnsi="Times New Roman"/>
        </w:rPr>
        <w:t> </w:t>
      </w:r>
      <w:r w:rsidRPr="007C1A06">
        <w:rPr>
          <w:rFonts w:ascii="Times New Roman" w:hAnsi="Times New Roman"/>
        </w:rPr>
        <w:t>% pasikliautinumo intervalas – 52,8</w:t>
      </w:r>
      <w:r w:rsidR="00C03DAC" w:rsidRPr="007C1A06">
        <w:rPr>
          <w:rFonts w:ascii="Times New Roman" w:hAnsi="Times New Roman"/>
        </w:rPr>
        <w:noBreakHyphen/>
      </w:r>
      <w:r w:rsidRPr="007C1A06">
        <w:rPr>
          <w:rFonts w:ascii="Times New Roman" w:hAnsi="Times New Roman"/>
        </w:rPr>
        <w:t>65,9</w:t>
      </w:r>
      <w:r w:rsidR="00C03DAC" w:rsidRPr="007C1A06">
        <w:rPr>
          <w:rFonts w:ascii="Times New Roman" w:hAnsi="Times New Roman"/>
        </w:rPr>
        <w:t> </w:t>
      </w:r>
      <w:r w:rsidRPr="007C1A06">
        <w:rPr>
          <w:rFonts w:ascii="Times New Roman" w:hAnsi="Times New Roman"/>
        </w:rPr>
        <w:t>%), AC grupėje – 46,5</w:t>
      </w:r>
      <w:r w:rsidR="00C03DAC" w:rsidRPr="007C1A06">
        <w:rPr>
          <w:rFonts w:ascii="Times New Roman" w:hAnsi="Times New Roman"/>
        </w:rPr>
        <w:t> </w:t>
      </w:r>
      <w:r w:rsidRPr="007C1A06">
        <w:rPr>
          <w:rFonts w:ascii="Times New Roman" w:hAnsi="Times New Roman"/>
        </w:rPr>
        <w:t>% (95</w:t>
      </w:r>
      <w:r w:rsidR="00C03DAC" w:rsidRPr="007C1A06">
        <w:rPr>
          <w:rFonts w:ascii="Times New Roman" w:hAnsi="Times New Roman"/>
        </w:rPr>
        <w:t> </w:t>
      </w:r>
      <w:r w:rsidRPr="007C1A06">
        <w:rPr>
          <w:rFonts w:ascii="Times New Roman" w:hAnsi="Times New Roman"/>
        </w:rPr>
        <w:t>% pasikliautinumo intervalas – 39,8</w:t>
      </w:r>
      <w:r w:rsidR="00C03DAC" w:rsidRPr="007C1A06">
        <w:rPr>
          <w:rFonts w:ascii="Times New Roman" w:hAnsi="Times New Roman"/>
        </w:rPr>
        <w:noBreakHyphen/>
      </w:r>
      <w:r w:rsidRPr="007C1A06">
        <w:rPr>
          <w:rFonts w:ascii="Times New Roman" w:hAnsi="Times New Roman"/>
        </w:rPr>
        <w:t>53,2</w:t>
      </w:r>
      <w:r w:rsidR="00C03DAC" w:rsidRPr="007C1A06">
        <w:rPr>
          <w:rFonts w:ascii="Times New Roman" w:hAnsi="Times New Roman"/>
        </w:rPr>
        <w:t> </w:t>
      </w:r>
      <w:r w:rsidRPr="007C1A06">
        <w:rPr>
          <w:rFonts w:ascii="Times New Roman" w:hAnsi="Times New Roman"/>
        </w:rPr>
        <w:t>%).</w:t>
      </w:r>
    </w:p>
    <w:p w14:paraId="341ACF7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Šio tyrimo metu AT grupės tiriamosioms dažniau negu AC grupės pasireiškė sunki neutropenija (atitinkamai 90</w:t>
      </w:r>
      <w:r w:rsidR="00C03DAC" w:rsidRPr="007C1A06">
        <w:rPr>
          <w:rFonts w:ascii="Times New Roman" w:hAnsi="Times New Roman"/>
        </w:rPr>
        <w:t> </w:t>
      </w:r>
      <w:r w:rsidRPr="007C1A06">
        <w:rPr>
          <w:rFonts w:ascii="Times New Roman" w:hAnsi="Times New Roman"/>
        </w:rPr>
        <w:t>% ir 68,6</w:t>
      </w:r>
      <w:r w:rsidR="00C03DAC" w:rsidRPr="007C1A06">
        <w:rPr>
          <w:rFonts w:ascii="Times New Roman" w:hAnsi="Times New Roman"/>
        </w:rPr>
        <w:t> </w:t>
      </w:r>
      <w:r w:rsidRPr="007C1A06">
        <w:rPr>
          <w:rFonts w:ascii="Times New Roman" w:hAnsi="Times New Roman"/>
        </w:rPr>
        <w:t>%), febrilinė neutropenija (33,3</w:t>
      </w:r>
      <w:r w:rsidR="00C03DAC" w:rsidRPr="007C1A06">
        <w:rPr>
          <w:rFonts w:ascii="Times New Roman" w:hAnsi="Times New Roman"/>
        </w:rPr>
        <w:t> </w:t>
      </w:r>
      <w:r w:rsidRPr="007C1A06">
        <w:rPr>
          <w:rFonts w:ascii="Times New Roman" w:hAnsi="Times New Roman"/>
        </w:rPr>
        <w:t>% ir 10</w:t>
      </w:r>
      <w:r w:rsidR="00C03DAC" w:rsidRPr="007C1A06">
        <w:rPr>
          <w:rFonts w:ascii="Times New Roman" w:hAnsi="Times New Roman"/>
        </w:rPr>
        <w:t> </w:t>
      </w:r>
      <w:r w:rsidRPr="007C1A06">
        <w:rPr>
          <w:rFonts w:ascii="Times New Roman" w:hAnsi="Times New Roman"/>
        </w:rPr>
        <w:t>%), infekcija (8</w:t>
      </w:r>
      <w:r w:rsidR="00C03DAC" w:rsidRPr="007C1A06">
        <w:rPr>
          <w:rFonts w:ascii="Times New Roman" w:hAnsi="Times New Roman"/>
        </w:rPr>
        <w:t> </w:t>
      </w:r>
      <w:r w:rsidRPr="007C1A06">
        <w:rPr>
          <w:rFonts w:ascii="Times New Roman" w:hAnsi="Times New Roman"/>
        </w:rPr>
        <w:t>% ir 2,4</w:t>
      </w:r>
      <w:r w:rsidR="00C03DAC" w:rsidRPr="007C1A06">
        <w:rPr>
          <w:rFonts w:ascii="Times New Roman" w:hAnsi="Times New Roman"/>
        </w:rPr>
        <w:t> </w:t>
      </w:r>
      <w:r w:rsidRPr="007C1A06">
        <w:rPr>
          <w:rFonts w:ascii="Times New Roman" w:hAnsi="Times New Roman"/>
        </w:rPr>
        <w:t>%), viduriavimas (7,5</w:t>
      </w:r>
      <w:r w:rsidR="00C03DAC" w:rsidRPr="007C1A06">
        <w:rPr>
          <w:rFonts w:ascii="Times New Roman" w:hAnsi="Times New Roman"/>
        </w:rPr>
        <w:t> </w:t>
      </w:r>
      <w:r w:rsidRPr="007C1A06">
        <w:rPr>
          <w:rFonts w:ascii="Times New Roman" w:hAnsi="Times New Roman"/>
        </w:rPr>
        <w:t>% ir 1,4</w:t>
      </w:r>
      <w:r w:rsidR="00C03DAC" w:rsidRPr="007C1A06">
        <w:rPr>
          <w:rFonts w:ascii="Times New Roman" w:hAnsi="Times New Roman"/>
        </w:rPr>
        <w:t> </w:t>
      </w:r>
      <w:r w:rsidRPr="007C1A06">
        <w:rPr>
          <w:rFonts w:ascii="Times New Roman" w:hAnsi="Times New Roman"/>
        </w:rPr>
        <w:t>%), astenija (8,5</w:t>
      </w:r>
      <w:r w:rsidR="00C03DAC" w:rsidRPr="007C1A06">
        <w:rPr>
          <w:rFonts w:ascii="Times New Roman" w:hAnsi="Times New Roman"/>
        </w:rPr>
        <w:t> </w:t>
      </w:r>
      <w:r w:rsidRPr="007C1A06">
        <w:rPr>
          <w:rFonts w:ascii="Times New Roman" w:hAnsi="Times New Roman"/>
        </w:rPr>
        <w:t>% ir 2,4</w:t>
      </w:r>
      <w:r w:rsidR="00C03DAC" w:rsidRPr="007C1A06">
        <w:rPr>
          <w:rFonts w:ascii="Times New Roman" w:hAnsi="Times New Roman"/>
        </w:rPr>
        <w:t> </w:t>
      </w:r>
      <w:r w:rsidRPr="007C1A06">
        <w:rPr>
          <w:rFonts w:ascii="Times New Roman" w:hAnsi="Times New Roman"/>
        </w:rPr>
        <w:t>%), skausmas (2,8</w:t>
      </w:r>
      <w:r w:rsidR="00C03DAC" w:rsidRPr="007C1A06">
        <w:rPr>
          <w:rFonts w:ascii="Times New Roman" w:hAnsi="Times New Roman"/>
        </w:rPr>
        <w:t> </w:t>
      </w:r>
      <w:r w:rsidRPr="007C1A06">
        <w:rPr>
          <w:rFonts w:ascii="Times New Roman" w:hAnsi="Times New Roman"/>
        </w:rPr>
        <w:t>% ir 0</w:t>
      </w:r>
      <w:r w:rsidR="00C03DAC" w:rsidRPr="007C1A06">
        <w:rPr>
          <w:rFonts w:ascii="Times New Roman" w:hAnsi="Times New Roman"/>
        </w:rPr>
        <w:t> </w:t>
      </w:r>
      <w:r w:rsidRPr="007C1A06">
        <w:rPr>
          <w:rFonts w:ascii="Times New Roman" w:hAnsi="Times New Roman"/>
        </w:rPr>
        <w:t>%). Kita vertus, AC grupės tiriamosioms dažnesnė buvo sunki anemija (atitinkamai 15,8</w:t>
      </w:r>
      <w:r w:rsidR="00C03DAC" w:rsidRPr="007C1A06">
        <w:rPr>
          <w:rFonts w:ascii="Times New Roman" w:hAnsi="Times New Roman"/>
        </w:rPr>
        <w:t> </w:t>
      </w:r>
      <w:r w:rsidRPr="007C1A06">
        <w:rPr>
          <w:rFonts w:ascii="Times New Roman" w:hAnsi="Times New Roman"/>
        </w:rPr>
        <w:t>% ir 8,5</w:t>
      </w:r>
      <w:r w:rsidR="00C03DAC" w:rsidRPr="007C1A06">
        <w:rPr>
          <w:rFonts w:ascii="Times New Roman" w:hAnsi="Times New Roman"/>
        </w:rPr>
        <w:t> </w:t>
      </w:r>
      <w:r w:rsidRPr="007C1A06">
        <w:rPr>
          <w:rFonts w:ascii="Times New Roman" w:hAnsi="Times New Roman"/>
        </w:rPr>
        <w:t>%) bei sunkus kardiotoksinis poveikis: stazinis širdies nepakankamumas (atitinkamai 3,8</w:t>
      </w:r>
      <w:r w:rsidR="00C03DAC" w:rsidRPr="007C1A06">
        <w:rPr>
          <w:rFonts w:ascii="Times New Roman" w:hAnsi="Times New Roman"/>
        </w:rPr>
        <w:t> </w:t>
      </w:r>
      <w:r w:rsidRPr="007C1A06">
        <w:rPr>
          <w:rFonts w:ascii="Times New Roman" w:hAnsi="Times New Roman"/>
        </w:rPr>
        <w:t>% ir 2,8</w:t>
      </w:r>
      <w:r w:rsidR="00C03DAC" w:rsidRPr="007C1A06">
        <w:rPr>
          <w:rFonts w:ascii="Times New Roman" w:hAnsi="Times New Roman"/>
        </w:rPr>
        <w:t> </w:t>
      </w:r>
      <w:r w:rsidRPr="007C1A06">
        <w:rPr>
          <w:rFonts w:ascii="Times New Roman" w:hAnsi="Times New Roman"/>
        </w:rPr>
        <w:t>%), absoliučios kairiojo skilvelio išstūmimo frakcijos sumažėjimas 20</w:t>
      </w:r>
      <w:r w:rsidR="00C03DAC" w:rsidRPr="007C1A06">
        <w:rPr>
          <w:rFonts w:ascii="Times New Roman" w:hAnsi="Times New Roman"/>
        </w:rPr>
        <w:t> </w:t>
      </w:r>
      <w:r w:rsidRPr="007C1A06">
        <w:rPr>
          <w:rFonts w:ascii="Times New Roman" w:hAnsi="Times New Roman"/>
        </w:rPr>
        <w:t>% ar daugiau (13,1</w:t>
      </w:r>
      <w:r w:rsidR="00C03DAC" w:rsidRPr="007C1A06">
        <w:rPr>
          <w:rFonts w:ascii="Times New Roman" w:hAnsi="Times New Roman"/>
        </w:rPr>
        <w:t> </w:t>
      </w:r>
      <w:r w:rsidRPr="007C1A06">
        <w:rPr>
          <w:rFonts w:ascii="Times New Roman" w:hAnsi="Times New Roman"/>
        </w:rPr>
        <w:t>% ir 6,1</w:t>
      </w:r>
      <w:r w:rsidR="00C03DAC" w:rsidRPr="007C1A06">
        <w:rPr>
          <w:rFonts w:ascii="Times New Roman" w:hAnsi="Times New Roman"/>
        </w:rPr>
        <w:t> </w:t>
      </w:r>
      <w:r w:rsidRPr="007C1A06">
        <w:rPr>
          <w:rFonts w:ascii="Times New Roman" w:hAnsi="Times New Roman"/>
        </w:rPr>
        <w:t>%), absoliučios kairiojo skilvelio išstūmimo frakcijos sumažėjimas 30</w:t>
      </w:r>
      <w:r w:rsidR="00C03DAC" w:rsidRPr="007C1A06">
        <w:rPr>
          <w:rFonts w:ascii="Times New Roman" w:hAnsi="Times New Roman"/>
        </w:rPr>
        <w:t> </w:t>
      </w:r>
      <w:r w:rsidRPr="007C1A06">
        <w:rPr>
          <w:rFonts w:ascii="Times New Roman" w:hAnsi="Times New Roman"/>
        </w:rPr>
        <w:t>% ar daugiau (6,2</w:t>
      </w:r>
      <w:r w:rsidR="00C03DAC" w:rsidRPr="007C1A06">
        <w:rPr>
          <w:rFonts w:ascii="Times New Roman" w:hAnsi="Times New Roman"/>
        </w:rPr>
        <w:t> </w:t>
      </w:r>
      <w:r w:rsidRPr="007C1A06">
        <w:rPr>
          <w:rFonts w:ascii="Times New Roman" w:hAnsi="Times New Roman"/>
        </w:rPr>
        <w:t>% ir 1,1</w:t>
      </w:r>
      <w:r w:rsidR="00C03DAC" w:rsidRPr="007C1A06">
        <w:rPr>
          <w:rFonts w:ascii="Times New Roman" w:hAnsi="Times New Roman"/>
        </w:rPr>
        <w:t> </w:t>
      </w:r>
      <w:r w:rsidRPr="007C1A06">
        <w:rPr>
          <w:rFonts w:ascii="Times New Roman" w:hAnsi="Times New Roman"/>
        </w:rPr>
        <w:t>%). Dėl vaistinių preparatų toksinio poveikio mirė 1 AT grupės pacientė (pasireiškė stazinis širdies nepakankamumas) ir 4 AC grupės pacientės (1 ištiko sepsinis šokas, 3 – stazinis širdies nepakankamumas).</w:t>
      </w:r>
    </w:p>
    <w:p w14:paraId="03953211"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Abiejų grupių tiriamųjų gyvenimo kokybė (remiantis </w:t>
      </w:r>
      <w:r w:rsidRPr="007C1A06">
        <w:rPr>
          <w:rFonts w:ascii="Times New Roman" w:hAnsi="Times New Roman"/>
          <w:i/>
        </w:rPr>
        <w:t xml:space="preserve">EORTC </w:t>
      </w:r>
      <w:r w:rsidRPr="007C1A06">
        <w:rPr>
          <w:rFonts w:ascii="Times New Roman" w:hAnsi="Times New Roman"/>
        </w:rPr>
        <w:t>klausimų rinkiniu) gydymo bei vėlesnio stebėjimo metu buvo panaši ir stabili.</w:t>
      </w:r>
    </w:p>
    <w:p w14:paraId="0DAE6E00" w14:textId="77777777" w:rsidR="00D875C0" w:rsidRPr="007C1A06" w:rsidRDefault="00D875C0" w:rsidP="00D875C0">
      <w:pPr>
        <w:autoSpaceDE w:val="0"/>
        <w:autoSpaceDN w:val="0"/>
        <w:adjustRightInd w:val="0"/>
        <w:spacing w:after="0" w:line="240" w:lineRule="auto"/>
        <w:rPr>
          <w:rFonts w:ascii="Times New Roman" w:hAnsi="Times New Roman"/>
        </w:rPr>
      </w:pPr>
    </w:p>
    <w:p w14:paraId="77BEB5D6"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i/>
        </w:rPr>
        <w:t>Docetakselio derinys su trastuzumabu</w:t>
      </w:r>
    </w:p>
    <w:p w14:paraId="6A52C9A7"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Tirtas docetakselio ir trastuzumabo derinio poveikis pacientėms, sergančioms metastazavusiu krūties vėžiu su HER2 hiperekspresija, kurio (metastazavusio) chemoterapija anksčiau netaikyta. 186 pacientės atsitiktinai parinktos vartoti 100</w:t>
      </w:r>
      <w:r w:rsidR="00C03DAC"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docetakselio su trastuzumabu ar be jo. 60</w:t>
      </w:r>
      <w:r w:rsidR="00C03DAC" w:rsidRPr="007C1A06">
        <w:rPr>
          <w:rFonts w:ascii="Times New Roman" w:hAnsi="Times New Roman"/>
        </w:rPr>
        <w:t> </w:t>
      </w:r>
      <w:r w:rsidRPr="007C1A06">
        <w:rPr>
          <w:rFonts w:ascii="Times New Roman" w:hAnsi="Times New Roman"/>
        </w:rPr>
        <w:t xml:space="preserve">% pacienčių prieš tai taikyta adjuvantinė chemoterapija, kurios pagrindinis vaistinis preparatas antraciklinas. Docetakselio ir trastuzumabo derinys buvo veiksmingas nepriklausomai nuo to, ar anksčiau taikyta adjuvantinė chemoterapija antraciklinais. Pagrindinis tyrimas, šio labai svarbaus tyrimo metu naudotas nustatymui, ar navikas HER2 teigiamas, buvo imunohistocheminis (IHC). Nedaugelis pacienčių tirtos fluorescencijos būdu </w:t>
      </w:r>
      <w:r w:rsidRPr="007C1A06">
        <w:rPr>
          <w:rFonts w:ascii="Times New Roman" w:hAnsi="Times New Roman"/>
          <w:i/>
        </w:rPr>
        <w:t xml:space="preserve">in situ </w:t>
      </w:r>
      <w:r w:rsidRPr="007C1A06">
        <w:rPr>
          <w:rFonts w:ascii="Times New Roman" w:hAnsi="Times New Roman"/>
        </w:rPr>
        <w:t>atlikus hibridizaciją (FISH). 87</w:t>
      </w:r>
      <w:r w:rsidR="005F624F">
        <w:rPr>
          <w:rFonts w:ascii="Times New Roman" w:hAnsi="Times New Roman"/>
        </w:rPr>
        <w:t> </w:t>
      </w:r>
      <w:r w:rsidRPr="007C1A06">
        <w:rPr>
          <w:rFonts w:ascii="Times New Roman" w:hAnsi="Times New Roman"/>
        </w:rPr>
        <w:t>% į tyrimą įtrauktų pacienčių sirgo IHC 3+ naviku, 95</w:t>
      </w:r>
      <w:r w:rsidR="00C03DAC" w:rsidRPr="007C1A06">
        <w:rPr>
          <w:rFonts w:ascii="Times New Roman" w:hAnsi="Times New Roman"/>
        </w:rPr>
        <w:t> </w:t>
      </w:r>
      <w:r w:rsidRPr="007C1A06">
        <w:rPr>
          <w:rFonts w:ascii="Times New Roman" w:hAnsi="Times New Roman"/>
        </w:rPr>
        <w:t>% – IHC 3+ ir (ar) FISH teigiamu naviku. Gydymo veiksmingumo duomenys apibendrinami lentelėje:</w:t>
      </w:r>
    </w:p>
    <w:p w14:paraId="050EEFB3" w14:textId="77777777" w:rsidR="00D875C0" w:rsidRPr="007C1A06" w:rsidRDefault="00D875C0" w:rsidP="00D875C0">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2438"/>
        <w:gridCol w:w="3025"/>
      </w:tblGrid>
      <w:tr w:rsidR="00D875C0" w:rsidRPr="007C1A06" w14:paraId="7C5126F2" w14:textId="77777777" w:rsidTr="004E3CD5">
        <w:tc>
          <w:tcPr>
            <w:tcW w:w="3708" w:type="dxa"/>
          </w:tcPr>
          <w:p w14:paraId="290E6C50" w14:textId="77777777" w:rsidR="00D875C0" w:rsidRPr="007C1A06" w:rsidRDefault="00D875C0" w:rsidP="003876F8">
            <w:pPr>
              <w:spacing w:after="0" w:line="240" w:lineRule="auto"/>
              <w:rPr>
                <w:rFonts w:ascii="Times New Roman" w:hAnsi="Times New Roman"/>
              </w:rPr>
            </w:pPr>
            <w:r w:rsidRPr="007C1A06">
              <w:rPr>
                <w:rFonts w:ascii="Times New Roman" w:hAnsi="Times New Roman"/>
              </w:rPr>
              <w:t>Rodiklis</w:t>
            </w:r>
          </w:p>
        </w:tc>
        <w:tc>
          <w:tcPr>
            <w:tcW w:w="2479" w:type="dxa"/>
          </w:tcPr>
          <w:p w14:paraId="295DFB13"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Docetakselis ir trastuzumabas</w:t>
            </w:r>
            <w:r w:rsidRPr="007C1A06">
              <w:rPr>
                <w:rFonts w:ascii="Times New Roman" w:hAnsi="Times New Roman"/>
                <w:vertAlign w:val="superscript"/>
              </w:rPr>
              <w:t>1</w:t>
            </w:r>
          </w:p>
          <w:p w14:paraId="1575E2B8" w14:textId="77777777" w:rsidR="00D875C0" w:rsidRPr="004E3CD5" w:rsidRDefault="00D875C0" w:rsidP="00C03DAC">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(n=92)</w:t>
            </w:r>
          </w:p>
        </w:tc>
        <w:tc>
          <w:tcPr>
            <w:tcW w:w="3099" w:type="dxa"/>
          </w:tcPr>
          <w:p w14:paraId="66876603"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Docetakselis</w:t>
            </w:r>
            <w:r w:rsidRPr="007C1A06">
              <w:rPr>
                <w:rFonts w:ascii="Times New Roman" w:hAnsi="Times New Roman"/>
                <w:vertAlign w:val="superscript"/>
              </w:rPr>
              <w:t>1</w:t>
            </w:r>
          </w:p>
          <w:p w14:paraId="736171A1" w14:textId="77777777" w:rsidR="00D875C0" w:rsidRPr="004E3CD5" w:rsidRDefault="00D875C0" w:rsidP="00C03DAC">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(n=94)</w:t>
            </w:r>
          </w:p>
        </w:tc>
      </w:tr>
      <w:tr w:rsidR="00D875C0" w:rsidRPr="007C1A06" w14:paraId="2B2AC3E9" w14:textId="77777777" w:rsidTr="004E3CD5">
        <w:tc>
          <w:tcPr>
            <w:tcW w:w="3708" w:type="dxa"/>
          </w:tcPr>
          <w:p w14:paraId="504FFCB0"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Atsako dažnis</w:t>
            </w:r>
          </w:p>
          <w:p w14:paraId="279DBFA2" w14:textId="77777777" w:rsidR="00D875C0" w:rsidRPr="00427D92" w:rsidRDefault="00D875C0" w:rsidP="00C03DAC">
            <w:pPr>
              <w:autoSpaceDE w:val="0"/>
              <w:autoSpaceDN w:val="0"/>
              <w:adjustRightInd w:val="0"/>
              <w:spacing w:after="0" w:line="240" w:lineRule="auto"/>
              <w:rPr>
                <w:rFonts w:ascii="Times New Roman" w:hAnsi="Times New Roman"/>
              </w:rPr>
            </w:pPr>
            <w:r w:rsidRPr="00427D92">
              <w:rPr>
                <w:rFonts w:ascii="Times New Roman" w:hAnsi="Times New Roman"/>
              </w:rPr>
              <w:t>(95</w:t>
            </w:r>
            <w:r w:rsidR="00C03DAC" w:rsidRPr="00427D92">
              <w:rPr>
                <w:rFonts w:ascii="Times New Roman" w:hAnsi="Times New Roman"/>
              </w:rPr>
              <w:t> </w:t>
            </w:r>
            <w:r w:rsidRPr="00427D92">
              <w:rPr>
                <w:rFonts w:ascii="Times New Roman" w:hAnsi="Times New Roman"/>
              </w:rPr>
              <w:t>% PI)</w:t>
            </w:r>
          </w:p>
        </w:tc>
        <w:tc>
          <w:tcPr>
            <w:tcW w:w="2479" w:type="dxa"/>
          </w:tcPr>
          <w:p w14:paraId="69CD7F91" w14:textId="77777777" w:rsidR="00D875C0" w:rsidRPr="007C1A06" w:rsidRDefault="00D875C0" w:rsidP="004E3CD5">
            <w:pPr>
              <w:autoSpaceDE w:val="0"/>
              <w:autoSpaceDN w:val="0"/>
              <w:adjustRightInd w:val="0"/>
              <w:spacing w:after="0" w:line="240" w:lineRule="auto"/>
              <w:rPr>
                <w:rFonts w:ascii="Times New Roman" w:hAnsi="Times New Roman"/>
              </w:rPr>
            </w:pPr>
            <w:r w:rsidRPr="000C43D3">
              <w:rPr>
                <w:rFonts w:ascii="Times New Roman" w:hAnsi="Times New Roman"/>
              </w:rPr>
              <w:t>61</w:t>
            </w:r>
            <w:r w:rsidR="00C03DAC" w:rsidRPr="00C722B4">
              <w:rPr>
                <w:rFonts w:ascii="Times New Roman" w:hAnsi="Times New Roman"/>
              </w:rPr>
              <w:t> </w:t>
            </w:r>
            <w:r w:rsidRPr="007C1A06">
              <w:rPr>
                <w:rFonts w:ascii="Times New Roman" w:hAnsi="Times New Roman"/>
              </w:rPr>
              <w:t>%</w:t>
            </w:r>
          </w:p>
          <w:p w14:paraId="0BA3D617"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(50</w:t>
            </w:r>
            <w:r w:rsidR="00C03DAC" w:rsidRPr="007C1A06">
              <w:rPr>
                <w:rFonts w:ascii="Times New Roman" w:hAnsi="Times New Roman"/>
              </w:rPr>
              <w:noBreakHyphen/>
            </w:r>
            <w:r w:rsidRPr="007C1A06">
              <w:rPr>
                <w:rFonts w:ascii="Times New Roman" w:hAnsi="Times New Roman"/>
              </w:rPr>
              <w:t>71)</w:t>
            </w:r>
          </w:p>
        </w:tc>
        <w:tc>
          <w:tcPr>
            <w:tcW w:w="3099" w:type="dxa"/>
          </w:tcPr>
          <w:p w14:paraId="2758DFDD"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34</w:t>
            </w:r>
            <w:r w:rsidR="00C03DAC" w:rsidRPr="007C1A06">
              <w:rPr>
                <w:rFonts w:ascii="Times New Roman" w:hAnsi="Times New Roman"/>
              </w:rPr>
              <w:t> </w:t>
            </w:r>
            <w:r w:rsidRPr="007C1A06">
              <w:rPr>
                <w:rFonts w:ascii="Times New Roman" w:hAnsi="Times New Roman"/>
              </w:rPr>
              <w:t>%</w:t>
            </w:r>
          </w:p>
          <w:p w14:paraId="1790DAE8"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(25</w:t>
            </w:r>
            <w:r w:rsidR="00C03DAC" w:rsidRPr="007C1A06">
              <w:rPr>
                <w:rFonts w:ascii="Times New Roman" w:hAnsi="Times New Roman"/>
              </w:rPr>
              <w:noBreakHyphen/>
            </w:r>
            <w:r w:rsidRPr="007C1A06">
              <w:rPr>
                <w:rFonts w:ascii="Times New Roman" w:hAnsi="Times New Roman"/>
              </w:rPr>
              <w:t>45)</w:t>
            </w:r>
          </w:p>
        </w:tc>
      </w:tr>
      <w:tr w:rsidR="00D875C0" w:rsidRPr="007C1A06" w14:paraId="6E86B40A" w14:textId="77777777" w:rsidTr="004E3CD5">
        <w:tc>
          <w:tcPr>
            <w:tcW w:w="3708" w:type="dxa"/>
          </w:tcPr>
          <w:p w14:paraId="22AA7C04"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Atsako trukmės mediana (mėn.)</w:t>
            </w:r>
          </w:p>
          <w:p w14:paraId="01646C0A" w14:textId="77777777" w:rsidR="00D875C0" w:rsidRPr="00427D92" w:rsidRDefault="00D875C0" w:rsidP="00C03DAC">
            <w:pPr>
              <w:autoSpaceDE w:val="0"/>
              <w:autoSpaceDN w:val="0"/>
              <w:adjustRightInd w:val="0"/>
              <w:spacing w:after="0" w:line="240" w:lineRule="auto"/>
              <w:rPr>
                <w:rFonts w:ascii="Times New Roman" w:hAnsi="Times New Roman"/>
              </w:rPr>
            </w:pPr>
            <w:r w:rsidRPr="00427D92">
              <w:rPr>
                <w:rFonts w:ascii="Times New Roman" w:hAnsi="Times New Roman"/>
              </w:rPr>
              <w:t>(95</w:t>
            </w:r>
            <w:r w:rsidR="00C03DAC" w:rsidRPr="00427D92">
              <w:rPr>
                <w:rFonts w:ascii="Times New Roman" w:hAnsi="Times New Roman"/>
              </w:rPr>
              <w:t> </w:t>
            </w:r>
            <w:r w:rsidRPr="00427D92">
              <w:rPr>
                <w:rFonts w:ascii="Times New Roman" w:hAnsi="Times New Roman"/>
              </w:rPr>
              <w:t>% PI)</w:t>
            </w:r>
          </w:p>
        </w:tc>
        <w:tc>
          <w:tcPr>
            <w:tcW w:w="2479" w:type="dxa"/>
          </w:tcPr>
          <w:p w14:paraId="04917329" w14:textId="77777777" w:rsidR="00D875C0" w:rsidRPr="000C43D3" w:rsidRDefault="00D875C0" w:rsidP="004E3CD5">
            <w:pPr>
              <w:autoSpaceDE w:val="0"/>
              <w:autoSpaceDN w:val="0"/>
              <w:adjustRightInd w:val="0"/>
              <w:spacing w:after="0" w:line="240" w:lineRule="auto"/>
              <w:rPr>
                <w:rFonts w:ascii="Times New Roman" w:hAnsi="Times New Roman"/>
              </w:rPr>
            </w:pPr>
            <w:r w:rsidRPr="000C43D3">
              <w:rPr>
                <w:rFonts w:ascii="Times New Roman" w:hAnsi="Times New Roman"/>
              </w:rPr>
              <w:t>11,4</w:t>
            </w:r>
          </w:p>
          <w:p w14:paraId="5AFB8FDC" w14:textId="77777777" w:rsidR="00D875C0" w:rsidRPr="007C1A06" w:rsidRDefault="00D875C0" w:rsidP="004E3CD5">
            <w:pPr>
              <w:autoSpaceDE w:val="0"/>
              <w:autoSpaceDN w:val="0"/>
              <w:adjustRightInd w:val="0"/>
              <w:spacing w:after="0" w:line="240" w:lineRule="auto"/>
              <w:rPr>
                <w:rFonts w:ascii="Times New Roman" w:hAnsi="Times New Roman"/>
              </w:rPr>
            </w:pPr>
            <w:r w:rsidRPr="00C722B4">
              <w:rPr>
                <w:rFonts w:ascii="Times New Roman" w:hAnsi="Times New Roman"/>
              </w:rPr>
              <w:t>(9,2</w:t>
            </w:r>
            <w:r w:rsidR="00C03DAC" w:rsidRPr="007C1A06">
              <w:rPr>
                <w:rFonts w:ascii="Times New Roman" w:hAnsi="Times New Roman"/>
              </w:rPr>
              <w:noBreakHyphen/>
            </w:r>
            <w:r w:rsidRPr="007C1A06">
              <w:rPr>
                <w:rFonts w:ascii="Times New Roman" w:hAnsi="Times New Roman"/>
              </w:rPr>
              <w:t>15,0)</w:t>
            </w:r>
          </w:p>
        </w:tc>
        <w:tc>
          <w:tcPr>
            <w:tcW w:w="3099" w:type="dxa"/>
          </w:tcPr>
          <w:p w14:paraId="7FCAD772"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5,1</w:t>
            </w:r>
          </w:p>
          <w:p w14:paraId="23B84047"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(4,4</w:t>
            </w:r>
            <w:r w:rsidR="00C03DAC" w:rsidRPr="007C1A06">
              <w:rPr>
                <w:rFonts w:ascii="Times New Roman" w:hAnsi="Times New Roman"/>
              </w:rPr>
              <w:noBreakHyphen/>
            </w:r>
            <w:r w:rsidRPr="007C1A06">
              <w:rPr>
                <w:rFonts w:ascii="Times New Roman" w:hAnsi="Times New Roman"/>
              </w:rPr>
              <w:t>6,2)</w:t>
            </w:r>
          </w:p>
        </w:tc>
      </w:tr>
      <w:tr w:rsidR="00D875C0" w:rsidRPr="007C1A06" w14:paraId="4D309590" w14:textId="77777777" w:rsidTr="004E3CD5">
        <w:tc>
          <w:tcPr>
            <w:tcW w:w="3708" w:type="dxa"/>
          </w:tcPr>
          <w:p w14:paraId="40B5D214"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LLP mediana (mėn.)</w:t>
            </w:r>
          </w:p>
          <w:p w14:paraId="1A491937" w14:textId="77777777" w:rsidR="00D875C0" w:rsidRPr="00427D92" w:rsidRDefault="00D875C0" w:rsidP="00C03DAC">
            <w:pPr>
              <w:autoSpaceDE w:val="0"/>
              <w:autoSpaceDN w:val="0"/>
              <w:adjustRightInd w:val="0"/>
              <w:spacing w:after="0" w:line="240" w:lineRule="auto"/>
              <w:rPr>
                <w:rFonts w:ascii="Times New Roman" w:hAnsi="Times New Roman"/>
              </w:rPr>
            </w:pPr>
            <w:r w:rsidRPr="00427D92">
              <w:rPr>
                <w:rFonts w:ascii="Times New Roman" w:hAnsi="Times New Roman"/>
              </w:rPr>
              <w:t>(95</w:t>
            </w:r>
            <w:r w:rsidR="00C03DAC" w:rsidRPr="00427D92">
              <w:rPr>
                <w:rFonts w:ascii="Times New Roman" w:hAnsi="Times New Roman"/>
              </w:rPr>
              <w:t> </w:t>
            </w:r>
            <w:r w:rsidRPr="00427D92">
              <w:rPr>
                <w:rFonts w:ascii="Times New Roman" w:hAnsi="Times New Roman"/>
              </w:rPr>
              <w:t>% PI)</w:t>
            </w:r>
          </w:p>
        </w:tc>
        <w:tc>
          <w:tcPr>
            <w:tcW w:w="2479" w:type="dxa"/>
          </w:tcPr>
          <w:p w14:paraId="0159258E" w14:textId="77777777" w:rsidR="00D875C0" w:rsidRPr="000C43D3" w:rsidRDefault="00D875C0" w:rsidP="004E3CD5">
            <w:pPr>
              <w:autoSpaceDE w:val="0"/>
              <w:autoSpaceDN w:val="0"/>
              <w:adjustRightInd w:val="0"/>
              <w:spacing w:after="0" w:line="240" w:lineRule="auto"/>
              <w:rPr>
                <w:rFonts w:ascii="Times New Roman" w:hAnsi="Times New Roman"/>
              </w:rPr>
            </w:pPr>
            <w:r w:rsidRPr="000C43D3">
              <w:rPr>
                <w:rFonts w:ascii="Times New Roman" w:hAnsi="Times New Roman"/>
              </w:rPr>
              <w:t>10,6</w:t>
            </w:r>
          </w:p>
          <w:p w14:paraId="54027281" w14:textId="77777777" w:rsidR="00D875C0" w:rsidRPr="007C1A06" w:rsidRDefault="00D875C0" w:rsidP="004E3CD5">
            <w:pPr>
              <w:autoSpaceDE w:val="0"/>
              <w:autoSpaceDN w:val="0"/>
              <w:adjustRightInd w:val="0"/>
              <w:spacing w:after="0" w:line="240" w:lineRule="auto"/>
              <w:rPr>
                <w:rFonts w:ascii="Times New Roman" w:hAnsi="Times New Roman"/>
              </w:rPr>
            </w:pPr>
            <w:r w:rsidRPr="00C722B4">
              <w:rPr>
                <w:rFonts w:ascii="Times New Roman" w:hAnsi="Times New Roman"/>
              </w:rPr>
              <w:t>(7,6</w:t>
            </w:r>
            <w:r w:rsidR="00C03DAC" w:rsidRPr="007C1A06">
              <w:rPr>
                <w:rFonts w:ascii="Times New Roman" w:hAnsi="Times New Roman"/>
              </w:rPr>
              <w:noBreakHyphen/>
            </w:r>
            <w:r w:rsidRPr="007C1A06">
              <w:rPr>
                <w:rFonts w:ascii="Times New Roman" w:hAnsi="Times New Roman"/>
              </w:rPr>
              <w:t>12,9)</w:t>
            </w:r>
          </w:p>
        </w:tc>
        <w:tc>
          <w:tcPr>
            <w:tcW w:w="3099" w:type="dxa"/>
          </w:tcPr>
          <w:p w14:paraId="7CEFA85C"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5,7</w:t>
            </w:r>
          </w:p>
          <w:p w14:paraId="111AD380"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(5,0</w:t>
            </w:r>
            <w:r w:rsidR="00C03DAC" w:rsidRPr="007C1A06">
              <w:rPr>
                <w:rFonts w:ascii="Times New Roman" w:hAnsi="Times New Roman"/>
              </w:rPr>
              <w:noBreakHyphen/>
            </w:r>
            <w:r w:rsidRPr="007C1A06">
              <w:rPr>
                <w:rFonts w:ascii="Times New Roman" w:hAnsi="Times New Roman"/>
              </w:rPr>
              <w:t>6,5)</w:t>
            </w:r>
          </w:p>
        </w:tc>
      </w:tr>
      <w:tr w:rsidR="00D875C0" w:rsidRPr="007C1A06" w14:paraId="727A0AFE" w14:textId="77777777" w:rsidTr="004E3CD5">
        <w:tc>
          <w:tcPr>
            <w:tcW w:w="3708" w:type="dxa"/>
          </w:tcPr>
          <w:p w14:paraId="5BE69AC4"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Išgyvento laikotarpio mediana (mėn.)</w:t>
            </w:r>
          </w:p>
          <w:p w14:paraId="38CC28CC" w14:textId="77777777" w:rsidR="00D875C0" w:rsidRPr="00427D92" w:rsidRDefault="00D875C0" w:rsidP="00C03DAC">
            <w:pPr>
              <w:autoSpaceDE w:val="0"/>
              <w:autoSpaceDN w:val="0"/>
              <w:adjustRightInd w:val="0"/>
              <w:spacing w:after="0" w:line="240" w:lineRule="auto"/>
              <w:rPr>
                <w:rFonts w:ascii="Times New Roman" w:hAnsi="Times New Roman"/>
              </w:rPr>
            </w:pPr>
            <w:r w:rsidRPr="00427D92">
              <w:rPr>
                <w:rFonts w:ascii="Times New Roman" w:hAnsi="Times New Roman"/>
              </w:rPr>
              <w:t>(95</w:t>
            </w:r>
            <w:r w:rsidR="00C03DAC" w:rsidRPr="00427D92">
              <w:rPr>
                <w:rFonts w:ascii="Times New Roman" w:hAnsi="Times New Roman"/>
              </w:rPr>
              <w:t> </w:t>
            </w:r>
            <w:r w:rsidRPr="00427D92">
              <w:rPr>
                <w:rFonts w:ascii="Times New Roman" w:hAnsi="Times New Roman"/>
              </w:rPr>
              <w:t>% PI)</w:t>
            </w:r>
          </w:p>
        </w:tc>
        <w:tc>
          <w:tcPr>
            <w:tcW w:w="2479" w:type="dxa"/>
          </w:tcPr>
          <w:p w14:paraId="0B45DA8D" w14:textId="77777777" w:rsidR="00D875C0" w:rsidRPr="00427D92" w:rsidRDefault="00D875C0" w:rsidP="004E3CD5">
            <w:pPr>
              <w:autoSpaceDE w:val="0"/>
              <w:autoSpaceDN w:val="0"/>
              <w:adjustRightInd w:val="0"/>
              <w:spacing w:after="0" w:line="240" w:lineRule="auto"/>
              <w:rPr>
                <w:rFonts w:ascii="Times New Roman" w:hAnsi="Times New Roman"/>
              </w:rPr>
            </w:pPr>
            <w:r w:rsidRPr="00427D92">
              <w:rPr>
                <w:rFonts w:ascii="Times New Roman" w:hAnsi="Times New Roman"/>
              </w:rPr>
              <w:t>30,5</w:t>
            </w:r>
            <w:r w:rsidRPr="00427D92">
              <w:rPr>
                <w:rFonts w:ascii="Times New Roman" w:hAnsi="Times New Roman"/>
                <w:vertAlign w:val="superscript"/>
              </w:rPr>
              <w:t>2</w:t>
            </w:r>
          </w:p>
          <w:p w14:paraId="11DE0ECB" w14:textId="77777777" w:rsidR="00D875C0" w:rsidRPr="007C1A06" w:rsidRDefault="00D875C0" w:rsidP="004E3CD5">
            <w:pPr>
              <w:autoSpaceDE w:val="0"/>
              <w:autoSpaceDN w:val="0"/>
              <w:adjustRightInd w:val="0"/>
              <w:spacing w:after="0" w:line="240" w:lineRule="auto"/>
              <w:rPr>
                <w:rFonts w:ascii="Times New Roman" w:hAnsi="Times New Roman"/>
              </w:rPr>
            </w:pPr>
            <w:r w:rsidRPr="00C722B4">
              <w:rPr>
                <w:rFonts w:ascii="Times New Roman" w:hAnsi="Times New Roman"/>
              </w:rPr>
              <w:t>(26,8</w:t>
            </w:r>
            <w:r w:rsidR="00EC5B32">
              <w:rPr>
                <w:rFonts w:ascii="Times New Roman" w:hAnsi="Times New Roman"/>
              </w:rPr>
              <w:t xml:space="preserve"> </w:t>
            </w:r>
            <w:r w:rsidR="00C03DAC" w:rsidRPr="007C1A06">
              <w:rPr>
                <w:rFonts w:ascii="Times New Roman" w:hAnsi="Times New Roman"/>
              </w:rPr>
              <w:noBreakHyphen/>
            </w:r>
            <w:r w:rsidR="00EC5B32">
              <w:rPr>
                <w:rFonts w:ascii="Times New Roman" w:hAnsi="Times New Roman"/>
              </w:rPr>
              <w:t xml:space="preserve"> </w:t>
            </w:r>
            <w:r w:rsidRPr="007C1A06">
              <w:rPr>
                <w:rFonts w:ascii="Times New Roman" w:hAnsi="Times New Roman"/>
              </w:rPr>
              <w:t>nį)</w:t>
            </w:r>
          </w:p>
        </w:tc>
        <w:tc>
          <w:tcPr>
            <w:tcW w:w="3099" w:type="dxa"/>
          </w:tcPr>
          <w:p w14:paraId="0EEA44BC"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22,1</w:t>
            </w:r>
            <w:r w:rsidRPr="007C1A06">
              <w:rPr>
                <w:rFonts w:ascii="Times New Roman" w:hAnsi="Times New Roman"/>
                <w:vertAlign w:val="superscript"/>
              </w:rPr>
              <w:t>2</w:t>
            </w:r>
          </w:p>
          <w:p w14:paraId="4C5BA29C"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(17,6</w:t>
            </w:r>
            <w:r w:rsidR="00C03DAC" w:rsidRPr="007C1A06">
              <w:rPr>
                <w:rFonts w:ascii="Times New Roman" w:hAnsi="Times New Roman"/>
              </w:rPr>
              <w:noBreakHyphen/>
            </w:r>
            <w:r w:rsidRPr="007C1A06">
              <w:rPr>
                <w:rFonts w:ascii="Times New Roman" w:hAnsi="Times New Roman"/>
              </w:rPr>
              <w:t>28,9)</w:t>
            </w:r>
          </w:p>
        </w:tc>
      </w:tr>
    </w:tbl>
    <w:p w14:paraId="4F04A7AF" w14:textId="77777777" w:rsidR="00D875C0" w:rsidRPr="007C1A0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 xml:space="preserve">LLP – laikotarpis iki ligos progresavimo; </w:t>
      </w:r>
      <w:r w:rsidR="00C03DAC" w:rsidRPr="001F2C46">
        <w:rPr>
          <w:rFonts w:ascii="Times New Roman" w:hAnsi="Times New Roman"/>
        </w:rPr>
        <w:t>„</w:t>
      </w:r>
      <w:r w:rsidRPr="001F2C46">
        <w:rPr>
          <w:rFonts w:ascii="Times New Roman" w:hAnsi="Times New Roman"/>
        </w:rPr>
        <w:t>nį</w:t>
      </w:r>
      <w:r w:rsidR="00C03DAC" w:rsidRPr="00427D92">
        <w:rPr>
          <w:rFonts w:ascii="Times New Roman" w:hAnsi="Times New Roman"/>
        </w:rPr>
        <w:t>“</w:t>
      </w:r>
      <w:r w:rsidRPr="00427D92">
        <w:rPr>
          <w:rFonts w:ascii="Times New Roman" w:hAnsi="Times New Roman"/>
        </w:rPr>
        <w:t xml:space="preserve"> rodo, kad jo trukmė negalėjo būti įvertinta arba kad</w:t>
      </w:r>
      <w:r w:rsidR="00874783">
        <w:rPr>
          <w:rFonts w:ascii="Times New Roman" w:hAnsi="Times New Roman"/>
        </w:rPr>
        <w:t xml:space="preserve"> </w:t>
      </w:r>
      <w:r w:rsidRPr="00C722B4">
        <w:rPr>
          <w:rFonts w:ascii="Times New Roman" w:hAnsi="Times New Roman"/>
        </w:rPr>
        <w:t>laikas vertinti d</w:t>
      </w:r>
      <w:r w:rsidRPr="007C1A06">
        <w:rPr>
          <w:rFonts w:ascii="Times New Roman" w:hAnsi="Times New Roman"/>
        </w:rPr>
        <w:t>ar neatėjo.</w:t>
      </w:r>
    </w:p>
    <w:p w14:paraId="00A1D6B2" w14:textId="77777777" w:rsidR="00D875C0" w:rsidRPr="007C1A06" w:rsidRDefault="00D875C0" w:rsidP="00D875C0">
      <w:pPr>
        <w:autoSpaceDE w:val="0"/>
        <w:autoSpaceDN w:val="0"/>
        <w:adjustRightInd w:val="0"/>
        <w:spacing w:after="0" w:line="240" w:lineRule="auto"/>
        <w:rPr>
          <w:rFonts w:ascii="Times New Roman" w:hAnsi="Times New Roman"/>
        </w:rPr>
      </w:pPr>
      <w:r w:rsidRPr="007C1A06">
        <w:rPr>
          <w:rFonts w:ascii="Times New Roman" w:hAnsi="Times New Roman"/>
          <w:vertAlign w:val="superscript"/>
        </w:rPr>
        <w:t>1</w:t>
      </w:r>
      <w:r w:rsidRPr="007C1A06">
        <w:rPr>
          <w:rFonts w:ascii="Times New Roman" w:hAnsi="Times New Roman"/>
        </w:rPr>
        <w:t xml:space="preserve"> Skaičiuojant visas į tyrimą įtrauktas (planuotas gydyti) pacientes.</w:t>
      </w:r>
    </w:p>
    <w:p w14:paraId="5BB61047"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vertAlign w:val="superscript"/>
        </w:rPr>
        <w:t xml:space="preserve">2 </w:t>
      </w:r>
      <w:r w:rsidRPr="007C1A06">
        <w:rPr>
          <w:rFonts w:ascii="Times New Roman" w:hAnsi="Times New Roman"/>
        </w:rPr>
        <w:t>Apskaičiuota išgyvento laikotarpio mediana.</w:t>
      </w:r>
    </w:p>
    <w:p w14:paraId="729B54AC" w14:textId="77777777" w:rsidR="00D875C0" w:rsidRPr="007C1A06" w:rsidRDefault="00D875C0" w:rsidP="00D875C0">
      <w:pPr>
        <w:autoSpaceDE w:val="0"/>
        <w:autoSpaceDN w:val="0"/>
        <w:adjustRightInd w:val="0"/>
        <w:spacing w:after="0" w:line="240" w:lineRule="auto"/>
        <w:rPr>
          <w:rFonts w:ascii="Times New Roman" w:hAnsi="Times New Roman"/>
        </w:rPr>
      </w:pPr>
    </w:p>
    <w:p w14:paraId="4C0C50D5"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i/>
        </w:rPr>
        <w:t>Docetakselio derinys su kapecitabinu</w:t>
      </w:r>
    </w:p>
    <w:p w14:paraId="0F85C915"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Daugelyje centrų atlikto atsitiktinio kontroliuojamo III fazės klinikinio tyrimo duomenys pagrindžia docetakselio derinimą su kapecitabinu lokaliai progresavusiam ar metastazavusiam krūties vėžiui gydyti po neveiksmingos citotoksinės chemoterapijos, kurios sudėtyje buvo antraciklinas. Šio tyrimo metu 255 pacientės buvo atsitiktinai parinktos vartoti docetakselį (infuzuota 75</w:t>
      </w:r>
      <w:r w:rsidR="00C03DAC"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per 1</w:t>
      </w:r>
      <w:r w:rsidR="00C03DAC" w:rsidRPr="007C1A06">
        <w:rPr>
          <w:rFonts w:ascii="Times New Roman" w:hAnsi="Times New Roman"/>
        </w:rPr>
        <w:t> </w:t>
      </w:r>
      <w:r w:rsidRPr="007C1A06">
        <w:rPr>
          <w:rFonts w:ascii="Times New Roman" w:hAnsi="Times New Roman"/>
        </w:rPr>
        <w:t>val. į veną, kas 3</w:t>
      </w:r>
      <w:r w:rsidR="00C03DAC" w:rsidRPr="007C1A06">
        <w:rPr>
          <w:rFonts w:ascii="Times New Roman" w:hAnsi="Times New Roman"/>
        </w:rPr>
        <w:t> </w:t>
      </w:r>
      <w:r w:rsidRPr="007C1A06">
        <w:rPr>
          <w:rFonts w:ascii="Times New Roman" w:hAnsi="Times New Roman"/>
        </w:rPr>
        <w:t>savaites) ir kapecitabiną (po 1250</w:t>
      </w:r>
      <w:r w:rsidR="00C03DAC"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2</w:t>
      </w:r>
      <w:r w:rsidR="00C03DAC" w:rsidRPr="007C1A06">
        <w:rPr>
          <w:rFonts w:ascii="Times New Roman" w:hAnsi="Times New Roman"/>
        </w:rPr>
        <w:t> </w:t>
      </w:r>
      <w:r w:rsidRPr="007C1A06">
        <w:rPr>
          <w:rFonts w:ascii="Times New Roman" w:hAnsi="Times New Roman"/>
        </w:rPr>
        <w:t>kartus per parą 2</w:t>
      </w:r>
      <w:r w:rsidR="00C03DAC" w:rsidRPr="007C1A06">
        <w:rPr>
          <w:rFonts w:ascii="Times New Roman" w:hAnsi="Times New Roman"/>
        </w:rPr>
        <w:t> </w:t>
      </w:r>
      <w:r w:rsidRPr="007C1A06">
        <w:rPr>
          <w:rFonts w:ascii="Times New Roman" w:hAnsi="Times New Roman"/>
        </w:rPr>
        <w:t>savaites paskui darant savaitės pertrauką), 256 – tik docetakselį (infuzuota 100</w:t>
      </w:r>
      <w:r w:rsidR="00C03DAC"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per 1</w:t>
      </w:r>
      <w:r w:rsidR="00C03DAC" w:rsidRPr="007C1A06">
        <w:rPr>
          <w:rFonts w:ascii="Times New Roman" w:hAnsi="Times New Roman"/>
        </w:rPr>
        <w:t> </w:t>
      </w:r>
      <w:r w:rsidRPr="007C1A06">
        <w:rPr>
          <w:rFonts w:ascii="Times New Roman" w:hAnsi="Times New Roman"/>
        </w:rPr>
        <w:t>val. į veną, kas 3</w:t>
      </w:r>
      <w:r w:rsidR="00C03DAC" w:rsidRPr="007C1A06">
        <w:rPr>
          <w:rFonts w:ascii="Times New Roman" w:hAnsi="Times New Roman"/>
        </w:rPr>
        <w:t> </w:t>
      </w:r>
      <w:r w:rsidRPr="007C1A06">
        <w:rPr>
          <w:rFonts w:ascii="Times New Roman" w:hAnsi="Times New Roman"/>
        </w:rPr>
        <w:t>savaites). Docetakselį ir kapecitabiną kartu vartojusios grupės pacientės išgyveno ilgiau (p=0,0126). Išgyvento laikotarpio mediana docetakselio ir kapecitabino derinio grupėje buvo 442 dienos, gydymo tik docetakseliu grupėje – 352 dienos. Bendras objektyvaus atsako dažnis visoje atsitiktinai parinktoje populiacijoje (tyrėjo vertinimu) docetakselio ir kapecitabino derinio grupėje buvo 41,6</w:t>
      </w:r>
      <w:r w:rsidR="00C03DAC" w:rsidRPr="007C1A06">
        <w:rPr>
          <w:rFonts w:ascii="Times New Roman" w:hAnsi="Times New Roman"/>
        </w:rPr>
        <w:t> </w:t>
      </w:r>
      <w:r w:rsidRPr="007C1A06">
        <w:rPr>
          <w:rFonts w:ascii="Times New Roman" w:hAnsi="Times New Roman"/>
        </w:rPr>
        <w:t>%, docetakselio – 29,7</w:t>
      </w:r>
      <w:r w:rsidR="00C03DAC" w:rsidRPr="007C1A06">
        <w:rPr>
          <w:rFonts w:ascii="Times New Roman" w:hAnsi="Times New Roman"/>
        </w:rPr>
        <w:t> </w:t>
      </w:r>
      <w:r w:rsidRPr="007C1A06">
        <w:rPr>
          <w:rFonts w:ascii="Times New Roman" w:hAnsi="Times New Roman"/>
        </w:rPr>
        <w:t>% (p=0,0058). Laikotarpis iki ligos progresavimo buvo ilgesnis docetakselio ir kapecitabino derinio grupėje (p&lt;0,0001). Jo mediana docetakselio ir kapecitabino derinio grupėje buvo 186 dienos, docetakselio – 128 dienos.</w:t>
      </w:r>
    </w:p>
    <w:p w14:paraId="1A7FEBF8" w14:textId="77777777" w:rsidR="005F624F" w:rsidRDefault="005F624F" w:rsidP="00D875C0">
      <w:pPr>
        <w:autoSpaceDE w:val="0"/>
        <w:autoSpaceDN w:val="0"/>
        <w:adjustRightInd w:val="0"/>
        <w:spacing w:after="0" w:line="240" w:lineRule="auto"/>
        <w:rPr>
          <w:rFonts w:ascii="Times New Roman" w:hAnsi="Times New Roman"/>
          <w:i/>
          <w:u w:val="single"/>
        </w:rPr>
      </w:pPr>
    </w:p>
    <w:p w14:paraId="388C4B8E" w14:textId="77777777" w:rsidR="00D875C0" w:rsidRPr="001F2C46" w:rsidRDefault="00D875C0" w:rsidP="00D875C0">
      <w:pPr>
        <w:autoSpaceDE w:val="0"/>
        <w:autoSpaceDN w:val="0"/>
        <w:adjustRightInd w:val="0"/>
        <w:spacing w:after="0" w:line="240" w:lineRule="auto"/>
        <w:rPr>
          <w:rFonts w:ascii="Times New Roman" w:hAnsi="Times New Roman"/>
          <w:i/>
          <w:u w:val="single"/>
        </w:rPr>
      </w:pPr>
      <w:r w:rsidRPr="00F95B76">
        <w:rPr>
          <w:rFonts w:ascii="Times New Roman" w:hAnsi="Times New Roman"/>
          <w:i/>
          <w:u w:val="single"/>
        </w:rPr>
        <w:t>Plaučių nesmulkiųjų ląst</w:t>
      </w:r>
      <w:r w:rsidRPr="001F2C46">
        <w:rPr>
          <w:rFonts w:ascii="Times New Roman" w:hAnsi="Times New Roman"/>
          <w:i/>
          <w:u w:val="single"/>
        </w:rPr>
        <w:t>elių vėžys</w:t>
      </w:r>
    </w:p>
    <w:p w14:paraId="793B64D8" w14:textId="77777777" w:rsidR="00D875C0" w:rsidRPr="00427D92" w:rsidRDefault="00D875C0" w:rsidP="00D875C0">
      <w:pPr>
        <w:autoSpaceDE w:val="0"/>
        <w:autoSpaceDN w:val="0"/>
        <w:adjustRightInd w:val="0"/>
        <w:spacing w:after="0" w:line="240" w:lineRule="auto"/>
        <w:rPr>
          <w:rFonts w:ascii="Times New Roman" w:hAnsi="Times New Roman"/>
          <w:i/>
        </w:rPr>
      </w:pPr>
    </w:p>
    <w:p w14:paraId="76989FA3" w14:textId="77777777" w:rsidR="00D875C0" w:rsidRPr="00C722B4" w:rsidRDefault="00D875C0" w:rsidP="00D875C0">
      <w:pPr>
        <w:autoSpaceDE w:val="0"/>
        <w:autoSpaceDN w:val="0"/>
        <w:adjustRightInd w:val="0"/>
        <w:spacing w:after="0" w:line="240" w:lineRule="auto"/>
        <w:rPr>
          <w:rFonts w:ascii="Times New Roman" w:hAnsi="Times New Roman"/>
          <w:i/>
        </w:rPr>
      </w:pPr>
      <w:r w:rsidRPr="00C722B4">
        <w:rPr>
          <w:rFonts w:ascii="Times New Roman" w:hAnsi="Times New Roman"/>
          <w:i/>
        </w:rPr>
        <w:t>Pacientai, kuriems anksčiau taikyta chemoterapija (su radioterapija arba be jos)</w:t>
      </w:r>
    </w:p>
    <w:p w14:paraId="5831231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Su jau gydytais pacientais atliktas III fazės tyrimas parodė, kad, vartojant docetakselį 75</w:t>
      </w:r>
      <w:r w:rsidR="00C03DAC"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 xml:space="preserve">2 </w:t>
      </w:r>
      <w:r w:rsidRPr="007C1A06">
        <w:rPr>
          <w:rFonts w:ascii="Times New Roman" w:hAnsi="Times New Roman"/>
        </w:rPr>
        <w:t>dozėmis, laikotarpis iki ligos progresavimo yra reikšmingai ilgesnis negu apsiribojus geriausia palaikomąja priežiūra (laikotarpis iki ligos progresavimo truko atitinkamai 12,3 ir 7 savaites). Vienerius metus išgyvenusių pacientų skaičius docetakselio grupėje taip pat buvo reikšmingai didesnis (atitinkamai 40</w:t>
      </w:r>
      <w:r w:rsidR="00C03DAC" w:rsidRPr="007C1A06">
        <w:rPr>
          <w:rFonts w:ascii="Times New Roman" w:hAnsi="Times New Roman"/>
        </w:rPr>
        <w:t> </w:t>
      </w:r>
      <w:r w:rsidRPr="007C1A06">
        <w:rPr>
          <w:rFonts w:ascii="Times New Roman" w:hAnsi="Times New Roman"/>
        </w:rPr>
        <w:t>% ir 16</w:t>
      </w:r>
      <w:r w:rsidR="00C03DAC" w:rsidRPr="007C1A06">
        <w:rPr>
          <w:rFonts w:ascii="Times New Roman" w:hAnsi="Times New Roman"/>
        </w:rPr>
        <w:t> </w:t>
      </w:r>
      <w:r w:rsidRPr="007C1A06">
        <w:rPr>
          <w:rFonts w:ascii="Times New Roman" w:hAnsi="Times New Roman"/>
        </w:rPr>
        <w:t>%). Be to, vartojant docetakselį 75</w:t>
      </w:r>
      <w:r w:rsidR="005F624F">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dozėmis, mažiau reikėjo morfino grupės analgetikų (p</w:t>
      </w:r>
      <w:r w:rsidR="00C03DAC" w:rsidRPr="007C1A06">
        <w:rPr>
          <w:rFonts w:ascii="Times New Roman" w:hAnsi="Times New Roman"/>
        </w:rPr>
        <w:t> </w:t>
      </w:r>
      <w:r w:rsidRPr="007C1A06">
        <w:rPr>
          <w:rFonts w:ascii="Times New Roman" w:hAnsi="Times New Roman"/>
        </w:rPr>
        <w:t>&lt;</w:t>
      </w:r>
      <w:r w:rsidR="00C03DAC" w:rsidRPr="007C1A06">
        <w:rPr>
          <w:rFonts w:ascii="Times New Roman" w:hAnsi="Times New Roman"/>
        </w:rPr>
        <w:t> </w:t>
      </w:r>
      <w:r w:rsidRPr="007C1A06">
        <w:rPr>
          <w:rFonts w:ascii="Times New Roman" w:hAnsi="Times New Roman"/>
        </w:rPr>
        <w:t>0,01), nemorfininių analgetikų (p</w:t>
      </w:r>
      <w:r w:rsidR="00C03DAC" w:rsidRPr="007C1A06">
        <w:rPr>
          <w:rFonts w:ascii="Times New Roman" w:hAnsi="Times New Roman"/>
        </w:rPr>
        <w:t> </w:t>
      </w:r>
      <w:r w:rsidRPr="007C1A06">
        <w:rPr>
          <w:rFonts w:ascii="Times New Roman" w:hAnsi="Times New Roman"/>
        </w:rPr>
        <w:t>&lt;</w:t>
      </w:r>
      <w:r w:rsidR="00C03DAC" w:rsidRPr="007C1A06">
        <w:rPr>
          <w:rFonts w:ascii="Times New Roman" w:hAnsi="Times New Roman"/>
        </w:rPr>
        <w:t> </w:t>
      </w:r>
      <w:r w:rsidRPr="007C1A06">
        <w:rPr>
          <w:rFonts w:ascii="Times New Roman" w:hAnsi="Times New Roman"/>
        </w:rPr>
        <w:t>0,01), kitų su liga susijusių vaist</w:t>
      </w:r>
      <w:r w:rsidR="00DA6E7A" w:rsidRPr="007C1A06">
        <w:rPr>
          <w:rFonts w:ascii="Times New Roman" w:hAnsi="Times New Roman"/>
        </w:rPr>
        <w:t>inių preparat</w:t>
      </w:r>
      <w:r w:rsidRPr="007C1A06">
        <w:rPr>
          <w:rFonts w:ascii="Times New Roman" w:hAnsi="Times New Roman"/>
        </w:rPr>
        <w:t>ų (p</w:t>
      </w:r>
      <w:r w:rsidR="00C03DAC" w:rsidRPr="007C1A06">
        <w:rPr>
          <w:rFonts w:ascii="Times New Roman" w:hAnsi="Times New Roman"/>
        </w:rPr>
        <w:t> </w:t>
      </w:r>
      <w:r w:rsidRPr="007C1A06">
        <w:rPr>
          <w:rFonts w:ascii="Times New Roman" w:hAnsi="Times New Roman"/>
        </w:rPr>
        <w:t>&lt;</w:t>
      </w:r>
      <w:r w:rsidR="00C03DAC" w:rsidRPr="007C1A06">
        <w:rPr>
          <w:rFonts w:ascii="Times New Roman" w:hAnsi="Times New Roman"/>
        </w:rPr>
        <w:t> </w:t>
      </w:r>
      <w:r w:rsidRPr="007C1A06">
        <w:rPr>
          <w:rFonts w:ascii="Times New Roman" w:hAnsi="Times New Roman"/>
        </w:rPr>
        <w:t>0,06) ir radioterapijos (p</w:t>
      </w:r>
      <w:r w:rsidR="00C03DAC" w:rsidRPr="007C1A06">
        <w:rPr>
          <w:rFonts w:ascii="Times New Roman" w:hAnsi="Times New Roman"/>
        </w:rPr>
        <w:t> </w:t>
      </w:r>
      <w:r w:rsidRPr="007C1A06">
        <w:rPr>
          <w:rFonts w:ascii="Times New Roman" w:hAnsi="Times New Roman"/>
        </w:rPr>
        <w:t>&lt;</w:t>
      </w:r>
      <w:r w:rsidR="00C03DAC" w:rsidRPr="007C1A06">
        <w:rPr>
          <w:rFonts w:ascii="Times New Roman" w:hAnsi="Times New Roman"/>
        </w:rPr>
        <w:t> </w:t>
      </w:r>
      <w:r w:rsidRPr="007C1A06">
        <w:rPr>
          <w:rFonts w:ascii="Times New Roman" w:hAnsi="Times New Roman"/>
        </w:rPr>
        <w:t>0,01) (palyginus su pacientais, turėjusiais geriausią palaikomąją priežiūrą).</w:t>
      </w:r>
    </w:p>
    <w:p w14:paraId="701BA1A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Bendras atsako dažnis, skaičiuojant pacientus, kurių būklę buvo galima įvertinti, buvo 6,8</w:t>
      </w:r>
      <w:r w:rsidR="00C03DAC" w:rsidRPr="007C1A06">
        <w:rPr>
          <w:rFonts w:ascii="Times New Roman" w:hAnsi="Times New Roman"/>
        </w:rPr>
        <w:t> </w:t>
      </w:r>
      <w:r w:rsidRPr="007C1A06">
        <w:rPr>
          <w:rFonts w:ascii="Times New Roman" w:hAnsi="Times New Roman"/>
        </w:rPr>
        <w:t>%, atsako trukmės mediana – 26,1</w:t>
      </w:r>
      <w:r w:rsidR="00C03DAC" w:rsidRPr="007C1A06">
        <w:rPr>
          <w:rFonts w:ascii="Times New Roman" w:hAnsi="Times New Roman"/>
        </w:rPr>
        <w:t> </w:t>
      </w:r>
      <w:r w:rsidRPr="007C1A06">
        <w:rPr>
          <w:rFonts w:ascii="Times New Roman" w:hAnsi="Times New Roman"/>
        </w:rPr>
        <w:t>savaitė.</w:t>
      </w:r>
    </w:p>
    <w:p w14:paraId="6F14CF37" w14:textId="77777777" w:rsidR="00D875C0" w:rsidRPr="007C1A06" w:rsidRDefault="00D875C0" w:rsidP="00D875C0">
      <w:pPr>
        <w:autoSpaceDE w:val="0"/>
        <w:autoSpaceDN w:val="0"/>
        <w:adjustRightInd w:val="0"/>
        <w:spacing w:after="0" w:line="240" w:lineRule="auto"/>
        <w:rPr>
          <w:rFonts w:ascii="Times New Roman" w:hAnsi="Times New Roman"/>
        </w:rPr>
      </w:pPr>
    </w:p>
    <w:p w14:paraId="0C5E6B7E"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i/>
        </w:rPr>
        <w:t xml:space="preserve">Docetakselio derinys su platinos preparatais pacientams, kuriems anksčiau chemoterapija netaikyta </w:t>
      </w:r>
    </w:p>
    <w:p w14:paraId="1D4E73A7" w14:textId="77777777" w:rsidR="00D875C0" w:rsidRPr="00874783"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rPr>
        <w:t xml:space="preserve">III fazės tyrime dalyvavo 1218 pacientų, sirgusių neoperuojamu IIIB ar IV stadijos nesmulkiųjų ląstelių plaučių vėžiu. Jų KPS (būklė pagal </w:t>
      </w:r>
      <w:r w:rsidRPr="007C1A06">
        <w:rPr>
          <w:rFonts w:ascii="Times New Roman" w:hAnsi="Times New Roman"/>
          <w:i/>
        </w:rPr>
        <w:t xml:space="preserve">Karnofsky </w:t>
      </w:r>
      <w:r w:rsidRPr="007C1A06">
        <w:rPr>
          <w:rFonts w:ascii="Times New Roman" w:hAnsi="Times New Roman"/>
        </w:rPr>
        <w:t>skalę) įvertinta 70</w:t>
      </w:r>
      <w:r w:rsidR="00C03DAC" w:rsidRPr="007C1A06">
        <w:rPr>
          <w:rFonts w:ascii="Times New Roman" w:hAnsi="Times New Roman"/>
        </w:rPr>
        <w:t> </w:t>
      </w:r>
      <w:r w:rsidRPr="007C1A06">
        <w:rPr>
          <w:rFonts w:ascii="Times New Roman" w:hAnsi="Times New Roman"/>
        </w:rPr>
        <w:t xml:space="preserve">% arba geriau, dėl šios ligos </w:t>
      </w:r>
      <w:r w:rsidRPr="007C1A06">
        <w:rPr>
          <w:rFonts w:ascii="Times New Roman" w:eastAsia="Times New Roman" w:hAnsi="Times New Roman" w:cs="Times New Roman"/>
        </w:rPr>
        <w:t>chemoterapija</w:t>
      </w:r>
      <w:r w:rsidR="00427D92">
        <w:rPr>
          <w:rFonts w:ascii="Times New Roman" w:eastAsia="Times New Roman" w:hAnsi="Times New Roman" w:cs="Times New Roman"/>
        </w:rPr>
        <w:t xml:space="preserve"> </w:t>
      </w:r>
      <w:r w:rsidRPr="007C1A06">
        <w:rPr>
          <w:rFonts w:ascii="Times New Roman" w:eastAsia="Times New Roman" w:hAnsi="Times New Roman" w:cs="Times New Roman"/>
        </w:rPr>
        <w:t>anksčiau</w:t>
      </w:r>
      <w:r w:rsidRPr="00F95B76">
        <w:rPr>
          <w:rFonts w:ascii="Times New Roman" w:hAnsi="Times New Roman"/>
        </w:rPr>
        <w:t xml:space="preserve"> jiems netaikyta. Tyrimo dalyviai buvo atsitiktinai parinkti vartoti: 1)</w:t>
      </w:r>
      <w:r w:rsidR="005F624F">
        <w:rPr>
          <w:rFonts w:ascii="Times New Roman" w:hAnsi="Times New Roman"/>
        </w:rPr>
        <w:t xml:space="preserve"> </w:t>
      </w:r>
      <w:r w:rsidRPr="00F95B76">
        <w:rPr>
          <w:rFonts w:ascii="Times New Roman" w:hAnsi="Times New Roman"/>
        </w:rPr>
        <w:t>75</w:t>
      </w:r>
      <w:r w:rsidR="00C03DAC" w:rsidRPr="001F2C46">
        <w:rPr>
          <w:rFonts w:ascii="Times New Roman" w:hAnsi="Times New Roman"/>
        </w:rPr>
        <w:t> </w:t>
      </w:r>
      <w:r w:rsidRPr="001F2C46">
        <w:rPr>
          <w:rFonts w:ascii="Times New Roman" w:hAnsi="Times New Roman"/>
        </w:rPr>
        <w:t>mg/m</w:t>
      </w:r>
      <w:r w:rsidRPr="00427D92">
        <w:rPr>
          <w:rFonts w:ascii="Times New Roman" w:hAnsi="Times New Roman"/>
          <w:vertAlign w:val="superscript"/>
        </w:rPr>
        <w:t>2</w:t>
      </w:r>
      <w:r w:rsidRPr="00427D92">
        <w:rPr>
          <w:rFonts w:ascii="Times New Roman" w:hAnsi="Times New Roman"/>
        </w:rPr>
        <w:t xml:space="preserve"> docetakselio (infuzijos trukmė – 1</w:t>
      </w:r>
      <w:r w:rsidR="00C03DAC" w:rsidRPr="00427D92">
        <w:rPr>
          <w:rFonts w:ascii="Times New Roman" w:hAnsi="Times New Roman"/>
        </w:rPr>
        <w:t> </w:t>
      </w:r>
      <w:r w:rsidRPr="00427D92">
        <w:rPr>
          <w:rFonts w:ascii="Times New Roman" w:hAnsi="Times New Roman"/>
        </w:rPr>
        <w:t>val.) ir paskui tuoj pat 75</w:t>
      </w:r>
      <w:r w:rsidR="00C03DAC" w:rsidRPr="00427D92">
        <w:rPr>
          <w:rFonts w:ascii="Times New Roman" w:hAnsi="Times New Roman"/>
        </w:rPr>
        <w:t> </w:t>
      </w:r>
      <w:r w:rsidRPr="00427D92">
        <w:rPr>
          <w:rFonts w:ascii="Times New Roman" w:hAnsi="Times New Roman"/>
        </w:rPr>
        <w:t>mg/m</w:t>
      </w:r>
      <w:r w:rsidRPr="00427D92">
        <w:rPr>
          <w:rFonts w:ascii="Times New Roman" w:hAnsi="Times New Roman"/>
          <w:vertAlign w:val="superscript"/>
        </w:rPr>
        <w:t>2</w:t>
      </w:r>
      <w:r w:rsidRPr="00427D92">
        <w:rPr>
          <w:rFonts w:ascii="Times New Roman" w:hAnsi="Times New Roman"/>
        </w:rPr>
        <w:t xml:space="preserve"> cisplatinos (</w:t>
      </w:r>
      <w:r w:rsidRPr="007C1A06">
        <w:rPr>
          <w:rFonts w:ascii="Times New Roman" w:eastAsia="Times New Roman" w:hAnsi="Times New Roman" w:cs="Times New Roman"/>
        </w:rPr>
        <w:t>infuzijos</w:t>
      </w:r>
      <w:r w:rsidR="00427D92">
        <w:rPr>
          <w:rFonts w:ascii="Times New Roman" w:eastAsia="Times New Roman" w:hAnsi="Times New Roman" w:cs="Times New Roman"/>
        </w:rPr>
        <w:t xml:space="preserve"> </w:t>
      </w:r>
      <w:r w:rsidRPr="007C1A06">
        <w:rPr>
          <w:rFonts w:ascii="Times New Roman" w:eastAsia="Times New Roman" w:hAnsi="Times New Roman" w:cs="Times New Roman"/>
        </w:rPr>
        <w:t>trukmė</w:t>
      </w:r>
      <w:r w:rsidRPr="00F95B76">
        <w:rPr>
          <w:rFonts w:ascii="Times New Roman" w:hAnsi="Times New Roman"/>
        </w:rPr>
        <w:t xml:space="preserve"> –30</w:t>
      </w:r>
      <w:r w:rsidR="00C03DAC" w:rsidRPr="001F2C46">
        <w:rPr>
          <w:rFonts w:ascii="Times New Roman" w:hAnsi="Times New Roman"/>
        </w:rPr>
        <w:noBreakHyphen/>
      </w:r>
      <w:r w:rsidRPr="001F2C46">
        <w:rPr>
          <w:rFonts w:ascii="Times New Roman" w:hAnsi="Times New Roman"/>
        </w:rPr>
        <w:t>60</w:t>
      </w:r>
      <w:r w:rsidR="00C03DAC" w:rsidRPr="00427D92">
        <w:rPr>
          <w:rFonts w:ascii="Times New Roman" w:hAnsi="Times New Roman"/>
        </w:rPr>
        <w:t> </w:t>
      </w:r>
      <w:r w:rsidRPr="00427D92">
        <w:rPr>
          <w:rFonts w:ascii="Times New Roman" w:hAnsi="Times New Roman"/>
        </w:rPr>
        <w:t>min.), kas 3</w:t>
      </w:r>
      <w:r w:rsidR="00C03DAC" w:rsidRPr="00427D92">
        <w:rPr>
          <w:rFonts w:ascii="Times New Roman" w:hAnsi="Times New Roman"/>
        </w:rPr>
        <w:t> </w:t>
      </w:r>
      <w:r w:rsidRPr="00427D92">
        <w:rPr>
          <w:rFonts w:ascii="Times New Roman" w:hAnsi="Times New Roman"/>
        </w:rPr>
        <w:t>savaites; 2) 75</w:t>
      </w:r>
      <w:r w:rsidR="00C03DAC" w:rsidRPr="00427D92">
        <w:rPr>
          <w:rFonts w:ascii="Times New Roman" w:hAnsi="Times New Roman"/>
        </w:rPr>
        <w:t> </w:t>
      </w:r>
      <w:r w:rsidRPr="00427D92">
        <w:rPr>
          <w:rFonts w:ascii="Times New Roman" w:hAnsi="Times New Roman"/>
        </w:rPr>
        <w:t>mg/m</w:t>
      </w:r>
      <w:r w:rsidRPr="00427D92">
        <w:rPr>
          <w:rFonts w:ascii="Times New Roman" w:hAnsi="Times New Roman"/>
          <w:vertAlign w:val="superscript"/>
        </w:rPr>
        <w:t>2</w:t>
      </w:r>
      <w:r w:rsidRPr="00427D92">
        <w:rPr>
          <w:rFonts w:ascii="Times New Roman" w:hAnsi="Times New Roman"/>
        </w:rPr>
        <w:t xml:space="preserve"> docetakselio (infuzijos trukmė – 1</w:t>
      </w:r>
      <w:r w:rsidR="00C03DAC" w:rsidRPr="00427D92">
        <w:rPr>
          <w:rFonts w:ascii="Times New Roman" w:hAnsi="Times New Roman"/>
        </w:rPr>
        <w:t> </w:t>
      </w:r>
      <w:r w:rsidRPr="00427D92">
        <w:rPr>
          <w:rFonts w:ascii="Times New Roman" w:hAnsi="Times New Roman"/>
        </w:rPr>
        <w:t>val.) kartu su karbo</w:t>
      </w:r>
      <w:r w:rsidR="00285FD2" w:rsidRPr="00427D92">
        <w:rPr>
          <w:rFonts w:ascii="Times New Roman" w:hAnsi="Times New Roman"/>
        </w:rPr>
        <w:t>p</w:t>
      </w:r>
      <w:r w:rsidRPr="00427D92">
        <w:rPr>
          <w:rFonts w:ascii="Times New Roman" w:hAnsi="Times New Roman"/>
        </w:rPr>
        <w:t>latina</w:t>
      </w:r>
      <w:r w:rsidR="009F7D2E" w:rsidRPr="004E3CD5">
        <w:rPr>
          <w:rFonts w:ascii="Times New Roman" w:hAnsi="Times New Roman"/>
        </w:rPr>
        <w:t xml:space="preserve"> </w:t>
      </w:r>
      <w:r w:rsidRPr="00F95B76">
        <w:rPr>
          <w:rFonts w:ascii="Times New Roman" w:hAnsi="Times New Roman"/>
        </w:rPr>
        <w:t>[plotas po koncentracijos kreive (AUC) – 6</w:t>
      </w:r>
      <w:r w:rsidR="00C03DAC" w:rsidRPr="001F2C46">
        <w:rPr>
          <w:rFonts w:ascii="Times New Roman" w:hAnsi="Times New Roman"/>
        </w:rPr>
        <w:t> </w:t>
      </w:r>
      <w:r w:rsidRPr="001F2C46">
        <w:rPr>
          <w:rFonts w:ascii="Times New Roman" w:hAnsi="Times New Roman"/>
        </w:rPr>
        <w:t>mg/ml×min., infuz</w:t>
      </w:r>
      <w:r w:rsidRPr="00427D92">
        <w:rPr>
          <w:rFonts w:ascii="Times New Roman" w:hAnsi="Times New Roman"/>
        </w:rPr>
        <w:t>ijos trukmė – 30</w:t>
      </w:r>
      <w:r w:rsidR="00C03DAC" w:rsidRPr="00427D92">
        <w:rPr>
          <w:rFonts w:ascii="Times New Roman" w:hAnsi="Times New Roman"/>
        </w:rPr>
        <w:noBreakHyphen/>
      </w:r>
      <w:r w:rsidRPr="00427D92">
        <w:rPr>
          <w:rFonts w:ascii="Times New Roman" w:hAnsi="Times New Roman"/>
        </w:rPr>
        <w:t>60</w:t>
      </w:r>
      <w:r w:rsidR="00C03DAC" w:rsidRPr="00427D92">
        <w:rPr>
          <w:rFonts w:ascii="Times New Roman" w:hAnsi="Times New Roman"/>
        </w:rPr>
        <w:t> </w:t>
      </w:r>
      <w:r w:rsidRPr="00427D92">
        <w:rPr>
          <w:rFonts w:ascii="Times New Roman" w:hAnsi="Times New Roman"/>
        </w:rPr>
        <w:t>min.], kas 3</w:t>
      </w:r>
      <w:r w:rsidR="00C03DAC" w:rsidRPr="00427D92">
        <w:rPr>
          <w:rFonts w:ascii="Times New Roman" w:hAnsi="Times New Roman"/>
        </w:rPr>
        <w:t> </w:t>
      </w:r>
      <w:r w:rsidRPr="00427D92">
        <w:rPr>
          <w:rFonts w:ascii="Times New Roman" w:hAnsi="Times New Roman"/>
        </w:rPr>
        <w:t xml:space="preserve">savaites; </w:t>
      </w:r>
      <w:r w:rsidRPr="007C1A06">
        <w:rPr>
          <w:rFonts w:ascii="Times New Roman" w:eastAsia="Times New Roman" w:hAnsi="Times New Roman" w:cs="Times New Roman"/>
        </w:rPr>
        <w:t>arba</w:t>
      </w:r>
      <w:r w:rsidR="00427D92">
        <w:rPr>
          <w:rFonts w:ascii="Times New Roman" w:eastAsia="Times New Roman" w:hAnsi="Times New Roman" w:cs="Times New Roman"/>
        </w:rPr>
        <w:t xml:space="preserve"> </w:t>
      </w:r>
      <w:r w:rsidRPr="007C1A06">
        <w:rPr>
          <w:rFonts w:ascii="Times New Roman" w:eastAsia="Times New Roman" w:hAnsi="Times New Roman" w:cs="Times New Roman"/>
        </w:rPr>
        <w:t>3</w:t>
      </w:r>
      <w:r w:rsidRPr="00F95B76">
        <w:rPr>
          <w:rFonts w:ascii="Times New Roman" w:hAnsi="Times New Roman"/>
        </w:rPr>
        <w:t>) 25</w:t>
      </w:r>
      <w:r w:rsidR="00C03DAC" w:rsidRPr="001F2C46">
        <w:rPr>
          <w:rFonts w:ascii="Times New Roman" w:hAnsi="Times New Roman"/>
        </w:rPr>
        <w:t> </w:t>
      </w:r>
      <w:r w:rsidRPr="001F2C46">
        <w:rPr>
          <w:rFonts w:ascii="Times New Roman" w:hAnsi="Times New Roman"/>
        </w:rPr>
        <w:t>mg/m</w:t>
      </w:r>
      <w:r w:rsidRPr="00427D92">
        <w:rPr>
          <w:rFonts w:ascii="Times New Roman" w:hAnsi="Times New Roman"/>
          <w:vertAlign w:val="superscript"/>
        </w:rPr>
        <w:t>2</w:t>
      </w:r>
      <w:r w:rsidRPr="00427D92">
        <w:rPr>
          <w:rFonts w:ascii="Times New Roman" w:hAnsi="Times New Roman"/>
        </w:rPr>
        <w:t xml:space="preserve"> vinorelbino per 6</w:t>
      </w:r>
      <w:r w:rsidR="00C03DAC" w:rsidRPr="00427D92">
        <w:rPr>
          <w:rFonts w:ascii="Times New Roman" w:hAnsi="Times New Roman"/>
        </w:rPr>
        <w:noBreakHyphen/>
      </w:r>
      <w:r w:rsidRPr="00427D92">
        <w:rPr>
          <w:rFonts w:ascii="Times New Roman" w:hAnsi="Times New Roman"/>
        </w:rPr>
        <w:t>10</w:t>
      </w:r>
      <w:r w:rsidR="00C03DAC" w:rsidRPr="00427D92">
        <w:rPr>
          <w:rFonts w:ascii="Times New Roman" w:hAnsi="Times New Roman"/>
        </w:rPr>
        <w:t> </w:t>
      </w:r>
      <w:r w:rsidRPr="00427D92">
        <w:rPr>
          <w:rFonts w:ascii="Times New Roman" w:hAnsi="Times New Roman"/>
        </w:rPr>
        <w:t>min. (1, 8, 15 ir 22 kurso dienomis), o paskui 100</w:t>
      </w:r>
      <w:r w:rsidR="00C03DAC" w:rsidRPr="00427D92">
        <w:rPr>
          <w:rFonts w:ascii="Times New Roman" w:hAnsi="Times New Roman"/>
        </w:rPr>
        <w:t> </w:t>
      </w:r>
      <w:r w:rsidRPr="00427D92">
        <w:rPr>
          <w:rFonts w:ascii="Times New Roman" w:hAnsi="Times New Roman"/>
        </w:rPr>
        <w:t>mg/m</w:t>
      </w:r>
      <w:r w:rsidRPr="00427D92">
        <w:rPr>
          <w:rFonts w:ascii="Times New Roman" w:hAnsi="Times New Roman"/>
          <w:vertAlign w:val="superscript"/>
        </w:rPr>
        <w:t xml:space="preserve">2 </w:t>
      </w:r>
      <w:r w:rsidRPr="00427D92">
        <w:rPr>
          <w:rFonts w:ascii="Times New Roman" w:hAnsi="Times New Roman"/>
        </w:rPr>
        <w:t>cisplatinos</w:t>
      </w:r>
      <w:r w:rsidR="009F7D2E" w:rsidRPr="004E3CD5">
        <w:rPr>
          <w:rFonts w:ascii="Times New Roman" w:hAnsi="Times New Roman"/>
        </w:rPr>
        <w:t xml:space="preserve"> </w:t>
      </w:r>
      <w:r w:rsidRPr="00F95B76">
        <w:rPr>
          <w:rFonts w:ascii="Times New Roman" w:hAnsi="Times New Roman"/>
        </w:rPr>
        <w:t>(1 kurso dieną), kas 4</w:t>
      </w:r>
      <w:r w:rsidR="00C03DAC" w:rsidRPr="001F2C46">
        <w:rPr>
          <w:rFonts w:ascii="Times New Roman" w:hAnsi="Times New Roman"/>
        </w:rPr>
        <w:t> </w:t>
      </w:r>
      <w:r w:rsidRPr="001F2C46">
        <w:rPr>
          <w:rFonts w:ascii="Times New Roman" w:hAnsi="Times New Roman"/>
        </w:rPr>
        <w:t>savaites.</w:t>
      </w:r>
    </w:p>
    <w:p w14:paraId="65B78DF4" w14:textId="77777777" w:rsidR="00D875C0" w:rsidRPr="007C1A06" w:rsidRDefault="00D875C0" w:rsidP="00D875C0">
      <w:pPr>
        <w:autoSpaceDE w:val="0"/>
        <w:autoSpaceDN w:val="0"/>
        <w:adjustRightInd w:val="0"/>
        <w:spacing w:after="0" w:line="240" w:lineRule="auto"/>
        <w:rPr>
          <w:rFonts w:ascii="Times New Roman" w:hAnsi="Times New Roman"/>
        </w:rPr>
      </w:pPr>
      <w:r w:rsidRPr="00C722B4">
        <w:rPr>
          <w:rFonts w:ascii="Times New Roman" w:hAnsi="Times New Roman"/>
        </w:rPr>
        <w:t>Išgyvenimo trukmės, laikotarpio iki ligos progresavimo medianos, ir atsako dažnio duome</w:t>
      </w:r>
      <w:r w:rsidRPr="007C1A06">
        <w:rPr>
          <w:rFonts w:ascii="Times New Roman" w:hAnsi="Times New Roman"/>
        </w:rPr>
        <w:t>nys, nustatyti dvejose tyrimo grupėse, pateikiami lentelėje:</w:t>
      </w:r>
    </w:p>
    <w:p w14:paraId="4DCDC3FF" w14:textId="77777777" w:rsidR="00D875C0" w:rsidRPr="007C1A06" w:rsidRDefault="00D875C0" w:rsidP="00D875C0">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2282"/>
        <w:gridCol w:w="1958"/>
        <w:gridCol w:w="2250"/>
      </w:tblGrid>
      <w:tr w:rsidR="00D875C0" w:rsidRPr="007C1A06" w14:paraId="6254B432" w14:textId="77777777" w:rsidTr="004E3CD5">
        <w:tc>
          <w:tcPr>
            <w:tcW w:w="2628" w:type="dxa"/>
          </w:tcPr>
          <w:p w14:paraId="69E4FF3A" w14:textId="77777777" w:rsidR="00D875C0" w:rsidRPr="007C1A06" w:rsidRDefault="00D875C0" w:rsidP="003876F8">
            <w:pPr>
              <w:spacing w:after="0" w:line="240" w:lineRule="auto"/>
              <w:rPr>
                <w:rFonts w:ascii="Times New Roman" w:hAnsi="Times New Roman"/>
              </w:rPr>
            </w:pPr>
          </w:p>
        </w:tc>
        <w:tc>
          <w:tcPr>
            <w:tcW w:w="2340" w:type="dxa"/>
          </w:tcPr>
          <w:p w14:paraId="11203C00" w14:textId="77777777" w:rsidR="00D875C0" w:rsidRPr="007C1A06" w:rsidRDefault="00D875C0" w:rsidP="003876F8">
            <w:pPr>
              <w:autoSpaceDE w:val="0"/>
              <w:autoSpaceDN w:val="0"/>
              <w:adjustRightInd w:val="0"/>
              <w:spacing w:after="0" w:line="240" w:lineRule="auto"/>
              <w:rPr>
                <w:rFonts w:ascii="Times New Roman" w:hAnsi="Times New Roman"/>
              </w:rPr>
            </w:pPr>
            <w:r w:rsidRPr="007C1A06">
              <w:rPr>
                <w:rFonts w:ascii="Times New Roman" w:hAnsi="Times New Roman"/>
              </w:rPr>
              <w:t>Docetakselis ir cisplatina</w:t>
            </w:r>
          </w:p>
          <w:p w14:paraId="1CAA7D01" w14:textId="77777777" w:rsidR="00D875C0" w:rsidRPr="004E3CD5" w:rsidRDefault="00D875C0" w:rsidP="00C03DAC">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(n=408)</w:t>
            </w:r>
          </w:p>
        </w:tc>
        <w:tc>
          <w:tcPr>
            <w:tcW w:w="1996" w:type="dxa"/>
          </w:tcPr>
          <w:p w14:paraId="538A6142"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Vinorelbinas ir cisplatina</w:t>
            </w:r>
          </w:p>
          <w:p w14:paraId="7EC20F44" w14:textId="77777777" w:rsidR="00D875C0" w:rsidRPr="004E3CD5" w:rsidRDefault="00D875C0" w:rsidP="00C03DAC">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(n=404)</w:t>
            </w:r>
          </w:p>
        </w:tc>
        <w:tc>
          <w:tcPr>
            <w:tcW w:w="2322" w:type="dxa"/>
          </w:tcPr>
          <w:p w14:paraId="75D0B24A" w14:textId="77777777" w:rsidR="00D875C0" w:rsidRPr="004E3CD5" w:rsidRDefault="00D875C0" w:rsidP="003876F8">
            <w:pPr>
              <w:spacing w:after="0" w:line="240" w:lineRule="auto"/>
              <w:rPr>
                <w:rFonts w:ascii="Times New Roman" w:eastAsiaTheme="minorEastAsia" w:hAnsi="Times New Roman"/>
                <w:lang w:eastAsia="zh-TW"/>
              </w:rPr>
            </w:pPr>
            <w:r w:rsidRPr="007C1A06">
              <w:rPr>
                <w:rFonts w:ascii="Times New Roman" w:hAnsi="Times New Roman"/>
              </w:rPr>
              <w:t>Statistinė analizė</w:t>
            </w:r>
          </w:p>
        </w:tc>
      </w:tr>
      <w:tr w:rsidR="00D875C0" w:rsidRPr="007C1A06" w14:paraId="587ED8D6" w14:textId="77777777" w:rsidTr="004E3CD5">
        <w:tc>
          <w:tcPr>
            <w:tcW w:w="2628" w:type="dxa"/>
          </w:tcPr>
          <w:p w14:paraId="6691D0FB"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Bendras išgyvenamumas (pagrindinis rodiklis)</w:t>
            </w:r>
          </w:p>
        </w:tc>
        <w:tc>
          <w:tcPr>
            <w:tcW w:w="2340" w:type="dxa"/>
          </w:tcPr>
          <w:p w14:paraId="030B1FD4" w14:textId="77777777" w:rsidR="00D875C0" w:rsidRPr="00427D92" w:rsidRDefault="00D875C0" w:rsidP="003876F8">
            <w:pPr>
              <w:spacing w:after="0" w:line="240" w:lineRule="auto"/>
              <w:rPr>
                <w:rFonts w:ascii="Times New Roman" w:hAnsi="Times New Roman"/>
              </w:rPr>
            </w:pPr>
          </w:p>
        </w:tc>
        <w:tc>
          <w:tcPr>
            <w:tcW w:w="1996" w:type="dxa"/>
          </w:tcPr>
          <w:p w14:paraId="5CD0B80B" w14:textId="77777777" w:rsidR="00D875C0" w:rsidRPr="00C722B4" w:rsidRDefault="00D875C0" w:rsidP="003876F8">
            <w:pPr>
              <w:spacing w:after="0" w:line="240" w:lineRule="auto"/>
              <w:rPr>
                <w:rFonts w:ascii="Times New Roman" w:hAnsi="Times New Roman"/>
              </w:rPr>
            </w:pPr>
          </w:p>
        </w:tc>
        <w:tc>
          <w:tcPr>
            <w:tcW w:w="2322" w:type="dxa"/>
          </w:tcPr>
          <w:p w14:paraId="4E316865" w14:textId="77777777" w:rsidR="00D875C0" w:rsidRPr="007C1A06" w:rsidRDefault="00D875C0" w:rsidP="003876F8">
            <w:pPr>
              <w:spacing w:after="0" w:line="240" w:lineRule="auto"/>
              <w:rPr>
                <w:rFonts w:ascii="Times New Roman" w:hAnsi="Times New Roman"/>
              </w:rPr>
            </w:pPr>
          </w:p>
        </w:tc>
      </w:tr>
      <w:tr w:rsidR="00D875C0" w:rsidRPr="007C1A06" w14:paraId="23BF7A81" w14:textId="77777777" w:rsidTr="004E3CD5">
        <w:tc>
          <w:tcPr>
            <w:tcW w:w="2628" w:type="dxa"/>
          </w:tcPr>
          <w:p w14:paraId="15516409"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Išgyvento laikotarpio mediana (mėn.)</w:t>
            </w:r>
          </w:p>
        </w:tc>
        <w:tc>
          <w:tcPr>
            <w:tcW w:w="2340" w:type="dxa"/>
            <w:vAlign w:val="center"/>
          </w:tcPr>
          <w:p w14:paraId="6E775C06" w14:textId="77777777" w:rsidR="00D875C0" w:rsidRPr="001F2C46" w:rsidRDefault="00D875C0" w:rsidP="004E3CD5">
            <w:pPr>
              <w:spacing w:after="0" w:line="240" w:lineRule="auto"/>
              <w:rPr>
                <w:rFonts w:ascii="Times New Roman" w:hAnsi="Times New Roman"/>
              </w:rPr>
            </w:pPr>
            <w:r w:rsidRPr="001F2C46">
              <w:rPr>
                <w:rFonts w:ascii="Times New Roman" w:hAnsi="Times New Roman"/>
              </w:rPr>
              <w:t>11,3</w:t>
            </w:r>
          </w:p>
        </w:tc>
        <w:tc>
          <w:tcPr>
            <w:tcW w:w="1996" w:type="dxa"/>
            <w:vAlign w:val="center"/>
          </w:tcPr>
          <w:p w14:paraId="74123934" w14:textId="77777777" w:rsidR="00D875C0" w:rsidRPr="00427D92" w:rsidRDefault="00D875C0" w:rsidP="004E3CD5">
            <w:pPr>
              <w:spacing w:after="0" w:line="240" w:lineRule="auto"/>
              <w:rPr>
                <w:rFonts w:ascii="Times New Roman" w:hAnsi="Times New Roman"/>
              </w:rPr>
            </w:pPr>
            <w:r w:rsidRPr="00427D92">
              <w:rPr>
                <w:rFonts w:ascii="Times New Roman" w:hAnsi="Times New Roman"/>
              </w:rPr>
              <w:t>10,1</w:t>
            </w:r>
          </w:p>
        </w:tc>
        <w:tc>
          <w:tcPr>
            <w:tcW w:w="2322" w:type="dxa"/>
          </w:tcPr>
          <w:p w14:paraId="7A2976CC" w14:textId="77777777" w:rsidR="00D875C0" w:rsidRPr="007C1A06" w:rsidRDefault="00D875C0" w:rsidP="00C03DAC">
            <w:pPr>
              <w:autoSpaceDE w:val="0"/>
              <w:autoSpaceDN w:val="0"/>
              <w:adjustRightInd w:val="0"/>
              <w:spacing w:after="0" w:line="240" w:lineRule="auto"/>
              <w:rPr>
                <w:rFonts w:ascii="Times New Roman" w:hAnsi="Times New Roman"/>
              </w:rPr>
            </w:pPr>
            <w:r w:rsidRPr="00C722B4">
              <w:rPr>
                <w:rFonts w:ascii="Times New Roman" w:hAnsi="Times New Roman"/>
              </w:rPr>
              <w:t>Santyki</w:t>
            </w:r>
            <w:r w:rsidRPr="007C1A06">
              <w:rPr>
                <w:rFonts w:ascii="Times New Roman" w:hAnsi="Times New Roman"/>
              </w:rPr>
              <w:t>nė rizika – 1,122 (97,2</w:t>
            </w:r>
            <w:r w:rsidR="00C03DAC" w:rsidRPr="007C1A06">
              <w:rPr>
                <w:rFonts w:ascii="Times New Roman" w:hAnsi="Times New Roman"/>
              </w:rPr>
              <w:t> </w:t>
            </w:r>
            <w:r w:rsidRPr="007C1A06">
              <w:rPr>
                <w:rFonts w:ascii="Times New Roman" w:hAnsi="Times New Roman"/>
              </w:rPr>
              <w:t>% PI: 0,937; 1,342)*</w:t>
            </w:r>
          </w:p>
        </w:tc>
      </w:tr>
      <w:tr w:rsidR="00D875C0" w:rsidRPr="007C1A06" w14:paraId="2F6611B7" w14:textId="77777777" w:rsidTr="004E3CD5">
        <w:tc>
          <w:tcPr>
            <w:tcW w:w="2628" w:type="dxa"/>
          </w:tcPr>
          <w:p w14:paraId="03CB6D3A" w14:textId="77777777" w:rsidR="00D875C0" w:rsidRPr="001F2C46" w:rsidRDefault="00D875C0" w:rsidP="00C03DAC">
            <w:pPr>
              <w:spacing w:after="0" w:line="240" w:lineRule="auto"/>
              <w:rPr>
                <w:rFonts w:ascii="Times New Roman" w:hAnsi="Times New Roman"/>
              </w:rPr>
            </w:pPr>
            <w:r w:rsidRPr="00F95B76">
              <w:rPr>
                <w:rFonts w:ascii="Times New Roman" w:hAnsi="Times New Roman"/>
              </w:rPr>
              <w:t>1</w:t>
            </w:r>
            <w:r w:rsidR="00C03DAC" w:rsidRPr="001F2C46">
              <w:rPr>
                <w:rFonts w:ascii="Times New Roman" w:hAnsi="Times New Roman"/>
              </w:rPr>
              <w:t> </w:t>
            </w:r>
            <w:r w:rsidRPr="001F2C46">
              <w:rPr>
                <w:rFonts w:ascii="Times New Roman" w:hAnsi="Times New Roman"/>
              </w:rPr>
              <w:t>metus išgyvenę pacientai (%)</w:t>
            </w:r>
          </w:p>
        </w:tc>
        <w:tc>
          <w:tcPr>
            <w:tcW w:w="2340" w:type="dxa"/>
            <w:vAlign w:val="center"/>
          </w:tcPr>
          <w:p w14:paraId="2E29ECB0" w14:textId="77777777" w:rsidR="00D875C0" w:rsidRPr="00427D92" w:rsidRDefault="00D875C0" w:rsidP="004E3CD5">
            <w:pPr>
              <w:spacing w:after="0" w:line="240" w:lineRule="auto"/>
              <w:rPr>
                <w:rFonts w:ascii="Times New Roman" w:hAnsi="Times New Roman"/>
              </w:rPr>
            </w:pPr>
            <w:r w:rsidRPr="00427D92">
              <w:rPr>
                <w:rFonts w:ascii="Times New Roman" w:hAnsi="Times New Roman"/>
              </w:rPr>
              <w:t>46</w:t>
            </w:r>
          </w:p>
        </w:tc>
        <w:tc>
          <w:tcPr>
            <w:tcW w:w="1996" w:type="dxa"/>
            <w:vAlign w:val="center"/>
          </w:tcPr>
          <w:p w14:paraId="1969F2A2" w14:textId="77777777" w:rsidR="00D875C0" w:rsidRPr="00C722B4" w:rsidRDefault="00D875C0" w:rsidP="004E3CD5">
            <w:pPr>
              <w:spacing w:after="0" w:line="240" w:lineRule="auto"/>
              <w:rPr>
                <w:rFonts w:ascii="Times New Roman" w:hAnsi="Times New Roman"/>
              </w:rPr>
            </w:pPr>
            <w:r w:rsidRPr="00C722B4">
              <w:rPr>
                <w:rFonts w:ascii="Times New Roman" w:hAnsi="Times New Roman"/>
              </w:rPr>
              <w:t>41</w:t>
            </w:r>
          </w:p>
        </w:tc>
        <w:tc>
          <w:tcPr>
            <w:tcW w:w="2322" w:type="dxa"/>
          </w:tcPr>
          <w:p w14:paraId="108DEA66" w14:textId="77777777" w:rsidR="00D875C0" w:rsidRPr="004E3CD5" w:rsidRDefault="00D875C0" w:rsidP="00694BB4">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Su gydymu susijęs skirtumas – 5,4</w:t>
            </w:r>
            <w:r w:rsidR="00694BB4" w:rsidRPr="007C1A06">
              <w:rPr>
                <w:rFonts w:ascii="Times New Roman" w:hAnsi="Times New Roman"/>
              </w:rPr>
              <w:t> </w:t>
            </w:r>
            <w:r w:rsidRPr="007C1A06">
              <w:rPr>
                <w:rFonts w:ascii="Times New Roman" w:hAnsi="Times New Roman"/>
              </w:rPr>
              <w:t>% (95</w:t>
            </w:r>
            <w:r w:rsidR="00694BB4" w:rsidRPr="007C1A06">
              <w:rPr>
                <w:rFonts w:ascii="Times New Roman" w:hAnsi="Times New Roman"/>
              </w:rPr>
              <w:t> </w:t>
            </w:r>
            <w:r w:rsidRPr="007C1A06">
              <w:rPr>
                <w:rFonts w:ascii="Times New Roman" w:hAnsi="Times New Roman"/>
              </w:rPr>
              <w:t>% PI: -1,1; 12,0)*</w:t>
            </w:r>
          </w:p>
        </w:tc>
      </w:tr>
      <w:tr w:rsidR="00D875C0" w:rsidRPr="007C1A06" w14:paraId="02ADCADB" w14:textId="77777777" w:rsidTr="004E3CD5">
        <w:tc>
          <w:tcPr>
            <w:tcW w:w="2628" w:type="dxa"/>
          </w:tcPr>
          <w:p w14:paraId="79C257F8" w14:textId="77777777" w:rsidR="00D875C0" w:rsidRPr="001F2C46" w:rsidRDefault="00D875C0" w:rsidP="00C03DAC">
            <w:pPr>
              <w:spacing w:after="0" w:line="240" w:lineRule="auto"/>
              <w:rPr>
                <w:rFonts w:ascii="Times New Roman" w:hAnsi="Times New Roman"/>
              </w:rPr>
            </w:pPr>
            <w:r w:rsidRPr="00F95B76">
              <w:rPr>
                <w:rFonts w:ascii="Times New Roman" w:hAnsi="Times New Roman"/>
              </w:rPr>
              <w:t>2</w:t>
            </w:r>
            <w:r w:rsidR="00C03DAC" w:rsidRPr="001F2C46">
              <w:rPr>
                <w:rFonts w:ascii="Times New Roman" w:hAnsi="Times New Roman"/>
              </w:rPr>
              <w:t> </w:t>
            </w:r>
            <w:r w:rsidRPr="001F2C46">
              <w:rPr>
                <w:rFonts w:ascii="Times New Roman" w:hAnsi="Times New Roman"/>
              </w:rPr>
              <w:t>metus išgyvenę pacientai (%)</w:t>
            </w:r>
          </w:p>
        </w:tc>
        <w:tc>
          <w:tcPr>
            <w:tcW w:w="2340" w:type="dxa"/>
            <w:vAlign w:val="center"/>
          </w:tcPr>
          <w:p w14:paraId="2FB5B1AB" w14:textId="77777777" w:rsidR="00D875C0" w:rsidRPr="00427D92" w:rsidRDefault="00D875C0" w:rsidP="004E3CD5">
            <w:pPr>
              <w:spacing w:after="0" w:line="240" w:lineRule="auto"/>
              <w:rPr>
                <w:rFonts w:ascii="Times New Roman" w:hAnsi="Times New Roman"/>
              </w:rPr>
            </w:pPr>
            <w:r w:rsidRPr="00427D92">
              <w:rPr>
                <w:rFonts w:ascii="Times New Roman" w:hAnsi="Times New Roman"/>
              </w:rPr>
              <w:t>21</w:t>
            </w:r>
          </w:p>
        </w:tc>
        <w:tc>
          <w:tcPr>
            <w:tcW w:w="1996" w:type="dxa"/>
            <w:vAlign w:val="center"/>
          </w:tcPr>
          <w:p w14:paraId="686DA83D" w14:textId="77777777" w:rsidR="00D875C0" w:rsidRPr="00C722B4" w:rsidRDefault="00D875C0" w:rsidP="004E3CD5">
            <w:pPr>
              <w:spacing w:after="0" w:line="240" w:lineRule="auto"/>
              <w:rPr>
                <w:rFonts w:ascii="Times New Roman" w:hAnsi="Times New Roman"/>
              </w:rPr>
            </w:pPr>
            <w:r w:rsidRPr="00C722B4">
              <w:rPr>
                <w:rFonts w:ascii="Times New Roman" w:hAnsi="Times New Roman"/>
              </w:rPr>
              <w:t>14</w:t>
            </w:r>
          </w:p>
        </w:tc>
        <w:tc>
          <w:tcPr>
            <w:tcW w:w="2322" w:type="dxa"/>
          </w:tcPr>
          <w:p w14:paraId="51DC1210" w14:textId="77777777" w:rsidR="00D875C0" w:rsidRPr="004E3CD5" w:rsidRDefault="00D875C0" w:rsidP="00694BB4">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Su gydymu susijęs skirtumas – 6,2</w:t>
            </w:r>
            <w:r w:rsidR="00694BB4" w:rsidRPr="007C1A06">
              <w:rPr>
                <w:rFonts w:ascii="Times New Roman" w:hAnsi="Times New Roman"/>
              </w:rPr>
              <w:t> </w:t>
            </w:r>
            <w:r w:rsidRPr="007C1A06">
              <w:rPr>
                <w:rFonts w:ascii="Times New Roman" w:hAnsi="Times New Roman"/>
              </w:rPr>
              <w:t>% (95</w:t>
            </w:r>
            <w:r w:rsidR="00694BB4" w:rsidRPr="007C1A06">
              <w:rPr>
                <w:rFonts w:ascii="Times New Roman" w:hAnsi="Times New Roman"/>
              </w:rPr>
              <w:t> </w:t>
            </w:r>
            <w:r w:rsidRPr="007C1A06">
              <w:rPr>
                <w:rFonts w:ascii="Times New Roman" w:hAnsi="Times New Roman"/>
              </w:rPr>
              <w:t>% PI: 0,2; 12,3)</w:t>
            </w:r>
          </w:p>
        </w:tc>
      </w:tr>
      <w:tr w:rsidR="00D875C0" w:rsidRPr="007C1A06" w14:paraId="33AD738C" w14:textId="77777777" w:rsidTr="004E3CD5">
        <w:tc>
          <w:tcPr>
            <w:tcW w:w="2628" w:type="dxa"/>
          </w:tcPr>
          <w:p w14:paraId="604BDB45"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Laikotarpio iki ligos progresavimo mediana (savaitės)</w:t>
            </w:r>
          </w:p>
        </w:tc>
        <w:tc>
          <w:tcPr>
            <w:tcW w:w="2340" w:type="dxa"/>
            <w:vAlign w:val="center"/>
          </w:tcPr>
          <w:p w14:paraId="5927CA3F" w14:textId="77777777" w:rsidR="00D875C0" w:rsidRPr="001F2C46" w:rsidRDefault="00D875C0" w:rsidP="004E3CD5">
            <w:pPr>
              <w:spacing w:after="0" w:line="240" w:lineRule="auto"/>
              <w:rPr>
                <w:rFonts w:ascii="Times New Roman" w:hAnsi="Times New Roman"/>
              </w:rPr>
            </w:pPr>
            <w:r w:rsidRPr="001F2C46">
              <w:rPr>
                <w:rFonts w:ascii="Times New Roman" w:hAnsi="Times New Roman"/>
              </w:rPr>
              <w:t>22</w:t>
            </w:r>
          </w:p>
        </w:tc>
        <w:tc>
          <w:tcPr>
            <w:tcW w:w="1996" w:type="dxa"/>
            <w:vAlign w:val="center"/>
          </w:tcPr>
          <w:p w14:paraId="6686BE1B" w14:textId="77777777" w:rsidR="00D875C0" w:rsidRPr="00427D92" w:rsidRDefault="00D875C0" w:rsidP="004E3CD5">
            <w:pPr>
              <w:spacing w:after="0" w:line="240" w:lineRule="auto"/>
              <w:rPr>
                <w:rFonts w:ascii="Times New Roman" w:hAnsi="Times New Roman"/>
              </w:rPr>
            </w:pPr>
            <w:r w:rsidRPr="00427D92">
              <w:rPr>
                <w:rFonts w:ascii="Times New Roman" w:hAnsi="Times New Roman"/>
              </w:rPr>
              <w:t>23</w:t>
            </w:r>
          </w:p>
        </w:tc>
        <w:tc>
          <w:tcPr>
            <w:tcW w:w="2322" w:type="dxa"/>
          </w:tcPr>
          <w:p w14:paraId="5A380F3D" w14:textId="77777777" w:rsidR="00D875C0" w:rsidRPr="007C1A06" w:rsidRDefault="00D875C0" w:rsidP="00694BB4">
            <w:pPr>
              <w:autoSpaceDE w:val="0"/>
              <w:autoSpaceDN w:val="0"/>
              <w:adjustRightInd w:val="0"/>
              <w:spacing w:after="0" w:line="240" w:lineRule="auto"/>
              <w:rPr>
                <w:rFonts w:ascii="Times New Roman" w:hAnsi="Times New Roman"/>
              </w:rPr>
            </w:pPr>
            <w:r w:rsidRPr="00C722B4">
              <w:rPr>
                <w:rFonts w:ascii="Times New Roman" w:hAnsi="Times New Roman"/>
              </w:rPr>
              <w:t>Santykinė rizika – 1,032 (95</w:t>
            </w:r>
            <w:r w:rsidR="00694BB4" w:rsidRPr="007C1A06">
              <w:rPr>
                <w:rFonts w:ascii="Times New Roman" w:hAnsi="Times New Roman"/>
              </w:rPr>
              <w:t> </w:t>
            </w:r>
            <w:r w:rsidRPr="007C1A06">
              <w:rPr>
                <w:rFonts w:ascii="Times New Roman" w:hAnsi="Times New Roman"/>
              </w:rPr>
              <w:t>% PI: 0,876; 1,216)</w:t>
            </w:r>
          </w:p>
        </w:tc>
      </w:tr>
      <w:tr w:rsidR="00D875C0" w:rsidRPr="007C1A06" w14:paraId="7F7E74E5" w14:textId="77777777" w:rsidTr="004E3CD5">
        <w:tc>
          <w:tcPr>
            <w:tcW w:w="2628" w:type="dxa"/>
          </w:tcPr>
          <w:p w14:paraId="20369A47" w14:textId="77777777" w:rsidR="00D875C0" w:rsidRPr="001F2C46" w:rsidRDefault="00D875C0" w:rsidP="003876F8">
            <w:pPr>
              <w:spacing w:after="0" w:line="240" w:lineRule="auto"/>
              <w:rPr>
                <w:rFonts w:ascii="Times New Roman" w:hAnsi="Times New Roman"/>
              </w:rPr>
            </w:pPr>
            <w:r w:rsidRPr="00F95B76">
              <w:rPr>
                <w:rFonts w:ascii="Times New Roman" w:hAnsi="Times New Roman"/>
              </w:rPr>
              <w:t>Bendras atsako dažnis (%)</w:t>
            </w:r>
          </w:p>
        </w:tc>
        <w:tc>
          <w:tcPr>
            <w:tcW w:w="2340" w:type="dxa"/>
            <w:vAlign w:val="center"/>
          </w:tcPr>
          <w:p w14:paraId="69C95627" w14:textId="77777777" w:rsidR="00D875C0" w:rsidRPr="001F2C46" w:rsidRDefault="00D875C0" w:rsidP="004E3CD5">
            <w:pPr>
              <w:spacing w:after="0" w:line="240" w:lineRule="auto"/>
              <w:rPr>
                <w:rFonts w:ascii="Times New Roman" w:hAnsi="Times New Roman"/>
              </w:rPr>
            </w:pPr>
            <w:r w:rsidRPr="001F2C46">
              <w:rPr>
                <w:rFonts w:ascii="Times New Roman" w:hAnsi="Times New Roman"/>
              </w:rPr>
              <w:t>31,6</w:t>
            </w:r>
          </w:p>
        </w:tc>
        <w:tc>
          <w:tcPr>
            <w:tcW w:w="1996" w:type="dxa"/>
            <w:vAlign w:val="center"/>
          </w:tcPr>
          <w:p w14:paraId="6BFB177E" w14:textId="77777777" w:rsidR="00D875C0" w:rsidRPr="00427D92" w:rsidRDefault="00D875C0" w:rsidP="004E3CD5">
            <w:pPr>
              <w:spacing w:after="0" w:line="240" w:lineRule="auto"/>
              <w:rPr>
                <w:rFonts w:ascii="Times New Roman" w:hAnsi="Times New Roman"/>
              </w:rPr>
            </w:pPr>
            <w:r w:rsidRPr="00427D92">
              <w:rPr>
                <w:rFonts w:ascii="Times New Roman" w:hAnsi="Times New Roman"/>
              </w:rPr>
              <w:t>24,5</w:t>
            </w:r>
          </w:p>
        </w:tc>
        <w:tc>
          <w:tcPr>
            <w:tcW w:w="2322" w:type="dxa"/>
          </w:tcPr>
          <w:p w14:paraId="1AC12A3F" w14:textId="77777777" w:rsidR="00D875C0" w:rsidRPr="007C1A06" w:rsidRDefault="00D875C0" w:rsidP="00694BB4">
            <w:pPr>
              <w:autoSpaceDE w:val="0"/>
              <w:autoSpaceDN w:val="0"/>
              <w:adjustRightInd w:val="0"/>
              <w:spacing w:after="0" w:line="240" w:lineRule="auto"/>
              <w:rPr>
                <w:rFonts w:ascii="Times New Roman" w:hAnsi="Times New Roman"/>
              </w:rPr>
            </w:pPr>
            <w:r w:rsidRPr="00C722B4">
              <w:rPr>
                <w:rFonts w:ascii="Times New Roman" w:hAnsi="Times New Roman"/>
              </w:rPr>
              <w:t>Su gydymu susijęs skirtumas – 7,1</w:t>
            </w:r>
            <w:r w:rsidR="00694BB4" w:rsidRPr="007C1A06">
              <w:rPr>
                <w:rFonts w:ascii="Times New Roman" w:hAnsi="Times New Roman"/>
              </w:rPr>
              <w:t> </w:t>
            </w:r>
            <w:r w:rsidRPr="007C1A06">
              <w:rPr>
                <w:rFonts w:ascii="Times New Roman" w:hAnsi="Times New Roman"/>
              </w:rPr>
              <w:t>% (95</w:t>
            </w:r>
            <w:r w:rsidR="00694BB4" w:rsidRPr="007C1A06">
              <w:rPr>
                <w:rFonts w:ascii="Times New Roman" w:hAnsi="Times New Roman"/>
              </w:rPr>
              <w:t> </w:t>
            </w:r>
            <w:r w:rsidRPr="007C1A06">
              <w:rPr>
                <w:rFonts w:ascii="Times New Roman" w:hAnsi="Times New Roman"/>
              </w:rPr>
              <w:t>% PI: 0,7; 13,5)</w:t>
            </w:r>
          </w:p>
        </w:tc>
      </w:tr>
    </w:tbl>
    <w:p w14:paraId="3157765E" w14:textId="77777777" w:rsidR="00D875C0" w:rsidRPr="00F95B7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 Koreguota daugeliui lyginimų ir pritaikyta stratifikavimo veiksniams (ligos stadijai, gydymo regionui), remiantis pacientų populiacijos, kurios stebėjimo duomenis galima įvertinti, duomenimis.</w:t>
      </w:r>
      <w:r w:rsidRPr="007C1A06">
        <w:rPr>
          <w:rFonts w:ascii="Times New Roman" w:eastAsia="Times New Roman" w:hAnsi="Times New Roman" w:cs="Times New Roman"/>
        </w:rPr>
        <w:t xml:space="preserve"> </w:t>
      </w:r>
    </w:p>
    <w:p w14:paraId="0364D3B0" w14:textId="77777777" w:rsidR="00D875C0" w:rsidRPr="001F2C46" w:rsidRDefault="00D875C0" w:rsidP="00D875C0">
      <w:pPr>
        <w:autoSpaceDE w:val="0"/>
        <w:autoSpaceDN w:val="0"/>
        <w:adjustRightInd w:val="0"/>
        <w:spacing w:after="0" w:line="240" w:lineRule="auto"/>
        <w:rPr>
          <w:rFonts w:ascii="Times New Roman" w:hAnsi="Times New Roman"/>
        </w:rPr>
      </w:pPr>
    </w:p>
    <w:p w14:paraId="4E19AAC1" w14:textId="77777777" w:rsidR="00D875C0" w:rsidRPr="007C1A06" w:rsidRDefault="00D875C0" w:rsidP="00D875C0">
      <w:pPr>
        <w:autoSpaceDE w:val="0"/>
        <w:autoSpaceDN w:val="0"/>
        <w:adjustRightInd w:val="0"/>
        <w:spacing w:after="0" w:line="240" w:lineRule="auto"/>
        <w:rPr>
          <w:rFonts w:ascii="Times New Roman" w:hAnsi="Times New Roman"/>
        </w:rPr>
      </w:pPr>
      <w:r w:rsidRPr="00427D92">
        <w:rPr>
          <w:rFonts w:ascii="Times New Roman" w:hAnsi="Times New Roman"/>
        </w:rPr>
        <w:t>Antriniai rodikliai buvo skausmo, bendros gyvenimo kokybės (</w:t>
      </w:r>
      <w:r w:rsidRPr="00427D92">
        <w:rPr>
          <w:rFonts w:ascii="Times New Roman" w:hAnsi="Times New Roman"/>
          <w:i/>
        </w:rPr>
        <w:t>EuroQoL-5D</w:t>
      </w:r>
      <w:r w:rsidRPr="00427D92">
        <w:rPr>
          <w:rFonts w:ascii="Times New Roman" w:hAnsi="Times New Roman"/>
        </w:rPr>
        <w:t>), įvertinimo pagal plaučių vėžio simpt</w:t>
      </w:r>
      <w:r w:rsidRPr="00C722B4">
        <w:rPr>
          <w:rFonts w:ascii="Times New Roman" w:hAnsi="Times New Roman"/>
        </w:rPr>
        <w:t>omų skalę ir būklės</w:t>
      </w:r>
      <w:r w:rsidRPr="007C1A06">
        <w:rPr>
          <w:rFonts w:ascii="Times New Roman" w:hAnsi="Times New Roman"/>
        </w:rPr>
        <w:t xml:space="preserve"> pagal </w:t>
      </w:r>
      <w:r w:rsidRPr="007C1A06">
        <w:rPr>
          <w:rFonts w:ascii="Times New Roman" w:hAnsi="Times New Roman"/>
          <w:i/>
        </w:rPr>
        <w:t xml:space="preserve">Karnofsky </w:t>
      </w:r>
      <w:r w:rsidRPr="007C1A06">
        <w:rPr>
          <w:rFonts w:ascii="Times New Roman" w:hAnsi="Times New Roman"/>
        </w:rPr>
        <w:t xml:space="preserve">skalę pokyčiai. Gydymo veiksmingumo vertinimas pagal šiuos rodiklius patvirtino pagrindinio rodiklio duomenis. </w:t>
      </w:r>
    </w:p>
    <w:p w14:paraId="49B88135" w14:textId="77777777" w:rsidR="00D875C0" w:rsidRPr="007C1A06" w:rsidRDefault="00D875C0" w:rsidP="00D875C0">
      <w:pPr>
        <w:autoSpaceDE w:val="0"/>
        <w:autoSpaceDN w:val="0"/>
        <w:adjustRightInd w:val="0"/>
        <w:spacing w:after="0" w:line="240" w:lineRule="auto"/>
        <w:rPr>
          <w:rFonts w:ascii="Times New Roman" w:hAnsi="Times New Roman"/>
        </w:rPr>
      </w:pPr>
    </w:p>
    <w:p w14:paraId="4641B8F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Nepavyko įrodyti nei ekvivalentiško, nei ne mažesnio docetakselio ir karboplatinos derinio veiksmingumo palyginus su vinorelbino ir cisplatinos deriniu.</w:t>
      </w:r>
    </w:p>
    <w:p w14:paraId="6261354A" w14:textId="77777777" w:rsidR="00D875C0" w:rsidRDefault="00D875C0" w:rsidP="00D875C0">
      <w:pPr>
        <w:autoSpaceDE w:val="0"/>
        <w:autoSpaceDN w:val="0"/>
        <w:adjustRightInd w:val="0"/>
        <w:spacing w:after="0" w:line="240" w:lineRule="auto"/>
        <w:rPr>
          <w:rFonts w:ascii="Times New Roman" w:hAnsi="Times New Roman"/>
        </w:rPr>
      </w:pPr>
    </w:p>
    <w:p w14:paraId="4646511E" w14:textId="77777777" w:rsidR="00285FD2" w:rsidRPr="007C1A06" w:rsidRDefault="00285FD2" w:rsidP="00D875C0">
      <w:pPr>
        <w:autoSpaceDE w:val="0"/>
        <w:autoSpaceDN w:val="0"/>
        <w:adjustRightInd w:val="0"/>
        <w:spacing w:after="0" w:line="240" w:lineRule="auto"/>
        <w:rPr>
          <w:rFonts w:ascii="Times New Roman" w:eastAsia="Times New Roman" w:hAnsi="Times New Roman" w:cs="Times New Roman"/>
        </w:rPr>
      </w:pPr>
    </w:p>
    <w:p w14:paraId="12A2C1B2" w14:textId="77777777" w:rsidR="00D875C0" w:rsidRPr="001F2C46" w:rsidRDefault="00D875C0" w:rsidP="00D875C0">
      <w:pPr>
        <w:autoSpaceDE w:val="0"/>
        <w:autoSpaceDN w:val="0"/>
        <w:adjustRightInd w:val="0"/>
        <w:spacing w:after="0" w:line="240" w:lineRule="auto"/>
        <w:rPr>
          <w:rFonts w:ascii="Times New Roman" w:hAnsi="Times New Roman"/>
          <w:i/>
          <w:u w:val="single"/>
        </w:rPr>
      </w:pPr>
      <w:r w:rsidRPr="00F95B76">
        <w:rPr>
          <w:rFonts w:ascii="Times New Roman" w:hAnsi="Times New Roman"/>
          <w:i/>
          <w:u w:val="single"/>
        </w:rPr>
        <w:t>Prostatos vėžys</w:t>
      </w:r>
    </w:p>
    <w:p w14:paraId="08ED7C52" w14:textId="77777777" w:rsidR="00D875C0" w:rsidRPr="000C43D3" w:rsidRDefault="00D875C0" w:rsidP="00D875C0">
      <w:pPr>
        <w:autoSpaceDE w:val="0"/>
        <w:autoSpaceDN w:val="0"/>
        <w:adjustRightInd w:val="0"/>
        <w:spacing w:after="0" w:line="240" w:lineRule="auto"/>
        <w:rPr>
          <w:rFonts w:ascii="Times New Roman" w:hAnsi="Times New Roman"/>
        </w:rPr>
      </w:pPr>
      <w:r w:rsidRPr="00427D92">
        <w:rPr>
          <w:rFonts w:ascii="Times New Roman" w:hAnsi="Times New Roman"/>
        </w:rPr>
        <w:t>Docetakselio, vartojamo kartu su prednizonu ar prednizolonu, saugumas ir veiksmingumas hormonams atspariu metastazavusiu prostatos vėžiu sergantiems pacientams vertintas atliekant atsitiktinės atrankos daugiacentrinį III fazės tyrimą. Iš viso 1006 pacientai, kurių KPS ≥</w:t>
      </w:r>
      <w:r w:rsidR="00694BB4" w:rsidRPr="00427D92">
        <w:rPr>
          <w:rFonts w:ascii="Times New Roman" w:hAnsi="Times New Roman"/>
        </w:rPr>
        <w:t> </w:t>
      </w:r>
      <w:r w:rsidRPr="000C43D3">
        <w:rPr>
          <w:rFonts w:ascii="Times New Roman" w:hAnsi="Times New Roman"/>
        </w:rPr>
        <w:t>60, buvo atsitiktinai paskirstyti į šias gydymo grupes:</w:t>
      </w:r>
    </w:p>
    <w:p w14:paraId="19C7012D" w14:textId="77777777" w:rsidR="00D875C0" w:rsidRPr="007C1A06" w:rsidRDefault="00D875C0" w:rsidP="00D875C0">
      <w:pPr>
        <w:numPr>
          <w:ilvl w:val="0"/>
          <w:numId w:val="5"/>
        </w:numPr>
        <w:autoSpaceDE w:val="0"/>
        <w:autoSpaceDN w:val="0"/>
        <w:adjustRightInd w:val="0"/>
        <w:spacing w:after="0" w:line="240" w:lineRule="auto"/>
        <w:rPr>
          <w:rFonts w:ascii="Times New Roman" w:hAnsi="Times New Roman"/>
        </w:rPr>
      </w:pPr>
      <w:r w:rsidRPr="00C722B4">
        <w:rPr>
          <w:rFonts w:ascii="Times New Roman" w:hAnsi="Times New Roman"/>
        </w:rPr>
        <w:t>docetakselio 75</w:t>
      </w:r>
      <w:r w:rsidR="00694BB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kas 3</w:t>
      </w:r>
      <w:r w:rsidR="00694BB4" w:rsidRPr="007C1A06">
        <w:rPr>
          <w:rFonts w:ascii="Times New Roman" w:hAnsi="Times New Roman"/>
        </w:rPr>
        <w:t> </w:t>
      </w:r>
      <w:r w:rsidRPr="007C1A06">
        <w:rPr>
          <w:rFonts w:ascii="Times New Roman" w:hAnsi="Times New Roman"/>
        </w:rPr>
        <w:t>savaites, 10</w:t>
      </w:r>
      <w:r w:rsidR="00694BB4" w:rsidRPr="007C1A06">
        <w:rPr>
          <w:rFonts w:ascii="Times New Roman" w:hAnsi="Times New Roman"/>
        </w:rPr>
        <w:t> </w:t>
      </w:r>
      <w:r w:rsidRPr="007C1A06">
        <w:rPr>
          <w:rFonts w:ascii="Times New Roman" w:hAnsi="Times New Roman"/>
        </w:rPr>
        <w:t>ciklų;</w:t>
      </w:r>
    </w:p>
    <w:p w14:paraId="0284D559" w14:textId="77777777" w:rsidR="00D875C0" w:rsidRPr="004E3CD5" w:rsidRDefault="00D875C0" w:rsidP="00D875C0">
      <w:pPr>
        <w:numPr>
          <w:ilvl w:val="0"/>
          <w:numId w:val="5"/>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docetakselio 30</w:t>
      </w:r>
      <w:r w:rsidR="00694BB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kas savaitę pirmas penkias 6</w:t>
      </w:r>
      <w:r w:rsidR="00694BB4" w:rsidRPr="007C1A06">
        <w:rPr>
          <w:rFonts w:ascii="Times New Roman" w:hAnsi="Times New Roman"/>
        </w:rPr>
        <w:t> </w:t>
      </w:r>
      <w:r w:rsidRPr="007C1A06">
        <w:rPr>
          <w:rFonts w:ascii="Times New Roman" w:hAnsi="Times New Roman"/>
        </w:rPr>
        <w:t>savaičių ciklo savaites, 5</w:t>
      </w:r>
      <w:r w:rsidR="00694BB4" w:rsidRPr="007C1A06">
        <w:rPr>
          <w:rFonts w:ascii="Times New Roman" w:hAnsi="Times New Roman"/>
        </w:rPr>
        <w:t> </w:t>
      </w:r>
      <w:r w:rsidRPr="007C1A06">
        <w:rPr>
          <w:rFonts w:ascii="Times New Roman" w:hAnsi="Times New Roman"/>
        </w:rPr>
        <w:t>ciklus;</w:t>
      </w:r>
    </w:p>
    <w:p w14:paraId="3CF95B13" w14:textId="77777777" w:rsidR="00D875C0" w:rsidRPr="004E3CD5" w:rsidRDefault="00D875C0" w:rsidP="00D875C0">
      <w:pPr>
        <w:numPr>
          <w:ilvl w:val="0"/>
          <w:numId w:val="5"/>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mitoksantronas 12</w:t>
      </w:r>
      <w:r w:rsidR="00694BB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kas 3</w:t>
      </w:r>
      <w:r w:rsidR="00694BB4" w:rsidRPr="007C1A06">
        <w:rPr>
          <w:rFonts w:ascii="Times New Roman" w:hAnsi="Times New Roman"/>
        </w:rPr>
        <w:t> </w:t>
      </w:r>
      <w:r w:rsidRPr="007C1A06">
        <w:rPr>
          <w:rFonts w:ascii="Times New Roman" w:hAnsi="Times New Roman"/>
        </w:rPr>
        <w:t>savaites, 10</w:t>
      </w:r>
      <w:r w:rsidR="00694BB4" w:rsidRPr="007C1A06">
        <w:rPr>
          <w:rFonts w:ascii="Times New Roman" w:hAnsi="Times New Roman"/>
        </w:rPr>
        <w:t> </w:t>
      </w:r>
      <w:r w:rsidRPr="007C1A06">
        <w:rPr>
          <w:rFonts w:ascii="Times New Roman" w:hAnsi="Times New Roman"/>
        </w:rPr>
        <w:t>ciklų.</w:t>
      </w:r>
    </w:p>
    <w:p w14:paraId="4527B408"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Visų 3 grupių pacientai kartu vartojo po 5</w:t>
      </w:r>
      <w:r w:rsidR="00694BB4" w:rsidRPr="007C1A06">
        <w:rPr>
          <w:rFonts w:ascii="Times New Roman" w:hAnsi="Times New Roman"/>
        </w:rPr>
        <w:t> </w:t>
      </w:r>
      <w:r w:rsidRPr="007C1A06">
        <w:rPr>
          <w:rFonts w:ascii="Times New Roman" w:hAnsi="Times New Roman"/>
        </w:rPr>
        <w:t>mg prednizono ar prednizolono 2</w:t>
      </w:r>
      <w:r w:rsidR="00694BB4" w:rsidRPr="007C1A06">
        <w:rPr>
          <w:rFonts w:ascii="Times New Roman" w:hAnsi="Times New Roman"/>
        </w:rPr>
        <w:t> </w:t>
      </w:r>
      <w:r w:rsidRPr="007C1A06">
        <w:rPr>
          <w:rFonts w:ascii="Times New Roman" w:hAnsi="Times New Roman"/>
        </w:rPr>
        <w:t>kartus per parą be pertraukų.</w:t>
      </w:r>
    </w:p>
    <w:p w14:paraId="1F32765E" w14:textId="77777777" w:rsidR="00D875C0" w:rsidRPr="007C1A06" w:rsidRDefault="00D875C0" w:rsidP="00D875C0">
      <w:pPr>
        <w:autoSpaceDE w:val="0"/>
        <w:autoSpaceDN w:val="0"/>
        <w:adjustRightInd w:val="0"/>
        <w:spacing w:after="0" w:line="240" w:lineRule="auto"/>
        <w:rPr>
          <w:rFonts w:ascii="Times New Roman" w:hAnsi="Times New Roman"/>
        </w:rPr>
      </w:pPr>
    </w:p>
    <w:p w14:paraId="6DF3B75B"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Docetakselį kas 3</w:t>
      </w:r>
      <w:r w:rsidR="00694BB4" w:rsidRPr="007C1A06">
        <w:rPr>
          <w:rFonts w:ascii="Times New Roman" w:hAnsi="Times New Roman"/>
        </w:rPr>
        <w:t> </w:t>
      </w:r>
      <w:r w:rsidRPr="007C1A06">
        <w:rPr>
          <w:rFonts w:ascii="Times New Roman" w:hAnsi="Times New Roman"/>
        </w:rPr>
        <w:t>savaites vartojusių pacientų bendra išgyvento laikotarpio trukmė buvo reikšmingai ilgesnė negu vartojusių mitoksantroną. Docetakselį kas savaitę vartojusių pacientų išgyventas laikotarpis nebuvo statistiškai reikšmingai ilgesnis negu kontrolinės mitoksantrono grupės. Gydymo veiksmingumo kriterijai, lyginant docetakselio grupes su kontroline, apibendrinti lentelėje:</w:t>
      </w:r>
    </w:p>
    <w:p w14:paraId="39CE1BA4" w14:textId="77777777" w:rsidR="00D875C0" w:rsidRPr="007C1A06" w:rsidRDefault="00D875C0" w:rsidP="00D875C0">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969"/>
        <w:gridCol w:w="2247"/>
        <w:gridCol w:w="2290"/>
      </w:tblGrid>
      <w:tr w:rsidR="00D875C0" w:rsidRPr="007C1A06" w14:paraId="6DF6074E" w14:textId="77777777" w:rsidTr="004E3CD5">
        <w:tc>
          <w:tcPr>
            <w:tcW w:w="2629" w:type="dxa"/>
          </w:tcPr>
          <w:p w14:paraId="3307268A" w14:textId="77777777" w:rsidR="00D875C0" w:rsidRPr="007C1A06" w:rsidRDefault="00D875C0" w:rsidP="003876F8">
            <w:pPr>
              <w:spacing w:after="0" w:line="240" w:lineRule="auto"/>
              <w:rPr>
                <w:rFonts w:ascii="Times New Roman" w:hAnsi="Times New Roman"/>
              </w:rPr>
            </w:pPr>
            <w:r w:rsidRPr="007C1A06">
              <w:rPr>
                <w:rFonts w:ascii="Times New Roman" w:hAnsi="Times New Roman"/>
              </w:rPr>
              <w:t>Gydymo veiksmingumo kriterijus</w:t>
            </w:r>
          </w:p>
        </w:tc>
        <w:tc>
          <w:tcPr>
            <w:tcW w:w="2009" w:type="dxa"/>
          </w:tcPr>
          <w:p w14:paraId="345E4C4F" w14:textId="77777777" w:rsidR="00D875C0" w:rsidRPr="004E3CD5" w:rsidRDefault="00D875C0" w:rsidP="00694BB4">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Docetakselis kas 3</w:t>
            </w:r>
            <w:r w:rsidR="00694BB4" w:rsidRPr="007C1A06">
              <w:rPr>
                <w:rFonts w:ascii="Times New Roman" w:hAnsi="Times New Roman"/>
              </w:rPr>
              <w:t> </w:t>
            </w:r>
            <w:r w:rsidRPr="007C1A06">
              <w:rPr>
                <w:rFonts w:ascii="Times New Roman" w:hAnsi="Times New Roman"/>
              </w:rPr>
              <w:t>savaites</w:t>
            </w:r>
          </w:p>
        </w:tc>
        <w:tc>
          <w:tcPr>
            <w:tcW w:w="2307" w:type="dxa"/>
          </w:tcPr>
          <w:p w14:paraId="20A233D0"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Docetakselis kas savaitę</w:t>
            </w:r>
          </w:p>
        </w:tc>
        <w:tc>
          <w:tcPr>
            <w:tcW w:w="2341" w:type="dxa"/>
          </w:tcPr>
          <w:p w14:paraId="09AA867C" w14:textId="77777777" w:rsidR="00D875C0" w:rsidRPr="004E3CD5" w:rsidRDefault="00D875C0" w:rsidP="00694BB4">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Mitoksantronas kas 3</w:t>
            </w:r>
            <w:r w:rsidR="00694BB4" w:rsidRPr="007C1A06">
              <w:rPr>
                <w:rFonts w:ascii="Times New Roman" w:hAnsi="Times New Roman"/>
              </w:rPr>
              <w:t> </w:t>
            </w:r>
            <w:r w:rsidRPr="007C1A06">
              <w:rPr>
                <w:rFonts w:ascii="Times New Roman" w:hAnsi="Times New Roman"/>
              </w:rPr>
              <w:t>savaites</w:t>
            </w:r>
          </w:p>
        </w:tc>
      </w:tr>
      <w:tr w:rsidR="00D875C0" w:rsidRPr="007C1A06" w14:paraId="02EA7987" w14:textId="77777777" w:rsidTr="004E3CD5">
        <w:tc>
          <w:tcPr>
            <w:tcW w:w="2629" w:type="dxa"/>
          </w:tcPr>
          <w:p w14:paraId="12832763"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Pacientų skaičius</w:t>
            </w:r>
          </w:p>
          <w:p w14:paraId="4C8AB1BE"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Išgyvento laikotarpio mediana (mėn.)</w:t>
            </w:r>
          </w:p>
          <w:p w14:paraId="7FD1A960" w14:textId="77777777" w:rsidR="00D875C0" w:rsidRPr="007C1A06"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95</w:t>
            </w:r>
            <w:r w:rsidR="00694BB4" w:rsidRPr="007C1A06">
              <w:rPr>
                <w:rFonts w:ascii="Times New Roman" w:hAnsi="Times New Roman"/>
              </w:rPr>
              <w:t> </w:t>
            </w:r>
            <w:r w:rsidRPr="007C1A06">
              <w:rPr>
                <w:rFonts w:ascii="Times New Roman" w:hAnsi="Times New Roman"/>
              </w:rPr>
              <w:t>% PI</w:t>
            </w:r>
          </w:p>
          <w:p w14:paraId="295BC289"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Santykinė rizika</w:t>
            </w:r>
          </w:p>
          <w:p w14:paraId="4042C295"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95</w:t>
            </w:r>
            <w:r w:rsidR="00694BB4" w:rsidRPr="007C1A06">
              <w:rPr>
                <w:rFonts w:ascii="Times New Roman" w:hAnsi="Times New Roman"/>
              </w:rPr>
              <w:t> </w:t>
            </w:r>
            <w:r w:rsidRPr="007C1A06">
              <w:rPr>
                <w:rFonts w:ascii="Times New Roman" w:hAnsi="Times New Roman"/>
              </w:rPr>
              <w:t>% PI</w:t>
            </w:r>
          </w:p>
          <w:p w14:paraId="5C2FAC8A"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 reikšmė†*</w:t>
            </w:r>
          </w:p>
        </w:tc>
        <w:tc>
          <w:tcPr>
            <w:tcW w:w="2009" w:type="dxa"/>
          </w:tcPr>
          <w:p w14:paraId="2BFAFEE1"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335</w:t>
            </w:r>
          </w:p>
          <w:p w14:paraId="5710C1EC"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18,9</w:t>
            </w:r>
          </w:p>
          <w:p w14:paraId="38EC5FD0" w14:textId="77777777" w:rsidR="00D875C0" w:rsidRPr="007C1A06" w:rsidRDefault="00D875C0" w:rsidP="004E3CD5">
            <w:pPr>
              <w:autoSpaceDE w:val="0"/>
              <w:autoSpaceDN w:val="0"/>
              <w:adjustRightInd w:val="0"/>
              <w:spacing w:after="0" w:line="240" w:lineRule="auto"/>
              <w:rPr>
                <w:rFonts w:ascii="Times New Roman" w:hAnsi="Times New Roman"/>
              </w:rPr>
            </w:pPr>
          </w:p>
          <w:p w14:paraId="5F2489AC" w14:textId="77777777" w:rsidR="00D875C0" w:rsidRPr="001F2C46" w:rsidRDefault="00D875C0" w:rsidP="004E3CD5">
            <w:pPr>
              <w:autoSpaceDE w:val="0"/>
              <w:autoSpaceDN w:val="0"/>
              <w:adjustRightInd w:val="0"/>
              <w:spacing w:after="0" w:line="240" w:lineRule="auto"/>
              <w:rPr>
                <w:rFonts w:ascii="Times New Roman" w:eastAsiaTheme="minorEastAsia" w:hAnsi="Times New Roman"/>
                <w:lang w:val="en-US" w:eastAsia="zh-TW"/>
              </w:rPr>
            </w:pPr>
            <w:r w:rsidRPr="007C1A06">
              <w:rPr>
                <w:rFonts w:ascii="Times New Roman" w:hAnsi="Times New Roman"/>
              </w:rPr>
              <w:t>(17</w:t>
            </w:r>
            <w:r w:rsidR="00285FD2">
              <w:rPr>
                <w:rFonts w:ascii="Times New Roman" w:eastAsia="Times New Roman" w:hAnsi="Times New Roman" w:cs="Times New Roman"/>
                <w:iCs/>
              </w:rPr>
              <w:t>,0</w:t>
            </w:r>
            <w:r w:rsidR="00694BB4" w:rsidRPr="00F95B76">
              <w:rPr>
                <w:rFonts w:ascii="Times New Roman" w:hAnsi="Times New Roman"/>
              </w:rPr>
              <w:noBreakHyphen/>
            </w:r>
            <w:r w:rsidRPr="001F2C46">
              <w:rPr>
                <w:rFonts w:ascii="Times New Roman" w:hAnsi="Times New Roman"/>
              </w:rPr>
              <w:t>21,2)</w:t>
            </w:r>
          </w:p>
          <w:p w14:paraId="17C286E5" w14:textId="77777777" w:rsidR="00D875C0" w:rsidRPr="00427D92" w:rsidRDefault="00D875C0" w:rsidP="004E3CD5">
            <w:pPr>
              <w:autoSpaceDE w:val="0"/>
              <w:autoSpaceDN w:val="0"/>
              <w:adjustRightInd w:val="0"/>
              <w:spacing w:after="0" w:line="240" w:lineRule="auto"/>
              <w:rPr>
                <w:rFonts w:ascii="Times New Roman" w:hAnsi="Times New Roman"/>
              </w:rPr>
            </w:pPr>
            <w:r w:rsidRPr="00427D92">
              <w:rPr>
                <w:rFonts w:ascii="Times New Roman" w:hAnsi="Times New Roman"/>
              </w:rPr>
              <w:t>0,761</w:t>
            </w:r>
          </w:p>
          <w:p w14:paraId="1CBDB8E4" w14:textId="77777777" w:rsidR="00D875C0" w:rsidRPr="007C1A06" w:rsidRDefault="00D875C0" w:rsidP="004E3CD5">
            <w:pPr>
              <w:autoSpaceDE w:val="0"/>
              <w:autoSpaceDN w:val="0"/>
              <w:adjustRightInd w:val="0"/>
              <w:spacing w:after="0" w:line="240" w:lineRule="auto"/>
              <w:rPr>
                <w:rFonts w:ascii="Times New Roman" w:hAnsi="Times New Roman"/>
              </w:rPr>
            </w:pPr>
            <w:r w:rsidRPr="00C722B4">
              <w:rPr>
                <w:rFonts w:ascii="Times New Roman" w:hAnsi="Times New Roman"/>
              </w:rPr>
              <w:t>(0,619</w:t>
            </w:r>
            <w:r w:rsidR="00694BB4" w:rsidRPr="007C1A06">
              <w:rPr>
                <w:rFonts w:ascii="Times New Roman" w:hAnsi="Times New Roman"/>
              </w:rPr>
              <w:noBreakHyphen/>
            </w:r>
            <w:r w:rsidRPr="007C1A06">
              <w:rPr>
                <w:rFonts w:ascii="Times New Roman" w:hAnsi="Times New Roman"/>
              </w:rPr>
              <w:t>0,936)</w:t>
            </w:r>
          </w:p>
          <w:p w14:paraId="356AB10F"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0,0094</w:t>
            </w:r>
          </w:p>
        </w:tc>
        <w:tc>
          <w:tcPr>
            <w:tcW w:w="2307" w:type="dxa"/>
          </w:tcPr>
          <w:p w14:paraId="5917690F"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334</w:t>
            </w:r>
          </w:p>
          <w:p w14:paraId="722651C4"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17,4</w:t>
            </w:r>
          </w:p>
          <w:p w14:paraId="431BCCEE" w14:textId="77777777" w:rsidR="00D875C0" w:rsidRPr="007C1A06" w:rsidRDefault="00D875C0" w:rsidP="004E3CD5">
            <w:pPr>
              <w:autoSpaceDE w:val="0"/>
              <w:autoSpaceDN w:val="0"/>
              <w:adjustRightInd w:val="0"/>
              <w:spacing w:after="0" w:line="240" w:lineRule="auto"/>
              <w:rPr>
                <w:rFonts w:ascii="Times New Roman" w:hAnsi="Times New Roman"/>
              </w:rPr>
            </w:pPr>
          </w:p>
          <w:p w14:paraId="1C91A2B3" w14:textId="77777777" w:rsidR="00D875C0" w:rsidRPr="001F2C46" w:rsidRDefault="00D875C0" w:rsidP="004E3CD5">
            <w:pPr>
              <w:autoSpaceDE w:val="0"/>
              <w:autoSpaceDN w:val="0"/>
              <w:adjustRightInd w:val="0"/>
              <w:spacing w:after="0" w:line="240" w:lineRule="auto"/>
              <w:rPr>
                <w:rFonts w:ascii="Times New Roman" w:eastAsiaTheme="minorEastAsia" w:hAnsi="Times New Roman"/>
                <w:lang w:val="en-US" w:eastAsia="zh-TW"/>
              </w:rPr>
            </w:pPr>
            <w:r w:rsidRPr="007C1A06">
              <w:rPr>
                <w:rFonts w:ascii="Times New Roman" w:hAnsi="Times New Roman"/>
              </w:rPr>
              <w:t>(15,7</w:t>
            </w:r>
            <w:r w:rsidR="00694BB4" w:rsidRPr="007C1A06">
              <w:rPr>
                <w:rFonts w:ascii="Times New Roman" w:hAnsi="Times New Roman"/>
              </w:rPr>
              <w:noBreakHyphen/>
            </w:r>
            <w:r w:rsidRPr="007C1A06">
              <w:rPr>
                <w:rFonts w:ascii="Times New Roman" w:hAnsi="Times New Roman"/>
              </w:rPr>
              <w:t>19</w:t>
            </w:r>
            <w:r w:rsidR="00285FD2">
              <w:rPr>
                <w:rFonts w:ascii="Times New Roman" w:eastAsia="Times New Roman" w:hAnsi="Times New Roman" w:cs="Times New Roman"/>
                <w:iCs/>
              </w:rPr>
              <w:t>,0</w:t>
            </w:r>
            <w:r w:rsidRPr="00F95B76">
              <w:rPr>
                <w:rFonts w:ascii="Times New Roman" w:hAnsi="Times New Roman"/>
              </w:rPr>
              <w:t>)</w:t>
            </w:r>
          </w:p>
          <w:p w14:paraId="1A1B7782" w14:textId="77777777" w:rsidR="00D875C0" w:rsidRPr="00427D92" w:rsidRDefault="00D875C0" w:rsidP="004E3CD5">
            <w:pPr>
              <w:autoSpaceDE w:val="0"/>
              <w:autoSpaceDN w:val="0"/>
              <w:adjustRightInd w:val="0"/>
              <w:spacing w:after="0" w:line="240" w:lineRule="auto"/>
              <w:rPr>
                <w:rFonts w:ascii="Times New Roman" w:hAnsi="Times New Roman"/>
              </w:rPr>
            </w:pPr>
            <w:r w:rsidRPr="00427D92">
              <w:rPr>
                <w:rFonts w:ascii="Times New Roman" w:hAnsi="Times New Roman"/>
              </w:rPr>
              <w:t>0,912</w:t>
            </w:r>
          </w:p>
          <w:p w14:paraId="2AC47ED5" w14:textId="77777777" w:rsidR="00D875C0" w:rsidRPr="007C1A06" w:rsidRDefault="00D875C0" w:rsidP="004E3CD5">
            <w:pPr>
              <w:autoSpaceDE w:val="0"/>
              <w:autoSpaceDN w:val="0"/>
              <w:adjustRightInd w:val="0"/>
              <w:spacing w:after="0" w:line="240" w:lineRule="auto"/>
              <w:rPr>
                <w:rFonts w:ascii="Times New Roman" w:hAnsi="Times New Roman"/>
              </w:rPr>
            </w:pPr>
            <w:r w:rsidRPr="00C722B4">
              <w:rPr>
                <w:rFonts w:ascii="Times New Roman" w:hAnsi="Times New Roman"/>
              </w:rPr>
              <w:t>(0,747</w:t>
            </w:r>
            <w:r w:rsidR="00694BB4" w:rsidRPr="007C1A06">
              <w:rPr>
                <w:rFonts w:ascii="Times New Roman" w:hAnsi="Times New Roman"/>
              </w:rPr>
              <w:noBreakHyphen/>
            </w:r>
            <w:r w:rsidRPr="007C1A06">
              <w:rPr>
                <w:rFonts w:ascii="Times New Roman" w:hAnsi="Times New Roman"/>
              </w:rPr>
              <w:t>1,113)</w:t>
            </w:r>
          </w:p>
          <w:p w14:paraId="4F428B98"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0,3624</w:t>
            </w:r>
          </w:p>
        </w:tc>
        <w:tc>
          <w:tcPr>
            <w:tcW w:w="2341" w:type="dxa"/>
          </w:tcPr>
          <w:p w14:paraId="46F2145E"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337</w:t>
            </w:r>
          </w:p>
          <w:p w14:paraId="5004454C"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16,5</w:t>
            </w:r>
          </w:p>
          <w:p w14:paraId="4EE344B5" w14:textId="77777777" w:rsidR="00D875C0" w:rsidRPr="007C1A06" w:rsidRDefault="00D875C0" w:rsidP="004E3CD5">
            <w:pPr>
              <w:autoSpaceDE w:val="0"/>
              <w:autoSpaceDN w:val="0"/>
              <w:adjustRightInd w:val="0"/>
              <w:spacing w:after="0" w:line="240" w:lineRule="auto"/>
              <w:rPr>
                <w:rFonts w:ascii="Times New Roman" w:hAnsi="Times New Roman"/>
              </w:rPr>
            </w:pPr>
          </w:p>
          <w:p w14:paraId="7FCFB442"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(14,4</w:t>
            </w:r>
            <w:r w:rsidR="00694BB4" w:rsidRPr="007C1A06">
              <w:rPr>
                <w:rFonts w:ascii="Times New Roman" w:hAnsi="Times New Roman"/>
              </w:rPr>
              <w:noBreakHyphen/>
            </w:r>
            <w:r w:rsidRPr="007C1A06">
              <w:rPr>
                <w:rFonts w:ascii="Times New Roman" w:hAnsi="Times New Roman"/>
              </w:rPr>
              <w:t>18,6)</w:t>
            </w:r>
          </w:p>
          <w:p w14:paraId="5E434661" w14:textId="77777777" w:rsidR="00D875C0" w:rsidRPr="007C1A06" w:rsidRDefault="00D875C0" w:rsidP="004E3CD5">
            <w:pPr>
              <w:autoSpaceDE w:val="0"/>
              <w:autoSpaceDN w:val="0"/>
              <w:adjustRightInd w:val="0"/>
              <w:spacing w:after="0" w:line="240" w:lineRule="auto"/>
              <w:rPr>
                <w:rFonts w:ascii="Times New Roman" w:hAnsi="Times New Roman"/>
              </w:rPr>
            </w:pPr>
            <w:r w:rsidRPr="007C1A06">
              <w:rPr>
                <w:rFonts w:ascii="Times New Roman" w:hAnsi="Times New Roman"/>
              </w:rPr>
              <w:t>-</w:t>
            </w:r>
          </w:p>
          <w:p w14:paraId="55EFE18F" w14:textId="77777777" w:rsidR="00D875C0" w:rsidRPr="007C1A06" w:rsidRDefault="00D875C0" w:rsidP="004E3CD5">
            <w:pPr>
              <w:autoSpaceDE w:val="0"/>
              <w:autoSpaceDN w:val="0"/>
              <w:adjustRightInd w:val="0"/>
              <w:spacing w:after="0" w:line="240" w:lineRule="auto"/>
              <w:rPr>
                <w:rFonts w:ascii="Times New Roman" w:hAnsi="Times New Roman"/>
              </w:rPr>
            </w:pPr>
            <w:r w:rsidRPr="007C1A06">
              <w:rPr>
                <w:rFonts w:ascii="Times New Roman" w:hAnsi="Times New Roman"/>
              </w:rPr>
              <w:t>-</w:t>
            </w:r>
          </w:p>
          <w:p w14:paraId="6EAD217C" w14:textId="77777777" w:rsidR="00D875C0" w:rsidRPr="007C1A06" w:rsidRDefault="00D875C0" w:rsidP="004E3CD5">
            <w:pPr>
              <w:autoSpaceDE w:val="0"/>
              <w:autoSpaceDN w:val="0"/>
              <w:adjustRightInd w:val="0"/>
              <w:spacing w:after="0" w:line="240" w:lineRule="auto"/>
              <w:rPr>
                <w:rFonts w:ascii="Times New Roman" w:hAnsi="Times New Roman"/>
              </w:rPr>
            </w:pPr>
            <w:r w:rsidRPr="007C1A06">
              <w:rPr>
                <w:rFonts w:ascii="Times New Roman" w:hAnsi="Times New Roman"/>
              </w:rPr>
              <w:t>-</w:t>
            </w:r>
          </w:p>
        </w:tc>
      </w:tr>
      <w:tr w:rsidR="00D875C0" w:rsidRPr="007C1A06" w14:paraId="5F322A01" w14:textId="77777777" w:rsidTr="004E3CD5">
        <w:tc>
          <w:tcPr>
            <w:tcW w:w="2629" w:type="dxa"/>
          </w:tcPr>
          <w:p w14:paraId="7844DDAC"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Pacientų skaičius</w:t>
            </w:r>
          </w:p>
          <w:p w14:paraId="04F90115"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PSA** atsako dažnis (%)</w:t>
            </w:r>
          </w:p>
          <w:p w14:paraId="5FAB34E7" w14:textId="77777777" w:rsidR="00D875C0" w:rsidRPr="007C1A06"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95</w:t>
            </w:r>
            <w:r w:rsidR="00694BB4" w:rsidRPr="007C1A06">
              <w:rPr>
                <w:rFonts w:ascii="Times New Roman" w:hAnsi="Times New Roman"/>
              </w:rPr>
              <w:t> </w:t>
            </w:r>
            <w:r w:rsidRPr="007C1A06">
              <w:rPr>
                <w:rFonts w:ascii="Times New Roman" w:hAnsi="Times New Roman"/>
              </w:rPr>
              <w:t>% PI</w:t>
            </w:r>
          </w:p>
          <w:p w14:paraId="46197D8D"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 reikšmė*</w:t>
            </w:r>
          </w:p>
        </w:tc>
        <w:tc>
          <w:tcPr>
            <w:tcW w:w="2009" w:type="dxa"/>
          </w:tcPr>
          <w:p w14:paraId="5AF258D2"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291</w:t>
            </w:r>
          </w:p>
          <w:p w14:paraId="1E465EE3"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45,4</w:t>
            </w:r>
          </w:p>
          <w:p w14:paraId="0CB2E1D7"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(39,5</w:t>
            </w:r>
            <w:r w:rsidR="00694BB4" w:rsidRPr="007C1A06">
              <w:rPr>
                <w:rFonts w:ascii="Times New Roman" w:hAnsi="Times New Roman"/>
              </w:rPr>
              <w:noBreakHyphen/>
            </w:r>
            <w:r w:rsidRPr="007C1A06">
              <w:rPr>
                <w:rFonts w:ascii="Times New Roman" w:hAnsi="Times New Roman"/>
              </w:rPr>
              <w:t>51,3)</w:t>
            </w:r>
          </w:p>
          <w:p w14:paraId="458EB17F"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0,0005</w:t>
            </w:r>
          </w:p>
        </w:tc>
        <w:tc>
          <w:tcPr>
            <w:tcW w:w="2307" w:type="dxa"/>
          </w:tcPr>
          <w:p w14:paraId="0E3C3E6A"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282</w:t>
            </w:r>
          </w:p>
          <w:p w14:paraId="383323DA"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47,9</w:t>
            </w:r>
          </w:p>
          <w:p w14:paraId="1CF336A4"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(41,9</w:t>
            </w:r>
            <w:r w:rsidR="00694BB4" w:rsidRPr="007C1A06">
              <w:rPr>
                <w:rFonts w:ascii="Times New Roman" w:hAnsi="Times New Roman"/>
              </w:rPr>
              <w:noBreakHyphen/>
            </w:r>
            <w:r w:rsidRPr="007C1A06">
              <w:rPr>
                <w:rFonts w:ascii="Times New Roman" w:hAnsi="Times New Roman"/>
              </w:rPr>
              <w:t>53,9)</w:t>
            </w:r>
          </w:p>
          <w:p w14:paraId="39840041" w14:textId="77777777" w:rsidR="00D875C0" w:rsidRPr="007C1A06" w:rsidRDefault="00D875C0" w:rsidP="004E3CD5">
            <w:pPr>
              <w:spacing w:after="0" w:line="240" w:lineRule="auto"/>
              <w:rPr>
                <w:rFonts w:ascii="Times New Roman" w:hAnsi="Times New Roman"/>
              </w:rPr>
            </w:pPr>
            <w:r w:rsidRPr="007C1A06">
              <w:rPr>
                <w:rFonts w:ascii="Times New Roman" w:hAnsi="Times New Roman"/>
              </w:rPr>
              <w:t>&lt;</w:t>
            </w:r>
            <w:r w:rsidR="00694BB4" w:rsidRPr="007C1A06">
              <w:rPr>
                <w:rFonts w:ascii="Times New Roman" w:hAnsi="Times New Roman"/>
              </w:rPr>
              <w:t> </w:t>
            </w:r>
            <w:r w:rsidRPr="007C1A06">
              <w:rPr>
                <w:rFonts w:ascii="Times New Roman" w:hAnsi="Times New Roman"/>
              </w:rPr>
              <w:t>0,0001</w:t>
            </w:r>
          </w:p>
        </w:tc>
        <w:tc>
          <w:tcPr>
            <w:tcW w:w="2341" w:type="dxa"/>
          </w:tcPr>
          <w:p w14:paraId="180A8CD1"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300</w:t>
            </w:r>
          </w:p>
          <w:p w14:paraId="67C8E12D"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31,7</w:t>
            </w:r>
          </w:p>
          <w:p w14:paraId="20735E7B"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(26,4</w:t>
            </w:r>
            <w:r w:rsidR="00694BB4" w:rsidRPr="007C1A06">
              <w:rPr>
                <w:rFonts w:ascii="Times New Roman" w:hAnsi="Times New Roman"/>
              </w:rPr>
              <w:noBreakHyphen/>
            </w:r>
            <w:r w:rsidRPr="007C1A06">
              <w:rPr>
                <w:rFonts w:ascii="Times New Roman" w:hAnsi="Times New Roman"/>
              </w:rPr>
              <w:t>37,3)</w:t>
            </w:r>
          </w:p>
          <w:p w14:paraId="04FC5414" w14:textId="77777777" w:rsidR="00D875C0" w:rsidRPr="007C1A06" w:rsidRDefault="00D875C0" w:rsidP="004E3CD5">
            <w:pPr>
              <w:autoSpaceDE w:val="0"/>
              <w:autoSpaceDN w:val="0"/>
              <w:adjustRightInd w:val="0"/>
              <w:spacing w:after="0" w:line="240" w:lineRule="auto"/>
              <w:rPr>
                <w:rFonts w:ascii="Times New Roman" w:hAnsi="Times New Roman"/>
              </w:rPr>
            </w:pPr>
            <w:r w:rsidRPr="007C1A06">
              <w:rPr>
                <w:rFonts w:ascii="Times New Roman" w:hAnsi="Times New Roman"/>
              </w:rPr>
              <w:t>-</w:t>
            </w:r>
          </w:p>
        </w:tc>
      </w:tr>
      <w:tr w:rsidR="00D875C0" w:rsidRPr="007C1A06" w14:paraId="131628C1" w14:textId="77777777" w:rsidTr="004E3CD5">
        <w:tc>
          <w:tcPr>
            <w:tcW w:w="2629" w:type="dxa"/>
          </w:tcPr>
          <w:p w14:paraId="22823EAF"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Pacientų skaičius</w:t>
            </w:r>
          </w:p>
          <w:p w14:paraId="79AB7CA3"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Skausmo atsako dažnis (%)</w:t>
            </w:r>
          </w:p>
          <w:p w14:paraId="42D97AD7" w14:textId="77777777" w:rsidR="00D875C0" w:rsidRPr="007C1A06"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95</w:t>
            </w:r>
            <w:r w:rsidR="00694BB4" w:rsidRPr="007C1A06">
              <w:rPr>
                <w:rFonts w:ascii="Times New Roman" w:hAnsi="Times New Roman"/>
              </w:rPr>
              <w:t> </w:t>
            </w:r>
            <w:r w:rsidRPr="007C1A06">
              <w:rPr>
                <w:rFonts w:ascii="Times New Roman" w:hAnsi="Times New Roman"/>
              </w:rPr>
              <w:t>% PI</w:t>
            </w:r>
          </w:p>
          <w:p w14:paraId="2C4A6D3D"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 reikšmė*</w:t>
            </w:r>
          </w:p>
        </w:tc>
        <w:tc>
          <w:tcPr>
            <w:tcW w:w="2009" w:type="dxa"/>
          </w:tcPr>
          <w:p w14:paraId="3E4D7C8D"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153</w:t>
            </w:r>
          </w:p>
          <w:p w14:paraId="3DAFFA53"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34,6</w:t>
            </w:r>
          </w:p>
          <w:p w14:paraId="23231879"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(27,1</w:t>
            </w:r>
            <w:r w:rsidR="00694BB4" w:rsidRPr="007C1A06">
              <w:rPr>
                <w:rFonts w:ascii="Times New Roman" w:hAnsi="Times New Roman"/>
              </w:rPr>
              <w:noBreakHyphen/>
            </w:r>
            <w:r w:rsidRPr="007C1A06">
              <w:rPr>
                <w:rFonts w:ascii="Times New Roman" w:hAnsi="Times New Roman"/>
              </w:rPr>
              <w:t>42,7)</w:t>
            </w:r>
          </w:p>
          <w:p w14:paraId="146E9707"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0,0107</w:t>
            </w:r>
          </w:p>
        </w:tc>
        <w:tc>
          <w:tcPr>
            <w:tcW w:w="2307" w:type="dxa"/>
          </w:tcPr>
          <w:p w14:paraId="71A49C71"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154</w:t>
            </w:r>
          </w:p>
          <w:p w14:paraId="53127E08"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31,2</w:t>
            </w:r>
          </w:p>
          <w:p w14:paraId="0779D0CD"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(24,0</w:t>
            </w:r>
            <w:r w:rsidR="00694BB4" w:rsidRPr="007C1A06">
              <w:rPr>
                <w:rFonts w:ascii="Times New Roman" w:hAnsi="Times New Roman"/>
              </w:rPr>
              <w:noBreakHyphen/>
            </w:r>
            <w:r w:rsidRPr="007C1A06">
              <w:rPr>
                <w:rFonts w:ascii="Times New Roman" w:hAnsi="Times New Roman"/>
              </w:rPr>
              <w:t>39,1)</w:t>
            </w:r>
          </w:p>
          <w:p w14:paraId="674BFE6B"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0,0798</w:t>
            </w:r>
          </w:p>
        </w:tc>
        <w:tc>
          <w:tcPr>
            <w:tcW w:w="2341" w:type="dxa"/>
          </w:tcPr>
          <w:p w14:paraId="696C46AE"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157</w:t>
            </w:r>
          </w:p>
          <w:p w14:paraId="79E06C0E"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21,7</w:t>
            </w:r>
          </w:p>
          <w:p w14:paraId="319E560A"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(15,5</w:t>
            </w:r>
            <w:r w:rsidR="00694BB4" w:rsidRPr="007C1A06">
              <w:rPr>
                <w:rFonts w:ascii="Times New Roman" w:hAnsi="Times New Roman"/>
              </w:rPr>
              <w:noBreakHyphen/>
            </w:r>
            <w:r w:rsidRPr="007C1A06">
              <w:rPr>
                <w:rFonts w:ascii="Times New Roman" w:hAnsi="Times New Roman"/>
              </w:rPr>
              <w:t>28,9)</w:t>
            </w:r>
          </w:p>
          <w:p w14:paraId="22578857" w14:textId="77777777" w:rsidR="00D875C0" w:rsidRPr="007C1A06" w:rsidRDefault="00D875C0" w:rsidP="004E3CD5">
            <w:pPr>
              <w:autoSpaceDE w:val="0"/>
              <w:autoSpaceDN w:val="0"/>
              <w:adjustRightInd w:val="0"/>
              <w:spacing w:after="0" w:line="240" w:lineRule="auto"/>
              <w:rPr>
                <w:rFonts w:ascii="Times New Roman" w:hAnsi="Times New Roman"/>
              </w:rPr>
            </w:pPr>
            <w:r w:rsidRPr="007C1A06">
              <w:rPr>
                <w:rFonts w:ascii="Times New Roman" w:hAnsi="Times New Roman"/>
              </w:rPr>
              <w:t>-</w:t>
            </w:r>
          </w:p>
        </w:tc>
      </w:tr>
      <w:tr w:rsidR="00D875C0" w:rsidRPr="007C1A06" w14:paraId="3BD40555" w14:textId="77777777" w:rsidTr="004E3CD5">
        <w:tc>
          <w:tcPr>
            <w:tcW w:w="2629" w:type="dxa"/>
          </w:tcPr>
          <w:p w14:paraId="542641F6"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Pacientų skaičius</w:t>
            </w:r>
          </w:p>
          <w:p w14:paraId="5ABD7001"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Naviko atsako dažnis (%)</w:t>
            </w:r>
          </w:p>
          <w:p w14:paraId="307EB6F2" w14:textId="77777777" w:rsidR="00D875C0" w:rsidRPr="007C1A06"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95</w:t>
            </w:r>
            <w:r w:rsidR="00694BB4" w:rsidRPr="007C1A06">
              <w:rPr>
                <w:rFonts w:ascii="Times New Roman" w:hAnsi="Times New Roman"/>
              </w:rPr>
              <w:t> </w:t>
            </w:r>
            <w:r w:rsidRPr="007C1A06">
              <w:rPr>
                <w:rFonts w:ascii="Times New Roman" w:hAnsi="Times New Roman"/>
              </w:rPr>
              <w:t>% PI</w:t>
            </w:r>
          </w:p>
          <w:p w14:paraId="083D40ED"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 reikšmė*</w:t>
            </w:r>
          </w:p>
        </w:tc>
        <w:tc>
          <w:tcPr>
            <w:tcW w:w="2009" w:type="dxa"/>
          </w:tcPr>
          <w:p w14:paraId="30F083DD"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141</w:t>
            </w:r>
          </w:p>
          <w:p w14:paraId="15FF7EDE"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12,1</w:t>
            </w:r>
          </w:p>
          <w:p w14:paraId="05B2CC5D"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(7,2</w:t>
            </w:r>
            <w:r w:rsidR="00694BB4" w:rsidRPr="007C1A06">
              <w:rPr>
                <w:rFonts w:ascii="Times New Roman" w:hAnsi="Times New Roman"/>
              </w:rPr>
              <w:noBreakHyphen/>
            </w:r>
            <w:r w:rsidRPr="007C1A06">
              <w:rPr>
                <w:rFonts w:ascii="Times New Roman" w:hAnsi="Times New Roman"/>
              </w:rPr>
              <w:t>18,6)</w:t>
            </w:r>
          </w:p>
          <w:p w14:paraId="3756CABA"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0,1112</w:t>
            </w:r>
          </w:p>
        </w:tc>
        <w:tc>
          <w:tcPr>
            <w:tcW w:w="2307" w:type="dxa"/>
          </w:tcPr>
          <w:p w14:paraId="17AC0B3A"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134</w:t>
            </w:r>
          </w:p>
          <w:p w14:paraId="3E3778C0"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8,2</w:t>
            </w:r>
          </w:p>
          <w:p w14:paraId="71203EEE"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(4,2</w:t>
            </w:r>
            <w:r w:rsidR="00694BB4" w:rsidRPr="007C1A06">
              <w:rPr>
                <w:rFonts w:ascii="Times New Roman" w:hAnsi="Times New Roman"/>
              </w:rPr>
              <w:noBreakHyphen/>
            </w:r>
            <w:r w:rsidRPr="007C1A06">
              <w:rPr>
                <w:rFonts w:ascii="Times New Roman" w:hAnsi="Times New Roman"/>
              </w:rPr>
              <w:t>14,2)</w:t>
            </w:r>
          </w:p>
          <w:p w14:paraId="7D1B20DA"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0,5853</w:t>
            </w:r>
          </w:p>
        </w:tc>
        <w:tc>
          <w:tcPr>
            <w:tcW w:w="2341" w:type="dxa"/>
          </w:tcPr>
          <w:p w14:paraId="14C836B8"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137</w:t>
            </w:r>
          </w:p>
          <w:p w14:paraId="5FE7FD7E"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6,6</w:t>
            </w:r>
          </w:p>
          <w:p w14:paraId="61F4C401"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(3,0</w:t>
            </w:r>
            <w:r w:rsidR="00694BB4" w:rsidRPr="007C1A06">
              <w:rPr>
                <w:rFonts w:ascii="Times New Roman" w:hAnsi="Times New Roman"/>
              </w:rPr>
              <w:noBreakHyphen/>
            </w:r>
            <w:r w:rsidRPr="007C1A06">
              <w:rPr>
                <w:rFonts w:ascii="Times New Roman" w:hAnsi="Times New Roman"/>
              </w:rPr>
              <w:t>12,1)</w:t>
            </w:r>
          </w:p>
          <w:p w14:paraId="06105686" w14:textId="77777777" w:rsidR="00D875C0" w:rsidRPr="007C1A06" w:rsidRDefault="00D875C0" w:rsidP="004E3CD5">
            <w:pPr>
              <w:autoSpaceDE w:val="0"/>
              <w:autoSpaceDN w:val="0"/>
              <w:adjustRightInd w:val="0"/>
              <w:spacing w:after="0" w:line="240" w:lineRule="auto"/>
              <w:rPr>
                <w:rFonts w:ascii="Times New Roman" w:hAnsi="Times New Roman"/>
              </w:rPr>
            </w:pPr>
            <w:r w:rsidRPr="007C1A06">
              <w:rPr>
                <w:rFonts w:ascii="Times New Roman" w:hAnsi="Times New Roman"/>
              </w:rPr>
              <w:t>-</w:t>
            </w:r>
          </w:p>
        </w:tc>
      </w:tr>
    </w:tbl>
    <w:p w14:paraId="4FDD5FA0" w14:textId="77777777" w:rsidR="00D875C0" w:rsidRPr="001F2C4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†Stratifikuotas logaritminio rango testas</w:t>
      </w:r>
    </w:p>
    <w:p w14:paraId="7AAA5D7B" w14:textId="77777777" w:rsidR="00D875C0" w:rsidRPr="00427D92" w:rsidRDefault="00D875C0" w:rsidP="00D875C0">
      <w:pPr>
        <w:autoSpaceDE w:val="0"/>
        <w:autoSpaceDN w:val="0"/>
        <w:adjustRightInd w:val="0"/>
        <w:spacing w:after="0" w:line="240" w:lineRule="auto"/>
        <w:rPr>
          <w:rFonts w:ascii="Times New Roman" w:hAnsi="Times New Roman"/>
        </w:rPr>
      </w:pPr>
      <w:r w:rsidRPr="00427D92">
        <w:rPr>
          <w:rFonts w:ascii="Times New Roman" w:hAnsi="Times New Roman"/>
        </w:rPr>
        <w:t>*Statistinio reikšmingumo lygmuo = 0,0175</w:t>
      </w:r>
    </w:p>
    <w:p w14:paraId="74D12826" w14:textId="77777777" w:rsidR="00D875C0" w:rsidRPr="00C722B4" w:rsidRDefault="00D875C0" w:rsidP="00D875C0">
      <w:pPr>
        <w:autoSpaceDE w:val="0"/>
        <w:autoSpaceDN w:val="0"/>
        <w:adjustRightInd w:val="0"/>
        <w:spacing w:after="0" w:line="240" w:lineRule="auto"/>
        <w:rPr>
          <w:rFonts w:ascii="Times New Roman" w:hAnsi="Times New Roman"/>
        </w:rPr>
      </w:pPr>
      <w:r w:rsidRPr="00C722B4">
        <w:rPr>
          <w:rFonts w:ascii="Times New Roman" w:hAnsi="Times New Roman"/>
        </w:rPr>
        <w:t>**PSA – prostatos specifinis antigenas</w:t>
      </w:r>
    </w:p>
    <w:p w14:paraId="16FE2C5F" w14:textId="77777777" w:rsidR="00D875C0" w:rsidRPr="007C1A06" w:rsidRDefault="00D875C0" w:rsidP="00D875C0">
      <w:pPr>
        <w:spacing w:after="0" w:line="240" w:lineRule="auto"/>
        <w:rPr>
          <w:rFonts w:ascii="Times New Roman" w:hAnsi="Times New Roman"/>
        </w:rPr>
      </w:pPr>
    </w:p>
    <w:p w14:paraId="2FF9080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Atsižvelgiant į tai, kad kas savaitę vartojamo docetakselio saugumas buvo šiek kiek geresnis, nei docetakselio infuzuojant kas 3</w:t>
      </w:r>
      <w:r w:rsidR="00694BB4" w:rsidRPr="007C1A06">
        <w:rPr>
          <w:rFonts w:ascii="Times New Roman" w:hAnsi="Times New Roman"/>
        </w:rPr>
        <w:t> </w:t>
      </w:r>
      <w:r w:rsidRPr="007C1A06">
        <w:rPr>
          <w:rFonts w:ascii="Times New Roman" w:hAnsi="Times New Roman"/>
        </w:rPr>
        <w:t>savaites, tikėtina, kad kai kuriems pacientams gali būti naudinga docetakselio vartoti kas savaitę.</w:t>
      </w:r>
    </w:p>
    <w:p w14:paraId="7FB52A36" w14:textId="77777777" w:rsidR="00D875C0" w:rsidRPr="007C1A06" w:rsidRDefault="00D875C0" w:rsidP="00D875C0">
      <w:pPr>
        <w:autoSpaceDE w:val="0"/>
        <w:autoSpaceDN w:val="0"/>
        <w:adjustRightInd w:val="0"/>
        <w:spacing w:after="0" w:line="240" w:lineRule="auto"/>
        <w:rPr>
          <w:rFonts w:ascii="Times New Roman" w:hAnsi="Times New Roman"/>
        </w:rPr>
      </w:pPr>
    </w:p>
    <w:p w14:paraId="642152A0"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Statistinių bendros gyvenimo kokybės skirtumų tarp gydymo grupių nenustatyta.</w:t>
      </w:r>
    </w:p>
    <w:p w14:paraId="6D6BAB73" w14:textId="77777777" w:rsidR="00D875C0" w:rsidRPr="007C1A06" w:rsidRDefault="00D875C0" w:rsidP="00D875C0">
      <w:pPr>
        <w:autoSpaceDE w:val="0"/>
        <w:autoSpaceDN w:val="0"/>
        <w:adjustRightInd w:val="0"/>
        <w:spacing w:after="0" w:line="240" w:lineRule="auto"/>
        <w:rPr>
          <w:rFonts w:ascii="Times New Roman" w:hAnsi="Times New Roman"/>
        </w:rPr>
      </w:pPr>
    </w:p>
    <w:p w14:paraId="569D471F"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u w:val="single"/>
          <w:lang w:eastAsia="zh-TW"/>
        </w:rPr>
      </w:pPr>
      <w:r w:rsidRPr="007C1A06">
        <w:rPr>
          <w:rFonts w:ascii="Times New Roman" w:hAnsi="Times New Roman"/>
          <w:i/>
          <w:u w:val="single"/>
        </w:rPr>
        <w:t>Skrandžio adenokarcinoma</w:t>
      </w:r>
    </w:p>
    <w:p w14:paraId="6ABE6346"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Buvo atliktas daugiacentris atviras atsitiktinių imčių tyrimas, kurio metu vertintas pacientų, kurie sirgo metastazavusia skrandžio adenokarcinoma, įskaitant skrandžio ir stemplės jungties adenokarcinomą, ir kuriems metastazavusios ligos chemoterapija anksčiau netaikyta, gydymo docetakseliu veiksmingumas bei saugumas. Viso 445 pacientai, kurių KPS buvo &gt;</w:t>
      </w:r>
      <w:r w:rsidR="00694BB4" w:rsidRPr="007C1A06">
        <w:rPr>
          <w:rFonts w:ascii="Times New Roman" w:hAnsi="Times New Roman"/>
        </w:rPr>
        <w:t> </w:t>
      </w:r>
      <w:r w:rsidRPr="007C1A06">
        <w:rPr>
          <w:rFonts w:ascii="Times New Roman" w:hAnsi="Times New Roman"/>
        </w:rPr>
        <w:t>70, gydyti arba docetakseliu (T) (75</w:t>
      </w:r>
      <w:r w:rsidR="00694BB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1</w:t>
      </w:r>
      <w:r w:rsidR="00694BB4" w:rsidRPr="007C1A06">
        <w:rPr>
          <w:rFonts w:ascii="Times New Roman" w:hAnsi="Times New Roman"/>
        </w:rPr>
        <w:t> </w:t>
      </w:r>
      <w:r w:rsidRPr="007C1A06">
        <w:rPr>
          <w:rFonts w:ascii="Times New Roman" w:hAnsi="Times New Roman"/>
        </w:rPr>
        <w:t>parą), cisplatina (C) (75</w:t>
      </w:r>
      <w:r w:rsidR="00694BB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1</w:t>
      </w:r>
      <w:r w:rsidR="00694BB4" w:rsidRPr="007C1A06">
        <w:rPr>
          <w:rFonts w:ascii="Times New Roman" w:hAnsi="Times New Roman"/>
        </w:rPr>
        <w:t> </w:t>
      </w:r>
      <w:r w:rsidRPr="007C1A06">
        <w:rPr>
          <w:rFonts w:ascii="Times New Roman" w:hAnsi="Times New Roman"/>
        </w:rPr>
        <w:t>parą) ir 5-fluorouracilu (F) (750</w:t>
      </w:r>
      <w:r w:rsidR="00694BB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per parą 5</w:t>
      </w:r>
      <w:r w:rsidR="00694BB4" w:rsidRPr="007C1A06">
        <w:rPr>
          <w:rFonts w:ascii="Times New Roman" w:hAnsi="Times New Roman"/>
        </w:rPr>
        <w:t> </w:t>
      </w:r>
      <w:r w:rsidRPr="007C1A06">
        <w:rPr>
          <w:rFonts w:ascii="Times New Roman" w:hAnsi="Times New Roman"/>
        </w:rPr>
        <w:t>dienas), arba cisplatina (100</w:t>
      </w:r>
      <w:r w:rsidR="00694BB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1</w:t>
      </w:r>
      <w:r w:rsidR="00694BB4" w:rsidRPr="007C1A06">
        <w:rPr>
          <w:rFonts w:ascii="Times New Roman" w:hAnsi="Times New Roman"/>
        </w:rPr>
        <w:t> </w:t>
      </w:r>
      <w:r w:rsidRPr="007C1A06">
        <w:rPr>
          <w:rFonts w:ascii="Times New Roman" w:hAnsi="Times New Roman"/>
        </w:rPr>
        <w:t>parą) ir 5-fluorouracilu (1000</w:t>
      </w:r>
      <w:r w:rsidR="00694BB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per parą 5</w:t>
      </w:r>
      <w:r w:rsidR="00694BB4" w:rsidRPr="007C1A06">
        <w:rPr>
          <w:rFonts w:ascii="Times New Roman" w:hAnsi="Times New Roman"/>
        </w:rPr>
        <w:t> </w:t>
      </w:r>
      <w:r w:rsidRPr="007C1A06">
        <w:rPr>
          <w:rFonts w:ascii="Times New Roman" w:hAnsi="Times New Roman"/>
        </w:rPr>
        <w:t>dienas).</w:t>
      </w:r>
    </w:p>
    <w:p w14:paraId="24F36DAA"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Gydymo ciklo trukmė TCF grupėje buvo 3</w:t>
      </w:r>
      <w:r w:rsidR="00694BB4" w:rsidRPr="007C1A06">
        <w:rPr>
          <w:rFonts w:ascii="Times New Roman" w:hAnsi="Times New Roman"/>
        </w:rPr>
        <w:t> </w:t>
      </w:r>
      <w:r w:rsidRPr="007C1A06">
        <w:rPr>
          <w:rFonts w:ascii="Times New Roman" w:hAnsi="Times New Roman"/>
        </w:rPr>
        <w:t>savaitės, CF grupėje - 4</w:t>
      </w:r>
      <w:r w:rsidR="00694BB4" w:rsidRPr="007C1A06">
        <w:rPr>
          <w:rFonts w:ascii="Times New Roman" w:hAnsi="Times New Roman"/>
        </w:rPr>
        <w:t> </w:t>
      </w:r>
      <w:r w:rsidRPr="007C1A06">
        <w:rPr>
          <w:rFonts w:ascii="Times New Roman" w:hAnsi="Times New Roman"/>
        </w:rPr>
        <w:t>savaitės. TCF grupėje pacientui skirtų gydymo ciklų mediana buvo 6 (1</w:t>
      </w:r>
      <w:r w:rsidR="00694BB4" w:rsidRPr="007C1A06">
        <w:rPr>
          <w:rFonts w:ascii="Times New Roman" w:hAnsi="Times New Roman"/>
        </w:rPr>
        <w:noBreakHyphen/>
      </w:r>
      <w:r w:rsidRPr="007C1A06">
        <w:rPr>
          <w:rFonts w:ascii="Times New Roman" w:hAnsi="Times New Roman"/>
        </w:rPr>
        <w:t>16), o CF grupėje 4 (1</w:t>
      </w:r>
      <w:r w:rsidR="00694BB4" w:rsidRPr="007C1A06">
        <w:rPr>
          <w:rFonts w:ascii="Times New Roman" w:hAnsi="Times New Roman"/>
        </w:rPr>
        <w:noBreakHyphen/>
      </w:r>
      <w:r w:rsidRPr="007C1A06">
        <w:rPr>
          <w:rFonts w:ascii="Times New Roman" w:hAnsi="Times New Roman"/>
        </w:rPr>
        <w:t xml:space="preserve">12). Pagrindinė vertinamoji baigtis buvo laikotarpis iki ligos progresavimo (angl. </w:t>
      </w:r>
      <w:r w:rsidRPr="007C1A06">
        <w:rPr>
          <w:rFonts w:ascii="Times New Roman" w:hAnsi="Times New Roman"/>
          <w:i/>
        </w:rPr>
        <w:t xml:space="preserve">Time to progression </w:t>
      </w:r>
      <w:r w:rsidRPr="007C1A06">
        <w:rPr>
          <w:rFonts w:ascii="Times New Roman" w:hAnsi="Times New Roman"/>
        </w:rPr>
        <w:t>(TTP). TCF grupės gydymo rezultatai buvo geresni: progresavimo pavojus sumažėjo 32,1</w:t>
      </w:r>
      <w:r w:rsidR="00694BB4" w:rsidRPr="007C1A06">
        <w:rPr>
          <w:rFonts w:ascii="Times New Roman" w:hAnsi="Times New Roman"/>
        </w:rPr>
        <w:t> </w:t>
      </w:r>
      <w:r w:rsidRPr="007C1A06">
        <w:rPr>
          <w:rFonts w:ascii="Times New Roman" w:hAnsi="Times New Roman"/>
        </w:rPr>
        <w:t>% o TTP buvo reikšmingai ilgesnis (p=0,0004). Bendras išgyvenamumas TCF grupėje buvo reikšmingai ilgesnis (p=0,0201), mirties pavojus sumažėjo 22,7</w:t>
      </w:r>
      <w:r w:rsidR="00694BB4" w:rsidRPr="007C1A06">
        <w:rPr>
          <w:rFonts w:ascii="Times New Roman" w:hAnsi="Times New Roman"/>
        </w:rPr>
        <w:t> </w:t>
      </w:r>
      <w:r w:rsidRPr="007C1A06">
        <w:rPr>
          <w:rFonts w:ascii="Times New Roman" w:hAnsi="Times New Roman"/>
        </w:rPr>
        <w:t>%. Gydymo veiksmingumo duomenys apibendrinami žemiau pateiktoje lentelėje.</w:t>
      </w:r>
    </w:p>
    <w:p w14:paraId="29C2E88D" w14:textId="77777777" w:rsidR="00D875C0" w:rsidRPr="007C1A06" w:rsidRDefault="00D875C0" w:rsidP="00D875C0">
      <w:pPr>
        <w:autoSpaceDE w:val="0"/>
        <w:autoSpaceDN w:val="0"/>
        <w:adjustRightInd w:val="0"/>
        <w:spacing w:after="0" w:line="240" w:lineRule="auto"/>
        <w:rPr>
          <w:rFonts w:ascii="Times New Roman" w:hAnsi="Times New Roman"/>
        </w:rPr>
      </w:pPr>
    </w:p>
    <w:p w14:paraId="3560423D"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7C1A06">
        <w:rPr>
          <w:rFonts w:ascii="Times New Roman" w:hAnsi="Times New Roman"/>
          <w:u w:val="single"/>
        </w:rPr>
        <w:t>Docetakselio veiksmingumas gydant skrandžio adenokarcinoma sergančius pacientus:</w:t>
      </w:r>
    </w:p>
    <w:p w14:paraId="48D9EFE8" w14:textId="77777777" w:rsidR="00D875C0" w:rsidRPr="007C1A06" w:rsidRDefault="00D875C0" w:rsidP="00D875C0">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803"/>
        <w:gridCol w:w="2998"/>
      </w:tblGrid>
      <w:tr w:rsidR="00D875C0" w:rsidRPr="007C1A06" w14:paraId="3F6DE9A9" w14:textId="77777777" w:rsidTr="004E3CD5">
        <w:tc>
          <w:tcPr>
            <w:tcW w:w="3528" w:type="dxa"/>
          </w:tcPr>
          <w:p w14:paraId="6BD577A3" w14:textId="77777777" w:rsidR="00D875C0" w:rsidRPr="007C1A06" w:rsidRDefault="00D875C0" w:rsidP="003876F8">
            <w:pPr>
              <w:spacing w:after="0" w:line="240" w:lineRule="auto"/>
              <w:rPr>
                <w:rFonts w:ascii="Times New Roman" w:hAnsi="Times New Roman"/>
              </w:rPr>
            </w:pPr>
            <w:r w:rsidRPr="007C1A06">
              <w:rPr>
                <w:rFonts w:ascii="Times New Roman" w:hAnsi="Times New Roman"/>
                <w:b/>
              </w:rPr>
              <w:t>Vertinamoji baigtis</w:t>
            </w:r>
          </w:p>
        </w:tc>
        <w:tc>
          <w:tcPr>
            <w:tcW w:w="3041" w:type="dxa"/>
          </w:tcPr>
          <w:p w14:paraId="775B98AE" w14:textId="77777777" w:rsidR="00D875C0" w:rsidRPr="004E3CD5" w:rsidRDefault="00D875C0" w:rsidP="004E3CD5">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TCF</w:t>
            </w:r>
          </w:p>
          <w:p w14:paraId="0FFD3DC8"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n=221</w:t>
            </w:r>
          </w:p>
        </w:tc>
        <w:tc>
          <w:tcPr>
            <w:tcW w:w="3285" w:type="dxa"/>
          </w:tcPr>
          <w:p w14:paraId="0137CACC" w14:textId="77777777" w:rsidR="00D875C0" w:rsidRPr="004E3CD5" w:rsidRDefault="00D875C0" w:rsidP="004E3CD5">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CF</w:t>
            </w:r>
          </w:p>
          <w:p w14:paraId="546B9CDF"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n=224</w:t>
            </w:r>
          </w:p>
        </w:tc>
      </w:tr>
      <w:tr w:rsidR="00D875C0" w:rsidRPr="007C1A06" w14:paraId="6505303F" w14:textId="77777777" w:rsidTr="004E3CD5">
        <w:tc>
          <w:tcPr>
            <w:tcW w:w="3528" w:type="dxa"/>
            <w:vMerge w:val="restart"/>
          </w:tcPr>
          <w:p w14:paraId="76A9C4BE" w14:textId="77777777" w:rsidR="00D875C0" w:rsidRPr="001F2C46" w:rsidRDefault="00D875C0" w:rsidP="003876F8">
            <w:pPr>
              <w:spacing w:after="0" w:line="240" w:lineRule="auto"/>
              <w:rPr>
                <w:rFonts w:ascii="Times New Roman" w:hAnsi="Times New Roman"/>
              </w:rPr>
            </w:pPr>
            <w:r w:rsidRPr="00F95B76">
              <w:rPr>
                <w:rFonts w:ascii="Times New Roman" w:hAnsi="Times New Roman"/>
              </w:rPr>
              <w:t>TTP mediana (mėnesiai)</w:t>
            </w:r>
          </w:p>
          <w:p w14:paraId="69EDB0BF" w14:textId="77777777" w:rsidR="00D875C0" w:rsidRPr="00427D92" w:rsidRDefault="00D875C0" w:rsidP="003876F8">
            <w:pPr>
              <w:spacing w:after="0" w:line="240" w:lineRule="auto"/>
              <w:rPr>
                <w:rFonts w:ascii="Times New Roman" w:hAnsi="Times New Roman"/>
              </w:rPr>
            </w:pPr>
            <w:r w:rsidRPr="00427D92">
              <w:rPr>
                <w:rFonts w:ascii="Times New Roman" w:hAnsi="Times New Roman"/>
              </w:rPr>
              <w:t>(95</w:t>
            </w:r>
            <w:r w:rsidR="00694BB4" w:rsidRPr="00427D92">
              <w:rPr>
                <w:rFonts w:ascii="Times New Roman" w:hAnsi="Times New Roman"/>
              </w:rPr>
              <w:t> </w:t>
            </w:r>
            <w:r w:rsidRPr="00427D92">
              <w:rPr>
                <w:rFonts w:ascii="Times New Roman" w:hAnsi="Times New Roman"/>
              </w:rPr>
              <w:t>% PI)</w:t>
            </w:r>
          </w:p>
          <w:p w14:paraId="5EA275D0" w14:textId="77777777" w:rsidR="00D875C0" w:rsidRPr="007C1A06"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Riziko</w:t>
            </w:r>
            <w:r w:rsidRPr="007C1A06">
              <w:rPr>
                <w:rFonts w:ascii="Times New Roman" w:hAnsi="Times New Roman"/>
              </w:rPr>
              <w:t xml:space="preserve">s koeficientas </w:t>
            </w:r>
          </w:p>
          <w:p w14:paraId="198E9205"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(95</w:t>
            </w:r>
            <w:r w:rsidR="00694BB4" w:rsidRPr="007C1A06">
              <w:rPr>
                <w:rFonts w:ascii="Times New Roman" w:hAnsi="Times New Roman"/>
              </w:rPr>
              <w:t> </w:t>
            </w:r>
            <w:r w:rsidRPr="007C1A06">
              <w:rPr>
                <w:rFonts w:ascii="Times New Roman" w:hAnsi="Times New Roman"/>
              </w:rPr>
              <w:t xml:space="preserve">% PI) </w:t>
            </w:r>
          </w:p>
          <w:p w14:paraId="0D847B0C" w14:textId="77777777" w:rsidR="00D875C0" w:rsidRPr="004E3CD5" w:rsidRDefault="00D875C0" w:rsidP="003876F8">
            <w:pPr>
              <w:spacing w:after="0" w:line="240" w:lineRule="auto"/>
              <w:rPr>
                <w:rFonts w:ascii="Times New Roman" w:eastAsiaTheme="minorEastAsia" w:hAnsi="Times New Roman"/>
                <w:lang w:eastAsia="zh-TW"/>
              </w:rPr>
            </w:pPr>
            <w:r w:rsidRPr="007C1A06">
              <w:rPr>
                <w:rFonts w:ascii="Times New Roman" w:hAnsi="Times New Roman"/>
              </w:rPr>
              <w:t xml:space="preserve">* p reikšmė </w:t>
            </w:r>
          </w:p>
        </w:tc>
        <w:tc>
          <w:tcPr>
            <w:tcW w:w="3041" w:type="dxa"/>
          </w:tcPr>
          <w:p w14:paraId="2E713BCD"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5,6</w:t>
            </w:r>
          </w:p>
          <w:p w14:paraId="490FE30A"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(4,86</w:t>
            </w:r>
            <w:r w:rsidR="00694BB4" w:rsidRPr="007C1A06">
              <w:rPr>
                <w:rFonts w:ascii="Times New Roman" w:hAnsi="Times New Roman"/>
              </w:rPr>
              <w:noBreakHyphen/>
            </w:r>
            <w:r w:rsidRPr="007C1A06">
              <w:rPr>
                <w:rFonts w:ascii="Times New Roman" w:hAnsi="Times New Roman"/>
              </w:rPr>
              <w:t>5,91)</w:t>
            </w:r>
          </w:p>
        </w:tc>
        <w:tc>
          <w:tcPr>
            <w:tcW w:w="3285" w:type="dxa"/>
          </w:tcPr>
          <w:p w14:paraId="0185DFFC"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3,7</w:t>
            </w:r>
          </w:p>
          <w:p w14:paraId="07EE88DD"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(3,45</w:t>
            </w:r>
            <w:r w:rsidR="00694BB4" w:rsidRPr="007C1A06">
              <w:rPr>
                <w:rFonts w:ascii="Times New Roman" w:hAnsi="Times New Roman"/>
              </w:rPr>
              <w:noBreakHyphen/>
            </w:r>
            <w:r w:rsidRPr="007C1A06">
              <w:rPr>
                <w:rFonts w:ascii="Times New Roman" w:hAnsi="Times New Roman"/>
              </w:rPr>
              <w:t>4,47)</w:t>
            </w:r>
          </w:p>
        </w:tc>
      </w:tr>
      <w:tr w:rsidR="00D875C0" w:rsidRPr="007C1A06" w14:paraId="4F83BCA8" w14:textId="77777777" w:rsidTr="004E3CD5">
        <w:tc>
          <w:tcPr>
            <w:tcW w:w="3528" w:type="dxa"/>
            <w:vMerge/>
          </w:tcPr>
          <w:p w14:paraId="1318BB71" w14:textId="77777777" w:rsidR="00D875C0" w:rsidRPr="007C1A06" w:rsidRDefault="00D875C0" w:rsidP="003876F8">
            <w:pPr>
              <w:spacing w:after="0" w:line="240" w:lineRule="auto"/>
              <w:rPr>
                <w:rFonts w:ascii="Times New Roman" w:hAnsi="Times New Roman"/>
              </w:rPr>
            </w:pPr>
          </w:p>
        </w:tc>
        <w:tc>
          <w:tcPr>
            <w:tcW w:w="6326" w:type="dxa"/>
            <w:gridSpan w:val="2"/>
          </w:tcPr>
          <w:p w14:paraId="36DB920D"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1,473</w:t>
            </w:r>
          </w:p>
          <w:p w14:paraId="207ED8D0"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(1,189</w:t>
            </w:r>
            <w:r w:rsidR="00694BB4" w:rsidRPr="007C1A06">
              <w:rPr>
                <w:rFonts w:ascii="Times New Roman" w:hAnsi="Times New Roman"/>
              </w:rPr>
              <w:noBreakHyphen/>
            </w:r>
            <w:r w:rsidRPr="007C1A06">
              <w:rPr>
                <w:rFonts w:ascii="Times New Roman" w:hAnsi="Times New Roman"/>
              </w:rPr>
              <w:t>1,825)</w:t>
            </w:r>
          </w:p>
          <w:p w14:paraId="3D50601B"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0,0004</w:t>
            </w:r>
          </w:p>
        </w:tc>
      </w:tr>
      <w:tr w:rsidR="00D875C0" w:rsidRPr="007C1A06" w14:paraId="7B307817" w14:textId="77777777" w:rsidTr="004E3CD5">
        <w:tc>
          <w:tcPr>
            <w:tcW w:w="3528" w:type="dxa"/>
          </w:tcPr>
          <w:p w14:paraId="0BE95280"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 xml:space="preserve">Išgyvenamumo mediana (mėnesiai) </w:t>
            </w:r>
          </w:p>
          <w:p w14:paraId="110EA755"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(95</w:t>
            </w:r>
            <w:r w:rsidR="00694BB4" w:rsidRPr="00427D92">
              <w:rPr>
                <w:rFonts w:ascii="Times New Roman" w:hAnsi="Times New Roman"/>
              </w:rPr>
              <w:t> </w:t>
            </w:r>
            <w:r w:rsidRPr="00427D92">
              <w:rPr>
                <w:rFonts w:ascii="Times New Roman" w:hAnsi="Times New Roman"/>
              </w:rPr>
              <w:t xml:space="preserve">% PI) </w:t>
            </w:r>
          </w:p>
          <w:p w14:paraId="7A362F82" w14:textId="77777777" w:rsidR="00D875C0" w:rsidRPr="007C1A06" w:rsidRDefault="00D875C0" w:rsidP="00694BB4">
            <w:pPr>
              <w:autoSpaceDE w:val="0"/>
              <w:autoSpaceDN w:val="0"/>
              <w:adjustRightInd w:val="0"/>
              <w:spacing w:after="0" w:line="240" w:lineRule="auto"/>
              <w:rPr>
                <w:rFonts w:ascii="Times New Roman" w:hAnsi="Times New Roman"/>
              </w:rPr>
            </w:pPr>
            <w:r w:rsidRPr="00C722B4">
              <w:rPr>
                <w:rFonts w:ascii="Times New Roman" w:hAnsi="Times New Roman"/>
              </w:rPr>
              <w:t>2</w:t>
            </w:r>
            <w:r w:rsidR="00694BB4" w:rsidRPr="007C1A06">
              <w:rPr>
                <w:rFonts w:ascii="Times New Roman" w:hAnsi="Times New Roman"/>
              </w:rPr>
              <w:t> </w:t>
            </w:r>
            <w:r w:rsidRPr="007C1A06">
              <w:rPr>
                <w:rFonts w:ascii="Times New Roman" w:hAnsi="Times New Roman"/>
              </w:rPr>
              <w:t>metų įvertis (%)</w:t>
            </w:r>
          </w:p>
        </w:tc>
        <w:tc>
          <w:tcPr>
            <w:tcW w:w="3041" w:type="dxa"/>
          </w:tcPr>
          <w:p w14:paraId="0BC980F2"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9,2</w:t>
            </w:r>
          </w:p>
          <w:p w14:paraId="4C647AFC"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(8,38</w:t>
            </w:r>
            <w:r w:rsidR="00694BB4" w:rsidRPr="007C1A06">
              <w:rPr>
                <w:rFonts w:ascii="Times New Roman" w:hAnsi="Times New Roman"/>
              </w:rPr>
              <w:noBreakHyphen/>
            </w:r>
            <w:r w:rsidRPr="007C1A06">
              <w:rPr>
                <w:rFonts w:ascii="Times New Roman" w:hAnsi="Times New Roman"/>
              </w:rPr>
              <w:t>10,58)</w:t>
            </w:r>
          </w:p>
          <w:p w14:paraId="45CF02CB"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18,4</w:t>
            </w:r>
          </w:p>
        </w:tc>
        <w:tc>
          <w:tcPr>
            <w:tcW w:w="3285" w:type="dxa"/>
          </w:tcPr>
          <w:p w14:paraId="31AAF924"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8,6</w:t>
            </w:r>
          </w:p>
          <w:p w14:paraId="0724BA4A"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(7,16</w:t>
            </w:r>
            <w:r w:rsidR="00694BB4" w:rsidRPr="007C1A06">
              <w:rPr>
                <w:rFonts w:ascii="Times New Roman" w:hAnsi="Times New Roman"/>
              </w:rPr>
              <w:noBreakHyphen/>
            </w:r>
            <w:r w:rsidRPr="007C1A06">
              <w:rPr>
                <w:rFonts w:ascii="Times New Roman" w:hAnsi="Times New Roman"/>
              </w:rPr>
              <w:t>9,46)</w:t>
            </w:r>
          </w:p>
          <w:p w14:paraId="270B650D"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8,8</w:t>
            </w:r>
          </w:p>
        </w:tc>
      </w:tr>
      <w:tr w:rsidR="00D875C0" w:rsidRPr="007C1A06" w14:paraId="12DE47A2" w14:textId="77777777" w:rsidTr="004E3CD5">
        <w:tc>
          <w:tcPr>
            <w:tcW w:w="3528" w:type="dxa"/>
          </w:tcPr>
          <w:p w14:paraId="0D7BF86E"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 xml:space="preserve">Rizikos koeficientas </w:t>
            </w:r>
          </w:p>
          <w:p w14:paraId="67F640FE" w14:textId="77777777" w:rsidR="00D875C0" w:rsidRPr="000C43D3"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(95</w:t>
            </w:r>
            <w:r w:rsidR="00694BB4" w:rsidRPr="00427D92">
              <w:rPr>
                <w:rFonts w:ascii="Times New Roman" w:hAnsi="Times New Roman"/>
              </w:rPr>
              <w:t> </w:t>
            </w:r>
            <w:r w:rsidRPr="00427D92">
              <w:rPr>
                <w:rFonts w:ascii="Times New Roman" w:hAnsi="Times New Roman"/>
              </w:rPr>
              <w:t>% P</w:t>
            </w:r>
            <w:r w:rsidRPr="000C43D3">
              <w:rPr>
                <w:rFonts w:ascii="Times New Roman" w:hAnsi="Times New Roman"/>
              </w:rPr>
              <w:t xml:space="preserve">I) </w:t>
            </w:r>
          </w:p>
          <w:p w14:paraId="6D28307B" w14:textId="77777777" w:rsidR="00D875C0" w:rsidRPr="00C722B4"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 xml:space="preserve">*p reikšmė </w:t>
            </w:r>
          </w:p>
        </w:tc>
        <w:tc>
          <w:tcPr>
            <w:tcW w:w="6326" w:type="dxa"/>
            <w:gridSpan w:val="2"/>
          </w:tcPr>
          <w:p w14:paraId="39D8C137"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1,293</w:t>
            </w:r>
          </w:p>
          <w:p w14:paraId="4B792F6D"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(1,041</w:t>
            </w:r>
            <w:r w:rsidR="00694BB4" w:rsidRPr="007C1A06">
              <w:rPr>
                <w:rFonts w:ascii="Times New Roman" w:hAnsi="Times New Roman"/>
              </w:rPr>
              <w:noBreakHyphen/>
            </w:r>
            <w:r w:rsidRPr="007C1A06">
              <w:rPr>
                <w:rFonts w:ascii="Times New Roman" w:hAnsi="Times New Roman"/>
              </w:rPr>
              <w:t>1,606)</w:t>
            </w:r>
          </w:p>
          <w:p w14:paraId="031D3747"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0,0201</w:t>
            </w:r>
          </w:p>
        </w:tc>
      </w:tr>
      <w:tr w:rsidR="00D875C0" w:rsidRPr="007C1A06" w14:paraId="6F4E81CE" w14:textId="77777777" w:rsidTr="004E3CD5">
        <w:tc>
          <w:tcPr>
            <w:tcW w:w="3528" w:type="dxa"/>
          </w:tcPr>
          <w:p w14:paraId="746EC51A"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Bendras atsako dažnis (CR+PR) (%)</w:t>
            </w:r>
          </w:p>
        </w:tc>
        <w:tc>
          <w:tcPr>
            <w:tcW w:w="3041" w:type="dxa"/>
          </w:tcPr>
          <w:p w14:paraId="588C7094" w14:textId="77777777" w:rsidR="00D875C0" w:rsidRPr="001F2C46" w:rsidRDefault="00D875C0" w:rsidP="004E3CD5">
            <w:pPr>
              <w:spacing w:after="0" w:line="240" w:lineRule="auto"/>
              <w:rPr>
                <w:rFonts w:ascii="Times New Roman" w:hAnsi="Times New Roman"/>
              </w:rPr>
            </w:pPr>
            <w:r w:rsidRPr="001F2C46">
              <w:rPr>
                <w:rFonts w:ascii="Times New Roman" w:hAnsi="Times New Roman"/>
              </w:rPr>
              <w:t>36,7</w:t>
            </w:r>
          </w:p>
        </w:tc>
        <w:tc>
          <w:tcPr>
            <w:tcW w:w="3285" w:type="dxa"/>
          </w:tcPr>
          <w:p w14:paraId="1EC7BA9B" w14:textId="77777777" w:rsidR="00D875C0" w:rsidRPr="00427D92" w:rsidRDefault="00D875C0" w:rsidP="004E3CD5">
            <w:pPr>
              <w:spacing w:after="0" w:line="240" w:lineRule="auto"/>
              <w:rPr>
                <w:rFonts w:ascii="Times New Roman" w:hAnsi="Times New Roman"/>
              </w:rPr>
            </w:pPr>
            <w:r w:rsidRPr="00427D92">
              <w:rPr>
                <w:rFonts w:ascii="Times New Roman" w:hAnsi="Times New Roman"/>
              </w:rPr>
              <w:t>25,4</w:t>
            </w:r>
          </w:p>
        </w:tc>
      </w:tr>
      <w:tr w:rsidR="00D875C0" w:rsidRPr="007C1A06" w14:paraId="6E4517DE" w14:textId="77777777" w:rsidTr="004E3CD5">
        <w:tc>
          <w:tcPr>
            <w:tcW w:w="3528" w:type="dxa"/>
          </w:tcPr>
          <w:p w14:paraId="31D6B033"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 xml:space="preserve">p reikšmė </w:t>
            </w:r>
          </w:p>
        </w:tc>
        <w:tc>
          <w:tcPr>
            <w:tcW w:w="6326" w:type="dxa"/>
            <w:gridSpan w:val="2"/>
          </w:tcPr>
          <w:p w14:paraId="143271D1" w14:textId="77777777" w:rsidR="00D875C0" w:rsidRPr="001F2C46" w:rsidRDefault="00D875C0" w:rsidP="004E3CD5">
            <w:pPr>
              <w:spacing w:after="0" w:line="240" w:lineRule="auto"/>
              <w:rPr>
                <w:rFonts w:ascii="Times New Roman" w:hAnsi="Times New Roman"/>
              </w:rPr>
            </w:pPr>
            <w:r w:rsidRPr="001F2C46">
              <w:rPr>
                <w:rFonts w:ascii="Times New Roman" w:hAnsi="Times New Roman"/>
              </w:rPr>
              <w:t>0,0106</w:t>
            </w:r>
          </w:p>
        </w:tc>
      </w:tr>
      <w:tr w:rsidR="00D875C0" w:rsidRPr="007C1A06" w14:paraId="6BA6797C" w14:textId="77777777" w:rsidTr="004E3CD5">
        <w:tc>
          <w:tcPr>
            <w:tcW w:w="3528" w:type="dxa"/>
          </w:tcPr>
          <w:p w14:paraId="6BB1A1A6" w14:textId="77777777" w:rsidR="00D875C0" w:rsidRPr="001F2C46" w:rsidRDefault="00D875C0" w:rsidP="003876F8">
            <w:pPr>
              <w:spacing w:after="0" w:line="240" w:lineRule="auto"/>
              <w:rPr>
                <w:rFonts w:ascii="Times New Roman" w:hAnsi="Times New Roman"/>
              </w:rPr>
            </w:pPr>
            <w:r w:rsidRPr="00F95B76">
              <w:rPr>
                <w:rFonts w:ascii="Times New Roman" w:hAnsi="Times New Roman"/>
              </w:rPr>
              <w:t>Ligos progresavimas kaip geriausias bendras atsako dažnis (%)</w:t>
            </w:r>
          </w:p>
        </w:tc>
        <w:tc>
          <w:tcPr>
            <w:tcW w:w="3041" w:type="dxa"/>
          </w:tcPr>
          <w:p w14:paraId="18933CD7" w14:textId="77777777" w:rsidR="00D875C0" w:rsidRPr="001F2C46" w:rsidRDefault="00D875C0" w:rsidP="004E3CD5">
            <w:pPr>
              <w:spacing w:after="0" w:line="240" w:lineRule="auto"/>
              <w:rPr>
                <w:rFonts w:ascii="Times New Roman" w:hAnsi="Times New Roman"/>
              </w:rPr>
            </w:pPr>
            <w:r w:rsidRPr="001F2C46">
              <w:rPr>
                <w:rFonts w:ascii="Times New Roman" w:hAnsi="Times New Roman"/>
              </w:rPr>
              <w:t>16,7</w:t>
            </w:r>
          </w:p>
        </w:tc>
        <w:tc>
          <w:tcPr>
            <w:tcW w:w="3285" w:type="dxa"/>
          </w:tcPr>
          <w:p w14:paraId="6391CE5C" w14:textId="77777777" w:rsidR="00D875C0" w:rsidRPr="00427D92" w:rsidRDefault="00D875C0" w:rsidP="004E3CD5">
            <w:pPr>
              <w:spacing w:after="0" w:line="240" w:lineRule="auto"/>
              <w:rPr>
                <w:rFonts w:ascii="Times New Roman" w:hAnsi="Times New Roman"/>
              </w:rPr>
            </w:pPr>
            <w:r w:rsidRPr="00427D92">
              <w:rPr>
                <w:rFonts w:ascii="Times New Roman" w:hAnsi="Times New Roman"/>
              </w:rPr>
              <w:t>25,9</w:t>
            </w:r>
          </w:p>
        </w:tc>
      </w:tr>
    </w:tbl>
    <w:p w14:paraId="6C8F709F" w14:textId="77777777" w:rsidR="00D875C0" w:rsidRPr="001F2C4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*Nestratifikuotas logaritminio rango testas</w:t>
      </w:r>
    </w:p>
    <w:p w14:paraId="55E0773A" w14:textId="77777777" w:rsidR="00D875C0" w:rsidRPr="00427D92" w:rsidRDefault="00D875C0" w:rsidP="00D875C0">
      <w:pPr>
        <w:autoSpaceDE w:val="0"/>
        <w:autoSpaceDN w:val="0"/>
        <w:adjustRightInd w:val="0"/>
        <w:spacing w:after="0" w:line="240" w:lineRule="auto"/>
        <w:rPr>
          <w:rFonts w:ascii="Times New Roman" w:hAnsi="Times New Roman"/>
        </w:rPr>
      </w:pPr>
    </w:p>
    <w:p w14:paraId="1F4AC277" w14:textId="77777777" w:rsidR="00D875C0" w:rsidRPr="007C1A06" w:rsidRDefault="00D875C0" w:rsidP="00D875C0">
      <w:pPr>
        <w:autoSpaceDE w:val="0"/>
        <w:autoSpaceDN w:val="0"/>
        <w:adjustRightInd w:val="0"/>
        <w:spacing w:after="0" w:line="240" w:lineRule="auto"/>
        <w:rPr>
          <w:rFonts w:ascii="Times New Roman" w:hAnsi="Times New Roman"/>
        </w:rPr>
      </w:pPr>
      <w:r w:rsidRPr="00C722B4">
        <w:rPr>
          <w:rFonts w:ascii="Times New Roman" w:hAnsi="Times New Roman"/>
        </w:rPr>
        <w:t>Pogrupių (pacientus skirstant pagal amžių, lytį a</w:t>
      </w:r>
      <w:r w:rsidRPr="007C1A06">
        <w:rPr>
          <w:rFonts w:ascii="Times New Roman" w:hAnsi="Times New Roman"/>
        </w:rPr>
        <w:t>r rasę) analizė patvirtino pastovų TCF pranašumą prieš CF.</w:t>
      </w:r>
    </w:p>
    <w:p w14:paraId="12131345"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Papildomos išgyvenamumo analizės (stebėjimo mediana – 41,6</w:t>
      </w:r>
      <w:r w:rsidR="00694BB4" w:rsidRPr="007C1A06">
        <w:rPr>
          <w:rFonts w:ascii="Times New Roman" w:hAnsi="Times New Roman"/>
        </w:rPr>
        <w:t> </w:t>
      </w:r>
      <w:r w:rsidRPr="007C1A06">
        <w:rPr>
          <w:rFonts w:ascii="Times New Roman" w:hAnsi="Times New Roman"/>
        </w:rPr>
        <w:t>mėnesio) metu tolesnio statistiškai reikšmingo skirtumo nenustatyta, tačiau visada TCF grupės gydymo rezultatai buvo palankesni, o 18</w:t>
      </w:r>
      <w:r w:rsidR="00694BB4" w:rsidRPr="007C1A06">
        <w:rPr>
          <w:rFonts w:ascii="Times New Roman" w:hAnsi="Times New Roman"/>
        </w:rPr>
        <w:noBreakHyphen/>
      </w:r>
      <w:r w:rsidRPr="007C1A06">
        <w:rPr>
          <w:rFonts w:ascii="Times New Roman" w:hAnsi="Times New Roman"/>
        </w:rPr>
        <w:t>30 stebėjimo mėnesiais TCF pranašumas prieš CF buvo akivaizdus.</w:t>
      </w:r>
    </w:p>
    <w:p w14:paraId="00D6EED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Gyvenimo kokybės bei klinikinio poveikio analizė parodė pastovų TCF pranašumą. TCF grupės pacientams laikotarpis iki bendros sveikatos būklės pablogėjimo (vertinant remtasi QLQC30 klausimynu) buvo 5</w:t>
      </w:r>
      <w:r w:rsidR="00694BB4" w:rsidRPr="007C1A06">
        <w:rPr>
          <w:rFonts w:ascii="Times New Roman" w:hAnsi="Times New Roman"/>
        </w:rPr>
        <w:t> </w:t>
      </w:r>
      <w:r w:rsidRPr="007C1A06">
        <w:rPr>
          <w:rFonts w:ascii="Times New Roman" w:hAnsi="Times New Roman"/>
        </w:rPr>
        <w:t xml:space="preserve">% ilgesnis (p=0,0121), o laikotarpis iki būklės pablogėjimo, vertinat pagal </w:t>
      </w:r>
      <w:r w:rsidRPr="007C1A06">
        <w:rPr>
          <w:rFonts w:ascii="Times New Roman" w:hAnsi="Times New Roman"/>
          <w:i/>
        </w:rPr>
        <w:t xml:space="preserve">Karnofsky </w:t>
      </w:r>
      <w:r w:rsidRPr="007C1A06">
        <w:rPr>
          <w:rFonts w:ascii="Times New Roman" w:hAnsi="Times New Roman"/>
        </w:rPr>
        <w:t>skalę, irgi buvo ilgesnis (p=0,0088) (lyginta su CF grupės pacientais).</w:t>
      </w:r>
    </w:p>
    <w:p w14:paraId="5095B7D3" w14:textId="77777777" w:rsidR="00D875C0" w:rsidRPr="007C1A06" w:rsidRDefault="00D875C0" w:rsidP="00D875C0">
      <w:pPr>
        <w:autoSpaceDE w:val="0"/>
        <w:autoSpaceDN w:val="0"/>
        <w:adjustRightInd w:val="0"/>
        <w:spacing w:after="0" w:line="240" w:lineRule="auto"/>
        <w:rPr>
          <w:rFonts w:ascii="Times New Roman" w:hAnsi="Times New Roman"/>
        </w:rPr>
      </w:pPr>
    </w:p>
    <w:p w14:paraId="1AB9EDF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u w:val="single"/>
          <w:lang w:eastAsia="zh-TW"/>
        </w:rPr>
      </w:pPr>
      <w:r w:rsidRPr="007C1A06">
        <w:rPr>
          <w:rFonts w:ascii="Times New Roman" w:hAnsi="Times New Roman"/>
          <w:i/>
          <w:u w:val="single"/>
        </w:rPr>
        <w:t>Galvos ir kaklo vėžys</w:t>
      </w:r>
    </w:p>
    <w:p w14:paraId="69EA4F7A" w14:textId="77777777" w:rsidR="00D875C0" w:rsidRPr="007C1A06" w:rsidRDefault="00D875C0" w:rsidP="004E3CD5">
      <w:pPr>
        <w:pStyle w:val="Sraopastraipa"/>
        <w:numPr>
          <w:ilvl w:val="0"/>
          <w:numId w:val="22"/>
        </w:numPr>
        <w:autoSpaceDE w:val="0"/>
        <w:autoSpaceDN w:val="0"/>
        <w:adjustRightInd w:val="0"/>
        <w:spacing w:after="0" w:line="240" w:lineRule="auto"/>
        <w:rPr>
          <w:rFonts w:ascii="Times New Roman" w:hAnsi="Times New Roman"/>
        </w:rPr>
      </w:pPr>
      <w:r w:rsidRPr="007C1A06">
        <w:rPr>
          <w:rFonts w:ascii="Times New Roman" w:hAnsi="Times New Roman"/>
        </w:rPr>
        <w:t>Įvadinė chemoterapija, kai vėliau gydoma spinduliais (TAX 323)</w:t>
      </w:r>
    </w:p>
    <w:p w14:paraId="5CF7F11B"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Docetakselio veik</w:t>
      </w:r>
      <w:r w:rsidR="00E414F5" w:rsidRPr="007C1A06">
        <w:rPr>
          <w:rFonts w:ascii="Times New Roman" w:hAnsi="Times New Roman"/>
        </w:rPr>
        <w:t>s</w:t>
      </w:r>
      <w:r w:rsidRPr="007C1A06">
        <w:rPr>
          <w:rFonts w:ascii="Times New Roman" w:hAnsi="Times New Roman"/>
        </w:rPr>
        <w:t>mingumas bei saugumas jo vartojant įvadiniam plokščialąsteliniu galvos ir kaklo vėžiu (PGKV) sergančių pacientų gydymui tirtas III</w:t>
      </w:r>
      <w:r w:rsidR="00AD06A4" w:rsidRPr="007C1A06">
        <w:rPr>
          <w:rFonts w:ascii="Times New Roman" w:hAnsi="Times New Roman"/>
        </w:rPr>
        <w:t> </w:t>
      </w:r>
      <w:r w:rsidRPr="007C1A06">
        <w:rPr>
          <w:rFonts w:ascii="Times New Roman" w:hAnsi="Times New Roman"/>
        </w:rPr>
        <w:t>fazės daugiacentriu atviru atsitiktinių imčių tyrimu (TAX323). Šio tyrimo metu 358 neoperuojamu lokaliai progresavusiu PGKV sirgę pacientai, kurių aktyvumo būklė pagal PSO vertinimą buvo 0 arba 1, atsitiktinai parinkus buvo priskirti vienai iš dviejų gydymo grupių. Docetakselio grupės pacientams skirta 75</w:t>
      </w:r>
      <w:r w:rsidR="00AD06A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docetakselio (T), po to 75</w:t>
      </w:r>
      <w:r w:rsidR="00AD06A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cisplatinos (P), po to 5</w:t>
      </w:r>
      <w:r w:rsidR="00AD06A4" w:rsidRPr="007C1A06">
        <w:rPr>
          <w:rFonts w:ascii="Times New Roman" w:hAnsi="Times New Roman"/>
        </w:rPr>
        <w:t> </w:t>
      </w:r>
      <w:r w:rsidRPr="007C1A06">
        <w:rPr>
          <w:rFonts w:ascii="Times New Roman" w:hAnsi="Times New Roman"/>
        </w:rPr>
        <w:t>dienas nuolat infuzuota 5-fluorouracilo (F) (paros dozė 750</w:t>
      </w:r>
      <w:r w:rsidR="00AD06A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w:t>
      </w:r>
    </w:p>
    <w:p w14:paraId="2EE9875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Jei po 2</w:t>
      </w:r>
      <w:r w:rsidR="00AD06A4" w:rsidRPr="007C1A06">
        <w:rPr>
          <w:rFonts w:ascii="Times New Roman" w:hAnsi="Times New Roman"/>
        </w:rPr>
        <w:t> </w:t>
      </w:r>
      <w:r w:rsidRPr="007C1A06">
        <w:rPr>
          <w:rFonts w:ascii="Times New Roman" w:hAnsi="Times New Roman"/>
        </w:rPr>
        <w:t>kursų pasireikšdavo bent minimali reakcija (dviem kryptimis išmatuoto naviko dydis sumažėdavo ≥</w:t>
      </w:r>
      <w:r w:rsidR="00AD06A4" w:rsidRPr="007C1A06">
        <w:rPr>
          <w:rFonts w:ascii="Times New Roman" w:hAnsi="Times New Roman"/>
        </w:rPr>
        <w:t> </w:t>
      </w:r>
      <w:r w:rsidRPr="007C1A06">
        <w:rPr>
          <w:rFonts w:ascii="Times New Roman" w:hAnsi="Times New Roman"/>
        </w:rPr>
        <w:t>25</w:t>
      </w:r>
      <w:r w:rsidR="00AD06A4" w:rsidRPr="007C1A06">
        <w:rPr>
          <w:rFonts w:ascii="Times New Roman" w:hAnsi="Times New Roman"/>
        </w:rPr>
        <w:t> </w:t>
      </w:r>
      <w:r w:rsidRPr="007C1A06">
        <w:rPr>
          <w:rFonts w:ascii="Times New Roman" w:hAnsi="Times New Roman"/>
        </w:rPr>
        <w:t>%) tokie gydymo kursai buvo kartojami kas 3</w:t>
      </w:r>
      <w:r w:rsidR="00AD06A4" w:rsidRPr="007C1A06">
        <w:rPr>
          <w:rFonts w:ascii="Times New Roman" w:hAnsi="Times New Roman"/>
        </w:rPr>
        <w:t> </w:t>
      </w:r>
      <w:r w:rsidRPr="007C1A06">
        <w:rPr>
          <w:rFonts w:ascii="Times New Roman" w:hAnsi="Times New Roman"/>
        </w:rPr>
        <w:t>savaites 4</w:t>
      </w:r>
      <w:r w:rsidR="00AD06A4" w:rsidRPr="007C1A06">
        <w:rPr>
          <w:rFonts w:ascii="Times New Roman" w:hAnsi="Times New Roman"/>
        </w:rPr>
        <w:t> </w:t>
      </w:r>
      <w:r w:rsidRPr="007C1A06">
        <w:rPr>
          <w:rFonts w:ascii="Times New Roman" w:hAnsi="Times New Roman"/>
        </w:rPr>
        <w:t>kartus. Baigus chemoterapiją, mažiausiai po 4</w:t>
      </w:r>
      <w:r w:rsidR="00AD06A4" w:rsidRPr="007C1A06">
        <w:rPr>
          <w:rFonts w:ascii="Times New Roman" w:hAnsi="Times New Roman"/>
        </w:rPr>
        <w:t> </w:t>
      </w:r>
      <w:r w:rsidRPr="007C1A06">
        <w:rPr>
          <w:rFonts w:ascii="Times New Roman" w:hAnsi="Times New Roman"/>
        </w:rPr>
        <w:t>savaičių, bet daugiausiai po 7</w:t>
      </w:r>
      <w:r w:rsidR="00AD06A4" w:rsidRPr="007C1A06">
        <w:rPr>
          <w:rFonts w:ascii="Times New Roman" w:hAnsi="Times New Roman"/>
        </w:rPr>
        <w:t> </w:t>
      </w:r>
      <w:r w:rsidRPr="007C1A06">
        <w:rPr>
          <w:rFonts w:ascii="Times New Roman" w:hAnsi="Times New Roman"/>
        </w:rPr>
        <w:t>savaičių pacientams, kuriems liga neprogresavo, 7</w:t>
      </w:r>
      <w:r w:rsidR="00AD06A4" w:rsidRPr="007C1A06">
        <w:rPr>
          <w:rFonts w:ascii="Times New Roman" w:hAnsi="Times New Roman"/>
        </w:rPr>
        <w:t> </w:t>
      </w:r>
      <w:r w:rsidRPr="007C1A06">
        <w:rPr>
          <w:rFonts w:ascii="Times New Roman" w:hAnsi="Times New Roman"/>
        </w:rPr>
        <w:t>savaites taikytas gydymas spinduliais (RT), atsižvelgiant į įstaigoje patvirtintas gaires (TPF/RT).</w:t>
      </w:r>
    </w:p>
    <w:p w14:paraId="4FF97848"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Palyginamosios grupės pacientams skirta 100</w:t>
      </w:r>
      <w:r w:rsidR="00AD06A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cisplatinos ir po to 5</w:t>
      </w:r>
      <w:r w:rsidR="00AD06A4" w:rsidRPr="007C1A06">
        <w:rPr>
          <w:rFonts w:ascii="Times New Roman" w:hAnsi="Times New Roman"/>
        </w:rPr>
        <w:t> </w:t>
      </w:r>
      <w:r w:rsidRPr="007C1A06">
        <w:rPr>
          <w:rFonts w:ascii="Times New Roman" w:hAnsi="Times New Roman"/>
        </w:rPr>
        <w:t>dienas 5-fluorouracilo (paros dozė 1000</w:t>
      </w:r>
      <w:r w:rsidR="00AD06A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(PF schema). Jei po 2 gydymo ciklų buvo gauta bent minimali reakcija (≥</w:t>
      </w:r>
      <w:r w:rsidR="00AD06A4" w:rsidRPr="007C1A06">
        <w:rPr>
          <w:rFonts w:ascii="Times New Roman" w:hAnsi="Times New Roman"/>
        </w:rPr>
        <w:t> </w:t>
      </w:r>
      <w:r w:rsidRPr="007C1A06">
        <w:rPr>
          <w:rFonts w:ascii="Times New Roman" w:hAnsi="Times New Roman"/>
        </w:rPr>
        <w:t>25</w:t>
      </w:r>
      <w:r w:rsidR="00AD06A4" w:rsidRPr="007C1A06">
        <w:rPr>
          <w:rFonts w:ascii="Times New Roman" w:hAnsi="Times New Roman"/>
        </w:rPr>
        <w:t> </w:t>
      </w:r>
      <w:r w:rsidRPr="007C1A06">
        <w:rPr>
          <w:rFonts w:ascii="Times New Roman" w:hAnsi="Times New Roman"/>
        </w:rPr>
        <w:t>% sumažėjo naviko dydis, jį matuojant dviejose dimensijose), tokie gydymo kursai kartoti kas tris savaites 4 kartus. Baigus chemoterapiją, mažiausiai po 4</w:t>
      </w:r>
      <w:r w:rsidR="00AD06A4" w:rsidRPr="007C1A06">
        <w:rPr>
          <w:rFonts w:ascii="Times New Roman" w:hAnsi="Times New Roman"/>
        </w:rPr>
        <w:t> </w:t>
      </w:r>
      <w:r w:rsidRPr="007C1A06">
        <w:rPr>
          <w:rFonts w:ascii="Times New Roman" w:hAnsi="Times New Roman"/>
        </w:rPr>
        <w:t>savaičių, bet daugiausiai po 7</w:t>
      </w:r>
      <w:r w:rsidR="00AD06A4" w:rsidRPr="007C1A06">
        <w:rPr>
          <w:rFonts w:ascii="Times New Roman" w:hAnsi="Times New Roman"/>
        </w:rPr>
        <w:t> </w:t>
      </w:r>
      <w:r w:rsidRPr="007C1A06">
        <w:rPr>
          <w:rFonts w:ascii="Times New Roman" w:hAnsi="Times New Roman"/>
        </w:rPr>
        <w:t>savaičių pacientams, kuriems liga neprogresavo, 7</w:t>
      </w:r>
      <w:r w:rsidR="00AD06A4" w:rsidRPr="007C1A06">
        <w:rPr>
          <w:rFonts w:ascii="Times New Roman" w:hAnsi="Times New Roman"/>
        </w:rPr>
        <w:t> </w:t>
      </w:r>
      <w:r w:rsidRPr="007C1A06">
        <w:rPr>
          <w:rFonts w:ascii="Times New Roman" w:hAnsi="Times New Roman"/>
        </w:rPr>
        <w:t>savaites taikytas lokalus gydymas spinduliais, atsižvelgiant į įstaigoje patvirtintas gaires (PF/RT): spinduliuota įprastinėmis frakcijomis (1,8</w:t>
      </w:r>
      <w:r w:rsidR="00AD06A4" w:rsidRPr="007C1A06">
        <w:rPr>
          <w:rFonts w:ascii="Times New Roman" w:hAnsi="Times New Roman"/>
        </w:rPr>
        <w:noBreakHyphen/>
      </w:r>
      <w:r w:rsidRPr="007C1A06">
        <w:rPr>
          <w:rFonts w:ascii="Times New Roman" w:hAnsi="Times New Roman"/>
        </w:rPr>
        <w:t>2,0 kartą per parą 5</w:t>
      </w:r>
      <w:r w:rsidR="00AD06A4" w:rsidRPr="007C1A06">
        <w:rPr>
          <w:rFonts w:ascii="Times New Roman" w:hAnsi="Times New Roman"/>
        </w:rPr>
        <w:t> </w:t>
      </w:r>
      <w:r w:rsidRPr="007C1A06">
        <w:rPr>
          <w:rFonts w:ascii="Times New Roman" w:hAnsi="Times New Roman"/>
        </w:rPr>
        <w:t>dienas per savaitę, suminė dozė 66</w:t>
      </w:r>
      <w:r w:rsidR="00AD06A4" w:rsidRPr="007C1A06">
        <w:rPr>
          <w:rFonts w:ascii="Times New Roman" w:hAnsi="Times New Roman"/>
        </w:rPr>
        <w:noBreakHyphen/>
      </w:r>
      <w:r w:rsidRPr="007C1A06">
        <w:rPr>
          <w:rFonts w:ascii="Times New Roman" w:hAnsi="Times New Roman"/>
        </w:rPr>
        <w:t>70 Gy) arba taikyta pagreitinto ar hiperfrakcionuoto gydymo spinduliais schema (du kartus per parą, 5</w:t>
      </w:r>
      <w:r w:rsidR="00AD06A4" w:rsidRPr="007C1A06">
        <w:rPr>
          <w:rFonts w:ascii="Times New Roman" w:hAnsi="Times New Roman"/>
        </w:rPr>
        <w:t> </w:t>
      </w:r>
      <w:r w:rsidRPr="007C1A06">
        <w:rPr>
          <w:rFonts w:ascii="Times New Roman" w:hAnsi="Times New Roman"/>
        </w:rPr>
        <w:t xml:space="preserve">dienas per savaitę, minimali pertrauka tarp seansų </w:t>
      </w:r>
      <w:r w:rsidR="00AD06A4" w:rsidRPr="007C1A06">
        <w:rPr>
          <w:rFonts w:ascii="Times New Roman" w:hAnsi="Times New Roman"/>
        </w:rPr>
        <w:t>–</w:t>
      </w:r>
      <w:r w:rsidRPr="007C1A06">
        <w:rPr>
          <w:rFonts w:ascii="Times New Roman" w:hAnsi="Times New Roman"/>
        </w:rPr>
        <w:t xml:space="preserve"> 6</w:t>
      </w:r>
      <w:r w:rsidR="00AD06A4" w:rsidRPr="007C1A06">
        <w:rPr>
          <w:rFonts w:ascii="Times New Roman" w:hAnsi="Times New Roman"/>
        </w:rPr>
        <w:t> </w:t>
      </w:r>
      <w:r w:rsidRPr="007C1A06">
        <w:rPr>
          <w:rFonts w:ascii="Times New Roman" w:hAnsi="Times New Roman"/>
        </w:rPr>
        <w:t>valandos). Taikant pagreitintą schemą, rekomenduojama bendra dozė buvo 70</w:t>
      </w:r>
      <w:r w:rsidR="00AD06A4" w:rsidRPr="007C1A06">
        <w:rPr>
          <w:rFonts w:ascii="Times New Roman" w:hAnsi="Times New Roman"/>
        </w:rPr>
        <w:t> </w:t>
      </w:r>
      <w:r w:rsidRPr="007C1A06">
        <w:rPr>
          <w:rFonts w:ascii="Times New Roman" w:hAnsi="Times New Roman"/>
        </w:rPr>
        <w:t>Gy, taikant hiperfrakcionuotą schemą – 74</w:t>
      </w:r>
      <w:r w:rsidR="00AD06A4" w:rsidRPr="007C1A06">
        <w:rPr>
          <w:rFonts w:ascii="Times New Roman" w:hAnsi="Times New Roman"/>
        </w:rPr>
        <w:t> </w:t>
      </w:r>
      <w:r w:rsidRPr="007C1A06">
        <w:rPr>
          <w:rFonts w:ascii="Times New Roman" w:hAnsi="Times New Roman"/>
        </w:rPr>
        <w:t>Gy. Baigus chemoterapiją, navikas galėjo būti pašalintas operuojant (prieš gydymą spinduliais arba po jo). TPF grupės pacientai profilaktikai vartodavo antibiotikų: po 500</w:t>
      </w:r>
      <w:r w:rsidR="00AD06A4" w:rsidRPr="007C1A06">
        <w:rPr>
          <w:rFonts w:ascii="Times New Roman" w:hAnsi="Times New Roman"/>
        </w:rPr>
        <w:t> </w:t>
      </w:r>
      <w:r w:rsidRPr="007C1A06">
        <w:rPr>
          <w:rFonts w:ascii="Times New Roman" w:hAnsi="Times New Roman"/>
        </w:rPr>
        <w:t>mg geriamo ciprofloksacino du kartus per parą 10</w:t>
      </w:r>
      <w:r w:rsidR="00AD06A4" w:rsidRPr="007C1A06">
        <w:rPr>
          <w:rFonts w:ascii="Times New Roman" w:hAnsi="Times New Roman"/>
        </w:rPr>
        <w:t> </w:t>
      </w:r>
      <w:r w:rsidRPr="007C1A06">
        <w:rPr>
          <w:rFonts w:ascii="Times New Roman" w:hAnsi="Times New Roman"/>
        </w:rPr>
        <w:t>dienų (preparato būdavo pradedama vartoti 5 kiekvieno kurso dieną). Pragyventas laikotarpis be ligos progresavimo (PLBLP) (pagrindinė vertinamoji šio tyrimo baigtis) buvo reikšmingai ilgesnis TPF grupėje nei PF grupėje, p=0,0042 (PLBLP mediana atitinkamai 11,4 ir 8,3</w:t>
      </w:r>
      <w:r w:rsidR="00AD06A4" w:rsidRPr="007C1A06">
        <w:rPr>
          <w:rFonts w:ascii="Times New Roman" w:hAnsi="Times New Roman"/>
        </w:rPr>
        <w:t> </w:t>
      </w:r>
      <w:r w:rsidRPr="007C1A06">
        <w:rPr>
          <w:rFonts w:ascii="Times New Roman" w:hAnsi="Times New Roman"/>
        </w:rPr>
        <w:t>mėnesio, bendra pacientų stebėjimo mediana 33,7</w:t>
      </w:r>
      <w:r w:rsidR="00AD06A4" w:rsidRPr="007C1A06">
        <w:rPr>
          <w:rFonts w:ascii="Times New Roman" w:hAnsi="Times New Roman"/>
        </w:rPr>
        <w:t> </w:t>
      </w:r>
      <w:r w:rsidRPr="007C1A06">
        <w:rPr>
          <w:rFonts w:ascii="Times New Roman" w:hAnsi="Times New Roman"/>
        </w:rPr>
        <w:t>mėnesio). Bendro išgyvenamumo mediana irgi buvo reikšmingai didesnė TPF grupėje nei PF grupėje (atitinkamai 18,6 ir 14,5</w:t>
      </w:r>
      <w:r w:rsidR="00AD06A4" w:rsidRPr="007C1A06">
        <w:rPr>
          <w:rFonts w:ascii="Times New Roman" w:hAnsi="Times New Roman"/>
        </w:rPr>
        <w:t> </w:t>
      </w:r>
      <w:r w:rsidRPr="007C1A06">
        <w:rPr>
          <w:rFonts w:ascii="Times New Roman" w:hAnsi="Times New Roman"/>
        </w:rPr>
        <w:t>mėnesio). Mirties pavojus sumažėjo 28</w:t>
      </w:r>
      <w:r w:rsidR="00AD06A4" w:rsidRPr="007C1A06">
        <w:rPr>
          <w:rFonts w:ascii="Times New Roman" w:hAnsi="Times New Roman"/>
        </w:rPr>
        <w:t> </w:t>
      </w:r>
      <w:r w:rsidRPr="007C1A06">
        <w:rPr>
          <w:rFonts w:ascii="Times New Roman" w:hAnsi="Times New Roman"/>
        </w:rPr>
        <w:t>% (p=0,0128). Gydymo veiksmingumo duomenys apibendrinami žemiau pateiktoje lentelėje:</w:t>
      </w:r>
    </w:p>
    <w:p w14:paraId="30884909" w14:textId="77777777" w:rsidR="00D875C0" w:rsidRPr="007C1A06" w:rsidRDefault="00D875C0" w:rsidP="00D875C0">
      <w:pPr>
        <w:autoSpaceDE w:val="0"/>
        <w:autoSpaceDN w:val="0"/>
        <w:adjustRightInd w:val="0"/>
        <w:spacing w:after="0" w:line="240" w:lineRule="auto"/>
        <w:rPr>
          <w:rFonts w:ascii="Times New Roman" w:hAnsi="Times New Roman"/>
        </w:rPr>
      </w:pPr>
    </w:p>
    <w:p w14:paraId="7766A0CE"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Docetakselio veiksmingumas jo skiriant įvadiniam neoperuojamam lokaliai progresavusiam PGKV gydymui (</w:t>
      </w:r>
      <w:r w:rsidRPr="007C1A06">
        <w:rPr>
          <w:rFonts w:ascii="Times New Roman" w:hAnsi="Times New Roman"/>
          <w:i/>
        </w:rPr>
        <w:t xml:space="preserve">Intent-to-Treat </w:t>
      </w:r>
      <w:r w:rsidRPr="007C1A06">
        <w:rPr>
          <w:rFonts w:ascii="Times New Roman" w:hAnsi="Times New Roman"/>
        </w:rPr>
        <w:t>analizė):</w:t>
      </w:r>
    </w:p>
    <w:p w14:paraId="3733E411" w14:textId="77777777" w:rsidR="00D875C0" w:rsidRPr="007C1A06" w:rsidRDefault="00D875C0" w:rsidP="00D875C0">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057"/>
        <w:gridCol w:w="2016"/>
      </w:tblGrid>
      <w:tr w:rsidR="00D875C0" w:rsidRPr="007C1A06" w14:paraId="13AFE4F1" w14:textId="77777777" w:rsidTr="004E3CD5">
        <w:tc>
          <w:tcPr>
            <w:tcW w:w="5145" w:type="dxa"/>
          </w:tcPr>
          <w:p w14:paraId="5CC122EF" w14:textId="77777777" w:rsidR="00D875C0" w:rsidRPr="007C1A06" w:rsidRDefault="00D875C0" w:rsidP="003876F8">
            <w:pPr>
              <w:spacing w:after="0" w:line="240" w:lineRule="auto"/>
              <w:rPr>
                <w:rFonts w:ascii="Times New Roman" w:hAnsi="Times New Roman"/>
              </w:rPr>
            </w:pPr>
            <w:r w:rsidRPr="007C1A06">
              <w:rPr>
                <w:rFonts w:ascii="Times New Roman" w:hAnsi="Times New Roman"/>
                <w:b/>
              </w:rPr>
              <w:t>Vertinamoji baigtis</w:t>
            </w:r>
          </w:p>
        </w:tc>
        <w:tc>
          <w:tcPr>
            <w:tcW w:w="2088" w:type="dxa"/>
          </w:tcPr>
          <w:p w14:paraId="786624F4" w14:textId="77777777" w:rsidR="00D875C0" w:rsidRPr="004E3CD5" w:rsidRDefault="00D875C0" w:rsidP="004E3CD5">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Docetakselis +</w:t>
            </w:r>
          </w:p>
          <w:p w14:paraId="01A4A7B2" w14:textId="77777777" w:rsidR="00D875C0" w:rsidRPr="004E3CD5" w:rsidRDefault="00D875C0" w:rsidP="004E3CD5">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Cis + 5-FU</w:t>
            </w:r>
          </w:p>
          <w:p w14:paraId="24C1FF4E" w14:textId="77777777" w:rsidR="00D875C0" w:rsidRPr="004E3CD5" w:rsidRDefault="00D875C0" w:rsidP="004E3CD5">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n=177</w:t>
            </w:r>
          </w:p>
        </w:tc>
        <w:tc>
          <w:tcPr>
            <w:tcW w:w="2053" w:type="dxa"/>
          </w:tcPr>
          <w:p w14:paraId="416C0A2F" w14:textId="77777777" w:rsidR="00D875C0" w:rsidRPr="004E3CD5" w:rsidRDefault="00D875C0" w:rsidP="004E3CD5">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Cis + 5-FU</w:t>
            </w:r>
          </w:p>
          <w:p w14:paraId="68CF90EA" w14:textId="77777777" w:rsidR="00D875C0" w:rsidRPr="004E3CD5" w:rsidRDefault="00D875C0" w:rsidP="004E3CD5">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n=181</w:t>
            </w:r>
          </w:p>
          <w:p w14:paraId="7DF74F73" w14:textId="77777777" w:rsidR="00D875C0" w:rsidRPr="007C1A06" w:rsidRDefault="00D875C0" w:rsidP="004E3CD5">
            <w:pPr>
              <w:spacing w:after="0" w:line="240" w:lineRule="auto"/>
              <w:rPr>
                <w:rFonts w:ascii="Times New Roman" w:hAnsi="Times New Roman"/>
              </w:rPr>
            </w:pPr>
          </w:p>
        </w:tc>
      </w:tr>
      <w:tr w:rsidR="00D875C0" w:rsidRPr="007C1A06" w14:paraId="67489DCE" w14:textId="77777777" w:rsidTr="004E3CD5">
        <w:tc>
          <w:tcPr>
            <w:tcW w:w="5145" w:type="dxa"/>
            <w:vMerge w:val="restart"/>
          </w:tcPr>
          <w:p w14:paraId="5DEEB642"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Pragyventas laikotarpis be ligos progresavimo (mėnesiai)</w:t>
            </w:r>
          </w:p>
          <w:p w14:paraId="29D2F179"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(95</w:t>
            </w:r>
            <w:r w:rsidR="00AD06A4" w:rsidRPr="00427D92">
              <w:rPr>
                <w:rFonts w:ascii="Times New Roman" w:hAnsi="Times New Roman"/>
              </w:rPr>
              <w:t> </w:t>
            </w:r>
            <w:r w:rsidRPr="00427D92">
              <w:rPr>
                <w:rFonts w:ascii="Times New Roman" w:hAnsi="Times New Roman"/>
              </w:rPr>
              <w:t>% PI)</w:t>
            </w:r>
          </w:p>
          <w:p w14:paraId="1C866D3A" w14:textId="77777777" w:rsidR="00D875C0" w:rsidRPr="00C722B4"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Koreguotas rizikos koeficientas</w:t>
            </w:r>
          </w:p>
          <w:p w14:paraId="6C18FB5F"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(95</w:t>
            </w:r>
            <w:r w:rsidR="00AD06A4" w:rsidRPr="007C1A06">
              <w:rPr>
                <w:rFonts w:ascii="Times New Roman" w:hAnsi="Times New Roman"/>
              </w:rPr>
              <w:t> </w:t>
            </w:r>
            <w:r w:rsidRPr="007C1A06">
              <w:rPr>
                <w:rFonts w:ascii="Times New Roman" w:hAnsi="Times New Roman"/>
              </w:rPr>
              <w:t>% PI)</w:t>
            </w:r>
          </w:p>
          <w:p w14:paraId="15705949"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p reikšmė</w:t>
            </w:r>
          </w:p>
        </w:tc>
        <w:tc>
          <w:tcPr>
            <w:tcW w:w="2088" w:type="dxa"/>
          </w:tcPr>
          <w:p w14:paraId="121DFD0B"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11,4</w:t>
            </w:r>
          </w:p>
          <w:p w14:paraId="23815954" w14:textId="77777777" w:rsidR="00D875C0" w:rsidRPr="001F2C46" w:rsidRDefault="00D875C0" w:rsidP="004E3CD5">
            <w:pPr>
              <w:autoSpaceDE w:val="0"/>
              <w:autoSpaceDN w:val="0"/>
              <w:adjustRightInd w:val="0"/>
              <w:spacing w:after="0" w:line="240" w:lineRule="auto"/>
              <w:rPr>
                <w:rFonts w:ascii="Times New Roman" w:eastAsiaTheme="minorEastAsia" w:hAnsi="Times New Roman"/>
                <w:lang w:val="en-US" w:eastAsia="zh-TW"/>
              </w:rPr>
            </w:pPr>
            <w:r w:rsidRPr="007C1A06">
              <w:rPr>
                <w:rFonts w:ascii="Times New Roman" w:hAnsi="Times New Roman"/>
              </w:rPr>
              <w:t>(10,1</w:t>
            </w:r>
            <w:r w:rsidR="00AD06A4" w:rsidRPr="007C1A06">
              <w:rPr>
                <w:rFonts w:ascii="Times New Roman" w:hAnsi="Times New Roman"/>
              </w:rPr>
              <w:noBreakHyphen/>
            </w:r>
            <w:r w:rsidRPr="007C1A06">
              <w:rPr>
                <w:rFonts w:ascii="Times New Roman" w:hAnsi="Times New Roman"/>
              </w:rPr>
              <w:t>14</w:t>
            </w:r>
            <w:r w:rsidR="0026707E">
              <w:rPr>
                <w:rFonts w:ascii="Times New Roman" w:eastAsia="Times New Roman" w:hAnsi="Times New Roman" w:cs="Times New Roman"/>
              </w:rPr>
              <w:t>,0</w:t>
            </w:r>
            <w:r w:rsidRPr="00F95B76">
              <w:rPr>
                <w:rFonts w:ascii="Times New Roman" w:hAnsi="Times New Roman"/>
              </w:rPr>
              <w:t>)</w:t>
            </w:r>
          </w:p>
        </w:tc>
        <w:tc>
          <w:tcPr>
            <w:tcW w:w="2053" w:type="dxa"/>
          </w:tcPr>
          <w:p w14:paraId="344CA62F" w14:textId="77777777" w:rsidR="00D875C0" w:rsidRPr="00427D92" w:rsidRDefault="00D875C0" w:rsidP="004E3CD5">
            <w:pPr>
              <w:autoSpaceDE w:val="0"/>
              <w:autoSpaceDN w:val="0"/>
              <w:adjustRightInd w:val="0"/>
              <w:spacing w:after="0" w:line="240" w:lineRule="auto"/>
              <w:rPr>
                <w:rFonts w:ascii="Times New Roman" w:hAnsi="Times New Roman"/>
              </w:rPr>
            </w:pPr>
            <w:r w:rsidRPr="00427D92">
              <w:rPr>
                <w:rFonts w:ascii="Times New Roman" w:hAnsi="Times New Roman"/>
              </w:rPr>
              <w:t>8,3</w:t>
            </w:r>
          </w:p>
          <w:p w14:paraId="7B903B87" w14:textId="77777777" w:rsidR="00D875C0" w:rsidRPr="007C1A06" w:rsidRDefault="00D875C0" w:rsidP="004E3CD5">
            <w:pPr>
              <w:autoSpaceDE w:val="0"/>
              <w:autoSpaceDN w:val="0"/>
              <w:adjustRightInd w:val="0"/>
              <w:spacing w:after="0" w:line="240" w:lineRule="auto"/>
              <w:rPr>
                <w:rFonts w:ascii="Times New Roman" w:hAnsi="Times New Roman"/>
              </w:rPr>
            </w:pPr>
            <w:r w:rsidRPr="00C722B4">
              <w:rPr>
                <w:rFonts w:ascii="Times New Roman" w:hAnsi="Times New Roman"/>
              </w:rPr>
              <w:t>(7,4</w:t>
            </w:r>
            <w:r w:rsidR="00AD06A4" w:rsidRPr="007C1A06">
              <w:rPr>
                <w:rFonts w:ascii="Times New Roman" w:hAnsi="Times New Roman"/>
              </w:rPr>
              <w:noBreakHyphen/>
            </w:r>
            <w:r w:rsidRPr="007C1A06">
              <w:rPr>
                <w:rFonts w:ascii="Times New Roman" w:hAnsi="Times New Roman"/>
              </w:rPr>
              <w:t>9,1)</w:t>
            </w:r>
          </w:p>
        </w:tc>
      </w:tr>
      <w:tr w:rsidR="00D875C0" w:rsidRPr="007C1A06" w14:paraId="22CB4A3B" w14:textId="77777777" w:rsidTr="004E3CD5">
        <w:tc>
          <w:tcPr>
            <w:tcW w:w="5145" w:type="dxa"/>
            <w:vMerge/>
          </w:tcPr>
          <w:p w14:paraId="67DADA19" w14:textId="77777777" w:rsidR="00D875C0" w:rsidRPr="007C1A06" w:rsidRDefault="00D875C0" w:rsidP="003876F8">
            <w:pPr>
              <w:autoSpaceDE w:val="0"/>
              <w:autoSpaceDN w:val="0"/>
              <w:adjustRightInd w:val="0"/>
              <w:spacing w:after="0" w:line="240" w:lineRule="auto"/>
              <w:rPr>
                <w:rFonts w:ascii="Times New Roman" w:hAnsi="Times New Roman"/>
              </w:rPr>
            </w:pPr>
          </w:p>
        </w:tc>
        <w:tc>
          <w:tcPr>
            <w:tcW w:w="4141" w:type="dxa"/>
            <w:gridSpan w:val="2"/>
          </w:tcPr>
          <w:p w14:paraId="51EDF15C"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0,70</w:t>
            </w:r>
          </w:p>
          <w:p w14:paraId="30512F10"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(0,55</w:t>
            </w:r>
            <w:r w:rsidR="00AD06A4" w:rsidRPr="007C1A06">
              <w:rPr>
                <w:rFonts w:ascii="Times New Roman" w:hAnsi="Times New Roman"/>
              </w:rPr>
              <w:noBreakHyphen/>
            </w:r>
            <w:r w:rsidRPr="007C1A06">
              <w:rPr>
                <w:rFonts w:ascii="Times New Roman" w:hAnsi="Times New Roman"/>
              </w:rPr>
              <w:t>0,89)</w:t>
            </w:r>
          </w:p>
          <w:p w14:paraId="35874E15"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0,0042</w:t>
            </w:r>
          </w:p>
        </w:tc>
      </w:tr>
      <w:tr w:rsidR="00D875C0" w:rsidRPr="007C1A06" w14:paraId="76E23586" w14:textId="77777777" w:rsidTr="004E3CD5">
        <w:tc>
          <w:tcPr>
            <w:tcW w:w="5145" w:type="dxa"/>
          </w:tcPr>
          <w:p w14:paraId="6BEB81AA"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Išgyvenamumo mediana (mėnesiai)</w:t>
            </w:r>
          </w:p>
          <w:p w14:paraId="44DA347E"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(95</w:t>
            </w:r>
            <w:r w:rsidR="00AD06A4" w:rsidRPr="00427D92">
              <w:rPr>
                <w:rFonts w:ascii="Times New Roman" w:hAnsi="Times New Roman"/>
              </w:rPr>
              <w:t> </w:t>
            </w:r>
            <w:r w:rsidRPr="00427D92">
              <w:rPr>
                <w:rFonts w:ascii="Times New Roman" w:hAnsi="Times New Roman"/>
              </w:rPr>
              <w:t>% PI)</w:t>
            </w:r>
          </w:p>
        </w:tc>
        <w:tc>
          <w:tcPr>
            <w:tcW w:w="2088" w:type="dxa"/>
          </w:tcPr>
          <w:p w14:paraId="021CA89C" w14:textId="77777777" w:rsidR="00D875C0" w:rsidRPr="000C43D3" w:rsidRDefault="00D875C0" w:rsidP="004E3CD5">
            <w:pPr>
              <w:autoSpaceDE w:val="0"/>
              <w:autoSpaceDN w:val="0"/>
              <w:adjustRightInd w:val="0"/>
              <w:spacing w:after="0" w:line="240" w:lineRule="auto"/>
              <w:rPr>
                <w:rFonts w:ascii="Times New Roman" w:hAnsi="Times New Roman"/>
              </w:rPr>
            </w:pPr>
            <w:r w:rsidRPr="000C43D3">
              <w:rPr>
                <w:rFonts w:ascii="Times New Roman" w:hAnsi="Times New Roman"/>
              </w:rPr>
              <w:t>18,6</w:t>
            </w:r>
          </w:p>
          <w:p w14:paraId="207D0C31" w14:textId="77777777" w:rsidR="00D875C0" w:rsidRPr="001F2C46" w:rsidRDefault="00D875C0" w:rsidP="004E3CD5">
            <w:pPr>
              <w:autoSpaceDE w:val="0"/>
              <w:autoSpaceDN w:val="0"/>
              <w:adjustRightInd w:val="0"/>
              <w:spacing w:after="0" w:line="240" w:lineRule="auto"/>
              <w:rPr>
                <w:rFonts w:ascii="Times New Roman" w:hAnsi="Times New Roman"/>
              </w:rPr>
            </w:pPr>
            <w:r w:rsidRPr="00C722B4">
              <w:rPr>
                <w:rFonts w:ascii="Times New Roman" w:hAnsi="Times New Roman"/>
              </w:rPr>
              <w:t>(15,7</w:t>
            </w:r>
            <w:r w:rsidR="00AD06A4" w:rsidRPr="007C1A06">
              <w:rPr>
                <w:rFonts w:ascii="Times New Roman" w:hAnsi="Times New Roman"/>
              </w:rPr>
              <w:noBreakHyphen/>
            </w:r>
            <w:r w:rsidRPr="007C1A06">
              <w:rPr>
                <w:rFonts w:ascii="Times New Roman" w:hAnsi="Times New Roman"/>
              </w:rPr>
              <w:t>24</w:t>
            </w:r>
            <w:r w:rsidR="0026707E">
              <w:rPr>
                <w:rFonts w:ascii="Times New Roman" w:eastAsia="Times New Roman" w:hAnsi="Times New Roman" w:cs="Times New Roman"/>
              </w:rPr>
              <w:t>,0</w:t>
            </w:r>
            <w:r w:rsidRPr="00F95B76">
              <w:rPr>
                <w:rFonts w:ascii="Times New Roman" w:hAnsi="Times New Roman"/>
              </w:rPr>
              <w:t>)</w:t>
            </w:r>
          </w:p>
        </w:tc>
        <w:tc>
          <w:tcPr>
            <w:tcW w:w="2053" w:type="dxa"/>
          </w:tcPr>
          <w:p w14:paraId="78496B06" w14:textId="77777777" w:rsidR="00D875C0" w:rsidRPr="00427D92" w:rsidRDefault="00D875C0" w:rsidP="004E3CD5">
            <w:pPr>
              <w:autoSpaceDE w:val="0"/>
              <w:autoSpaceDN w:val="0"/>
              <w:adjustRightInd w:val="0"/>
              <w:spacing w:after="0" w:line="240" w:lineRule="auto"/>
              <w:rPr>
                <w:rFonts w:ascii="Times New Roman" w:hAnsi="Times New Roman"/>
              </w:rPr>
            </w:pPr>
            <w:r w:rsidRPr="00427D92">
              <w:rPr>
                <w:rFonts w:ascii="Times New Roman" w:hAnsi="Times New Roman"/>
              </w:rPr>
              <w:t>14,5</w:t>
            </w:r>
          </w:p>
          <w:p w14:paraId="339BB101" w14:textId="77777777" w:rsidR="00D875C0" w:rsidRPr="007C1A06" w:rsidRDefault="00D875C0" w:rsidP="004E3CD5">
            <w:pPr>
              <w:autoSpaceDE w:val="0"/>
              <w:autoSpaceDN w:val="0"/>
              <w:adjustRightInd w:val="0"/>
              <w:spacing w:after="0" w:line="240" w:lineRule="auto"/>
              <w:rPr>
                <w:rFonts w:ascii="Times New Roman" w:hAnsi="Times New Roman"/>
              </w:rPr>
            </w:pPr>
            <w:r w:rsidRPr="00C722B4">
              <w:rPr>
                <w:rFonts w:ascii="Times New Roman" w:hAnsi="Times New Roman"/>
              </w:rPr>
              <w:t>(11,6</w:t>
            </w:r>
            <w:r w:rsidR="00AD06A4" w:rsidRPr="007C1A06">
              <w:rPr>
                <w:rFonts w:ascii="Times New Roman" w:hAnsi="Times New Roman"/>
              </w:rPr>
              <w:noBreakHyphen/>
            </w:r>
            <w:r w:rsidRPr="007C1A06">
              <w:rPr>
                <w:rFonts w:ascii="Times New Roman" w:hAnsi="Times New Roman"/>
              </w:rPr>
              <w:t>18,7)</w:t>
            </w:r>
          </w:p>
        </w:tc>
      </w:tr>
      <w:tr w:rsidR="00D875C0" w:rsidRPr="007C1A06" w14:paraId="360D0AAD" w14:textId="77777777" w:rsidTr="004E3CD5">
        <w:tc>
          <w:tcPr>
            <w:tcW w:w="5145" w:type="dxa"/>
          </w:tcPr>
          <w:p w14:paraId="5F2C3E6E"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Rizikos koeficientas</w:t>
            </w:r>
          </w:p>
          <w:p w14:paraId="3F63D967"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(95</w:t>
            </w:r>
            <w:r w:rsidR="00AD06A4" w:rsidRPr="00427D92">
              <w:rPr>
                <w:rFonts w:ascii="Times New Roman" w:hAnsi="Times New Roman"/>
              </w:rPr>
              <w:t> </w:t>
            </w:r>
            <w:r w:rsidRPr="00427D92">
              <w:rPr>
                <w:rFonts w:ascii="Times New Roman" w:hAnsi="Times New Roman"/>
              </w:rPr>
              <w:t>% PI)</w:t>
            </w:r>
          </w:p>
          <w:p w14:paraId="74981D48" w14:textId="77777777" w:rsidR="00D875C0" w:rsidRPr="00C722B4" w:rsidRDefault="00D875C0" w:rsidP="003876F8">
            <w:pPr>
              <w:spacing w:after="0" w:line="240" w:lineRule="auto"/>
              <w:rPr>
                <w:rFonts w:ascii="Times New Roman" w:hAnsi="Times New Roman"/>
              </w:rPr>
            </w:pPr>
            <w:r w:rsidRPr="00C722B4">
              <w:rPr>
                <w:rFonts w:ascii="Times New Roman" w:hAnsi="Times New Roman"/>
              </w:rPr>
              <w:t>** p reikšmė</w:t>
            </w:r>
          </w:p>
        </w:tc>
        <w:tc>
          <w:tcPr>
            <w:tcW w:w="4141" w:type="dxa"/>
            <w:gridSpan w:val="2"/>
          </w:tcPr>
          <w:p w14:paraId="0AA83D55"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0,72</w:t>
            </w:r>
          </w:p>
          <w:p w14:paraId="7345A830"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(0,56</w:t>
            </w:r>
            <w:r w:rsidR="00AD06A4" w:rsidRPr="007C1A06">
              <w:rPr>
                <w:rFonts w:ascii="Times New Roman" w:hAnsi="Times New Roman"/>
              </w:rPr>
              <w:noBreakHyphen/>
            </w:r>
            <w:r w:rsidRPr="007C1A06">
              <w:rPr>
                <w:rFonts w:ascii="Times New Roman" w:hAnsi="Times New Roman"/>
              </w:rPr>
              <w:t>0,93)</w:t>
            </w:r>
          </w:p>
          <w:p w14:paraId="52523020"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0,0128</w:t>
            </w:r>
          </w:p>
        </w:tc>
      </w:tr>
      <w:tr w:rsidR="00D875C0" w:rsidRPr="007C1A06" w14:paraId="217F6961" w14:textId="77777777" w:rsidTr="004E3CD5">
        <w:tc>
          <w:tcPr>
            <w:tcW w:w="5145" w:type="dxa"/>
            <w:vMerge w:val="restart"/>
          </w:tcPr>
          <w:p w14:paraId="2D5F5A87"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 xml:space="preserve">Geriausias bendras atsako į chemoterapiją </w:t>
            </w:r>
            <w:r w:rsidRPr="001F2C46">
              <w:rPr>
                <w:rFonts w:ascii="Times New Roman" w:hAnsi="Times New Roman"/>
              </w:rPr>
              <w:t>dažnis (%)</w:t>
            </w:r>
          </w:p>
          <w:p w14:paraId="3E20B20D"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(95</w:t>
            </w:r>
            <w:r w:rsidR="00AD06A4" w:rsidRPr="00427D92">
              <w:rPr>
                <w:rFonts w:ascii="Times New Roman" w:hAnsi="Times New Roman"/>
              </w:rPr>
              <w:t> </w:t>
            </w:r>
            <w:r w:rsidRPr="00427D92">
              <w:rPr>
                <w:rFonts w:ascii="Times New Roman" w:hAnsi="Times New Roman"/>
              </w:rPr>
              <w:t>% PI)</w:t>
            </w:r>
          </w:p>
          <w:p w14:paraId="075B81BB" w14:textId="77777777" w:rsidR="00D875C0" w:rsidRPr="00C722B4" w:rsidRDefault="00D875C0" w:rsidP="003876F8">
            <w:pPr>
              <w:spacing w:after="0" w:line="240" w:lineRule="auto"/>
              <w:rPr>
                <w:rFonts w:ascii="Times New Roman" w:hAnsi="Times New Roman"/>
              </w:rPr>
            </w:pPr>
            <w:r w:rsidRPr="00C722B4">
              <w:rPr>
                <w:rFonts w:ascii="Times New Roman" w:hAnsi="Times New Roman"/>
              </w:rPr>
              <w:t>*** p reikšmė</w:t>
            </w:r>
          </w:p>
        </w:tc>
        <w:tc>
          <w:tcPr>
            <w:tcW w:w="2088" w:type="dxa"/>
          </w:tcPr>
          <w:p w14:paraId="5C8C90B7"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67,8</w:t>
            </w:r>
          </w:p>
          <w:p w14:paraId="179895A6"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(60,4</w:t>
            </w:r>
            <w:r w:rsidR="00AD06A4" w:rsidRPr="007C1A06">
              <w:rPr>
                <w:rFonts w:ascii="Times New Roman" w:hAnsi="Times New Roman"/>
              </w:rPr>
              <w:noBreakHyphen/>
            </w:r>
            <w:r w:rsidRPr="007C1A06">
              <w:rPr>
                <w:rFonts w:ascii="Times New Roman" w:hAnsi="Times New Roman"/>
              </w:rPr>
              <w:t>74,6)</w:t>
            </w:r>
          </w:p>
        </w:tc>
        <w:tc>
          <w:tcPr>
            <w:tcW w:w="2053" w:type="dxa"/>
          </w:tcPr>
          <w:p w14:paraId="53B1BAA0"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53,6</w:t>
            </w:r>
          </w:p>
          <w:p w14:paraId="6451643D" w14:textId="77777777" w:rsidR="00D875C0" w:rsidRPr="001F2C46" w:rsidRDefault="00D875C0" w:rsidP="004E3CD5">
            <w:pPr>
              <w:autoSpaceDE w:val="0"/>
              <w:autoSpaceDN w:val="0"/>
              <w:adjustRightInd w:val="0"/>
              <w:spacing w:after="0" w:line="240" w:lineRule="auto"/>
              <w:rPr>
                <w:rFonts w:ascii="Times New Roman" w:eastAsiaTheme="minorEastAsia" w:hAnsi="Times New Roman"/>
                <w:lang w:val="en-US" w:eastAsia="zh-TW"/>
              </w:rPr>
            </w:pPr>
            <w:r w:rsidRPr="007C1A06">
              <w:rPr>
                <w:rFonts w:ascii="Times New Roman" w:hAnsi="Times New Roman"/>
              </w:rPr>
              <w:t>(46,0</w:t>
            </w:r>
            <w:r w:rsidR="00AD06A4" w:rsidRPr="007C1A06">
              <w:rPr>
                <w:rFonts w:ascii="Times New Roman" w:hAnsi="Times New Roman"/>
              </w:rPr>
              <w:noBreakHyphen/>
            </w:r>
            <w:r w:rsidRPr="007C1A06">
              <w:rPr>
                <w:rFonts w:ascii="Times New Roman" w:hAnsi="Times New Roman"/>
              </w:rPr>
              <w:t>61</w:t>
            </w:r>
            <w:r w:rsidR="0026707E">
              <w:rPr>
                <w:rFonts w:ascii="Times New Roman" w:eastAsia="Times New Roman" w:hAnsi="Times New Roman" w:cs="Times New Roman"/>
              </w:rPr>
              <w:t>,0</w:t>
            </w:r>
            <w:r w:rsidRPr="00F95B76">
              <w:rPr>
                <w:rFonts w:ascii="Times New Roman" w:hAnsi="Times New Roman"/>
              </w:rPr>
              <w:t>)</w:t>
            </w:r>
          </w:p>
        </w:tc>
      </w:tr>
      <w:tr w:rsidR="00D875C0" w:rsidRPr="007C1A06" w14:paraId="10BB94DE" w14:textId="77777777" w:rsidTr="004E3CD5">
        <w:tc>
          <w:tcPr>
            <w:tcW w:w="5145" w:type="dxa"/>
            <w:vMerge/>
          </w:tcPr>
          <w:p w14:paraId="2FFA7353" w14:textId="77777777" w:rsidR="00D875C0" w:rsidRPr="007C1A06" w:rsidRDefault="00D875C0" w:rsidP="003876F8">
            <w:pPr>
              <w:spacing w:after="0" w:line="240" w:lineRule="auto"/>
              <w:rPr>
                <w:rFonts w:ascii="Times New Roman" w:hAnsi="Times New Roman"/>
              </w:rPr>
            </w:pPr>
          </w:p>
        </w:tc>
        <w:tc>
          <w:tcPr>
            <w:tcW w:w="4141" w:type="dxa"/>
            <w:gridSpan w:val="2"/>
          </w:tcPr>
          <w:p w14:paraId="3626FCC3"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0,006</w:t>
            </w:r>
          </w:p>
        </w:tc>
      </w:tr>
      <w:tr w:rsidR="00D875C0" w:rsidRPr="007C1A06" w14:paraId="78727D5B" w14:textId="77777777" w:rsidTr="004E3CD5">
        <w:tc>
          <w:tcPr>
            <w:tcW w:w="5145" w:type="dxa"/>
          </w:tcPr>
          <w:p w14:paraId="074ABBD4"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Geriausias bendras atsako į tyrimo metu taikytą gydymą dažnis [chemoterapija +/- radioterapija] (%)</w:t>
            </w:r>
          </w:p>
          <w:p w14:paraId="591469D0" w14:textId="77777777" w:rsidR="00D875C0" w:rsidRPr="00427D92" w:rsidRDefault="00D875C0" w:rsidP="00AD06A4">
            <w:pPr>
              <w:autoSpaceDE w:val="0"/>
              <w:autoSpaceDN w:val="0"/>
              <w:adjustRightInd w:val="0"/>
              <w:spacing w:after="0" w:line="240" w:lineRule="auto"/>
              <w:rPr>
                <w:rFonts w:ascii="Times New Roman" w:hAnsi="Times New Roman"/>
              </w:rPr>
            </w:pPr>
            <w:r w:rsidRPr="00427D92">
              <w:rPr>
                <w:rFonts w:ascii="Times New Roman" w:hAnsi="Times New Roman"/>
              </w:rPr>
              <w:t>(95</w:t>
            </w:r>
            <w:r w:rsidR="00AD06A4" w:rsidRPr="00427D92">
              <w:rPr>
                <w:rFonts w:ascii="Times New Roman" w:hAnsi="Times New Roman"/>
              </w:rPr>
              <w:t> </w:t>
            </w:r>
            <w:r w:rsidRPr="00427D92">
              <w:rPr>
                <w:rFonts w:ascii="Times New Roman" w:hAnsi="Times New Roman"/>
              </w:rPr>
              <w:t>% PI)</w:t>
            </w:r>
          </w:p>
        </w:tc>
        <w:tc>
          <w:tcPr>
            <w:tcW w:w="2088" w:type="dxa"/>
          </w:tcPr>
          <w:p w14:paraId="7F2C3A6F" w14:textId="77777777" w:rsidR="00D875C0" w:rsidRPr="000C43D3" w:rsidRDefault="00D875C0" w:rsidP="004E3CD5">
            <w:pPr>
              <w:autoSpaceDE w:val="0"/>
              <w:autoSpaceDN w:val="0"/>
              <w:adjustRightInd w:val="0"/>
              <w:spacing w:after="0" w:line="240" w:lineRule="auto"/>
              <w:rPr>
                <w:rFonts w:ascii="Times New Roman" w:hAnsi="Times New Roman"/>
              </w:rPr>
            </w:pPr>
            <w:r w:rsidRPr="000C43D3">
              <w:rPr>
                <w:rFonts w:ascii="Times New Roman" w:hAnsi="Times New Roman"/>
              </w:rPr>
              <w:t>72,3</w:t>
            </w:r>
          </w:p>
          <w:p w14:paraId="5ECAA76A" w14:textId="77777777" w:rsidR="00D875C0" w:rsidRPr="00C722B4" w:rsidRDefault="00D875C0" w:rsidP="004E3CD5">
            <w:pPr>
              <w:autoSpaceDE w:val="0"/>
              <w:autoSpaceDN w:val="0"/>
              <w:adjustRightInd w:val="0"/>
              <w:spacing w:after="0" w:line="240" w:lineRule="auto"/>
              <w:rPr>
                <w:rFonts w:ascii="Times New Roman" w:hAnsi="Times New Roman"/>
              </w:rPr>
            </w:pPr>
          </w:p>
          <w:p w14:paraId="1F856759"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(65,1</w:t>
            </w:r>
            <w:r w:rsidR="00AD06A4" w:rsidRPr="007C1A06">
              <w:rPr>
                <w:rFonts w:ascii="Times New Roman" w:hAnsi="Times New Roman"/>
              </w:rPr>
              <w:noBreakHyphen/>
            </w:r>
            <w:r w:rsidRPr="007C1A06">
              <w:rPr>
                <w:rFonts w:ascii="Times New Roman" w:hAnsi="Times New Roman"/>
              </w:rPr>
              <w:t>78,8)</w:t>
            </w:r>
          </w:p>
        </w:tc>
        <w:tc>
          <w:tcPr>
            <w:tcW w:w="2053" w:type="dxa"/>
          </w:tcPr>
          <w:p w14:paraId="5BDA9301"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58,6</w:t>
            </w:r>
          </w:p>
          <w:p w14:paraId="6B4666C0" w14:textId="77777777" w:rsidR="00D875C0" w:rsidRPr="007C1A06" w:rsidRDefault="00D875C0" w:rsidP="004E3CD5">
            <w:pPr>
              <w:autoSpaceDE w:val="0"/>
              <w:autoSpaceDN w:val="0"/>
              <w:adjustRightInd w:val="0"/>
              <w:spacing w:after="0" w:line="240" w:lineRule="auto"/>
              <w:rPr>
                <w:rFonts w:ascii="Times New Roman" w:hAnsi="Times New Roman"/>
              </w:rPr>
            </w:pPr>
          </w:p>
          <w:p w14:paraId="06E0C858"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(51,0</w:t>
            </w:r>
            <w:r w:rsidR="00AD06A4" w:rsidRPr="007C1A06">
              <w:rPr>
                <w:rFonts w:ascii="Times New Roman" w:hAnsi="Times New Roman"/>
              </w:rPr>
              <w:noBreakHyphen/>
            </w:r>
            <w:r w:rsidRPr="007C1A06">
              <w:rPr>
                <w:rFonts w:ascii="Times New Roman" w:hAnsi="Times New Roman"/>
              </w:rPr>
              <w:t>65,8)</w:t>
            </w:r>
          </w:p>
        </w:tc>
      </w:tr>
      <w:tr w:rsidR="00D875C0" w:rsidRPr="007C1A06" w14:paraId="084BDE74" w14:textId="77777777" w:rsidTr="004E3CD5">
        <w:tc>
          <w:tcPr>
            <w:tcW w:w="5145" w:type="dxa"/>
          </w:tcPr>
          <w:p w14:paraId="5B3FFE66" w14:textId="77777777" w:rsidR="00D875C0" w:rsidRPr="001F2C46" w:rsidRDefault="00D875C0" w:rsidP="003876F8">
            <w:pPr>
              <w:spacing w:after="0" w:line="240" w:lineRule="auto"/>
              <w:rPr>
                <w:rFonts w:ascii="Times New Roman" w:hAnsi="Times New Roman"/>
              </w:rPr>
            </w:pPr>
            <w:r w:rsidRPr="00F95B76">
              <w:rPr>
                <w:rFonts w:ascii="Times New Roman" w:hAnsi="Times New Roman"/>
              </w:rPr>
              <w:t>*** p reikšmė</w:t>
            </w:r>
          </w:p>
        </w:tc>
        <w:tc>
          <w:tcPr>
            <w:tcW w:w="4141" w:type="dxa"/>
            <w:gridSpan w:val="2"/>
          </w:tcPr>
          <w:p w14:paraId="410F7016" w14:textId="77777777" w:rsidR="00D875C0" w:rsidRPr="001F2C46" w:rsidRDefault="00D875C0" w:rsidP="004E3CD5">
            <w:pPr>
              <w:spacing w:after="0" w:line="240" w:lineRule="auto"/>
              <w:rPr>
                <w:rFonts w:ascii="Times New Roman" w:hAnsi="Times New Roman"/>
              </w:rPr>
            </w:pPr>
            <w:r w:rsidRPr="001F2C46">
              <w:rPr>
                <w:rFonts w:ascii="Times New Roman" w:hAnsi="Times New Roman"/>
              </w:rPr>
              <w:t>0,006</w:t>
            </w:r>
          </w:p>
        </w:tc>
      </w:tr>
      <w:tr w:rsidR="00D875C0" w:rsidRPr="007C1A06" w14:paraId="1771FBCB" w14:textId="77777777" w:rsidTr="004E3CD5">
        <w:tc>
          <w:tcPr>
            <w:tcW w:w="5145" w:type="dxa"/>
          </w:tcPr>
          <w:p w14:paraId="61A1AF2D"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 xml:space="preserve">Atsako į </w:t>
            </w:r>
            <w:r w:rsidRPr="001F2C46">
              <w:rPr>
                <w:rFonts w:ascii="Times New Roman" w:hAnsi="Times New Roman"/>
              </w:rPr>
              <w:t>chemoterapiją ± radioterapiją trukmės</w:t>
            </w:r>
          </w:p>
          <w:p w14:paraId="12CA438B"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mediana (mėnesiai)</w:t>
            </w:r>
          </w:p>
          <w:p w14:paraId="748DD813" w14:textId="77777777" w:rsidR="00D875C0" w:rsidRPr="007C1A06"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(95</w:t>
            </w:r>
            <w:r w:rsidR="00AD06A4" w:rsidRPr="007C1A06">
              <w:rPr>
                <w:rFonts w:ascii="Times New Roman" w:hAnsi="Times New Roman"/>
              </w:rPr>
              <w:t> </w:t>
            </w:r>
            <w:r w:rsidRPr="007C1A06">
              <w:rPr>
                <w:rFonts w:ascii="Times New Roman" w:hAnsi="Times New Roman"/>
              </w:rPr>
              <w:t>% PI)</w:t>
            </w:r>
          </w:p>
        </w:tc>
        <w:tc>
          <w:tcPr>
            <w:tcW w:w="2088" w:type="dxa"/>
          </w:tcPr>
          <w:p w14:paraId="00A75408"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n=128</w:t>
            </w:r>
          </w:p>
          <w:p w14:paraId="2E4F6597"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15,7</w:t>
            </w:r>
          </w:p>
          <w:p w14:paraId="36F90B8D"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(13,4</w:t>
            </w:r>
            <w:r w:rsidR="00AD06A4" w:rsidRPr="007C1A06">
              <w:rPr>
                <w:rFonts w:ascii="Times New Roman" w:hAnsi="Times New Roman"/>
              </w:rPr>
              <w:noBreakHyphen/>
            </w:r>
            <w:r w:rsidRPr="007C1A06">
              <w:rPr>
                <w:rFonts w:ascii="Times New Roman" w:hAnsi="Times New Roman"/>
              </w:rPr>
              <w:t>24,6)</w:t>
            </w:r>
          </w:p>
        </w:tc>
        <w:tc>
          <w:tcPr>
            <w:tcW w:w="2053" w:type="dxa"/>
          </w:tcPr>
          <w:p w14:paraId="0B3D0052"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n=106</w:t>
            </w:r>
          </w:p>
          <w:p w14:paraId="3E420EB9"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11,7</w:t>
            </w:r>
          </w:p>
          <w:p w14:paraId="073BAD3F"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(10,2</w:t>
            </w:r>
            <w:r w:rsidR="00AD06A4" w:rsidRPr="007C1A06">
              <w:rPr>
                <w:rFonts w:ascii="Times New Roman" w:hAnsi="Times New Roman"/>
              </w:rPr>
              <w:noBreakHyphen/>
            </w:r>
            <w:r w:rsidRPr="007C1A06">
              <w:rPr>
                <w:rFonts w:ascii="Times New Roman" w:hAnsi="Times New Roman"/>
              </w:rPr>
              <w:t>17,4)</w:t>
            </w:r>
          </w:p>
        </w:tc>
      </w:tr>
      <w:tr w:rsidR="00D875C0" w:rsidRPr="007C1A06" w14:paraId="5EB079A6" w14:textId="77777777" w:rsidTr="004E3CD5">
        <w:tc>
          <w:tcPr>
            <w:tcW w:w="5145" w:type="dxa"/>
          </w:tcPr>
          <w:p w14:paraId="0AD54D2D"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Rizikos koeficientas</w:t>
            </w:r>
          </w:p>
          <w:p w14:paraId="33FE7431"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(95</w:t>
            </w:r>
            <w:r w:rsidR="00AD06A4" w:rsidRPr="00427D92">
              <w:rPr>
                <w:rFonts w:ascii="Times New Roman" w:hAnsi="Times New Roman"/>
              </w:rPr>
              <w:t> </w:t>
            </w:r>
            <w:r w:rsidRPr="00427D92">
              <w:rPr>
                <w:rFonts w:ascii="Times New Roman" w:hAnsi="Times New Roman"/>
              </w:rPr>
              <w:t>%PI)</w:t>
            </w:r>
          </w:p>
          <w:p w14:paraId="43BC4229" w14:textId="77777777" w:rsidR="00D875C0" w:rsidRPr="00C722B4"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 p reikšmė</w:t>
            </w:r>
          </w:p>
        </w:tc>
        <w:tc>
          <w:tcPr>
            <w:tcW w:w="4141" w:type="dxa"/>
            <w:gridSpan w:val="2"/>
          </w:tcPr>
          <w:p w14:paraId="2842E7E0"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0,72</w:t>
            </w:r>
          </w:p>
          <w:p w14:paraId="29C65312"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(0,52</w:t>
            </w:r>
            <w:r w:rsidR="00AD06A4" w:rsidRPr="007C1A06">
              <w:rPr>
                <w:rFonts w:ascii="Times New Roman" w:hAnsi="Times New Roman"/>
              </w:rPr>
              <w:noBreakHyphen/>
            </w:r>
            <w:r w:rsidRPr="007C1A06">
              <w:rPr>
                <w:rFonts w:ascii="Times New Roman" w:hAnsi="Times New Roman"/>
              </w:rPr>
              <w:t>0,99)</w:t>
            </w:r>
          </w:p>
          <w:p w14:paraId="386D9316" w14:textId="77777777" w:rsidR="00D875C0" w:rsidRPr="004E3CD5" w:rsidRDefault="00D875C0" w:rsidP="004E3CD5">
            <w:pPr>
              <w:spacing w:after="0" w:line="240" w:lineRule="auto"/>
              <w:rPr>
                <w:rFonts w:ascii="Times New Roman" w:eastAsiaTheme="minorEastAsia" w:hAnsi="Times New Roman"/>
                <w:lang w:eastAsia="zh-TW"/>
              </w:rPr>
            </w:pPr>
            <w:r w:rsidRPr="007C1A06">
              <w:rPr>
                <w:rFonts w:ascii="Times New Roman" w:hAnsi="Times New Roman"/>
              </w:rPr>
              <w:t>0,0457</w:t>
            </w:r>
          </w:p>
        </w:tc>
      </w:tr>
    </w:tbl>
    <w:p w14:paraId="3337BA29" w14:textId="77777777" w:rsidR="00D875C0" w:rsidRPr="00427D92"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Docetakselis +Cisplatin</w:t>
      </w:r>
      <w:r w:rsidR="00E414F5" w:rsidRPr="001F2C46">
        <w:rPr>
          <w:rFonts w:ascii="Times New Roman" w:hAnsi="Times New Roman"/>
        </w:rPr>
        <w:t>a</w:t>
      </w:r>
      <w:r w:rsidRPr="001F2C46">
        <w:rPr>
          <w:rFonts w:ascii="Times New Roman" w:hAnsi="Times New Roman"/>
        </w:rPr>
        <w:t xml:space="preserve"> + 5</w:t>
      </w:r>
      <w:r w:rsidRPr="001F2C46">
        <w:rPr>
          <w:rFonts w:ascii="Times New Roman" w:hAnsi="Times New Roman"/>
          <w:b/>
        </w:rPr>
        <w:t>-</w:t>
      </w:r>
      <w:r w:rsidRPr="00427D92">
        <w:rPr>
          <w:rFonts w:ascii="Times New Roman" w:hAnsi="Times New Roman"/>
        </w:rPr>
        <w:t>FU pranašumo rizikos santykis yra mažesnis, negu 1</w:t>
      </w:r>
    </w:p>
    <w:p w14:paraId="7BED7D19" w14:textId="77777777" w:rsidR="00D875C0" w:rsidRPr="007C1A06" w:rsidRDefault="00D875C0" w:rsidP="00D875C0">
      <w:pPr>
        <w:autoSpaceDE w:val="0"/>
        <w:autoSpaceDN w:val="0"/>
        <w:adjustRightInd w:val="0"/>
        <w:spacing w:after="0" w:line="240" w:lineRule="auto"/>
        <w:rPr>
          <w:rFonts w:ascii="Times New Roman" w:hAnsi="Times New Roman"/>
        </w:rPr>
      </w:pPr>
      <w:r w:rsidRPr="00C722B4">
        <w:rPr>
          <w:rFonts w:ascii="Times New Roman" w:hAnsi="Times New Roman"/>
        </w:rPr>
        <w:t>*</w:t>
      </w:r>
      <w:r w:rsidRPr="007C1A06">
        <w:rPr>
          <w:rFonts w:ascii="Times New Roman" w:hAnsi="Times New Roman"/>
          <w:i/>
        </w:rPr>
        <w:t xml:space="preserve">Cox </w:t>
      </w:r>
      <w:r w:rsidRPr="007C1A06">
        <w:rPr>
          <w:rFonts w:ascii="Times New Roman" w:hAnsi="Times New Roman"/>
        </w:rPr>
        <w:t xml:space="preserve">modelis (atsižvelgiant į pirminio auglio vietą, T ir N klinikinės stadijos ir </w:t>
      </w:r>
      <w:r w:rsidRPr="007C1A06">
        <w:rPr>
          <w:rFonts w:ascii="Times New Roman" w:hAnsi="Times New Roman"/>
          <w:i/>
        </w:rPr>
        <w:t>PSWHO</w:t>
      </w:r>
      <w:r w:rsidRPr="007C1A06">
        <w:rPr>
          <w:rFonts w:ascii="Times New Roman" w:hAnsi="Times New Roman"/>
        </w:rPr>
        <w:t>)</w:t>
      </w:r>
    </w:p>
    <w:p w14:paraId="60E52FDA"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w:t>
      </w:r>
      <w:r w:rsidRPr="007C1A06">
        <w:rPr>
          <w:rFonts w:ascii="Times New Roman" w:hAnsi="Times New Roman"/>
          <w:i/>
        </w:rPr>
        <w:t xml:space="preserve">Logrank </w:t>
      </w:r>
      <w:r w:rsidRPr="007C1A06">
        <w:rPr>
          <w:rFonts w:ascii="Times New Roman" w:hAnsi="Times New Roman"/>
        </w:rPr>
        <w:t>testas</w:t>
      </w:r>
    </w:p>
    <w:p w14:paraId="53699D21"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Chi kvadrato (χ2) kriterijus</w:t>
      </w:r>
    </w:p>
    <w:p w14:paraId="15BDDA26" w14:textId="77777777" w:rsidR="00D875C0" w:rsidRPr="007C1A06" w:rsidRDefault="00D875C0" w:rsidP="00D875C0">
      <w:pPr>
        <w:autoSpaceDE w:val="0"/>
        <w:autoSpaceDN w:val="0"/>
        <w:adjustRightInd w:val="0"/>
        <w:spacing w:after="0" w:line="240" w:lineRule="auto"/>
        <w:rPr>
          <w:rFonts w:ascii="Times New Roman" w:hAnsi="Times New Roman"/>
        </w:rPr>
      </w:pPr>
    </w:p>
    <w:p w14:paraId="2F66B182" w14:textId="77777777" w:rsidR="00D875C0" w:rsidRPr="004E3CD5" w:rsidRDefault="00D875C0" w:rsidP="00D875C0">
      <w:pPr>
        <w:autoSpaceDE w:val="0"/>
        <w:autoSpaceDN w:val="0"/>
        <w:adjustRightInd w:val="0"/>
        <w:spacing w:after="0" w:line="240" w:lineRule="auto"/>
        <w:rPr>
          <w:rFonts w:ascii="Times New Roman" w:eastAsiaTheme="minorEastAsia" w:hAnsi="Times New Roman"/>
          <w:i/>
          <w:lang w:eastAsia="zh-TW"/>
        </w:rPr>
      </w:pPr>
      <w:r w:rsidRPr="007C1A06">
        <w:rPr>
          <w:rFonts w:ascii="Times New Roman" w:hAnsi="Times New Roman"/>
          <w:i/>
        </w:rPr>
        <w:t>Gyvenimo kokybės parametrai</w:t>
      </w:r>
    </w:p>
    <w:p w14:paraId="11B48991"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TCF grupės pacientams reikšmingai mažiau nei PF grupės </w:t>
      </w:r>
      <w:r w:rsidR="00AF7FB2">
        <w:rPr>
          <w:rFonts w:ascii="Times New Roman" w:hAnsi="Times New Roman"/>
        </w:rPr>
        <w:t>pacientams</w:t>
      </w:r>
      <w:r w:rsidRPr="007C1A06">
        <w:rPr>
          <w:rFonts w:ascii="Times New Roman" w:hAnsi="Times New Roman"/>
        </w:rPr>
        <w:t xml:space="preserve"> sumažėjo bendros sveikatos būklės įvertinimas (p=0,01, naudota EORTC QLQ</w:t>
      </w:r>
      <w:r w:rsidRPr="007C1A06">
        <w:rPr>
          <w:rFonts w:ascii="Times New Roman" w:hAnsi="Times New Roman"/>
          <w:b/>
        </w:rPr>
        <w:t>-</w:t>
      </w:r>
      <w:r w:rsidRPr="007C1A06">
        <w:rPr>
          <w:rFonts w:ascii="Times New Roman" w:hAnsi="Times New Roman"/>
        </w:rPr>
        <w:t>C30 skalė).</w:t>
      </w:r>
    </w:p>
    <w:p w14:paraId="560E4223" w14:textId="77777777" w:rsidR="006B0EF3" w:rsidRPr="004E3CD5" w:rsidRDefault="006B0EF3" w:rsidP="00D875C0">
      <w:pPr>
        <w:autoSpaceDE w:val="0"/>
        <w:autoSpaceDN w:val="0"/>
        <w:adjustRightInd w:val="0"/>
        <w:spacing w:after="0" w:line="240" w:lineRule="auto"/>
        <w:rPr>
          <w:rFonts w:ascii="Times New Roman" w:hAnsi="Times New Roman"/>
          <w:i/>
        </w:rPr>
      </w:pPr>
    </w:p>
    <w:p w14:paraId="7C0C16F9" w14:textId="77777777" w:rsidR="00D875C0" w:rsidRPr="001F2C46" w:rsidRDefault="00D875C0" w:rsidP="00D875C0">
      <w:pPr>
        <w:autoSpaceDE w:val="0"/>
        <w:autoSpaceDN w:val="0"/>
        <w:adjustRightInd w:val="0"/>
        <w:spacing w:after="0" w:line="240" w:lineRule="auto"/>
        <w:rPr>
          <w:rFonts w:ascii="Times New Roman" w:hAnsi="Times New Roman"/>
          <w:i/>
        </w:rPr>
      </w:pPr>
      <w:r w:rsidRPr="00F95B76">
        <w:rPr>
          <w:rFonts w:ascii="Times New Roman" w:hAnsi="Times New Roman"/>
          <w:i/>
        </w:rPr>
        <w:t>Klinikinio poveikio parametrai</w:t>
      </w:r>
    </w:p>
    <w:p w14:paraId="76DA3BA0" w14:textId="77777777" w:rsidR="00D875C0" w:rsidRPr="00C722B4" w:rsidRDefault="00D875C0" w:rsidP="00D875C0">
      <w:pPr>
        <w:autoSpaceDE w:val="0"/>
        <w:autoSpaceDN w:val="0"/>
        <w:adjustRightInd w:val="0"/>
        <w:spacing w:after="0" w:line="240" w:lineRule="auto"/>
        <w:rPr>
          <w:rFonts w:ascii="Times New Roman" w:hAnsi="Times New Roman"/>
        </w:rPr>
      </w:pPr>
      <w:r w:rsidRPr="00427D92">
        <w:rPr>
          <w:rFonts w:ascii="Times New Roman" w:hAnsi="Times New Roman"/>
        </w:rPr>
        <w:t>TPF grupės pacientų aktyvumo vertinimo skalės galvos ir kaklo būklę (kalbos suprantamumą, gebėjimą valgyti viešoje vietoje ir dietos normalumą) analizuojančios dalies (AVS</w:t>
      </w:r>
      <w:r w:rsidRPr="00427D92">
        <w:rPr>
          <w:rFonts w:ascii="Times New Roman" w:hAnsi="Times New Roman"/>
          <w:b/>
        </w:rPr>
        <w:t>-</w:t>
      </w:r>
      <w:r w:rsidRPr="00427D92">
        <w:rPr>
          <w:rFonts w:ascii="Times New Roman" w:hAnsi="Times New Roman"/>
        </w:rPr>
        <w:t xml:space="preserve">GK) įvertinimas buvo reikšmingai geresnis nei PF grupės </w:t>
      </w:r>
      <w:r w:rsidR="00AF7FB2">
        <w:rPr>
          <w:rFonts w:ascii="Times New Roman" w:hAnsi="Times New Roman"/>
        </w:rPr>
        <w:t>pacientams</w:t>
      </w:r>
      <w:r w:rsidRPr="00427D92">
        <w:rPr>
          <w:rFonts w:ascii="Times New Roman" w:hAnsi="Times New Roman"/>
        </w:rPr>
        <w:t>.</w:t>
      </w:r>
    </w:p>
    <w:p w14:paraId="2D2E5BFE"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TPF grupėje laikotarpio iki pirmojo pablogėjimo (vertinant aktyvumo būklę pagal PSO kriterijus) mediana buvo reikšmingai ilgesnė nei PF grupėje. Skausmo intensyvumas sumažėjo abejose gydymo grupėse, tai rodė gerą skausmo kontrolę.</w:t>
      </w:r>
    </w:p>
    <w:p w14:paraId="668BE448" w14:textId="77777777" w:rsidR="00D875C0" w:rsidRPr="007C1A06" w:rsidRDefault="00D875C0" w:rsidP="00D875C0">
      <w:pPr>
        <w:autoSpaceDE w:val="0"/>
        <w:autoSpaceDN w:val="0"/>
        <w:adjustRightInd w:val="0"/>
        <w:spacing w:after="0" w:line="240" w:lineRule="auto"/>
        <w:rPr>
          <w:rFonts w:ascii="Times New Roman" w:hAnsi="Times New Roman"/>
        </w:rPr>
      </w:pPr>
    </w:p>
    <w:p w14:paraId="1FC1832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Įvadinė chemoterapija, kai vėliau taikoma chemoterapija bei gydoma spinduliais (TAX 324)</w:t>
      </w:r>
    </w:p>
    <w:p w14:paraId="5DD1900A"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Docetakselio veiksmingumas bei saugumas jo vartojant įvadiniam lokaliai progresavusiu plokščialąsteliniu galvos ir kaklo vėžiu (PGKV) sergančių pacientų gydymui tirtas III fazės daugiacentriu atviru atsitiktinių imčių tyrimu (TAX324). Šio tyrimo metu 501 lokaliai progresavusiu PGKV </w:t>
      </w:r>
      <w:r w:rsidRPr="007C1A06">
        <w:rPr>
          <w:rFonts w:ascii="Times New Roman" w:eastAsia="Times New Roman" w:hAnsi="Times New Roman" w:cs="Times New Roman"/>
        </w:rPr>
        <w:t>sirgę</w:t>
      </w:r>
      <w:r w:rsidR="006B0EF3">
        <w:rPr>
          <w:rFonts w:ascii="Times New Roman" w:eastAsia="Times New Roman" w:hAnsi="Times New Roman" w:cs="Times New Roman"/>
        </w:rPr>
        <w:t>s</w:t>
      </w:r>
      <w:r w:rsidRPr="007C1A06">
        <w:rPr>
          <w:rFonts w:ascii="Times New Roman" w:eastAsia="Times New Roman" w:hAnsi="Times New Roman" w:cs="Times New Roman"/>
        </w:rPr>
        <w:t xml:space="preserve"> pacienta</w:t>
      </w:r>
      <w:r w:rsidR="006B0EF3">
        <w:rPr>
          <w:rFonts w:ascii="Times New Roman" w:eastAsia="Times New Roman" w:hAnsi="Times New Roman" w:cs="Times New Roman"/>
        </w:rPr>
        <w:t>s</w:t>
      </w:r>
      <w:r w:rsidRPr="007C1A06">
        <w:rPr>
          <w:rFonts w:ascii="Times New Roman" w:eastAsia="Times New Roman" w:hAnsi="Times New Roman" w:cs="Times New Roman"/>
        </w:rPr>
        <w:t>, kuri</w:t>
      </w:r>
      <w:r w:rsidR="006B0EF3">
        <w:rPr>
          <w:rFonts w:ascii="Times New Roman" w:eastAsia="Times New Roman" w:hAnsi="Times New Roman" w:cs="Times New Roman"/>
        </w:rPr>
        <w:t>o</w:t>
      </w:r>
      <w:r w:rsidRPr="00F95B76">
        <w:rPr>
          <w:rFonts w:ascii="Times New Roman" w:hAnsi="Times New Roman"/>
        </w:rPr>
        <w:t xml:space="preserve"> aktyvumo būklė pagal PSO vertinimą buvo 0 arba 1, atsitiktinai parinkus buvo priskirti vienai iš dviejų gydymo grupių. Tyrime dalyvavusiems pacientams naviko rezekcija buvo techniškai neįmanoma, chirurginio gydymo sėkmės tikimybė buvo labai maža, siekta i</w:t>
      </w:r>
      <w:r w:rsidRPr="001F2C46">
        <w:rPr>
          <w:rFonts w:ascii="Times New Roman" w:hAnsi="Times New Roman"/>
        </w:rPr>
        <w:t>šsaugoti organus. Veiksmingumas ir saugumas vertinti atsižvelgiant tik į išgyvenamumą apimančias vertinamąsias baigtis, o organų išsaugojimas formaliai nevertintas. Docetakselio grupės pacientams 1</w:t>
      </w:r>
      <w:r w:rsidR="00AD06A4" w:rsidRPr="00427D92">
        <w:rPr>
          <w:rFonts w:ascii="Times New Roman" w:hAnsi="Times New Roman"/>
        </w:rPr>
        <w:t> </w:t>
      </w:r>
      <w:r w:rsidRPr="00427D92">
        <w:rPr>
          <w:rFonts w:ascii="Times New Roman" w:hAnsi="Times New Roman"/>
        </w:rPr>
        <w:t>dieną į veną buvo infuzuojama 75</w:t>
      </w:r>
      <w:r w:rsidR="00AD06A4" w:rsidRPr="00427D92">
        <w:rPr>
          <w:rFonts w:ascii="Times New Roman" w:hAnsi="Times New Roman"/>
        </w:rPr>
        <w:t> </w:t>
      </w:r>
      <w:r w:rsidRPr="000C43D3">
        <w:rPr>
          <w:rFonts w:ascii="Times New Roman" w:hAnsi="Times New Roman"/>
        </w:rPr>
        <w:t>mg/m</w:t>
      </w:r>
      <w:r w:rsidRPr="000C43D3">
        <w:rPr>
          <w:rFonts w:ascii="Times New Roman" w:hAnsi="Times New Roman"/>
          <w:vertAlign w:val="superscript"/>
        </w:rPr>
        <w:t>2</w:t>
      </w:r>
      <w:r w:rsidRPr="00C722B4">
        <w:rPr>
          <w:rFonts w:ascii="Times New Roman" w:hAnsi="Times New Roman"/>
        </w:rPr>
        <w:t xml:space="preserve"> docetakselio (T), po to 100</w:t>
      </w:r>
      <w:r w:rsidR="00AD06A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cisplatinos (P) (infuzijos trukmė 30</w:t>
      </w:r>
      <w:r w:rsidR="00AD06A4" w:rsidRPr="007C1A06">
        <w:rPr>
          <w:rFonts w:ascii="Times New Roman" w:hAnsi="Times New Roman"/>
        </w:rPr>
        <w:t> </w:t>
      </w:r>
      <w:r w:rsidRPr="007C1A06">
        <w:rPr>
          <w:rFonts w:ascii="Times New Roman" w:hAnsi="Times New Roman"/>
        </w:rPr>
        <w:t>min. - 3</w:t>
      </w:r>
      <w:r w:rsidR="00AD06A4" w:rsidRPr="007C1A06">
        <w:rPr>
          <w:rFonts w:ascii="Times New Roman" w:hAnsi="Times New Roman"/>
        </w:rPr>
        <w:t> </w:t>
      </w:r>
      <w:r w:rsidRPr="007C1A06">
        <w:rPr>
          <w:rFonts w:ascii="Times New Roman" w:hAnsi="Times New Roman"/>
        </w:rPr>
        <w:t>val.), po to 1</w:t>
      </w:r>
      <w:r w:rsidR="00AD06A4" w:rsidRPr="007C1A06">
        <w:rPr>
          <w:rFonts w:ascii="Times New Roman" w:hAnsi="Times New Roman"/>
        </w:rPr>
        <w:noBreakHyphen/>
      </w:r>
      <w:r w:rsidRPr="007C1A06">
        <w:rPr>
          <w:rFonts w:ascii="Times New Roman" w:hAnsi="Times New Roman"/>
        </w:rPr>
        <w:t>4</w:t>
      </w:r>
      <w:r w:rsidR="00AD06A4" w:rsidRPr="007C1A06">
        <w:rPr>
          <w:rFonts w:ascii="Times New Roman" w:hAnsi="Times New Roman"/>
        </w:rPr>
        <w:t> </w:t>
      </w:r>
      <w:r w:rsidRPr="007C1A06">
        <w:rPr>
          <w:rFonts w:ascii="Times New Roman" w:hAnsi="Times New Roman"/>
        </w:rPr>
        <w:t>dieną nuolat infuzuota 5-fluorouracilo (F) (paros dozė 1000</w:t>
      </w:r>
      <w:r w:rsidR="00AD06A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(TPF schema). Tokie gydymo kursai kartoti kas tris savaites 3</w:t>
      </w:r>
      <w:r w:rsidR="00AD06A4" w:rsidRPr="007C1A06">
        <w:rPr>
          <w:rFonts w:ascii="Times New Roman" w:hAnsi="Times New Roman"/>
        </w:rPr>
        <w:t> </w:t>
      </w:r>
      <w:r w:rsidRPr="007C1A06">
        <w:rPr>
          <w:rFonts w:ascii="Times New Roman" w:hAnsi="Times New Roman"/>
        </w:rPr>
        <w:t>kartus. Po to visiems pacientams, kuriems liga neprogresavo, skirta protokole numatyta chemoterapija bei gydymas spinduliais (TPF/CRT). Palyginamosios grupės pacientams 1</w:t>
      </w:r>
      <w:r w:rsidR="00AD06A4" w:rsidRPr="007C1A06">
        <w:rPr>
          <w:rFonts w:ascii="Times New Roman" w:hAnsi="Times New Roman"/>
        </w:rPr>
        <w:t> </w:t>
      </w:r>
      <w:r w:rsidRPr="007C1A06">
        <w:rPr>
          <w:rFonts w:ascii="Times New Roman" w:hAnsi="Times New Roman"/>
        </w:rPr>
        <w:t>dieną į veną buvo infuzuojama 100</w:t>
      </w:r>
      <w:r w:rsidR="00AD06A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cisplatinos (P) (infuzijos trukmė 30</w:t>
      </w:r>
      <w:r w:rsidR="00AD06A4" w:rsidRPr="007C1A06">
        <w:rPr>
          <w:rFonts w:ascii="Times New Roman" w:hAnsi="Times New Roman"/>
        </w:rPr>
        <w:t> </w:t>
      </w:r>
      <w:r w:rsidRPr="007C1A06">
        <w:rPr>
          <w:rFonts w:ascii="Times New Roman" w:hAnsi="Times New Roman"/>
        </w:rPr>
        <w:t>min. - 3</w:t>
      </w:r>
      <w:r w:rsidR="00AD06A4" w:rsidRPr="007C1A06">
        <w:rPr>
          <w:rFonts w:ascii="Times New Roman" w:hAnsi="Times New Roman"/>
        </w:rPr>
        <w:t> </w:t>
      </w:r>
      <w:r w:rsidRPr="007C1A06">
        <w:rPr>
          <w:rFonts w:ascii="Times New Roman" w:hAnsi="Times New Roman"/>
        </w:rPr>
        <w:t>val.), po to 1</w:t>
      </w:r>
      <w:r w:rsidR="00AD06A4" w:rsidRPr="007C1A06">
        <w:rPr>
          <w:rFonts w:ascii="Times New Roman" w:hAnsi="Times New Roman"/>
        </w:rPr>
        <w:noBreakHyphen/>
      </w:r>
      <w:r w:rsidRPr="007C1A06">
        <w:rPr>
          <w:rFonts w:ascii="Times New Roman" w:hAnsi="Times New Roman"/>
        </w:rPr>
        <w:t>5</w:t>
      </w:r>
      <w:r w:rsidR="00AD06A4" w:rsidRPr="007C1A06">
        <w:rPr>
          <w:rFonts w:ascii="Times New Roman" w:hAnsi="Times New Roman"/>
        </w:rPr>
        <w:t> </w:t>
      </w:r>
      <w:r w:rsidRPr="007C1A06">
        <w:rPr>
          <w:rFonts w:ascii="Times New Roman" w:hAnsi="Times New Roman"/>
        </w:rPr>
        <w:t>dieną nuolat infuzuota 5-fluorouracilo (F) (paros dozė 1000</w:t>
      </w:r>
      <w:r w:rsidR="00AD06A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Tokie gydymo kursai kartoti kas tris savaites 3</w:t>
      </w:r>
      <w:r w:rsidR="00AD06A4" w:rsidRPr="007C1A06">
        <w:rPr>
          <w:rFonts w:ascii="Times New Roman" w:hAnsi="Times New Roman"/>
        </w:rPr>
        <w:t> </w:t>
      </w:r>
      <w:r w:rsidRPr="007C1A06">
        <w:rPr>
          <w:rFonts w:ascii="Times New Roman" w:hAnsi="Times New Roman"/>
        </w:rPr>
        <w:t>kartus. Po to visiems pacientams, kuriems liga neprogresavo, skirta protokole numatyta chemoterapija bei gydymas spinduliais (PF/CRT).</w:t>
      </w:r>
    </w:p>
    <w:p w14:paraId="4B8FA8CC"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Baigus įvadinę chemoterapiją, mažiausiai po 3</w:t>
      </w:r>
      <w:r w:rsidR="00AD06A4" w:rsidRPr="007C1A06">
        <w:rPr>
          <w:rFonts w:ascii="Times New Roman" w:hAnsi="Times New Roman"/>
        </w:rPr>
        <w:t> </w:t>
      </w:r>
      <w:r w:rsidRPr="007C1A06">
        <w:rPr>
          <w:rFonts w:ascii="Times New Roman" w:hAnsi="Times New Roman"/>
        </w:rPr>
        <w:t>savaičių, bet daugiausiai po 8</w:t>
      </w:r>
      <w:r w:rsidR="00AD06A4" w:rsidRPr="007C1A06">
        <w:rPr>
          <w:rFonts w:ascii="Times New Roman" w:hAnsi="Times New Roman"/>
        </w:rPr>
        <w:t> </w:t>
      </w:r>
      <w:r w:rsidRPr="007C1A06">
        <w:rPr>
          <w:rFonts w:ascii="Times New Roman" w:hAnsi="Times New Roman"/>
        </w:rPr>
        <w:t>savaičių po paskutinio kurso pradžios (t. y. laikotarpiu nuo 22 iki 56 paskutinio kurso dienos) abiejų gydymo grupių pacientams 7</w:t>
      </w:r>
      <w:r w:rsidR="00AD06A4" w:rsidRPr="007C1A06">
        <w:rPr>
          <w:rFonts w:ascii="Times New Roman" w:hAnsi="Times New Roman"/>
        </w:rPr>
        <w:t> </w:t>
      </w:r>
      <w:r w:rsidRPr="007C1A06">
        <w:rPr>
          <w:rFonts w:ascii="Times New Roman" w:hAnsi="Times New Roman"/>
        </w:rPr>
        <w:t>savaites taikytas gydymas pagal CRT schemą. Gydymo spinduliais metu kas savaitę per vieną valandą būdavo sulašinama karboplatinos (AUC 1,5) (buvo sulašinama daugiausiai 7</w:t>
      </w:r>
      <w:r w:rsidR="00AD06A4" w:rsidRPr="007C1A06">
        <w:rPr>
          <w:rFonts w:ascii="Times New Roman" w:hAnsi="Times New Roman"/>
        </w:rPr>
        <w:t> </w:t>
      </w:r>
      <w:r w:rsidRPr="007C1A06">
        <w:rPr>
          <w:rFonts w:ascii="Times New Roman" w:hAnsi="Times New Roman"/>
        </w:rPr>
        <w:t>dozės).</w:t>
      </w:r>
    </w:p>
    <w:p w14:paraId="614B79CB" w14:textId="77777777" w:rsidR="00D875C0" w:rsidRPr="00FB5C4B"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Buvo naudojama megavoltinė įranga, spinduliuota frakcijomis kartą per parą (2</w:t>
      </w:r>
      <w:r w:rsidR="00AD06A4" w:rsidRPr="007C1A06">
        <w:rPr>
          <w:rFonts w:ascii="Times New Roman" w:hAnsi="Times New Roman"/>
        </w:rPr>
        <w:t> </w:t>
      </w:r>
      <w:r w:rsidRPr="007C1A06">
        <w:rPr>
          <w:rFonts w:ascii="Times New Roman" w:hAnsi="Times New Roman"/>
        </w:rPr>
        <w:t>Gy per parą, 5</w:t>
      </w:r>
      <w:r w:rsidR="00AD06A4" w:rsidRPr="007C1A06">
        <w:rPr>
          <w:rFonts w:ascii="Times New Roman" w:hAnsi="Times New Roman"/>
        </w:rPr>
        <w:t> </w:t>
      </w:r>
      <w:r w:rsidRPr="007C1A06">
        <w:rPr>
          <w:rFonts w:ascii="Times New Roman" w:hAnsi="Times New Roman"/>
        </w:rPr>
        <w:t>dienas per savaitę, 7</w:t>
      </w:r>
      <w:r w:rsidR="00AD06A4" w:rsidRPr="007C1A06">
        <w:rPr>
          <w:rFonts w:ascii="Times New Roman" w:hAnsi="Times New Roman"/>
        </w:rPr>
        <w:t> </w:t>
      </w:r>
      <w:r w:rsidRPr="007C1A06">
        <w:rPr>
          <w:rFonts w:ascii="Times New Roman" w:hAnsi="Times New Roman"/>
        </w:rPr>
        <w:t>savaites, suminė dozė 70</w:t>
      </w:r>
      <w:r w:rsidR="00AD06A4" w:rsidRPr="007C1A06">
        <w:rPr>
          <w:rFonts w:ascii="Times New Roman" w:hAnsi="Times New Roman"/>
        </w:rPr>
        <w:noBreakHyphen/>
      </w:r>
      <w:r w:rsidRPr="007C1A06">
        <w:rPr>
          <w:rFonts w:ascii="Times New Roman" w:hAnsi="Times New Roman"/>
        </w:rPr>
        <w:t>72</w:t>
      </w:r>
      <w:r w:rsidR="00AD06A4" w:rsidRPr="007C1A06">
        <w:rPr>
          <w:rFonts w:ascii="Times New Roman" w:hAnsi="Times New Roman"/>
        </w:rPr>
        <w:t> </w:t>
      </w:r>
      <w:r w:rsidRPr="007C1A06">
        <w:rPr>
          <w:rFonts w:ascii="Times New Roman" w:hAnsi="Times New Roman"/>
        </w:rPr>
        <w:t>Gy). Baigus CRT, pirminė ligos vieta ir (arba) kaklas bet kuriuo metu galėjo būti operuojami. Visi docetakselio grupės pacientai profilakti</w:t>
      </w:r>
      <w:r w:rsidR="00012DC0">
        <w:rPr>
          <w:rFonts w:ascii="Times New Roman" w:hAnsi="Times New Roman"/>
        </w:rPr>
        <w:t>š</w:t>
      </w:r>
      <w:r w:rsidRPr="007C1A06">
        <w:rPr>
          <w:rFonts w:ascii="Times New Roman" w:hAnsi="Times New Roman"/>
        </w:rPr>
        <w:t>kai vartojo antibiotikų. Pagrindinė vertinamoji tyrimo baigtis bendras išgyvenamumas (BI) buvo reikšmingai ilgesnis docetakselio vartojusių pacientų grupėje (</w:t>
      </w:r>
      <w:r w:rsidRPr="007C1A06">
        <w:rPr>
          <w:rFonts w:ascii="Times New Roman" w:hAnsi="Times New Roman"/>
          <w:i/>
        </w:rPr>
        <w:t xml:space="preserve">log-rank </w:t>
      </w:r>
      <w:r w:rsidRPr="007C1A06">
        <w:rPr>
          <w:rFonts w:ascii="Times New Roman" w:hAnsi="Times New Roman"/>
        </w:rPr>
        <w:t>testas, p=0,0058) nei PF grupėje (BI mediana atitinkamai 70,6 ir 30,1</w:t>
      </w:r>
      <w:r w:rsidR="00AD06A4" w:rsidRPr="007C1A06">
        <w:rPr>
          <w:rFonts w:ascii="Times New Roman" w:hAnsi="Times New Roman"/>
        </w:rPr>
        <w:t> </w:t>
      </w:r>
      <w:r w:rsidRPr="007C1A06">
        <w:rPr>
          <w:rFonts w:ascii="Times New Roman" w:hAnsi="Times New Roman"/>
        </w:rPr>
        <w:t>mėnesio), o mirties pavojus, palyginti su PF grupės pacientais, sumažėjo 30</w:t>
      </w:r>
      <w:r w:rsidR="00AD06A4" w:rsidRPr="007C1A06">
        <w:rPr>
          <w:rFonts w:ascii="Times New Roman" w:hAnsi="Times New Roman"/>
        </w:rPr>
        <w:t> </w:t>
      </w:r>
      <w:r w:rsidRPr="007C1A06">
        <w:rPr>
          <w:rFonts w:ascii="Times New Roman" w:hAnsi="Times New Roman"/>
        </w:rPr>
        <w:t>% (rizikos koeficientas (RK) = 0,70, 95</w:t>
      </w:r>
      <w:r w:rsidR="00AD06A4" w:rsidRPr="007C1A06">
        <w:rPr>
          <w:rFonts w:ascii="Times New Roman" w:hAnsi="Times New Roman"/>
        </w:rPr>
        <w:t> </w:t>
      </w:r>
      <w:r w:rsidRPr="007C1A06">
        <w:rPr>
          <w:rFonts w:ascii="Times New Roman" w:hAnsi="Times New Roman"/>
        </w:rPr>
        <w:t>% pasikliautinieji inter</w:t>
      </w:r>
      <w:r w:rsidR="00E414F5" w:rsidRPr="007C1A06">
        <w:rPr>
          <w:rFonts w:ascii="Times New Roman" w:hAnsi="Times New Roman"/>
        </w:rPr>
        <w:t>v</w:t>
      </w:r>
      <w:r w:rsidRPr="007C1A06">
        <w:rPr>
          <w:rFonts w:ascii="Times New Roman" w:hAnsi="Times New Roman"/>
        </w:rPr>
        <w:t>alai (PI) = 0,54</w:t>
      </w:r>
      <w:r w:rsidR="00AD06A4" w:rsidRPr="007C1A06">
        <w:rPr>
          <w:rFonts w:ascii="Times New Roman" w:hAnsi="Times New Roman"/>
        </w:rPr>
        <w:noBreakHyphen/>
      </w:r>
      <w:r w:rsidRPr="007C1A06">
        <w:rPr>
          <w:rFonts w:ascii="Times New Roman" w:hAnsi="Times New Roman"/>
        </w:rPr>
        <w:t>0,90) (stebėjimo mediana buvo 41,9</w:t>
      </w:r>
      <w:r w:rsidR="00AD06A4" w:rsidRPr="007C1A06">
        <w:rPr>
          <w:rFonts w:ascii="Times New Roman" w:hAnsi="Times New Roman"/>
        </w:rPr>
        <w:t> </w:t>
      </w:r>
      <w:r w:rsidRPr="007C1A06">
        <w:rPr>
          <w:rFonts w:ascii="Times New Roman" w:hAnsi="Times New Roman"/>
        </w:rPr>
        <w:t>mėnesio). Vertinant poveikį antrinei vertinamajai baigčiai (PLBLP) nustatyta, kad 29</w:t>
      </w:r>
      <w:r w:rsidR="00AD06A4" w:rsidRPr="007C1A06">
        <w:rPr>
          <w:rFonts w:ascii="Times New Roman" w:hAnsi="Times New Roman"/>
        </w:rPr>
        <w:t> </w:t>
      </w:r>
      <w:r w:rsidRPr="007C1A06">
        <w:rPr>
          <w:rFonts w:ascii="Times New Roman" w:hAnsi="Times New Roman"/>
        </w:rPr>
        <w:t>% sumažėjo ligos progresavimo ir mirties rizika, o PLBLP mediana pailgėjo 22</w:t>
      </w:r>
      <w:r w:rsidR="00AD06A4" w:rsidRPr="007C1A06">
        <w:rPr>
          <w:rFonts w:ascii="Times New Roman" w:hAnsi="Times New Roman"/>
        </w:rPr>
        <w:t> </w:t>
      </w:r>
      <w:r w:rsidRPr="007C1A06">
        <w:rPr>
          <w:rFonts w:ascii="Times New Roman" w:hAnsi="Times New Roman"/>
        </w:rPr>
        <w:t>mėnesiais (35,5</w:t>
      </w:r>
      <w:r w:rsidR="00AD06A4" w:rsidRPr="007C1A06">
        <w:rPr>
          <w:rFonts w:ascii="Times New Roman" w:hAnsi="Times New Roman"/>
        </w:rPr>
        <w:t> </w:t>
      </w:r>
      <w:r w:rsidRPr="007C1A06">
        <w:rPr>
          <w:rFonts w:ascii="Times New Roman" w:eastAsia="Times New Roman" w:hAnsi="Times New Roman" w:cs="Times New Roman"/>
        </w:rPr>
        <w:t>mėnesio</w:t>
      </w:r>
      <w:r w:rsidR="00427D92">
        <w:rPr>
          <w:rFonts w:ascii="Times New Roman" w:eastAsia="Times New Roman" w:hAnsi="Times New Roman" w:cs="Times New Roman"/>
        </w:rPr>
        <w:t xml:space="preserve"> </w:t>
      </w:r>
      <w:r w:rsidRPr="007C1A06">
        <w:rPr>
          <w:rFonts w:ascii="Times New Roman" w:eastAsia="Times New Roman" w:hAnsi="Times New Roman" w:cs="Times New Roman"/>
        </w:rPr>
        <w:t>TPF</w:t>
      </w:r>
      <w:r w:rsidRPr="00F95B76">
        <w:rPr>
          <w:rFonts w:ascii="Times New Roman" w:hAnsi="Times New Roman"/>
        </w:rPr>
        <w:t xml:space="preserve"> grupėje ir 13,1 mėnesio PF </w:t>
      </w:r>
      <w:r w:rsidRPr="001F2C46">
        <w:rPr>
          <w:rFonts w:ascii="Times New Roman" w:hAnsi="Times New Roman"/>
        </w:rPr>
        <w:t>grupėje). Skirtumas buvo statistiškai reikšmingas (RK 0,71; 95</w:t>
      </w:r>
      <w:r w:rsidR="00AD06A4" w:rsidRPr="001F2C46">
        <w:rPr>
          <w:rFonts w:ascii="Times New Roman" w:hAnsi="Times New Roman"/>
        </w:rPr>
        <w:t> </w:t>
      </w:r>
      <w:r w:rsidRPr="001F2C46">
        <w:rPr>
          <w:rFonts w:ascii="Times New Roman" w:hAnsi="Times New Roman"/>
        </w:rPr>
        <w:t>% PI 0,56</w:t>
      </w:r>
      <w:r w:rsidR="00AD06A4" w:rsidRPr="00427D92">
        <w:rPr>
          <w:rFonts w:ascii="Times New Roman" w:hAnsi="Times New Roman"/>
        </w:rPr>
        <w:noBreakHyphen/>
      </w:r>
      <w:r w:rsidRPr="00427D92">
        <w:rPr>
          <w:rFonts w:ascii="Times New Roman" w:hAnsi="Times New Roman"/>
        </w:rPr>
        <w:t xml:space="preserve">0,90; </w:t>
      </w:r>
      <w:r w:rsidRPr="00427D92">
        <w:rPr>
          <w:rFonts w:ascii="Times New Roman" w:hAnsi="Times New Roman"/>
          <w:i/>
        </w:rPr>
        <w:t xml:space="preserve">log-rank </w:t>
      </w:r>
      <w:r w:rsidRPr="00427D92">
        <w:rPr>
          <w:rFonts w:ascii="Times New Roman" w:hAnsi="Times New Roman"/>
        </w:rPr>
        <w:t>testo p=0,004). Duomenys apie veiksmingumą apibendrinti žemiau pateiktoje lentelėje:</w:t>
      </w:r>
    </w:p>
    <w:p w14:paraId="278C38DD" w14:textId="77777777" w:rsidR="00D875C0" w:rsidRPr="00C722B4" w:rsidRDefault="00D875C0" w:rsidP="00D875C0">
      <w:pPr>
        <w:autoSpaceDE w:val="0"/>
        <w:autoSpaceDN w:val="0"/>
        <w:adjustRightInd w:val="0"/>
        <w:spacing w:after="0" w:line="240" w:lineRule="auto"/>
        <w:rPr>
          <w:rFonts w:ascii="Times New Roman" w:hAnsi="Times New Roman"/>
        </w:rPr>
      </w:pPr>
    </w:p>
    <w:p w14:paraId="496E412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Docetakselio veiksmingumas jo skiriant įvadiniam lokaliai progresavusiam PGKV gydymui (Intent-to-Treat analizė)</w:t>
      </w:r>
    </w:p>
    <w:p w14:paraId="25C5C72A" w14:textId="77777777" w:rsidR="00D875C0" w:rsidRPr="007C1A06" w:rsidRDefault="00D875C0" w:rsidP="00D875C0">
      <w:pPr>
        <w:autoSpaceDE w:val="0"/>
        <w:autoSpaceDN w:val="0"/>
        <w:adjustRightInd w:val="0"/>
        <w:spacing w:after="0" w:line="240" w:lineRule="auto"/>
        <w:rPr>
          <w:rFonts w:ascii="Times New Roman" w:hAnsi="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2510"/>
        <w:gridCol w:w="2335"/>
      </w:tblGrid>
      <w:tr w:rsidR="00D875C0" w:rsidRPr="007C1A06" w14:paraId="2E36B54C" w14:textId="77777777" w:rsidTr="004E3CD5">
        <w:tc>
          <w:tcPr>
            <w:tcW w:w="4337" w:type="dxa"/>
          </w:tcPr>
          <w:p w14:paraId="2F765BDE" w14:textId="77777777" w:rsidR="00D875C0" w:rsidRPr="007C1A06" w:rsidRDefault="00D875C0" w:rsidP="003876F8">
            <w:pPr>
              <w:spacing w:after="0" w:line="240" w:lineRule="auto"/>
              <w:rPr>
                <w:rFonts w:ascii="Times New Roman" w:hAnsi="Times New Roman"/>
              </w:rPr>
            </w:pPr>
            <w:r w:rsidRPr="007C1A06">
              <w:rPr>
                <w:rFonts w:ascii="Times New Roman" w:hAnsi="Times New Roman"/>
                <w:b/>
              </w:rPr>
              <w:t>Vertinamoji baigtis</w:t>
            </w:r>
          </w:p>
        </w:tc>
        <w:tc>
          <w:tcPr>
            <w:tcW w:w="2562" w:type="dxa"/>
          </w:tcPr>
          <w:p w14:paraId="6AAF23AB"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Docetakselis +</w:t>
            </w:r>
          </w:p>
          <w:p w14:paraId="5BF85706"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Cis + 5-FU</w:t>
            </w:r>
          </w:p>
          <w:p w14:paraId="612F5D57" w14:textId="77777777" w:rsidR="00D875C0" w:rsidRPr="004E3CD5" w:rsidRDefault="00D875C0" w:rsidP="00AD06A4">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n=255</w:t>
            </w:r>
          </w:p>
        </w:tc>
        <w:tc>
          <w:tcPr>
            <w:tcW w:w="2387" w:type="dxa"/>
          </w:tcPr>
          <w:p w14:paraId="711CBC7A"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Cis + 5-FU</w:t>
            </w:r>
          </w:p>
          <w:p w14:paraId="76778768" w14:textId="77777777" w:rsidR="00D875C0" w:rsidRPr="004E3CD5" w:rsidRDefault="00D875C0" w:rsidP="003876F8">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n=246</w:t>
            </w:r>
          </w:p>
          <w:p w14:paraId="6292A0FB" w14:textId="77777777" w:rsidR="00D875C0" w:rsidRPr="007C1A06" w:rsidRDefault="00D875C0" w:rsidP="003876F8">
            <w:pPr>
              <w:spacing w:after="0" w:line="240" w:lineRule="auto"/>
              <w:rPr>
                <w:rFonts w:ascii="Times New Roman" w:hAnsi="Times New Roman"/>
              </w:rPr>
            </w:pPr>
          </w:p>
        </w:tc>
      </w:tr>
      <w:tr w:rsidR="00D875C0" w:rsidRPr="007C1A06" w14:paraId="74FA64C7" w14:textId="77777777" w:rsidTr="004E3CD5">
        <w:tc>
          <w:tcPr>
            <w:tcW w:w="4337" w:type="dxa"/>
            <w:vMerge w:val="restart"/>
          </w:tcPr>
          <w:p w14:paraId="03D5DE9C"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Bendro išgyvenamumo mediana (mėnesiai)</w:t>
            </w:r>
          </w:p>
          <w:p w14:paraId="3EC9AA6A"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(95</w:t>
            </w:r>
            <w:r w:rsidR="00AD06A4" w:rsidRPr="00427D92">
              <w:rPr>
                <w:rFonts w:ascii="Times New Roman" w:hAnsi="Times New Roman"/>
              </w:rPr>
              <w:t> </w:t>
            </w:r>
            <w:r w:rsidRPr="00427D92">
              <w:rPr>
                <w:rFonts w:ascii="Times New Roman" w:hAnsi="Times New Roman"/>
              </w:rPr>
              <w:t>% PI)</w:t>
            </w:r>
          </w:p>
          <w:p w14:paraId="599B70A2" w14:textId="77777777" w:rsidR="00D875C0" w:rsidRPr="00C722B4"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Rizikos koeficientas</w:t>
            </w:r>
          </w:p>
          <w:p w14:paraId="3B3CE5AC"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(95</w:t>
            </w:r>
            <w:r w:rsidR="00AD06A4" w:rsidRPr="007C1A06">
              <w:rPr>
                <w:rFonts w:ascii="Times New Roman" w:hAnsi="Times New Roman"/>
              </w:rPr>
              <w:t> </w:t>
            </w:r>
            <w:r w:rsidRPr="007C1A06">
              <w:rPr>
                <w:rFonts w:ascii="Times New Roman" w:hAnsi="Times New Roman"/>
              </w:rPr>
              <w:t>% PI)</w:t>
            </w:r>
          </w:p>
          <w:p w14:paraId="2A43C3C3"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p reikšmė</w:t>
            </w:r>
          </w:p>
        </w:tc>
        <w:tc>
          <w:tcPr>
            <w:tcW w:w="2562" w:type="dxa"/>
          </w:tcPr>
          <w:p w14:paraId="04B9E63C"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70,6</w:t>
            </w:r>
          </w:p>
          <w:p w14:paraId="6AC24FD4" w14:textId="77777777" w:rsidR="00D875C0" w:rsidRPr="001F2C46" w:rsidRDefault="00D875C0" w:rsidP="004E3CD5">
            <w:pPr>
              <w:autoSpaceDE w:val="0"/>
              <w:autoSpaceDN w:val="0"/>
              <w:adjustRightInd w:val="0"/>
              <w:spacing w:after="0" w:line="240" w:lineRule="auto"/>
              <w:rPr>
                <w:rFonts w:ascii="Times New Roman" w:eastAsiaTheme="minorEastAsia" w:hAnsi="Times New Roman"/>
                <w:lang w:val="en-US" w:eastAsia="zh-TW"/>
              </w:rPr>
            </w:pPr>
            <w:r w:rsidRPr="007C1A06">
              <w:rPr>
                <w:rFonts w:ascii="Times New Roman" w:hAnsi="Times New Roman"/>
              </w:rPr>
              <w:t>(49</w:t>
            </w:r>
            <w:r w:rsidR="006B0EF3">
              <w:rPr>
                <w:rFonts w:ascii="Times New Roman" w:eastAsia="Times New Roman" w:hAnsi="Times New Roman" w:cs="Times New Roman"/>
              </w:rPr>
              <w:t>,0</w:t>
            </w:r>
            <w:r w:rsidR="00AD06A4" w:rsidRPr="00F95B76">
              <w:rPr>
                <w:rFonts w:ascii="Times New Roman" w:hAnsi="Times New Roman"/>
              </w:rPr>
              <w:noBreakHyphen/>
            </w:r>
            <w:r w:rsidRPr="001F2C46">
              <w:rPr>
                <w:rFonts w:ascii="Times New Roman" w:hAnsi="Times New Roman"/>
              </w:rPr>
              <w:t>DN)</w:t>
            </w:r>
          </w:p>
        </w:tc>
        <w:tc>
          <w:tcPr>
            <w:tcW w:w="2387" w:type="dxa"/>
          </w:tcPr>
          <w:p w14:paraId="3B7D7585" w14:textId="77777777" w:rsidR="00D875C0" w:rsidRPr="00427D92" w:rsidRDefault="00D875C0" w:rsidP="004E3CD5">
            <w:pPr>
              <w:autoSpaceDE w:val="0"/>
              <w:autoSpaceDN w:val="0"/>
              <w:adjustRightInd w:val="0"/>
              <w:spacing w:after="0" w:line="240" w:lineRule="auto"/>
              <w:rPr>
                <w:rFonts w:ascii="Times New Roman" w:hAnsi="Times New Roman"/>
              </w:rPr>
            </w:pPr>
            <w:r w:rsidRPr="00427D92">
              <w:rPr>
                <w:rFonts w:ascii="Times New Roman" w:hAnsi="Times New Roman"/>
              </w:rPr>
              <w:t>30,1</w:t>
            </w:r>
          </w:p>
          <w:p w14:paraId="571252AC" w14:textId="77777777" w:rsidR="00D875C0" w:rsidRPr="007C1A06" w:rsidRDefault="00D875C0" w:rsidP="004E3CD5">
            <w:pPr>
              <w:autoSpaceDE w:val="0"/>
              <w:autoSpaceDN w:val="0"/>
              <w:adjustRightInd w:val="0"/>
              <w:spacing w:after="0" w:line="240" w:lineRule="auto"/>
              <w:rPr>
                <w:rFonts w:ascii="Times New Roman" w:hAnsi="Times New Roman"/>
              </w:rPr>
            </w:pPr>
            <w:r w:rsidRPr="00C722B4">
              <w:rPr>
                <w:rFonts w:ascii="Times New Roman" w:hAnsi="Times New Roman"/>
              </w:rPr>
              <w:t>(20,9</w:t>
            </w:r>
            <w:r w:rsidR="00AD06A4" w:rsidRPr="007C1A06">
              <w:rPr>
                <w:rFonts w:ascii="Times New Roman" w:hAnsi="Times New Roman"/>
              </w:rPr>
              <w:noBreakHyphen/>
            </w:r>
            <w:r w:rsidRPr="007C1A06">
              <w:rPr>
                <w:rFonts w:ascii="Times New Roman" w:hAnsi="Times New Roman"/>
              </w:rPr>
              <w:t>51,5)</w:t>
            </w:r>
          </w:p>
        </w:tc>
      </w:tr>
      <w:tr w:rsidR="00D875C0" w:rsidRPr="007C1A06" w14:paraId="792000C4" w14:textId="77777777" w:rsidTr="004E3CD5">
        <w:tc>
          <w:tcPr>
            <w:tcW w:w="4337" w:type="dxa"/>
            <w:vMerge/>
          </w:tcPr>
          <w:p w14:paraId="44F90D65" w14:textId="77777777" w:rsidR="00D875C0" w:rsidRPr="007C1A06" w:rsidRDefault="00D875C0" w:rsidP="003876F8">
            <w:pPr>
              <w:autoSpaceDE w:val="0"/>
              <w:autoSpaceDN w:val="0"/>
              <w:adjustRightInd w:val="0"/>
              <w:spacing w:after="0" w:line="240" w:lineRule="auto"/>
              <w:rPr>
                <w:rFonts w:ascii="Times New Roman" w:hAnsi="Times New Roman"/>
              </w:rPr>
            </w:pPr>
          </w:p>
        </w:tc>
        <w:tc>
          <w:tcPr>
            <w:tcW w:w="4949" w:type="dxa"/>
            <w:gridSpan w:val="2"/>
          </w:tcPr>
          <w:p w14:paraId="2183B323"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0,70</w:t>
            </w:r>
          </w:p>
          <w:p w14:paraId="547BF837" w14:textId="77777777" w:rsidR="00D875C0" w:rsidRPr="001F2C46" w:rsidRDefault="00D875C0" w:rsidP="004E3CD5">
            <w:pPr>
              <w:autoSpaceDE w:val="0"/>
              <w:autoSpaceDN w:val="0"/>
              <w:adjustRightInd w:val="0"/>
              <w:spacing w:after="0" w:line="240" w:lineRule="auto"/>
              <w:rPr>
                <w:rFonts w:ascii="Times New Roman" w:eastAsiaTheme="minorEastAsia" w:hAnsi="Times New Roman"/>
                <w:lang w:val="en-US" w:eastAsia="zh-TW"/>
              </w:rPr>
            </w:pPr>
            <w:r w:rsidRPr="007C1A06">
              <w:rPr>
                <w:rFonts w:ascii="Times New Roman" w:hAnsi="Times New Roman"/>
              </w:rPr>
              <w:t>(0,54</w:t>
            </w:r>
            <w:r w:rsidR="00AD06A4" w:rsidRPr="007C1A06">
              <w:rPr>
                <w:rFonts w:ascii="Times New Roman" w:hAnsi="Times New Roman"/>
              </w:rPr>
              <w:noBreakHyphen/>
            </w:r>
            <w:r w:rsidRPr="007C1A06">
              <w:rPr>
                <w:rFonts w:ascii="Times New Roman" w:hAnsi="Times New Roman"/>
              </w:rPr>
              <w:t>0,</w:t>
            </w:r>
            <w:r w:rsidRPr="007C1A06">
              <w:rPr>
                <w:rFonts w:ascii="Times New Roman" w:eastAsia="Times New Roman" w:hAnsi="Times New Roman" w:cs="Times New Roman"/>
              </w:rPr>
              <w:t>9</w:t>
            </w:r>
            <w:r w:rsidR="006B0EF3">
              <w:rPr>
                <w:rFonts w:ascii="Times New Roman" w:eastAsia="Times New Roman" w:hAnsi="Times New Roman" w:cs="Times New Roman"/>
              </w:rPr>
              <w:t>0</w:t>
            </w:r>
            <w:r w:rsidRPr="00F95B76">
              <w:rPr>
                <w:rFonts w:ascii="Times New Roman" w:hAnsi="Times New Roman"/>
              </w:rPr>
              <w:t>)</w:t>
            </w:r>
          </w:p>
          <w:p w14:paraId="32EE4028" w14:textId="77777777" w:rsidR="00D875C0" w:rsidRPr="00427D92" w:rsidRDefault="00D875C0" w:rsidP="004E3CD5">
            <w:pPr>
              <w:autoSpaceDE w:val="0"/>
              <w:autoSpaceDN w:val="0"/>
              <w:adjustRightInd w:val="0"/>
              <w:spacing w:after="0" w:line="240" w:lineRule="auto"/>
              <w:rPr>
                <w:rFonts w:ascii="Times New Roman" w:hAnsi="Times New Roman"/>
              </w:rPr>
            </w:pPr>
            <w:r w:rsidRPr="00427D92">
              <w:rPr>
                <w:rFonts w:ascii="Times New Roman" w:hAnsi="Times New Roman"/>
              </w:rPr>
              <w:t>0,0058</w:t>
            </w:r>
          </w:p>
        </w:tc>
      </w:tr>
      <w:tr w:rsidR="00D875C0" w:rsidRPr="007C1A06" w14:paraId="35AF57F9" w14:textId="77777777" w:rsidTr="004E3CD5">
        <w:tc>
          <w:tcPr>
            <w:tcW w:w="4337" w:type="dxa"/>
            <w:vMerge w:val="restart"/>
          </w:tcPr>
          <w:p w14:paraId="5BCA4EEB"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PLBLP mediana (mėnesiai)</w:t>
            </w:r>
          </w:p>
          <w:p w14:paraId="7B4286FA"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(95</w:t>
            </w:r>
            <w:r w:rsidR="00AD06A4" w:rsidRPr="00427D92">
              <w:rPr>
                <w:rFonts w:ascii="Times New Roman" w:hAnsi="Times New Roman"/>
              </w:rPr>
              <w:t> </w:t>
            </w:r>
            <w:r w:rsidRPr="00427D92">
              <w:rPr>
                <w:rFonts w:ascii="Times New Roman" w:hAnsi="Times New Roman"/>
              </w:rPr>
              <w:t>% PI)</w:t>
            </w:r>
          </w:p>
          <w:p w14:paraId="42411D74" w14:textId="77777777" w:rsidR="00D875C0" w:rsidRPr="00C722B4" w:rsidRDefault="00D875C0" w:rsidP="003876F8">
            <w:pPr>
              <w:autoSpaceDE w:val="0"/>
              <w:autoSpaceDN w:val="0"/>
              <w:adjustRightInd w:val="0"/>
              <w:spacing w:after="0" w:line="240" w:lineRule="auto"/>
              <w:rPr>
                <w:rFonts w:ascii="Times New Roman" w:hAnsi="Times New Roman"/>
              </w:rPr>
            </w:pPr>
            <w:r w:rsidRPr="00C722B4">
              <w:rPr>
                <w:rFonts w:ascii="Times New Roman" w:hAnsi="Times New Roman"/>
              </w:rPr>
              <w:t>Rizikos koeficientas</w:t>
            </w:r>
          </w:p>
          <w:p w14:paraId="5713D610"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(95</w:t>
            </w:r>
            <w:r w:rsidR="00AD06A4" w:rsidRPr="007C1A06">
              <w:rPr>
                <w:rFonts w:ascii="Times New Roman" w:hAnsi="Times New Roman"/>
              </w:rPr>
              <w:t> </w:t>
            </w:r>
            <w:r w:rsidRPr="007C1A06">
              <w:rPr>
                <w:rFonts w:ascii="Times New Roman" w:hAnsi="Times New Roman"/>
              </w:rPr>
              <w:t>% PI)</w:t>
            </w:r>
          </w:p>
          <w:p w14:paraId="2F08055F" w14:textId="77777777" w:rsidR="00D875C0" w:rsidRPr="004E3CD5" w:rsidRDefault="00D875C0" w:rsidP="003876F8">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p reikšmė</w:t>
            </w:r>
          </w:p>
        </w:tc>
        <w:tc>
          <w:tcPr>
            <w:tcW w:w="2562" w:type="dxa"/>
          </w:tcPr>
          <w:p w14:paraId="61C2D404"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35,5</w:t>
            </w:r>
          </w:p>
          <w:p w14:paraId="0A4C9ABD"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(19,3</w:t>
            </w:r>
            <w:r w:rsidR="00AD06A4" w:rsidRPr="007C1A06">
              <w:rPr>
                <w:rFonts w:ascii="Times New Roman" w:hAnsi="Times New Roman"/>
              </w:rPr>
              <w:noBreakHyphen/>
            </w:r>
            <w:r w:rsidRPr="007C1A06">
              <w:rPr>
                <w:rFonts w:ascii="Times New Roman" w:hAnsi="Times New Roman"/>
              </w:rPr>
              <w:t>DN)</w:t>
            </w:r>
          </w:p>
        </w:tc>
        <w:tc>
          <w:tcPr>
            <w:tcW w:w="2387" w:type="dxa"/>
          </w:tcPr>
          <w:p w14:paraId="37D8ECBF"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13,1</w:t>
            </w:r>
          </w:p>
          <w:p w14:paraId="17FF3C0C"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(10,6</w:t>
            </w:r>
            <w:r w:rsidR="00AD06A4" w:rsidRPr="007C1A06">
              <w:rPr>
                <w:rFonts w:ascii="Times New Roman" w:hAnsi="Times New Roman"/>
              </w:rPr>
              <w:noBreakHyphen/>
            </w:r>
            <w:r w:rsidRPr="007C1A06">
              <w:rPr>
                <w:rFonts w:ascii="Times New Roman" w:hAnsi="Times New Roman"/>
              </w:rPr>
              <w:t>20,2)</w:t>
            </w:r>
          </w:p>
        </w:tc>
      </w:tr>
      <w:tr w:rsidR="00D875C0" w:rsidRPr="007C1A06" w14:paraId="7E8668C7" w14:textId="77777777" w:rsidTr="004E3CD5">
        <w:tc>
          <w:tcPr>
            <w:tcW w:w="4337" w:type="dxa"/>
            <w:vMerge/>
          </w:tcPr>
          <w:p w14:paraId="22CECD77" w14:textId="77777777" w:rsidR="00D875C0" w:rsidRPr="007C1A06" w:rsidRDefault="00D875C0" w:rsidP="003876F8">
            <w:pPr>
              <w:autoSpaceDE w:val="0"/>
              <w:autoSpaceDN w:val="0"/>
              <w:adjustRightInd w:val="0"/>
              <w:spacing w:after="0" w:line="240" w:lineRule="auto"/>
              <w:rPr>
                <w:rFonts w:ascii="Times New Roman" w:hAnsi="Times New Roman"/>
              </w:rPr>
            </w:pPr>
          </w:p>
        </w:tc>
        <w:tc>
          <w:tcPr>
            <w:tcW w:w="4949" w:type="dxa"/>
            <w:gridSpan w:val="2"/>
          </w:tcPr>
          <w:p w14:paraId="72AD182F"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0,71</w:t>
            </w:r>
          </w:p>
          <w:p w14:paraId="7585A7A0" w14:textId="77777777" w:rsidR="00D875C0" w:rsidRPr="001F2C46" w:rsidRDefault="00D875C0" w:rsidP="004E3CD5">
            <w:pPr>
              <w:autoSpaceDE w:val="0"/>
              <w:autoSpaceDN w:val="0"/>
              <w:adjustRightInd w:val="0"/>
              <w:spacing w:after="0" w:line="240" w:lineRule="auto"/>
              <w:rPr>
                <w:rFonts w:ascii="Times New Roman" w:eastAsiaTheme="minorEastAsia" w:hAnsi="Times New Roman"/>
                <w:lang w:val="en-US" w:eastAsia="zh-TW"/>
              </w:rPr>
            </w:pPr>
            <w:r w:rsidRPr="007C1A06">
              <w:rPr>
                <w:rFonts w:ascii="Times New Roman" w:hAnsi="Times New Roman"/>
              </w:rPr>
              <w:t>(0,56</w:t>
            </w:r>
            <w:r w:rsidR="00AD06A4" w:rsidRPr="007C1A06">
              <w:rPr>
                <w:rFonts w:ascii="Times New Roman" w:hAnsi="Times New Roman"/>
              </w:rPr>
              <w:noBreakHyphen/>
            </w:r>
            <w:r w:rsidRPr="007C1A06">
              <w:rPr>
                <w:rFonts w:ascii="Times New Roman" w:hAnsi="Times New Roman"/>
              </w:rPr>
              <w:t>0,</w:t>
            </w:r>
            <w:r w:rsidRPr="007C1A06">
              <w:rPr>
                <w:rFonts w:ascii="Times New Roman" w:eastAsia="Times New Roman" w:hAnsi="Times New Roman" w:cs="Times New Roman"/>
              </w:rPr>
              <w:t>9</w:t>
            </w:r>
            <w:r w:rsidR="006B0EF3">
              <w:rPr>
                <w:rFonts w:ascii="Times New Roman" w:eastAsia="Times New Roman" w:hAnsi="Times New Roman" w:cs="Times New Roman"/>
              </w:rPr>
              <w:t>0</w:t>
            </w:r>
            <w:r w:rsidRPr="00F95B76">
              <w:rPr>
                <w:rFonts w:ascii="Times New Roman" w:hAnsi="Times New Roman"/>
              </w:rPr>
              <w:t>)</w:t>
            </w:r>
          </w:p>
          <w:p w14:paraId="237C9C57" w14:textId="77777777" w:rsidR="00D875C0" w:rsidRPr="00427D92" w:rsidRDefault="00D875C0" w:rsidP="004E3CD5">
            <w:pPr>
              <w:spacing w:after="0" w:line="240" w:lineRule="auto"/>
              <w:rPr>
                <w:rFonts w:ascii="Times New Roman" w:hAnsi="Times New Roman"/>
              </w:rPr>
            </w:pPr>
            <w:r w:rsidRPr="00427D92">
              <w:rPr>
                <w:rFonts w:ascii="Times New Roman" w:hAnsi="Times New Roman"/>
              </w:rPr>
              <w:t>0,004</w:t>
            </w:r>
          </w:p>
        </w:tc>
      </w:tr>
      <w:tr w:rsidR="00D875C0" w:rsidRPr="007C1A06" w14:paraId="1E812A7D" w14:textId="77777777" w:rsidTr="004E3CD5">
        <w:tc>
          <w:tcPr>
            <w:tcW w:w="4337" w:type="dxa"/>
            <w:vMerge w:val="restart"/>
          </w:tcPr>
          <w:p w14:paraId="056E9CD2"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Geriausias bendras atsako (CR + PR) dažnis (%)</w:t>
            </w:r>
          </w:p>
          <w:p w14:paraId="7F82E7F2"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(95</w:t>
            </w:r>
            <w:r w:rsidR="00AD06A4" w:rsidRPr="00427D92">
              <w:rPr>
                <w:rFonts w:ascii="Times New Roman" w:hAnsi="Times New Roman"/>
              </w:rPr>
              <w:t> </w:t>
            </w:r>
            <w:r w:rsidRPr="00427D92">
              <w:rPr>
                <w:rFonts w:ascii="Times New Roman" w:hAnsi="Times New Roman"/>
              </w:rPr>
              <w:t>% PI)</w:t>
            </w:r>
          </w:p>
          <w:p w14:paraId="5C092FF0" w14:textId="77777777" w:rsidR="00D875C0" w:rsidRPr="00C722B4" w:rsidRDefault="00D875C0" w:rsidP="003876F8">
            <w:pPr>
              <w:spacing w:after="0" w:line="240" w:lineRule="auto"/>
              <w:rPr>
                <w:rFonts w:ascii="Times New Roman" w:hAnsi="Times New Roman"/>
              </w:rPr>
            </w:pPr>
            <w:r w:rsidRPr="00C722B4">
              <w:rPr>
                <w:rFonts w:ascii="Times New Roman" w:hAnsi="Times New Roman"/>
              </w:rPr>
              <w:t>*** p reikšmė</w:t>
            </w:r>
          </w:p>
        </w:tc>
        <w:tc>
          <w:tcPr>
            <w:tcW w:w="2562" w:type="dxa"/>
          </w:tcPr>
          <w:p w14:paraId="6781024C" w14:textId="77777777" w:rsidR="00D875C0" w:rsidRPr="001F2C46" w:rsidRDefault="00D875C0" w:rsidP="004E3CD5">
            <w:pPr>
              <w:autoSpaceDE w:val="0"/>
              <w:autoSpaceDN w:val="0"/>
              <w:adjustRightInd w:val="0"/>
              <w:spacing w:after="0" w:line="240" w:lineRule="auto"/>
              <w:rPr>
                <w:rFonts w:ascii="Times New Roman" w:eastAsiaTheme="minorEastAsia" w:hAnsi="Times New Roman"/>
                <w:lang w:val="en-US" w:eastAsia="zh-TW"/>
              </w:rPr>
            </w:pPr>
            <w:r w:rsidRPr="007C1A06">
              <w:rPr>
                <w:rFonts w:ascii="Times New Roman" w:hAnsi="Times New Roman"/>
              </w:rPr>
              <w:t>71,</w:t>
            </w:r>
            <w:r w:rsidRPr="00F95B76">
              <w:rPr>
                <w:rFonts w:ascii="Times New Roman" w:hAnsi="Times New Roman"/>
              </w:rPr>
              <w:t>8</w:t>
            </w:r>
          </w:p>
          <w:p w14:paraId="5B41FDF7" w14:textId="77777777" w:rsidR="00D875C0" w:rsidRPr="00427D92" w:rsidRDefault="00D875C0" w:rsidP="004E3CD5">
            <w:pPr>
              <w:autoSpaceDE w:val="0"/>
              <w:autoSpaceDN w:val="0"/>
              <w:adjustRightInd w:val="0"/>
              <w:spacing w:after="0" w:line="240" w:lineRule="auto"/>
              <w:rPr>
                <w:rFonts w:ascii="Times New Roman" w:hAnsi="Times New Roman"/>
              </w:rPr>
            </w:pPr>
            <w:r w:rsidRPr="00427D92">
              <w:rPr>
                <w:rFonts w:ascii="Times New Roman" w:hAnsi="Times New Roman"/>
              </w:rPr>
              <w:t>(65,8</w:t>
            </w:r>
            <w:r w:rsidR="00AD06A4" w:rsidRPr="00427D92">
              <w:rPr>
                <w:rFonts w:ascii="Times New Roman" w:hAnsi="Times New Roman"/>
              </w:rPr>
              <w:noBreakHyphen/>
            </w:r>
            <w:r w:rsidRPr="00427D92">
              <w:rPr>
                <w:rFonts w:ascii="Times New Roman" w:hAnsi="Times New Roman"/>
              </w:rPr>
              <w:t>77,2)</w:t>
            </w:r>
          </w:p>
        </w:tc>
        <w:tc>
          <w:tcPr>
            <w:tcW w:w="2387" w:type="dxa"/>
          </w:tcPr>
          <w:p w14:paraId="0DB8DD34" w14:textId="77777777" w:rsidR="00D875C0" w:rsidRPr="007C1A06" w:rsidRDefault="006B0EF3" w:rsidP="003876F8">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64,2</w:t>
            </w:r>
          </w:p>
          <w:p w14:paraId="080AB9A9" w14:textId="77777777" w:rsidR="00D875C0" w:rsidRPr="001F2C46" w:rsidRDefault="00D875C0" w:rsidP="004E3CD5">
            <w:pPr>
              <w:autoSpaceDE w:val="0"/>
              <w:autoSpaceDN w:val="0"/>
              <w:adjustRightInd w:val="0"/>
              <w:spacing w:after="0" w:line="240" w:lineRule="auto"/>
              <w:rPr>
                <w:rFonts w:ascii="Times New Roman" w:hAnsi="Times New Roman"/>
              </w:rPr>
            </w:pPr>
            <w:r w:rsidRPr="007C1A06">
              <w:rPr>
                <w:rFonts w:ascii="Times New Roman" w:eastAsia="Times New Roman" w:hAnsi="Times New Roman" w:cs="Times New Roman"/>
              </w:rPr>
              <w:t>(</w:t>
            </w:r>
            <w:r w:rsidR="006B0EF3">
              <w:rPr>
                <w:rFonts w:ascii="Times New Roman" w:eastAsia="Times New Roman" w:hAnsi="Times New Roman" w:cs="Times New Roman"/>
              </w:rPr>
              <w:t>57,9-70</w:t>
            </w:r>
            <w:r w:rsidR="006B0EF3" w:rsidRPr="00F95B76">
              <w:rPr>
                <w:rFonts w:ascii="Times New Roman" w:hAnsi="Times New Roman"/>
              </w:rPr>
              <w:t>,2</w:t>
            </w:r>
            <w:r w:rsidRPr="001F2C46">
              <w:rPr>
                <w:rFonts w:ascii="Times New Roman" w:hAnsi="Times New Roman"/>
              </w:rPr>
              <w:t>)</w:t>
            </w:r>
          </w:p>
        </w:tc>
      </w:tr>
      <w:tr w:rsidR="00D875C0" w:rsidRPr="007C1A06" w14:paraId="351DEFEA" w14:textId="77777777" w:rsidTr="004E3CD5">
        <w:tc>
          <w:tcPr>
            <w:tcW w:w="4337" w:type="dxa"/>
            <w:vMerge/>
          </w:tcPr>
          <w:p w14:paraId="5C47C9B0" w14:textId="77777777" w:rsidR="00D875C0" w:rsidRPr="007C1A06" w:rsidRDefault="00D875C0" w:rsidP="003876F8">
            <w:pPr>
              <w:spacing w:after="0" w:line="240" w:lineRule="auto"/>
              <w:rPr>
                <w:rFonts w:ascii="Times New Roman" w:hAnsi="Times New Roman"/>
              </w:rPr>
            </w:pPr>
          </w:p>
        </w:tc>
        <w:tc>
          <w:tcPr>
            <w:tcW w:w="4949" w:type="dxa"/>
            <w:gridSpan w:val="2"/>
          </w:tcPr>
          <w:p w14:paraId="49113B54" w14:textId="77777777" w:rsidR="00D875C0" w:rsidRPr="00F95B76" w:rsidRDefault="00D875C0" w:rsidP="004E3CD5">
            <w:pPr>
              <w:spacing w:after="0" w:line="240" w:lineRule="auto"/>
              <w:rPr>
                <w:rFonts w:ascii="Times New Roman" w:eastAsiaTheme="minorEastAsia" w:hAnsi="Times New Roman"/>
                <w:lang w:val="en-US" w:eastAsia="zh-TW"/>
              </w:rPr>
            </w:pPr>
            <w:r w:rsidRPr="007C1A06">
              <w:rPr>
                <w:rFonts w:ascii="Times New Roman" w:hAnsi="Times New Roman"/>
              </w:rPr>
              <w:t>0,</w:t>
            </w:r>
            <w:r w:rsidRPr="007C1A06">
              <w:rPr>
                <w:rFonts w:ascii="Times New Roman" w:eastAsia="Times New Roman" w:hAnsi="Times New Roman" w:cs="Times New Roman"/>
              </w:rPr>
              <w:t>07</w:t>
            </w:r>
            <w:r w:rsidR="006B0EF3">
              <w:rPr>
                <w:rFonts w:ascii="Times New Roman" w:eastAsia="Times New Roman" w:hAnsi="Times New Roman" w:cs="Times New Roman"/>
              </w:rPr>
              <w:t>0</w:t>
            </w:r>
          </w:p>
        </w:tc>
      </w:tr>
      <w:tr w:rsidR="00D875C0" w:rsidRPr="007C1A06" w14:paraId="5A4386F0" w14:textId="77777777" w:rsidTr="004E3CD5">
        <w:tc>
          <w:tcPr>
            <w:tcW w:w="4337" w:type="dxa"/>
          </w:tcPr>
          <w:p w14:paraId="5889BB26" w14:textId="77777777" w:rsidR="00D875C0" w:rsidRPr="001F2C46" w:rsidRDefault="00D875C0" w:rsidP="003876F8">
            <w:pPr>
              <w:autoSpaceDE w:val="0"/>
              <w:autoSpaceDN w:val="0"/>
              <w:adjustRightInd w:val="0"/>
              <w:spacing w:after="0" w:line="240" w:lineRule="auto"/>
              <w:rPr>
                <w:rFonts w:ascii="Times New Roman" w:hAnsi="Times New Roman"/>
              </w:rPr>
            </w:pPr>
            <w:r w:rsidRPr="00F95B76">
              <w:rPr>
                <w:rFonts w:ascii="Times New Roman" w:hAnsi="Times New Roman"/>
              </w:rPr>
              <w:t>Geriausias bendras atsako (CR + PR) į tyrimo</w:t>
            </w:r>
          </w:p>
          <w:p w14:paraId="36DD8429" w14:textId="77777777" w:rsidR="00D875C0" w:rsidRPr="00427D92" w:rsidRDefault="00D875C0" w:rsidP="003876F8">
            <w:pPr>
              <w:autoSpaceDE w:val="0"/>
              <w:autoSpaceDN w:val="0"/>
              <w:adjustRightInd w:val="0"/>
              <w:spacing w:after="0" w:line="240" w:lineRule="auto"/>
              <w:rPr>
                <w:rFonts w:ascii="Times New Roman" w:hAnsi="Times New Roman"/>
              </w:rPr>
            </w:pPr>
            <w:r w:rsidRPr="00427D92">
              <w:rPr>
                <w:rFonts w:ascii="Times New Roman" w:hAnsi="Times New Roman"/>
              </w:rPr>
              <w:t>metu taikytą gydymą [chemoterapija +/- radioterapija] dažnis (%)</w:t>
            </w:r>
          </w:p>
          <w:p w14:paraId="6B23ED30" w14:textId="77777777" w:rsidR="00D875C0" w:rsidRPr="007C1A06" w:rsidRDefault="00D875C0" w:rsidP="00AD06A4">
            <w:pPr>
              <w:autoSpaceDE w:val="0"/>
              <w:autoSpaceDN w:val="0"/>
              <w:adjustRightInd w:val="0"/>
              <w:spacing w:after="0" w:line="240" w:lineRule="auto"/>
              <w:rPr>
                <w:rFonts w:ascii="Times New Roman" w:hAnsi="Times New Roman"/>
              </w:rPr>
            </w:pPr>
            <w:r w:rsidRPr="00C722B4">
              <w:rPr>
                <w:rFonts w:ascii="Times New Roman" w:hAnsi="Times New Roman"/>
              </w:rPr>
              <w:t>(95</w:t>
            </w:r>
            <w:r w:rsidR="00AD06A4" w:rsidRPr="007C1A06">
              <w:rPr>
                <w:rFonts w:ascii="Times New Roman" w:hAnsi="Times New Roman"/>
              </w:rPr>
              <w:t> </w:t>
            </w:r>
            <w:r w:rsidRPr="007C1A06">
              <w:rPr>
                <w:rFonts w:ascii="Times New Roman" w:hAnsi="Times New Roman"/>
              </w:rPr>
              <w:t>% PI)</w:t>
            </w:r>
          </w:p>
        </w:tc>
        <w:tc>
          <w:tcPr>
            <w:tcW w:w="2562" w:type="dxa"/>
          </w:tcPr>
          <w:p w14:paraId="5C4F318A"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76,5</w:t>
            </w:r>
          </w:p>
          <w:p w14:paraId="652C5292" w14:textId="77777777" w:rsidR="00D875C0" w:rsidRPr="007C1A06" w:rsidRDefault="00D875C0" w:rsidP="004E3CD5">
            <w:pPr>
              <w:autoSpaceDE w:val="0"/>
              <w:autoSpaceDN w:val="0"/>
              <w:adjustRightInd w:val="0"/>
              <w:spacing w:after="0" w:line="240" w:lineRule="auto"/>
              <w:rPr>
                <w:rFonts w:ascii="Times New Roman" w:hAnsi="Times New Roman"/>
              </w:rPr>
            </w:pPr>
          </w:p>
          <w:p w14:paraId="7068AA44" w14:textId="77777777" w:rsidR="00D875C0" w:rsidRPr="007C1A06" w:rsidRDefault="00D875C0" w:rsidP="004E3CD5">
            <w:pPr>
              <w:autoSpaceDE w:val="0"/>
              <w:autoSpaceDN w:val="0"/>
              <w:adjustRightInd w:val="0"/>
              <w:spacing w:after="0" w:line="240" w:lineRule="auto"/>
              <w:rPr>
                <w:rFonts w:ascii="Times New Roman" w:hAnsi="Times New Roman"/>
              </w:rPr>
            </w:pPr>
          </w:p>
          <w:p w14:paraId="7A58DCE0"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(70,8</w:t>
            </w:r>
            <w:r w:rsidR="00AD06A4" w:rsidRPr="007C1A06">
              <w:rPr>
                <w:rFonts w:ascii="Times New Roman" w:hAnsi="Times New Roman"/>
              </w:rPr>
              <w:noBreakHyphen/>
            </w:r>
            <w:r w:rsidRPr="007C1A06">
              <w:rPr>
                <w:rFonts w:ascii="Times New Roman" w:hAnsi="Times New Roman"/>
              </w:rPr>
              <w:t>81,5)</w:t>
            </w:r>
          </w:p>
        </w:tc>
        <w:tc>
          <w:tcPr>
            <w:tcW w:w="2387" w:type="dxa"/>
          </w:tcPr>
          <w:p w14:paraId="3E1E660D"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71,5</w:t>
            </w:r>
          </w:p>
          <w:p w14:paraId="2F3DD11F" w14:textId="77777777" w:rsidR="00D875C0" w:rsidRPr="007C1A06" w:rsidRDefault="00D875C0" w:rsidP="004E3CD5">
            <w:pPr>
              <w:autoSpaceDE w:val="0"/>
              <w:autoSpaceDN w:val="0"/>
              <w:adjustRightInd w:val="0"/>
              <w:spacing w:after="0" w:line="240" w:lineRule="auto"/>
              <w:rPr>
                <w:rFonts w:ascii="Times New Roman" w:hAnsi="Times New Roman"/>
              </w:rPr>
            </w:pPr>
          </w:p>
          <w:p w14:paraId="718C6847" w14:textId="77777777" w:rsidR="00D875C0" w:rsidRPr="007C1A06" w:rsidRDefault="00D875C0" w:rsidP="004E3CD5">
            <w:pPr>
              <w:autoSpaceDE w:val="0"/>
              <w:autoSpaceDN w:val="0"/>
              <w:adjustRightInd w:val="0"/>
              <w:spacing w:after="0" w:line="240" w:lineRule="auto"/>
              <w:rPr>
                <w:rFonts w:ascii="Times New Roman" w:hAnsi="Times New Roman"/>
              </w:rPr>
            </w:pPr>
          </w:p>
          <w:p w14:paraId="328959B7" w14:textId="77777777" w:rsidR="00D875C0" w:rsidRPr="004E3CD5" w:rsidRDefault="00D875C0" w:rsidP="004E3CD5">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(65,5</w:t>
            </w:r>
            <w:r w:rsidR="00AD06A4" w:rsidRPr="007C1A06">
              <w:rPr>
                <w:rFonts w:ascii="Times New Roman" w:hAnsi="Times New Roman"/>
              </w:rPr>
              <w:noBreakHyphen/>
            </w:r>
            <w:r w:rsidRPr="007C1A06">
              <w:rPr>
                <w:rFonts w:ascii="Times New Roman" w:hAnsi="Times New Roman"/>
              </w:rPr>
              <w:t>77,1)</w:t>
            </w:r>
          </w:p>
        </w:tc>
      </w:tr>
      <w:tr w:rsidR="00D875C0" w:rsidRPr="007C1A06" w14:paraId="46581D20" w14:textId="77777777" w:rsidTr="004E3CD5">
        <w:tc>
          <w:tcPr>
            <w:tcW w:w="4337" w:type="dxa"/>
          </w:tcPr>
          <w:p w14:paraId="6B9C8DA3" w14:textId="77777777" w:rsidR="00D875C0" w:rsidRPr="001F2C46" w:rsidRDefault="00D875C0" w:rsidP="003876F8">
            <w:pPr>
              <w:spacing w:after="0" w:line="240" w:lineRule="auto"/>
              <w:rPr>
                <w:rFonts w:ascii="Times New Roman" w:hAnsi="Times New Roman"/>
              </w:rPr>
            </w:pPr>
            <w:r w:rsidRPr="00F95B76">
              <w:rPr>
                <w:rFonts w:ascii="Times New Roman" w:hAnsi="Times New Roman"/>
              </w:rPr>
              <w:t>*** p reikšmė</w:t>
            </w:r>
          </w:p>
        </w:tc>
        <w:tc>
          <w:tcPr>
            <w:tcW w:w="4949" w:type="dxa"/>
            <w:gridSpan w:val="2"/>
          </w:tcPr>
          <w:p w14:paraId="6FF287FE" w14:textId="77777777" w:rsidR="00D875C0" w:rsidRPr="001F2C46" w:rsidRDefault="00D875C0" w:rsidP="004E3CD5">
            <w:pPr>
              <w:spacing w:after="0" w:line="240" w:lineRule="auto"/>
              <w:rPr>
                <w:rFonts w:ascii="Times New Roman" w:hAnsi="Times New Roman"/>
              </w:rPr>
            </w:pPr>
            <w:r w:rsidRPr="001F2C46">
              <w:rPr>
                <w:rFonts w:ascii="Times New Roman" w:hAnsi="Times New Roman"/>
              </w:rPr>
              <w:t>0,209</w:t>
            </w:r>
          </w:p>
        </w:tc>
      </w:tr>
    </w:tbl>
    <w:p w14:paraId="3D622639" w14:textId="77777777" w:rsidR="00D875C0" w:rsidRPr="001F2C4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 xml:space="preserve">Docetakselio +cisplatina + fluorouracilas pranašumo rizikos santykis yra </w:t>
      </w:r>
      <w:r w:rsidRPr="001F2C46">
        <w:rPr>
          <w:rFonts w:ascii="Times New Roman" w:hAnsi="Times New Roman"/>
        </w:rPr>
        <w:t>mažesnis, negu 1</w:t>
      </w:r>
    </w:p>
    <w:p w14:paraId="79612B20" w14:textId="77777777" w:rsidR="00D875C0" w:rsidRPr="00427D92" w:rsidRDefault="00D875C0" w:rsidP="00D875C0">
      <w:pPr>
        <w:autoSpaceDE w:val="0"/>
        <w:autoSpaceDN w:val="0"/>
        <w:adjustRightInd w:val="0"/>
        <w:spacing w:after="0" w:line="240" w:lineRule="auto"/>
        <w:rPr>
          <w:rFonts w:ascii="Times New Roman" w:hAnsi="Times New Roman"/>
        </w:rPr>
      </w:pPr>
      <w:r w:rsidRPr="00427D92">
        <w:rPr>
          <w:rFonts w:ascii="Times New Roman" w:hAnsi="Times New Roman"/>
        </w:rPr>
        <w:t xml:space="preserve">* </w:t>
      </w:r>
      <w:r w:rsidRPr="00427D92">
        <w:rPr>
          <w:rFonts w:ascii="Times New Roman" w:hAnsi="Times New Roman"/>
          <w:i/>
        </w:rPr>
        <w:t xml:space="preserve">Nekoreguotas logrank </w:t>
      </w:r>
      <w:r w:rsidRPr="00427D92">
        <w:rPr>
          <w:rFonts w:ascii="Times New Roman" w:hAnsi="Times New Roman"/>
        </w:rPr>
        <w:t>testas</w:t>
      </w:r>
    </w:p>
    <w:p w14:paraId="1FC06356" w14:textId="77777777" w:rsidR="00D875C0" w:rsidRPr="007C1A06" w:rsidRDefault="00D875C0" w:rsidP="00D875C0">
      <w:pPr>
        <w:autoSpaceDE w:val="0"/>
        <w:autoSpaceDN w:val="0"/>
        <w:adjustRightInd w:val="0"/>
        <w:spacing w:after="0" w:line="240" w:lineRule="auto"/>
        <w:rPr>
          <w:rFonts w:ascii="Times New Roman" w:hAnsi="Times New Roman"/>
        </w:rPr>
      </w:pPr>
      <w:r w:rsidRPr="00C722B4">
        <w:rPr>
          <w:rFonts w:ascii="Times New Roman" w:hAnsi="Times New Roman"/>
        </w:rPr>
        <w:t xml:space="preserve">** </w:t>
      </w:r>
      <w:r w:rsidRPr="007C1A06">
        <w:rPr>
          <w:rFonts w:ascii="Times New Roman" w:hAnsi="Times New Roman"/>
          <w:i/>
        </w:rPr>
        <w:t xml:space="preserve">Nekoreguotas logrank </w:t>
      </w:r>
      <w:r w:rsidRPr="007C1A06">
        <w:rPr>
          <w:rFonts w:ascii="Times New Roman" w:hAnsi="Times New Roman"/>
        </w:rPr>
        <w:t>testas, nepritaikytas daugybiniams palyginimams</w:t>
      </w:r>
    </w:p>
    <w:p w14:paraId="32AFA5B2"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 </w:t>
      </w:r>
      <w:r w:rsidRPr="007C1A06">
        <w:rPr>
          <w:rFonts w:ascii="Times New Roman" w:hAnsi="Times New Roman"/>
          <w:i/>
        </w:rPr>
        <w:t>Chi</w:t>
      </w:r>
      <w:r w:rsidRPr="007C1A06">
        <w:rPr>
          <w:rFonts w:ascii="Times New Roman" w:hAnsi="Times New Roman"/>
        </w:rPr>
        <w:t xml:space="preserve"> kvadrato (χ2) kriterijus, nepritaikytas daugybiniams palyginimams</w:t>
      </w:r>
    </w:p>
    <w:p w14:paraId="17747422"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DN – duomenys neaktualūs</w:t>
      </w:r>
    </w:p>
    <w:p w14:paraId="6998075A" w14:textId="77777777" w:rsidR="00D875C0" w:rsidRPr="007C1A06" w:rsidRDefault="00D875C0" w:rsidP="00D875C0">
      <w:pPr>
        <w:spacing w:after="0" w:line="240" w:lineRule="auto"/>
        <w:rPr>
          <w:rFonts w:ascii="Times New Roman" w:hAnsi="Times New Roman"/>
        </w:rPr>
      </w:pPr>
    </w:p>
    <w:p w14:paraId="085F0115" w14:textId="77777777" w:rsidR="00D875C0" w:rsidRPr="004E3CD5" w:rsidRDefault="00D875C0" w:rsidP="00D875C0">
      <w:pPr>
        <w:autoSpaceDE w:val="0"/>
        <w:autoSpaceDN w:val="0"/>
        <w:adjustRightInd w:val="0"/>
        <w:spacing w:after="0" w:line="240" w:lineRule="auto"/>
        <w:rPr>
          <w:rFonts w:ascii="Times New Roman" w:eastAsiaTheme="minorEastAsia" w:hAnsi="Times New Roman"/>
          <w:u w:val="single"/>
          <w:lang w:eastAsia="zh-TW"/>
        </w:rPr>
      </w:pPr>
      <w:r w:rsidRPr="004E3CD5">
        <w:rPr>
          <w:rFonts w:ascii="Times New Roman" w:hAnsi="Times New Roman"/>
          <w:u w:val="single"/>
        </w:rPr>
        <w:t>Vaik</w:t>
      </w:r>
      <w:r w:rsidRPr="004E3CD5">
        <w:rPr>
          <w:rFonts w:ascii="Times New Roman" w:hAnsi="Times New Roman" w:hint="eastAsia"/>
          <w:u w:val="single"/>
        </w:rPr>
        <w:t>ų</w:t>
      </w:r>
      <w:r w:rsidRPr="004E3CD5">
        <w:rPr>
          <w:rFonts w:ascii="Times New Roman" w:hAnsi="Times New Roman"/>
          <w:u w:val="single"/>
        </w:rPr>
        <w:t xml:space="preserve"> populiacija</w:t>
      </w:r>
    </w:p>
    <w:p w14:paraId="3FB93FFF"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4E3CD5">
        <w:rPr>
          <w:rFonts w:ascii="Times New Roman" w:hAnsi="Times New Roman"/>
        </w:rPr>
        <w:t>Europos vaist</w:t>
      </w:r>
      <w:r w:rsidRPr="004E3CD5">
        <w:rPr>
          <w:rFonts w:ascii="Times New Roman" w:hAnsi="Times New Roman" w:hint="eastAsia"/>
        </w:rPr>
        <w:t>ų</w:t>
      </w:r>
      <w:r w:rsidRPr="004E3CD5">
        <w:rPr>
          <w:rFonts w:ascii="Times New Roman" w:hAnsi="Times New Roman"/>
        </w:rPr>
        <w:t xml:space="preserve"> agent</w:t>
      </w:r>
      <w:r w:rsidRPr="004E3CD5">
        <w:rPr>
          <w:rFonts w:ascii="Times New Roman" w:hAnsi="Times New Roman" w:hint="eastAsia"/>
        </w:rPr>
        <w:t>ū</w:t>
      </w:r>
      <w:r w:rsidRPr="004E3CD5">
        <w:rPr>
          <w:rFonts w:ascii="Times New Roman" w:hAnsi="Times New Roman"/>
        </w:rPr>
        <w:t xml:space="preserve">ra nereikalauja </w:t>
      </w:r>
      <w:r w:rsidRPr="004E3CD5">
        <w:rPr>
          <w:rFonts w:ascii="Times New Roman" w:hAnsi="Times New Roman" w:hint="eastAsia"/>
        </w:rPr>
        <w:t>į</w:t>
      </w:r>
      <w:r w:rsidRPr="004E3CD5">
        <w:rPr>
          <w:rFonts w:ascii="Times New Roman" w:hAnsi="Times New Roman"/>
        </w:rPr>
        <w:t>sipareigoti pateikti vis</w:t>
      </w:r>
      <w:r w:rsidRPr="004E3CD5">
        <w:rPr>
          <w:rFonts w:ascii="Times New Roman" w:hAnsi="Times New Roman" w:hint="eastAsia"/>
        </w:rPr>
        <w:t>ų</w:t>
      </w:r>
      <w:r w:rsidRPr="004E3CD5">
        <w:rPr>
          <w:rFonts w:ascii="Times New Roman" w:hAnsi="Times New Roman"/>
        </w:rPr>
        <w:t xml:space="preserve"> amžiaus grupi</w:t>
      </w:r>
      <w:r w:rsidRPr="004E3CD5">
        <w:rPr>
          <w:rFonts w:ascii="Times New Roman" w:hAnsi="Times New Roman" w:hint="eastAsia"/>
        </w:rPr>
        <w:t>ų</w:t>
      </w:r>
      <w:r w:rsidRPr="004E3CD5">
        <w:rPr>
          <w:rFonts w:ascii="Times New Roman" w:hAnsi="Times New Roman"/>
        </w:rPr>
        <w:t xml:space="preserve"> vaik</w:t>
      </w:r>
      <w:r w:rsidRPr="004E3CD5">
        <w:rPr>
          <w:rFonts w:ascii="Times New Roman" w:hAnsi="Times New Roman" w:hint="eastAsia"/>
        </w:rPr>
        <w:t>ų</w:t>
      </w:r>
      <w:r w:rsidRPr="004E3CD5">
        <w:rPr>
          <w:rFonts w:ascii="Times New Roman" w:hAnsi="Times New Roman"/>
        </w:rPr>
        <w:t xml:space="preserve"> populiacijos </w:t>
      </w:r>
      <w:r w:rsidRPr="00F95B76">
        <w:rPr>
          <w:rFonts w:ascii="Times New Roman" w:hAnsi="Times New Roman"/>
        </w:rPr>
        <w:t>do</w:t>
      </w:r>
      <w:r w:rsidR="00012DC0">
        <w:rPr>
          <w:rFonts w:ascii="Times New Roman" w:hAnsi="Times New Roman"/>
        </w:rPr>
        <w:t>c</w:t>
      </w:r>
      <w:r w:rsidRPr="00F95B76">
        <w:rPr>
          <w:rFonts w:ascii="Times New Roman" w:hAnsi="Times New Roman"/>
        </w:rPr>
        <w:t xml:space="preserve">etakselio </w:t>
      </w:r>
      <w:r w:rsidRPr="004E3CD5">
        <w:rPr>
          <w:rFonts w:ascii="Times New Roman" w:hAnsi="Times New Roman"/>
        </w:rPr>
        <w:t>tyrim</w:t>
      </w:r>
      <w:r w:rsidRPr="004E3CD5">
        <w:rPr>
          <w:rFonts w:ascii="Times New Roman" w:hAnsi="Times New Roman" w:hint="eastAsia"/>
        </w:rPr>
        <w:t>ų</w:t>
      </w:r>
      <w:r w:rsidRPr="004E3CD5">
        <w:rPr>
          <w:rFonts w:ascii="Times New Roman" w:hAnsi="Times New Roman"/>
        </w:rPr>
        <w:t xml:space="preserve"> rezultat</w:t>
      </w:r>
      <w:r w:rsidRPr="004E3CD5">
        <w:rPr>
          <w:rFonts w:ascii="Times New Roman" w:hAnsi="Times New Roman" w:hint="eastAsia"/>
        </w:rPr>
        <w:t>ų</w:t>
      </w:r>
      <w:r w:rsidRPr="004E3CD5">
        <w:rPr>
          <w:rFonts w:ascii="Times New Roman" w:hAnsi="Times New Roman"/>
        </w:rPr>
        <w:t xml:space="preserve"> kr</w:t>
      </w:r>
      <w:r w:rsidRPr="004E3CD5">
        <w:rPr>
          <w:rFonts w:ascii="Times New Roman" w:hAnsi="Times New Roman" w:hint="eastAsia"/>
        </w:rPr>
        <w:t>ū</w:t>
      </w:r>
      <w:r w:rsidRPr="004E3CD5">
        <w:rPr>
          <w:rFonts w:ascii="Times New Roman" w:hAnsi="Times New Roman"/>
        </w:rPr>
        <w:t>ties v</w:t>
      </w:r>
      <w:r w:rsidRPr="004E3CD5">
        <w:rPr>
          <w:rFonts w:ascii="Times New Roman" w:hAnsi="Times New Roman" w:hint="eastAsia"/>
        </w:rPr>
        <w:t>ė</w:t>
      </w:r>
      <w:r w:rsidRPr="004E3CD5">
        <w:rPr>
          <w:rFonts w:ascii="Times New Roman" w:hAnsi="Times New Roman"/>
        </w:rPr>
        <w:t>žio, plau</w:t>
      </w:r>
      <w:r w:rsidRPr="004E3CD5">
        <w:rPr>
          <w:rFonts w:ascii="Times New Roman" w:hAnsi="Times New Roman" w:hint="eastAsia"/>
        </w:rPr>
        <w:t>č</w:t>
      </w:r>
      <w:r w:rsidRPr="004E3CD5">
        <w:rPr>
          <w:rFonts w:ascii="Times New Roman" w:hAnsi="Times New Roman"/>
        </w:rPr>
        <w:t>i</w:t>
      </w:r>
      <w:r w:rsidRPr="004E3CD5">
        <w:rPr>
          <w:rFonts w:ascii="Times New Roman" w:hAnsi="Times New Roman" w:hint="eastAsia"/>
        </w:rPr>
        <w:t>ų</w:t>
      </w:r>
      <w:r w:rsidRPr="004E3CD5">
        <w:rPr>
          <w:rFonts w:ascii="Times New Roman" w:hAnsi="Times New Roman"/>
        </w:rPr>
        <w:t xml:space="preserve"> nesmulkial</w:t>
      </w:r>
      <w:r w:rsidRPr="004E3CD5">
        <w:rPr>
          <w:rFonts w:ascii="Times New Roman" w:hAnsi="Times New Roman" w:hint="eastAsia"/>
        </w:rPr>
        <w:t>ą</w:t>
      </w:r>
      <w:r w:rsidRPr="004E3CD5">
        <w:rPr>
          <w:rFonts w:ascii="Times New Roman" w:hAnsi="Times New Roman"/>
        </w:rPr>
        <w:t>stelinio v</w:t>
      </w:r>
      <w:r w:rsidRPr="004E3CD5">
        <w:rPr>
          <w:rFonts w:ascii="Times New Roman" w:hAnsi="Times New Roman" w:hint="eastAsia"/>
        </w:rPr>
        <w:t>ėž</w:t>
      </w:r>
      <w:r w:rsidRPr="004E3CD5">
        <w:rPr>
          <w:rFonts w:ascii="Times New Roman" w:hAnsi="Times New Roman"/>
        </w:rPr>
        <w:t>io, prostatos v</w:t>
      </w:r>
      <w:r w:rsidRPr="004E3CD5">
        <w:rPr>
          <w:rFonts w:ascii="Times New Roman" w:hAnsi="Times New Roman" w:hint="eastAsia"/>
        </w:rPr>
        <w:t>ėž</w:t>
      </w:r>
      <w:r w:rsidRPr="00F95B76">
        <w:rPr>
          <w:rFonts w:ascii="Times New Roman" w:hAnsi="Times New Roman"/>
        </w:rPr>
        <w:t xml:space="preserve">io, </w:t>
      </w:r>
      <w:r w:rsidRPr="004E3CD5">
        <w:rPr>
          <w:rFonts w:ascii="Times New Roman" w:hAnsi="Times New Roman"/>
        </w:rPr>
        <w:t>skrandžio v</w:t>
      </w:r>
      <w:r w:rsidRPr="004E3CD5">
        <w:rPr>
          <w:rFonts w:ascii="Times New Roman" w:hAnsi="Times New Roman" w:hint="eastAsia"/>
        </w:rPr>
        <w:t>ėž</w:t>
      </w:r>
      <w:r w:rsidRPr="004E3CD5">
        <w:rPr>
          <w:rFonts w:ascii="Times New Roman" w:hAnsi="Times New Roman"/>
        </w:rPr>
        <w:t>io ir galvos ir kaklo v</w:t>
      </w:r>
      <w:r w:rsidRPr="004E3CD5">
        <w:rPr>
          <w:rFonts w:ascii="Times New Roman" w:hAnsi="Times New Roman" w:hint="eastAsia"/>
        </w:rPr>
        <w:t>ėž</w:t>
      </w:r>
      <w:r w:rsidRPr="004E3CD5">
        <w:rPr>
          <w:rFonts w:ascii="Times New Roman" w:hAnsi="Times New Roman"/>
        </w:rPr>
        <w:t xml:space="preserve">io </w:t>
      </w:r>
      <w:r w:rsidRPr="00F95B76">
        <w:rPr>
          <w:rFonts w:ascii="Times New Roman" w:hAnsi="Times New Roman"/>
        </w:rPr>
        <w:t xml:space="preserve">atvejais, išskyrus II ir III tipo </w:t>
      </w:r>
      <w:r w:rsidRPr="001F2C46">
        <w:rPr>
          <w:rFonts w:ascii="Times New Roman" w:hAnsi="Times New Roman"/>
        </w:rPr>
        <w:t xml:space="preserve">mažiau diferencijuotos </w:t>
      </w:r>
      <w:r w:rsidRPr="004E3CD5">
        <w:rPr>
          <w:rFonts w:ascii="Times New Roman" w:hAnsi="Times New Roman"/>
        </w:rPr>
        <w:t>nosiarykl</w:t>
      </w:r>
      <w:r w:rsidRPr="004E3CD5">
        <w:rPr>
          <w:rFonts w:ascii="Times New Roman" w:hAnsi="Times New Roman" w:hint="eastAsia"/>
        </w:rPr>
        <w:t>ė</w:t>
      </w:r>
      <w:r w:rsidRPr="004E3CD5">
        <w:rPr>
          <w:rFonts w:ascii="Times New Roman" w:hAnsi="Times New Roman"/>
        </w:rPr>
        <w:t>s karcinom</w:t>
      </w:r>
      <w:r w:rsidRPr="004E3CD5">
        <w:rPr>
          <w:rFonts w:ascii="Times New Roman" w:hAnsi="Times New Roman" w:hint="eastAsia"/>
        </w:rPr>
        <w:t>ą</w:t>
      </w:r>
      <w:r w:rsidRPr="004E3CD5">
        <w:rPr>
          <w:rFonts w:ascii="Times New Roman" w:hAnsi="Times New Roman"/>
        </w:rPr>
        <w:t xml:space="preserve"> (žr. 4.2 skyriuje informacij</w:t>
      </w:r>
      <w:r w:rsidRPr="004E3CD5">
        <w:rPr>
          <w:rFonts w:ascii="Times New Roman" w:hAnsi="Times New Roman" w:hint="eastAsia"/>
        </w:rPr>
        <w:t>ą</w:t>
      </w:r>
      <w:r w:rsidRPr="004E3CD5">
        <w:rPr>
          <w:rFonts w:ascii="Times New Roman" w:hAnsi="Times New Roman"/>
        </w:rPr>
        <w:t xml:space="preserve"> apie vartojim</w:t>
      </w:r>
      <w:r w:rsidRPr="004E3CD5">
        <w:rPr>
          <w:rFonts w:ascii="Times New Roman" w:hAnsi="Times New Roman" w:hint="eastAsia"/>
        </w:rPr>
        <w:t>ą</w:t>
      </w:r>
      <w:r w:rsidRPr="004E3CD5">
        <w:rPr>
          <w:rFonts w:ascii="Times New Roman" w:hAnsi="Times New Roman"/>
        </w:rPr>
        <w:t xml:space="preserve"> vaikams).</w:t>
      </w:r>
    </w:p>
    <w:p w14:paraId="40D8EA69" w14:textId="77777777" w:rsidR="00D875C0" w:rsidRPr="00F95B76" w:rsidRDefault="00D875C0" w:rsidP="00D875C0">
      <w:pPr>
        <w:spacing w:after="0" w:line="240" w:lineRule="auto"/>
        <w:rPr>
          <w:rFonts w:ascii="Times New Roman" w:hAnsi="Times New Roman"/>
        </w:rPr>
      </w:pPr>
    </w:p>
    <w:p w14:paraId="5CA590A4" w14:textId="77777777" w:rsidR="00D875C0" w:rsidRPr="001F2C46" w:rsidRDefault="00D875C0" w:rsidP="00D875C0">
      <w:pPr>
        <w:keepNext/>
        <w:keepLines/>
        <w:numPr>
          <w:ilvl w:val="1"/>
          <w:numId w:val="7"/>
        </w:numPr>
        <w:spacing w:after="0" w:line="240" w:lineRule="auto"/>
        <w:outlineLvl w:val="2"/>
        <w:rPr>
          <w:rFonts w:ascii="Times New Roman" w:hAnsi="Times New Roman"/>
          <w:b/>
          <w:kern w:val="28"/>
        </w:rPr>
      </w:pPr>
      <w:bookmarkStart w:id="35" w:name="_Toc129243113"/>
      <w:bookmarkStart w:id="36" w:name="_Toc129243238"/>
      <w:r w:rsidRPr="001F2C46">
        <w:rPr>
          <w:rFonts w:ascii="Times New Roman" w:hAnsi="Times New Roman"/>
          <w:b/>
          <w:kern w:val="28"/>
        </w:rPr>
        <w:t>Farmakokinetinės savybės</w:t>
      </w:r>
      <w:bookmarkEnd w:id="35"/>
      <w:bookmarkEnd w:id="36"/>
    </w:p>
    <w:p w14:paraId="56AABCE4" w14:textId="77777777" w:rsidR="00D875C0" w:rsidRPr="00427D92" w:rsidRDefault="00D875C0" w:rsidP="00D875C0">
      <w:pPr>
        <w:keepNext/>
        <w:keepLines/>
        <w:tabs>
          <w:tab w:val="left" w:pos="567"/>
        </w:tabs>
        <w:spacing w:after="0" w:line="240" w:lineRule="auto"/>
        <w:outlineLvl w:val="2"/>
        <w:rPr>
          <w:rFonts w:ascii="Times New Roman" w:hAnsi="Times New Roman"/>
          <w:b/>
          <w:kern w:val="28"/>
        </w:rPr>
      </w:pPr>
    </w:p>
    <w:p w14:paraId="6F1D6472" w14:textId="77777777" w:rsidR="00D875C0" w:rsidRPr="00C722B4" w:rsidRDefault="00D875C0" w:rsidP="00D875C0">
      <w:pPr>
        <w:spacing w:after="0" w:line="240" w:lineRule="auto"/>
        <w:rPr>
          <w:rFonts w:ascii="Times New Roman" w:hAnsi="Times New Roman"/>
          <w:u w:val="single"/>
        </w:rPr>
      </w:pPr>
      <w:r w:rsidRPr="00C722B4">
        <w:rPr>
          <w:rFonts w:ascii="Times New Roman" w:hAnsi="Times New Roman"/>
          <w:u w:val="single"/>
        </w:rPr>
        <w:t>Absorbcija</w:t>
      </w:r>
    </w:p>
    <w:p w14:paraId="55A35FA6" w14:textId="77777777" w:rsidR="00D875C0" w:rsidRPr="00FB5C4B"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Docetakselio farmakokinetika vėžiu sergančių pacientų organizme tirta I</w:t>
      </w:r>
      <w:r w:rsidR="00AD06A4" w:rsidRPr="007C1A06">
        <w:rPr>
          <w:rFonts w:ascii="Times New Roman" w:hAnsi="Times New Roman"/>
        </w:rPr>
        <w:t> </w:t>
      </w:r>
      <w:r w:rsidRPr="007C1A06">
        <w:rPr>
          <w:rFonts w:ascii="Times New Roman" w:hAnsi="Times New Roman"/>
        </w:rPr>
        <w:t>fazės tyrimų metu, infuzuojant šio vaistinio preparato 20</w:t>
      </w:r>
      <w:r w:rsidR="00AD06A4" w:rsidRPr="007C1A06">
        <w:rPr>
          <w:rFonts w:ascii="Times New Roman" w:hAnsi="Times New Roman"/>
        </w:rPr>
        <w:noBreakHyphen/>
      </w:r>
      <w:r w:rsidRPr="007C1A06">
        <w:rPr>
          <w:rFonts w:ascii="Times New Roman" w:hAnsi="Times New Roman"/>
        </w:rPr>
        <w:t>115</w:t>
      </w:r>
      <w:r w:rsidR="00AD06A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dozėmis.</w:t>
      </w:r>
      <w:r w:rsidR="00EC5B32">
        <w:rPr>
          <w:rFonts w:ascii="Times New Roman" w:hAnsi="Times New Roman"/>
        </w:rPr>
        <w:t xml:space="preserve"> </w:t>
      </w:r>
      <w:r w:rsidRPr="00F95B76">
        <w:rPr>
          <w:rFonts w:ascii="Times New Roman" w:hAnsi="Times New Roman"/>
        </w:rPr>
        <w:t>Docetakselio farmakokinetikos pobūdis nepriklauso nuo dozės ir atitinka trijų kamerų modelį. Pusinis laikas α, β ir γ fazėse yra atitinkamai 4</w:t>
      </w:r>
      <w:r w:rsidR="00AD06A4" w:rsidRPr="001F2C46">
        <w:rPr>
          <w:rFonts w:ascii="Times New Roman" w:hAnsi="Times New Roman"/>
        </w:rPr>
        <w:t> </w:t>
      </w:r>
      <w:r w:rsidRPr="001F2C46">
        <w:rPr>
          <w:rFonts w:ascii="Times New Roman" w:hAnsi="Times New Roman"/>
        </w:rPr>
        <w:t>min., 36</w:t>
      </w:r>
      <w:r w:rsidR="00AD06A4" w:rsidRPr="001F2C46">
        <w:rPr>
          <w:rFonts w:ascii="Times New Roman" w:hAnsi="Times New Roman"/>
        </w:rPr>
        <w:t> </w:t>
      </w:r>
      <w:r w:rsidRPr="00427D92">
        <w:rPr>
          <w:rFonts w:ascii="Times New Roman" w:hAnsi="Times New Roman"/>
        </w:rPr>
        <w:t>min. ir 11,1</w:t>
      </w:r>
      <w:r w:rsidR="00AD06A4" w:rsidRPr="00427D92">
        <w:rPr>
          <w:rFonts w:ascii="Times New Roman" w:hAnsi="Times New Roman"/>
        </w:rPr>
        <w:t> </w:t>
      </w:r>
      <w:r w:rsidRPr="00427D92">
        <w:rPr>
          <w:rFonts w:ascii="Times New Roman" w:hAnsi="Times New Roman"/>
        </w:rPr>
        <w:t>val. Paskutinė fazė iš dalies priklauso nuo palyginus lėto docetakselio patekimo iš periferinio kompartamento į kraują.</w:t>
      </w:r>
    </w:p>
    <w:p w14:paraId="7799556B" w14:textId="77777777" w:rsidR="00D875C0" w:rsidRPr="00C722B4" w:rsidRDefault="00D875C0" w:rsidP="00D875C0">
      <w:pPr>
        <w:spacing w:after="0" w:line="240" w:lineRule="auto"/>
        <w:rPr>
          <w:rFonts w:ascii="Times New Roman" w:hAnsi="Times New Roman"/>
        </w:rPr>
      </w:pPr>
    </w:p>
    <w:p w14:paraId="506EDC36" w14:textId="77777777" w:rsidR="00D875C0" w:rsidRPr="004E3CD5" w:rsidRDefault="00D875C0" w:rsidP="00D875C0">
      <w:pPr>
        <w:spacing w:after="0" w:line="240" w:lineRule="auto"/>
        <w:rPr>
          <w:rFonts w:ascii="Times New Roman" w:eastAsiaTheme="minorEastAsia" w:hAnsi="Times New Roman"/>
          <w:u w:val="single"/>
          <w:lang w:eastAsia="zh-TW"/>
        </w:rPr>
      </w:pPr>
      <w:r w:rsidRPr="007C1A06">
        <w:rPr>
          <w:rFonts w:ascii="Times New Roman" w:hAnsi="Times New Roman"/>
          <w:u w:val="single"/>
        </w:rPr>
        <w:t>Pasiskirstymas</w:t>
      </w:r>
    </w:p>
    <w:p w14:paraId="4802E4A6"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Per 1</w:t>
      </w:r>
      <w:r w:rsidR="00AD06A4" w:rsidRPr="007C1A06">
        <w:rPr>
          <w:rFonts w:ascii="Times New Roman" w:hAnsi="Times New Roman"/>
        </w:rPr>
        <w:t> </w:t>
      </w:r>
      <w:r w:rsidRPr="007C1A06">
        <w:rPr>
          <w:rFonts w:ascii="Times New Roman" w:hAnsi="Times New Roman"/>
        </w:rPr>
        <w:t>val. infuzavus 100</w:t>
      </w:r>
      <w:r w:rsidR="00AD06A4" w:rsidRPr="007C1A06">
        <w:rPr>
          <w:rFonts w:ascii="Times New Roman" w:hAnsi="Times New Roman"/>
        </w:rPr>
        <w:t> </w:t>
      </w:r>
      <w:r w:rsidRPr="007C1A06">
        <w:rPr>
          <w:rFonts w:ascii="Times New Roman" w:hAnsi="Times New Roman"/>
        </w:rPr>
        <w:t>mg/m</w:t>
      </w:r>
      <w:r w:rsidRPr="007C1A06">
        <w:rPr>
          <w:rFonts w:ascii="Times New Roman" w:hAnsi="Times New Roman"/>
          <w:vertAlign w:val="superscript"/>
        </w:rPr>
        <w:t>2</w:t>
      </w:r>
      <w:r w:rsidRPr="007C1A06">
        <w:rPr>
          <w:rFonts w:ascii="Times New Roman" w:hAnsi="Times New Roman"/>
        </w:rPr>
        <w:t xml:space="preserve"> docetakselio, didžiausia jo koncentracija plazmoje būna vidutiniškai 3,7</w:t>
      </w:r>
      <w:r w:rsidR="00AD06A4" w:rsidRPr="007C1A06">
        <w:rPr>
          <w:rFonts w:ascii="Times New Roman" w:hAnsi="Times New Roman"/>
        </w:rPr>
        <w:t> </w:t>
      </w:r>
      <w:r w:rsidRPr="007C1A06">
        <w:rPr>
          <w:rFonts w:ascii="Times New Roman" w:hAnsi="Times New Roman"/>
        </w:rPr>
        <w:t>μg/ml, AUC – 4,6</w:t>
      </w:r>
      <w:r w:rsidR="00AD06A4" w:rsidRPr="007C1A06">
        <w:rPr>
          <w:rFonts w:ascii="Times New Roman" w:hAnsi="Times New Roman"/>
        </w:rPr>
        <w:t> </w:t>
      </w:r>
      <w:r w:rsidRPr="007C1A06">
        <w:rPr>
          <w:rFonts w:ascii="Times New Roman" w:hAnsi="Times New Roman"/>
        </w:rPr>
        <w:t>val.</w:t>
      </w:r>
      <w:r w:rsidR="00AD06A4" w:rsidRPr="007C1A06">
        <w:rPr>
          <w:rFonts w:ascii="Times New Roman" w:hAnsi="Times New Roman"/>
        </w:rPr>
        <w:t> </w:t>
      </w:r>
      <w:r w:rsidRPr="007C1A06">
        <w:rPr>
          <w:rFonts w:ascii="Times New Roman" w:hAnsi="Times New Roman"/>
        </w:rPr>
        <w:t>×</w:t>
      </w:r>
      <w:r w:rsidR="00AD06A4" w:rsidRPr="007C1A06">
        <w:rPr>
          <w:rFonts w:ascii="Times New Roman" w:hAnsi="Times New Roman"/>
        </w:rPr>
        <w:t> </w:t>
      </w:r>
      <w:r w:rsidRPr="007C1A06">
        <w:rPr>
          <w:rFonts w:ascii="Times New Roman" w:hAnsi="Times New Roman"/>
        </w:rPr>
        <w:t>μg/ml.</w:t>
      </w:r>
    </w:p>
    <w:p w14:paraId="320A96C3"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Vidutinis suminis organizmo klirensas – 21</w:t>
      </w:r>
      <w:r w:rsidR="00AD06A4" w:rsidRPr="007C1A06">
        <w:rPr>
          <w:rFonts w:ascii="Times New Roman" w:hAnsi="Times New Roman"/>
        </w:rPr>
        <w:t> </w:t>
      </w:r>
      <w:r w:rsidRPr="007C1A06">
        <w:rPr>
          <w:rFonts w:ascii="Times New Roman" w:hAnsi="Times New Roman"/>
        </w:rPr>
        <w:t>l/val./m</w:t>
      </w:r>
      <w:r w:rsidRPr="007C1A06">
        <w:rPr>
          <w:rFonts w:ascii="Times New Roman" w:hAnsi="Times New Roman"/>
          <w:vertAlign w:val="superscript"/>
        </w:rPr>
        <w:t>2</w:t>
      </w:r>
      <w:r w:rsidRPr="007C1A06">
        <w:rPr>
          <w:rFonts w:ascii="Times New Roman" w:hAnsi="Times New Roman"/>
        </w:rPr>
        <w:t>, vidutinis pusiausvyrinis pasiskirstymo tūris – atitinkamai 113</w:t>
      </w:r>
      <w:r w:rsidR="00AD06A4" w:rsidRPr="007C1A06">
        <w:rPr>
          <w:rFonts w:ascii="Times New Roman" w:hAnsi="Times New Roman"/>
        </w:rPr>
        <w:t> </w:t>
      </w:r>
      <w:r w:rsidRPr="007C1A06">
        <w:rPr>
          <w:rFonts w:ascii="Times New Roman" w:hAnsi="Times New Roman"/>
        </w:rPr>
        <w:t>litrų. Suminis skirtingų asmenų organizmo klirensas įvairuoja maždaug 50</w:t>
      </w:r>
      <w:r w:rsidR="00AD06A4" w:rsidRPr="007C1A06">
        <w:rPr>
          <w:rFonts w:ascii="Times New Roman" w:hAnsi="Times New Roman"/>
        </w:rPr>
        <w:t> </w:t>
      </w:r>
      <w:r w:rsidRPr="007C1A06">
        <w:rPr>
          <w:rFonts w:ascii="Times New Roman" w:hAnsi="Times New Roman"/>
        </w:rPr>
        <w:t>%.</w:t>
      </w:r>
    </w:p>
    <w:p w14:paraId="5B46843D"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Daug</w:t>
      </w:r>
      <w:r w:rsidR="00E414F5" w:rsidRPr="007C1A06">
        <w:rPr>
          <w:rFonts w:ascii="Times New Roman" w:hAnsi="Times New Roman"/>
        </w:rPr>
        <w:t>i</w:t>
      </w:r>
      <w:r w:rsidRPr="007C1A06">
        <w:rPr>
          <w:rFonts w:ascii="Times New Roman" w:hAnsi="Times New Roman"/>
        </w:rPr>
        <w:t>au negu 95</w:t>
      </w:r>
      <w:r w:rsidR="00AD06A4" w:rsidRPr="007C1A06">
        <w:rPr>
          <w:rFonts w:ascii="Times New Roman" w:hAnsi="Times New Roman"/>
        </w:rPr>
        <w:t> </w:t>
      </w:r>
      <w:r w:rsidRPr="007C1A06">
        <w:rPr>
          <w:rFonts w:ascii="Times New Roman" w:hAnsi="Times New Roman"/>
        </w:rPr>
        <w:t>% docetakselio jungiasi prie plazmos baltymų.</w:t>
      </w:r>
    </w:p>
    <w:p w14:paraId="3B4C0A5A" w14:textId="77777777" w:rsidR="00D875C0" w:rsidRPr="007C1A06" w:rsidRDefault="00D875C0" w:rsidP="00D875C0">
      <w:pPr>
        <w:spacing w:after="0" w:line="240" w:lineRule="auto"/>
        <w:rPr>
          <w:rFonts w:ascii="Times New Roman" w:hAnsi="Times New Roman"/>
        </w:rPr>
      </w:pPr>
    </w:p>
    <w:p w14:paraId="6F35F1A3" w14:textId="77777777" w:rsidR="00D875C0" w:rsidRPr="004E3CD5" w:rsidRDefault="00D875C0" w:rsidP="00D875C0">
      <w:pPr>
        <w:spacing w:after="0" w:line="240" w:lineRule="auto"/>
        <w:rPr>
          <w:rFonts w:ascii="Times New Roman" w:eastAsiaTheme="minorEastAsia" w:hAnsi="Times New Roman"/>
          <w:u w:val="single"/>
          <w:lang w:eastAsia="zh-TW"/>
        </w:rPr>
      </w:pPr>
      <w:r w:rsidRPr="007C1A06">
        <w:rPr>
          <w:rFonts w:ascii="Times New Roman" w:hAnsi="Times New Roman"/>
          <w:u w:val="single"/>
        </w:rPr>
        <w:t xml:space="preserve">Eliminacija </w:t>
      </w:r>
    </w:p>
    <w:p w14:paraId="0383FD58"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Su trimis vėžiu sergančiais pacientais atliktas </w:t>
      </w:r>
      <w:r w:rsidRPr="007C1A06">
        <w:rPr>
          <w:rFonts w:ascii="Times New Roman" w:hAnsi="Times New Roman"/>
          <w:vertAlign w:val="subscript"/>
        </w:rPr>
        <w:t>14</w:t>
      </w:r>
      <w:r w:rsidRPr="007C1A06">
        <w:rPr>
          <w:rFonts w:ascii="Times New Roman" w:hAnsi="Times New Roman"/>
        </w:rPr>
        <w:t>C-docetakselio kinetikos tyrimas. Docetakselis per 7</w:t>
      </w:r>
      <w:r w:rsidR="00AD06A4" w:rsidRPr="007C1A06">
        <w:rPr>
          <w:rFonts w:ascii="Times New Roman" w:hAnsi="Times New Roman"/>
        </w:rPr>
        <w:t> </w:t>
      </w:r>
      <w:r w:rsidRPr="007C1A06">
        <w:rPr>
          <w:rFonts w:ascii="Times New Roman" w:hAnsi="Times New Roman"/>
        </w:rPr>
        <w:t>dienas pasišalino su šlapimu ir išmatomis po citochromo P450 katalizuojamo tretinės butilo esterio grupės oksidacinio metabolizmo (šlapime ir išmatose rasta atitinkamai 6</w:t>
      </w:r>
      <w:r w:rsidR="00AD06A4" w:rsidRPr="007C1A06">
        <w:rPr>
          <w:rFonts w:ascii="Times New Roman" w:hAnsi="Times New Roman"/>
        </w:rPr>
        <w:t> </w:t>
      </w:r>
      <w:r w:rsidRPr="007C1A06">
        <w:rPr>
          <w:rFonts w:ascii="Times New Roman" w:hAnsi="Times New Roman"/>
        </w:rPr>
        <w:t>% ir 75</w:t>
      </w:r>
      <w:r w:rsidR="00AD06A4" w:rsidRPr="007C1A06">
        <w:rPr>
          <w:rFonts w:ascii="Times New Roman" w:hAnsi="Times New Roman"/>
        </w:rPr>
        <w:t> </w:t>
      </w:r>
      <w:r w:rsidRPr="007C1A06">
        <w:rPr>
          <w:rFonts w:ascii="Times New Roman" w:hAnsi="Times New Roman"/>
        </w:rPr>
        <w:t>% infuzuoto radioaktyvumo). Maždaug 80</w:t>
      </w:r>
      <w:r w:rsidR="00AD06A4" w:rsidRPr="007C1A06">
        <w:rPr>
          <w:rFonts w:ascii="Times New Roman" w:hAnsi="Times New Roman"/>
        </w:rPr>
        <w:t> </w:t>
      </w:r>
      <w:r w:rsidRPr="007C1A06">
        <w:rPr>
          <w:rFonts w:ascii="Times New Roman" w:hAnsi="Times New Roman"/>
        </w:rPr>
        <w:t>% išmatose rasto radioaktyvumo pasišalino per pirmąsias 48val. (tai buvo vienas pagrindinis neaktyvus metabolitas, trys mažiau svarbūs neaktyvūs metabolitai ir labai nedidelis nepakitusio vaistinio preparato kiekis).</w:t>
      </w:r>
    </w:p>
    <w:p w14:paraId="799AC7A5" w14:textId="77777777" w:rsidR="00D875C0" w:rsidRPr="007C1A06" w:rsidRDefault="00D875C0" w:rsidP="00D875C0">
      <w:pPr>
        <w:autoSpaceDE w:val="0"/>
        <w:autoSpaceDN w:val="0"/>
        <w:adjustRightInd w:val="0"/>
        <w:spacing w:after="0" w:line="240" w:lineRule="auto"/>
        <w:rPr>
          <w:rFonts w:ascii="Times New Roman" w:hAnsi="Times New Roman"/>
        </w:rPr>
      </w:pPr>
    </w:p>
    <w:p w14:paraId="41EA0B5D" w14:textId="77777777" w:rsidR="00D875C0" w:rsidRPr="004E3CD5" w:rsidRDefault="00D875C0" w:rsidP="00D875C0">
      <w:pPr>
        <w:autoSpaceDE w:val="0"/>
        <w:autoSpaceDN w:val="0"/>
        <w:adjustRightInd w:val="0"/>
        <w:spacing w:after="0"/>
        <w:rPr>
          <w:rFonts w:ascii="Times New Roman" w:eastAsiaTheme="minorEastAsia" w:hAnsi="Times New Roman"/>
          <w:u w:val="single"/>
          <w:lang w:eastAsia="zh-TW"/>
        </w:rPr>
      </w:pPr>
      <w:r w:rsidRPr="004E3CD5">
        <w:rPr>
          <w:rFonts w:ascii="Times New Roman" w:hAnsi="Times New Roman"/>
          <w:u w:val="single"/>
        </w:rPr>
        <w:t xml:space="preserve">Ypatingos populiacijos </w:t>
      </w:r>
    </w:p>
    <w:p w14:paraId="4AC2C387" w14:textId="77777777" w:rsidR="00D875C0" w:rsidRPr="004E3CD5" w:rsidRDefault="00D875C0" w:rsidP="00D875C0">
      <w:pPr>
        <w:autoSpaceDE w:val="0"/>
        <w:autoSpaceDN w:val="0"/>
        <w:adjustRightInd w:val="0"/>
        <w:spacing w:after="0"/>
        <w:rPr>
          <w:rFonts w:ascii="Times New Roman" w:hAnsi="Times New Roman"/>
          <w:u w:val="single"/>
        </w:rPr>
      </w:pPr>
    </w:p>
    <w:p w14:paraId="2CD3FC98" w14:textId="77777777" w:rsidR="00D875C0" w:rsidRPr="001F2C46" w:rsidRDefault="00D875C0" w:rsidP="00D875C0">
      <w:pPr>
        <w:spacing w:after="0" w:line="240" w:lineRule="auto"/>
        <w:rPr>
          <w:rFonts w:ascii="Times New Roman" w:hAnsi="Times New Roman"/>
          <w:i/>
        </w:rPr>
      </w:pPr>
      <w:r w:rsidRPr="00F95B76">
        <w:rPr>
          <w:rFonts w:ascii="Times New Roman" w:hAnsi="Times New Roman"/>
          <w:i/>
        </w:rPr>
        <w:t>Amžius ir lytis</w:t>
      </w:r>
    </w:p>
    <w:p w14:paraId="5B8E11EF" w14:textId="77777777" w:rsidR="00D875C0" w:rsidRPr="00427D92" w:rsidRDefault="00D875C0" w:rsidP="00D875C0">
      <w:pPr>
        <w:spacing w:after="0" w:line="240" w:lineRule="auto"/>
        <w:rPr>
          <w:rFonts w:ascii="Times New Roman" w:hAnsi="Times New Roman"/>
        </w:rPr>
      </w:pPr>
      <w:r w:rsidRPr="00427D92">
        <w:rPr>
          <w:rFonts w:ascii="Times New Roman" w:hAnsi="Times New Roman"/>
        </w:rPr>
        <w:t>Populiacinė docetakselio farmakokinetikos analizė atlikta su 577 pacientais.</w:t>
      </w:r>
    </w:p>
    <w:p w14:paraId="7452D8EF" w14:textId="77777777" w:rsidR="00D875C0" w:rsidRPr="007C1A06" w:rsidRDefault="00D875C0" w:rsidP="00D875C0">
      <w:pPr>
        <w:spacing w:after="0" w:line="240" w:lineRule="auto"/>
        <w:rPr>
          <w:rFonts w:ascii="Times New Roman" w:hAnsi="Times New Roman"/>
        </w:rPr>
      </w:pPr>
      <w:r w:rsidRPr="00C722B4">
        <w:rPr>
          <w:rFonts w:ascii="Times New Roman" w:hAnsi="Times New Roman"/>
        </w:rPr>
        <w:t>Modeliu nus</w:t>
      </w:r>
      <w:r w:rsidRPr="007C1A06">
        <w:rPr>
          <w:rFonts w:ascii="Times New Roman" w:hAnsi="Times New Roman"/>
        </w:rPr>
        <w:t>tatyti labai panašūs farmakokinetikos parametrai kaip I</w:t>
      </w:r>
      <w:r w:rsidR="00AD06A4" w:rsidRPr="007C1A06">
        <w:rPr>
          <w:rFonts w:ascii="Times New Roman" w:hAnsi="Times New Roman"/>
        </w:rPr>
        <w:t> </w:t>
      </w:r>
      <w:r w:rsidRPr="007C1A06">
        <w:rPr>
          <w:rFonts w:ascii="Times New Roman" w:hAnsi="Times New Roman"/>
        </w:rPr>
        <w:t>fazės tyrimų metu. Docetakselio farmakokinetika nepriklausė nuo paciento amžiaus ir lyties.</w:t>
      </w:r>
    </w:p>
    <w:p w14:paraId="2959443C" w14:textId="77777777" w:rsidR="00FE396E" w:rsidRPr="004E3CD5" w:rsidRDefault="00FE396E" w:rsidP="00F95B76">
      <w:pPr>
        <w:autoSpaceDE w:val="0"/>
        <w:autoSpaceDN w:val="0"/>
        <w:adjustRightInd w:val="0"/>
        <w:spacing w:after="0"/>
        <w:rPr>
          <w:rFonts w:ascii="Times New Roman" w:hAnsi="Times New Roman"/>
          <w:i/>
        </w:rPr>
      </w:pPr>
    </w:p>
    <w:p w14:paraId="609B6B91" w14:textId="77777777" w:rsidR="00D875C0" w:rsidRPr="004E3CD5" w:rsidRDefault="00D875C0" w:rsidP="00D875C0">
      <w:pPr>
        <w:autoSpaceDE w:val="0"/>
        <w:autoSpaceDN w:val="0"/>
        <w:adjustRightInd w:val="0"/>
        <w:spacing w:after="0"/>
        <w:rPr>
          <w:rFonts w:ascii="Times New Roman" w:hAnsi="Times New Roman"/>
          <w:i/>
        </w:rPr>
      </w:pPr>
      <w:r w:rsidRPr="00F95B76">
        <w:rPr>
          <w:rFonts w:ascii="Times New Roman" w:hAnsi="Times New Roman"/>
          <w:i/>
        </w:rPr>
        <w:t>Sutrikusi kepenų funkcija</w:t>
      </w:r>
      <w:r w:rsidRPr="004E3CD5">
        <w:rPr>
          <w:rFonts w:ascii="Times New Roman" w:hAnsi="Times New Roman"/>
          <w:i/>
        </w:rPr>
        <w:t xml:space="preserve"> </w:t>
      </w:r>
    </w:p>
    <w:p w14:paraId="457A753D" w14:textId="77777777" w:rsidR="00D875C0" w:rsidRPr="007C1A0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 xml:space="preserve">23 pacientų kepenų funkcija, sprendžiant pagal klinikinių cheminių rodmenų duomenis, buvo lengvai arba vidutiniškai sutrikusi (ALT, AST koncentracija viršijo viršutinę </w:t>
      </w:r>
      <w:r w:rsidRPr="001F2C46">
        <w:rPr>
          <w:rFonts w:ascii="Times New Roman" w:hAnsi="Times New Roman"/>
        </w:rPr>
        <w:t>normos ribą 1,5</w:t>
      </w:r>
      <w:r w:rsidR="00AD06A4" w:rsidRPr="001F2C46">
        <w:rPr>
          <w:rFonts w:ascii="Times New Roman" w:hAnsi="Times New Roman"/>
        </w:rPr>
        <w:t> </w:t>
      </w:r>
      <w:r w:rsidRPr="00427D92">
        <w:rPr>
          <w:rFonts w:ascii="Times New Roman" w:hAnsi="Times New Roman"/>
        </w:rPr>
        <w:t>karto arba daugiau, šarminės fosfatazės – 2,5</w:t>
      </w:r>
      <w:r w:rsidR="00AD06A4" w:rsidRPr="00427D92">
        <w:rPr>
          <w:rFonts w:ascii="Times New Roman" w:hAnsi="Times New Roman"/>
        </w:rPr>
        <w:t> </w:t>
      </w:r>
      <w:r w:rsidRPr="00427D92">
        <w:rPr>
          <w:rFonts w:ascii="Times New Roman" w:hAnsi="Times New Roman"/>
        </w:rPr>
        <w:t>karto arba daugiau). Docetakselio suminis klirensas šių pacientų organizme buvo vidut</w:t>
      </w:r>
      <w:r w:rsidRPr="00C722B4">
        <w:rPr>
          <w:rFonts w:ascii="Times New Roman" w:hAnsi="Times New Roman"/>
        </w:rPr>
        <w:t>iniškai 27</w:t>
      </w:r>
      <w:r w:rsidR="00AD06A4" w:rsidRPr="007C1A06">
        <w:rPr>
          <w:rFonts w:ascii="Times New Roman" w:hAnsi="Times New Roman"/>
        </w:rPr>
        <w:t> </w:t>
      </w:r>
      <w:r w:rsidRPr="007C1A06">
        <w:rPr>
          <w:rFonts w:ascii="Times New Roman" w:hAnsi="Times New Roman"/>
        </w:rPr>
        <w:t xml:space="preserve">% mažesnis (žr. 4.2 skyrių). </w:t>
      </w:r>
    </w:p>
    <w:p w14:paraId="05F07DA8" w14:textId="77777777" w:rsidR="00D875C0" w:rsidRPr="007C1A06" w:rsidRDefault="00D875C0" w:rsidP="00D875C0">
      <w:pPr>
        <w:autoSpaceDE w:val="0"/>
        <w:autoSpaceDN w:val="0"/>
        <w:adjustRightInd w:val="0"/>
        <w:spacing w:after="0" w:line="240" w:lineRule="auto"/>
        <w:rPr>
          <w:rFonts w:ascii="Times New Roman" w:hAnsi="Times New Roman"/>
        </w:rPr>
      </w:pPr>
    </w:p>
    <w:p w14:paraId="761136FF" w14:textId="77777777" w:rsidR="00D875C0" w:rsidRPr="004E3CD5" w:rsidRDefault="00D875C0" w:rsidP="00D875C0">
      <w:pPr>
        <w:autoSpaceDE w:val="0"/>
        <w:autoSpaceDN w:val="0"/>
        <w:adjustRightInd w:val="0"/>
        <w:spacing w:after="0"/>
        <w:rPr>
          <w:rFonts w:ascii="Times New Roman" w:eastAsiaTheme="minorEastAsia" w:hAnsi="Times New Roman"/>
          <w:i/>
          <w:lang w:eastAsia="zh-TW"/>
        </w:rPr>
      </w:pPr>
      <w:r w:rsidRPr="004E3CD5">
        <w:rPr>
          <w:rFonts w:ascii="Times New Roman" w:hAnsi="Times New Roman"/>
          <w:i/>
        </w:rPr>
        <w:t>Skys</w:t>
      </w:r>
      <w:r w:rsidRPr="004E3CD5">
        <w:rPr>
          <w:rFonts w:ascii="Times New Roman" w:hAnsi="Times New Roman" w:hint="eastAsia"/>
          <w:i/>
        </w:rPr>
        <w:t>č</w:t>
      </w:r>
      <w:r w:rsidRPr="004E3CD5">
        <w:rPr>
          <w:rFonts w:ascii="Times New Roman" w:hAnsi="Times New Roman"/>
          <w:i/>
        </w:rPr>
        <w:t>i</w:t>
      </w:r>
      <w:r w:rsidRPr="004E3CD5">
        <w:rPr>
          <w:rFonts w:ascii="Times New Roman" w:hAnsi="Times New Roman" w:hint="eastAsia"/>
          <w:i/>
        </w:rPr>
        <w:t>ų</w:t>
      </w:r>
      <w:r w:rsidRPr="004E3CD5">
        <w:rPr>
          <w:rFonts w:ascii="Times New Roman" w:hAnsi="Times New Roman"/>
          <w:i/>
        </w:rPr>
        <w:t xml:space="preserve"> susilaikymas</w:t>
      </w:r>
    </w:p>
    <w:p w14:paraId="0D77D1D8" w14:textId="77777777" w:rsidR="00D875C0" w:rsidRPr="001F2C4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Lengvas ar vidutinio laipsnio skysčių susilaik</w:t>
      </w:r>
      <w:r w:rsidRPr="001F2C46">
        <w:rPr>
          <w:rFonts w:ascii="Times New Roman" w:hAnsi="Times New Roman"/>
        </w:rPr>
        <w:t>ymas įtakos docetakselio klirensui neturėjo, o duomenų apie sunkaus laipsnio skysčių susilaikymo įtaką nėra.</w:t>
      </w:r>
    </w:p>
    <w:p w14:paraId="48BA1306" w14:textId="77777777" w:rsidR="00D875C0" w:rsidRPr="00427D92" w:rsidRDefault="00D875C0" w:rsidP="00D875C0">
      <w:pPr>
        <w:spacing w:after="0" w:line="240" w:lineRule="auto"/>
        <w:rPr>
          <w:rFonts w:ascii="Times New Roman" w:hAnsi="Times New Roman"/>
        </w:rPr>
      </w:pPr>
    </w:p>
    <w:p w14:paraId="2578B8EE" w14:textId="77777777" w:rsidR="00D875C0" w:rsidRPr="00C722B4" w:rsidRDefault="00D875C0" w:rsidP="00D875C0">
      <w:pPr>
        <w:spacing w:after="0" w:line="240" w:lineRule="auto"/>
        <w:rPr>
          <w:rFonts w:ascii="Times New Roman" w:hAnsi="Times New Roman"/>
          <w:u w:val="single"/>
        </w:rPr>
      </w:pPr>
      <w:r w:rsidRPr="00C722B4">
        <w:rPr>
          <w:rFonts w:ascii="Times New Roman" w:hAnsi="Times New Roman"/>
          <w:u w:val="single"/>
        </w:rPr>
        <w:t>Kombinuotas gydymas</w:t>
      </w:r>
    </w:p>
    <w:p w14:paraId="235B3D95" w14:textId="77777777" w:rsidR="00D875C0" w:rsidRPr="007C1A06" w:rsidRDefault="00D875C0" w:rsidP="00D875C0">
      <w:pPr>
        <w:spacing w:after="0" w:line="240" w:lineRule="auto"/>
        <w:rPr>
          <w:rFonts w:ascii="Times New Roman" w:hAnsi="Times New Roman"/>
        </w:rPr>
      </w:pPr>
    </w:p>
    <w:p w14:paraId="7E563CAA" w14:textId="77777777" w:rsidR="00D875C0" w:rsidRPr="004E3CD5" w:rsidRDefault="00D875C0" w:rsidP="00D875C0">
      <w:pPr>
        <w:spacing w:after="0" w:line="240" w:lineRule="auto"/>
        <w:rPr>
          <w:rFonts w:ascii="Times New Roman" w:eastAsiaTheme="minorEastAsia" w:hAnsi="Times New Roman"/>
          <w:i/>
          <w:lang w:eastAsia="zh-TW"/>
        </w:rPr>
      </w:pPr>
      <w:r w:rsidRPr="007C1A06">
        <w:rPr>
          <w:rFonts w:ascii="Times New Roman" w:hAnsi="Times New Roman"/>
          <w:i/>
        </w:rPr>
        <w:t>Doksorubicinas</w:t>
      </w:r>
    </w:p>
    <w:p w14:paraId="4D624729" w14:textId="77777777" w:rsidR="00D875C0" w:rsidRPr="00FB5C4B"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Kartu vartojamas docetakselis neveikia doksorubicino klirenso ir doksorubicino metabolito </w:t>
      </w:r>
      <w:r w:rsidR="00FE396E">
        <w:rPr>
          <w:rFonts w:ascii="Times New Roman" w:eastAsia="Times New Roman" w:hAnsi="Times New Roman" w:cs="Times New Roman"/>
        </w:rPr>
        <w:t>-</w:t>
      </w:r>
      <w:r w:rsidRPr="00F95B76">
        <w:rPr>
          <w:rFonts w:ascii="Times New Roman" w:hAnsi="Times New Roman"/>
        </w:rPr>
        <w:t xml:space="preserve">doksorubicinolio </w:t>
      </w:r>
      <w:r w:rsidRPr="001F2C46">
        <w:rPr>
          <w:rFonts w:ascii="Times New Roman" w:hAnsi="Times New Roman"/>
        </w:rPr>
        <w:t>koncentracijos plazmoje. Kartu vartojant docetakselį, doksorubicinas ir ciklofosfamidas vienas kito farmakokinetikos nekeičia.</w:t>
      </w:r>
    </w:p>
    <w:p w14:paraId="4E50BE0B" w14:textId="77777777" w:rsidR="00012DC0" w:rsidRDefault="00012DC0" w:rsidP="00D875C0">
      <w:pPr>
        <w:autoSpaceDE w:val="0"/>
        <w:autoSpaceDN w:val="0"/>
        <w:adjustRightInd w:val="0"/>
        <w:spacing w:after="0"/>
        <w:rPr>
          <w:rFonts w:ascii="Times New Roman" w:hAnsi="Times New Roman"/>
          <w:i/>
        </w:rPr>
      </w:pPr>
    </w:p>
    <w:p w14:paraId="0A979726" w14:textId="77777777" w:rsidR="00D875C0" w:rsidRPr="004E3CD5" w:rsidRDefault="00D875C0" w:rsidP="00D875C0">
      <w:pPr>
        <w:autoSpaceDE w:val="0"/>
        <w:autoSpaceDN w:val="0"/>
        <w:adjustRightInd w:val="0"/>
        <w:spacing w:after="0"/>
        <w:rPr>
          <w:rFonts w:ascii="Times New Roman" w:eastAsiaTheme="minorEastAsia" w:hAnsi="Times New Roman"/>
          <w:i/>
          <w:lang w:eastAsia="zh-TW"/>
        </w:rPr>
      </w:pPr>
      <w:r w:rsidRPr="004E3CD5">
        <w:rPr>
          <w:rFonts w:ascii="Times New Roman" w:hAnsi="Times New Roman"/>
          <w:i/>
        </w:rPr>
        <w:t>Kapecitabinas</w:t>
      </w:r>
    </w:p>
    <w:p w14:paraId="748E3689" w14:textId="77777777" w:rsidR="00D875C0" w:rsidRPr="000C43D3"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I</w:t>
      </w:r>
      <w:r w:rsidR="00AD06A4" w:rsidRPr="001F2C46">
        <w:rPr>
          <w:rFonts w:ascii="Times New Roman" w:hAnsi="Times New Roman"/>
        </w:rPr>
        <w:t> </w:t>
      </w:r>
      <w:r w:rsidRPr="001F2C46">
        <w:rPr>
          <w:rFonts w:ascii="Times New Roman" w:hAnsi="Times New Roman"/>
        </w:rPr>
        <w:t>faz</w:t>
      </w:r>
      <w:r w:rsidRPr="00427D92">
        <w:rPr>
          <w:rFonts w:ascii="Times New Roman" w:hAnsi="Times New Roman"/>
        </w:rPr>
        <w:t>ės metu tirtas kapecitabino ir docetakselio poveikis vienas kito farmakokinetikai. Kapecitabino įtakos docetakselio farmakokinetikai (didžiausiai koncentracijai ir AUC) nenustatyta. Taip pat nenustatyta docetakselio įtakos pagrindinio kapecitabino metabolito (5’</w:t>
      </w:r>
      <w:r w:rsidRPr="00427D92">
        <w:rPr>
          <w:rFonts w:ascii="Times New Roman" w:hAnsi="Times New Roman"/>
          <w:b/>
        </w:rPr>
        <w:t>-</w:t>
      </w:r>
      <w:r w:rsidRPr="000C43D3">
        <w:rPr>
          <w:rFonts w:ascii="Times New Roman" w:hAnsi="Times New Roman"/>
        </w:rPr>
        <w:t>DFUR) farmakokinetikai.</w:t>
      </w:r>
    </w:p>
    <w:p w14:paraId="0ECF2CA5" w14:textId="77777777" w:rsidR="00012DC0" w:rsidRPr="00C722B4" w:rsidRDefault="00012DC0" w:rsidP="00D875C0">
      <w:pPr>
        <w:autoSpaceDE w:val="0"/>
        <w:autoSpaceDN w:val="0"/>
        <w:adjustRightInd w:val="0"/>
        <w:spacing w:after="0" w:line="240" w:lineRule="auto"/>
        <w:rPr>
          <w:rFonts w:ascii="Times New Roman" w:hAnsi="Times New Roman"/>
        </w:rPr>
      </w:pPr>
    </w:p>
    <w:p w14:paraId="3CF0679F" w14:textId="77777777" w:rsidR="00D875C0" w:rsidRPr="004E3CD5" w:rsidRDefault="00D875C0" w:rsidP="00D875C0">
      <w:pPr>
        <w:autoSpaceDE w:val="0"/>
        <w:autoSpaceDN w:val="0"/>
        <w:adjustRightInd w:val="0"/>
        <w:spacing w:after="0"/>
        <w:rPr>
          <w:rFonts w:ascii="Times New Roman" w:eastAsiaTheme="minorEastAsia" w:hAnsi="Times New Roman"/>
          <w:i/>
          <w:lang w:eastAsia="zh-TW"/>
        </w:rPr>
      </w:pPr>
      <w:r w:rsidRPr="004E3CD5">
        <w:rPr>
          <w:rFonts w:ascii="Times New Roman" w:hAnsi="Times New Roman"/>
          <w:i/>
        </w:rPr>
        <w:t>Cisplatina</w:t>
      </w:r>
    </w:p>
    <w:p w14:paraId="6DC402A5" w14:textId="77777777" w:rsidR="00D875C0" w:rsidRPr="001F2C4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Kartu su cisplatina vartojamo docetakselio klirensas buvo panašus į</w:t>
      </w:r>
      <w:r w:rsidRPr="001F2C46">
        <w:rPr>
          <w:rFonts w:ascii="Times New Roman" w:hAnsi="Times New Roman"/>
        </w:rPr>
        <w:t xml:space="preserve"> nustatytą jį vartojant atskirai. Cisplatinos, pavartotos tuoj po docetakselio sulašinimo, farmakokinetikos pobūdis yra panašus kaip vartojamos atskirai.</w:t>
      </w:r>
    </w:p>
    <w:p w14:paraId="13A66383" w14:textId="77777777" w:rsidR="00D875C0" w:rsidRPr="00427D92" w:rsidRDefault="00D875C0" w:rsidP="00D875C0">
      <w:pPr>
        <w:autoSpaceDE w:val="0"/>
        <w:autoSpaceDN w:val="0"/>
        <w:adjustRightInd w:val="0"/>
        <w:spacing w:after="0" w:line="240" w:lineRule="auto"/>
        <w:rPr>
          <w:rFonts w:ascii="Times New Roman" w:hAnsi="Times New Roman"/>
        </w:rPr>
      </w:pPr>
    </w:p>
    <w:p w14:paraId="71445DE5" w14:textId="77777777" w:rsidR="00D875C0" w:rsidRPr="004E3CD5" w:rsidRDefault="00D875C0" w:rsidP="00D875C0">
      <w:pPr>
        <w:autoSpaceDE w:val="0"/>
        <w:autoSpaceDN w:val="0"/>
        <w:adjustRightInd w:val="0"/>
        <w:spacing w:after="0"/>
        <w:rPr>
          <w:rFonts w:ascii="Times New Roman" w:eastAsiaTheme="minorEastAsia" w:hAnsi="Times New Roman"/>
          <w:i/>
          <w:lang w:eastAsia="zh-TW"/>
        </w:rPr>
      </w:pPr>
      <w:r w:rsidRPr="004E3CD5">
        <w:rPr>
          <w:rFonts w:ascii="Times New Roman" w:hAnsi="Times New Roman"/>
          <w:i/>
        </w:rPr>
        <w:t>Cisplatina ir 5-fluorouracilas</w:t>
      </w:r>
    </w:p>
    <w:p w14:paraId="66D31B11" w14:textId="77777777" w:rsidR="00D875C0" w:rsidRPr="00427D92"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 xml:space="preserve">12 pacientų solidinių navikų gydymui vartoti docetakselis, cisplatina </w:t>
      </w:r>
      <w:r w:rsidR="00E414F5" w:rsidRPr="001F2C46">
        <w:rPr>
          <w:rFonts w:ascii="Times New Roman" w:hAnsi="Times New Roman"/>
        </w:rPr>
        <w:t xml:space="preserve">ir </w:t>
      </w:r>
      <w:r w:rsidRPr="001F2C46">
        <w:rPr>
          <w:rFonts w:ascii="Times New Roman" w:hAnsi="Times New Roman"/>
        </w:rPr>
        <w:t>5</w:t>
      </w:r>
      <w:r w:rsidRPr="00427D92">
        <w:rPr>
          <w:rFonts w:ascii="Times New Roman" w:hAnsi="Times New Roman"/>
          <w:b/>
        </w:rPr>
        <w:t>-</w:t>
      </w:r>
      <w:r w:rsidRPr="00427D92">
        <w:rPr>
          <w:rFonts w:ascii="Times New Roman" w:hAnsi="Times New Roman"/>
        </w:rPr>
        <w:t>fluorouracilas poveikio vienas kito farmakokinetikai nedarė.</w:t>
      </w:r>
    </w:p>
    <w:p w14:paraId="4BC24533" w14:textId="77777777" w:rsidR="00D875C0" w:rsidRPr="00C722B4" w:rsidRDefault="00D875C0" w:rsidP="00D875C0">
      <w:pPr>
        <w:autoSpaceDE w:val="0"/>
        <w:autoSpaceDN w:val="0"/>
        <w:adjustRightInd w:val="0"/>
        <w:spacing w:after="0" w:line="240" w:lineRule="auto"/>
        <w:rPr>
          <w:rFonts w:ascii="Times New Roman" w:hAnsi="Times New Roman"/>
        </w:rPr>
      </w:pPr>
    </w:p>
    <w:p w14:paraId="76E59030" w14:textId="77777777" w:rsidR="00D875C0" w:rsidRPr="004E3CD5" w:rsidRDefault="00D875C0" w:rsidP="00D875C0">
      <w:pPr>
        <w:autoSpaceDE w:val="0"/>
        <w:autoSpaceDN w:val="0"/>
        <w:adjustRightInd w:val="0"/>
        <w:spacing w:after="0"/>
        <w:rPr>
          <w:rFonts w:ascii="Times New Roman" w:eastAsiaTheme="minorEastAsia" w:hAnsi="Times New Roman"/>
          <w:i/>
          <w:lang w:eastAsia="zh-TW"/>
        </w:rPr>
      </w:pPr>
      <w:r w:rsidRPr="004E3CD5">
        <w:rPr>
          <w:rFonts w:ascii="Times New Roman" w:hAnsi="Times New Roman"/>
          <w:i/>
        </w:rPr>
        <w:t>Prednizonas ir deksametazonas</w:t>
      </w:r>
    </w:p>
    <w:p w14:paraId="5FD97965" w14:textId="77777777" w:rsidR="00D875C0" w:rsidRPr="001F2C4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 xml:space="preserve">Tirta prednizono, vartojamo kartu su įprastinei premedikacijai skiriamu deksametazonu, įtaka docetakselio farmakokinetikai 42 pacientų organizme. </w:t>
      </w:r>
    </w:p>
    <w:p w14:paraId="3513108D" w14:textId="77777777" w:rsidR="00D875C0" w:rsidRPr="00427D92" w:rsidRDefault="00D875C0" w:rsidP="00D875C0">
      <w:pPr>
        <w:autoSpaceDE w:val="0"/>
        <w:autoSpaceDN w:val="0"/>
        <w:adjustRightInd w:val="0"/>
        <w:spacing w:after="0" w:line="240" w:lineRule="auto"/>
        <w:rPr>
          <w:rFonts w:ascii="Times New Roman" w:hAnsi="Times New Roman"/>
        </w:rPr>
      </w:pPr>
    </w:p>
    <w:p w14:paraId="376ECA8A" w14:textId="77777777" w:rsidR="00D875C0" w:rsidRPr="00874783" w:rsidRDefault="00D875C0" w:rsidP="00D875C0">
      <w:pPr>
        <w:autoSpaceDE w:val="0"/>
        <w:autoSpaceDN w:val="0"/>
        <w:adjustRightInd w:val="0"/>
        <w:spacing w:after="0" w:line="240" w:lineRule="auto"/>
        <w:rPr>
          <w:rFonts w:ascii="Times New Roman" w:eastAsiaTheme="minorEastAsia" w:hAnsi="Times New Roman"/>
          <w:lang w:eastAsia="zh-TW"/>
        </w:rPr>
      </w:pPr>
      <w:r w:rsidRPr="004E3CD5">
        <w:rPr>
          <w:rFonts w:ascii="Times New Roman" w:hAnsi="Times New Roman"/>
          <w:i/>
        </w:rPr>
        <w:t>Prednizonas</w:t>
      </w:r>
    </w:p>
    <w:p w14:paraId="305CD764" w14:textId="77777777" w:rsidR="00D875C0" w:rsidRPr="001F2C46" w:rsidRDefault="00D875C0" w:rsidP="00D875C0">
      <w:pPr>
        <w:autoSpaceDE w:val="0"/>
        <w:autoSpaceDN w:val="0"/>
        <w:adjustRightInd w:val="0"/>
        <w:spacing w:after="0" w:line="240" w:lineRule="auto"/>
        <w:rPr>
          <w:rFonts w:ascii="Times New Roman" w:hAnsi="Times New Roman"/>
        </w:rPr>
      </w:pPr>
      <w:r w:rsidRPr="001F2C46">
        <w:rPr>
          <w:rFonts w:ascii="Times New Roman" w:hAnsi="Times New Roman"/>
        </w:rPr>
        <w:t>Prednizono įtakos docetakselio farmakokinetikai nepastebėta.</w:t>
      </w:r>
    </w:p>
    <w:p w14:paraId="74BFE733" w14:textId="77777777" w:rsidR="00D875C0" w:rsidRPr="00427D92" w:rsidRDefault="00D875C0" w:rsidP="00D875C0">
      <w:pPr>
        <w:spacing w:after="0" w:line="240" w:lineRule="auto"/>
        <w:rPr>
          <w:rFonts w:ascii="Times New Roman" w:hAnsi="Times New Roman"/>
        </w:rPr>
      </w:pPr>
    </w:p>
    <w:p w14:paraId="0115817F" w14:textId="77777777" w:rsidR="00D875C0" w:rsidRPr="00C722B4" w:rsidRDefault="00D875C0" w:rsidP="00D875C0">
      <w:pPr>
        <w:keepNext/>
        <w:keepLines/>
        <w:tabs>
          <w:tab w:val="left" w:pos="567"/>
        </w:tabs>
        <w:spacing w:after="0" w:line="240" w:lineRule="auto"/>
        <w:ind w:left="567" w:hanging="567"/>
        <w:outlineLvl w:val="2"/>
        <w:rPr>
          <w:rFonts w:ascii="Times New Roman" w:hAnsi="Times New Roman"/>
          <w:b/>
          <w:kern w:val="28"/>
        </w:rPr>
      </w:pPr>
      <w:bookmarkStart w:id="37" w:name="_Toc129243114"/>
      <w:bookmarkStart w:id="38" w:name="_Toc129243239"/>
      <w:r w:rsidRPr="00C722B4">
        <w:rPr>
          <w:rFonts w:ascii="Times New Roman" w:hAnsi="Times New Roman"/>
          <w:b/>
          <w:kern w:val="28"/>
        </w:rPr>
        <w:t>5.3</w:t>
      </w:r>
      <w:r w:rsidRPr="00C722B4">
        <w:rPr>
          <w:rFonts w:ascii="Times New Roman" w:hAnsi="Times New Roman"/>
          <w:b/>
          <w:kern w:val="28"/>
        </w:rPr>
        <w:tab/>
        <w:t>Ikiklinikinių saugumo tyrimų duomenys</w:t>
      </w:r>
      <w:bookmarkEnd w:id="37"/>
      <w:bookmarkEnd w:id="38"/>
    </w:p>
    <w:p w14:paraId="3115A341" w14:textId="77777777" w:rsidR="00D875C0" w:rsidRPr="007C1A06" w:rsidRDefault="00D875C0" w:rsidP="00D875C0">
      <w:pPr>
        <w:spacing w:after="0" w:line="240" w:lineRule="auto"/>
        <w:rPr>
          <w:rFonts w:ascii="Times New Roman" w:hAnsi="Times New Roman"/>
        </w:rPr>
      </w:pPr>
    </w:p>
    <w:p w14:paraId="2624BE5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Docetakselio potencialus kancerogeninis poveikis netirtas.</w:t>
      </w:r>
    </w:p>
    <w:p w14:paraId="6AA7111E" w14:textId="77777777" w:rsidR="00D875C0" w:rsidRPr="007C1A06" w:rsidRDefault="00D875C0" w:rsidP="00D875C0">
      <w:pPr>
        <w:autoSpaceDE w:val="0"/>
        <w:autoSpaceDN w:val="0"/>
        <w:adjustRightInd w:val="0"/>
        <w:spacing w:after="0" w:line="240" w:lineRule="auto"/>
        <w:rPr>
          <w:rFonts w:ascii="Times New Roman" w:hAnsi="Times New Roman"/>
        </w:rPr>
      </w:pPr>
    </w:p>
    <w:p w14:paraId="2648979C" w14:textId="235FE449" w:rsidR="00D875C0" w:rsidRPr="004E3CD5" w:rsidRDefault="00D875C0" w:rsidP="00C54EAD">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Mikrobranduolių ir chromosomų aberacijos testai su CHO</w:t>
      </w:r>
      <w:r w:rsidRPr="007C1A06">
        <w:rPr>
          <w:rFonts w:ascii="Times New Roman" w:hAnsi="Times New Roman"/>
          <w:b/>
        </w:rPr>
        <w:t>-</w:t>
      </w:r>
      <w:r w:rsidRPr="007C1A06">
        <w:rPr>
          <w:rFonts w:ascii="Times New Roman" w:hAnsi="Times New Roman"/>
        </w:rPr>
        <w:t xml:space="preserve">K1 (kiniškojo žiurkėno kiaušidžių K1) ląstelėmis </w:t>
      </w:r>
      <w:r w:rsidRPr="007C1A06">
        <w:rPr>
          <w:rFonts w:ascii="Times New Roman" w:hAnsi="Times New Roman"/>
          <w:i/>
        </w:rPr>
        <w:t xml:space="preserve">in vitro </w:t>
      </w:r>
      <w:r w:rsidRPr="007C1A06">
        <w:rPr>
          <w:rFonts w:ascii="Times New Roman" w:hAnsi="Times New Roman"/>
        </w:rPr>
        <w:t xml:space="preserve">bei mikrobranduolių testas su pelėmis </w:t>
      </w:r>
      <w:r w:rsidRPr="007C1A06">
        <w:rPr>
          <w:rFonts w:ascii="Times New Roman" w:hAnsi="Times New Roman"/>
          <w:i/>
        </w:rPr>
        <w:t xml:space="preserve">in vivo </w:t>
      </w:r>
      <w:r w:rsidRPr="007C1A06">
        <w:rPr>
          <w:rFonts w:ascii="Times New Roman" w:hAnsi="Times New Roman"/>
        </w:rPr>
        <w:t xml:space="preserve">parodė docetakselio </w:t>
      </w:r>
      <w:r w:rsidR="00C54EAD" w:rsidRPr="00C54EAD">
        <w:rPr>
          <w:rFonts w:ascii="Times New Roman" w:hAnsi="Times New Roman"/>
        </w:rPr>
        <w:t>genotoksinį</w:t>
      </w:r>
      <w:r w:rsidR="00C54EAD" w:rsidRPr="007C1A06">
        <w:rPr>
          <w:rFonts w:ascii="Times New Roman" w:hAnsi="Times New Roman"/>
        </w:rPr>
        <w:t xml:space="preserve"> </w:t>
      </w:r>
      <w:r w:rsidRPr="007C1A06">
        <w:rPr>
          <w:rFonts w:ascii="Times New Roman" w:hAnsi="Times New Roman"/>
        </w:rPr>
        <w:t>poveikį</w:t>
      </w:r>
      <w:r w:rsidR="00C54EAD" w:rsidRPr="00C54EAD">
        <w:t xml:space="preserve"> </w:t>
      </w:r>
      <w:r w:rsidR="00C54EAD" w:rsidRPr="00C54EAD">
        <w:rPr>
          <w:rFonts w:ascii="Times New Roman" w:hAnsi="Times New Roman"/>
        </w:rPr>
        <w:t>aneugeniniu mechanizmu</w:t>
      </w:r>
      <w:r w:rsidRPr="007C1A06">
        <w:rPr>
          <w:rFonts w:ascii="Times New Roman" w:hAnsi="Times New Roman"/>
        </w:rPr>
        <w:t>. Ames testas ir kiniškojo žiurkėno kiaušidžių ląstelių HGPRT geno mutacijos testas mutageninio poveikio neparodė. Gauti rezultatai yra suderinami su turima informacija apie docetakselio farmakologinį poveikį.</w:t>
      </w:r>
    </w:p>
    <w:p w14:paraId="49ED067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Tiriant docetakselio toksiškumą nustatytas nepageidaujamas poveikis graužikų sėklidėms rodo, kad docetakselis gali trikdyti vyriškos lyties individų vaisingumą.</w:t>
      </w:r>
    </w:p>
    <w:p w14:paraId="251D4E42" w14:textId="77777777" w:rsidR="00D875C0" w:rsidRPr="007C1A06" w:rsidRDefault="00D875C0" w:rsidP="00D875C0">
      <w:pPr>
        <w:spacing w:after="0" w:line="240" w:lineRule="auto"/>
        <w:rPr>
          <w:rFonts w:ascii="Times New Roman" w:hAnsi="Times New Roman"/>
        </w:rPr>
      </w:pPr>
    </w:p>
    <w:p w14:paraId="705003B4" w14:textId="77777777" w:rsidR="00D875C0" w:rsidRPr="007C1A06" w:rsidRDefault="00D875C0" w:rsidP="00D875C0">
      <w:pPr>
        <w:spacing w:after="0" w:line="240" w:lineRule="auto"/>
        <w:rPr>
          <w:rFonts w:ascii="Times New Roman" w:hAnsi="Times New Roman"/>
        </w:rPr>
      </w:pPr>
    </w:p>
    <w:p w14:paraId="48AB0667" w14:textId="77777777" w:rsidR="00D875C0" w:rsidRPr="007C1A06" w:rsidRDefault="00D875C0" w:rsidP="00D875C0">
      <w:pPr>
        <w:keepNext/>
        <w:tabs>
          <w:tab w:val="left" w:pos="567"/>
        </w:tabs>
        <w:spacing w:after="0" w:line="240" w:lineRule="auto"/>
        <w:ind w:left="567" w:hanging="567"/>
        <w:outlineLvl w:val="1"/>
        <w:rPr>
          <w:rFonts w:ascii="Times New Roman" w:hAnsi="Times New Roman"/>
          <w:b/>
        </w:rPr>
      </w:pPr>
      <w:bookmarkStart w:id="39" w:name="_Toc129243115"/>
      <w:bookmarkStart w:id="40" w:name="_Toc129243240"/>
      <w:r w:rsidRPr="007C1A06">
        <w:rPr>
          <w:rFonts w:ascii="Times New Roman" w:hAnsi="Times New Roman"/>
          <w:b/>
        </w:rPr>
        <w:t>6.</w:t>
      </w:r>
      <w:r w:rsidRPr="007C1A06">
        <w:rPr>
          <w:rFonts w:ascii="Times New Roman" w:hAnsi="Times New Roman"/>
          <w:b/>
        </w:rPr>
        <w:tab/>
        <w:t>FARMACINĖ INFORMACIJA</w:t>
      </w:r>
      <w:bookmarkEnd w:id="39"/>
      <w:bookmarkEnd w:id="40"/>
    </w:p>
    <w:p w14:paraId="64217A8D" w14:textId="77777777" w:rsidR="00D875C0" w:rsidRPr="007C1A06" w:rsidRDefault="00D875C0" w:rsidP="00D875C0">
      <w:pPr>
        <w:spacing w:after="0" w:line="240" w:lineRule="auto"/>
        <w:rPr>
          <w:rFonts w:ascii="Times New Roman" w:hAnsi="Times New Roman"/>
        </w:rPr>
      </w:pPr>
    </w:p>
    <w:p w14:paraId="73676AF5" w14:textId="77777777" w:rsidR="00D875C0" w:rsidRPr="007C1A06" w:rsidRDefault="00D875C0" w:rsidP="00D875C0">
      <w:pPr>
        <w:keepNext/>
        <w:keepLines/>
        <w:tabs>
          <w:tab w:val="left" w:pos="567"/>
        </w:tabs>
        <w:spacing w:after="0" w:line="240" w:lineRule="auto"/>
        <w:ind w:left="567" w:hanging="567"/>
        <w:outlineLvl w:val="2"/>
        <w:rPr>
          <w:rFonts w:ascii="Times New Roman" w:hAnsi="Times New Roman"/>
          <w:b/>
          <w:kern w:val="28"/>
        </w:rPr>
      </w:pPr>
      <w:bookmarkStart w:id="41" w:name="_Toc129243116"/>
      <w:bookmarkStart w:id="42" w:name="_Toc129243241"/>
      <w:r w:rsidRPr="007C1A06">
        <w:rPr>
          <w:rFonts w:ascii="Times New Roman" w:hAnsi="Times New Roman"/>
          <w:b/>
          <w:kern w:val="28"/>
        </w:rPr>
        <w:t>6.1</w:t>
      </w:r>
      <w:r w:rsidRPr="007C1A06">
        <w:rPr>
          <w:rFonts w:ascii="Times New Roman" w:hAnsi="Times New Roman"/>
          <w:b/>
          <w:kern w:val="28"/>
        </w:rPr>
        <w:tab/>
        <w:t>Pagalbinių medžiagų sąrašas</w:t>
      </w:r>
      <w:bookmarkEnd w:id="41"/>
      <w:bookmarkEnd w:id="42"/>
    </w:p>
    <w:p w14:paraId="617F1CE2" w14:textId="77777777" w:rsidR="00D875C0" w:rsidRPr="007C1A06" w:rsidRDefault="00D875C0" w:rsidP="00D875C0">
      <w:pPr>
        <w:spacing w:after="0" w:line="240" w:lineRule="auto"/>
        <w:rPr>
          <w:rFonts w:ascii="Times New Roman" w:hAnsi="Times New Roman"/>
        </w:rPr>
      </w:pPr>
    </w:p>
    <w:p w14:paraId="6483E8E2"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Bevandenė citrinų rūgštis</w:t>
      </w:r>
    </w:p>
    <w:p w14:paraId="338A1DB0"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Makrogolis 300</w:t>
      </w:r>
    </w:p>
    <w:p w14:paraId="54A1BEE1"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Polisorbatas 80</w:t>
      </w:r>
    </w:p>
    <w:p w14:paraId="5C24A4B0"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Etanolis (96</w:t>
      </w:r>
      <w:r w:rsidR="00AD06A4" w:rsidRPr="007C1A06">
        <w:rPr>
          <w:rFonts w:ascii="Times New Roman" w:hAnsi="Times New Roman"/>
        </w:rPr>
        <w:t> </w:t>
      </w:r>
      <w:r w:rsidRPr="007C1A06">
        <w:rPr>
          <w:rFonts w:ascii="Times New Roman" w:hAnsi="Times New Roman"/>
        </w:rPr>
        <w:t>%)</w:t>
      </w:r>
    </w:p>
    <w:p w14:paraId="04CEE3CF" w14:textId="77777777" w:rsidR="00D875C0" w:rsidRPr="007C1A06" w:rsidRDefault="00D875C0" w:rsidP="00D875C0">
      <w:pPr>
        <w:spacing w:after="0" w:line="240" w:lineRule="auto"/>
        <w:rPr>
          <w:rFonts w:ascii="Times New Roman" w:hAnsi="Times New Roman"/>
        </w:rPr>
      </w:pPr>
    </w:p>
    <w:p w14:paraId="100636F2" w14:textId="77777777" w:rsidR="00D875C0" w:rsidRPr="007C1A06" w:rsidRDefault="00D875C0" w:rsidP="00D875C0">
      <w:pPr>
        <w:keepNext/>
        <w:keepLines/>
        <w:tabs>
          <w:tab w:val="left" w:pos="567"/>
        </w:tabs>
        <w:spacing w:after="0" w:line="240" w:lineRule="auto"/>
        <w:ind w:left="567" w:hanging="567"/>
        <w:outlineLvl w:val="2"/>
        <w:rPr>
          <w:rFonts w:ascii="Times New Roman" w:hAnsi="Times New Roman"/>
          <w:b/>
          <w:kern w:val="28"/>
        </w:rPr>
      </w:pPr>
      <w:bookmarkStart w:id="43" w:name="_Toc129243117"/>
      <w:bookmarkStart w:id="44" w:name="_Toc129243242"/>
      <w:r w:rsidRPr="007C1A06">
        <w:rPr>
          <w:rFonts w:ascii="Times New Roman" w:hAnsi="Times New Roman"/>
          <w:b/>
          <w:kern w:val="28"/>
        </w:rPr>
        <w:t>6.2</w:t>
      </w:r>
      <w:r w:rsidRPr="007C1A06">
        <w:rPr>
          <w:rFonts w:ascii="Times New Roman" w:hAnsi="Times New Roman"/>
          <w:b/>
          <w:kern w:val="28"/>
        </w:rPr>
        <w:tab/>
        <w:t>Nesuderinamumas</w:t>
      </w:r>
      <w:bookmarkEnd w:id="43"/>
      <w:bookmarkEnd w:id="44"/>
    </w:p>
    <w:p w14:paraId="5976A4F9" w14:textId="77777777" w:rsidR="00D875C0" w:rsidRPr="007C1A06" w:rsidRDefault="00D875C0" w:rsidP="00D875C0">
      <w:pPr>
        <w:spacing w:after="0" w:line="240" w:lineRule="auto"/>
        <w:rPr>
          <w:rFonts w:ascii="Times New Roman" w:hAnsi="Times New Roman"/>
        </w:rPr>
      </w:pPr>
    </w:p>
    <w:p w14:paraId="37A3D41A"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Šio vaistinio preparato negalima maišyti su kitais, išskyrus nurodytus 6.6 skyriuje.</w:t>
      </w:r>
    </w:p>
    <w:p w14:paraId="230CB5A6" w14:textId="77777777" w:rsidR="00D875C0" w:rsidRPr="007C1A06" w:rsidRDefault="00D875C0" w:rsidP="00D875C0">
      <w:pPr>
        <w:spacing w:after="0" w:line="240" w:lineRule="auto"/>
        <w:rPr>
          <w:rFonts w:ascii="Times New Roman" w:hAnsi="Times New Roman"/>
        </w:rPr>
      </w:pPr>
    </w:p>
    <w:p w14:paraId="39A170BB" w14:textId="77777777" w:rsidR="00D875C0" w:rsidRPr="007C1A06" w:rsidRDefault="00D875C0" w:rsidP="00D875C0">
      <w:pPr>
        <w:keepNext/>
        <w:keepLines/>
        <w:tabs>
          <w:tab w:val="left" w:pos="567"/>
        </w:tabs>
        <w:spacing w:after="0" w:line="240" w:lineRule="auto"/>
        <w:ind w:left="567" w:hanging="567"/>
        <w:outlineLvl w:val="2"/>
        <w:rPr>
          <w:rFonts w:ascii="Times New Roman" w:hAnsi="Times New Roman"/>
          <w:b/>
          <w:kern w:val="28"/>
        </w:rPr>
      </w:pPr>
      <w:bookmarkStart w:id="45" w:name="_Toc129243118"/>
      <w:bookmarkStart w:id="46" w:name="_Toc129243243"/>
      <w:r w:rsidRPr="007C1A06">
        <w:rPr>
          <w:rFonts w:ascii="Times New Roman" w:hAnsi="Times New Roman"/>
          <w:b/>
          <w:kern w:val="28"/>
        </w:rPr>
        <w:t>6.3</w:t>
      </w:r>
      <w:r w:rsidRPr="007C1A06">
        <w:rPr>
          <w:rFonts w:ascii="Times New Roman" w:hAnsi="Times New Roman"/>
          <w:b/>
          <w:kern w:val="28"/>
        </w:rPr>
        <w:tab/>
        <w:t>Tinkamumo laikas</w:t>
      </w:r>
      <w:bookmarkEnd w:id="45"/>
      <w:bookmarkEnd w:id="46"/>
    </w:p>
    <w:p w14:paraId="016E7E18" w14:textId="77777777" w:rsidR="00D875C0" w:rsidRPr="007C1A06" w:rsidRDefault="00D875C0" w:rsidP="00D875C0">
      <w:pPr>
        <w:spacing w:after="0" w:line="240" w:lineRule="auto"/>
        <w:rPr>
          <w:rFonts w:ascii="Times New Roman" w:hAnsi="Times New Roman"/>
        </w:rPr>
      </w:pPr>
    </w:p>
    <w:p w14:paraId="06E80F20" w14:textId="77777777" w:rsidR="00A27799" w:rsidRPr="00427D92" w:rsidRDefault="007C1A06" w:rsidP="007C1A06">
      <w:pPr>
        <w:spacing w:after="0" w:line="240" w:lineRule="auto"/>
        <w:rPr>
          <w:rFonts w:ascii="Times New Roman" w:hAnsi="Times New Roman"/>
        </w:rPr>
      </w:pPr>
      <w:r w:rsidRPr="00F95B76">
        <w:rPr>
          <w:rFonts w:ascii="Times New Roman" w:hAnsi="Times New Roman"/>
        </w:rPr>
        <w:t>2</w:t>
      </w:r>
      <w:r w:rsidRPr="001F2C46">
        <w:rPr>
          <w:rFonts w:ascii="Times New Roman" w:hAnsi="Times New Roman"/>
        </w:rPr>
        <w:t> metai.</w:t>
      </w:r>
    </w:p>
    <w:p w14:paraId="0F98FF25" w14:textId="77777777" w:rsidR="00A27799" w:rsidRPr="00327F03" w:rsidRDefault="00083798" w:rsidP="007C1A06">
      <w:pPr>
        <w:spacing w:after="0" w:line="240" w:lineRule="auto"/>
        <w:rPr>
          <w:rFonts w:ascii="Times New Roman" w:eastAsia="Times New Roman" w:hAnsi="Times New Roman" w:cs="Times New Roman"/>
          <w:u w:val="single"/>
        </w:rPr>
      </w:pPr>
      <w:r w:rsidRPr="00327F03">
        <w:rPr>
          <w:rFonts w:ascii="Times New Roman" w:eastAsia="Times New Roman" w:hAnsi="Times New Roman" w:cs="Times New Roman"/>
          <w:u w:val="single"/>
        </w:rPr>
        <w:t>Tinkamumo laikas po pirmojo atidarymo</w:t>
      </w:r>
    </w:p>
    <w:p w14:paraId="7B80D61D" w14:textId="77777777" w:rsidR="00A27799" w:rsidRDefault="007C1A06" w:rsidP="007C1A06">
      <w:pPr>
        <w:spacing w:after="0" w:line="240" w:lineRule="auto"/>
        <w:rPr>
          <w:rFonts w:ascii="Times New Roman" w:eastAsia="Times New Roman" w:hAnsi="Times New Roman" w:cs="Times New Roman"/>
        </w:rPr>
      </w:pPr>
      <w:r w:rsidRPr="00111A39">
        <w:rPr>
          <w:rFonts w:ascii="Times New Roman" w:eastAsia="Times New Roman" w:hAnsi="Times New Roman" w:cs="Times New Roman"/>
        </w:rPr>
        <w:t>28</w:t>
      </w:r>
      <w:r>
        <w:rPr>
          <w:rFonts w:ascii="Times New Roman" w:eastAsia="Times New Roman" w:hAnsi="Times New Roman" w:cs="Times New Roman"/>
        </w:rPr>
        <w:t> </w:t>
      </w:r>
      <w:r w:rsidR="00A27799">
        <w:rPr>
          <w:rFonts w:ascii="Times New Roman" w:eastAsia="Times New Roman" w:hAnsi="Times New Roman" w:cs="Times New Roman"/>
        </w:rPr>
        <w:t>paros</w:t>
      </w:r>
      <w:r w:rsidRPr="00111A39">
        <w:rPr>
          <w:rFonts w:ascii="Times New Roman" w:eastAsia="Times New Roman" w:hAnsi="Times New Roman" w:cs="Times New Roman"/>
        </w:rPr>
        <w:t>.</w:t>
      </w:r>
    </w:p>
    <w:p w14:paraId="18A30A6A" w14:textId="77777777" w:rsidR="00A27799" w:rsidRDefault="00A27799" w:rsidP="007C1A06">
      <w:pPr>
        <w:spacing w:after="0" w:line="240" w:lineRule="auto"/>
        <w:rPr>
          <w:rFonts w:ascii="Times New Roman" w:eastAsia="Times New Roman" w:hAnsi="Times New Roman" w:cs="Times New Roman"/>
        </w:rPr>
      </w:pPr>
    </w:p>
    <w:p w14:paraId="41D347B8" w14:textId="77777777" w:rsidR="00A27799" w:rsidRPr="00327F03" w:rsidRDefault="00083798" w:rsidP="007C1A06">
      <w:pPr>
        <w:spacing w:after="0" w:line="240" w:lineRule="auto"/>
        <w:rPr>
          <w:rFonts w:ascii="Times New Roman" w:eastAsia="Times New Roman" w:hAnsi="Times New Roman" w:cs="Times New Roman"/>
          <w:u w:val="single"/>
        </w:rPr>
      </w:pPr>
      <w:r w:rsidRPr="00327F03">
        <w:rPr>
          <w:rFonts w:ascii="Times New Roman" w:eastAsia="Times New Roman" w:hAnsi="Times New Roman" w:cs="Times New Roman"/>
          <w:u w:val="single"/>
        </w:rPr>
        <w:t>Laikymo sąlygos po pirmojo atidarymo</w:t>
      </w:r>
    </w:p>
    <w:p w14:paraId="6173350F" w14:textId="77777777" w:rsidR="007C1A06" w:rsidRPr="001F2C46" w:rsidRDefault="007C1A06" w:rsidP="007C1A06">
      <w:pPr>
        <w:spacing w:after="0" w:line="240" w:lineRule="auto"/>
        <w:rPr>
          <w:rFonts w:ascii="Times New Roman" w:hAnsi="Times New Roman"/>
        </w:rPr>
      </w:pPr>
      <w:r w:rsidRPr="00F95B76">
        <w:rPr>
          <w:rFonts w:ascii="Times New Roman" w:hAnsi="Times New Roman"/>
        </w:rPr>
        <w:t>Laikyti ne aukštesnėje kaip 25</w:t>
      </w:r>
      <w:r w:rsidRPr="001F2C46">
        <w:rPr>
          <w:rFonts w:ascii="Times New Roman" w:hAnsi="Times New Roman"/>
        </w:rPr>
        <w:t> °C temperatūroje.</w:t>
      </w:r>
    </w:p>
    <w:p w14:paraId="1BC76AC6" w14:textId="77777777" w:rsidR="00D875C0" w:rsidRPr="00427D92" w:rsidRDefault="00D875C0" w:rsidP="00D875C0">
      <w:pPr>
        <w:spacing w:after="0" w:line="240" w:lineRule="auto"/>
        <w:rPr>
          <w:rFonts w:ascii="Times New Roman" w:hAnsi="Times New Roman"/>
        </w:rPr>
      </w:pPr>
    </w:p>
    <w:p w14:paraId="4C57FE1A" w14:textId="77777777" w:rsidR="00D875C0" w:rsidRPr="00C722B4" w:rsidRDefault="00D875C0" w:rsidP="00D875C0">
      <w:pPr>
        <w:spacing w:after="0" w:line="240" w:lineRule="auto"/>
        <w:rPr>
          <w:rFonts w:ascii="Times New Roman" w:hAnsi="Times New Roman"/>
        </w:rPr>
      </w:pPr>
      <w:r w:rsidRPr="00C722B4">
        <w:rPr>
          <w:rFonts w:ascii="Times New Roman" w:hAnsi="Times New Roman"/>
        </w:rPr>
        <w:t>Tinkamumo laikas po praskiedimo</w:t>
      </w:r>
    </w:p>
    <w:p w14:paraId="66BC12EB"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Docetakselio infuzinis tirpalas yra prisotintas tirpalas ir todėl laikui bėgant gali kristalizuotis/nusėsti nuosėdomis. Prieš vartojimą infuzinis tirpalas turi būti atidžiai apžiūrimas ar jame nėra dalelių. Jeigu tirpalas nėra skaidrus ar jame yra dalelių, jis turi būti sunaikinamas.</w:t>
      </w:r>
    </w:p>
    <w:p w14:paraId="582EBBA7" w14:textId="77777777" w:rsidR="00D875C0" w:rsidRPr="007C1A06" w:rsidRDefault="00D875C0" w:rsidP="00D875C0">
      <w:pPr>
        <w:spacing w:after="0" w:line="240" w:lineRule="auto"/>
        <w:rPr>
          <w:rFonts w:ascii="Times New Roman" w:hAnsi="Times New Roman"/>
        </w:rPr>
      </w:pPr>
    </w:p>
    <w:p w14:paraId="13E1E04B"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Nustatyta, kad praskiesto gliukozės 5</w:t>
      </w:r>
      <w:r w:rsidR="00AD06A4" w:rsidRPr="007C1A06">
        <w:rPr>
          <w:rFonts w:ascii="Times New Roman" w:hAnsi="Times New Roman"/>
        </w:rPr>
        <w:t> </w:t>
      </w:r>
      <w:r w:rsidRPr="007C1A06">
        <w:rPr>
          <w:rFonts w:ascii="Times New Roman" w:hAnsi="Times New Roman"/>
        </w:rPr>
        <w:t>% arba natrio chlorido 0,9</w:t>
      </w:r>
      <w:r w:rsidR="00AD06A4" w:rsidRPr="007C1A06">
        <w:rPr>
          <w:rFonts w:ascii="Times New Roman" w:hAnsi="Times New Roman"/>
        </w:rPr>
        <w:t> </w:t>
      </w:r>
      <w:r w:rsidRPr="007C1A06">
        <w:rPr>
          <w:rFonts w:ascii="Times New Roman" w:hAnsi="Times New Roman"/>
        </w:rPr>
        <w:t>% (0,30</w:t>
      </w:r>
      <w:r w:rsidR="00AD06A4" w:rsidRPr="007C1A06">
        <w:rPr>
          <w:rFonts w:ascii="Times New Roman" w:hAnsi="Times New Roman"/>
        </w:rPr>
        <w:t> </w:t>
      </w:r>
      <w:r w:rsidRPr="007C1A06">
        <w:rPr>
          <w:rFonts w:ascii="Times New Roman" w:hAnsi="Times New Roman"/>
        </w:rPr>
        <w:t>mg/ml ir 0,74</w:t>
      </w:r>
      <w:r w:rsidR="00AD06A4" w:rsidRPr="007C1A06">
        <w:rPr>
          <w:rFonts w:ascii="Times New Roman" w:hAnsi="Times New Roman"/>
        </w:rPr>
        <w:t> </w:t>
      </w:r>
      <w:r w:rsidRPr="007C1A06">
        <w:rPr>
          <w:rFonts w:ascii="Times New Roman" w:hAnsi="Times New Roman"/>
        </w:rPr>
        <w:t>mg/ml) tirpalais preparato cheminis ir fizinis stabilumas, laikant apsaugojus nuo šviesos 2</w:t>
      </w:r>
      <w:r w:rsidR="00AD06A4" w:rsidRPr="007C1A06">
        <w:rPr>
          <w:rFonts w:ascii="Times New Roman" w:hAnsi="Times New Roman"/>
        </w:rPr>
        <w:t> </w:t>
      </w:r>
      <w:r w:rsidRPr="007C1A06">
        <w:rPr>
          <w:rFonts w:ascii="Times New Roman" w:hAnsi="Times New Roman"/>
        </w:rPr>
        <w:t>°C</w:t>
      </w:r>
      <w:r w:rsidR="0050253A">
        <w:rPr>
          <w:rFonts w:ascii="Times New Roman" w:hAnsi="Times New Roman"/>
        </w:rPr>
        <w:t xml:space="preserve"> </w:t>
      </w:r>
      <w:r w:rsidR="0050253A" w:rsidRPr="00271C71">
        <w:rPr>
          <w:rFonts w:ascii="Times New Roman" w:hAnsi="Times New Roman" w:cs="Times New Roman"/>
          <w:noProof/>
        </w:rPr>
        <w:t>–</w:t>
      </w:r>
      <w:r w:rsidR="0050253A">
        <w:rPr>
          <w:rFonts w:ascii="Times New Roman" w:hAnsi="Times New Roman" w:cs="Times New Roman"/>
          <w:noProof/>
        </w:rPr>
        <w:t xml:space="preserve"> </w:t>
      </w:r>
      <w:r w:rsidRPr="007C1A06">
        <w:rPr>
          <w:rFonts w:ascii="Times New Roman" w:hAnsi="Times New Roman"/>
        </w:rPr>
        <w:t>8</w:t>
      </w:r>
      <w:r w:rsidR="00AD06A4" w:rsidRPr="007C1A06">
        <w:rPr>
          <w:rFonts w:ascii="Times New Roman" w:hAnsi="Times New Roman"/>
        </w:rPr>
        <w:t> </w:t>
      </w:r>
      <w:r w:rsidRPr="007C1A06">
        <w:rPr>
          <w:rFonts w:ascii="Times New Roman" w:hAnsi="Times New Roman"/>
        </w:rPr>
        <w:t>°C temperatūroje ir neapsaugojus nuo šviesos žemesnėje kaip 25</w:t>
      </w:r>
      <w:r w:rsidR="00AD06A4" w:rsidRPr="007C1A06">
        <w:rPr>
          <w:rFonts w:ascii="Times New Roman" w:hAnsi="Times New Roman"/>
        </w:rPr>
        <w:t> </w:t>
      </w:r>
      <w:r w:rsidRPr="007C1A06">
        <w:rPr>
          <w:rFonts w:ascii="Times New Roman" w:hAnsi="Times New Roman"/>
        </w:rPr>
        <w:t>°C temperatūroje, nekinta 4</w:t>
      </w:r>
      <w:r w:rsidR="00AD06A4" w:rsidRPr="007C1A06">
        <w:rPr>
          <w:rFonts w:ascii="Times New Roman" w:hAnsi="Times New Roman"/>
        </w:rPr>
        <w:t> </w:t>
      </w:r>
      <w:r w:rsidRPr="007C1A06">
        <w:rPr>
          <w:rFonts w:ascii="Times New Roman" w:hAnsi="Times New Roman"/>
        </w:rPr>
        <w:t>valandas.</w:t>
      </w:r>
    </w:p>
    <w:p w14:paraId="5B6662EE"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Mikrobiologiniu požiūriu, vaistinis preparatas po atidarymo turi būti suvartojamas nedelsiant. Jei jis tuoj pat nevartojamas, už laikymo trukmę ir sąlygas atsako vartotojas.</w:t>
      </w:r>
    </w:p>
    <w:p w14:paraId="01EE1B75" w14:textId="77777777" w:rsidR="00D875C0" w:rsidRPr="007C1A06" w:rsidRDefault="00D875C0" w:rsidP="00D875C0">
      <w:pPr>
        <w:spacing w:after="0" w:line="240" w:lineRule="auto"/>
        <w:rPr>
          <w:rFonts w:ascii="Times New Roman" w:hAnsi="Times New Roman"/>
        </w:rPr>
      </w:pPr>
    </w:p>
    <w:p w14:paraId="26A00690" w14:textId="77777777" w:rsidR="00D875C0" w:rsidRPr="007C1A06" w:rsidRDefault="00D875C0" w:rsidP="00D875C0">
      <w:pPr>
        <w:keepNext/>
        <w:keepLines/>
        <w:tabs>
          <w:tab w:val="left" w:pos="567"/>
        </w:tabs>
        <w:spacing w:after="0" w:line="240" w:lineRule="auto"/>
        <w:ind w:left="567" w:hanging="567"/>
        <w:outlineLvl w:val="2"/>
        <w:rPr>
          <w:rFonts w:ascii="Times New Roman" w:hAnsi="Times New Roman"/>
          <w:b/>
          <w:kern w:val="28"/>
        </w:rPr>
      </w:pPr>
      <w:bookmarkStart w:id="47" w:name="_Toc129243119"/>
      <w:bookmarkStart w:id="48" w:name="_Toc129243244"/>
      <w:r w:rsidRPr="007C1A06">
        <w:rPr>
          <w:rFonts w:ascii="Times New Roman" w:hAnsi="Times New Roman"/>
          <w:b/>
          <w:kern w:val="28"/>
        </w:rPr>
        <w:t>6.4</w:t>
      </w:r>
      <w:r w:rsidRPr="007C1A06">
        <w:rPr>
          <w:rFonts w:ascii="Times New Roman" w:hAnsi="Times New Roman"/>
          <w:b/>
          <w:kern w:val="28"/>
        </w:rPr>
        <w:tab/>
        <w:t>Specialios laikymo sąlygos</w:t>
      </w:r>
      <w:bookmarkEnd w:id="47"/>
      <w:bookmarkEnd w:id="48"/>
    </w:p>
    <w:p w14:paraId="6428787C" w14:textId="77777777" w:rsidR="00D875C0" w:rsidRPr="007C1A06" w:rsidRDefault="00D875C0" w:rsidP="00D875C0">
      <w:pPr>
        <w:spacing w:after="0" w:line="240" w:lineRule="auto"/>
        <w:rPr>
          <w:rFonts w:ascii="Times New Roman" w:hAnsi="Times New Roman"/>
        </w:rPr>
      </w:pPr>
    </w:p>
    <w:p w14:paraId="7FA32A66" w14:textId="77777777" w:rsidR="00D875C0" w:rsidRPr="00427D92"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Laikyti ne aukštesnėje kaip 25</w:t>
      </w:r>
      <w:r w:rsidR="00AD06A4" w:rsidRPr="001F2C46">
        <w:rPr>
          <w:rFonts w:ascii="Times New Roman" w:hAnsi="Times New Roman"/>
        </w:rPr>
        <w:t> </w:t>
      </w:r>
      <w:r w:rsidRPr="00427D92">
        <w:rPr>
          <w:rFonts w:ascii="Times New Roman" w:hAnsi="Times New Roman"/>
        </w:rPr>
        <w:t>°C temperatūroje.</w:t>
      </w:r>
    </w:p>
    <w:p w14:paraId="319E86D6" w14:textId="77777777" w:rsidR="00D875C0" w:rsidRPr="00C722B4" w:rsidRDefault="00D875C0" w:rsidP="00D875C0">
      <w:pPr>
        <w:spacing w:after="0" w:line="240" w:lineRule="auto"/>
        <w:rPr>
          <w:rFonts w:ascii="Times New Roman" w:hAnsi="Times New Roman"/>
        </w:rPr>
      </w:pPr>
      <w:r w:rsidRPr="00C722B4">
        <w:rPr>
          <w:rFonts w:ascii="Times New Roman" w:hAnsi="Times New Roman"/>
        </w:rPr>
        <w:t>Negalima užšaldyti.</w:t>
      </w:r>
    </w:p>
    <w:p w14:paraId="29A79C48"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Flakoną laikyti išorinėje dėžutėje, kad preparatas būtų apsaugotas nuo šviesos.</w:t>
      </w:r>
    </w:p>
    <w:p w14:paraId="1E233626"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Praskiesto vaistinio preparato laikymo sąlygos pateikiamos 6.3 skyriuje.</w:t>
      </w:r>
    </w:p>
    <w:p w14:paraId="47E107ED" w14:textId="77777777" w:rsidR="00D875C0" w:rsidRPr="007C1A06" w:rsidRDefault="00D875C0" w:rsidP="00D875C0">
      <w:pPr>
        <w:spacing w:after="0" w:line="240" w:lineRule="auto"/>
        <w:rPr>
          <w:rFonts w:ascii="Times New Roman" w:hAnsi="Times New Roman"/>
        </w:rPr>
      </w:pPr>
    </w:p>
    <w:p w14:paraId="1EF9EAD0" w14:textId="77777777" w:rsidR="00D875C0" w:rsidRPr="007C1A06" w:rsidRDefault="00D875C0" w:rsidP="00D875C0">
      <w:pPr>
        <w:keepNext/>
        <w:keepLines/>
        <w:tabs>
          <w:tab w:val="left" w:pos="567"/>
        </w:tabs>
        <w:spacing w:after="0" w:line="240" w:lineRule="auto"/>
        <w:ind w:left="567" w:hanging="567"/>
        <w:outlineLvl w:val="2"/>
        <w:rPr>
          <w:rFonts w:ascii="Times New Roman" w:hAnsi="Times New Roman"/>
          <w:b/>
          <w:kern w:val="28"/>
        </w:rPr>
      </w:pPr>
      <w:bookmarkStart w:id="49" w:name="_Toc129243120"/>
      <w:bookmarkStart w:id="50" w:name="_Toc129243245"/>
      <w:r w:rsidRPr="007C1A06">
        <w:rPr>
          <w:rFonts w:ascii="Times New Roman" w:hAnsi="Times New Roman"/>
          <w:b/>
          <w:kern w:val="28"/>
        </w:rPr>
        <w:t>6.5</w:t>
      </w:r>
      <w:r w:rsidRPr="007C1A06">
        <w:rPr>
          <w:rFonts w:ascii="Times New Roman" w:hAnsi="Times New Roman"/>
          <w:b/>
          <w:kern w:val="28"/>
        </w:rPr>
        <w:tab/>
        <w:t xml:space="preserve">Talpyklės pobūdis ir jos turinys </w:t>
      </w:r>
      <w:bookmarkEnd w:id="49"/>
      <w:bookmarkEnd w:id="50"/>
    </w:p>
    <w:p w14:paraId="74B1EDA0" w14:textId="77777777" w:rsidR="00D875C0" w:rsidRPr="007C1A06" w:rsidRDefault="00D875C0" w:rsidP="00D875C0">
      <w:pPr>
        <w:spacing w:after="0" w:line="240" w:lineRule="auto"/>
        <w:rPr>
          <w:rFonts w:ascii="Times New Roman" w:hAnsi="Times New Roman"/>
        </w:rPr>
      </w:pPr>
    </w:p>
    <w:p w14:paraId="74FDF93F" w14:textId="0D79EF7C" w:rsidR="0016423D" w:rsidRPr="005751B8" w:rsidRDefault="00A27799" w:rsidP="0016423D">
      <w:pPr>
        <w:spacing w:after="0" w:line="240" w:lineRule="auto"/>
        <w:jc w:val="both"/>
        <w:rPr>
          <w:rFonts w:ascii="Times New Roman" w:eastAsia="Times New Roman" w:hAnsi="Times New Roman" w:cs="Times New Roman"/>
          <w:lang w:eastAsia="x-none"/>
        </w:rPr>
      </w:pPr>
      <w:r w:rsidRPr="00111A39">
        <w:rPr>
          <w:rFonts w:ascii="Times New Roman" w:hAnsi="Times New Roman"/>
        </w:rPr>
        <w:t>Bespalvis I</w:t>
      </w:r>
      <w:r>
        <w:rPr>
          <w:rFonts w:ascii="Times New Roman" w:hAnsi="Times New Roman"/>
        </w:rPr>
        <w:t> </w:t>
      </w:r>
      <w:r w:rsidRPr="00111A39">
        <w:rPr>
          <w:rFonts w:ascii="Times New Roman" w:hAnsi="Times New Roman"/>
        </w:rPr>
        <w:t>tipo stiklo flakonas su guminiu kamščiu ir aliuminio folijos dangteliu su arba be apsauginės plastikinės plėvelės (</w:t>
      </w:r>
      <w:r w:rsidRPr="00111A39">
        <w:rPr>
          <w:rFonts w:ascii="Times New Roman" w:hAnsi="Times New Roman"/>
          <w:i/>
        </w:rPr>
        <w:t>Onko-Safe</w:t>
      </w:r>
      <w:r w:rsidR="0016423D">
        <w:rPr>
          <w:rFonts w:ascii="Times New Roman" w:hAnsi="Times New Roman"/>
          <w:i/>
        </w:rPr>
        <w:t xml:space="preserve"> ar </w:t>
      </w:r>
      <w:r w:rsidR="0016423D">
        <w:rPr>
          <w:rFonts w:ascii="Times New Roman" w:hAnsi="Times New Roman" w:cs="Times New Roman"/>
          <w:color w:val="000000"/>
        </w:rPr>
        <w:t>-apsauginės rankovės ( Sleeving)</w:t>
      </w:r>
      <w:r w:rsidR="0016423D">
        <w:rPr>
          <w:rFonts w:ascii="Times New Roman" w:hAnsi="Times New Roman"/>
          <w:i/>
        </w:rPr>
        <w:t xml:space="preserve">. </w:t>
      </w:r>
      <w:r w:rsidR="0016423D">
        <w:rPr>
          <w:rFonts w:ascii="Times New Roman" w:hAnsi="Times New Roman" w:cs="Times New Roman"/>
          <w:color w:val="000000"/>
        </w:rPr>
        <w:t xml:space="preserve">Onco-Safe ir Sleeving </w:t>
      </w:r>
      <w:r w:rsidR="0016423D" w:rsidRPr="005751B8">
        <w:rPr>
          <w:rFonts w:ascii="Times New Roman" w:eastAsia="Times New Roman" w:hAnsi="Times New Roman" w:cs="Times New Roman"/>
          <w:lang w:eastAsia="x-none"/>
        </w:rPr>
        <w:t xml:space="preserve">neturi sąlyčio su vaistu ir suteikia papildomą </w:t>
      </w:r>
      <w:r w:rsidR="0016423D">
        <w:rPr>
          <w:rFonts w:ascii="Times New Roman" w:eastAsia="Times New Roman" w:hAnsi="Times New Roman" w:cs="Times New Roman"/>
          <w:lang w:eastAsia="x-none"/>
        </w:rPr>
        <w:t xml:space="preserve">apsauga transportuojant vaistą bei </w:t>
      </w:r>
      <w:r w:rsidR="0016423D" w:rsidRPr="005751B8">
        <w:rPr>
          <w:rFonts w:ascii="Times New Roman" w:eastAsia="Times New Roman" w:hAnsi="Times New Roman" w:cs="Times New Roman"/>
          <w:lang w:eastAsia="x-none"/>
        </w:rPr>
        <w:t>padidina medicinos ir farmacijos personalo saugumą.</w:t>
      </w:r>
    </w:p>
    <w:p w14:paraId="7E258C69" w14:textId="77777777" w:rsidR="0016423D" w:rsidRPr="00111A39" w:rsidRDefault="0016423D" w:rsidP="00A27799">
      <w:pPr>
        <w:spacing w:after="0" w:line="240" w:lineRule="auto"/>
        <w:rPr>
          <w:rFonts w:ascii="Times New Roman" w:hAnsi="Times New Roman"/>
        </w:rPr>
      </w:pPr>
    </w:p>
    <w:p w14:paraId="32CED29A" w14:textId="77777777" w:rsidR="00A27799" w:rsidRDefault="00A27799" w:rsidP="00A27799">
      <w:pPr>
        <w:spacing w:after="0" w:line="240" w:lineRule="auto"/>
        <w:rPr>
          <w:rFonts w:ascii="Times New Roman" w:eastAsia="Times New Roman" w:hAnsi="Times New Roman" w:cs="Times New Roman"/>
        </w:rPr>
      </w:pPr>
      <w:r w:rsidRPr="00A27799">
        <w:rPr>
          <w:rFonts w:ascii="Times New Roman" w:eastAsia="Times New Roman" w:hAnsi="Times New Roman" w:cs="Times New Roman"/>
        </w:rPr>
        <w:t xml:space="preserve">Docetaxel Ebewe tiekiamas atskiromis pakuotėmis, kurių kiekvienoje yra 1 flakonas </w:t>
      </w:r>
      <w:r>
        <w:rPr>
          <w:rFonts w:ascii="Times New Roman" w:eastAsia="Times New Roman" w:hAnsi="Times New Roman" w:cs="Times New Roman"/>
        </w:rPr>
        <w:t>(</w:t>
      </w:r>
      <w:r w:rsidRPr="00F95B76">
        <w:rPr>
          <w:rFonts w:ascii="Times New Roman" w:hAnsi="Times New Roman"/>
        </w:rPr>
        <w:t xml:space="preserve">20 mg/2 ml, </w:t>
      </w:r>
      <w:r w:rsidRPr="00453BC4">
        <w:rPr>
          <w:rFonts w:ascii="Times New Roman" w:hAnsi="Times New Roman"/>
          <w:highlight w:val="lightGray"/>
        </w:rPr>
        <w:t>80 mg/8 ml, 160 mg/16 ml</w:t>
      </w:r>
      <w:r>
        <w:rPr>
          <w:rFonts w:ascii="Times New Roman" w:eastAsia="Times New Roman" w:hAnsi="Times New Roman" w:cs="Times New Roman"/>
        </w:rPr>
        <w:t>).</w:t>
      </w:r>
    </w:p>
    <w:p w14:paraId="437237A2" w14:textId="77777777" w:rsidR="00A27799" w:rsidRDefault="00A27799" w:rsidP="00A27799">
      <w:pPr>
        <w:spacing w:after="0" w:line="240" w:lineRule="auto"/>
        <w:rPr>
          <w:rFonts w:ascii="Times New Roman" w:eastAsia="Times New Roman" w:hAnsi="Times New Roman" w:cs="Times New Roman"/>
        </w:rPr>
      </w:pPr>
    </w:p>
    <w:p w14:paraId="0FCD2BF4" w14:textId="77777777" w:rsidR="00A27799" w:rsidRPr="00F95B76" w:rsidRDefault="00A27799" w:rsidP="00A27799">
      <w:pPr>
        <w:spacing w:after="0" w:line="240" w:lineRule="auto"/>
        <w:rPr>
          <w:rFonts w:ascii="Times New Roman" w:hAnsi="Times New Roman"/>
        </w:rPr>
      </w:pPr>
      <w:r w:rsidRPr="00A27799">
        <w:rPr>
          <w:rFonts w:ascii="Times New Roman" w:eastAsia="Times New Roman" w:hAnsi="Times New Roman" w:cs="Times New Roman"/>
        </w:rPr>
        <w:t>Docetaxel Ebewe tiekiamas multipakuotėmis, kurių kiekvienoje yra</w:t>
      </w:r>
      <w:r w:rsidRPr="00F95B76">
        <w:rPr>
          <w:rFonts w:ascii="Times New Roman" w:hAnsi="Times New Roman"/>
        </w:rPr>
        <w:t xml:space="preserve"> 5 </w:t>
      </w:r>
      <w:r w:rsidRPr="00A27799">
        <w:rPr>
          <w:rFonts w:ascii="Times New Roman" w:eastAsia="Times New Roman" w:hAnsi="Times New Roman" w:cs="Times New Roman"/>
        </w:rPr>
        <w:t>arba</w:t>
      </w:r>
      <w:r w:rsidRPr="00F95B76">
        <w:rPr>
          <w:rFonts w:ascii="Times New Roman" w:hAnsi="Times New Roman"/>
        </w:rPr>
        <w:t xml:space="preserve"> 10 flakonų</w:t>
      </w:r>
      <w:r w:rsidRPr="00A27799">
        <w:rPr>
          <w:rFonts w:ascii="Times New Roman" w:eastAsia="Times New Roman" w:hAnsi="Times New Roman" w:cs="Times New Roman"/>
        </w:rPr>
        <w:t xml:space="preserve"> (20</w:t>
      </w:r>
      <w:r>
        <w:rPr>
          <w:rFonts w:ascii="Times New Roman" w:eastAsia="Times New Roman" w:hAnsi="Times New Roman" w:cs="Times New Roman"/>
        </w:rPr>
        <w:t> </w:t>
      </w:r>
      <w:r w:rsidRPr="00A27799">
        <w:rPr>
          <w:rFonts w:ascii="Times New Roman" w:eastAsia="Times New Roman" w:hAnsi="Times New Roman" w:cs="Times New Roman"/>
        </w:rPr>
        <w:t>mg/2</w:t>
      </w:r>
      <w:r>
        <w:rPr>
          <w:rFonts w:ascii="Times New Roman" w:eastAsia="Times New Roman" w:hAnsi="Times New Roman" w:cs="Times New Roman"/>
        </w:rPr>
        <w:t> </w:t>
      </w:r>
      <w:r w:rsidRPr="00A27799">
        <w:rPr>
          <w:rFonts w:ascii="Times New Roman" w:eastAsia="Times New Roman" w:hAnsi="Times New Roman" w:cs="Times New Roman"/>
        </w:rPr>
        <w:t xml:space="preserve">ml, </w:t>
      </w:r>
      <w:r w:rsidRPr="00453BC4">
        <w:rPr>
          <w:rFonts w:ascii="Times New Roman" w:eastAsia="Times New Roman" w:hAnsi="Times New Roman" w:cs="Times New Roman"/>
          <w:highlight w:val="lightGray"/>
        </w:rPr>
        <w:t>80 mg/8 ml, 160 mg/16 ml</w:t>
      </w:r>
      <w:r w:rsidRPr="00A27799">
        <w:rPr>
          <w:rFonts w:ascii="Times New Roman" w:eastAsia="Times New Roman" w:hAnsi="Times New Roman" w:cs="Times New Roman"/>
        </w:rPr>
        <w:t>).</w:t>
      </w:r>
    </w:p>
    <w:p w14:paraId="4D1BEAE9" w14:textId="77777777" w:rsidR="00A27799" w:rsidRPr="001F2C46" w:rsidRDefault="00A27799" w:rsidP="00A27799">
      <w:pPr>
        <w:spacing w:after="0" w:line="240" w:lineRule="auto"/>
        <w:rPr>
          <w:rFonts w:ascii="Times New Roman" w:hAnsi="Times New Roman"/>
        </w:rPr>
      </w:pPr>
    </w:p>
    <w:p w14:paraId="430FBA1F" w14:textId="77777777" w:rsidR="00A27799" w:rsidRPr="00427D92" w:rsidRDefault="00A27799" w:rsidP="00A27799">
      <w:pPr>
        <w:spacing w:after="0" w:line="240" w:lineRule="auto"/>
        <w:rPr>
          <w:rFonts w:ascii="Times New Roman" w:hAnsi="Times New Roman"/>
        </w:rPr>
      </w:pPr>
      <w:r w:rsidRPr="00427D92">
        <w:rPr>
          <w:rFonts w:ascii="Times New Roman" w:hAnsi="Times New Roman"/>
        </w:rPr>
        <w:t>Gali būti tiekiamos ne visų dydžių pakuotės.</w:t>
      </w:r>
    </w:p>
    <w:p w14:paraId="4D640A0F" w14:textId="77777777" w:rsidR="00632BA3" w:rsidRPr="00C722B4" w:rsidRDefault="00632BA3" w:rsidP="00D875C0">
      <w:pPr>
        <w:spacing w:after="0" w:line="240" w:lineRule="auto"/>
        <w:rPr>
          <w:rFonts w:ascii="Times New Roman" w:hAnsi="Times New Roman"/>
        </w:rPr>
      </w:pPr>
    </w:p>
    <w:p w14:paraId="11E2B047" w14:textId="77777777" w:rsidR="00D875C0" w:rsidRPr="007C1A06" w:rsidRDefault="00D875C0" w:rsidP="00D875C0">
      <w:pPr>
        <w:keepNext/>
        <w:keepLines/>
        <w:tabs>
          <w:tab w:val="left" w:pos="567"/>
        </w:tabs>
        <w:spacing w:after="0" w:line="240" w:lineRule="auto"/>
        <w:ind w:left="567" w:hanging="567"/>
        <w:outlineLvl w:val="2"/>
        <w:rPr>
          <w:rFonts w:ascii="Times New Roman" w:hAnsi="Times New Roman"/>
          <w:b/>
          <w:kern w:val="28"/>
        </w:rPr>
      </w:pPr>
      <w:bookmarkStart w:id="51" w:name="_Toc129243121"/>
      <w:bookmarkStart w:id="52" w:name="_Toc129243246"/>
      <w:r w:rsidRPr="007C1A06">
        <w:rPr>
          <w:rFonts w:ascii="Times New Roman" w:hAnsi="Times New Roman"/>
          <w:b/>
          <w:kern w:val="28"/>
        </w:rPr>
        <w:t>6.6</w:t>
      </w:r>
      <w:r w:rsidRPr="007C1A06">
        <w:rPr>
          <w:rFonts w:ascii="Times New Roman" w:hAnsi="Times New Roman"/>
          <w:b/>
          <w:kern w:val="28"/>
        </w:rPr>
        <w:tab/>
        <w:t>Specialūs reikalavimai atliekoms tvarkyti ir vaistiniam preparatui ruošti</w:t>
      </w:r>
      <w:bookmarkEnd w:id="51"/>
      <w:bookmarkEnd w:id="52"/>
    </w:p>
    <w:p w14:paraId="40914A91" w14:textId="77777777" w:rsidR="00D875C0" w:rsidRPr="007C1A06" w:rsidRDefault="00D875C0" w:rsidP="00D875C0">
      <w:pPr>
        <w:spacing w:after="0" w:line="240" w:lineRule="auto"/>
        <w:rPr>
          <w:rFonts w:ascii="Times New Roman" w:hAnsi="Times New Roman"/>
        </w:rPr>
      </w:pPr>
    </w:p>
    <w:p w14:paraId="20E66E0D"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Docetakselio infuzinis tirpalas yra prisotintas tirpalas ir todėl laikui bėgant gali kristalizuotis/nusėsti nuosėdomis. Prieš vartojimą infuzinis tirpalas, paruoštas iš Docetaxel Ebewe koncentrato infuziniam tirpalui, turi būti atidžiai apžiūrimas ar jame nėra dalelių. Jeigu tirpalas nėra skaidrus ar jame yra dalelių, jis turi būti sunaikinamas.</w:t>
      </w:r>
    </w:p>
    <w:p w14:paraId="4318A63D" w14:textId="77777777" w:rsidR="00D875C0" w:rsidRPr="007C1A06" w:rsidRDefault="00D875C0" w:rsidP="00D875C0">
      <w:pPr>
        <w:spacing w:after="0" w:line="240" w:lineRule="auto"/>
        <w:rPr>
          <w:rFonts w:ascii="Times New Roman" w:hAnsi="Times New Roman"/>
        </w:rPr>
      </w:pPr>
    </w:p>
    <w:p w14:paraId="23AE50DF"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Mikrobiologiniu požiūriu, vaistinis preparatas turi būti suvartojamas nedelsiant.</w:t>
      </w:r>
    </w:p>
    <w:p w14:paraId="71614543" w14:textId="77777777" w:rsidR="00D875C0" w:rsidRPr="007C1A06" w:rsidRDefault="00D875C0" w:rsidP="00D875C0">
      <w:pPr>
        <w:spacing w:after="0" w:line="240" w:lineRule="auto"/>
        <w:rPr>
          <w:rFonts w:ascii="Times New Roman" w:hAnsi="Times New Roman"/>
        </w:rPr>
      </w:pPr>
    </w:p>
    <w:p w14:paraId="3BAB1BC4" w14:textId="77777777" w:rsidR="00D875C0" w:rsidRPr="004E3CD5" w:rsidRDefault="00D875C0" w:rsidP="00D875C0">
      <w:pPr>
        <w:spacing w:after="0" w:line="240" w:lineRule="auto"/>
        <w:rPr>
          <w:rFonts w:ascii="Times New Roman" w:eastAsiaTheme="minorEastAsia" w:hAnsi="Times New Roman"/>
          <w:u w:val="single"/>
          <w:lang w:eastAsia="zh-TW"/>
        </w:rPr>
      </w:pPr>
      <w:r w:rsidRPr="007C1A06">
        <w:rPr>
          <w:rFonts w:ascii="Times New Roman" w:hAnsi="Times New Roman"/>
          <w:u w:val="single"/>
        </w:rPr>
        <w:t>Patikrinimas prieš vartojimą</w:t>
      </w:r>
    </w:p>
    <w:p w14:paraId="2E5514EE"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Docetaxel Ebewe koncentratas infuziniam tirpalui turi būti apžiūrimas prieš praskiedimą, ar jame nėra dalelių ir nepakitusi spalva. Jeigu koncentratas nėra skaidrus ir jame yra dalelių, jis turi būti sunaikinamas.</w:t>
      </w:r>
    </w:p>
    <w:p w14:paraId="1110C96D" w14:textId="77777777" w:rsidR="00D875C0" w:rsidRPr="007C1A06" w:rsidRDefault="00D875C0" w:rsidP="00D875C0">
      <w:pPr>
        <w:spacing w:after="0" w:line="240" w:lineRule="auto"/>
        <w:rPr>
          <w:rFonts w:ascii="Times New Roman" w:hAnsi="Times New Roman"/>
        </w:rPr>
      </w:pPr>
    </w:p>
    <w:p w14:paraId="4C0C21B4" w14:textId="77777777" w:rsidR="00D875C0" w:rsidRPr="00453BC4" w:rsidRDefault="00D875C0" w:rsidP="00D875C0">
      <w:pPr>
        <w:spacing w:after="0" w:line="240" w:lineRule="auto"/>
        <w:rPr>
          <w:rFonts w:ascii="Times New Roman" w:eastAsiaTheme="minorEastAsia" w:hAnsi="Times New Roman"/>
          <w:i/>
          <w:iCs/>
          <w:lang w:eastAsia="zh-TW"/>
        </w:rPr>
      </w:pPr>
      <w:r w:rsidRPr="00453BC4">
        <w:rPr>
          <w:rFonts w:ascii="Times New Roman" w:hAnsi="Times New Roman"/>
          <w:i/>
          <w:iCs/>
        </w:rPr>
        <w:t>Infuzinio tirpalo paruošimas</w:t>
      </w:r>
    </w:p>
    <w:p w14:paraId="0875DEB2"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Prieš vartojimą koncentratą būtina praskiesti.</w:t>
      </w:r>
    </w:p>
    <w:p w14:paraId="2CED0026" w14:textId="77777777" w:rsidR="00D875C0" w:rsidRPr="007C1A06" w:rsidRDefault="00D875C0" w:rsidP="00D875C0">
      <w:pPr>
        <w:spacing w:after="0" w:line="240" w:lineRule="auto"/>
        <w:rPr>
          <w:rFonts w:ascii="Times New Roman" w:hAnsi="Times New Roman"/>
        </w:rPr>
      </w:pPr>
    </w:p>
    <w:p w14:paraId="1B2B6F19"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Infuziniai tirpalai turi būti ruošiami, skiedžiant 0,9</w:t>
      </w:r>
      <w:r w:rsidR="00AD06A4" w:rsidRPr="007C1A06">
        <w:rPr>
          <w:rFonts w:ascii="Times New Roman" w:hAnsi="Times New Roman"/>
        </w:rPr>
        <w:t> </w:t>
      </w:r>
      <w:r w:rsidRPr="007C1A06">
        <w:rPr>
          <w:rFonts w:ascii="Times New Roman" w:hAnsi="Times New Roman"/>
        </w:rPr>
        <w:t>% natrio chlorido arba 5</w:t>
      </w:r>
      <w:r w:rsidR="00AD06A4" w:rsidRPr="007C1A06">
        <w:rPr>
          <w:rFonts w:ascii="Times New Roman" w:hAnsi="Times New Roman"/>
        </w:rPr>
        <w:t> </w:t>
      </w:r>
      <w:r w:rsidRPr="007C1A06">
        <w:rPr>
          <w:rFonts w:ascii="Times New Roman" w:hAnsi="Times New Roman"/>
        </w:rPr>
        <w:t>% gliukozės tirpalais ir turi būti sulašinami į veną.</w:t>
      </w:r>
    </w:p>
    <w:p w14:paraId="6C51DBE2" w14:textId="77777777" w:rsidR="00D875C0" w:rsidRPr="007C1A06" w:rsidRDefault="00D875C0" w:rsidP="00D875C0">
      <w:pPr>
        <w:spacing w:after="0" w:line="240" w:lineRule="auto"/>
        <w:rPr>
          <w:rFonts w:ascii="Times New Roman" w:hAnsi="Times New Roman"/>
        </w:rPr>
      </w:pPr>
    </w:p>
    <w:p w14:paraId="1B6D6A16"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Jeigu flakonai laikomi šaldytuve, iš jo paimtą reikiamą Docetaxel Ebewe koncentrato infuziniam tirpalui flakonų skaičių reikia 5 min. palaikyti žemesnėje nei 25</w:t>
      </w:r>
      <w:r w:rsidR="00AD06A4" w:rsidRPr="007C1A06">
        <w:rPr>
          <w:rFonts w:ascii="Times New Roman" w:hAnsi="Times New Roman"/>
        </w:rPr>
        <w:t> </w:t>
      </w:r>
      <w:r w:rsidRPr="007C1A06">
        <w:rPr>
          <w:rFonts w:ascii="Times New Roman" w:hAnsi="Times New Roman"/>
        </w:rPr>
        <w:t xml:space="preserve">°C temperatūroje, kad tirpalas sušiltų iki kambario temperatūros. </w:t>
      </w:r>
    </w:p>
    <w:p w14:paraId="4F8B8091" w14:textId="77777777" w:rsidR="00D875C0" w:rsidRPr="007C1A06" w:rsidRDefault="00D875C0" w:rsidP="00D875C0">
      <w:pPr>
        <w:spacing w:after="0" w:line="240" w:lineRule="auto"/>
        <w:rPr>
          <w:rFonts w:ascii="Times New Roman" w:hAnsi="Times New Roman"/>
        </w:rPr>
      </w:pPr>
    </w:p>
    <w:p w14:paraId="35D02BD2"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Reikalingas tirpalo tūris gali būti tiesiogiai ištraukiamas iš flakono.</w:t>
      </w:r>
    </w:p>
    <w:p w14:paraId="0E2DD568" w14:textId="77777777" w:rsidR="00D875C0" w:rsidRPr="007C1A06" w:rsidRDefault="00D875C0" w:rsidP="00D875C0">
      <w:pPr>
        <w:autoSpaceDE w:val="0"/>
        <w:autoSpaceDN w:val="0"/>
        <w:adjustRightInd w:val="0"/>
        <w:spacing w:after="0" w:line="240" w:lineRule="auto"/>
        <w:rPr>
          <w:rFonts w:ascii="Times New Roman" w:hAnsi="Times New Roman"/>
        </w:rPr>
      </w:pPr>
    </w:p>
    <w:p w14:paraId="0F60C08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Norint gauti reikiamą dozę, gali prireikti daugiau kaip vieno koncentrato infuziniam tirpalui flakono. Apskaičiavus reikiamą dozę mg, graduotu švirkštu su adata iš reikiamo flakonų skaičiaus aseptinėmis sąlygomis ištraukiamas atitinkamas tirpalo (docetakselio koncentracija – 10 mg/ml) tūris. Pavyzdžiui, 140 mg docetakselio dozei, reikia 14 ml docetakselio koncentrato infuziniam tirpalui.</w:t>
      </w:r>
    </w:p>
    <w:p w14:paraId="0DC6313E" w14:textId="77777777" w:rsidR="00D875C0" w:rsidRPr="007C1A06" w:rsidRDefault="00D875C0" w:rsidP="00D875C0">
      <w:pPr>
        <w:autoSpaceDE w:val="0"/>
        <w:autoSpaceDN w:val="0"/>
        <w:adjustRightInd w:val="0"/>
        <w:spacing w:after="0" w:line="240" w:lineRule="auto"/>
        <w:rPr>
          <w:rFonts w:ascii="Times New Roman" w:hAnsi="Times New Roman"/>
        </w:rPr>
      </w:pPr>
    </w:p>
    <w:p w14:paraId="075BCE3A"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Reikiamas docetakselio koncentrato infuziniam tirpalui tūris </w:t>
      </w:r>
      <w:r w:rsidR="00732B43">
        <w:rPr>
          <w:rFonts w:ascii="Times New Roman" w:hAnsi="Times New Roman"/>
        </w:rPr>
        <w:t>suleidžiamas</w:t>
      </w:r>
      <w:r w:rsidRPr="007C1A06">
        <w:rPr>
          <w:rFonts w:ascii="Times New Roman" w:hAnsi="Times New Roman"/>
        </w:rPr>
        <w:t xml:space="preserve"> viena injekcija (vienu dūriu) į 250 ml 5</w:t>
      </w:r>
      <w:r w:rsidR="00AD06A4" w:rsidRPr="007C1A06">
        <w:rPr>
          <w:rFonts w:ascii="Times New Roman" w:hAnsi="Times New Roman"/>
        </w:rPr>
        <w:t> </w:t>
      </w:r>
      <w:r w:rsidRPr="007C1A06">
        <w:rPr>
          <w:rFonts w:ascii="Times New Roman" w:hAnsi="Times New Roman"/>
        </w:rPr>
        <w:t>% gliukozės arba 0,9</w:t>
      </w:r>
      <w:r w:rsidR="00AD06A4" w:rsidRPr="007C1A06">
        <w:rPr>
          <w:rFonts w:ascii="Times New Roman" w:hAnsi="Times New Roman"/>
        </w:rPr>
        <w:t> </w:t>
      </w:r>
      <w:r w:rsidRPr="007C1A06">
        <w:rPr>
          <w:rFonts w:ascii="Times New Roman" w:hAnsi="Times New Roman"/>
        </w:rPr>
        <w:t>% natrio chlorido infuzinį tirpalą, esantį infuziniame maišelyje arba buteliuke.</w:t>
      </w:r>
    </w:p>
    <w:p w14:paraId="68032B1C" w14:textId="77777777" w:rsidR="00D875C0" w:rsidRPr="007C1A06" w:rsidRDefault="00D875C0" w:rsidP="00D875C0">
      <w:pPr>
        <w:autoSpaceDE w:val="0"/>
        <w:autoSpaceDN w:val="0"/>
        <w:adjustRightInd w:val="0"/>
        <w:spacing w:after="0" w:line="240" w:lineRule="auto"/>
        <w:rPr>
          <w:rFonts w:ascii="Times New Roman" w:hAnsi="Times New Roman"/>
        </w:rPr>
      </w:pPr>
    </w:p>
    <w:p w14:paraId="5C99B92C"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Jei reikia didesnės kaip 200 mg docetakselio dozės, naudojamas didesnis pagalbinio infuzinio tirpalo tūris, kad docetakselio koncentracija neviršytų 0,74 mg/ml.</w:t>
      </w:r>
    </w:p>
    <w:p w14:paraId="1061AB53" w14:textId="77777777" w:rsidR="00D875C0" w:rsidRPr="007C1A06" w:rsidRDefault="00D875C0" w:rsidP="00D875C0">
      <w:pPr>
        <w:autoSpaceDE w:val="0"/>
        <w:autoSpaceDN w:val="0"/>
        <w:adjustRightInd w:val="0"/>
        <w:spacing w:after="0" w:line="240" w:lineRule="auto"/>
        <w:rPr>
          <w:rFonts w:ascii="Times New Roman" w:hAnsi="Times New Roman"/>
        </w:rPr>
      </w:pPr>
    </w:p>
    <w:p w14:paraId="0DF63691"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Infuzinio maišelio arba buteliuko turinys sumaišomas atsargiai pavartant ir sukiojant rankose bei kontroliuojant, kad neatsirastų putų. Paruošimo bei transportavimo paciento vartojimui metu, reikia vengti purtymo ir smarkaus kratymo.</w:t>
      </w:r>
    </w:p>
    <w:p w14:paraId="399820FB" w14:textId="77777777" w:rsidR="00D875C0" w:rsidRPr="007C1A06" w:rsidRDefault="00D875C0" w:rsidP="00D875C0">
      <w:pPr>
        <w:spacing w:after="0" w:line="240" w:lineRule="auto"/>
        <w:rPr>
          <w:rFonts w:ascii="Times New Roman" w:hAnsi="Times New Roman"/>
        </w:rPr>
      </w:pPr>
    </w:p>
    <w:p w14:paraId="1C3621E4"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Paruoštas docetakselio infuzinis tirpalas yra stabilus iki 4</w:t>
      </w:r>
      <w:r w:rsidR="00AD06A4" w:rsidRPr="007C1A06">
        <w:rPr>
          <w:rFonts w:ascii="Times New Roman" w:hAnsi="Times New Roman"/>
        </w:rPr>
        <w:t> </w:t>
      </w:r>
      <w:r w:rsidRPr="007C1A06">
        <w:rPr>
          <w:rFonts w:ascii="Times New Roman" w:hAnsi="Times New Roman"/>
        </w:rPr>
        <w:t>valandų ir turi būti suvartotas per 4</w:t>
      </w:r>
      <w:r w:rsidR="00AD06A4" w:rsidRPr="007C1A06">
        <w:rPr>
          <w:rFonts w:ascii="Times New Roman" w:hAnsi="Times New Roman"/>
        </w:rPr>
        <w:t> </w:t>
      </w:r>
      <w:r w:rsidRPr="007C1A06">
        <w:rPr>
          <w:rFonts w:ascii="Times New Roman" w:hAnsi="Times New Roman"/>
        </w:rPr>
        <w:t>valandas, įskaitant laikymo laiką bei vieną valandą infuzijos laiko. Infuziją reikia aseptiškai atlikti kambario temperatūroje (žemiau 25</w:t>
      </w:r>
      <w:r w:rsidR="00AD06A4" w:rsidRPr="007C1A06">
        <w:rPr>
          <w:rFonts w:ascii="Times New Roman" w:hAnsi="Times New Roman"/>
        </w:rPr>
        <w:t> °</w:t>
      </w:r>
      <w:r w:rsidRPr="007C1A06">
        <w:rPr>
          <w:rFonts w:ascii="Times New Roman" w:hAnsi="Times New Roman"/>
        </w:rPr>
        <w:t>C) įprasto apšvietimo sąlygomis.</w:t>
      </w:r>
    </w:p>
    <w:p w14:paraId="63BEE019" w14:textId="77777777" w:rsidR="00D875C0" w:rsidRPr="007C1A06" w:rsidRDefault="00D875C0" w:rsidP="00D875C0">
      <w:pPr>
        <w:spacing w:after="0" w:line="240" w:lineRule="auto"/>
        <w:textAlignment w:val="top"/>
        <w:rPr>
          <w:rFonts w:ascii="Times New Roman" w:hAnsi="Times New Roman"/>
          <w:color w:val="888888"/>
        </w:rPr>
      </w:pPr>
    </w:p>
    <w:p w14:paraId="2CA808BC"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Prieš vartojimą infuzinis tirpalas, paruoštas iš Docetaxel Ebewe koncentrato infuziniam tirpalui, turi būti atidžiai apžiūrimas ar jame nėra dalelių. Jeigu tirpalas nėra skaidrus ar jame yra dalelių, jis turi būti sunaikinamas.</w:t>
      </w:r>
    </w:p>
    <w:p w14:paraId="4563CC1E"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Mikrobiologiniu požiūriu tirpalas turi būti nedelsiant suvartojamas.</w:t>
      </w:r>
    </w:p>
    <w:p w14:paraId="209A811A" w14:textId="77777777" w:rsidR="00D875C0" w:rsidRPr="007C1A06" w:rsidRDefault="00D875C0" w:rsidP="00D875C0">
      <w:pPr>
        <w:spacing w:after="0" w:line="240" w:lineRule="auto"/>
        <w:rPr>
          <w:rFonts w:ascii="Times New Roman" w:hAnsi="Times New Roman"/>
        </w:rPr>
      </w:pPr>
    </w:p>
    <w:p w14:paraId="625792FE" w14:textId="77777777" w:rsidR="00D875C0" w:rsidRPr="00FB5C4B"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Docetaxel Ebewe koncentrato sąlytis su iš PVC plastiko pagaminta įranga bei priemonėmis naudojamomis infuziniam tirpalui paruošti, nerekomenduojamas. Siekiant sumažinti </w:t>
      </w:r>
      <w:r w:rsidRPr="007C1A06">
        <w:rPr>
          <w:rFonts w:ascii="Times New Roman" w:eastAsia="Times New Roman" w:hAnsi="Times New Roman" w:cs="Times New Roman"/>
        </w:rPr>
        <w:t>DE</w:t>
      </w:r>
      <w:r w:rsidR="00070CB3" w:rsidRPr="007C1A06">
        <w:rPr>
          <w:rFonts w:ascii="Times New Roman" w:eastAsia="Times New Roman" w:hAnsi="Times New Roman" w:cs="Times New Roman"/>
        </w:rPr>
        <w:t>H</w:t>
      </w:r>
      <w:r w:rsidR="00070CB3">
        <w:rPr>
          <w:rFonts w:ascii="Times New Roman" w:eastAsia="Times New Roman" w:hAnsi="Times New Roman" w:cs="Times New Roman"/>
        </w:rPr>
        <w:t>F</w:t>
      </w:r>
      <w:r w:rsidRPr="007C1A06">
        <w:rPr>
          <w:rFonts w:ascii="Times New Roman" w:eastAsia="Times New Roman" w:hAnsi="Times New Roman" w:cs="Times New Roman"/>
        </w:rPr>
        <w:t>P</w:t>
      </w:r>
      <w:r w:rsidRPr="00F95B76">
        <w:rPr>
          <w:rFonts w:ascii="Times New Roman" w:hAnsi="Times New Roman"/>
        </w:rPr>
        <w:t xml:space="preserve"> (di-2-etilheksilftalato) – plastifikatoriaus, kuris gali būti išplautas iš PVC infuzinių maišelių ar sistemų, poveikį pacientams, galutinis Docetaxel Ebe</w:t>
      </w:r>
      <w:r w:rsidRPr="001F2C46">
        <w:rPr>
          <w:rFonts w:ascii="Times New Roman" w:hAnsi="Times New Roman"/>
        </w:rPr>
        <w:t xml:space="preserve">we infuzijai praskiestas tirpalas turi būti laikomas buteliukuose </w:t>
      </w:r>
      <w:r w:rsidRPr="00427D92">
        <w:rPr>
          <w:rFonts w:ascii="Times New Roman" w:hAnsi="Times New Roman"/>
        </w:rPr>
        <w:t>ar plastikiniuose maišeliuose (polipropileno, poliolefino) ir turi būti vartojamas per polietilenu padengtą įrangą.</w:t>
      </w:r>
    </w:p>
    <w:p w14:paraId="54AEFE3A" w14:textId="77777777" w:rsidR="00D875C0" w:rsidRPr="00427D92" w:rsidRDefault="00D875C0" w:rsidP="00D875C0">
      <w:pPr>
        <w:spacing w:after="0" w:line="240" w:lineRule="auto"/>
        <w:textAlignment w:val="top"/>
        <w:rPr>
          <w:rFonts w:ascii="Times New Roman" w:hAnsi="Times New Roman"/>
          <w:color w:val="000000"/>
        </w:rPr>
      </w:pPr>
      <w:r w:rsidRPr="00F95B76">
        <w:rPr>
          <w:rFonts w:ascii="Times New Roman" w:hAnsi="Times New Roman"/>
          <w:color w:val="000000"/>
        </w:rPr>
        <w:t xml:space="preserve">Siekiant sumažinti nuosėdų atsiradimą infuziniame tirpale, rekomenduojama </w:t>
      </w:r>
      <w:r w:rsidRPr="001F2C46">
        <w:rPr>
          <w:rFonts w:ascii="Times New Roman" w:hAnsi="Times New Roman"/>
          <w:color w:val="000000"/>
        </w:rPr>
        <w:t>naudoti infuzinius maišelius. Nerekomenduojama naudoti stiklo but</w:t>
      </w:r>
      <w:r w:rsidRPr="00427D92">
        <w:rPr>
          <w:rFonts w:ascii="Times New Roman" w:hAnsi="Times New Roman"/>
          <w:color w:val="000000"/>
        </w:rPr>
        <w:t>eliukų.</w:t>
      </w:r>
    </w:p>
    <w:p w14:paraId="585BDCBF" w14:textId="77777777" w:rsidR="00D875C0" w:rsidRPr="00C722B4" w:rsidRDefault="00D875C0" w:rsidP="00D875C0">
      <w:pPr>
        <w:spacing w:after="0" w:line="240" w:lineRule="auto"/>
        <w:rPr>
          <w:rFonts w:ascii="Times New Roman" w:hAnsi="Times New Roman"/>
        </w:rPr>
      </w:pPr>
    </w:p>
    <w:p w14:paraId="573077E2" w14:textId="77777777" w:rsidR="00D875C0" w:rsidRPr="00453BC4" w:rsidRDefault="00D875C0" w:rsidP="00D875C0">
      <w:pPr>
        <w:spacing w:after="0" w:line="240" w:lineRule="auto"/>
        <w:rPr>
          <w:rFonts w:ascii="Times New Roman" w:eastAsiaTheme="minorEastAsia" w:hAnsi="Times New Roman"/>
          <w:i/>
          <w:iCs/>
          <w:lang w:eastAsia="zh-TW"/>
        </w:rPr>
      </w:pPr>
      <w:r w:rsidRPr="00453BC4">
        <w:rPr>
          <w:rFonts w:ascii="Times New Roman" w:hAnsi="Times New Roman"/>
          <w:i/>
          <w:iCs/>
        </w:rPr>
        <w:t>Paruošto tirpalo pH ir osmoliariškumas</w:t>
      </w:r>
    </w:p>
    <w:p w14:paraId="7973F389"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0,3</w:t>
      </w:r>
      <w:r w:rsidR="007D5071" w:rsidRPr="007C1A06">
        <w:rPr>
          <w:rFonts w:ascii="Times New Roman" w:hAnsi="Times New Roman"/>
        </w:rPr>
        <w:t> </w:t>
      </w:r>
      <w:r w:rsidRPr="007C1A06">
        <w:rPr>
          <w:rFonts w:ascii="Times New Roman" w:hAnsi="Times New Roman"/>
        </w:rPr>
        <w:t>mg/ml gliukozės 5</w:t>
      </w:r>
      <w:r w:rsidR="007D5071" w:rsidRPr="007C1A06">
        <w:rPr>
          <w:rFonts w:ascii="Times New Roman" w:hAnsi="Times New Roman"/>
        </w:rPr>
        <w:t> </w:t>
      </w:r>
      <w:r w:rsidRPr="007C1A06">
        <w:rPr>
          <w:rFonts w:ascii="Times New Roman" w:hAnsi="Times New Roman"/>
        </w:rPr>
        <w:t>% tirpalo pH≈3,6; 517</w:t>
      </w:r>
      <w:r w:rsidR="007D5071" w:rsidRPr="007C1A06">
        <w:rPr>
          <w:rFonts w:ascii="Times New Roman" w:hAnsi="Times New Roman"/>
        </w:rPr>
        <w:t> </w:t>
      </w:r>
      <w:r w:rsidRPr="007C1A06">
        <w:rPr>
          <w:rFonts w:ascii="Times New Roman" w:hAnsi="Times New Roman"/>
        </w:rPr>
        <w:t>mOsm/kg</w:t>
      </w:r>
    </w:p>
    <w:p w14:paraId="7052D82F"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0,74</w:t>
      </w:r>
      <w:r w:rsidR="007D5071" w:rsidRPr="007C1A06">
        <w:rPr>
          <w:rFonts w:ascii="Times New Roman" w:hAnsi="Times New Roman"/>
        </w:rPr>
        <w:t> </w:t>
      </w:r>
      <w:r w:rsidRPr="007C1A06">
        <w:rPr>
          <w:rFonts w:ascii="Times New Roman" w:hAnsi="Times New Roman"/>
        </w:rPr>
        <w:t>mg/ml NaCl 0,9</w:t>
      </w:r>
      <w:r w:rsidR="007D5071" w:rsidRPr="007C1A06">
        <w:rPr>
          <w:rFonts w:ascii="Times New Roman" w:hAnsi="Times New Roman"/>
        </w:rPr>
        <w:t> </w:t>
      </w:r>
      <w:r w:rsidRPr="007C1A06">
        <w:rPr>
          <w:rFonts w:ascii="Times New Roman" w:hAnsi="Times New Roman"/>
        </w:rPr>
        <w:t>% tirpalo pH≈3,3-3,6; 849</w:t>
      </w:r>
      <w:r w:rsidR="007D5071" w:rsidRPr="007C1A06">
        <w:rPr>
          <w:rFonts w:ascii="Times New Roman" w:hAnsi="Times New Roman"/>
        </w:rPr>
        <w:t> </w:t>
      </w:r>
      <w:r w:rsidRPr="007C1A06">
        <w:rPr>
          <w:rFonts w:ascii="Times New Roman" w:hAnsi="Times New Roman"/>
        </w:rPr>
        <w:t>mOsm/kg</w:t>
      </w:r>
    </w:p>
    <w:p w14:paraId="353C885F" w14:textId="77777777" w:rsidR="00D875C0" w:rsidRPr="007C1A06" w:rsidRDefault="00D875C0" w:rsidP="00D875C0">
      <w:pPr>
        <w:spacing w:after="0" w:line="240" w:lineRule="auto"/>
        <w:rPr>
          <w:rFonts w:ascii="Times New Roman" w:hAnsi="Times New Roman"/>
        </w:rPr>
      </w:pPr>
    </w:p>
    <w:p w14:paraId="6E4883BE" w14:textId="77777777" w:rsidR="00D875C0" w:rsidRPr="004E3CD5" w:rsidRDefault="00D875C0" w:rsidP="00D875C0">
      <w:pPr>
        <w:spacing w:after="0" w:line="240" w:lineRule="auto"/>
        <w:rPr>
          <w:rFonts w:ascii="Times New Roman" w:eastAsiaTheme="minorEastAsia" w:hAnsi="Times New Roman"/>
          <w:i/>
          <w:lang w:eastAsia="zh-TW"/>
        </w:rPr>
      </w:pPr>
      <w:r w:rsidRPr="007C1A06">
        <w:rPr>
          <w:rFonts w:ascii="Times New Roman" w:hAnsi="Times New Roman"/>
          <w:i/>
        </w:rPr>
        <w:t>Darbo su antinavikiniais preparatais nurodymai</w:t>
      </w:r>
    </w:p>
    <w:p w14:paraId="6EF30B0E" w14:textId="77777777" w:rsidR="00D875C0" w:rsidRPr="00FB5C4B"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Nėščioms personalo narėms draudžiama dirbti su citotoksiniais preparatais. Vaistinį preparatą </w:t>
      </w:r>
      <w:r w:rsidRPr="007C1A06">
        <w:rPr>
          <w:rFonts w:ascii="Times New Roman" w:eastAsia="Times New Roman" w:hAnsi="Times New Roman" w:cs="Times New Roman"/>
        </w:rPr>
        <w:t>praskiesti</w:t>
      </w:r>
      <w:r w:rsidR="00427D92">
        <w:rPr>
          <w:rFonts w:ascii="Times New Roman" w:eastAsia="Times New Roman" w:hAnsi="Times New Roman" w:cs="Times New Roman"/>
        </w:rPr>
        <w:t xml:space="preserve"> </w:t>
      </w:r>
      <w:r w:rsidRPr="007C1A06">
        <w:rPr>
          <w:rFonts w:ascii="Times New Roman" w:eastAsia="Times New Roman" w:hAnsi="Times New Roman" w:cs="Times New Roman"/>
        </w:rPr>
        <w:t>turėtų</w:t>
      </w:r>
      <w:r w:rsidRPr="00F95B76">
        <w:rPr>
          <w:rFonts w:ascii="Times New Roman" w:hAnsi="Times New Roman"/>
        </w:rPr>
        <w:t xml:space="preserve"> tik apmokytas personalas tam skirtoje vietoje. Darbo paviršius turėtų būti padengtas vienkartiniu sugeriamuoju popieriumi, kurio apati</w:t>
      </w:r>
      <w:r w:rsidRPr="001F2C46">
        <w:rPr>
          <w:rFonts w:ascii="Times New Roman" w:hAnsi="Times New Roman"/>
        </w:rPr>
        <w:t xml:space="preserve">nė pusė dengta plastiku. </w:t>
      </w:r>
    </w:p>
    <w:p w14:paraId="7CFBFBD0" w14:textId="77777777" w:rsidR="00D875C0" w:rsidRPr="007C1A06" w:rsidRDefault="00D875C0" w:rsidP="00D875C0">
      <w:pPr>
        <w:spacing w:after="0" w:line="240" w:lineRule="auto"/>
        <w:rPr>
          <w:rFonts w:ascii="Times New Roman" w:hAnsi="Times New Roman"/>
        </w:rPr>
      </w:pPr>
      <w:r w:rsidRPr="00427D92">
        <w:rPr>
          <w:rFonts w:ascii="Times New Roman" w:hAnsi="Times New Roman"/>
        </w:rPr>
        <w:t xml:space="preserve">Taip pat turi būti dėvimos pirštinės, kaukės ir speciali apranga. Turi būti imtasi saugumo priemonių siekiant išvengti netyčinio vaistinio preparato sąlyčio su oda ar gleivine; vaistinio preparato paveikta sritis turi būti kruopščiai nuplaunama vandeniu ir muilu. Jeigu netyčia </w:t>
      </w:r>
      <w:r w:rsidRPr="00C722B4">
        <w:rPr>
          <w:rFonts w:ascii="Times New Roman" w:hAnsi="Times New Roman"/>
        </w:rPr>
        <w:t>preparato patektų</w:t>
      </w:r>
      <w:r w:rsidRPr="007C1A06">
        <w:rPr>
          <w:rFonts w:ascii="Times New Roman" w:hAnsi="Times New Roman"/>
        </w:rPr>
        <w:t xml:space="preserve"> į akis, jos turi būti kruopščiai ir nedelsiant plaunamos vandeniu.</w:t>
      </w:r>
    </w:p>
    <w:p w14:paraId="69F851C5" w14:textId="77777777" w:rsidR="00D875C0" w:rsidRPr="007C1A06" w:rsidRDefault="00D875C0" w:rsidP="00D875C0">
      <w:pPr>
        <w:spacing w:after="0" w:line="240" w:lineRule="auto"/>
        <w:rPr>
          <w:rFonts w:ascii="Times New Roman" w:hAnsi="Times New Roman"/>
        </w:rPr>
      </w:pPr>
    </w:p>
    <w:p w14:paraId="7665F277"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Naudokite </w:t>
      </w:r>
      <w:r w:rsidRPr="007C1A06">
        <w:rPr>
          <w:rFonts w:ascii="Times New Roman" w:hAnsi="Times New Roman"/>
          <w:i/>
        </w:rPr>
        <w:t>Luer-lock</w:t>
      </w:r>
      <w:r w:rsidRPr="007C1A06">
        <w:rPr>
          <w:rFonts w:ascii="Times New Roman" w:hAnsi="Times New Roman"/>
        </w:rPr>
        <w:t xml:space="preserve"> jungtį visiems švirkštams ir švirkštimo sistemoms. Didelio skersmens adatos rekomenduojamos, siekiant sumažinti slėgį ir tikėtiną aerozolio susiformavimą. Pastarojo formavimasis gali būti sumažinamas naudojant adatą su apsauginiu vožtuvu.</w:t>
      </w:r>
    </w:p>
    <w:p w14:paraId="4013C1C2" w14:textId="77777777" w:rsidR="00D875C0" w:rsidRPr="007C1A06" w:rsidRDefault="00D875C0" w:rsidP="00D875C0">
      <w:pPr>
        <w:spacing w:after="0" w:line="240" w:lineRule="auto"/>
        <w:rPr>
          <w:rFonts w:ascii="Times New Roman" w:hAnsi="Times New Roman"/>
        </w:rPr>
      </w:pPr>
    </w:p>
    <w:p w14:paraId="50FCF323"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Bet koks kiekis nesuvartoto preparato turi būti sunaikinamas. Atitinkama priežiūra ir saugumo priemonės turi būti pritaikytos, išmetant priemones, naudojamas skiesti Docetaxel Ebewe. Nesuvartotas preparatas arba užterštos medžiagos turi būti supakuotos į didelio-pavojaus atliekų maišus. Aštrūs daiktai (adatos, švirkštai, flakonai ir kt.) turi būti sudėti į tinkamą tvirtą talpyklę. Personalas, surenkantis ir išmetantis preparato atliekas, turi būti supažindintas su esama rizika. Nesuvartotas preparatas ar atliekos turi būti tvarkomos laikantis vietinių citotoksinių preparatų naikinimo taisyklių. Perteklinis preparato kiekis turi būti išpiltas į kanalizaciją ir nuplautas gausiu vandens kiekiu.</w:t>
      </w:r>
    </w:p>
    <w:p w14:paraId="13086062" w14:textId="77777777" w:rsidR="00D875C0" w:rsidRPr="007C1A06" w:rsidRDefault="00D875C0" w:rsidP="00D875C0">
      <w:pPr>
        <w:spacing w:after="0" w:line="240" w:lineRule="auto"/>
        <w:rPr>
          <w:rFonts w:ascii="Times New Roman" w:hAnsi="Times New Roman"/>
        </w:rPr>
      </w:pPr>
    </w:p>
    <w:p w14:paraId="43663AD6"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Vaistinis preparatas skirtas daugkartiniam vartojimui, žr. 6.3 skyrių.</w:t>
      </w:r>
    </w:p>
    <w:p w14:paraId="43EBF62A" w14:textId="77777777" w:rsidR="00D875C0" w:rsidRPr="007C1A06" w:rsidRDefault="00D875C0" w:rsidP="00D875C0">
      <w:pPr>
        <w:spacing w:after="0" w:line="240" w:lineRule="auto"/>
        <w:rPr>
          <w:rFonts w:ascii="Times New Roman" w:hAnsi="Times New Roman"/>
        </w:rPr>
      </w:pPr>
    </w:p>
    <w:p w14:paraId="4E4F7B9A"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Vartojimas</w:t>
      </w:r>
    </w:p>
    <w:p w14:paraId="5A45B4AF"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Docetaxel Ebewe leidžiamas tik į veną.</w:t>
      </w:r>
    </w:p>
    <w:p w14:paraId="3F319370" w14:textId="77777777" w:rsidR="00D875C0" w:rsidRPr="007C1A06" w:rsidRDefault="00D875C0" w:rsidP="00D875C0">
      <w:pPr>
        <w:spacing w:after="0" w:line="240" w:lineRule="auto"/>
        <w:rPr>
          <w:rFonts w:ascii="Times New Roman" w:hAnsi="Times New Roman"/>
        </w:rPr>
      </w:pPr>
    </w:p>
    <w:p w14:paraId="6BF1FECF" w14:textId="77777777" w:rsidR="00D875C0" w:rsidRPr="007C1A06" w:rsidRDefault="00D875C0" w:rsidP="00D875C0">
      <w:pPr>
        <w:spacing w:after="0" w:line="240" w:lineRule="auto"/>
        <w:rPr>
          <w:rFonts w:ascii="Times New Roman" w:hAnsi="Times New Roman"/>
        </w:rPr>
      </w:pPr>
    </w:p>
    <w:p w14:paraId="3DC94435" w14:textId="77777777" w:rsidR="00D875C0" w:rsidRPr="007C1A06" w:rsidRDefault="00D875C0" w:rsidP="00D875C0">
      <w:pPr>
        <w:keepNext/>
        <w:tabs>
          <w:tab w:val="left" w:pos="567"/>
        </w:tabs>
        <w:spacing w:after="0" w:line="240" w:lineRule="auto"/>
        <w:ind w:left="567" w:hanging="567"/>
        <w:outlineLvl w:val="1"/>
        <w:rPr>
          <w:rFonts w:ascii="Times New Roman" w:hAnsi="Times New Roman"/>
          <w:b/>
        </w:rPr>
      </w:pPr>
      <w:bookmarkStart w:id="53" w:name="_Toc129243122"/>
      <w:bookmarkStart w:id="54" w:name="_Toc129243247"/>
      <w:r w:rsidRPr="007C1A06">
        <w:rPr>
          <w:rFonts w:ascii="Times New Roman" w:hAnsi="Times New Roman"/>
          <w:b/>
        </w:rPr>
        <w:t>7.</w:t>
      </w:r>
      <w:r w:rsidRPr="007C1A06">
        <w:rPr>
          <w:rFonts w:ascii="Times New Roman" w:hAnsi="Times New Roman"/>
          <w:b/>
        </w:rPr>
        <w:tab/>
      </w:r>
      <w:bookmarkEnd w:id="53"/>
      <w:bookmarkEnd w:id="54"/>
      <w:r w:rsidRPr="007C1A06">
        <w:rPr>
          <w:rFonts w:ascii="Times New Roman" w:hAnsi="Times New Roman"/>
          <w:b/>
        </w:rPr>
        <w:t>REGISTRUOTOJAS</w:t>
      </w:r>
    </w:p>
    <w:p w14:paraId="6D4A8C94" w14:textId="77777777" w:rsidR="00D875C0" w:rsidRPr="007C1A06" w:rsidRDefault="00D875C0" w:rsidP="00D875C0">
      <w:pPr>
        <w:spacing w:after="0" w:line="240" w:lineRule="auto"/>
        <w:rPr>
          <w:rFonts w:ascii="Times New Roman" w:hAnsi="Times New Roman"/>
        </w:rPr>
      </w:pPr>
    </w:p>
    <w:p w14:paraId="5FFFF61C"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Sandoz d.d.</w:t>
      </w:r>
    </w:p>
    <w:p w14:paraId="7991832F"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Verovškova 57</w:t>
      </w:r>
    </w:p>
    <w:p w14:paraId="5E629B4F"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SI-1000 Ljubljana</w:t>
      </w:r>
    </w:p>
    <w:p w14:paraId="07ECFBA5"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Slovėnija</w:t>
      </w:r>
    </w:p>
    <w:p w14:paraId="297EA988" w14:textId="77777777" w:rsidR="00D875C0" w:rsidRPr="007C1A06" w:rsidRDefault="00D875C0" w:rsidP="00D875C0">
      <w:pPr>
        <w:spacing w:after="0" w:line="240" w:lineRule="auto"/>
        <w:rPr>
          <w:rFonts w:ascii="Times New Roman" w:hAnsi="Times New Roman"/>
        </w:rPr>
      </w:pPr>
    </w:p>
    <w:p w14:paraId="7B3A8FE8" w14:textId="77777777" w:rsidR="00D875C0" w:rsidRPr="007C1A06" w:rsidRDefault="00D875C0" w:rsidP="00D875C0">
      <w:pPr>
        <w:spacing w:after="0" w:line="240" w:lineRule="auto"/>
        <w:rPr>
          <w:rFonts w:ascii="Times New Roman" w:hAnsi="Times New Roman"/>
        </w:rPr>
      </w:pPr>
    </w:p>
    <w:p w14:paraId="10AFBEC1" w14:textId="77777777" w:rsidR="00D875C0" w:rsidRPr="007C1A06" w:rsidRDefault="00D875C0" w:rsidP="00D875C0">
      <w:pPr>
        <w:keepNext/>
        <w:tabs>
          <w:tab w:val="left" w:pos="567"/>
        </w:tabs>
        <w:spacing w:after="0" w:line="240" w:lineRule="auto"/>
        <w:ind w:left="567" w:hanging="567"/>
        <w:outlineLvl w:val="1"/>
        <w:rPr>
          <w:rFonts w:ascii="Times New Roman" w:hAnsi="Times New Roman"/>
          <w:b/>
        </w:rPr>
      </w:pPr>
      <w:bookmarkStart w:id="55" w:name="_Toc129243123"/>
      <w:bookmarkStart w:id="56" w:name="_Toc129243248"/>
      <w:r w:rsidRPr="007C1A06">
        <w:rPr>
          <w:rFonts w:ascii="Times New Roman" w:hAnsi="Times New Roman"/>
          <w:b/>
        </w:rPr>
        <w:t>8.</w:t>
      </w:r>
      <w:r w:rsidRPr="007C1A06">
        <w:rPr>
          <w:rFonts w:ascii="Times New Roman" w:hAnsi="Times New Roman"/>
          <w:b/>
        </w:rPr>
        <w:tab/>
        <w:t>REGISTRACIJOS PAŽYMĖJIMO NUMERIS</w:t>
      </w:r>
      <w:bookmarkEnd w:id="55"/>
      <w:bookmarkEnd w:id="56"/>
      <w:r w:rsidRPr="007C1A06">
        <w:rPr>
          <w:rFonts w:ascii="Times New Roman" w:hAnsi="Times New Roman"/>
          <w:b/>
        </w:rPr>
        <w:t xml:space="preserve"> (-IAI)</w:t>
      </w:r>
    </w:p>
    <w:p w14:paraId="4135B52D" w14:textId="77777777" w:rsidR="00D875C0" w:rsidRPr="007C1A06" w:rsidRDefault="00D875C0" w:rsidP="00D875C0">
      <w:pPr>
        <w:spacing w:after="0" w:line="240" w:lineRule="auto"/>
        <w:rPr>
          <w:rFonts w:ascii="Times New Roman" w:hAnsi="Times New Roman"/>
        </w:rPr>
      </w:pPr>
    </w:p>
    <w:p w14:paraId="447448A1"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2 ml, N1 - LT/1/10/1953/001 </w:t>
      </w:r>
    </w:p>
    <w:p w14:paraId="3C1314B1"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2 ml, N5 - LT/1/10/1953/002 </w:t>
      </w:r>
    </w:p>
    <w:p w14:paraId="430D99BA"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2 ml, N10 - LT/1/10/1953/003 </w:t>
      </w:r>
    </w:p>
    <w:p w14:paraId="7BCF3CB9"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8 ml, N1 - LT/1/10/1953/004 </w:t>
      </w:r>
    </w:p>
    <w:p w14:paraId="58598256"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8 ml, N5 - LT/1/10/1953/005 </w:t>
      </w:r>
    </w:p>
    <w:p w14:paraId="7CEA0444"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8 ml, N10 - LT/1/10/1953/006 </w:t>
      </w:r>
    </w:p>
    <w:p w14:paraId="38B29B8A"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16</w:t>
      </w:r>
      <w:r w:rsidR="007D5071" w:rsidRPr="007C1A06">
        <w:rPr>
          <w:rFonts w:ascii="Times New Roman" w:hAnsi="Times New Roman"/>
        </w:rPr>
        <w:t> </w:t>
      </w:r>
      <w:r w:rsidRPr="007C1A06">
        <w:rPr>
          <w:rFonts w:ascii="Times New Roman" w:hAnsi="Times New Roman"/>
        </w:rPr>
        <w:t>ml, N1 – LT/1/10/1953/007</w:t>
      </w:r>
    </w:p>
    <w:p w14:paraId="3705DA45"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16</w:t>
      </w:r>
      <w:r w:rsidR="007D5071" w:rsidRPr="007C1A06">
        <w:rPr>
          <w:rFonts w:ascii="Times New Roman" w:hAnsi="Times New Roman"/>
        </w:rPr>
        <w:t> </w:t>
      </w:r>
      <w:r w:rsidRPr="007C1A06">
        <w:rPr>
          <w:rFonts w:ascii="Times New Roman" w:hAnsi="Times New Roman"/>
        </w:rPr>
        <w:t>ml, N5 – LT/1/10/1953/008</w:t>
      </w:r>
    </w:p>
    <w:p w14:paraId="76935A6F"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16</w:t>
      </w:r>
      <w:r w:rsidR="007D5071" w:rsidRPr="007C1A06">
        <w:rPr>
          <w:rFonts w:ascii="Times New Roman" w:hAnsi="Times New Roman"/>
        </w:rPr>
        <w:t> </w:t>
      </w:r>
      <w:r w:rsidRPr="007C1A06">
        <w:rPr>
          <w:rFonts w:ascii="Times New Roman" w:hAnsi="Times New Roman"/>
        </w:rPr>
        <w:t>ml, N10 – LT/1/10/1953/009</w:t>
      </w:r>
    </w:p>
    <w:p w14:paraId="0E015E92" w14:textId="77777777" w:rsidR="00D875C0" w:rsidRDefault="00D875C0" w:rsidP="00D875C0">
      <w:pPr>
        <w:spacing w:after="0" w:line="240" w:lineRule="auto"/>
        <w:rPr>
          <w:rFonts w:ascii="Times New Roman" w:hAnsi="Times New Roman"/>
        </w:rPr>
      </w:pPr>
    </w:p>
    <w:p w14:paraId="6595BF75" w14:textId="77777777" w:rsidR="009F7D2E" w:rsidRPr="007C1A06" w:rsidRDefault="009F7D2E" w:rsidP="00D875C0">
      <w:pPr>
        <w:spacing w:after="0" w:line="240" w:lineRule="auto"/>
        <w:rPr>
          <w:rFonts w:ascii="Times New Roman" w:hAnsi="Times New Roman"/>
        </w:rPr>
      </w:pPr>
    </w:p>
    <w:p w14:paraId="3CDEE317" w14:textId="77777777" w:rsidR="00D875C0" w:rsidRPr="007C1A06" w:rsidRDefault="00D875C0" w:rsidP="00D875C0">
      <w:pPr>
        <w:keepNext/>
        <w:tabs>
          <w:tab w:val="left" w:pos="567"/>
        </w:tabs>
        <w:spacing w:after="0" w:line="240" w:lineRule="auto"/>
        <w:ind w:left="567" w:hanging="567"/>
        <w:outlineLvl w:val="1"/>
        <w:rPr>
          <w:rFonts w:ascii="Times New Roman" w:hAnsi="Times New Roman"/>
          <w:b/>
        </w:rPr>
      </w:pPr>
      <w:bookmarkStart w:id="57" w:name="_Toc129243124"/>
      <w:bookmarkStart w:id="58" w:name="_Toc129243249"/>
      <w:r w:rsidRPr="007C1A06">
        <w:rPr>
          <w:rFonts w:ascii="Times New Roman" w:hAnsi="Times New Roman"/>
          <w:b/>
        </w:rPr>
        <w:t>9.</w:t>
      </w:r>
      <w:r w:rsidRPr="007C1A06">
        <w:rPr>
          <w:rFonts w:ascii="Times New Roman" w:hAnsi="Times New Roman"/>
          <w:b/>
        </w:rPr>
        <w:tab/>
        <w:t>REGISTRAVIMO / PERREGISTRAVIMO DATA</w:t>
      </w:r>
      <w:bookmarkEnd w:id="57"/>
      <w:bookmarkEnd w:id="58"/>
    </w:p>
    <w:p w14:paraId="4DBABF4C" w14:textId="77777777" w:rsidR="00D875C0" w:rsidRPr="007C1A06" w:rsidRDefault="00D875C0" w:rsidP="00D875C0">
      <w:pPr>
        <w:spacing w:after="0" w:line="240" w:lineRule="auto"/>
        <w:rPr>
          <w:rFonts w:ascii="Times New Roman" w:hAnsi="Times New Roman"/>
        </w:rPr>
      </w:pPr>
    </w:p>
    <w:p w14:paraId="1049AD90"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Registravimo data 2010</w:t>
      </w:r>
      <w:r w:rsidR="007D5071" w:rsidRPr="007C1A06">
        <w:rPr>
          <w:rFonts w:ascii="Times New Roman" w:hAnsi="Times New Roman"/>
        </w:rPr>
        <w:t> </w:t>
      </w:r>
      <w:r w:rsidRPr="007C1A06">
        <w:rPr>
          <w:rFonts w:ascii="Times New Roman" w:hAnsi="Times New Roman"/>
        </w:rPr>
        <w:t>m. balandžio 16</w:t>
      </w:r>
      <w:r w:rsidR="007D5071" w:rsidRPr="007C1A06">
        <w:rPr>
          <w:rFonts w:ascii="Times New Roman" w:hAnsi="Times New Roman"/>
        </w:rPr>
        <w:t> </w:t>
      </w:r>
      <w:r w:rsidRPr="007C1A06">
        <w:rPr>
          <w:rFonts w:ascii="Times New Roman" w:hAnsi="Times New Roman"/>
        </w:rPr>
        <w:t>d.</w:t>
      </w:r>
    </w:p>
    <w:p w14:paraId="759436D0" w14:textId="77777777" w:rsidR="00D875C0" w:rsidRPr="004E3CD5" w:rsidRDefault="00D875C0" w:rsidP="00D875C0">
      <w:pPr>
        <w:tabs>
          <w:tab w:val="left" w:pos="567"/>
        </w:tabs>
        <w:spacing w:after="0" w:line="260" w:lineRule="exact"/>
        <w:rPr>
          <w:rFonts w:ascii="Times New Roman" w:eastAsiaTheme="minorEastAsia" w:hAnsi="Times New Roman"/>
          <w:lang w:eastAsia="zh-TW"/>
        </w:rPr>
      </w:pPr>
      <w:r w:rsidRPr="007C1A06">
        <w:rPr>
          <w:rFonts w:ascii="Times New Roman" w:hAnsi="Times New Roman"/>
        </w:rPr>
        <w:t>Paskutinio perregistravimo data 2016</w:t>
      </w:r>
      <w:r w:rsidR="007D5071" w:rsidRPr="007C1A06">
        <w:rPr>
          <w:rFonts w:ascii="Times New Roman" w:hAnsi="Times New Roman"/>
        </w:rPr>
        <w:t> </w:t>
      </w:r>
      <w:r w:rsidRPr="007C1A06">
        <w:rPr>
          <w:rFonts w:ascii="Times New Roman" w:hAnsi="Times New Roman"/>
        </w:rPr>
        <w:t>m. vasario 15</w:t>
      </w:r>
      <w:r w:rsidR="007D5071" w:rsidRPr="007C1A06">
        <w:rPr>
          <w:rFonts w:ascii="Times New Roman" w:hAnsi="Times New Roman"/>
        </w:rPr>
        <w:t> </w:t>
      </w:r>
      <w:r w:rsidRPr="007C1A06">
        <w:rPr>
          <w:rFonts w:ascii="Times New Roman" w:hAnsi="Times New Roman"/>
        </w:rPr>
        <w:t>d.</w:t>
      </w:r>
    </w:p>
    <w:p w14:paraId="5207D108" w14:textId="77777777" w:rsidR="00D875C0" w:rsidRPr="007C1A06" w:rsidRDefault="00D875C0" w:rsidP="00D875C0">
      <w:pPr>
        <w:spacing w:after="0" w:line="240" w:lineRule="auto"/>
        <w:rPr>
          <w:rFonts w:ascii="Times New Roman" w:hAnsi="Times New Roman"/>
        </w:rPr>
      </w:pPr>
    </w:p>
    <w:p w14:paraId="10EB0955" w14:textId="77777777" w:rsidR="00D875C0" w:rsidRPr="007C1A06" w:rsidRDefault="00D875C0" w:rsidP="00D875C0">
      <w:pPr>
        <w:spacing w:after="0" w:line="240" w:lineRule="auto"/>
        <w:rPr>
          <w:rFonts w:ascii="Times New Roman" w:hAnsi="Times New Roman"/>
        </w:rPr>
      </w:pPr>
    </w:p>
    <w:p w14:paraId="23D1CB29" w14:textId="77777777" w:rsidR="00D875C0" w:rsidRPr="007C1A06" w:rsidRDefault="00D875C0" w:rsidP="00D875C0">
      <w:pPr>
        <w:keepNext/>
        <w:tabs>
          <w:tab w:val="left" w:pos="567"/>
        </w:tabs>
        <w:spacing w:after="0" w:line="240" w:lineRule="auto"/>
        <w:ind w:left="567" w:hanging="567"/>
        <w:outlineLvl w:val="1"/>
        <w:rPr>
          <w:rFonts w:ascii="Times New Roman" w:hAnsi="Times New Roman"/>
          <w:b/>
        </w:rPr>
      </w:pPr>
      <w:bookmarkStart w:id="59" w:name="_Toc129243125"/>
      <w:bookmarkStart w:id="60" w:name="_Toc129243250"/>
      <w:r w:rsidRPr="007C1A06">
        <w:rPr>
          <w:rFonts w:ascii="Times New Roman" w:hAnsi="Times New Roman"/>
          <w:b/>
        </w:rPr>
        <w:t>10.</w:t>
      </w:r>
      <w:r w:rsidRPr="007C1A06">
        <w:rPr>
          <w:rFonts w:ascii="Times New Roman" w:hAnsi="Times New Roman"/>
          <w:b/>
        </w:rPr>
        <w:tab/>
        <w:t>TEKSTO PERŽIŪROS DATA</w:t>
      </w:r>
      <w:bookmarkEnd w:id="59"/>
      <w:bookmarkEnd w:id="60"/>
    </w:p>
    <w:p w14:paraId="426BB019" w14:textId="77777777" w:rsidR="00D875C0" w:rsidRPr="007C1A06" w:rsidRDefault="00D875C0" w:rsidP="00D875C0">
      <w:pPr>
        <w:keepNext/>
        <w:tabs>
          <w:tab w:val="left" w:pos="567"/>
        </w:tabs>
        <w:spacing w:after="0" w:line="240" w:lineRule="auto"/>
        <w:ind w:left="567" w:hanging="567"/>
        <w:outlineLvl w:val="1"/>
        <w:rPr>
          <w:rFonts w:ascii="Times New Roman" w:hAnsi="Times New Roman"/>
          <w:b/>
        </w:rPr>
      </w:pPr>
    </w:p>
    <w:p w14:paraId="5CB50962" w14:textId="53132997" w:rsidR="00845370" w:rsidRPr="001F2C46" w:rsidRDefault="005A181A" w:rsidP="00D875C0">
      <w:pPr>
        <w:spacing w:after="0" w:line="240" w:lineRule="auto"/>
        <w:rPr>
          <w:rFonts w:ascii="Times New Roman" w:hAnsi="Times New Roman"/>
        </w:rPr>
      </w:pPr>
      <w:r>
        <w:rPr>
          <w:rFonts w:ascii="Times New Roman" w:hAnsi="Times New Roman"/>
        </w:rPr>
        <w:t>2023 m. lapkričio 9 d.</w:t>
      </w:r>
    </w:p>
    <w:p w14:paraId="7F594D2A" w14:textId="77777777" w:rsidR="00053C6B" w:rsidRDefault="00053C6B" w:rsidP="00D875C0">
      <w:pPr>
        <w:tabs>
          <w:tab w:val="left" w:pos="5954"/>
          <w:tab w:val="left" w:pos="6237"/>
          <w:tab w:val="left" w:pos="6663"/>
          <w:tab w:val="left" w:pos="6946"/>
        </w:tabs>
        <w:spacing w:after="0" w:line="240" w:lineRule="auto"/>
        <w:rPr>
          <w:rFonts w:ascii="Times New Roman" w:hAnsi="Times New Roman"/>
        </w:rPr>
      </w:pPr>
    </w:p>
    <w:p w14:paraId="2835CB5F" w14:textId="2AB510FC" w:rsidR="00D875C0" w:rsidRPr="00427D92" w:rsidRDefault="00D875C0" w:rsidP="00D875C0">
      <w:pPr>
        <w:tabs>
          <w:tab w:val="left" w:pos="5954"/>
          <w:tab w:val="left" w:pos="6237"/>
          <w:tab w:val="left" w:pos="6663"/>
          <w:tab w:val="left" w:pos="6946"/>
        </w:tabs>
        <w:spacing w:after="0" w:line="240" w:lineRule="auto"/>
        <w:rPr>
          <w:rFonts w:ascii="Times New Roman" w:hAnsi="Times New Roman"/>
        </w:rPr>
      </w:pPr>
      <w:r w:rsidRPr="00427D92">
        <w:rPr>
          <w:rFonts w:ascii="Times New Roman" w:hAnsi="Times New Roman"/>
        </w:rPr>
        <w:t>Išsami informacija apie šį vaistinį preparatą pateikiama Valstybinės vaistų kontrolės tarnybos prie Lietuvos Respublikos sveikatos apsaugos ministerijos tinklalapyje</w:t>
      </w:r>
      <w:r w:rsidR="00EC5B32">
        <w:rPr>
          <w:rFonts w:ascii="Times New Roman" w:hAnsi="Times New Roman"/>
        </w:rPr>
        <w:t xml:space="preserve"> </w:t>
      </w:r>
      <w:hyperlink r:id="rId11" w:history="1">
        <w:r w:rsidRPr="00F95B76">
          <w:rPr>
            <w:rFonts w:ascii="Times New Roman" w:hAnsi="Times New Roman"/>
            <w:color w:val="0000FF"/>
            <w:u w:val="single"/>
          </w:rPr>
          <w:t>http://www.vvkt.lt</w:t>
        </w:r>
      </w:hyperlink>
    </w:p>
    <w:p w14:paraId="32C7BC07" w14:textId="77777777" w:rsidR="00D875C0" w:rsidRPr="00427D92" w:rsidRDefault="00D875C0" w:rsidP="00D875C0">
      <w:pPr>
        <w:spacing w:after="0" w:line="240" w:lineRule="auto"/>
        <w:rPr>
          <w:rFonts w:ascii="Times New Roman" w:hAnsi="Times New Roman"/>
        </w:rPr>
      </w:pPr>
      <w:r w:rsidRPr="00427D92">
        <w:rPr>
          <w:rFonts w:ascii="Times New Roman" w:hAnsi="Times New Roman"/>
        </w:rPr>
        <w:br w:type="page"/>
      </w:r>
    </w:p>
    <w:p w14:paraId="33851B15" w14:textId="77777777" w:rsidR="00D875C0" w:rsidRPr="00C722B4" w:rsidRDefault="00D875C0" w:rsidP="00D875C0">
      <w:pPr>
        <w:spacing w:after="0" w:line="240" w:lineRule="auto"/>
        <w:rPr>
          <w:rFonts w:ascii="Times New Roman" w:hAnsi="Times New Roman"/>
        </w:rPr>
      </w:pPr>
    </w:p>
    <w:p w14:paraId="146CB37F" w14:textId="77777777" w:rsidR="00D875C0" w:rsidRPr="007C1A06" w:rsidRDefault="00D875C0" w:rsidP="00D875C0">
      <w:pPr>
        <w:spacing w:after="0" w:line="240" w:lineRule="auto"/>
        <w:rPr>
          <w:rFonts w:ascii="Times New Roman" w:hAnsi="Times New Roman"/>
        </w:rPr>
      </w:pPr>
    </w:p>
    <w:p w14:paraId="292ED1D3" w14:textId="77777777" w:rsidR="00D875C0" w:rsidRPr="007C1A06" w:rsidRDefault="00D875C0" w:rsidP="00D875C0">
      <w:pPr>
        <w:spacing w:after="0" w:line="240" w:lineRule="auto"/>
        <w:rPr>
          <w:rFonts w:ascii="Times New Roman" w:hAnsi="Times New Roman"/>
        </w:rPr>
      </w:pPr>
    </w:p>
    <w:p w14:paraId="04345875" w14:textId="77777777" w:rsidR="00D875C0" w:rsidRPr="007C1A06" w:rsidRDefault="00D875C0" w:rsidP="00D875C0">
      <w:pPr>
        <w:spacing w:after="0" w:line="240" w:lineRule="auto"/>
        <w:rPr>
          <w:rFonts w:ascii="Times New Roman" w:hAnsi="Times New Roman"/>
        </w:rPr>
      </w:pPr>
    </w:p>
    <w:p w14:paraId="67323AF2" w14:textId="77777777" w:rsidR="00D875C0" w:rsidRPr="007C1A06" w:rsidRDefault="00D875C0" w:rsidP="00D875C0">
      <w:pPr>
        <w:spacing w:after="0" w:line="240" w:lineRule="auto"/>
        <w:rPr>
          <w:rFonts w:ascii="Times New Roman" w:hAnsi="Times New Roman"/>
        </w:rPr>
      </w:pPr>
    </w:p>
    <w:p w14:paraId="0D0C49D5" w14:textId="77777777" w:rsidR="00D875C0" w:rsidRPr="007C1A06" w:rsidRDefault="00D875C0" w:rsidP="00D875C0">
      <w:pPr>
        <w:spacing w:after="0" w:line="240" w:lineRule="auto"/>
        <w:rPr>
          <w:rFonts w:ascii="Times New Roman" w:hAnsi="Times New Roman"/>
        </w:rPr>
      </w:pPr>
    </w:p>
    <w:p w14:paraId="2B7923C8" w14:textId="77777777" w:rsidR="00D875C0" w:rsidRPr="007C1A06" w:rsidRDefault="00D875C0" w:rsidP="00D875C0">
      <w:pPr>
        <w:spacing w:after="0" w:line="240" w:lineRule="auto"/>
        <w:rPr>
          <w:rFonts w:ascii="Times New Roman" w:hAnsi="Times New Roman"/>
        </w:rPr>
      </w:pPr>
    </w:p>
    <w:p w14:paraId="615E7A5C" w14:textId="77777777" w:rsidR="00D875C0" w:rsidRPr="007C1A06" w:rsidRDefault="00D875C0" w:rsidP="00D875C0">
      <w:pPr>
        <w:spacing w:after="0" w:line="240" w:lineRule="auto"/>
        <w:rPr>
          <w:rFonts w:ascii="Times New Roman" w:hAnsi="Times New Roman"/>
        </w:rPr>
      </w:pPr>
    </w:p>
    <w:p w14:paraId="0088F8F0" w14:textId="77777777" w:rsidR="00D875C0" w:rsidRPr="007C1A06" w:rsidRDefault="00D875C0" w:rsidP="00D875C0">
      <w:pPr>
        <w:spacing w:after="0" w:line="240" w:lineRule="auto"/>
        <w:rPr>
          <w:rFonts w:ascii="Times New Roman" w:hAnsi="Times New Roman"/>
        </w:rPr>
      </w:pPr>
    </w:p>
    <w:p w14:paraId="21C2B6AD" w14:textId="77777777" w:rsidR="00D875C0" w:rsidRPr="007C1A06" w:rsidRDefault="00D875C0" w:rsidP="00D875C0">
      <w:pPr>
        <w:spacing w:after="0" w:line="240" w:lineRule="auto"/>
        <w:rPr>
          <w:rFonts w:ascii="Times New Roman" w:hAnsi="Times New Roman"/>
        </w:rPr>
      </w:pPr>
    </w:p>
    <w:p w14:paraId="45E6DA1F" w14:textId="77777777" w:rsidR="00D875C0" w:rsidRPr="007C1A06" w:rsidRDefault="00D875C0" w:rsidP="00D875C0">
      <w:pPr>
        <w:spacing w:after="0" w:line="240" w:lineRule="auto"/>
        <w:rPr>
          <w:rFonts w:ascii="Times New Roman" w:hAnsi="Times New Roman"/>
        </w:rPr>
      </w:pPr>
    </w:p>
    <w:p w14:paraId="444AC359" w14:textId="77777777" w:rsidR="00D875C0" w:rsidRPr="007C1A06" w:rsidRDefault="00D875C0" w:rsidP="00D875C0">
      <w:pPr>
        <w:spacing w:after="0" w:line="240" w:lineRule="auto"/>
        <w:rPr>
          <w:rFonts w:ascii="Times New Roman" w:hAnsi="Times New Roman"/>
        </w:rPr>
      </w:pPr>
    </w:p>
    <w:p w14:paraId="0334F4AB" w14:textId="77777777" w:rsidR="00D875C0" w:rsidRPr="007C1A06" w:rsidRDefault="00D875C0" w:rsidP="00D875C0">
      <w:pPr>
        <w:spacing w:after="0" w:line="240" w:lineRule="auto"/>
        <w:rPr>
          <w:rFonts w:ascii="Times New Roman" w:hAnsi="Times New Roman"/>
        </w:rPr>
      </w:pPr>
    </w:p>
    <w:p w14:paraId="219AF49A" w14:textId="77777777" w:rsidR="00D875C0" w:rsidRPr="007C1A06" w:rsidRDefault="00D875C0" w:rsidP="00D875C0">
      <w:pPr>
        <w:spacing w:after="0" w:line="240" w:lineRule="auto"/>
        <w:rPr>
          <w:rFonts w:ascii="Times New Roman" w:hAnsi="Times New Roman"/>
        </w:rPr>
      </w:pPr>
    </w:p>
    <w:p w14:paraId="50A67F6E" w14:textId="77777777" w:rsidR="00D875C0" w:rsidRPr="007C1A06" w:rsidRDefault="00D875C0" w:rsidP="00D875C0">
      <w:pPr>
        <w:spacing w:after="0" w:line="240" w:lineRule="auto"/>
        <w:rPr>
          <w:rFonts w:ascii="Times New Roman" w:hAnsi="Times New Roman"/>
        </w:rPr>
      </w:pPr>
    </w:p>
    <w:p w14:paraId="1E737462" w14:textId="77777777" w:rsidR="00D875C0" w:rsidRPr="007C1A06" w:rsidRDefault="00D875C0" w:rsidP="00D875C0">
      <w:pPr>
        <w:spacing w:after="0" w:line="240" w:lineRule="auto"/>
        <w:rPr>
          <w:rFonts w:ascii="Times New Roman" w:hAnsi="Times New Roman"/>
        </w:rPr>
      </w:pPr>
    </w:p>
    <w:p w14:paraId="4E4489C6" w14:textId="77777777" w:rsidR="00D875C0" w:rsidRPr="007C1A06" w:rsidRDefault="00D875C0" w:rsidP="00D875C0">
      <w:pPr>
        <w:spacing w:after="0" w:line="240" w:lineRule="auto"/>
        <w:rPr>
          <w:rFonts w:ascii="Times New Roman" w:hAnsi="Times New Roman"/>
        </w:rPr>
      </w:pPr>
    </w:p>
    <w:p w14:paraId="36665748" w14:textId="77777777" w:rsidR="00D875C0" w:rsidRPr="007C1A06" w:rsidRDefault="00D875C0" w:rsidP="00D875C0">
      <w:pPr>
        <w:spacing w:after="0" w:line="240" w:lineRule="auto"/>
        <w:rPr>
          <w:rFonts w:ascii="Times New Roman" w:hAnsi="Times New Roman"/>
        </w:rPr>
      </w:pPr>
    </w:p>
    <w:p w14:paraId="0F2F43A5" w14:textId="77777777" w:rsidR="00D875C0" w:rsidRPr="007C1A06" w:rsidRDefault="00D875C0" w:rsidP="00D875C0">
      <w:pPr>
        <w:spacing w:after="0" w:line="240" w:lineRule="auto"/>
        <w:rPr>
          <w:rFonts w:ascii="Times New Roman" w:hAnsi="Times New Roman"/>
        </w:rPr>
      </w:pPr>
    </w:p>
    <w:p w14:paraId="2342C64B" w14:textId="77777777" w:rsidR="00D875C0" w:rsidRPr="007C1A06" w:rsidRDefault="00D875C0" w:rsidP="00D875C0">
      <w:pPr>
        <w:spacing w:after="0" w:line="240" w:lineRule="auto"/>
        <w:rPr>
          <w:rFonts w:ascii="Times New Roman" w:hAnsi="Times New Roman"/>
        </w:rPr>
      </w:pPr>
    </w:p>
    <w:p w14:paraId="53BDEB4F" w14:textId="77777777" w:rsidR="00D875C0" w:rsidRPr="007C1A06" w:rsidRDefault="00D875C0" w:rsidP="00D875C0">
      <w:pPr>
        <w:spacing w:after="0" w:line="240" w:lineRule="auto"/>
        <w:rPr>
          <w:rFonts w:ascii="Times New Roman" w:hAnsi="Times New Roman"/>
        </w:rPr>
      </w:pPr>
    </w:p>
    <w:p w14:paraId="37F91B27" w14:textId="77777777" w:rsidR="00D875C0" w:rsidRPr="007C1A06" w:rsidRDefault="00D875C0" w:rsidP="00D875C0">
      <w:pPr>
        <w:spacing w:after="0" w:line="240" w:lineRule="auto"/>
        <w:rPr>
          <w:rFonts w:ascii="Times New Roman" w:hAnsi="Times New Roman"/>
        </w:rPr>
      </w:pPr>
    </w:p>
    <w:p w14:paraId="6A937EC2" w14:textId="77777777" w:rsidR="00D875C0" w:rsidRPr="007C1A06" w:rsidRDefault="00D875C0" w:rsidP="00D875C0">
      <w:pPr>
        <w:spacing w:after="0" w:line="240" w:lineRule="auto"/>
        <w:jc w:val="center"/>
        <w:rPr>
          <w:rFonts w:ascii="Times New Roman" w:hAnsi="Times New Roman"/>
          <w:b/>
        </w:rPr>
      </w:pPr>
      <w:bookmarkStart w:id="61" w:name="_Toc129243128"/>
      <w:bookmarkStart w:id="62" w:name="_Toc129243253"/>
    </w:p>
    <w:p w14:paraId="3772BF47" w14:textId="77777777" w:rsidR="00D875C0" w:rsidRPr="007C1A06" w:rsidRDefault="00D875C0" w:rsidP="00D875C0">
      <w:pPr>
        <w:spacing w:after="0" w:line="240" w:lineRule="auto"/>
        <w:jc w:val="center"/>
        <w:rPr>
          <w:rFonts w:ascii="Times New Roman" w:hAnsi="Times New Roman"/>
          <w:b/>
        </w:rPr>
      </w:pPr>
      <w:r w:rsidRPr="007C1A06">
        <w:rPr>
          <w:rFonts w:ascii="Times New Roman" w:hAnsi="Times New Roman"/>
          <w:b/>
        </w:rPr>
        <w:t>II PRIEDAS</w:t>
      </w:r>
      <w:bookmarkEnd w:id="61"/>
      <w:bookmarkEnd w:id="62"/>
    </w:p>
    <w:p w14:paraId="4820E8B9" w14:textId="77777777" w:rsidR="00D875C0" w:rsidRPr="007C1A06" w:rsidRDefault="00D875C0" w:rsidP="00D875C0">
      <w:pPr>
        <w:spacing w:after="0" w:line="240" w:lineRule="auto"/>
        <w:jc w:val="center"/>
        <w:rPr>
          <w:rFonts w:ascii="Times New Roman" w:hAnsi="Times New Roman"/>
          <w:b/>
        </w:rPr>
      </w:pPr>
    </w:p>
    <w:p w14:paraId="318CEA8F" w14:textId="77777777" w:rsidR="00D875C0" w:rsidRPr="004E3CD5" w:rsidRDefault="00D875C0" w:rsidP="00D875C0">
      <w:pPr>
        <w:spacing w:after="0" w:line="240" w:lineRule="auto"/>
        <w:jc w:val="center"/>
        <w:rPr>
          <w:rFonts w:ascii="Times New Roman" w:eastAsiaTheme="minorEastAsia" w:hAnsi="Times New Roman"/>
          <w:b/>
          <w:lang w:eastAsia="zh-TW"/>
        </w:rPr>
      </w:pPr>
      <w:r w:rsidRPr="007C1A06">
        <w:rPr>
          <w:rFonts w:ascii="Times New Roman" w:hAnsi="Times New Roman"/>
          <w:b/>
        </w:rPr>
        <w:t>REGISTRACIJOS SĄLYGOS</w:t>
      </w:r>
    </w:p>
    <w:p w14:paraId="060F3244" w14:textId="77777777" w:rsidR="00D875C0" w:rsidRPr="007C1A06" w:rsidRDefault="00D875C0" w:rsidP="00D875C0">
      <w:pPr>
        <w:spacing w:after="0" w:line="240" w:lineRule="auto"/>
        <w:rPr>
          <w:rFonts w:ascii="Times New Roman" w:hAnsi="Times New Roman"/>
          <w:b/>
        </w:rPr>
      </w:pPr>
    </w:p>
    <w:p w14:paraId="100804AB" w14:textId="77777777" w:rsidR="00D875C0" w:rsidRPr="004E3CD5" w:rsidRDefault="00174041" w:rsidP="00874783">
      <w:pPr>
        <w:spacing w:after="0" w:line="240" w:lineRule="auto"/>
        <w:ind w:left="567" w:hanging="567"/>
        <w:jc w:val="center"/>
        <w:rPr>
          <w:rFonts w:ascii="Times New Roman" w:eastAsiaTheme="minorEastAsia" w:hAnsi="Times New Roman"/>
          <w:b/>
          <w:lang w:eastAsia="zh-TW"/>
        </w:rPr>
      </w:pPr>
      <w:r>
        <w:rPr>
          <w:rFonts w:ascii="Times New Roman" w:hAnsi="Times New Roman"/>
          <w:b/>
        </w:rPr>
        <w:tab/>
      </w:r>
      <w:r>
        <w:rPr>
          <w:rFonts w:ascii="Times New Roman" w:hAnsi="Times New Roman"/>
          <w:b/>
        </w:rPr>
        <w:tab/>
      </w:r>
      <w:r w:rsidR="00D875C0" w:rsidRPr="007C1A06">
        <w:rPr>
          <w:rFonts w:ascii="Times New Roman" w:hAnsi="Times New Roman"/>
          <w:b/>
        </w:rPr>
        <w:t>A.</w:t>
      </w:r>
      <w:r w:rsidR="00D875C0" w:rsidRPr="007C1A06">
        <w:rPr>
          <w:rFonts w:ascii="Times New Roman" w:hAnsi="Times New Roman"/>
          <w:b/>
        </w:rPr>
        <w:tab/>
        <w:t>GAMINTOJAS (-AI), ATSAKINGAS (-I) UŽ SERIJŲ IŠLEIDIMĄ</w:t>
      </w:r>
    </w:p>
    <w:p w14:paraId="1EA7BCCF" w14:textId="77777777" w:rsidR="00D875C0" w:rsidRPr="007C1A06" w:rsidRDefault="00D875C0" w:rsidP="00874783">
      <w:pPr>
        <w:spacing w:after="0" w:line="240" w:lineRule="auto"/>
        <w:jc w:val="center"/>
        <w:rPr>
          <w:rFonts w:ascii="Times New Roman" w:hAnsi="Times New Roman"/>
          <w:b/>
        </w:rPr>
      </w:pPr>
    </w:p>
    <w:p w14:paraId="24031CE1" w14:textId="77777777" w:rsidR="00D875C0" w:rsidRPr="004E3CD5" w:rsidRDefault="00D875C0" w:rsidP="00874783">
      <w:pPr>
        <w:spacing w:after="0" w:line="240" w:lineRule="auto"/>
        <w:ind w:left="567" w:hanging="567"/>
        <w:jc w:val="center"/>
        <w:rPr>
          <w:rFonts w:ascii="Times New Roman" w:eastAsiaTheme="minorEastAsia" w:hAnsi="Times New Roman"/>
          <w:b/>
          <w:lang w:eastAsia="zh-TW"/>
        </w:rPr>
      </w:pPr>
      <w:r w:rsidRPr="007C1A06">
        <w:rPr>
          <w:rFonts w:ascii="Times New Roman" w:hAnsi="Times New Roman"/>
          <w:b/>
        </w:rPr>
        <w:t>B.</w:t>
      </w:r>
      <w:r w:rsidRPr="007C1A06">
        <w:rPr>
          <w:rFonts w:ascii="Times New Roman" w:hAnsi="Times New Roman"/>
          <w:b/>
        </w:rPr>
        <w:tab/>
        <w:t>TIEKIMO IR VARTOJIMO SĄLYGOS AR APRIBOJIMAI</w:t>
      </w:r>
    </w:p>
    <w:p w14:paraId="2677A8C0" w14:textId="77777777" w:rsidR="00D875C0" w:rsidRPr="007C1A06" w:rsidRDefault="00D875C0" w:rsidP="00D875C0">
      <w:pPr>
        <w:spacing w:after="0" w:line="240" w:lineRule="auto"/>
        <w:rPr>
          <w:rFonts w:ascii="Times New Roman" w:hAnsi="Times New Roman"/>
        </w:rPr>
      </w:pPr>
    </w:p>
    <w:p w14:paraId="57918C64" w14:textId="77777777" w:rsidR="00D875C0" w:rsidRPr="007C1A06" w:rsidRDefault="00D875C0" w:rsidP="00D875C0">
      <w:pPr>
        <w:spacing w:after="0" w:line="240" w:lineRule="auto"/>
        <w:ind w:left="567" w:hanging="567"/>
        <w:rPr>
          <w:rFonts w:ascii="Times New Roman" w:hAnsi="Times New Roman"/>
          <w:b/>
        </w:rPr>
      </w:pPr>
      <w:r w:rsidRPr="007C1A06">
        <w:rPr>
          <w:rFonts w:ascii="Times New Roman" w:hAnsi="Times New Roman"/>
        </w:rPr>
        <w:br w:type="page"/>
      </w:r>
      <w:r w:rsidRPr="007C1A06">
        <w:rPr>
          <w:rFonts w:ascii="Times New Roman" w:hAnsi="Times New Roman"/>
          <w:b/>
        </w:rPr>
        <w:t>A.</w:t>
      </w:r>
      <w:r w:rsidRPr="007C1A06">
        <w:rPr>
          <w:rFonts w:ascii="Times New Roman" w:hAnsi="Times New Roman"/>
          <w:b/>
        </w:rPr>
        <w:tab/>
        <w:t>GAMINTOJAS (-AI), ATSAKINGAS (-I) UŽ SERIJŲ IŠLEIDIMĄ</w:t>
      </w:r>
    </w:p>
    <w:p w14:paraId="05C3AC7A" w14:textId="77777777" w:rsidR="00D875C0" w:rsidRPr="007C1A06" w:rsidRDefault="00D875C0" w:rsidP="00D875C0">
      <w:pPr>
        <w:spacing w:after="0" w:line="240" w:lineRule="auto"/>
        <w:rPr>
          <w:rFonts w:ascii="Times New Roman" w:hAnsi="Times New Roman"/>
        </w:rPr>
      </w:pPr>
    </w:p>
    <w:p w14:paraId="3EBC771F" w14:textId="77777777" w:rsidR="00D875C0" w:rsidRPr="004E3CD5" w:rsidRDefault="00D875C0" w:rsidP="00D875C0">
      <w:pPr>
        <w:spacing w:after="0" w:line="240" w:lineRule="auto"/>
        <w:rPr>
          <w:rFonts w:ascii="Times New Roman" w:eastAsiaTheme="minorEastAsia" w:hAnsi="Times New Roman"/>
          <w:u w:val="single"/>
          <w:lang w:eastAsia="zh-TW"/>
        </w:rPr>
      </w:pPr>
      <w:r w:rsidRPr="007C1A06">
        <w:rPr>
          <w:rFonts w:ascii="Times New Roman" w:hAnsi="Times New Roman"/>
          <w:u w:val="single"/>
        </w:rPr>
        <w:t>Gamintojo (-ų), atsakingo (-ų) už serijų išleidimą, pavadinimas (-ai) ir adresas (-ai)</w:t>
      </w:r>
    </w:p>
    <w:p w14:paraId="5F32BFF2" w14:textId="77777777" w:rsidR="00D875C0" w:rsidRPr="007C1A06" w:rsidRDefault="00D875C0" w:rsidP="00D875C0">
      <w:pPr>
        <w:spacing w:after="0" w:line="240" w:lineRule="auto"/>
        <w:rPr>
          <w:rFonts w:ascii="Times New Roman" w:hAnsi="Times New Roman"/>
        </w:rPr>
      </w:pPr>
    </w:p>
    <w:p w14:paraId="38FA7F08" w14:textId="77777777" w:rsidR="00D875C0" w:rsidRPr="004E3CD5" w:rsidRDefault="00D875C0" w:rsidP="00D875C0">
      <w:pPr>
        <w:spacing w:after="0" w:line="240" w:lineRule="auto"/>
        <w:rPr>
          <w:rFonts w:ascii="Times New Roman" w:eastAsiaTheme="minorEastAsia" w:hAnsi="Times New Roman"/>
          <w:lang w:eastAsia="zh-TW"/>
        </w:rPr>
      </w:pPr>
      <w:bookmarkStart w:id="63" w:name="_Hlk75253011"/>
      <w:r w:rsidRPr="007C1A06">
        <w:rPr>
          <w:rFonts w:ascii="Times New Roman" w:hAnsi="Times New Roman"/>
        </w:rPr>
        <w:t>EBEWE Pharma Ges.m.b.H. Nfg. KG</w:t>
      </w:r>
    </w:p>
    <w:p w14:paraId="7CE820C2"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Mondseestrasse 11</w:t>
      </w:r>
    </w:p>
    <w:p w14:paraId="703D9DEC"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A-4866 Unterach</w:t>
      </w:r>
    </w:p>
    <w:p w14:paraId="06E052DC"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Austrija</w:t>
      </w:r>
    </w:p>
    <w:bookmarkEnd w:id="63"/>
    <w:p w14:paraId="75181419" w14:textId="77777777" w:rsidR="00D875C0" w:rsidRDefault="00D875C0" w:rsidP="00D875C0">
      <w:pPr>
        <w:spacing w:after="0" w:line="240" w:lineRule="auto"/>
        <w:rPr>
          <w:rFonts w:ascii="Times New Roman" w:hAnsi="Times New Roman"/>
        </w:rPr>
      </w:pPr>
    </w:p>
    <w:p w14:paraId="37C7FB1E" w14:textId="77777777" w:rsidR="003D2457" w:rsidRDefault="003D2457" w:rsidP="00D875C0">
      <w:pPr>
        <w:spacing w:after="0" w:line="240" w:lineRule="auto"/>
        <w:rPr>
          <w:rFonts w:ascii="Times New Roman" w:hAnsi="Times New Roman"/>
        </w:rPr>
      </w:pPr>
      <w:bookmarkStart w:id="64" w:name="_Hlk75253071"/>
      <w:r>
        <w:rPr>
          <w:rFonts w:ascii="Times New Roman" w:hAnsi="Times New Roman"/>
        </w:rPr>
        <w:t>arba</w:t>
      </w:r>
    </w:p>
    <w:p w14:paraId="0DF98771" w14:textId="77777777" w:rsidR="003D2457" w:rsidRDefault="003D2457" w:rsidP="00D875C0">
      <w:pPr>
        <w:spacing w:after="0" w:line="240" w:lineRule="auto"/>
        <w:rPr>
          <w:rFonts w:ascii="Times New Roman" w:hAnsi="Times New Roman"/>
        </w:rPr>
      </w:pPr>
    </w:p>
    <w:p w14:paraId="38CDAFDA" w14:textId="77777777" w:rsidR="003D2457" w:rsidRPr="003D2457" w:rsidRDefault="003D2457" w:rsidP="003D2457">
      <w:pPr>
        <w:spacing w:after="0" w:line="240" w:lineRule="auto"/>
        <w:rPr>
          <w:rFonts w:ascii="Times New Roman" w:hAnsi="Times New Roman"/>
        </w:rPr>
      </w:pPr>
      <w:r>
        <w:rPr>
          <w:rFonts w:ascii="Times New Roman" w:hAnsi="Times New Roman"/>
        </w:rPr>
        <w:t>Fareva Unterach GmbH</w:t>
      </w:r>
    </w:p>
    <w:p w14:paraId="45E001B5" w14:textId="77777777" w:rsidR="003D2457" w:rsidRPr="003D2457" w:rsidRDefault="003D2457" w:rsidP="003D2457">
      <w:pPr>
        <w:spacing w:after="0" w:line="240" w:lineRule="auto"/>
        <w:rPr>
          <w:rFonts w:ascii="Times New Roman" w:hAnsi="Times New Roman"/>
        </w:rPr>
      </w:pPr>
      <w:r w:rsidRPr="003D2457">
        <w:rPr>
          <w:rFonts w:ascii="Times New Roman" w:hAnsi="Times New Roman"/>
        </w:rPr>
        <w:t>Mondseestrasse 11</w:t>
      </w:r>
    </w:p>
    <w:p w14:paraId="3DAE497B" w14:textId="77777777" w:rsidR="003D2457" w:rsidRPr="003D2457" w:rsidRDefault="003D2457" w:rsidP="003D2457">
      <w:pPr>
        <w:spacing w:after="0" w:line="240" w:lineRule="auto"/>
        <w:rPr>
          <w:rFonts w:ascii="Times New Roman" w:hAnsi="Times New Roman"/>
        </w:rPr>
      </w:pPr>
      <w:r w:rsidRPr="003D2457">
        <w:rPr>
          <w:rFonts w:ascii="Times New Roman" w:hAnsi="Times New Roman"/>
        </w:rPr>
        <w:t>A-4866 Unterach</w:t>
      </w:r>
    </w:p>
    <w:p w14:paraId="6245CD85" w14:textId="77777777" w:rsidR="003D2457" w:rsidRDefault="003D2457" w:rsidP="003D2457">
      <w:pPr>
        <w:spacing w:after="0" w:line="240" w:lineRule="auto"/>
        <w:rPr>
          <w:rFonts w:ascii="Times New Roman" w:hAnsi="Times New Roman"/>
        </w:rPr>
      </w:pPr>
      <w:r w:rsidRPr="003D2457">
        <w:rPr>
          <w:rFonts w:ascii="Times New Roman" w:hAnsi="Times New Roman"/>
        </w:rPr>
        <w:t>Austrija</w:t>
      </w:r>
    </w:p>
    <w:p w14:paraId="2AEA5F5A" w14:textId="77777777" w:rsidR="00397290" w:rsidRDefault="00397290" w:rsidP="003D2457">
      <w:pPr>
        <w:spacing w:after="0" w:line="240" w:lineRule="auto"/>
        <w:rPr>
          <w:rFonts w:ascii="Times New Roman" w:hAnsi="Times New Roman"/>
        </w:rPr>
      </w:pPr>
    </w:p>
    <w:p w14:paraId="7C58D915" w14:textId="77777777" w:rsidR="00397290" w:rsidRDefault="00397290" w:rsidP="003D2457">
      <w:pPr>
        <w:spacing w:after="0" w:line="240" w:lineRule="auto"/>
        <w:rPr>
          <w:rFonts w:ascii="Times New Roman" w:hAnsi="Times New Roman"/>
        </w:rPr>
      </w:pPr>
      <w:r w:rsidRPr="00397290">
        <w:rPr>
          <w:rFonts w:ascii="Times New Roman" w:hAnsi="Times New Roman"/>
        </w:rPr>
        <w:t>Su pakuote pateikiamame lapelyje nurodomas gamintojo, atsakingo už konkrečios serijos išleidimą, pavadinimas ir adresas.</w:t>
      </w:r>
    </w:p>
    <w:p w14:paraId="66D77997" w14:textId="77777777" w:rsidR="00D875C0" w:rsidRPr="007C1A06" w:rsidRDefault="00D875C0" w:rsidP="00D875C0">
      <w:pPr>
        <w:spacing w:after="0" w:line="240" w:lineRule="auto"/>
        <w:rPr>
          <w:rFonts w:ascii="Times New Roman" w:hAnsi="Times New Roman"/>
        </w:rPr>
      </w:pPr>
    </w:p>
    <w:bookmarkEnd w:id="64"/>
    <w:p w14:paraId="7360947B" w14:textId="77777777" w:rsidR="00D875C0" w:rsidRPr="007C1A06" w:rsidRDefault="00D875C0" w:rsidP="00D875C0">
      <w:pPr>
        <w:spacing w:after="0" w:line="240" w:lineRule="auto"/>
        <w:rPr>
          <w:rFonts w:ascii="Times New Roman" w:hAnsi="Times New Roman"/>
        </w:rPr>
      </w:pPr>
    </w:p>
    <w:p w14:paraId="5B2D31D6" w14:textId="77777777" w:rsidR="00D875C0" w:rsidRPr="007C1A06" w:rsidRDefault="00D875C0" w:rsidP="00D875C0">
      <w:pPr>
        <w:spacing w:after="0" w:line="240" w:lineRule="auto"/>
        <w:ind w:left="567" w:hanging="567"/>
        <w:rPr>
          <w:rFonts w:ascii="Times New Roman" w:hAnsi="Times New Roman"/>
        </w:rPr>
      </w:pPr>
      <w:bookmarkStart w:id="65" w:name="_Toc129243130"/>
      <w:bookmarkStart w:id="66" w:name="_Toc129243255"/>
      <w:bookmarkStart w:id="67" w:name="_Toc129243129"/>
      <w:bookmarkStart w:id="68" w:name="_Toc129243254"/>
      <w:r w:rsidRPr="007C1A06">
        <w:rPr>
          <w:rFonts w:ascii="Times New Roman" w:hAnsi="Times New Roman"/>
          <w:b/>
        </w:rPr>
        <w:t>B.</w:t>
      </w:r>
      <w:r w:rsidRPr="007C1A06">
        <w:rPr>
          <w:rFonts w:ascii="Times New Roman" w:hAnsi="Times New Roman"/>
          <w:b/>
        </w:rPr>
        <w:tab/>
        <w:t>TIEKIMO IR VARTOJIMO SĄLYGOS AR APRIBOJIMAI</w:t>
      </w:r>
      <w:bookmarkEnd w:id="65"/>
      <w:bookmarkEnd w:id="66"/>
    </w:p>
    <w:bookmarkEnd w:id="67"/>
    <w:bookmarkEnd w:id="68"/>
    <w:p w14:paraId="6FDDC205" w14:textId="77777777" w:rsidR="00D875C0" w:rsidRPr="007C1A06" w:rsidRDefault="00D875C0" w:rsidP="00D875C0">
      <w:pPr>
        <w:spacing w:after="0" w:line="240" w:lineRule="auto"/>
        <w:rPr>
          <w:rFonts w:ascii="Times New Roman" w:hAnsi="Times New Roman"/>
        </w:rPr>
      </w:pPr>
    </w:p>
    <w:p w14:paraId="29692D82"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Receptinis vaistinis preparatas.</w:t>
      </w:r>
    </w:p>
    <w:p w14:paraId="43039916" w14:textId="77777777" w:rsidR="00D875C0" w:rsidRPr="007C1A06" w:rsidRDefault="00D875C0" w:rsidP="00D875C0">
      <w:pPr>
        <w:spacing w:after="0" w:line="240" w:lineRule="auto"/>
        <w:rPr>
          <w:rFonts w:ascii="Times New Roman" w:hAnsi="Times New Roman"/>
        </w:rPr>
      </w:pPr>
    </w:p>
    <w:p w14:paraId="7C14B80E" w14:textId="77777777" w:rsidR="00D875C0" w:rsidRPr="007C1A06" w:rsidRDefault="00D875C0" w:rsidP="00D875C0">
      <w:pPr>
        <w:spacing w:after="0" w:line="240" w:lineRule="auto"/>
        <w:rPr>
          <w:rFonts w:ascii="Times New Roman" w:hAnsi="Times New Roman"/>
        </w:rPr>
      </w:pPr>
      <w:r w:rsidRPr="007C1A06">
        <w:rPr>
          <w:rFonts w:ascii="Times New Roman" w:hAnsi="Times New Roman"/>
        </w:rPr>
        <w:br w:type="page"/>
      </w:r>
    </w:p>
    <w:p w14:paraId="41E5F3D6" w14:textId="77777777" w:rsidR="00D875C0" w:rsidRPr="007C1A06" w:rsidRDefault="00D875C0" w:rsidP="00D875C0">
      <w:pPr>
        <w:spacing w:after="0" w:line="240" w:lineRule="auto"/>
        <w:rPr>
          <w:rFonts w:ascii="Times New Roman" w:hAnsi="Times New Roman"/>
        </w:rPr>
      </w:pPr>
    </w:p>
    <w:p w14:paraId="2DC8313C" w14:textId="77777777" w:rsidR="00D875C0" w:rsidRPr="007C1A06" w:rsidRDefault="00D875C0" w:rsidP="00D875C0">
      <w:pPr>
        <w:spacing w:after="0" w:line="240" w:lineRule="auto"/>
        <w:rPr>
          <w:rFonts w:ascii="Times New Roman" w:hAnsi="Times New Roman"/>
        </w:rPr>
      </w:pPr>
    </w:p>
    <w:p w14:paraId="74159220" w14:textId="77777777" w:rsidR="00D875C0" w:rsidRPr="007C1A06" w:rsidRDefault="00D875C0" w:rsidP="00D875C0">
      <w:pPr>
        <w:spacing w:after="0" w:line="240" w:lineRule="auto"/>
        <w:rPr>
          <w:rFonts w:ascii="Times New Roman" w:hAnsi="Times New Roman"/>
        </w:rPr>
      </w:pPr>
    </w:p>
    <w:p w14:paraId="7A93D2D4" w14:textId="77777777" w:rsidR="00D875C0" w:rsidRPr="007C1A06" w:rsidRDefault="00D875C0" w:rsidP="00D875C0">
      <w:pPr>
        <w:spacing w:after="0" w:line="240" w:lineRule="auto"/>
        <w:rPr>
          <w:rFonts w:ascii="Times New Roman" w:hAnsi="Times New Roman"/>
        </w:rPr>
      </w:pPr>
    </w:p>
    <w:p w14:paraId="140BFCF0" w14:textId="77777777" w:rsidR="00D875C0" w:rsidRPr="007C1A06" w:rsidRDefault="00D875C0" w:rsidP="00D875C0">
      <w:pPr>
        <w:spacing w:after="0" w:line="240" w:lineRule="auto"/>
        <w:rPr>
          <w:rFonts w:ascii="Times New Roman" w:hAnsi="Times New Roman"/>
        </w:rPr>
      </w:pPr>
    </w:p>
    <w:p w14:paraId="2AF348A6" w14:textId="77777777" w:rsidR="00D875C0" w:rsidRPr="007C1A06" w:rsidRDefault="00D875C0" w:rsidP="00D875C0">
      <w:pPr>
        <w:spacing w:after="0" w:line="240" w:lineRule="auto"/>
        <w:rPr>
          <w:rFonts w:ascii="Times New Roman" w:hAnsi="Times New Roman"/>
        </w:rPr>
      </w:pPr>
    </w:p>
    <w:p w14:paraId="5236CA64" w14:textId="77777777" w:rsidR="00D875C0" w:rsidRPr="007C1A06" w:rsidRDefault="00D875C0" w:rsidP="00D875C0">
      <w:pPr>
        <w:spacing w:after="0" w:line="240" w:lineRule="auto"/>
        <w:rPr>
          <w:rFonts w:ascii="Times New Roman" w:hAnsi="Times New Roman"/>
        </w:rPr>
      </w:pPr>
    </w:p>
    <w:p w14:paraId="1AFF401D" w14:textId="77777777" w:rsidR="00D875C0" w:rsidRPr="007C1A06" w:rsidRDefault="00D875C0" w:rsidP="00D875C0">
      <w:pPr>
        <w:spacing w:after="0" w:line="240" w:lineRule="auto"/>
        <w:rPr>
          <w:rFonts w:ascii="Times New Roman" w:hAnsi="Times New Roman"/>
        </w:rPr>
      </w:pPr>
    </w:p>
    <w:p w14:paraId="4D4B4D95" w14:textId="77777777" w:rsidR="00D875C0" w:rsidRPr="007C1A06" w:rsidRDefault="00D875C0" w:rsidP="00D875C0">
      <w:pPr>
        <w:spacing w:after="0" w:line="240" w:lineRule="auto"/>
        <w:rPr>
          <w:rFonts w:ascii="Times New Roman" w:hAnsi="Times New Roman"/>
        </w:rPr>
      </w:pPr>
    </w:p>
    <w:p w14:paraId="5CEC3E0B" w14:textId="77777777" w:rsidR="00D875C0" w:rsidRPr="007C1A06" w:rsidRDefault="00D875C0" w:rsidP="00D875C0">
      <w:pPr>
        <w:spacing w:after="0" w:line="240" w:lineRule="auto"/>
        <w:rPr>
          <w:rFonts w:ascii="Times New Roman" w:hAnsi="Times New Roman"/>
        </w:rPr>
      </w:pPr>
    </w:p>
    <w:p w14:paraId="6E1521EE" w14:textId="77777777" w:rsidR="00D875C0" w:rsidRPr="007C1A06" w:rsidRDefault="00D875C0" w:rsidP="00D875C0">
      <w:pPr>
        <w:spacing w:after="0" w:line="240" w:lineRule="auto"/>
        <w:rPr>
          <w:rFonts w:ascii="Times New Roman" w:hAnsi="Times New Roman"/>
        </w:rPr>
      </w:pPr>
    </w:p>
    <w:p w14:paraId="3BC3A3EB" w14:textId="77777777" w:rsidR="00D875C0" w:rsidRPr="007C1A06" w:rsidRDefault="00D875C0" w:rsidP="00D875C0">
      <w:pPr>
        <w:spacing w:after="0" w:line="240" w:lineRule="auto"/>
        <w:rPr>
          <w:rFonts w:ascii="Times New Roman" w:hAnsi="Times New Roman"/>
        </w:rPr>
      </w:pPr>
    </w:p>
    <w:p w14:paraId="5B743CF8" w14:textId="77777777" w:rsidR="00D875C0" w:rsidRPr="007C1A06" w:rsidRDefault="00D875C0" w:rsidP="00D875C0">
      <w:pPr>
        <w:spacing w:after="0" w:line="240" w:lineRule="auto"/>
        <w:rPr>
          <w:rFonts w:ascii="Times New Roman" w:hAnsi="Times New Roman"/>
        </w:rPr>
      </w:pPr>
    </w:p>
    <w:p w14:paraId="1553E4B1" w14:textId="77777777" w:rsidR="00D875C0" w:rsidRPr="007C1A06" w:rsidRDefault="00D875C0" w:rsidP="00D875C0">
      <w:pPr>
        <w:spacing w:after="0" w:line="240" w:lineRule="auto"/>
        <w:rPr>
          <w:rFonts w:ascii="Times New Roman" w:hAnsi="Times New Roman"/>
        </w:rPr>
      </w:pPr>
    </w:p>
    <w:p w14:paraId="4E7911AC" w14:textId="77777777" w:rsidR="00D875C0" w:rsidRPr="007C1A06" w:rsidRDefault="00D875C0" w:rsidP="00D875C0">
      <w:pPr>
        <w:spacing w:after="0" w:line="240" w:lineRule="auto"/>
        <w:rPr>
          <w:rFonts w:ascii="Times New Roman" w:hAnsi="Times New Roman"/>
        </w:rPr>
      </w:pPr>
    </w:p>
    <w:p w14:paraId="15A7D63E" w14:textId="77777777" w:rsidR="00D875C0" w:rsidRPr="007C1A06" w:rsidRDefault="00D875C0" w:rsidP="00D875C0">
      <w:pPr>
        <w:spacing w:after="0" w:line="240" w:lineRule="auto"/>
        <w:rPr>
          <w:rFonts w:ascii="Times New Roman" w:hAnsi="Times New Roman"/>
        </w:rPr>
      </w:pPr>
    </w:p>
    <w:p w14:paraId="62D2CB6F" w14:textId="77777777" w:rsidR="00D875C0" w:rsidRPr="007C1A06" w:rsidRDefault="00D875C0" w:rsidP="00D875C0">
      <w:pPr>
        <w:spacing w:after="0" w:line="240" w:lineRule="auto"/>
        <w:rPr>
          <w:rFonts w:ascii="Times New Roman" w:hAnsi="Times New Roman"/>
        </w:rPr>
      </w:pPr>
    </w:p>
    <w:p w14:paraId="4BD34308" w14:textId="77777777" w:rsidR="00D875C0" w:rsidRPr="007C1A06" w:rsidRDefault="00D875C0" w:rsidP="00D875C0">
      <w:pPr>
        <w:spacing w:after="0" w:line="240" w:lineRule="auto"/>
        <w:rPr>
          <w:rFonts w:ascii="Times New Roman" w:hAnsi="Times New Roman"/>
        </w:rPr>
      </w:pPr>
    </w:p>
    <w:p w14:paraId="02BF5E5B" w14:textId="77777777" w:rsidR="00D875C0" w:rsidRPr="007C1A06" w:rsidRDefault="00D875C0" w:rsidP="00D875C0">
      <w:pPr>
        <w:spacing w:after="0" w:line="240" w:lineRule="auto"/>
        <w:rPr>
          <w:rFonts w:ascii="Times New Roman" w:hAnsi="Times New Roman"/>
        </w:rPr>
      </w:pPr>
    </w:p>
    <w:p w14:paraId="02937160" w14:textId="77777777" w:rsidR="00D875C0" w:rsidRPr="007C1A06" w:rsidRDefault="00D875C0" w:rsidP="00D875C0">
      <w:pPr>
        <w:spacing w:after="0" w:line="240" w:lineRule="auto"/>
        <w:rPr>
          <w:rFonts w:ascii="Times New Roman" w:hAnsi="Times New Roman"/>
        </w:rPr>
      </w:pPr>
    </w:p>
    <w:p w14:paraId="6D7118B6" w14:textId="77777777" w:rsidR="00D875C0" w:rsidRPr="007C1A06" w:rsidRDefault="00D875C0" w:rsidP="00D875C0">
      <w:pPr>
        <w:spacing w:after="0" w:line="240" w:lineRule="auto"/>
        <w:rPr>
          <w:rFonts w:ascii="Times New Roman" w:hAnsi="Times New Roman"/>
        </w:rPr>
      </w:pPr>
    </w:p>
    <w:p w14:paraId="26CDEEBB" w14:textId="77777777" w:rsidR="00D875C0" w:rsidRPr="007C1A06" w:rsidRDefault="00D875C0" w:rsidP="00D875C0">
      <w:pPr>
        <w:spacing w:after="0" w:line="240" w:lineRule="auto"/>
        <w:rPr>
          <w:rFonts w:ascii="Times New Roman" w:hAnsi="Times New Roman"/>
        </w:rPr>
      </w:pPr>
    </w:p>
    <w:p w14:paraId="454C4E6E" w14:textId="77777777" w:rsidR="00D875C0" w:rsidRPr="007C1A06" w:rsidRDefault="00D875C0" w:rsidP="00D875C0">
      <w:pPr>
        <w:spacing w:after="0" w:line="240" w:lineRule="auto"/>
        <w:jc w:val="center"/>
        <w:rPr>
          <w:rFonts w:ascii="Times New Roman" w:hAnsi="Times New Roman"/>
          <w:b/>
        </w:rPr>
      </w:pPr>
      <w:bookmarkStart w:id="69" w:name="_Toc129243134"/>
      <w:bookmarkStart w:id="70" w:name="_Toc129243259"/>
    </w:p>
    <w:p w14:paraId="1B69AB47" w14:textId="77777777" w:rsidR="00D875C0" w:rsidRPr="007C1A06" w:rsidRDefault="00D875C0" w:rsidP="00D875C0">
      <w:pPr>
        <w:spacing w:after="0" w:line="240" w:lineRule="auto"/>
        <w:jc w:val="center"/>
        <w:rPr>
          <w:rFonts w:ascii="Times New Roman" w:hAnsi="Times New Roman"/>
          <w:b/>
        </w:rPr>
      </w:pPr>
      <w:r w:rsidRPr="007C1A06">
        <w:rPr>
          <w:rFonts w:ascii="Times New Roman" w:hAnsi="Times New Roman"/>
          <w:b/>
        </w:rPr>
        <w:t>III PRIEDAS</w:t>
      </w:r>
      <w:bookmarkEnd w:id="69"/>
      <w:bookmarkEnd w:id="70"/>
    </w:p>
    <w:p w14:paraId="3FDC8A0D" w14:textId="77777777" w:rsidR="00D875C0" w:rsidRPr="007C1A06" w:rsidRDefault="00D875C0" w:rsidP="00D875C0">
      <w:pPr>
        <w:spacing w:after="0" w:line="240" w:lineRule="auto"/>
        <w:jc w:val="center"/>
        <w:rPr>
          <w:rFonts w:ascii="Times New Roman" w:hAnsi="Times New Roman"/>
          <w:b/>
        </w:rPr>
      </w:pPr>
    </w:p>
    <w:p w14:paraId="0AA8E49A" w14:textId="77777777" w:rsidR="00D875C0" w:rsidRPr="004E3CD5" w:rsidRDefault="00D875C0" w:rsidP="00D875C0">
      <w:pPr>
        <w:spacing w:after="0" w:line="240" w:lineRule="auto"/>
        <w:jc w:val="center"/>
        <w:rPr>
          <w:rFonts w:ascii="Times New Roman" w:eastAsiaTheme="minorEastAsia" w:hAnsi="Times New Roman"/>
          <w:lang w:eastAsia="zh-TW"/>
        </w:rPr>
      </w:pPr>
      <w:bookmarkStart w:id="71" w:name="_Toc129243135"/>
      <w:bookmarkStart w:id="72" w:name="_Toc129243260"/>
      <w:r w:rsidRPr="007C1A06">
        <w:rPr>
          <w:rFonts w:ascii="Times New Roman" w:hAnsi="Times New Roman"/>
          <w:b/>
        </w:rPr>
        <w:t>ŽENKLINIMAS IR PAKUOTĖS LAPELIS</w:t>
      </w:r>
      <w:bookmarkEnd w:id="71"/>
      <w:bookmarkEnd w:id="72"/>
    </w:p>
    <w:p w14:paraId="0C568D30" w14:textId="77777777" w:rsidR="00D875C0" w:rsidRPr="007C1A06" w:rsidRDefault="00D875C0" w:rsidP="00D875C0">
      <w:pPr>
        <w:spacing w:after="0" w:line="240" w:lineRule="auto"/>
        <w:rPr>
          <w:rFonts w:ascii="Times New Roman" w:hAnsi="Times New Roman"/>
        </w:rPr>
      </w:pPr>
      <w:r w:rsidRPr="007C1A06">
        <w:rPr>
          <w:rFonts w:ascii="Times New Roman" w:hAnsi="Times New Roman"/>
        </w:rPr>
        <w:br w:type="page"/>
      </w:r>
    </w:p>
    <w:p w14:paraId="6F73287A" w14:textId="77777777" w:rsidR="00D875C0" w:rsidRPr="007C1A06" w:rsidRDefault="00D875C0" w:rsidP="00D875C0">
      <w:pPr>
        <w:spacing w:after="0" w:line="240" w:lineRule="auto"/>
        <w:rPr>
          <w:rFonts w:ascii="Times New Roman" w:hAnsi="Times New Roman"/>
        </w:rPr>
      </w:pPr>
    </w:p>
    <w:p w14:paraId="2FE4B972" w14:textId="77777777" w:rsidR="00D875C0" w:rsidRPr="007C1A06" w:rsidRDefault="00D875C0" w:rsidP="00D875C0">
      <w:pPr>
        <w:spacing w:after="0" w:line="240" w:lineRule="auto"/>
        <w:rPr>
          <w:rFonts w:ascii="Times New Roman" w:hAnsi="Times New Roman"/>
        </w:rPr>
      </w:pPr>
    </w:p>
    <w:p w14:paraId="74AB1E42" w14:textId="77777777" w:rsidR="00D875C0" w:rsidRPr="007C1A06" w:rsidRDefault="00D875C0" w:rsidP="00D875C0">
      <w:pPr>
        <w:spacing w:after="0" w:line="240" w:lineRule="auto"/>
        <w:rPr>
          <w:rFonts w:ascii="Times New Roman" w:hAnsi="Times New Roman"/>
        </w:rPr>
      </w:pPr>
    </w:p>
    <w:p w14:paraId="63B4ADA1" w14:textId="77777777" w:rsidR="00D875C0" w:rsidRPr="007C1A06" w:rsidRDefault="00D875C0" w:rsidP="00D875C0">
      <w:pPr>
        <w:spacing w:after="0" w:line="240" w:lineRule="auto"/>
        <w:rPr>
          <w:rFonts w:ascii="Times New Roman" w:hAnsi="Times New Roman"/>
        </w:rPr>
      </w:pPr>
    </w:p>
    <w:p w14:paraId="2575E9CF" w14:textId="77777777" w:rsidR="00D875C0" w:rsidRPr="007C1A06" w:rsidRDefault="00D875C0" w:rsidP="00D875C0">
      <w:pPr>
        <w:spacing w:after="0" w:line="240" w:lineRule="auto"/>
        <w:rPr>
          <w:rFonts w:ascii="Times New Roman" w:hAnsi="Times New Roman"/>
        </w:rPr>
      </w:pPr>
    </w:p>
    <w:p w14:paraId="37976864" w14:textId="77777777" w:rsidR="00D875C0" w:rsidRPr="007C1A06" w:rsidRDefault="00D875C0" w:rsidP="00D875C0">
      <w:pPr>
        <w:spacing w:after="0" w:line="240" w:lineRule="auto"/>
        <w:rPr>
          <w:rFonts w:ascii="Times New Roman" w:hAnsi="Times New Roman"/>
        </w:rPr>
      </w:pPr>
    </w:p>
    <w:p w14:paraId="468C9507" w14:textId="77777777" w:rsidR="00D875C0" w:rsidRPr="007C1A06" w:rsidRDefault="00D875C0" w:rsidP="00D875C0">
      <w:pPr>
        <w:spacing w:after="0" w:line="240" w:lineRule="auto"/>
        <w:rPr>
          <w:rFonts w:ascii="Times New Roman" w:hAnsi="Times New Roman"/>
        </w:rPr>
      </w:pPr>
    </w:p>
    <w:p w14:paraId="1A3DF913" w14:textId="77777777" w:rsidR="00D875C0" w:rsidRPr="007C1A06" w:rsidRDefault="00D875C0" w:rsidP="00D875C0">
      <w:pPr>
        <w:spacing w:after="0" w:line="240" w:lineRule="auto"/>
        <w:rPr>
          <w:rFonts w:ascii="Times New Roman" w:hAnsi="Times New Roman"/>
        </w:rPr>
      </w:pPr>
    </w:p>
    <w:p w14:paraId="568904F9" w14:textId="77777777" w:rsidR="00D875C0" w:rsidRPr="007C1A06" w:rsidRDefault="00D875C0" w:rsidP="00D875C0">
      <w:pPr>
        <w:spacing w:after="0" w:line="240" w:lineRule="auto"/>
        <w:rPr>
          <w:rFonts w:ascii="Times New Roman" w:hAnsi="Times New Roman"/>
        </w:rPr>
      </w:pPr>
    </w:p>
    <w:p w14:paraId="6190B1B3" w14:textId="77777777" w:rsidR="00D875C0" w:rsidRPr="007C1A06" w:rsidRDefault="00D875C0" w:rsidP="00D875C0">
      <w:pPr>
        <w:spacing w:after="0" w:line="240" w:lineRule="auto"/>
        <w:rPr>
          <w:rFonts w:ascii="Times New Roman" w:hAnsi="Times New Roman"/>
        </w:rPr>
      </w:pPr>
    </w:p>
    <w:p w14:paraId="06FE19CA" w14:textId="77777777" w:rsidR="00D875C0" w:rsidRPr="007C1A06" w:rsidRDefault="00D875C0" w:rsidP="00D875C0">
      <w:pPr>
        <w:spacing w:after="0" w:line="240" w:lineRule="auto"/>
        <w:rPr>
          <w:rFonts w:ascii="Times New Roman" w:hAnsi="Times New Roman"/>
        </w:rPr>
      </w:pPr>
    </w:p>
    <w:p w14:paraId="5D30143A" w14:textId="77777777" w:rsidR="00D875C0" w:rsidRPr="007C1A06" w:rsidRDefault="00D875C0" w:rsidP="00D875C0">
      <w:pPr>
        <w:spacing w:after="0" w:line="240" w:lineRule="auto"/>
        <w:rPr>
          <w:rFonts w:ascii="Times New Roman" w:hAnsi="Times New Roman"/>
        </w:rPr>
      </w:pPr>
    </w:p>
    <w:p w14:paraId="1884D79B" w14:textId="77777777" w:rsidR="00D875C0" w:rsidRPr="007C1A06" w:rsidRDefault="00D875C0" w:rsidP="00D875C0">
      <w:pPr>
        <w:spacing w:after="0" w:line="240" w:lineRule="auto"/>
        <w:rPr>
          <w:rFonts w:ascii="Times New Roman" w:hAnsi="Times New Roman"/>
        </w:rPr>
      </w:pPr>
    </w:p>
    <w:p w14:paraId="3B500351" w14:textId="77777777" w:rsidR="00D875C0" w:rsidRPr="007C1A06" w:rsidRDefault="00D875C0" w:rsidP="00D875C0">
      <w:pPr>
        <w:spacing w:after="0" w:line="240" w:lineRule="auto"/>
        <w:rPr>
          <w:rFonts w:ascii="Times New Roman" w:hAnsi="Times New Roman"/>
        </w:rPr>
      </w:pPr>
    </w:p>
    <w:p w14:paraId="079C0223" w14:textId="77777777" w:rsidR="00D875C0" w:rsidRPr="007C1A06" w:rsidRDefault="00D875C0" w:rsidP="00D875C0">
      <w:pPr>
        <w:spacing w:after="0" w:line="240" w:lineRule="auto"/>
        <w:rPr>
          <w:rFonts w:ascii="Times New Roman" w:hAnsi="Times New Roman"/>
        </w:rPr>
      </w:pPr>
    </w:p>
    <w:p w14:paraId="070AA5AD" w14:textId="77777777" w:rsidR="00D875C0" w:rsidRPr="007C1A06" w:rsidRDefault="00D875C0" w:rsidP="00D875C0">
      <w:pPr>
        <w:spacing w:after="0" w:line="240" w:lineRule="auto"/>
        <w:rPr>
          <w:rFonts w:ascii="Times New Roman" w:hAnsi="Times New Roman"/>
        </w:rPr>
      </w:pPr>
    </w:p>
    <w:p w14:paraId="3E8290B9" w14:textId="77777777" w:rsidR="00D875C0" w:rsidRPr="007C1A06" w:rsidRDefault="00D875C0" w:rsidP="00D875C0">
      <w:pPr>
        <w:spacing w:after="0" w:line="240" w:lineRule="auto"/>
        <w:rPr>
          <w:rFonts w:ascii="Times New Roman" w:hAnsi="Times New Roman"/>
        </w:rPr>
      </w:pPr>
    </w:p>
    <w:p w14:paraId="31F6EFDC" w14:textId="77777777" w:rsidR="00D875C0" w:rsidRPr="007C1A06" w:rsidRDefault="00D875C0" w:rsidP="00D875C0">
      <w:pPr>
        <w:spacing w:after="0" w:line="240" w:lineRule="auto"/>
        <w:rPr>
          <w:rFonts w:ascii="Times New Roman" w:hAnsi="Times New Roman"/>
        </w:rPr>
      </w:pPr>
    </w:p>
    <w:p w14:paraId="695C9EEA" w14:textId="77777777" w:rsidR="00D875C0" w:rsidRPr="007C1A06" w:rsidRDefault="00D875C0" w:rsidP="00D875C0">
      <w:pPr>
        <w:spacing w:after="0" w:line="240" w:lineRule="auto"/>
        <w:rPr>
          <w:rFonts w:ascii="Times New Roman" w:hAnsi="Times New Roman"/>
        </w:rPr>
      </w:pPr>
    </w:p>
    <w:p w14:paraId="2149689A" w14:textId="77777777" w:rsidR="00D875C0" w:rsidRPr="007C1A06" w:rsidRDefault="00D875C0" w:rsidP="00D875C0">
      <w:pPr>
        <w:spacing w:after="0" w:line="240" w:lineRule="auto"/>
        <w:rPr>
          <w:rFonts w:ascii="Times New Roman" w:hAnsi="Times New Roman"/>
        </w:rPr>
      </w:pPr>
    </w:p>
    <w:p w14:paraId="183E9D83" w14:textId="77777777" w:rsidR="00D875C0" w:rsidRPr="007C1A06" w:rsidRDefault="00D875C0" w:rsidP="00D875C0">
      <w:pPr>
        <w:spacing w:after="0" w:line="240" w:lineRule="auto"/>
        <w:rPr>
          <w:rFonts w:ascii="Times New Roman" w:hAnsi="Times New Roman"/>
        </w:rPr>
      </w:pPr>
    </w:p>
    <w:p w14:paraId="352D5B98" w14:textId="77777777" w:rsidR="00D875C0" w:rsidRPr="007C1A06" w:rsidRDefault="00D875C0" w:rsidP="00D875C0">
      <w:pPr>
        <w:spacing w:after="0" w:line="240" w:lineRule="auto"/>
        <w:rPr>
          <w:rFonts w:ascii="Times New Roman" w:hAnsi="Times New Roman"/>
        </w:rPr>
      </w:pPr>
    </w:p>
    <w:p w14:paraId="281FA81E" w14:textId="77777777" w:rsidR="00D875C0" w:rsidRPr="007C1A06" w:rsidRDefault="00D875C0" w:rsidP="00D875C0">
      <w:pPr>
        <w:spacing w:after="0" w:line="240" w:lineRule="auto"/>
        <w:jc w:val="center"/>
        <w:rPr>
          <w:rFonts w:ascii="Times New Roman" w:hAnsi="Times New Roman"/>
          <w:b/>
        </w:rPr>
      </w:pPr>
      <w:bookmarkStart w:id="73" w:name="_Toc129243136"/>
      <w:bookmarkStart w:id="74" w:name="_Toc129243261"/>
    </w:p>
    <w:p w14:paraId="61814ED4" w14:textId="77777777" w:rsidR="00D875C0" w:rsidRPr="007C1A06" w:rsidRDefault="00D875C0" w:rsidP="00D875C0">
      <w:pPr>
        <w:spacing w:after="0" w:line="240" w:lineRule="auto"/>
        <w:jc w:val="center"/>
        <w:rPr>
          <w:rFonts w:ascii="Times New Roman" w:hAnsi="Times New Roman"/>
          <w:b/>
        </w:rPr>
      </w:pPr>
      <w:r w:rsidRPr="007C1A06">
        <w:rPr>
          <w:rFonts w:ascii="Times New Roman" w:hAnsi="Times New Roman"/>
          <w:b/>
        </w:rPr>
        <w:t>A. ŽENKLINIMAS</w:t>
      </w:r>
      <w:bookmarkEnd w:id="73"/>
      <w:bookmarkEnd w:id="74"/>
    </w:p>
    <w:p w14:paraId="38BA033E" w14:textId="77777777" w:rsidR="00D875C0" w:rsidRPr="007C1A06" w:rsidRDefault="00D875C0" w:rsidP="00D875C0">
      <w:pPr>
        <w:spacing w:after="0" w:line="240" w:lineRule="auto"/>
        <w:rPr>
          <w:rFonts w:ascii="Times New Roman" w:hAnsi="Times New Roman"/>
        </w:rPr>
      </w:pPr>
      <w:r w:rsidRPr="007C1A06">
        <w:rPr>
          <w:rFonts w:ascii="Times New Roman" w:hAnsi="Times New Roman"/>
        </w:rPr>
        <w:br w:type="page"/>
      </w:r>
    </w:p>
    <w:p w14:paraId="531B2E66" w14:textId="77777777" w:rsidR="00D875C0" w:rsidRPr="007C1A06" w:rsidRDefault="00D875C0" w:rsidP="00D875C0">
      <w:pPr>
        <w:spacing w:after="0" w:line="240" w:lineRule="auto"/>
        <w:rPr>
          <w:rFonts w:ascii="Times New Roman" w:hAnsi="Times New Roman"/>
        </w:rPr>
      </w:pPr>
      <w:bookmarkStart w:id="75" w:name="_Toc129243137"/>
      <w:bookmarkStart w:id="76" w:name="_Toc129243262"/>
    </w:p>
    <w:p w14:paraId="54CFE6D4"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INFORMACIJA ANT IŠORINĖS PAKUOTĖS</w:t>
      </w:r>
    </w:p>
    <w:p w14:paraId="46D742CF" w14:textId="77777777" w:rsidR="00D875C0" w:rsidRPr="007C1A06"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4B2AD956"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KARTONO DĖŽUTĖ – 20</w:t>
      </w:r>
      <w:r w:rsidR="007D5071" w:rsidRPr="007C1A06">
        <w:rPr>
          <w:rFonts w:ascii="Times New Roman" w:hAnsi="Times New Roman"/>
          <w:b/>
        </w:rPr>
        <w:t> </w:t>
      </w:r>
      <w:r w:rsidRPr="007C1A06">
        <w:rPr>
          <w:rFonts w:ascii="Times New Roman" w:hAnsi="Times New Roman"/>
          <w:b/>
        </w:rPr>
        <w:t>mg/2</w:t>
      </w:r>
      <w:r w:rsidR="007D5071" w:rsidRPr="007C1A06">
        <w:rPr>
          <w:rFonts w:ascii="Times New Roman" w:hAnsi="Times New Roman"/>
          <w:b/>
        </w:rPr>
        <w:t> </w:t>
      </w:r>
      <w:r w:rsidRPr="007C1A06">
        <w:rPr>
          <w:rFonts w:ascii="Times New Roman" w:hAnsi="Times New Roman"/>
          <w:b/>
        </w:rPr>
        <w:t>ml</w:t>
      </w:r>
    </w:p>
    <w:p w14:paraId="45E0A5CA" w14:textId="77777777" w:rsidR="00D875C0" w:rsidRPr="007C1A06" w:rsidRDefault="00D875C0" w:rsidP="00D875C0">
      <w:pPr>
        <w:spacing w:after="0" w:line="240" w:lineRule="auto"/>
        <w:rPr>
          <w:rFonts w:ascii="Times New Roman" w:hAnsi="Times New Roman"/>
        </w:rPr>
      </w:pPr>
    </w:p>
    <w:p w14:paraId="5644FF49" w14:textId="77777777" w:rsidR="00D875C0" w:rsidRPr="007C1A06" w:rsidRDefault="00D875C0" w:rsidP="00D875C0">
      <w:pPr>
        <w:spacing w:after="0" w:line="240" w:lineRule="auto"/>
        <w:rPr>
          <w:rFonts w:ascii="Times New Roman" w:hAnsi="Times New Roman"/>
        </w:rPr>
      </w:pPr>
    </w:p>
    <w:p w14:paraId="3002899C"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w:t>
      </w:r>
      <w:r w:rsidRPr="007C1A06">
        <w:rPr>
          <w:rFonts w:ascii="Times New Roman" w:hAnsi="Times New Roman"/>
          <w:b/>
        </w:rPr>
        <w:tab/>
        <w:t>VAISTINIO PREPARATO PAVADINIMAS</w:t>
      </w:r>
    </w:p>
    <w:p w14:paraId="6C65E356" w14:textId="77777777" w:rsidR="00D875C0" w:rsidRPr="007C1A06" w:rsidRDefault="00D875C0" w:rsidP="00D875C0">
      <w:pPr>
        <w:spacing w:after="0" w:line="240" w:lineRule="auto"/>
        <w:rPr>
          <w:rFonts w:ascii="Times New Roman" w:hAnsi="Times New Roman"/>
        </w:rPr>
      </w:pPr>
    </w:p>
    <w:p w14:paraId="1BCF46E4"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Docetaxel Ebewe 10 mg/ml koncentratas infuziniam tirpalui</w:t>
      </w:r>
    </w:p>
    <w:p w14:paraId="79DF5AFD" w14:textId="77777777" w:rsidR="00D875C0" w:rsidRPr="004E3CD5" w:rsidRDefault="00F373DC" w:rsidP="00D875C0">
      <w:pPr>
        <w:spacing w:after="0" w:line="240" w:lineRule="auto"/>
        <w:rPr>
          <w:rFonts w:ascii="Times New Roman" w:eastAsiaTheme="minorEastAsia" w:hAnsi="Times New Roman"/>
          <w:lang w:eastAsia="zh-TW"/>
        </w:rPr>
      </w:pPr>
      <w:r>
        <w:rPr>
          <w:rFonts w:ascii="Times New Roman" w:hAnsi="Times New Roman"/>
        </w:rPr>
        <w:t>d</w:t>
      </w:r>
      <w:r w:rsidR="00D875C0" w:rsidRPr="007C1A06">
        <w:rPr>
          <w:rFonts w:ascii="Times New Roman" w:hAnsi="Times New Roman"/>
        </w:rPr>
        <w:t>ocetakselis</w:t>
      </w:r>
    </w:p>
    <w:p w14:paraId="08B284AA" w14:textId="77777777" w:rsidR="00D875C0" w:rsidRPr="007C1A06" w:rsidRDefault="00D875C0" w:rsidP="00D875C0">
      <w:pPr>
        <w:spacing w:after="0" w:line="240" w:lineRule="auto"/>
        <w:rPr>
          <w:rFonts w:ascii="Times New Roman" w:hAnsi="Times New Roman"/>
        </w:rPr>
      </w:pPr>
    </w:p>
    <w:p w14:paraId="43981ED6" w14:textId="77777777" w:rsidR="00D875C0" w:rsidRPr="007C1A06" w:rsidRDefault="00D875C0" w:rsidP="00D875C0">
      <w:pPr>
        <w:spacing w:after="0" w:line="240" w:lineRule="auto"/>
        <w:rPr>
          <w:rFonts w:ascii="Times New Roman" w:hAnsi="Times New Roman"/>
        </w:rPr>
      </w:pPr>
    </w:p>
    <w:p w14:paraId="3DE3D09C"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2.</w:t>
      </w:r>
      <w:r w:rsidRPr="007C1A06">
        <w:rPr>
          <w:rFonts w:ascii="Times New Roman" w:hAnsi="Times New Roman"/>
          <w:b/>
        </w:rPr>
        <w:tab/>
        <w:t>VEIKLIOJI (-IOS) MEDŽIAGA (-OS) IR JOS (-Ų) KIEKIS (-IAI)</w:t>
      </w:r>
    </w:p>
    <w:p w14:paraId="67C6B47B" w14:textId="77777777" w:rsidR="00D875C0" w:rsidRPr="007C1A06" w:rsidRDefault="00D875C0" w:rsidP="00D875C0">
      <w:pPr>
        <w:spacing w:after="0" w:line="240" w:lineRule="auto"/>
        <w:rPr>
          <w:rFonts w:ascii="Times New Roman" w:hAnsi="Times New Roman"/>
        </w:rPr>
      </w:pPr>
    </w:p>
    <w:p w14:paraId="4D06BB48"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Kiekviename 2 ml flakone yra 20 mg docetakselio (10 mg/ml).</w:t>
      </w:r>
    </w:p>
    <w:p w14:paraId="164BA8E1" w14:textId="77777777" w:rsidR="00D875C0" w:rsidRPr="007C1A06" w:rsidRDefault="00D875C0" w:rsidP="00D875C0">
      <w:pPr>
        <w:spacing w:after="0" w:line="240" w:lineRule="auto"/>
        <w:rPr>
          <w:rFonts w:ascii="Times New Roman" w:hAnsi="Times New Roman"/>
        </w:rPr>
      </w:pPr>
    </w:p>
    <w:p w14:paraId="6F9A6C8B" w14:textId="77777777" w:rsidR="00D875C0" w:rsidRPr="007C1A06" w:rsidRDefault="00D875C0" w:rsidP="00D875C0">
      <w:pPr>
        <w:spacing w:after="0" w:line="240" w:lineRule="auto"/>
        <w:rPr>
          <w:rFonts w:ascii="Times New Roman" w:hAnsi="Times New Roman"/>
        </w:rPr>
      </w:pPr>
    </w:p>
    <w:p w14:paraId="1243022A"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3.</w:t>
      </w:r>
      <w:r w:rsidRPr="007C1A06">
        <w:rPr>
          <w:rFonts w:ascii="Times New Roman" w:hAnsi="Times New Roman"/>
          <w:b/>
        </w:rPr>
        <w:tab/>
        <w:t>PAGALBINIŲ MEDŽIAGŲ SĄRAŠAS</w:t>
      </w:r>
    </w:p>
    <w:p w14:paraId="2FB6CDDD" w14:textId="77777777" w:rsidR="00D875C0" w:rsidRPr="007C1A06" w:rsidRDefault="00D875C0" w:rsidP="00D875C0">
      <w:pPr>
        <w:spacing w:after="0" w:line="240" w:lineRule="auto"/>
        <w:rPr>
          <w:rFonts w:ascii="Times New Roman" w:hAnsi="Times New Roman"/>
        </w:rPr>
      </w:pPr>
    </w:p>
    <w:p w14:paraId="13047180" w14:textId="77777777" w:rsidR="006C4203" w:rsidRPr="00F95B76" w:rsidRDefault="00A27799" w:rsidP="00A27799">
      <w:pPr>
        <w:spacing w:after="0" w:line="240" w:lineRule="auto"/>
        <w:rPr>
          <w:rFonts w:ascii="Times New Roman" w:hAnsi="Times New Roman"/>
        </w:rPr>
      </w:pPr>
      <w:r>
        <w:rPr>
          <w:rFonts w:ascii="Times New Roman" w:eastAsia="Times New Roman" w:hAnsi="Times New Roman" w:cs="Times New Roman"/>
        </w:rPr>
        <w:t>Sud</w:t>
      </w:r>
      <w:r w:rsidR="006C4203">
        <w:rPr>
          <w:rFonts w:ascii="Times New Roman" w:eastAsia="Times New Roman" w:hAnsi="Times New Roman" w:cs="Times New Roman"/>
        </w:rPr>
        <w:t>ė</w:t>
      </w:r>
      <w:r>
        <w:rPr>
          <w:rFonts w:ascii="Times New Roman" w:eastAsia="Times New Roman" w:hAnsi="Times New Roman" w:cs="Times New Roman"/>
        </w:rPr>
        <w:t>tyje yra p</w:t>
      </w:r>
      <w:r w:rsidRPr="00A27799">
        <w:rPr>
          <w:rFonts w:ascii="Times New Roman" w:eastAsia="Times New Roman" w:hAnsi="Times New Roman" w:cs="Times New Roman"/>
        </w:rPr>
        <w:t>olisorbat</w:t>
      </w:r>
      <w:r>
        <w:rPr>
          <w:rFonts w:ascii="Times New Roman" w:eastAsia="Times New Roman" w:hAnsi="Times New Roman" w:cs="Times New Roman"/>
        </w:rPr>
        <w:t>o</w:t>
      </w:r>
      <w:r w:rsidRPr="00F95B76">
        <w:rPr>
          <w:rFonts w:ascii="Times New Roman" w:hAnsi="Times New Roman"/>
        </w:rPr>
        <w:t xml:space="preserve"> 80</w:t>
      </w:r>
      <w:r>
        <w:rPr>
          <w:rFonts w:ascii="Times New Roman" w:eastAsia="Times New Roman" w:hAnsi="Times New Roman" w:cs="Times New Roman"/>
        </w:rPr>
        <w:t>, b</w:t>
      </w:r>
      <w:r w:rsidRPr="00A27799">
        <w:rPr>
          <w:rFonts w:ascii="Times New Roman" w:eastAsia="Times New Roman" w:hAnsi="Times New Roman" w:cs="Times New Roman"/>
        </w:rPr>
        <w:t>evandenė</w:t>
      </w:r>
      <w:r>
        <w:rPr>
          <w:rFonts w:ascii="Times New Roman" w:eastAsia="Times New Roman" w:hAnsi="Times New Roman" w:cs="Times New Roman"/>
        </w:rPr>
        <w:t>s</w:t>
      </w:r>
      <w:r w:rsidRPr="00F95B76">
        <w:rPr>
          <w:rFonts w:ascii="Times New Roman" w:hAnsi="Times New Roman"/>
        </w:rPr>
        <w:t xml:space="preserve"> citrinų </w:t>
      </w:r>
      <w:r w:rsidRPr="00A27799">
        <w:rPr>
          <w:rFonts w:ascii="Times New Roman" w:eastAsia="Times New Roman" w:hAnsi="Times New Roman" w:cs="Times New Roman"/>
        </w:rPr>
        <w:t>rūgšti</w:t>
      </w:r>
      <w:r>
        <w:rPr>
          <w:rFonts w:ascii="Times New Roman" w:eastAsia="Times New Roman" w:hAnsi="Times New Roman" w:cs="Times New Roman"/>
        </w:rPr>
        <w:t>e</w:t>
      </w:r>
      <w:r w:rsidRPr="00A27799">
        <w:rPr>
          <w:rFonts w:ascii="Times New Roman" w:eastAsia="Times New Roman" w:hAnsi="Times New Roman" w:cs="Times New Roman"/>
        </w:rPr>
        <w:t>s</w:t>
      </w:r>
      <w:r>
        <w:rPr>
          <w:rFonts w:ascii="Times New Roman" w:eastAsia="Times New Roman" w:hAnsi="Times New Roman" w:cs="Times New Roman"/>
        </w:rPr>
        <w:t>, m</w:t>
      </w:r>
      <w:r w:rsidRPr="00A27799">
        <w:rPr>
          <w:rFonts w:ascii="Times New Roman" w:eastAsia="Times New Roman" w:hAnsi="Times New Roman" w:cs="Times New Roman"/>
        </w:rPr>
        <w:t>akrogoli</w:t>
      </w:r>
      <w:r>
        <w:rPr>
          <w:rFonts w:ascii="Times New Roman" w:eastAsia="Times New Roman" w:hAnsi="Times New Roman" w:cs="Times New Roman"/>
        </w:rPr>
        <w:t>o</w:t>
      </w:r>
      <w:r w:rsidRPr="00F95B76">
        <w:rPr>
          <w:rFonts w:ascii="Times New Roman" w:hAnsi="Times New Roman"/>
        </w:rPr>
        <w:t xml:space="preserve"> 300</w:t>
      </w:r>
      <w:r>
        <w:rPr>
          <w:rFonts w:ascii="Times New Roman" w:eastAsia="Times New Roman" w:hAnsi="Times New Roman" w:cs="Times New Roman"/>
        </w:rPr>
        <w:t>, e</w:t>
      </w:r>
      <w:r w:rsidRPr="00A27799">
        <w:rPr>
          <w:rFonts w:ascii="Times New Roman" w:eastAsia="Times New Roman" w:hAnsi="Times New Roman" w:cs="Times New Roman"/>
        </w:rPr>
        <w:t>tanoli</w:t>
      </w:r>
      <w:r>
        <w:rPr>
          <w:rFonts w:ascii="Times New Roman" w:eastAsia="Times New Roman" w:hAnsi="Times New Roman" w:cs="Times New Roman"/>
        </w:rPr>
        <w:t>o</w:t>
      </w:r>
      <w:r w:rsidRPr="00F95B76">
        <w:rPr>
          <w:rFonts w:ascii="Times New Roman" w:hAnsi="Times New Roman"/>
        </w:rPr>
        <w:t xml:space="preserve"> (96</w:t>
      </w:r>
      <w:r w:rsidRPr="001F2C46">
        <w:rPr>
          <w:rFonts w:ascii="Times New Roman" w:hAnsi="Times New Roman"/>
        </w:rPr>
        <w:t> </w:t>
      </w:r>
      <w:r w:rsidRPr="00A27799">
        <w:rPr>
          <w:rFonts w:ascii="Times New Roman" w:eastAsia="Times New Roman" w:hAnsi="Times New Roman" w:cs="Times New Roman"/>
        </w:rPr>
        <w:t>%)</w:t>
      </w:r>
      <w:r>
        <w:rPr>
          <w:rFonts w:ascii="Times New Roman" w:eastAsia="Times New Roman" w:hAnsi="Times New Roman" w:cs="Times New Roman"/>
        </w:rPr>
        <w:t xml:space="preserve">. </w:t>
      </w:r>
    </w:p>
    <w:p w14:paraId="2C8309A7" w14:textId="212F617F" w:rsidR="00A27799" w:rsidRDefault="00A27799" w:rsidP="00A27799">
      <w:pPr>
        <w:spacing w:after="0" w:line="240" w:lineRule="auto"/>
        <w:rPr>
          <w:rFonts w:ascii="Times New Roman" w:eastAsia="Times New Roman" w:hAnsi="Times New Roman" w:cs="Times New Roman"/>
        </w:rPr>
      </w:pPr>
      <w:r w:rsidRPr="00A27799">
        <w:rPr>
          <w:rFonts w:ascii="Times New Roman" w:eastAsia="Times New Roman" w:hAnsi="Times New Roman" w:cs="Times New Roman"/>
        </w:rPr>
        <w:t xml:space="preserve">Daugiau informacijos </w:t>
      </w:r>
      <w:r w:rsidR="006667E2">
        <w:rPr>
          <w:rFonts w:ascii="Times New Roman" w:eastAsia="Times New Roman" w:hAnsi="Times New Roman" w:cs="Times New Roman"/>
        </w:rPr>
        <w:t>pateikta</w:t>
      </w:r>
      <w:r w:rsidRPr="00A27799">
        <w:rPr>
          <w:rFonts w:ascii="Times New Roman" w:eastAsia="Times New Roman" w:hAnsi="Times New Roman" w:cs="Times New Roman"/>
        </w:rPr>
        <w:t xml:space="preserve"> pakuotės lapelyje.</w:t>
      </w:r>
      <w:r w:rsidR="006667E2">
        <w:rPr>
          <w:rFonts w:ascii="Times New Roman" w:eastAsia="Times New Roman" w:hAnsi="Times New Roman" w:cs="Times New Roman"/>
        </w:rPr>
        <w:t xml:space="preserve"> </w:t>
      </w:r>
    </w:p>
    <w:p w14:paraId="3A161074" w14:textId="77777777" w:rsidR="00A27799" w:rsidRPr="00F95B76" w:rsidRDefault="00A27799" w:rsidP="00D875C0">
      <w:pPr>
        <w:spacing w:after="0" w:line="240" w:lineRule="auto"/>
        <w:rPr>
          <w:rFonts w:ascii="Times New Roman" w:hAnsi="Times New Roman"/>
        </w:rPr>
      </w:pPr>
    </w:p>
    <w:p w14:paraId="7B82023C" w14:textId="77777777" w:rsidR="00A27799" w:rsidRPr="001F2C46" w:rsidRDefault="00A27799" w:rsidP="00A27799">
      <w:pPr>
        <w:spacing w:after="0" w:line="240" w:lineRule="auto"/>
        <w:rPr>
          <w:rFonts w:ascii="Times New Roman" w:hAnsi="Times New Roman"/>
        </w:rPr>
      </w:pPr>
    </w:p>
    <w:p w14:paraId="459CBEAB" w14:textId="77777777" w:rsidR="00A27799" w:rsidRPr="00427D92" w:rsidRDefault="00A27799" w:rsidP="00A277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27D92">
        <w:rPr>
          <w:rFonts w:ascii="Times New Roman" w:hAnsi="Times New Roman"/>
          <w:b/>
        </w:rPr>
        <w:t>4.</w:t>
      </w:r>
      <w:r w:rsidRPr="00427D92">
        <w:rPr>
          <w:rFonts w:ascii="Times New Roman" w:hAnsi="Times New Roman"/>
          <w:b/>
        </w:rPr>
        <w:tab/>
        <w:t>FARMACINĖ FORMA IR KIEKIS PAKUOTĖJE</w:t>
      </w:r>
    </w:p>
    <w:p w14:paraId="294B7E2A" w14:textId="77777777" w:rsidR="00A27799" w:rsidRDefault="00A27799" w:rsidP="00A27799">
      <w:pPr>
        <w:spacing w:after="0" w:line="240" w:lineRule="auto"/>
        <w:rPr>
          <w:rFonts w:ascii="Times New Roman" w:hAnsi="Times New Roman"/>
        </w:rPr>
      </w:pPr>
    </w:p>
    <w:p w14:paraId="64DC9AF4" w14:textId="16C9105C" w:rsidR="005841DF" w:rsidRPr="00C722B4" w:rsidRDefault="005841DF" w:rsidP="00A27799">
      <w:pPr>
        <w:spacing w:after="0" w:line="240" w:lineRule="auto"/>
        <w:rPr>
          <w:rFonts w:ascii="Times New Roman" w:hAnsi="Times New Roman"/>
        </w:rPr>
      </w:pPr>
      <w:r>
        <w:rPr>
          <w:rFonts w:ascii="Times New Roman" w:hAnsi="Times New Roman"/>
        </w:rPr>
        <w:t>K</w:t>
      </w:r>
      <w:r w:rsidRPr="00111A39">
        <w:rPr>
          <w:rFonts w:ascii="Times New Roman" w:hAnsi="Times New Roman"/>
        </w:rPr>
        <w:t>oncentratas infuziniam tirpalui</w:t>
      </w:r>
    </w:p>
    <w:p w14:paraId="0DA8EF22" w14:textId="14150703" w:rsidR="007A7FC9" w:rsidRDefault="006667E2" w:rsidP="00A27799">
      <w:pPr>
        <w:spacing w:after="0" w:line="240" w:lineRule="auto"/>
        <w:rPr>
          <w:rFonts w:ascii="Times New Roman" w:hAnsi="Times New Roman"/>
        </w:rPr>
      </w:pPr>
      <w:r w:rsidRPr="006667E2">
        <w:rPr>
          <w:rFonts w:ascii="Times New Roman" w:hAnsi="Times New Roman"/>
        </w:rPr>
        <w:t>Kiekvien</w:t>
      </w:r>
      <w:r>
        <w:rPr>
          <w:rFonts w:ascii="Times New Roman" w:hAnsi="Times New Roman"/>
        </w:rPr>
        <w:t>ame 2 ml flakone yra</w:t>
      </w:r>
      <w:r w:rsidRPr="006667E2">
        <w:rPr>
          <w:rFonts w:ascii="Times New Roman" w:hAnsi="Times New Roman"/>
        </w:rPr>
        <w:t xml:space="preserve"> 20</w:t>
      </w:r>
      <w:r>
        <w:rPr>
          <w:rFonts w:ascii="Times New Roman" w:hAnsi="Times New Roman"/>
        </w:rPr>
        <w:t> </w:t>
      </w:r>
      <w:r w:rsidRPr="006667E2">
        <w:rPr>
          <w:rFonts w:ascii="Times New Roman" w:hAnsi="Times New Roman"/>
        </w:rPr>
        <w:t>mg</w:t>
      </w:r>
      <w:r>
        <w:rPr>
          <w:rFonts w:ascii="Times New Roman" w:hAnsi="Times New Roman"/>
        </w:rPr>
        <w:t xml:space="preserve"> </w:t>
      </w:r>
      <w:r w:rsidR="007724E7">
        <w:rPr>
          <w:rFonts w:ascii="Times New Roman" w:hAnsi="Times New Roman"/>
        </w:rPr>
        <w:t xml:space="preserve">docetakselio </w:t>
      </w:r>
      <w:r>
        <w:rPr>
          <w:rFonts w:ascii="Times New Roman" w:hAnsi="Times New Roman"/>
        </w:rPr>
        <w:t>(10 mg/ml)</w:t>
      </w:r>
    </w:p>
    <w:p w14:paraId="5033D524" w14:textId="31BBFE3C" w:rsidR="00A27799" w:rsidRPr="004E3CD5" w:rsidRDefault="00A27799" w:rsidP="00A27799">
      <w:pPr>
        <w:spacing w:after="0" w:line="240" w:lineRule="auto"/>
        <w:rPr>
          <w:rFonts w:ascii="Times New Roman" w:eastAsiaTheme="minorEastAsia" w:hAnsi="Times New Roman"/>
          <w:lang w:eastAsia="zh-TW"/>
        </w:rPr>
      </w:pPr>
    </w:p>
    <w:p w14:paraId="5139668A" w14:textId="4871161A" w:rsidR="00A27799" w:rsidRPr="004E3CD5" w:rsidRDefault="00A27799" w:rsidP="00A27799">
      <w:pPr>
        <w:spacing w:after="0" w:line="240" w:lineRule="auto"/>
        <w:rPr>
          <w:rFonts w:ascii="Times New Roman" w:eastAsiaTheme="minorEastAsia" w:hAnsi="Times New Roman"/>
          <w:lang w:eastAsia="zh-TW"/>
        </w:rPr>
      </w:pPr>
      <w:r w:rsidRPr="00111A39">
        <w:rPr>
          <w:rFonts w:ascii="Times New Roman" w:hAnsi="Times New Roman"/>
        </w:rPr>
        <w:t>1 flakonas</w:t>
      </w:r>
    </w:p>
    <w:p w14:paraId="221F8FAE" w14:textId="3219E784" w:rsidR="00A27799" w:rsidRPr="004E3CD5" w:rsidRDefault="00A27799" w:rsidP="00A27799">
      <w:pPr>
        <w:spacing w:after="0" w:line="240" w:lineRule="auto"/>
        <w:rPr>
          <w:rFonts w:ascii="Times New Roman" w:eastAsiaTheme="minorEastAsia" w:hAnsi="Times New Roman"/>
          <w:highlight w:val="lightGray"/>
          <w:lang w:eastAsia="zh-TW"/>
        </w:rPr>
      </w:pPr>
      <w:r w:rsidRPr="00111A39">
        <w:rPr>
          <w:rFonts w:ascii="Times New Roman" w:hAnsi="Times New Roman"/>
          <w:highlight w:val="lightGray"/>
        </w:rPr>
        <w:t>5 flakonai</w:t>
      </w:r>
    </w:p>
    <w:p w14:paraId="2FD7CDFE" w14:textId="1A01599F" w:rsidR="00A27799" w:rsidRPr="004E3CD5" w:rsidRDefault="00A27799" w:rsidP="00A27799">
      <w:pPr>
        <w:spacing w:after="0" w:line="240" w:lineRule="auto"/>
        <w:rPr>
          <w:rFonts w:ascii="Times New Roman" w:eastAsiaTheme="minorEastAsia" w:hAnsi="Times New Roman"/>
          <w:lang w:eastAsia="zh-TW"/>
        </w:rPr>
      </w:pPr>
      <w:r w:rsidRPr="00111A39">
        <w:rPr>
          <w:rFonts w:ascii="Times New Roman" w:hAnsi="Times New Roman"/>
          <w:highlight w:val="lightGray"/>
        </w:rPr>
        <w:t>10 flakonų</w:t>
      </w:r>
    </w:p>
    <w:p w14:paraId="05066391" w14:textId="77777777" w:rsidR="00A27799" w:rsidRPr="00111A39" w:rsidRDefault="00A27799" w:rsidP="00A27799">
      <w:pPr>
        <w:spacing w:after="0" w:line="240" w:lineRule="auto"/>
        <w:rPr>
          <w:rFonts w:ascii="Times New Roman" w:hAnsi="Times New Roman"/>
        </w:rPr>
      </w:pPr>
    </w:p>
    <w:p w14:paraId="6126606E" w14:textId="77777777" w:rsidR="00A27799" w:rsidRPr="00F95B76" w:rsidRDefault="00A27799" w:rsidP="00A27799">
      <w:pPr>
        <w:spacing w:after="0" w:line="240" w:lineRule="auto"/>
        <w:rPr>
          <w:rFonts w:ascii="Times New Roman" w:hAnsi="Times New Roman"/>
        </w:rPr>
      </w:pPr>
    </w:p>
    <w:p w14:paraId="184E42FD" w14:textId="77777777" w:rsidR="00A27799" w:rsidRPr="001F2C46" w:rsidRDefault="00A27799" w:rsidP="00A277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F2C46">
        <w:rPr>
          <w:rFonts w:ascii="Times New Roman" w:hAnsi="Times New Roman"/>
          <w:b/>
        </w:rPr>
        <w:t>5.</w:t>
      </w:r>
      <w:r w:rsidRPr="001F2C46">
        <w:rPr>
          <w:rFonts w:ascii="Times New Roman" w:hAnsi="Times New Roman"/>
          <w:b/>
        </w:rPr>
        <w:tab/>
        <w:t>VARTOJIMO METODAS IR BŪDAS (-AI)</w:t>
      </w:r>
    </w:p>
    <w:p w14:paraId="0D6CB463" w14:textId="77777777" w:rsidR="00A27799" w:rsidRPr="00427D92" w:rsidRDefault="00A27799" w:rsidP="00A27799">
      <w:pPr>
        <w:spacing w:after="0" w:line="240" w:lineRule="auto"/>
        <w:rPr>
          <w:rFonts w:ascii="Times New Roman" w:hAnsi="Times New Roman"/>
        </w:rPr>
      </w:pPr>
    </w:p>
    <w:p w14:paraId="1E50F097" w14:textId="05BAAEF2" w:rsidR="00A27799" w:rsidRPr="004E3CD5" w:rsidRDefault="00083798" w:rsidP="00A27799">
      <w:pPr>
        <w:spacing w:after="0" w:line="240" w:lineRule="auto"/>
        <w:rPr>
          <w:rFonts w:ascii="Times New Roman" w:eastAsiaTheme="minorEastAsia" w:hAnsi="Times New Roman"/>
          <w:lang w:eastAsia="zh-TW"/>
        </w:rPr>
      </w:pPr>
      <w:r w:rsidRPr="004E3CD5">
        <w:rPr>
          <w:rFonts w:ascii="Times New Roman" w:hAnsi="Times New Roman"/>
        </w:rPr>
        <w:t xml:space="preserve">Prieš vartojimą </w:t>
      </w:r>
      <w:r w:rsidR="007724E7">
        <w:rPr>
          <w:rFonts w:ascii="Times New Roman" w:hAnsi="Times New Roman"/>
        </w:rPr>
        <w:t>PRIVALOMA</w:t>
      </w:r>
      <w:r w:rsidR="007724E7" w:rsidRPr="004E3CD5">
        <w:rPr>
          <w:rFonts w:ascii="Times New Roman" w:hAnsi="Times New Roman"/>
        </w:rPr>
        <w:t xml:space="preserve"> </w:t>
      </w:r>
      <w:r w:rsidRPr="004E3CD5">
        <w:rPr>
          <w:rFonts w:ascii="Times New Roman" w:hAnsi="Times New Roman"/>
        </w:rPr>
        <w:t>praskiesti.</w:t>
      </w:r>
    </w:p>
    <w:p w14:paraId="222A944B" w14:textId="77777777" w:rsidR="00A27799" w:rsidRPr="00111A39" w:rsidRDefault="00246F2E" w:rsidP="00A27799">
      <w:pPr>
        <w:spacing w:after="0" w:line="240" w:lineRule="auto"/>
        <w:rPr>
          <w:rFonts w:ascii="Times New Roman" w:eastAsia="Times New Roman" w:hAnsi="Times New Roman" w:cs="Times New Roman"/>
          <w:b/>
        </w:rPr>
      </w:pPr>
      <w:r w:rsidRPr="00246F2E">
        <w:rPr>
          <w:rFonts w:ascii="Times New Roman" w:eastAsia="Times New Roman" w:hAnsi="Times New Roman" w:cs="Times New Roman"/>
        </w:rPr>
        <w:t>Flakonai gali būti vartojami kartotinai.</w:t>
      </w:r>
    </w:p>
    <w:p w14:paraId="5687C701" w14:textId="77777777" w:rsidR="00A27799" w:rsidRPr="001F2C46" w:rsidRDefault="00A27799" w:rsidP="00A27799">
      <w:pPr>
        <w:spacing w:after="0" w:line="240" w:lineRule="auto"/>
        <w:rPr>
          <w:rFonts w:ascii="Times New Roman" w:hAnsi="Times New Roman"/>
        </w:rPr>
      </w:pPr>
      <w:r w:rsidRPr="00F95B76">
        <w:rPr>
          <w:rFonts w:ascii="Times New Roman" w:hAnsi="Times New Roman"/>
        </w:rPr>
        <w:t>Prieš vartojimą perskaitykite pakuotės lapelį.</w:t>
      </w:r>
    </w:p>
    <w:p w14:paraId="31EA4F53" w14:textId="77777777" w:rsidR="00A27799" w:rsidRPr="00427D92" w:rsidRDefault="00A27799" w:rsidP="00A27799">
      <w:pPr>
        <w:spacing w:after="0" w:line="240" w:lineRule="auto"/>
        <w:rPr>
          <w:rFonts w:ascii="Times New Roman" w:hAnsi="Times New Roman"/>
        </w:rPr>
      </w:pPr>
      <w:r w:rsidRPr="00427D92">
        <w:rPr>
          <w:rFonts w:ascii="Times New Roman" w:hAnsi="Times New Roman"/>
        </w:rPr>
        <w:t>Leisti į veną.</w:t>
      </w:r>
    </w:p>
    <w:p w14:paraId="04F1F474" w14:textId="77777777" w:rsidR="00A27799" w:rsidRPr="00427D92" w:rsidRDefault="00A27799" w:rsidP="00A27799">
      <w:pPr>
        <w:spacing w:after="0" w:line="240" w:lineRule="auto"/>
        <w:rPr>
          <w:rFonts w:ascii="Times New Roman" w:hAnsi="Times New Roman"/>
        </w:rPr>
      </w:pPr>
    </w:p>
    <w:p w14:paraId="513BBCB0" w14:textId="77777777" w:rsidR="00D875C0" w:rsidRPr="00C722B4" w:rsidRDefault="00D875C0" w:rsidP="00D875C0">
      <w:pPr>
        <w:spacing w:after="0" w:line="240" w:lineRule="auto"/>
        <w:rPr>
          <w:rFonts w:ascii="Times New Roman" w:hAnsi="Times New Roman"/>
        </w:rPr>
      </w:pPr>
    </w:p>
    <w:p w14:paraId="7BC28EC4"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heme="minorEastAsia" w:hAnsi="Times New Roman"/>
          <w:b/>
          <w:lang w:eastAsia="zh-TW"/>
        </w:rPr>
      </w:pPr>
      <w:r w:rsidRPr="007C1A06">
        <w:rPr>
          <w:rFonts w:ascii="Times New Roman" w:hAnsi="Times New Roman"/>
          <w:b/>
        </w:rPr>
        <w:t>6.</w:t>
      </w:r>
      <w:r w:rsidRPr="007C1A06">
        <w:rPr>
          <w:rFonts w:ascii="Times New Roman" w:hAnsi="Times New Roman"/>
          <w:b/>
        </w:rPr>
        <w:tab/>
        <w:t>SPECIALUS ĮSPĖJIMAS, KAD VAISTINĮ PREPARATĄ BŪTINA LAIKYTI VAIKAMS NEPASTEBIMOJE IR NEPASIEKIAMOJE VIETOJE</w:t>
      </w:r>
    </w:p>
    <w:p w14:paraId="71EBE571" w14:textId="77777777" w:rsidR="00D875C0" w:rsidRPr="007C1A06" w:rsidRDefault="00D875C0" w:rsidP="00D875C0">
      <w:pPr>
        <w:spacing w:after="0" w:line="240" w:lineRule="auto"/>
        <w:rPr>
          <w:rFonts w:ascii="Times New Roman" w:hAnsi="Times New Roman"/>
        </w:rPr>
      </w:pPr>
    </w:p>
    <w:p w14:paraId="01CE2427"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Laikyti vaikams nepastebimoje ir nepasiekiamoje vietoje.</w:t>
      </w:r>
    </w:p>
    <w:p w14:paraId="5C4DA8A2" w14:textId="77777777" w:rsidR="00D875C0" w:rsidRPr="007C1A06" w:rsidRDefault="00D875C0" w:rsidP="00D875C0">
      <w:pPr>
        <w:spacing w:after="0" w:line="240" w:lineRule="auto"/>
        <w:rPr>
          <w:rFonts w:ascii="Times New Roman" w:hAnsi="Times New Roman"/>
        </w:rPr>
      </w:pPr>
    </w:p>
    <w:p w14:paraId="2A4B3F19" w14:textId="77777777" w:rsidR="00D875C0" w:rsidRPr="007C1A06" w:rsidRDefault="00D875C0" w:rsidP="00D875C0">
      <w:pPr>
        <w:spacing w:after="0" w:line="240" w:lineRule="auto"/>
        <w:rPr>
          <w:rFonts w:ascii="Times New Roman" w:hAnsi="Times New Roman"/>
        </w:rPr>
      </w:pPr>
    </w:p>
    <w:p w14:paraId="23C0704F"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7.</w:t>
      </w:r>
      <w:r w:rsidRPr="007C1A06">
        <w:rPr>
          <w:rFonts w:ascii="Times New Roman" w:hAnsi="Times New Roman"/>
          <w:b/>
        </w:rPr>
        <w:tab/>
        <w:t>KITAS (-I) SPECIALUS (-ŪS) ĮSPĖJIMAS (-AI) (JEI REIKIA)</w:t>
      </w:r>
    </w:p>
    <w:p w14:paraId="28A15274" w14:textId="77777777" w:rsidR="00D875C0" w:rsidRPr="007C1A06" w:rsidRDefault="00D875C0" w:rsidP="00D875C0">
      <w:pPr>
        <w:spacing w:after="0" w:line="240" w:lineRule="auto"/>
        <w:rPr>
          <w:rFonts w:ascii="Times New Roman" w:hAnsi="Times New Roman"/>
        </w:rPr>
      </w:pPr>
    </w:p>
    <w:p w14:paraId="4FE4F81E" w14:textId="77777777" w:rsidR="00D875C0" w:rsidRPr="007C1A06" w:rsidRDefault="00D875C0" w:rsidP="00D875C0">
      <w:pPr>
        <w:spacing w:after="0" w:line="240" w:lineRule="auto"/>
        <w:rPr>
          <w:rFonts w:ascii="Times New Roman" w:eastAsia="Times New Roman" w:hAnsi="Times New Roman" w:cs="Times New Roman"/>
          <w:lang w:val="en-US" w:eastAsia="zh-TW"/>
        </w:rPr>
      </w:pPr>
      <w:r w:rsidRPr="007C1A06">
        <w:rPr>
          <w:rFonts w:ascii="Times New Roman" w:hAnsi="Times New Roman"/>
        </w:rPr>
        <w:t xml:space="preserve">Citotoksinis </w:t>
      </w:r>
      <w:r w:rsidR="003D5669" w:rsidRPr="007C1A06">
        <w:rPr>
          <w:rFonts w:ascii="Times New Roman" w:hAnsi="Times New Roman"/>
        </w:rPr>
        <w:t>vaistas</w:t>
      </w:r>
      <w:r w:rsidR="00B61C0F">
        <w:rPr>
          <w:rFonts w:ascii="Times New Roman" w:eastAsia="Times New Roman" w:hAnsi="Times New Roman" w:cs="Times New Roman"/>
        </w:rPr>
        <w:t>.</w:t>
      </w:r>
    </w:p>
    <w:p w14:paraId="1E0F77C8" w14:textId="77777777" w:rsidR="00D875C0" w:rsidRDefault="00D875C0" w:rsidP="00D875C0">
      <w:pPr>
        <w:spacing w:after="0" w:line="240" w:lineRule="auto"/>
        <w:rPr>
          <w:rFonts w:ascii="Times New Roman" w:hAnsi="Times New Roman"/>
        </w:rPr>
      </w:pPr>
    </w:p>
    <w:p w14:paraId="5273082D" w14:textId="77777777" w:rsidR="008744F6" w:rsidRPr="00F95B76" w:rsidRDefault="008744F6" w:rsidP="00D875C0">
      <w:pPr>
        <w:spacing w:after="0" w:line="240" w:lineRule="auto"/>
        <w:rPr>
          <w:rFonts w:ascii="Times New Roman" w:hAnsi="Times New Roman"/>
        </w:rPr>
      </w:pPr>
    </w:p>
    <w:p w14:paraId="220D7BFE" w14:textId="77777777" w:rsidR="00D875C0" w:rsidRPr="001F2C46"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F2C46">
        <w:rPr>
          <w:rFonts w:ascii="Times New Roman" w:hAnsi="Times New Roman"/>
          <w:b/>
        </w:rPr>
        <w:t>8.</w:t>
      </w:r>
      <w:r w:rsidRPr="001F2C46">
        <w:rPr>
          <w:rFonts w:ascii="Times New Roman" w:hAnsi="Times New Roman"/>
          <w:b/>
        </w:rPr>
        <w:tab/>
        <w:t>TINKAMUMO LAIKAS</w:t>
      </w:r>
    </w:p>
    <w:p w14:paraId="7A5A8A59" w14:textId="77777777" w:rsidR="00D875C0" w:rsidRPr="00427D92" w:rsidRDefault="00D875C0" w:rsidP="00D875C0">
      <w:pPr>
        <w:spacing w:after="0" w:line="240" w:lineRule="auto"/>
        <w:rPr>
          <w:rFonts w:ascii="Times New Roman" w:hAnsi="Times New Roman"/>
        </w:rPr>
      </w:pPr>
    </w:p>
    <w:p w14:paraId="7E7A78AE" w14:textId="77777777" w:rsidR="00D875C0" w:rsidRDefault="00B14832" w:rsidP="00D875C0">
      <w:pPr>
        <w:autoSpaceDE w:val="0"/>
        <w:autoSpaceDN w:val="0"/>
        <w:adjustRightInd w:val="0"/>
        <w:spacing w:after="0" w:line="240" w:lineRule="auto"/>
        <w:rPr>
          <w:rFonts w:ascii="Times New Roman" w:hAnsi="Times New Roman"/>
        </w:rPr>
      </w:pPr>
      <w:r w:rsidRPr="00C722B4">
        <w:rPr>
          <w:rFonts w:ascii="Times New Roman" w:hAnsi="Times New Roman"/>
        </w:rPr>
        <w:t>EXP</w:t>
      </w:r>
      <w:r w:rsidR="00D875C0" w:rsidRPr="00C722B4">
        <w:rPr>
          <w:rFonts w:ascii="Times New Roman" w:hAnsi="Times New Roman"/>
        </w:rPr>
        <w:t xml:space="preserve"> {</w:t>
      </w:r>
      <w:r w:rsidR="00E414F5" w:rsidRPr="00A27799">
        <w:rPr>
          <w:rFonts w:ascii="Times New Roman" w:hAnsi="Times New Roman"/>
        </w:rPr>
        <w:t xml:space="preserve">mm </w:t>
      </w:r>
      <w:r w:rsidR="00D875C0" w:rsidRPr="00A27799">
        <w:rPr>
          <w:rFonts w:ascii="Times New Roman" w:hAnsi="Times New Roman"/>
        </w:rPr>
        <w:t>MMMM}</w:t>
      </w:r>
    </w:p>
    <w:p w14:paraId="3B74B142" w14:textId="77777777" w:rsidR="00A27799" w:rsidRPr="00A27799" w:rsidRDefault="00A27799" w:rsidP="00D875C0">
      <w:pPr>
        <w:autoSpaceDE w:val="0"/>
        <w:autoSpaceDN w:val="0"/>
        <w:adjustRightInd w:val="0"/>
        <w:spacing w:after="0" w:line="240" w:lineRule="auto"/>
        <w:rPr>
          <w:rFonts w:ascii="Times New Roman" w:hAnsi="Times New Roman" w:cs="Times New Roman"/>
        </w:rPr>
      </w:pPr>
      <w:r w:rsidRPr="00A27799">
        <w:rPr>
          <w:rFonts w:ascii="Times New Roman" w:hAnsi="Times New Roman" w:cs="Times New Roman"/>
        </w:rPr>
        <w:t>Tinkamumo laikas po pirmojo atidarymo:</w:t>
      </w:r>
    </w:p>
    <w:p w14:paraId="06C1092C" w14:textId="77777777" w:rsidR="00D875C0" w:rsidRPr="001F2C46" w:rsidRDefault="00A27799" w:rsidP="00D875C0">
      <w:pPr>
        <w:spacing w:after="0" w:line="240" w:lineRule="auto"/>
        <w:rPr>
          <w:rFonts w:ascii="Times New Roman" w:hAnsi="Times New Roman"/>
        </w:rPr>
      </w:pPr>
      <w:r w:rsidRPr="00F95B76">
        <w:rPr>
          <w:rFonts w:ascii="Times New Roman" w:hAnsi="Times New Roman"/>
        </w:rPr>
        <w:t xml:space="preserve">Pirmą kartą </w:t>
      </w:r>
      <w:r w:rsidRPr="00A27799">
        <w:rPr>
          <w:rFonts w:ascii="Times New Roman" w:hAnsi="Times New Roman" w:cs="Times New Roman"/>
        </w:rPr>
        <w:t>atidarius</w:t>
      </w:r>
      <w:r w:rsidR="00EC5B32">
        <w:rPr>
          <w:rFonts w:ascii="Times New Roman" w:hAnsi="Times New Roman" w:cs="Times New Roman"/>
        </w:rPr>
        <w:t xml:space="preserve"> </w:t>
      </w:r>
      <w:r w:rsidR="00FB4671" w:rsidRPr="007C1A06">
        <w:rPr>
          <w:rFonts w:ascii="Times New Roman" w:hAnsi="Times New Roman" w:cs="Times New Roman"/>
        </w:rPr>
        <w:t xml:space="preserve">vaisto turi būti vartojama ne ilgiau kaip </w:t>
      </w:r>
      <w:r w:rsidR="00FB4671" w:rsidRPr="00F95B76">
        <w:rPr>
          <w:rFonts w:ascii="Times New Roman" w:hAnsi="Times New Roman"/>
        </w:rPr>
        <w:t>28</w:t>
      </w:r>
      <w:r w:rsidR="00B61C0F">
        <w:rPr>
          <w:rFonts w:ascii="Times New Roman" w:hAnsi="Times New Roman" w:cs="Times New Roman"/>
        </w:rPr>
        <w:t> </w:t>
      </w:r>
      <w:r w:rsidR="00FB4671" w:rsidRPr="007C1A06">
        <w:rPr>
          <w:rFonts w:ascii="Times New Roman" w:hAnsi="Times New Roman" w:cs="Times New Roman"/>
        </w:rPr>
        <w:t>paras</w:t>
      </w:r>
      <w:r w:rsidR="00FB4671" w:rsidRPr="00F95B76">
        <w:rPr>
          <w:rFonts w:ascii="Times New Roman" w:hAnsi="Times New Roman"/>
        </w:rPr>
        <w:t>.</w:t>
      </w:r>
    </w:p>
    <w:p w14:paraId="36898872" w14:textId="77777777" w:rsidR="00D875C0" w:rsidRPr="00427D92" w:rsidRDefault="00D875C0" w:rsidP="00D875C0">
      <w:pPr>
        <w:spacing w:after="0" w:line="240" w:lineRule="auto"/>
        <w:rPr>
          <w:rFonts w:ascii="Times New Roman" w:hAnsi="Times New Roman"/>
        </w:rPr>
      </w:pPr>
    </w:p>
    <w:p w14:paraId="55443E60" w14:textId="77777777" w:rsidR="00B61C0F" w:rsidRPr="00C722B4" w:rsidRDefault="00B61C0F" w:rsidP="00B61C0F">
      <w:pPr>
        <w:spacing w:after="0" w:line="240" w:lineRule="auto"/>
        <w:rPr>
          <w:rFonts w:ascii="Times New Roman" w:hAnsi="Times New Roman"/>
        </w:rPr>
      </w:pPr>
    </w:p>
    <w:p w14:paraId="3619D539" w14:textId="77777777" w:rsidR="00B61C0F" w:rsidRPr="004E3CD5" w:rsidRDefault="00B61C0F" w:rsidP="00B61C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111A39">
        <w:rPr>
          <w:rFonts w:ascii="Times New Roman" w:hAnsi="Times New Roman"/>
          <w:b/>
        </w:rPr>
        <w:t>9.</w:t>
      </w:r>
      <w:r w:rsidRPr="00111A39">
        <w:rPr>
          <w:rFonts w:ascii="Times New Roman" w:hAnsi="Times New Roman"/>
          <w:b/>
        </w:rPr>
        <w:tab/>
        <w:t>SPECIALIOS LAIKYMO SĄLYGOS</w:t>
      </w:r>
    </w:p>
    <w:p w14:paraId="1815B836" w14:textId="77777777" w:rsidR="00B61C0F" w:rsidRPr="00111A39" w:rsidRDefault="00B61C0F" w:rsidP="00B61C0F">
      <w:pPr>
        <w:spacing w:after="0" w:line="240" w:lineRule="auto"/>
        <w:rPr>
          <w:rFonts w:ascii="Times New Roman" w:hAnsi="Times New Roman"/>
        </w:rPr>
      </w:pPr>
    </w:p>
    <w:p w14:paraId="1448B48E" w14:textId="77777777" w:rsidR="00B61C0F" w:rsidRPr="004E3CD5" w:rsidRDefault="00B61C0F" w:rsidP="00B61C0F">
      <w:pPr>
        <w:spacing w:after="0" w:line="240" w:lineRule="auto"/>
        <w:rPr>
          <w:rFonts w:ascii="Times New Roman" w:eastAsiaTheme="minorEastAsia" w:hAnsi="Times New Roman"/>
          <w:lang w:eastAsia="zh-TW"/>
        </w:rPr>
      </w:pPr>
      <w:r w:rsidRPr="00111A39">
        <w:rPr>
          <w:rFonts w:ascii="Times New Roman" w:hAnsi="Times New Roman"/>
        </w:rPr>
        <w:t>Laikyti ne aukštesnėje kaip 25</w:t>
      </w:r>
      <w:r>
        <w:rPr>
          <w:rFonts w:ascii="Times New Roman" w:hAnsi="Times New Roman"/>
        </w:rPr>
        <w:t> </w:t>
      </w:r>
      <w:r w:rsidRPr="00111A39">
        <w:rPr>
          <w:rFonts w:ascii="Times New Roman" w:hAnsi="Times New Roman"/>
        </w:rPr>
        <w:t>°C temperatūroje.</w:t>
      </w:r>
    </w:p>
    <w:p w14:paraId="44436342" w14:textId="77777777" w:rsidR="00B61C0F" w:rsidRPr="004E3CD5" w:rsidRDefault="00B61C0F" w:rsidP="00B61C0F">
      <w:pPr>
        <w:spacing w:after="0" w:line="240" w:lineRule="auto"/>
        <w:rPr>
          <w:rFonts w:ascii="Times New Roman" w:eastAsiaTheme="minorEastAsia" w:hAnsi="Times New Roman"/>
          <w:lang w:eastAsia="zh-TW"/>
        </w:rPr>
      </w:pPr>
      <w:r w:rsidRPr="00111A39">
        <w:rPr>
          <w:rFonts w:ascii="Times New Roman" w:hAnsi="Times New Roman"/>
        </w:rPr>
        <w:t>Negalima užšaldyti.</w:t>
      </w:r>
    </w:p>
    <w:p w14:paraId="6843B33D" w14:textId="77777777" w:rsidR="00B61C0F" w:rsidRPr="004E3CD5" w:rsidRDefault="00B61C0F" w:rsidP="00B61C0F">
      <w:pPr>
        <w:spacing w:after="0" w:line="240" w:lineRule="auto"/>
        <w:rPr>
          <w:rFonts w:ascii="Times New Roman" w:eastAsiaTheme="minorEastAsia" w:hAnsi="Times New Roman"/>
          <w:lang w:eastAsia="zh-TW"/>
        </w:rPr>
      </w:pPr>
      <w:r w:rsidRPr="00111A39">
        <w:rPr>
          <w:rFonts w:ascii="Times New Roman" w:hAnsi="Times New Roman"/>
        </w:rPr>
        <w:t>Praskiesto vaist</w:t>
      </w:r>
      <w:r>
        <w:rPr>
          <w:rFonts w:ascii="Times New Roman" w:hAnsi="Times New Roman"/>
        </w:rPr>
        <w:t>o</w:t>
      </w:r>
      <w:r w:rsidRPr="00111A39">
        <w:rPr>
          <w:rFonts w:ascii="Times New Roman" w:hAnsi="Times New Roman"/>
        </w:rPr>
        <w:t xml:space="preserve"> laikymo sąlygos nurodytos pakuotės lapelyje.</w:t>
      </w:r>
    </w:p>
    <w:p w14:paraId="08402A51" w14:textId="77777777" w:rsidR="00B61C0F" w:rsidRPr="004E3CD5" w:rsidRDefault="00B61C0F" w:rsidP="00B61C0F">
      <w:pPr>
        <w:spacing w:after="0" w:line="240" w:lineRule="auto"/>
        <w:rPr>
          <w:rFonts w:ascii="Times New Roman" w:eastAsiaTheme="minorEastAsia" w:hAnsi="Times New Roman"/>
          <w:lang w:eastAsia="zh-TW"/>
        </w:rPr>
      </w:pPr>
      <w:r w:rsidRPr="00111A39">
        <w:rPr>
          <w:rFonts w:ascii="Times New Roman" w:hAnsi="Times New Roman"/>
        </w:rPr>
        <w:t xml:space="preserve">Flakoną laikyti išorinėje dėžutėje, kad </w:t>
      </w:r>
      <w:r>
        <w:rPr>
          <w:rFonts w:ascii="Times New Roman" w:hAnsi="Times New Roman"/>
        </w:rPr>
        <w:t>vaistas</w:t>
      </w:r>
      <w:r w:rsidRPr="00111A39">
        <w:rPr>
          <w:rFonts w:ascii="Times New Roman" w:hAnsi="Times New Roman"/>
        </w:rPr>
        <w:t xml:space="preserve"> būtų apsaugotas nuo šviesos.</w:t>
      </w:r>
    </w:p>
    <w:p w14:paraId="20A42245" w14:textId="77777777" w:rsidR="00B61C0F" w:rsidRPr="00111A39" w:rsidRDefault="00B61C0F" w:rsidP="00B61C0F">
      <w:pPr>
        <w:spacing w:after="0" w:line="240" w:lineRule="auto"/>
        <w:rPr>
          <w:rFonts w:ascii="Times New Roman" w:hAnsi="Times New Roman"/>
        </w:rPr>
      </w:pPr>
    </w:p>
    <w:p w14:paraId="53C3776C" w14:textId="77777777" w:rsidR="00B61C0F" w:rsidRPr="00111A39" w:rsidRDefault="00B61C0F" w:rsidP="00B61C0F">
      <w:pPr>
        <w:spacing w:after="0" w:line="240" w:lineRule="auto"/>
        <w:rPr>
          <w:rFonts w:ascii="Times New Roman" w:hAnsi="Times New Roman"/>
        </w:rPr>
      </w:pPr>
    </w:p>
    <w:p w14:paraId="0CC95995" w14:textId="77777777" w:rsidR="00B61C0F" w:rsidRPr="004E3CD5" w:rsidRDefault="00B61C0F" w:rsidP="00B61C0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heme="minorEastAsia" w:hAnsi="Times New Roman"/>
          <w:b/>
          <w:lang w:eastAsia="zh-TW"/>
        </w:rPr>
      </w:pPr>
      <w:r w:rsidRPr="00111A39">
        <w:rPr>
          <w:rFonts w:ascii="Times New Roman" w:hAnsi="Times New Roman"/>
          <w:b/>
        </w:rPr>
        <w:t>10.</w:t>
      </w:r>
      <w:r w:rsidRPr="00111A39">
        <w:rPr>
          <w:rFonts w:ascii="Times New Roman" w:hAnsi="Times New Roman"/>
          <w:b/>
        </w:rPr>
        <w:tab/>
        <w:t>SPECIALIOS ATSARGUMO PRIEMONĖS DĖL NESUVARTOTO VAISTINIO PREPARATO AR JO ATLIEKŲ TVARKYMO (JEI REIKIA)</w:t>
      </w:r>
    </w:p>
    <w:p w14:paraId="237E5976" w14:textId="77777777" w:rsidR="00B61C0F" w:rsidRPr="00111A39" w:rsidRDefault="00B61C0F" w:rsidP="00B61C0F">
      <w:pPr>
        <w:spacing w:after="0" w:line="240" w:lineRule="auto"/>
        <w:rPr>
          <w:rFonts w:ascii="Times New Roman" w:hAnsi="Times New Roman"/>
        </w:rPr>
      </w:pPr>
    </w:p>
    <w:p w14:paraId="413ABD6A" w14:textId="77777777" w:rsidR="00B61C0F" w:rsidRPr="00F95B76" w:rsidRDefault="00B61C0F" w:rsidP="00B61C0F">
      <w:pPr>
        <w:spacing w:after="0" w:line="240" w:lineRule="auto"/>
        <w:rPr>
          <w:rFonts w:ascii="Times New Roman" w:hAnsi="Times New Roman"/>
        </w:rPr>
      </w:pPr>
    </w:p>
    <w:p w14:paraId="0581522B" w14:textId="77777777" w:rsidR="00D875C0" w:rsidRPr="001F2C46" w:rsidRDefault="00D875C0" w:rsidP="00D875C0">
      <w:pPr>
        <w:spacing w:after="0" w:line="240" w:lineRule="auto"/>
        <w:rPr>
          <w:rFonts w:ascii="Times New Roman" w:hAnsi="Times New Roman"/>
        </w:rPr>
      </w:pPr>
    </w:p>
    <w:p w14:paraId="4D39FA1C" w14:textId="77777777" w:rsidR="00D875C0" w:rsidRPr="00427D92"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27D92">
        <w:rPr>
          <w:rFonts w:ascii="Times New Roman" w:hAnsi="Times New Roman"/>
          <w:b/>
        </w:rPr>
        <w:t>11.</w:t>
      </w:r>
      <w:r w:rsidRPr="00427D92">
        <w:rPr>
          <w:rFonts w:ascii="Times New Roman" w:hAnsi="Times New Roman"/>
          <w:b/>
        </w:rPr>
        <w:tab/>
        <w:t>REGISTRUOTOJO PAVADINIMAS IR ADRESAS</w:t>
      </w:r>
    </w:p>
    <w:p w14:paraId="443CF0BE" w14:textId="77777777" w:rsidR="00D875C0" w:rsidRPr="00C722B4" w:rsidRDefault="00D875C0" w:rsidP="00D875C0">
      <w:pPr>
        <w:spacing w:after="0" w:line="240" w:lineRule="auto"/>
        <w:rPr>
          <w:rFonts w:ascii="Times New Roman" w:hAnsi="Times New Roman"/>
        </w:rPr>
      </w:pPr>
    </w:p>
    <w:p w14:paraId="70EC8A6D"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Sandoz d.d.</w:t>
      </w:r>
    </w:p>
    <w:p w14:paraId="3D877CE5"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Verovškova 57</w:t>
      </w:r>
    </w:p>
    <w:p w14:paraId="11CF3C6E"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SI-1000 Ljubljana</w:t>
      </w:r>
    </w:p>
    <w:p w14:paraId="564DF644"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Slovėnija</w:t>
      </w:r>
    </w:p>
    <w:p w14:paraId="07ED7249" w14:textId="77777777" w:rsidR="00D875C0" w:rsidRPr="007C1A06" w:rsidRDefault="00D875C0" w:rsidP="00D875C0">
      <w:pPr>
        <w:spacing w:after="0" w:line="240" w:lineRule="auto"/>
        <w:rPr>
          <w:rFonts w:ascii="Times New Roman" w:hAnsi="Times New Roman"/>
        </w:rPr>
      </w:pPr>
    </w:p>
    <w:p w14:paraId="3B461D5B" w14:textId="77777777" w:rsidR="00D875C0" w:rsidRPr="007C1A06" w:rsidRDefault="00D875C0" w:rsidP="00D875C0">
      <w:pPr>
        <w:spacing w:after="0" w:line="240" w:lineRule="auto"/>
        <w:rPr>
          <w:rFonts w:ascii="Times New Roman" w:hAnsi="Times New Roman"/>
        </w:rPr>
      </w:pPr>
    </w:p>
    <w:p w14:paraId="0BE106CD"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12.</w:t>
      </w:r>
      <w:r w:rsidRPr="007C1A06">
        <w:rPr>
          <w:rFonts w:ascii="Times New Roman" w:hAnsi="Times New Roman"/>
          <w:b/>
        </w:rPr>
        <w:tab/>
        <w:t>REGISTRACIJOS PAŽYMĖJIMO NUMERIS (-IAI)</w:t>
      </w:r>
    </w:p>
    <w:p w14:paraId="52CE98AC" w14:textId="77777777" w:rsidR="00D875C0" w:rsidRPr="007C1A06" w:rsidRDefault="00D875C0" w:rsidP="00D875C0">
      <w:pPr>
        <w:spacing w:after="0" w:line="240" w:lineRule="auto"/>
        <w:rPr>
          <w:rFonts w:ascii="Times New Roman" w:hAnsi="Times New Roman"/>
        </w:rPr>
      </w:pPr>
    </w:p>
    <w:p w14:paraId="5AC3F325"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N1 - LT/1/10/1953/001 </w:t>
      </w:r>
    </w:p>
    <w:p w14:paraId="2A53CB87"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N5 - LT/1/10/1953/002 </w:t>
      </w:r>
    </w:p>
    <w:p w14:paraId="6BB3C1E6"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N10 - LT/1/10/1953/003 </w:t>
      </w:r>
    </w:p>
    <w:p w14:paraId="6A2275CF" w14:textId="77777777" w:rsidR="00D875C0" w:rsidRPr="007C1A06" w:rsidRDefault="00D875C0" w:rsidP="00D875C0">
      <w:pPr>
        <w:spacing w:after="0" w:line="240" w:lineRule="auto"/>
        <w:rPr>
          <w:rFonts w:ascii="Times New Roman" w:hAnsi="Times New Roman"/>
        </w:rPr>
      </w:pPr>
    </w:p>
    <w:p w14:paraId="470E7DB6" w14:textId="77777777" w:rsidR="00D875C0" w:rsidRPr="007C1A06" w:rsidRDefault="00D875C0" w:rsidP="00D875C0">
      <w:pPr>
        <w:spacing w:after="0" w:line="240" w:lineRule="auto"/>
        <w:rPr>
          <w:rFonts w:ascii="Times New Roman" w:hAnsi="Times New Roman"/>
        </w:rPr>
      </w:pPr>
    </w:p>
    <w:p w14:paraId="11F97E18"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13.</w:t>
      </w:r>
      <w:r w:rsidRPr="007C1A06">
        <w:rPr>
          <w:rFonts w:ascii="Times New Roman" w:hAnsi="Times New Roman"/>
          <w:b/>
        </w:rPr>
        <w:tab/>
        <w:t>SERIJOS NUMERIS</w:t>
      </w:r>
    </w:p>
    <w:p w14:paraId="2B67236E" w14:textId="77777777" w:rsidR="00D875C0" w:rsidRPr="007C1A06" w:rsidRDefault="00D875C0" w:rsidP="00D875C0">
      <w:pPr>
        <w:spacing w:after="0" w:line="240" w:lineRule="auto"/>
        <w:rPr>
          <w:rFonts w:ascii="Times New Roman" w:hAnsi="Times New Roman"/>
        </w:rPr>
      </w:pPr>
    </w:p>
    <w:p w14:paraId="2EC6FC18" w14:textId="77777777" w:rsidR="00D875C0" w:rsidRPr="004E3CD5" w:rsidRDefault="00B14832" w:rsidP="00D875C0">
      <w:pPr>
        <w:spacing w:after="0" w:line="240" w:lineRule="auto"/>
        <w:rPr>
          <w:rFonts w:ascii="Times New Roman" w:eastAsiaTheme="minorEastAsia" w:hAnsi="Times New Roman"/>
          <w:lang w:eastAsia="zh-TW"/>
        </w:rPr>
      </w:pPr>
      <w:r w:rsidRPr="007C1A06">
        <w:rPr>
          <w:rFonts w:ascii="Times New Roman" w:hAnsi="Times New Roman"/>
        </w:rPr>
        <w:t>Lot</w:t>
      </w:r>
    </w:p>
    <w:p w14:paraId="22C1E2FC" w14:textId="77777777" w:rsidR="00D875C0" w:rsidRPr="007C1A06" w:rsidRDefault="00D875C0" w:rsidP="00D875C0">
      <w:pPr>
        <w:spacing w:after="0" w:line="240" w:lineRule="auto"/>
        <w:rPr>
          <w:rFonts w:ascii="Times New Roman" w:hAnsi="Times New Roman"/>
        </w:rPr>
      </w:pPr>
    </w:p>
    <w:p w14:paraId="032DB538" w14:textId="77777777" w:rsidR="00D875C0" w:rsidRPr="007C1A06" w:rsidRDefault="00D875C0" w:rsidP="00D875C0">
      <w:pPr>
        <w:spacing w:after="0" w:line="240" w:lineRule="auto"/>
        <w:rPr>
          <w:rFonts w:ascii="Times New Roman" w:hAnsi="Times New Roman"/>
        </w:rPr>
      </w:pPr>
    </w:p>
    <w:p w14:paraId="0B8DC664"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14.</w:t>
      </w:r>
      <w:r w:rsidRPr="007C1A06">
        <w:rPr>
          <w:rFonts w:ascii="Times New Roman" w:hAnsi="Times New Roman"/>
          <w:b/>
        </w:rPr>
        <w:tab/>
        <w:t>PARDAVIMO (IŠDAVIMO) TVARKA</w:t>
      </w:r>
    </w:p>
    <w:p w14:paraId="5900A1C7" w14:textId="77777777" w:rsidR="00D875C0" w:rsidRPr="007C1A06" w:rsidRDefault="00D875C0" w:rsidP="00D875C0">
      <w:pPr>
        <w:spacing w:after="0" w:line="240" w:lineRule="auto"/>
        <w:rPr>
          <w:rFonts w:ascii="Times New Roman" w:hAnsi="Times New Roman"/>
        </w:rPr>
      </w:pPr>
    </w:p>
    <w:p w14:paraId="084B29A7"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Receptinis vaist</w:t>
      </w:r>
      <w:r w:rsidR="003D5669" w:rsidRPr="007C1A06">
        <w:rPr>
          <w:rFonts w:ascii="Times New Roman" w:hAnsi="Times New Roman"/>
        </w:rPr>
        <w:t>as</w:t>
      </w:r>
      <w:r w:rsidRPr="007C1A06">
        <w:rPr>
          <w:rFonts w:ascii="Times New Roman" w:hAnsi="Times New Roman"/>
        </w:rPr>
        <w:t>.</w:t>
      </w:r>
    </w:p>
    <w:p w14:paraId="4689921B" w14:textId="77777777" w:rsidR="00D875C0" w:rsidRPr="007C1A06" w:rsidRDefault="00D875C0" w:rsidP="00D875C0">
      <w:pPr>
        <w:spacing w:after="0" w:line="240" w:lineRule="auto"/>
        <w:rPr>
          <w:rFonts w:ascii="Times New Roman" w:hAnsi="Times New Roman"/>
        </w:rPr>
      </w:pPr>
    </w:p>
    <w:p w14:paraId="26B6F69E" w14:textId="77777777" w:rsidR="00D875C0" w:rsidRPr="007C1A06" w:rsidRDefault="00D875C0" w:rsidP="00D875C0">
      <w:pPr>
        <w:spacing w:after="0" w:line="240" w:lineRule="auto"/>
        <w:rPr>
          <w:rFonts w:ascii="Times New Roman" w:hAnsi="Times New Roman"/>
        </w:rPr>
      </w:pPr>
    </w:p>
    <w:p w14:paraId="541FD8F3"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15.</w:t>
      </w:r>
      <w:r w:rsidRPr="007C1A06">
        <w:rPr>
          <w:rFonts w:ascii="Times New Roman" w:hAnsi="Times New Roman"/>
          <w:b/>
        </w:rPr>
        <w:tab/>
        <w:t>VARTOJIMO INSTRUKCIJA</w:t>
      </w:r>
    </w:p>
    <w:p w14:paraId="64D2BC0A" w14:textId="77777777" w:rsidR="00D875C0" w:rsidRPr="007C1A06" w:rsidRDefault="00D875C0" w:rsidP="00D875C0">
      <w:pPr>
        <w:spacing w:after="0" w:line="240" w:lineRule="auto"/>
        <w:rPr>
          <w:rFonts w:ascii="Times New Roman" w:hAnsi="Times New Roman"/>
        </w:rPr>
      </w:pPr>
    </w:p>
    <w:p w14:paraId="0384BCB4" w14:textId="77777777" w:rsidR="00D875C0" w:rsidRPr="007C1A06" w:rsidRDefault="00D875C0" w:rsidP="00D875C0">
      <w:pPr>
        <w:spacing w:after="0" w:line="240" w:lineRule="auto"/>
        <w:rPr>
          <w:rFonts w:ascii="Times New Roman" w:hAnsi="Times New Roman"/>
        </w:rPr>
      </w:pPr>
    </w:p>
    <w:p w14:paraId="1647FC8A"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16.</w:t>
      </w:r>
      <w:r w:rsidRPr="007C1A06">
        <w:rPr>
          <w:rFonts w:ascii="Times New Roman" w:hAnsi="Times New Roman"/>
          <w:b/>
        </w:rPr>
        <w:tab/>
        <w:t>INFORMACIJA BRAILIO RAŠTU</w:t>
      </w:r>
    </w:p>
    <w:p w14:paraId="62B007FB" w14:textId="77777777" w:rsidR="00D875C0" w:rsidRPr="007C1A06" w:rsidRDefault="00D875C0" w:rsidP="00D875C0">
      <w:pPr>
        <w:spacing w:after="0" w:line="240" w:lineRule="auto"/>
        <w:rPr>
          <w:rFonts w:ascii="Times New Roman" w:hAnsi="Times New Roman"/>
        </w:rPr>
      </w:pPr>
    </w:p>
    <w:p w14:paraId="162F1DD3"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highlight w:val="lightGray"/>
        </w:rPr>
        <w:t>Priimtas pagrindimas informacijos Brailio raštu nepateikti.</w:t>
      </w:r>
    </w:p>
    <w:p w14:paraId="2897E1E0" w14:textId="77777777" w:rsidR="00D875C0" w:rsidRPr="007C1A06" w:rsidRDefault="00D875C0" w:rsidP="00D875C0">
      <w:pPr>
        <w:spacing w:after="0" w:line="240" w:lineRule="auto"/>
        <w:rPr>
          <w:rFonts w:ascii="Times New Roman" w:hAnsi="Times New Roman"/>
        </w:rPr>
      </w:pPr>
    </w:p>
    <w:p w14:paraId="65C10705" w14:textId="77777777" w:rsidR="003D5669" w:rsidRPr="007C1A06" w:rsidRDefault="003D5669" w:rsidP="003D5669">
      <w:pPr>
        <w:tabs>
          <w:tab w:val="left" w:pos="567"/>
        </w:tabs>
        <w:spacing w:after="0" w:line="260" w:lineRule="exact"/>
        <w:rPr>
          <w:rFonts w:ascii="Times New Roman" w:hAnsi="Times New Roman"/>
          <w:shd w:val="clear" w:color="auto" w:fill="CCCCCC"/>
        </w:rPr>
      </w:pPr>
    </w:p>
    <w:p w14:paraId="393730F2" w14:textId="77777777" w:rsidR="003D5669" w:rsidRPr="004E3CD5" w:rsidRDefault="003D5669" w:rsidP="003D566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EastAsia" w:hAnsi="Times New Roman"/>
          <w:i/>
          <w:lang w:eastAsia="zh-TW"/>
        </w:rPr>
      </w:pPr>
      <w:r w:rsidRPr="007C1A06">
        <w:rPr>
          <w:rFonts w:ascii="Times New Roman" w:hAnsi="Times New Roman"/>
          <w:b/>
        </w:rPr>
        <w:t>17.</w:t>
      </w:r>
      <w:r w:rsidRPr="007C1A06">
        <w:rPr>
          <w:rFonts w:ascii="Times New Roman" w:hAnsi="Times New Roman"/>
          <w:b/>
        </w:rPr>
        <w:tab/>
        <w:t>UNIKALUS IDENTIFIKATORIUS – 2D BRŪKŠNINIS KODAS</w:t>
      </w:r>
    </w:p>
    <w:p w14:paraId="155D7D7F" w14:textId="77777777" w:rsidR="003D5669" w:rsidRPr="007C1A06" w:rsidRDefault="003D5669" w:rsidP="003D5669">
      <w:pPr>
        <w:tabs>
          <w:tab w:val="left" w:pos="567"/>
        </w:tabs>
        <w:spacing w:after="0" w:line="260" w:lineRule="exact"/>
        <w:rPr>
          <w:rFonts w:ascii="Times New Roman" w:hAnsi="Times New Roman"/>
        </w:rPr>
      </w:pPr>
    </w:p>
    <w:p w14:paraId="3EA432D9" w14:textId="77777777" w:rsidR="003D5669" w:rsidRPr="004E3CD5" w:rsidRDefault="003D5669" w:rsidP="003D5669">
      <w:pPr>
        <w:tabs>
          <w:tab w:val="left" w:pos="567"/>
        </w:tabs>
        <w:spacing w:after="0" w:line="260" w:lineRule="exact"/>
        <w:rPr>
          <w:rFonts w:ascii="Times New Roman" w:eastAsiaTheme="minorEastAsia" w:hAnsi="Times New Roman"/>
          <w:shd w:val="clear" w:color="auto" w:fill="CCCCCC"/>
          <w:lang w:eastAsia="zh-TW"/>
        </w:rPr>
      </w:pPr>
      <w:r w:rsidRPr="007C1A06">
        <w:rPr>
          <w:rFonts w:ascii="Times New Roman" w:hAnsi="Times New Roman"/>
          <w:highlight w:val="lightGray"/>
        </w:rPr>
        <w:t>2D brūkšninis kodas su nurodytu unikaliu identifikatoriumi.</w:t>
      </w:r>
    </w:p>
    <w:p w14:paraId="3C3F9423" w14:textId="77777777" w:rsidR="003D5669" w:rsidRPr="007C1A06" w:rsidRDefault="003D5669" w:rsidP="003D5669">
      <w:pPr>
        <w:tabs>
          <w:tab w:val="left" w:pos="567"/>
        </w:tabs>
        <w:spacing w:after="0" w:line="260" w:lineRule="exact"/>
        <w:rPr>
          <w:rFonts w:ascii="Times New Roman" w:hAnsi="Times New Roman"/>
        </w:rPr>
      </w:pPr>
    </w:p>
    <w:p w14:paraId="6E22CC5E" w14:textId="77777777" w:rsidR="003D5669" w:rsidRPr="007C1A06" w:rsidRDefault="003D5669" w:rsidP="003D5669">
      <w:pPr>
        <w:tabs>
          <w:tab w:val="left" w:pos="567"/>
        </w:tabs>
        <w:spacing w:after="0" w:line="260" w:lineRule="exact"/>
        <w:rPr>
          <w:rFonts w:ascii="Times New Roman" w:hAnsi="Times New Roman"/>
        </w:rPr>
      </w:pPr>
    </w:p>
    <w:p w14:paraId="48072131" w14:textId="77777777" w:rsidR="003D5669" w:rsidRPr="004E3CD5" w:rsidRDefault="003D5669" w:rsidP="003D566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EastAsia" w:hAnsi="Times New Roman"/>
          <w:i/>
          <w:lang w:eastAsia="zh-TW"/>
        </w:rPr>
      </w:pPr>
      <w:r w:rsidRPr="007C1A06">
        <w:rPr>
          <w:rFonts w:ascii="Times New Roman" w:hAnsi="Times New Roman"/>
          <w:b/>
        </w:rPr>
        <w:t>18.</w:t>
      </w:r>
      <w:r w:rsidRPr="007C1A06">
        <w:rPr>
          <w:rFonts w:ascii="Times New Roman" w:hAnsi="Times New Roman"/>
          <w:b/>
        </w:rPr>
        <w:tab/>
        <w:t>UNIKALUS IDENTIFIKATORIUS – ŽMONĖMS SUPRANTAMI DUOMENYS</w:t>
      </w:r>
    </w:p>
    <w:p w14:paraId="54913622" w14:textId="77777777" w:rsidR="003D5669" w:rsidRPr="007C1A06" w:rsidRDefault="003D5669" w:rsidP="003D5669">
      <w:pPr>
        <w:tabs>
          <w:tab w:val="left" w:pos="567"/>
        </w:tabs>
        <w:spacing w:after="0" w:line="260" w:lineRule="exact"/>
        <w:rPr>
          <w:rFonts w:ascii="Times New Roman" w:hAnsi="Times New Roman"/>
        </w:rPr>
      </w:pPr>
    </w:p>
    <w:p w14:paraId="61D68E51" w14:textId="77777777" w:rsidR="003D5669" w:rsidRPr="004E3CD5" w:rsidRDefault="00083798" w:rsidP="003D5669">
      <w:pPr>
        <w:tabs>
          <w:tab w:val="left" w:pos="567"/>
        </w:tabs>
        <w:spacing w:after="0" w:line="260" w:lineRule="exact"/>
        <w:rPr>
          <w:rFonts w:ascii="Times New Roman" w:eastAsiaTheme="minorEastAsia" w:hAnsi="Times New Roman"/>
          <w:color w:val="008000"/>
          <w:lang w:eastAsia="zh-TW"/>
        </w:rPr>
      </w:pPr>
      <w:r w:rsidRPr="00327F03">
        <w:rPr>
          <w:rFonts w:ascii="Times New Roman" w:hAnsi="Times New Roman"/>
        </w:rPr>
        <w:t>PC: {numeris}</w:t>
      </w:r>
    </w:p>
    <w:p w14:paraId="7F1E9CB4" w14:textId="77777777" w:rsidR="003D5669" w:rsidRPr="004E3CD5" w:rsidRDefault="00083798" w:rsidP="003D5669">
      <w:pPr>
        <w:tabs>
          <w:tab w:val="left" w:pos="567"/>
        </w:tabs>
        <w:spacing w:after="0" w:line="260" w:lineRule="exact"/>
        <w:rPr>
          <w:rFonts w:ascii="Times New Roman" w:eastAsiaTheme="minorEastAsia" w:hAnsi="Times New Roman"/>
          <w:lang w:eastAsia="zh-TW"/>
        </w:rPr>
      </w:pPr>
      <w:r w:rsidRPr="00327F03">
        <w:rPr>
          <w:rFonts w:ascii="Times New Roman" w:hAnsi="Times New Roman"/>
        </w:rPr>
        <w:t>SN: {numeris}</w:t>
      </w:r>
    </w:p>
    <w:p w14:paraId="546E9914" w14:textId="77777777" w:rsidR="00D875C0" w:rsidRPr="004E3CD5" w:rsidRDefault="003D5669" w:rsidP="003D5669">
      <w:pPr>
        <w:spacing w:after="0" w:line="240" w:lineRule="auto"/>
        <w:rPr>
          <w:rFonts w:ascii="Times New Roman" w:eastAsiaTheme="minorEastAsia" w:hAnsi="Times New Roman"/>
          <w:lang w:eastAsia="zh-TW"/>
        </w:rPr>
      </w:pPr>
      <w:r w:rsidRPr="007C1A06">
        <w:rPr>
          <w:rFonts w:ascii="Times New Roman" w:hAnsi="Times New Roman"/>
          <w:highlight w:val="lightGray"/>
        </w:rPr>
        <w:t>NN: {numeris}</w:t>
      </w:r>
    </w:p>
    <w:p w14:paraId="31F37F7D" w14:textId="77777777" w:rsidR="00D875C0" w:rsidRPr="00F95B76"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C1A06">
        <w:rPr>
          <w:rFonts w:ascii="Times New Roman" w:hAnsi="Times New Roman"/>
        </w:rPr>
        <w:br w:type="page"/>
      </w:r>
      <w:r w:rsidRPr="007C1A06">
        <w:rPr>
          <w:rFonts w:ascii="Times New Roman" w:hAnsi="Times New Roman"/>
          <w:b/>
        </w:rPr>
        <w:t xml:space="preserve">MINIMALI INFORMACIJA ANT MAŽŲ </w:t>
      </w:r>
      <w:r w:rsidRPr="007C1A06">
        <w:rPr>
          <w:rFonts w:ascii="Times New Roman" w:eastAsia="Times New Roman" w:hAnsi="Times New Roman" w:cs="Times New Roman"/>
          <w:b/>
        </w:rPr>
        <w:t>VIDINIŲ</w:t>
      </w:r>
      <w:r w:rsidR="000C43D3">
        <w:rPr>
          <w:rFonts w:ascii="Times New Roman" w:eastAsia="Times New Roman" w:hAnsi="Times New Roman" w:cs="Times New Roman"/>
          <w:b/>
        </w:rPr>
        <w:t xml:space="preserve"> </w:t>
      </w:r>
      <w:r w:rsidRPr="007C1A06">
        <w:rPr>
          <w:rFonts w:ascii="Times New Roman" w:eastAsia="Times New Roman" w:hAnsi="Times New Roman" w:cs="Times New Roman"/>
          <w:b/>
        </w:rPr>
        <w:t>PAKUOČIŲ</w:t>
      </w:r>
    </w:p>
    <w:p w14:paraId="656EB57A" w14:textId="77777777" w:rsidR="00D875C0" w:rsidRPr="001F2C46"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6334E5B4" w14:textId="77777777" w:rsidR="00D875C0" w:rsidRPr="000C43D3"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27D92">
        <w:rPr>
          <w:rFonts w:ascii="Times New Roman" w:hAnsi="Times New Roman"/>
          <w:b/>
        </w:rPr>
        <w:t>FLAKONO ETIKETĖ – 20</w:t>
      </w:r>
      <w:r w:rsidR="007D5071" w:rsidRPr="00427D92">
        <w:rPr>
          <w:rFonts w:ascii="Times New Roman" w:hAnsi="Times New Roman"/>
          <w:b/>
        </w:rPr>
        <w:t> </w:t>
      </w:r>
      <w:r w:rsidRPr="000C43D3">
        <w:rPr>
          <w:rFonts w:ascii="Times New Roman" w:hAnsi="Times New Roman"/>
          <w:b/>
        </w:rPr>
        <w:t>mg/2</w:t>
      </w:r>
      <w:r w:rsidR="007D5071" w:rsidRPr="000C43D3">
        <w:rPr>
          <w:rFonts w:ascii="Times New Roman" w:hAnsi="Times New Roman"/>
          <w:b/>
        </w:rPr>
        <w:t> </w:t>
      </w:r>
      <w:r w:rsidRPr="000C43D3">
        <w:rPr>
          <w:rFonts w:ascii="Times New Roman" w:hAnsi="Times New Roman"/>
          <w:b/>
        </w:rPr>
        <w:t xml:space="preserve">ml </w:t>
      </w:r>
    </w:p>
    <w:p w14:paraId="7F5D292A" w14:textId="77777777" w:rsidR="00D875C0" w:rsidRPr="00C722B4" w:rsidRDefault="00D875C0" w:rsidP="00D875C0">
      <w:pPr>
        <w:spacing w:after="0" w:line="240" w:lineRule="auto"/>
        <w:rPr>
          <w:rFonts w:ascii="Times New Roman" w:hAnsi="Times New Roman"/>
        </w:rPr>
      </w:pPr>
    </w:p>
    <w:p w14:paraId="34013D59" w14:textId="77777777" w:rsidR="00D875C0" w:rsidRPr="007C1A06" w:rsidRDefault="00D875C0" w:rsidP="00D875C0">
      <w:pPr>
        <w:spacing w:after="0" w:line="240" w:lineRule="auto"/>
        <w:rPr>
          <w:rFonts w:ascii="Times New Roman" w:hAnsi="Times New Roman"/>
        </w:rPr>
      </w:pPr>
    </w:p>
    <w:p w14:paraId="2E9B5A5F"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w:t>
      </w:r>
      <w:r w:rsidRPr="007C1A06">
        <w:rPr>
          <w:rFonts w:ascii="Times New Roman" w:hAnsi="Times New Roman"/>
          <w:b/>
        </w:rPr>
        <w:tab/>
        <w:t>VAISTINIO PREPARATO PAVADINIMAS IR VARTOJIMO BŪDAS (-AI)</w:t>
      </w:r>
    </w:p>
    <w:p w14:paraId="18E6BC97" w14:textId="77777777" w:rsidR="00D875C0" w:rsidRPr="007C1A06" w:rsidRDefault="00D875C0" w:rsidP="00D875C0">
      <w:pPr>
        <w:spacing w:after="0" w:line="240" w:lineRule="auto"/>
        <w:rPr>
          <w:rFonts w:ascii="Times New Roman" w:hAnsi="Times New Roman"/>
        </w:rPr>
      </w:pPr>
    </w:p>
    <w:p w14:paraId="66DDAAAB"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Docetaxel Ebewe 10 mg/ml koncentratas infuziniam tirpalui</w:t>
      </w:r>
    </w:p>
    <w:p w14:paraId="60E95CB4" w14:textId="77777777" w:rsidR="00D875C0" w:rsidRPr="004E3CD5" w:rsidRDefault="00F373DC" w:rsidP="00D875C0">
      <w:pPr>
        <w:autoSpaceDE w:val="0"/>
        <w:autoSpaceDN w:val="0"/>
        <w:adjustRightInd w:val="0"/>
        <w:spacing w:after="0" w:line="240" w:lineRule="auto"/>
        <w:rPr>
          <w:rFonts w:ascii="Times New Roman" w:eastAsiaTheme="minorEastAsia" w:hAnsi="Times New Roman"/>
          <w:lang w:eastAsia="zh-TW"/>
        </w:rPr>
      </w:pPr>
      <w:r>
        <w:rPr>
          <w:rFonts w:ascii="Times New Roman" w:hAnsi="Times New Roman"/>
        </w:rPr>
        <w:t>d</w:t>
      </w:r>
      <w:r w:rsidR="00D875C0" w:rsidRPr="007C1A06">
        <w:rPr>
          <w:rFonts w:ascii="Times New Roman" w:hAnsi="Times New Roman"/>
        </w:rPr>
        <w:t>ocetakselis</w:t>
      </w:r>
    </w:p>
    <w:p w14:paraId="73964585" w14:textId="77777777" w:rsidR="00D875C0" w:rsidRPr="001F2C46" w:rsidRDefault="00B61C0F" w:rsidP="00D875C0">
      <w:pPr>
        <w:spacing w:after="0" w:line="240" w:lineRule="auto"/>
        <w:rPr>
          <w:rFonts w:ascii="Times New Roman" w:hAnsi="Times New Roman"/>
        </w:rPr>
      </w:pPr>
      <w:r w:rsidRPr="00F95B76">
        <w:rPr>
          <w:rFonts w:ascii="Times New Roman" w:hAnsi="Times New Roman"/>
        </w:rPr>
        <w:t>Leisti į veną.</w:t>
      </w:r>
    </w:p>
    <w:p w14:paraId="66F6013D" w14:textId="77777777" w:rsidR="00D875C0" w:rsidRPr="00427D92" w:rsidRDefault="00D875C0" w:rsidP="00D875C0">
      <w:pPr>
        <w:spacing w:after="0" w:line="240" w:lineRule="auto"/>
        <w:rPr>
          <w:rFonts w:ascii="Times New Roman" w:hAnsi="Times New Roman"/>
        </w:rPr>
      </w:pPr>
    </w:p>
    <w:p w14:paraId="069A802B" w14:textId="77777777" w:rsidR="00D875C0" w:rsidRPr="00C722B4" w:rsidRDefault="00D875C0" w:rsidP="00D875C0">
      <w:pPr>
        <w:spacing w:after="0" w:line="240" w:lineRule="auto"/>
        <w:rPr>
          <w:rFonts w:ascii="Times New Roman" w:hAnsi="Times New Roman"/>
        </w:rPr>
      </w:pPr>
    </w:p>
    <w:p w14:paraId="7033A086"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2.</w:t>
      </w:r>
      <w:r w:rsidRPr="007C1A06">
        <w:rPr>
          <w:rFonts w:ascii="Times New Roman" w:hAnsi="Times New Roman"/>
          <w:b/>
        </w:rPr>
        <w:tab/>
        <w:t>VARTOJIMO METODAS</w:t>
      </w:r>
    </w:p>
    <w:p w14:paraId="07A229A6" w14:textId="77777777" w:rsidR="00D875C0" w:rsidRPr="007C1A06" w:rsidRDefault="00D875C0" w:rsidP="00D875C0">
      <w:pPr>
        <w:spacing w:after="0" w:line="240" w:lineRule="auto"/>
        <w:rPr>
          <w:rFonts w:ascii="Times New Roman" w:hAnsi="Times New Roman"/>
        </w:rPr>
      </w:pPr>
    </w:p>
    <w:p w14:paraId="7324673F" w14:textId="65D63DDF"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Prieš vartojimą </w:t>
      </w:r>
      <w:r w:rsidR="007724E7">
        <w:rPr>
          <w:rFonts w:ascii="Times New Roman" w:hAnsi="Times New Roman"/>
        </w:rPr>
        <w:t>PRIVALOMA</w:t>
      </w:r>
      <w:r w:rsidR="007724E7" w:rsidRPr="007C1A06">
        <w:rPr>
          <w:rFonts w:ascii="Times New Roman" w:hAnsi="Times New Roman"/>
        </w:rPr>
        <w:t xml:space="preserve"> </w:t>
      </w:r>
      <w:r w:rsidRPr="007C1A06">
        <w:rPr>
          <w:rFonts w:ascii="Times New Roman" w:hAnsi="Times New Roman"/>
        </w:rPr>
        <w:t>praskiesti.</w:t>
      </w:r>
    </w:p>
    <w:p w14:paraId="7A648FFB" w14:textId="77777777" w:rsidR="007724E7" w:rsidRDefault="007724E7" w:rsidP="00D875C0">
      <w:pPr>
        <w:spacing w:after="0" w:line="240" w:lineRule="auto"/>
        <w:rPr>
          <w:rFonts w:ascii="Times New Roman" w:hAnsi="Times New Roman"/>
        </w:rPr>
      </w:pPr>
    </w:p>
    <w:p w14:paraId="637E3F7D" w14:textId="77777777" w:rsidR="00D875C0" w:rsidRDefault="00D875C0" w:rsidP="00D875C0">
      <w:pPr>
        <w:spacing w:after="0" w:line="240" w:lineRule="auto"/>
        <w:rPr>
          <w:rFonts w:ascii="Times New Roman" w:hAnsi="Times New Roman"/>
        </w:rPr>
      </w:pPr>
    </w:p>
    <w:p w14:paraId="75872DC5" w14:textId="77777777" w:rsidR="007724E7" w:rsidRPr="007C1A06" w:rsidRDefault="007724E7" w:rsidP="00D875C0">
      <w:pPr>
        <w:spacing w:after="0" w:line="240" w:lineRule="auto"/>
        <w:rPr>
          <w:rFonts w:ascii="Times New Roman" w:hAnsi="Times New Roman"/>
        </w:rPr>
      </w:pPr>
    </w:p>
    <w:p w14:paraId="7D56880E"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3.</w:t>
      </w:r>
      <w:r w:rsidRPr="007C1A06">
        <w:rPr>
          <w:rFonts w:ascii="Times New Roman" w:hAnsi="Times New Roman"/>
          <w:b/>
        </w:rPr>
        <w:tab/>
        <w:t>TINKAMUMO LAIKAS</w:t>
      </w:r>
    </w:p>
    <w:p w14:paraId="7BAE85A1" w14:textId="77777777" w:rsidR="00D875C0" w:rsidRPr="007C1A06" w:rsidRDefault="00D875C0" w:rsidP="00D875C0">
      <w:pPr>
        <w:spacing w:after="0" w:line="240" w:lineRule="auto"/>
        <w:rPr>
          <w:rFonts w:ascii="Times New Roman" w:hAnsi="Times New Roman"/>
        </w:rPr>
      </w:pPr>
    </w:p>
    <w:p w14:paraId="71497E20"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EXP {</w:t>
      </w:r>
      <w:r w:rsidR="00E414F5" w:rsidRPr="007C1A06">
        <w:rPr>
          <w:rFonts w:ascii="Times New Roman" w:hAnsi="Times New Roman"/>
        </w:rPr>
        <w:t xml:space="preserve">mm </w:t>
      </w:r>
      <w:r w:rsidRPr="007C1A06">
        <w:rPr>
          <w:rFonts w:ascii="Times New Roman" w:hAnsi="Times New Roman"/>
        </w:rPr>
        <w:t>MMMM}</w:t>
      </w:r>
    </w:p>
    <w:p w14:paraId="2B788F95" w14:textId="77777777" w:rsidR="00B61C0F" w:rsidRDefault="00B61C0F" w:rsidP="00B61C0F">
      <w:pPr>
        <w:spacing w:after="0" w:line="240" w:lineRule="auto"/>
        <w:rPr>
          <w:rFonts w:ascii="Times New Roman" w:hAnsi="Times New Roman"/>
        </w:rPr>
      </w:pPr>
    </w:p>
    <w:p w14:paraId="4B2907A4" w14:textId="77777777" w:rsidR="00B61C0F" w:rsidRPr="00B61C0F" w:rsidRDefault="00B61C0F" w:rsidP="00B61C0F">
      <w:pPr>
        <w:spacing w:after="0" w:line="240" w:lineRule="auto"/>
        <w:rPr>
          <w:rFonts w:ascii="Times New Roman" w:eastAsia="Times New Roman" w:hAnsi="Times New Roman" w:cs="Times New Roman"/>
        </w:rPr>
      </w:pPr>
      <w:r w:rsidRPr="00B61C0F">
        <w:rPr>
          <w:rFonts w:ascii="Times New Roman" w:eastAsia="Times New Roman" w:hAnsi="Times New Roman" w:cs="Times New Roman"/>
        </w:rPr>
        <w:t>Tinkamumo laikas po pirmojo atidarymo:</w:t>
      </w:r>
    </w:p>
    <w:p w14:paraId="0017077B" w14:textId="77777777" w:rsidR="00B61C0F" w:rsidRPr="00B61C0F" w:rsidRDefault="00B61C0F" w:rsidP="00B61C0F">
      <w:pPr>
        <w:spacing w:after="0" w:line="240" w:lineRule="auto"/>
        <w:rPr>
          <w:rFonts w:ascii="Times New Roman" w:eastAsia="Times New Roman" w:hAnsi="Times New Roman" w:cs="Times New Roman"/>
        </w:rPr>
      </w:pPr>
      <w:r w:rsidRPr="00B61C0F">
        <w:rPr>
          <w:rFonts w:ascii="Times New Roman" w:eastAsia="Times New Roman" w:hAnsi="Times New Roman" w:cs="Times New Roman"/>
        </w:rPr>
        <w:t>Vaisto turi būti vartojama ne ilgiau kaip 28</w:t>
      </w:r>
      <w:r>
        <w:rPr>
          <w:rFonts w:ascii="Times New Roman" w:eastAsia="Times New Roman" w:hAnsi="Times New Roman" w:cs="Times New Roman"/>
        </w:rPr>
        <w:t> </w:t>
      </w:r>
      <w:r w:rsidRPr="00B61C0F">
        <w:rPr>
          <w:rFonts w:ascii="Times New Roman" w:eastAsia="Times New Roman" w:hAnsi="Times New Roman" w:cs="Times New Roman"/>
        </w:rPr>
        <w:t>paras.</w:t>
      </w:r>
    </w:p>
    <w:p w14:paraId="0E86B88D" w14:textId="77777777" w:rsidR="00D875C0" w:rsidRPr="007C1A06" w:rsidRDefault="00D875C0" w:rsidP="00D875C0">
      <w:pPr>
        <w:spacing w:after="0" w:line="240" w:lineRule="auto"/>
        <w:rPr>
          <w:rFonts w:ascii="Times New Roman" w:eastAsia="Times New Roman" w:hAnsi="Times New Roman" w:cs="Times New Roman"/>
        </w:rPr>
      </w:pPr>
    </w:p>
    <w:p w14:paraId="6162BBE9" w14:textId="77777777" w:rsidR="00D875C0" w:rsidRPr="00F95B76" w:rsidRDefault="00D875C0" w:rsidP="00D875C0">
      <w:pPr>
        <w:spacing w:after="0" w:line="240" w:lineRule="auto"/>
        <w:rPr>
          <w:rFonts w:ascii="Times New Roman" w:hAnsi="Times New Roman"/>
        </w:rPr>
      </w:pPr>
    </w:p>
    <w:p w14:paraId="23CFB41B" w14:textId="77777777" w:rsidR="00D875C0" w:rsidRPr="001F2C46"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F2C46">
        <w:rPr>
          <w:rFonts w:ascii="Times New Roman" w:hAnsi="Times New Roman"/>
          <w:b/>
        </w:rPr>
        <w:t>4.</w:t>
      </w:r>
      <w:r w:rsidRPr="001F2C46">
        <w:rPr>
          <w:rFonts w:ascii="Times New Roman" w:hAnsi="Times New Roman"/>
          <w:b/>
        </w:rPr>
        <w:tab/>
        <w:t>SERIJOS NUMERIS</w:t>
      </w:r>
    </w:p>
    <w:p w14:paraId="723D24A1" w14:textId="77777777" w:rsidR="00D875C0" w:rsidRPr="00427D92" w:rsidRDefault="00D875C0" w:rsidP="00D875C0">
      <w:pPr>
        <w:spacing w:after="0" w:line="240" w:lineRule="auto"/>
        <w:rPr>
          <w:rFonts w:ascii="Times New Roman" w:hAnsi="Times New Roman"/>
        </w:rPr>
      </w:pPr>
    </w:p>
    <w:p w14:paraId="2EB336DD" w14:textId="77777777" w:rsidR="00D875C0" w:rsidRPr="00C722B4" w:rsidRDefault="00D875C0" w:rsidP="00D875C0">
      <w:pPr>
        <w:autoSpaceDE w:val="0"/>
        <w:autoSpaceDN w:val="0"/>
        <w:adjustRightInd w:val="0"/>
        <w:spacing w:after="0" w:line="240" w:lineRule="auto"/>
        <w:rPr>
          <w:rFonts w:ascii="Times New Roman" w:hAnsi="Times New Roman"/>
        </w:rPr>
      </w:pPr>
      <w:r w:rsidRPr="00C722B4">
        <w:rPr>
          <w:rFonts w:ascii="Times New Roman" w:hAnsi="Times New Roman"/>
        </w:rPr>
        <w:t>Lot</w:t>
      </w:r>
    </w:p>
    <w:p w14:paraId="2C4C9839" w14:textId="77777777" w:rsidR="00D875C0" w:rsidRPr="007C1A06" w:rsidRDefault="00D875C0" w:rsidP="00D875C0">
      <w:pPr>
        <w:spacing w:after="0" w:line="240" w:lineRule="auto"/>
        <w:rPr>
          <w:rFonts w:ascii="Times New Roman" w:hAnsi="Times New Roman"/>
        </w:rPr>
      </w:pPr>
    </w:p>
    <w:p w14:paraId="117897AE" w14:textId="77777777" w:rsidR="00D875C0" w:rsidRPr="007C1A06" w:rsidRDefault="00D875C0" w:rsidP="00D875C0">
      <w:pPr>
        <w:spacing w:after="0" w:line="240" w:lineRule="auto"/>
        <w:rPr>
          <w:rFonts w:ascii="Times New Roman" w:hAnsi="Times New Roman"/>
        </w:rPr>
      </w:pPr>
    </w:p>
    <w:p w14:paraId="5A5FA0F0"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5.</w:t>
      </w:r>
      <w:r w:rsidRPr="007C1A06">
        <w:rPr>
          <w:rFonts w:ascii="Times New Roman" w:hAnsi="Times New Roman"/>
          <w:b/>
        </w:rPr>
        <w:tab/>
        <w:t>KIEKIS (MASĖ, TŪRIS ARBA VIENETAI)</w:t>
      </w:r>
    </w:p>
    <w:p w14:paraId="21ADEFE8" w14:textId="77777777" w:rsidR="00D875C0" w:rsidRPr="007C1A06" w:rsidRDefault="00D875C0" w:rsidP="00D875C0">
      <w:pPr>
        <w:spacing w:after="0" w:line="240" w:lineRule="auto"/>
        <w:rPr>
          <w:rFonts w:ascii="Times New Roman" w:hAnsi="Times New Roman"/>
        </w:rPr>
      </w:pPr>
    </w:p>
    <w:p w14:paraId="28D94D28"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20 mg/2 ml</w:t>
      </w:r>
    </w:p>
    <w:p w14:paraId="3371C203" w14:textId="77777777" w:rsidR="00D875C0" w:rsidRPr="007C1A06" w:rsidRDefault="00D875C0" w:rsidP="00D875C0">
      <w:pPr>
        <w:spacing w:after="0" w:line="240" w:lineRule="auto"/>
        <w:rPr>
          <w:rFonts w:ascii="Times New Roman" w:hAnsi="Times New Roman"/>
        </w:rPr>
      </w:pPr>
    </w:p>
    <w:p w14:paraId="2E2CB5B2" w14:textId="77777777" w:rsidR="00D875C0" w:rsidRPr="007C1A06" w:rsidRDefault="00D875C0" w:rsidP="00D875C0">
      <w:pPr>
        <w:spacing w:after="0" w:line="240" w:lineRule="auto"/>
        <w:rPr>
          <w:rFonts w:ascii="Times New Roman" w:hAnsi="Times New Roman"/>
        </w:rPr>
      </w:pPr>
    </w:p>
    <w:p w14:paraId="044347E2"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6.</w:t>
      </w:r>
      <w:r w:rsidRPr="007C1A06">
        <w:rPr>
          <w:rFonts w:ascii="Times New Roman" w:hAnsi="Times New Roman"/>
          <w:b/>
        </w:rPr>
        <w:tab/>
        <w:t>KITA</w:t>
      </w:r>
    </w:p>
    <w:p w14:paraId="242950E4" w14:textId="77777777" w:rsidR="00D875C0" w:rsidRPr="007C1A06" w:rsidRDefault="00D875C0" w:rsidP="00D875C0">
      <w:pPr>
        <w:spacing w:after="0" w:line="240" w:lineRule="auto"/>
        <w:rPr>
          <w:rFonts w:ascii="Times New Roman" w:hAnsi="Times New Roman"/>
        </w:rPr>
      </w:pPr>
    </w:p>
    <w:p w14:paraId="6010FF9C" w14:textId="77777777" w:rsidR="00D875C0" w:rsidRPr="00F95B76" w:rsidRDefault="00D875C0" w:rsidP="00D875C0">
      <w:pPr>
        <w:spacing w:after="0" w:line="240" w:lineRule="auto"/>
        <w:rPr>
          <w:rFonts w:ascii="Times New Roman" w:eastAsiaTheme="minorEastAsia" w:hAnsi="Times New Roman"/>
          <w:lang w:val="en-US" w:eastAsia="zh-TW"/>
        </w:rPr>
      </w:pPr>
      <w:r w:rsidRPr="007C1A06">
        <w:rPr>
          <w:rFonts w:ascii="Times New Roman" w:hAnsi="Times New Roman"/>
        </w:rPr>
        <w:t xml:space="preserve">Citotoksinis </w:t>
      </w:r>
      <w:r w:rsidR="003D5669" w:rsidRPr="007C1A06">
        <w:rPr>
          <w:rFonts w:ascii="Times New Roman" w:hAnsi="Times New Roman"/>
        </w:rPr>
        <w:t>vaistas</w:t>
      </w:r>
      <w:r w:rsidR="00B61C0F">
        <w:rPr>
          <w:rFonts w:ascii="Times New Roman" w:eastAsia="Times New Roman" w:hAnsi="Times New Roman" w:cs="Times New Roman"/>
        </w:rPr>
        <w:t>.</w:t>
      </w:r>
    </w:p>
    <w:p w14:paraId="072AFA23" w14:textId="77777777" w:rsidR="00D875C0" w:rsidRPr="001F2C46" w:rsidRDefault="00D875C0" w:rsidP="00D875C0">
      <w:pPr>
        <w:tabs>
          <w:tab w:val="left" w:pos="540"/>
        </w:tabs>
        <w:spacing w:after="0" w:line="240" w:lineRule="auto"/>
        <w:rPr>
          <w:rFonts w:ascii="Times New Roman" w:hAnsi="Times New Roman"/>
          <w:b/>
        </w:rPr>
      </w:pPr>
    </w:p>
    <w:p w14:paraId="16CACADD" w14:textId="77777777" w:rsidR="00D875C0" w:rsidRPr="00427D92" w:rsidRDefault="00D875C0" w:rsidP="00D875C0">
      <w:pPr>
        <w:tabs>
          <w:tab w:val="left" w:pos="540"/>
        </w:tabs>
        <w:spacing w:after="0" w:line="240" w:lineRule="auto"/>
        <w:rPr>
          <w:rFonts w:ascii="Times New Roman" w:hAnsi="Times New Roman"/>
          <w:b/>
        </w:rPr>
      </w:pPr>
    </w:p>
    <w:p w14:paraId="7CD531F6" w14:textId="77777777" w:rsidR="00D875C0" w:rsidRPr="000C43D3" w:rsidRDefault="00D875C0" w:rsidP="00D875C0">
      <w:pPr>
        <w:tabs>
          <w:tab w:val="left" w:pos="540"/>
        </w:tabs>
        <w:spacing w:after="0" w:line="240" w:lineRule="auto"/>
        <w:rPr>
          <w:rFonts w:ascii="Times New Roman" w:hAnsi="Times New Roman"/>
          <w:b/>
        </w:rPr>
      </w:pPr>
      <w:r w:rsidRPr="00427D92">
        <w:rPr>
          <w:rFonts w:ascii="Times New Roman" w:hAnsi="Times New Roman"/>
        </w:rPr>
        <w:br w:type="page"/>
      </w:r>
    </w:p>
    <w:p w14:paraId="19EA949E" w14:textId="77777777" w:rsidR="00D875C0" w:rsidRPr="00C722B4"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C722B4">
        <w:rPr>
          <w:rFonts w:ascii="Times New Roman" w:hAnsi="Times New Roman"/>
          <w:b/>
        </w:rPr>
        <w:t>INFORMACIJA ANT IŠORINĖS PAKUOTĖS</w:t>
      </w:r>
    </w:p>
    <w:p w14:paraId="57543AC1" w14:textId="77777777" w:rsidR="00D875C0" w:rsidRPr="007C1A06"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555ED148"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KARTONO DĖŽUTĖ – 80</w:t>
      </w:r>
      <w:r w:rsidR="007D5071" w:rsidRPr="007C1A06">
        <w:rPr>
          <w:rFonts w:ascii="Times New Roman" w:hAnsi="Times New Roman"/>
          <w:b/>
        </w:rPr>
        <w:t> </w:t>
      </w:r>
      <w:r w:rsidRPr="007C1A06">
        <w:rPr>
          <w:rFonts w:ascii="Times New Roman" w:hAnsi="Times New Roman"/>
          <w:b/>
        </w:rPr>
        <w:t>mg/8</w:t>
      </w:r>
      <w:r w:rsidR="007D5071" w:rsidRPr="007C1A06">
        <w:rPr>
          <w:rFonts w:ascii="Times New Roman" w:hAnsi="Times New Roman"/>
          <w:b/>
        </w:rPr>
        <w:t> </w:t>
      </w:r>
      <w:r w:rsidRPr="007C1A06">
        <w:rPr>
          <w:rFonts w:ascii="Times New Roman" w:hAnsi="Times New Roman"/>
          <w:b/>
        </w:rPr>
        <w:t>ml</w:t>
      </w:r>
    </w:p>
    <w:p w14:paraId="318FA8D3" w14:textId="77777777" w:rsidR="00D875C0" w:rsidRPr="007C1A06" w:rsidRDefault="00D875C0" w:rsidP="00D875C0">
      <w:pPr>
        <w:spacing w:after="0" w:line="240" w:lineRule="auto"/>
        <w:rPr>
          <w:rFonts w:ascii="Times New Roman" w:hAnsi="Times New Roman"/>
        </w:rPr>
      </w:pPr>
    </w:p>
    <w:p w14:paraId="6F4C6F2E" w14:textId="77777777" w:rsidR="00D875C0" w:rsidRPr="007C1A06" w:rsidRDefault="00D875C0" w:rsidP="00D875C0">
      <w:pPr>
        <w:spacing w:after="0" w:line="240" w:lineRule="auto"/>
        <w:rPr>
          <w:rFonts w:ascii="Times New Roman" w:hAnsi="Times New Roman"/>
        </w:rPr>
      </w:pPr>
    </w:p>
    <w:p w14:paraId="62523151"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w:t>
      </w:r>
      <w:r w:rsidRPr="007C1A06">
        <w:rPr>
          <w:rFonts w:ascii="Times New Roman" w:hAnsi="Times New Roman"/>
          <w:b/>
        </w:rPr>
        <w:tab/>
        <w:t>VAISTINIO PREPARATO PAVADINIMAS</w:t>
      </w:r>
    </w:p>
    <w:p w14:paraId="063AE924" w14:textId="77777777" w:rsidR="00D875C0" w:rsidRPr="007C1A06" w:rsidRDefault="00D875C0" w:rsidP="00D875C0">
      <w:pPr>
        <w:spacing w:after="0" w:line="240" w:lineRule="auto"/>
        <w:rPr>
          <w:rFonts w:ascii="Times New Roman" w:hAnsi="Times New Roman"/>
        </w:rPr>
      </w:pPr>
    </w:p>
    <w:p w14:paraId="1D0EAF18"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Docetaxel Ebewe 10 mg/ml koncentratas infuziniam tirpalui</w:t>
      </w:r>
    </w:p>
    <w:p w14:paraId="575FFB37" w14:textId="77777777" w:rsidR="00D875C0" w:rsidRPr="004E3CD5" w:rsidRDefault="00F373DC" w:rsidP="00D875C0">
      <w:pPr>
        <w:spacing w:after="0" w:line="240" w:lineRule="auto"/>
        <w:rPr>
          <w:rFonts w:ascii="Times New Roman" w:eastAsiaTheme="minorEastAsia" w:hAnsi="Times New Roman"/>
          <w:lang w:eastAsia="zh-TW"/>
        </w:rPr>
      </w:pPr>
      <w:r>
        <w:rPr>
          <w:rFonts w:ascii="Times New Roman" w:hAnsi="Times New Roman"/>
        </w:rPr>
        <w:t>d</w:t>
      </w:r>
      <w:r w:rsidR="00D875C0" w:rsidRPr="007C1A06">
        <w:rPr>
          <w:rFonts w:ascii="Times New Roman" w:hAnsi="Times New Roman"/>
        </w:rPr>
        <w:t>ocetakselis</w:t>
      </w:r>
    </w:p>
    <w:p w14:paraId="18356279" w14:textId="77777777" w:rsidR="00D875C0" w:rsidRPr="007C1A06" w:rsidRDefault="00D875C0" w:rsidP="00D875C0">
      <w:pPr>
        <w:spacing w:after="0" w:line="240" w:lineRule="auto"/>
        <w:rPr>
          <w:rFonts w:ascii="Times New Roman" w:hAnsi="Times New Roman"/>
        </w:rPr>
      </w:pPr>
    </w:p>
    <w:p w14:paraId="530F683D" w14:textId="77777777" w:rsidR="00D875C0" w:rsidRPr="007C1A06" w:rsidRDefault="00D875C0" w:rsidP="00D875C0">
      <w:pPr>
        <w:spacing w:after="0" w:line="240" w:lineRule="auto"/>
        <w:rPr>
          <w:rFonts w:ascii="Times New Roman" w:hAnsi="Times New Roman"/>
        </w:rPr>
      </w:pPr>
    </w:p>
    <w:p w14:paraId="111ED36A"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2.</w:t>
      </w:r>
      <w:r w:rsidRPr="007C1A06">
        <w:rPr>
          <w:rFonts w:ascii="Times New Roman" w:hAnsi="Times New Roman"/>
          <w:b/>
        </w:rPr>
        <w:tab/>
        <w:t>VEIKLIOJI (-IOS) MEDŽIAGA (-OS) IR JOS (-Ų) KIEKIS (-IAI)</w:t>
      </w:r>
    </w:p>
    <w:p w14:paraId="66A14885" w14:textId="77777777" w:rsidR="00D875C0" w:rsidRPr="007C1A06" w:rsidRDefault="00D875C0" w:rsidP="00D875C0">
      <w:pPr>
        <w:spacing w:after="0" w:line="240" w:lineRule="auto"/>
        <w:rPr>
          <w:rFonts w:ascii="Times New Roman" w:hAnsi="Times New Roman"/>
        </w:rPr>
      </w:pPr>
    </w:p>
    <w:p w14:paraId="54680D4D"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Kiekviename 8 ml flakone yra 80 mg docetakselio (10 mg/ml).</w:t>
      </w:r>
    </w:p>
    <w:p w14:paraId="36D32DE5" w14:textId="77777777" w:rsidR="00D875C0" w:rsidRPr="007C1A06" w:rsidRDefault="00D875C0" w:rsidP="00D875C0">
      <w:pPr>
        <w:spacing w:after="0" w:line="240" w:lineRule="auto"/>
        <w:rPr>
          <w:rFonts w:ascii="Times New Roman" w:hAnsi="Times New Roman"/>
        </w:rPr>
      </w:pPr>
    </w:p>
    <w:p w14:paraId="5E948BBF" w14:textId="77777777" w:rsidR="00D875C0" w:rsidRPr="00F95B76" w:rsidRDefault="00D875C0" w:rsidP="00D875C0">
      <w:pPr>
        <w:spacing w:after="0" w:line="240" w:lineRule="auto"/>
        <w:rPr>
          <w:rFonts w:ascii="Times New Roman" w:hAnsi="Times New Roman"/>
        </w:rPr>
      </w:pPr>
    </w:p>
    <w:p w14:paraId="03C20B43" w14:textId="77777777" w:rsidR="00D875C0" w:rsidRPr="001F2C46"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F2C46">
        <w:rPr>
          <w:rFonts w:ascii="Times New Roman" w:hAnsi="Times New Roman"/>
          <w:b/>
        </w:rPr>
        <w:t>3.</w:t>
      </w:r>
      <w:r w:rsidRPr="001F2C46">
        <w:rPr>
          <w:rFonts w:ascii="Times New Roman" w:hAnsi="Times New Roman"/>
          <w:b/>
        </w:rPr>
        <w:tab/>
        <w:t>PAGALBINIŲ MEDŽIAGŲ SĄRAŠAS</w:t>
      </w:r>
    </w:p>
    <w:p w14:paraId="4636B9E5" w14:textId="77777777" w:rsidR="00D875C0" w:rsidRPr="00427D92" w:rsidRDefault="00D875C0" w:rsidP="00D875C0">
      <w:pPr>
        <w:spacing w:after="0" w:line="240" w:lineRule="auto"/>
        <w:rPr>
          <w:rFonts w:ascii="Times New Roman" w:hAnsi="Times New Roman"/>
        </w:rPr>
      </w:pPr>
    </w:p>
    <w:p w14:paraId="3C8654A4" w14:textId="77777777" w:rsidR="002D795E" w:rsidRPr="00F95B76" w:rsidRDefault="00B61C0F" w:rsidP="00B61C0F">
      <w:pPr>
        <w:spacing w:after="0" w:line="240" w:lineRule="auto"/>
        <w:rPr>
          <w:rFonts w:ascii="Times New Roman" w:hAnsi="Times New Roman"/>
        </w:rPr>
      </w:pPr>
      <w:r w:rsidRPr="00B61C0F">
        <w:rPr>
          <w:rFonts w:ascii="Times New Roman" w:eastAsia="Times New Roman" w:hAnsi="Times New Roman" w:cs="Times New Roman"/>
        </w:rPr>
        <w:t xml:space="preserve">Sudėtyje yra </w:t>
      </w:r>
      <w:r>
        <w:rPr>
          <w:rFonts w:ascii="Times New Roman" w:eastAsia="Times New Roman" w:hAnsi="Times New Roman" w:cs="Times New Roman"/>
        </w:rPr>
        <w:t>p</w:t>
      </w:r>
      <w:r w:rsidRPr="00111A39">
        <w:rPr>
          <w:rFonts w:ascii="Times New Roman" w:eastAsia="Times New Roman" w:hAnsi="Times New Roman" w:cs="Times New Roman"/>
        </w:rPr>
        <w:t>olisorbat</w:t>
      </w:r>
      <w:r>
        <w:rPr>
          <w:rFonts w:ascii="Times New Roman" w:eastAsia="Times New Roman" w:hAnsi="Times New Roman" w:cs="Times New Roman"/>
        </w:rPr>
        <w:t>o</w:t>
      </w:r>
      <w:r w:rsidRPr="00F95B76">
        <w:rPr>
          <w:rFonts w:ascii="Times New Roman" w:hAnsi="Times New Roman"/>
        </w:rPr>
        <w:t xml:space="preserve"> 80</w:t>
      </w:r>
      <w:r>
        <w:rPr>
          <w:rFonts w:ascii="Times New Roman" w:eastAsia="Times New Roman" w:hAnsi="Times New Roman" w:cs="Times New Roman"/>
        </w:rPr>
        <w:t>, b</w:t>
      </w:r>
      <w:r w:rsidRPr="00111A39">
        <w:rPr>
          <w:rFonts w:ascii="Times New Roman" w:eastAsia="Times New Roman" w:hAnsi="Times New Roman" w:cs="Times New Roman"/>
        </w:rPr>
        <w:t>evandenė</w:t>
      </w:r>
      <w:r>
        <w:rPr>
          <w:rFonts w:ascii="Times New Roman" w:eastAsia="Times New Roman" w:hAnsi="Times New Roman" w:cs="Times New Roman"/>
        </w:rPr>
        <w:t>s</w:t>
      </w:r>
      <w:r w:rsidRPr="00F95B76">
        <w:rPr>
          <w:rFonts w:ascii="Times New Roman" w:hAnsi="Times New Roman"/>
        </w:rPr>
        <w:t xml:space="preserve"> citrinų </w:t>
      </w:r>
      <w:r w:rsidRPr="00111A39">
        <w:rPr>
          <w:rFonts w:ascii="Times New Roman" w:eastAsia="Times New Roman" w:hAnsi="Times New Roman" w:cs="Times New Roman"/>
        </w:rPr>
        <w:t>rūgšti</w:t>
      </w:r>
      <w:r>
        <w:rPr>
          <w:rFonts w:ascii="Times New Roman" w:eastAsia="Times New Roman" w:hAnsi="Times New Roman" w:cs="Times New Roman"/>
        </w:rPr>
        <w:t>e</w:t>
      </w:r>
      <w:r w:rsidRPr="00111A39">
        <w:rPr>
          <w:rFonts w:ascii="Times New Roman" w:eastAsia="Times New Roman" w:hAnsi="Times New Roman" w:cs="Times New Roman"/>
        </w:rPr>
        <w:t>s</w:t>
      </w:r>
      <w:r>
        <w:rPr>
          <w:rFonts w:ascii="Times New Roman" w:eastAsia="Times New Roman" w:hAnsi="Times New Roman" w:cs="Times New Roman"/>
        </w:rPr>
        <w:t>, m</w:t>
      </w:r>
      <w:r w:rsidRPr="00111A39">
        <w:rPr>
          <w:rFonts w:ascii="Times New Roman" w:eastAsia="Times New Roman" w:hAnsi="Times New Roman" w:cs="Times New Roman"/>
        </w:rPr>
        <w:t>akrogoli</w:t>
      </w:r>
      <w:r>
        <w:rPr>
          <w:rFonts w:ascii="Times New Roman" w:eastAsia="Times New Roman" w:hAnsi="Times New Roman" w:cs="Times New Roman"/>
        </w:rPr>
        <w:t>o</w:t>
      </w:r>
      <w:r w:rsidRPr="00F95B76">
        <w:rPr>
          <w:rFonts w:ascii="Times New Roman" w:hAnsi="Times New Roman"/>
        </w:rPr>
        <w:t xml:space="preserve"> 300</w:t>
      </w:r>
      <w:r>
        <w:rPr>
          <w:rFonts w:ascii="Times New Roman" w:eastAsia="Times New Roman" w:hAnsi="Times New Roman" w:cs="Times New Roman"/>
        </w:rPr>
        <w:t>, e</w:t>
      </w:r>
      <w:r w:rsidRPr="00111A39">
        <w:rPr>
          <w:rFonts w:ascii="Times New Roman" w:eastAsia="Times New Roman" w:hAnsi="Times New Roman" w:cs="Times New Roman"/>
        </w:rPr>
        <w:t>tanoli</w:t>
      </w:r>
      <w:r>
        <w:rPr>
          <w:rFonts w:ascii="Times New Roman" w:eastAsia="Times New Roman" w:hAnsi="Times New Roman" w:cs="Times New Roman"/>
        </w:rPr>
        <w:t>o</w:t>
      </w:r>
      <w:r w:rsidRPr="00F95B76">
        <w:rPr>
          <w:rFonts w:ascii="Times New Roman" w:hAnsi="Times New Roman"/>
        </w:rPr>
        <w:t xml:space="preserve"> (96</w:t>
      </w:r>
      <w:r w:rsidRPr="001F2C46">
        <w:rPr>
          <w:rFonts w:ascii="Times New Roman" w:hAnsi="Times New Roman"/>
        </w:rPr>
        <w:t> </w:t>
      </w:r>
      <w:r w:rsidRPr="00111A39">
        <w:rPr>
          <w:rFonts w:ascii="Times New Roman" w:eastAsia="Times New Roman" w:hAnsi="Times New Roman" w:cs="Times New Roman"/>
        </w:rPr>
        <w:t>%)</w:t>
      </w:r>
      <w:r>
        <w:rPr>
          <w:rFonts w:ascii="Times New Roman" w:eastAsia="Times New Roman" w:hAnsi="Times New Roman" w:cs="Times New Roman"/>
        </w:rPr>
        <w:t xml:space="preserve">. </w:t>
      </w:r>
    </w:p>
    <w:p w14:paraId="0869F83D" w14:textId="67108A8C" w:rsidR="00B61C0F" w:rsidRPr="00111A39" w:rsidRDefault="00B61C0F" w:rsidP="00B61C0F">
      <w:pPr>
        <w:spacing w:after="0" w:line="240" w:lineRule="auto"/>
        <w:rPr>
          <w:rFonts w:ascii="Times New Roman" w:eastAsia="Times New Roman" w:hAnsi="Times New Roman" w:cs="Times New Roman"/>
        </w:rPr>
      </w:pPr>
      <w:r w:rsidRPr="00B61C0F">
        <w:rPr>
          <w:rFonts w:ascii="Times New Roman" w:eastAsia="Times New Roman" w:hAnsi="Times New Roman" w:cs="Times New Roman"/>
        </w:rPr>
        <w:t xml:space="preserve">Daugiau informacijos </w:t>
      </w:r>
      <w:r w:rsidR="007724E7">
        <w:rPr>
          <w:rFonts w:ascii="Times New Roman" w:eastAsia="Times New Roman" w:hAnsi="Times New Roman" w:cs="Times New Roman"/>
        </w:rPr>
        <w:t>pateikta</w:t>
      </w:r>
      <w:r w:rsidRPr="00B61C0F">
        <w:rPr>
          <w:rFonts w:ascii="Times New Roman" w:eastAsia="Times New Roman" w:hAnsi="Times New Roman" w:cs="Times New Roman"/>
        </w:rPr>
        <w:t xml:space="preserve"> pakuotės lapelyje.</w:t>
      </w:r>
    </w:p>
    <w:p w14:paraId="6464FBC6" w14:textId="77777777" w:rsidR="00B61C0F" w:rsidRPr="00F95B76" w:rsidRDefault="00B61C0F" w:rsidP="00B61C0F">
      <w:pPr>
        <w:spacing w:after="0" w:line="240" w:lineRule="auto"/>
        <w:rPr>
          <w:rFonts w:ascii="Times New Roman" w:hAnsi="Times New Roman"/>
        </w:rPr>
      </w:pPr>
    </w:p>
    <w:p w14:paraId="111BBCF0" w14:textId="77777777" w:rsidR="00B61C0F" w:rsidRPr="001F2C46" w:rsidRDefault="00B61C0F" w:rsidP="00B61C0F">
      <w:pPr>
        <w:spacing w:after="0" w:line="240" w:lineRule="auto"/>
        <w:rPr>
          <w:rFonts w:ascii="Times New Roman" w:hAnsi="Times New Roman"/>
        </w:rPr>
      </w:pPr>
    </w:p>
    <w:p w14:paraId="702C0D24" w14:textId="77777777" w:rsidR="00B61C0F" w:rsidRPr="00427D92" w:rsidRDefault="00B61C0F" w:rsidP="00B61C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27D92">
        <w:rPr>
          <w:rFonts w:ascii="Times New Roman" w:hAnsi="Times New Roman"/>
          <w:b/>
        </w:rPr>
        <w:t>4.</w:t>
      </w:r>
      <w:r w:rsidRPr="00427D92">
        <w:rPr>
          <w:rFonts w:ascii="Times New Roman" w:hAnsi="Times New Roman"/>
          <w:b/>
        </w:rPr>
        <w:tab/>
        <w:t>FARMACINĖ FORMA IR KIEKIS PAKUOTĖJE</w:t>
      </w:r>
    </w:p>
    <w:p w14:paraId="650102A1" w14:textId="77777777" w:rsidR="00B61C0F" w:rsidRPr="00C722B4" w:rsidRDefault="00B61C0F" w:rsidP="00B61C0F">
      <w:pPr>
        <w:spacing w:after="0" w:line="240" w:lineRule="auto"/>
        <w:rPr>
          <w:rFonts w:ascii="Times New Roman" w:hAnsi="Times New Roman"/>
        </w:rPr>
      </w:pPr>
    </w:p>
    <w:p w14:paraId="4774021F" w14:textId="037B1718" w:rsidR="00453BC4" w:rsidRDefault="005841DF" w:rsidP="007724E7">
      <w:pPr>
        <w:spacing w:after="0" w:line="240" w:lineRule="auto"/>
        <w:rPr>
          <w:rFonts w:ascii="Times New Roman" w:hAnsi="Times New Roman"/>
        </w:rPr>
      </w:pPr>
      <w:r w:rsidRPr="00111A39">
        <w:rPr>
          <w:rFonts w:ascii="Times New Roman" w:hAnsi="Times New Roman"/>
        </w:rPr>
        <w:t>Koncentratas infuziniam tirpalui</w:t>
      </w:r>
    </w:p>
    <w:p w14:paraId="5071D613" w14:textId="6309CDC6" w:rsidR="007724E7" w:rsidRPr="004E3CD5" w:rsidRDefault="00453BC4" w:rsidP="007724E7">
      <w:pPr>
        <w:spacing w:after="0" w:line="240" w:lineRule="auto"/>
        <w:rPr>
          <w:rFonts w:ascii="Times New Roman" w:eastAsiaTheme="minorEastAsia" w:hAnsi="Times New Roman"/>
          <w:lang w:eastAsia="zh-TW"/>
        </w:rPr>
      </w:pPr>
      <w:r>
        <w:rPr>
          <w:rFonts w:ascii="Times New Roman" w:hAnsi="Times New Roman"/>
        </w:rPr>
        <w:t>K</w:t>
      </w:r>
      <w:r w:rsidR="007724E7" w:rsidRPr="007C1A06">
        <w:rPr>
          <w:rFonts w:ascii="Times New Roman" w:hAnsi="Times New Roman"/>
        </w:rPr>
        <w:t>iekviename 8 ml flakone yra 80 mg docetakselio (10 mg/ml).</w:t>
      </w:r>
    </w:p>
    <w:p w14:paraId="1FC04C1E" w14:textId="65B2FA08" w:rsidR="00B61C0F" w:rsidRPr="004E3CD5" w:rsidRDefault="00B61C0F" w:rsidP="00B61C0F">
      <w:pPr>
        <w:spacing w:after="0" w:line="240" w:lineRule="auto"/>
        <w:rPr>
          <w:rFonts w:ascii="Times New Roman" w:eastAsiaTheme="minorEastAsia" w:hAnsi="Times New Roman"/>
          <w:lang w:eastAsia="zh-TW"/>
        </w:rPr>
      </w:pPr>
      <w:r w:rsidRPr="00111A39">
        <w:rPr>
          <w:rFonts w:ascii="Times New Roman" w:hAnsi="Times New Roman"/>
        </w:rPr>
        <w:t>1 flakonas</w:t>
      </w:r>
    </w:p>
    <w:p w14:paraId="2F34F078" w14:textId="3B1F9E70" w:rsidR="00B61C0F" w:rsidRPr="004E3CD5" w:rsidRDefault="00B61C0F" w:rsidP="00B61C0F">
      <w:pPr>
        <w:spacing w:after="0" w:line="240" w:lineRule="auto"/>
        <w:rPr>
          <w:rFonts w:ascii="Times New Roman" w:eastAsiaTheme="minorEastAsia" w:hAnsi="Times New Roman"/>
          <w:highlight w:val="lightGray"/>
          <w:lang w:eastAsia="zh-TW"/>
        </w:rPr>
      </w:pPr>
      <w:r w:rsidRPr="00111A39">
        <w:rPr>
          <w:rFonts w:ascii="Times New Roman" w:hAnsi="Times New Roman"/>
          <w:highlight w:val="lightGray"/>
        </w:rPr>
        <w:t>5 flakonai</w:t>
      </w:r>
    </w:p>
    <w:p w14:paraId="1CFA06B6" w14:textId="01024DDD" w:rsidR="00B61C0F" w:rsidRPr="004E3CD5" w:rsidRDefault="00B61C0F" w:rsidP="00B61C0F">
      <w:pPr>
        <w:spacing w:after="0" w:line="240" w:lineRule="auto"/>
        <w:rPr>
          <w:rFonts w:ascii="Times New Roman" w:eastAsiaTheme="minorEastAsia" w:hAnsi="Times New Roman"/>
          <w:lang w:eastAsia="zh-TW"/>
        </w:rPr>
      </w:pPr>
      <w:r w:rsidRPr="00111A39">
        <w:rPr>
          <w:rFonts w:ascii="Times New Roman" w:hAnsi="Times New Roman"/>
          <w:highlight w:val="lightGray"/>
        </w:rPr>
        <w:t>10 flakonų</w:t>
      </w:r>
    </w:p>
    <w:p w14:paraId="3EE022CC" w14:textId="77777777" w:rsidR="00B61C0F" w:rsidRPr="00111A39" w:rsidRDefault="00B61C0F" w:rsidP="00B61C0F">
      <w:pPr>
        <w:spacing w:after="0" w:line="240" w:lineRule="auto"/>
        <w:rPr>
          <w:rFonts w:ascii="Times New Roman" w:hAnsi="Times New Roman"/>
        </w:rPr>
      </w:pPr>
    </w:p>
    <w:p w14:paraId="37A3CC2B" w14:textId="77777777" w:rsidR="00B61C0F" w:rsidRPr="00F95B76" w:rsidRDefault="00B61C0F" w:rsidP="00B61C0F">
      <w:pPr>
        <w:spacing w:after="0" w:line="240" w:lineRule="auto"/>
        <w:rPr>
          <w:rFonts w:ascii="Times New Roman" w:hAnsi="Times New Roman"/>
        </w:rPr>
      </w:pPr>
    </w:p>
    <w:p w14:paraId="21DC6238" w14:textId="77777777" w:rsidR="00B61C0F" w:rsidRPr="001F2C46" w:rsidRDefault="00B61C0F" w:rsidP="00B61C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F2C46">
        <w:rPr>
          <w:rFonts w:ascii="Times New Roman" w:hAnsi="Times New Roman"/>
          <w:b/>
        </w:rPr>
        <w:t>5.</w:t>
      </w:r>
      <w:r w:rsidRPr="001F2C46">
        <w:rPr>
          <w:rFonts w:ascii="Times New Roman" w:hAnsi="Times New Roman"/>
          <w:b/>
        </w:rPr>
        <w:tab/>
        <w:t>VARTOJIMO METODAS IR BŪDAS (-AI)</w:t>
      </w:r>
    </w:p>
    <w:p w14:paraId="1EB0B498" w14:textId="77777777" w:rsidR="00B61C0F" w:rsidRPr="00427D92" w:rsidRDefault="00B61C0F" w:rsidP="00B61C0F">
      <w:pPr>
        <w:spacing w:after="0" w:line="240" w:lineRule="auto"/>
        <w:rPr>
          <w:rFonts w:ascii="Times New Roman" w:hAnsi="Times New Roman"/>
        </w:rPr>
      </w:pPr>
    </w:p>
    <w:p w14:paraId="7C0CF22C" w14:textId="63D2F580" w:rsidR="00B61C0F" w:rsidRPr="004E3CD5" w:rsidRDefault="00083798" w:rsidP="00B61C0F">
      <w:pPr>
        <w:spacing w:after="0" w:line="240" w:lineRule="auto"/>
        <w:rPr>
          <w:rFonts w:ascii="Times New Roman" w:eastAsiaTheme="minorEastAsia" w:hAnsi="Times New Roman"/>
          <w:lang w:eastAsia="zh-TW"/>
        </w:rPr>
      </w:pPr>
      <w:r w:rsidRPr="004E3CD5">
        <w:rPr>
          <w:rFonts w:ascii="Times New Roman" w:hAnsi="Times New Roman"/>
        </w:rPr>
        <w:t xml:space="preserve">Prieš vartojimą </w:t>
      </w:r>
      <w:r w:rsidR="007724E7">
        <w:rPr>
          <w:rFonts w:ascii="Times New Roman" w:hAnsi="Times New Roman"/>
        </w:rPr>
        <w:t>PRIVALOMA</w:t>
      </w:r>
      <w:r w:rsidR="007724E7" w:rsidRPr="004E3CD5">
        <w:rPr>
          <w:rFonts w:ascii="Times New Roman" w:hAnsi="Times New Roman"/>
        </w:rPr>
        <w:t xml:space="preserve"> </w:t>
      </w:r>
      <w:r w:rsidRPr="004E3CD5">
        <w:rPr>
          <w:rFonts w:ascii="Times New Roman" w:hAnsi="Times New Roman"/>
        </w:rPr>
        <w:t>praskiesti.</w:t>
      </w:r>
    </w:p>
    <w:p w14:paraId="17B382B7" w14:textId="77777777" w:rsidR="00B61C0F" w:rsidRPr="00111A39" w:rsidRDefault="00B61C0F" w:rsidP="00B61C0F">
      <w:pPr>
        <w:spacing w:after="0" w:line="240" w:lineRule="auto"/>
        <w:rPr>
          <w:rFonts w:ascii="Times New Roman" w:eastAsia="Times New Roman" w:hAnsi="Times New Roman" w:cs="Times New Roman"/>
          <w:b/>
        </w:rPr>
      </w:pPr>
      <w:r w:rsidRPr="00B61C0F">
        <w:rPr>
          <w:rFonts w:ascii="Times New Roman" w:eastAsia="Times New Roman" w:hAnsi="Times New Roman" w:cs="Times New Roman"/>
        </w:rPr>
        <w:t>Flakonai gali būti vartojami kartotinai.</w:t>
      </w:r>
    </w:p>
    <w:p w14:paraId="5CAA5C5A" w14:textId="77777777" w:rsidR="00B61C0F" w:rsidRPr="001F2C46" w:rsidRDefault="00B61C0F" w:rsidP="00B61C0F">
      <w:pPr>
        <w:spacing w:after="0" w:line="240" w:lineRule="auto"/>
        <w:rPr>
          <w:rFonts w:ascii="Times New Roman" w:hAnsi="Times New Roman"/>
        </w:rPr>
      </w:pPr>
      <w:bookmarkStart w:id="77" w:name="_Hlk144816380"/>
      <w:r w:rsidRPr="00F95B76">
        <w:rPr>
          <w:rFonts w:ascii="Times New Roman" w:hAnsi="Times New Roman"/>
        </w:rPr>
        <w:t xml:space="preserve">Prieš </w:t>
      </w:r>
      <w:r w:rsidRPr="001F2C46">
        <w:rPr>
          <w:rFonts w:ascii="Times New Roman" w:hAnsi="Times New Roman"/>
        </w:rPr>
        <w:t>vartojimą perskaitykite pakuotės lapelį.</w:t>
      </w:r>
    </w:p>
    <w:bookmarkEnd w:id="77"/>
    <w:p w14:paraId="0EA5D98A" w14:textId="77777777" w:rsidR="00B61C0F" w:rsidRPr="00427D92" w:rsidRDefault="00B61C0F" w:rsidP="00B61C0F">
      <w:pPr>
        <w:spacing w:after="0" w:line="240" w:lineRule="auto"/>
        <w:rPr>
          <w:rFonts w:ascii="Times New Roman" w:hAnsi="Times New Roman"/>
        </w:rPr>
      </w:pPr>
      <w:r w:rsidRPr="00427D92">
        <w:rPr>
          <w:rFonts w:ascii="Times New Roman" w:hAnsi="Times New Roman"/>
        </w:rPr>
        <w:t>Leisti į veną.</w:t>
      </w:r>
    </w:p>
    <w:p w14:paraId="0B974BBE" w14:textId="77777777" w:rsidR="00B61C0F" w:rsidRPr="004E3CD5" w:rsidRDefault="00B61C0F" w:rsidP="00B61C0F">
      <w:pPr>
        <w:spacing w:after="0" w:line="240" w:lineRule="auto"/>
        <w:rPr>
          <w:rFonts w:ascii="Times New Roman" w:eastAsiaTheme="minorEastAsia" w:hAnsi="Times New Roman"/>
          <w:lang w:eastAsia="zh-TW"/>
        </w:rPr>
      </w:pPr>
    </w:p>
    <w:p w14:paraId="46416BE0" w14:textId="77777777" w:rsidR="00D875C0" w:rsidRPr="007C1A06" w:rsidRDefault="00D875C0" w:rsidP="00D875C0">
      <w:pPr>
        <w:spacing w:after="0" w:line="240" w:lineRule="auto"/>
        <w:rPr>
          <w:rFonts w:ascii="Times New Roman" w:hAnsi="Times New Roman"/>
        </w:rPr>
      </w:pPr>
    </w:p>
    <w:p w14:paraId="56D43E86"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heme="minorEastAsia" w:hAnsi="Times New Roman"/>
          <w:b/>
          <w:lang w:eastAsia="zh-TW"/>
        </w:rPr>
      </w:pPr>
      <w:r w:rsidRPr="007C1A06">
        <w:rPr>
          <w:rFonts w:ascii="Times New Roman" w:hAnsi="Times New Roman"/>
          <w:b/>
        </w:rPr>
        <w:t>6.</w:t>
      </w:r>
      <w:r w:rsidRPr="007C1A06">
        <w:rPr>
          <w:rFonts w:ascii="Times New Roman" w:hAnsi="Times New Roman"/>
          <w:b/>
        </w:rPr>
        <w:tab/>
        <w:t>SPECIALUS ĮSPĖJIMAS, KAD VAISTINĮ PREPARATĄ BŪTINA LAIKYTI VAIKAMS NEPASTEBIMOJE IR NEPASIEKIAMOJE VIETOJE</w:t>
      </w:r>
    </w:p>
    <w:p w14:paraId="276F85D4" w14:textId="77777777" w:rsidR="00D875C0" w:rsidRPr="007C1A06" w:rsidRDefault="00D875C0" w:rsidP="00D875C0">
      <w:pPr>
        <w:spacing w:after="0" w:line="240" w:lineRule="auto"/>
        <w:rPr>
          <w:rFonts w:ascii="Times New Roman" w:hAnsi="Times New Roman"/>
        </w:rPr>
      </w:pPr>
    </w:p>
    <w:p w14:paraId="7C6DE61C"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Laikyti vaikams nepastebimoje ir nepasiekiamoje vietoje.</w:t>
      </w:r>
    </w:p>
    <w:p w14:paraId="1F21C70C" w14:textId="77777777" w:rsidR="00D875C0" w:rsidRPr="007C1A06" w:rsidRDefault="00D875C0" w:rsidP="00D875C0">
      <w:pPr>
        <w:spacing w:after="0" w:line="240" w:lineRule="auto"/>
        <w:rPr>
          <w:rFonts w:ascii="Times New Roman" w:hAnsi="Times New Roman"/>
        </w:rPr>
      </w:pPr>
    </w:p>
    <w:p w14:paraId="6DDDC909" w14:textId="77777777" w:rsidR="00D875C0" w:rsidRPr="007C1A06" w:rsidRDefault="00D875C0" w:rsidP="00D875C0">
      <w:pPr>
        <w:spacing w:after="0" w:line="240" w:lineRule="auto"/>
        <w:rPr>
          <w:rFonts w:ascii="Times New Roman" w:hAnsi="Times New Roman"/>
        </w:rPr>
      </w:pPr>
    </w:p>
    <w:p w14:paraId="70764884"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7.</w:t>
      </w:r>
      <w:r w:rsidRPr="007C1A06">
        <w:rPr>
          <w:rFonts w:ascii="Times New Roman" w:hAnsi="Times New Roman"/>
          <w:b/>
        </w:rPr>
        <w:tab/>
        <w:t>KITAS (-I) SPECIALUS (-ŪS) ĮSPĖJIMAS (-AI) (JEI REIKIA)</w:t>
      </w:r>
    </w:p>
    <w:p w14:paraId="04C8DFAD" w14:textId="77777777" w:rsidR="00D875C0" w:rsidRPr="007C1A06" w:rsidRDefault="00D875C0" w:rsidP="00D875C0">
      <w:pPr>
        <w:spacing w:after="0" w:line="240" w:lineRule="auto"/>
        <w:rPr>
          <w:rFonts w:ascii="Times New Roman" w:hAnsi="Times New Roman"/>
        </w:rPr>
      </w:pPr>
    </w:p>
    <w:p w14:paraId="29399CBB" w14:textId="77777777" w:rsidR="00D875C0" w:rsidRPr="007C1A06" w:rsidRDefault="00D875C0" w:rsidP="00D875C0">
      <w:pPr>
        <w:spacing w:after="0" w:line="240" w:lineRule="auto"/>
        <w:rPr>
          <w:rFonts w:ascii="Times New Roman" w:eastAsia="Times New Roman" w:hAnsi="Times New Roman" w:cs="Times New Roman"/>
        </w:rPr>
      </w:pPr>
      <w:r w:rsidRPr="007C1A06">
        <w:rPr>
          <w:rFonts w:ascii="Times New Roman" w:hAnsi="Times New Roman"/>
        </w:rPr>
        <w:t xml:space="preserve">Citotoksinis </w:t>
      </w:r>
      <w:r w:rsidR="003D5669" w:rsidRPr="007C1A06">
        <w:rPr>
          <w:rFonts w:ascii="Times New Roman" w:hAnsi="Times New Roman"/>
        </w:rPr>
        <w:t>vaistas</w:t>
      </w:r>
      <w:r w:rsidR="00B61C0F">
        <w:rPr>
          <w:rFonts w:ascii="Times New Roman" w:eastAsia="Times New Roman" w:hAnsi="Times New Roman" w:cs="Times New Roman"/>
        </w:rPr>
        <w:t>.</w:t>
      </w:r>
    </w:p>
    <w:p w14:paraId="223E8435" w14:textId="77777777" w:rsidR="00D875C0" w:rsidRPr="00F95B76" w:rsidRDefault="00D875C0" w:rsidP="00D875C0">
      <w:pPr>
        <w:spacing w:after="0" w:line="240" w:lineRule="auto"/>
        <w:rPr>
          <w:rFonts w:ascii="Times New Roman" w:hAnsi="Times New Roman"/>
        </w:rPr>
      </w:pPr>
    </w:p>
    <w:p w14:paraId="5362A9AA" w14:textId="77777777" w:rsidR="00D875C0" w:rsidRPr="001F2C46" w:rsidRDefault="00D875C0" w:rsidP="00D875C0">
      <w:pPr>
        <w:spacing w:after="0" w:line="240" w:lineRule="auto"/>
        <w:rPr>
          <w:rFonts w:ascii="Times New Roman" w:hAnsi="Times New Roman"/>
        </w:rPr>
      </w:pPr>
    </w:p>
    <w:p w14:paraId="0B13B262" w14:textId="77777777" w:rsidR="00D875C0" w:rsidRPr="00427D92"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27D92">
        <w:rPr>
          <w:rFonts w:ascii="Times New Roman" w:hAnsi="Times New Roman"/>
          <w:b/>
        </w:rPr>
        <w:t>8.</w:t>
      </w:r>
      <w:r w:rsidRPr="00427D92">
        <w:rPr>
          <w:rFonts w:ascii="Times New Roman" w:hAnsi="Times New Roman"/>
          <w:b/>
        </w:rPr>
        <w:tab/>
        <w:t>TINKAMUMO LAIKAS</w:t>
      </w:r>
    </w:p>
    <w:p w14:paraId="0DAF01FE" w14:textId="77777777" w:rsidR="00D875C0" w:rsidRPr="00C722B4" w:rsidRDefault="00D875C0" w:rsidP="00D875C0">
      <w:pPr>
        <w:spacing w:after="0" w:line="240" w:lineRule="auto"/>
        <w:rPr>
          <w:rFonts w:ascii="Times New Roman" w:hAnsi="Times New Roman"/>
        </w:rPr>
      </w:pPr>
    </w:p>
    <w:p w14:paraId="0DEC1D15" w14:textId="77777777" w:rsidR="00D875C0" w:rsidRPr="004E3CD5" w:rsidRDefault="00B14832"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EXP</w:t>
      </w:r>
      <w:r w:rsidR="00D875C0" w:rsidRPr="007C1A06">
        <w:rPr>
          <w:rFonts w:ascii="Times New Roman" w:hAnsi="Times New Roman"/>
        </w:rPr>
        <w:t xml:space="preserve"> {</w:t>
      </w:r>
      <w:r w:rsidR="00E414F5" w:rsidRPr="007C1A06">
        <w:rPr>
          <w:rFonts w:ascii="Times New Roman" w:hAnsi="Times New Roman"/>
        </w:rPr>
        <w:t xml:space="preserve">mm </w:t>
      </w:r>
      <w:r w:rsidR="00D875C0" w:rsidRPr="007C1A06">
        <w:rPr>
          <w:rFonts w:ascii="Times New Roman" w:hAnsi="Times New Roman"/>
        </w:rPr>
        <w:t>MMMM}</w:t>
      </w:r>
    </w:p>
    <w:p w14:paraId="36245DC2" w14:textId="77777777" w:rsidR="00B61C0F" w:rsidRDefault="00B61C0F" w:rsidP="00B61C0F">
      <w:pPr>
        <w:spacing w:after="0" w:line="240" w:lineRule="auto"/>
        <w:rPr>
          <w:rFonts w:ascii="Times New Roman" w:eastAsia="Times New Roman" w:hAnsi="Times New Roman" w:cs="Times New Roman"/>
        </w:rPr>
      </w:pPr>
      <w:r w:rsidRPr="00B61C0F">
        <w:rPr>
          <w:rFonts w:ascii="Times New Roman" w:eastAsia="Times New Roman" w:hAnsi="Times New Roman" w:cs="Times New Roman"/>
        </w:rPr>
        <w:t>Tinkamumo laikas po pirmojo atidarymo:</w:t>
      </w:r>
    </w:p>
    <w:p w14:paraId="2C2DBEFC" w14:textId="77777777" w:rsidR="00B61C0F" w:rsidRPr="001F2C46" w:rsidRDefault="00B61C0F" w:rsidP="00B61C0F">
      <w:pPr>
        <w:spacing w:after="0" w:line="240" w:lineRule="auto"/>
        <w:rPr>
          <w:rFonts w:ascii="Times New Roman" w:hAnsi="Times New Roman"/>
        </w:rPr>
      </w:pPr>
      <w:r w:rsidRPr="00F95B76">
        <w:rPr>
          <w:rFonts w:ascii="Times New Roman" w:hAnsi="Times New Roman"/>
        </w:rPr>
        <w:t>Pirmą kartą atidarius</w:t>
      </w:r>
      <w:r w:rsidR="00586D22">
        <w:rPr>
          <w:rFonts w:ascii="Times New Roman" w:eastAsia="Times New Roman" w:hAnsi="Times New Roman" w:cs="Times New Roman"/>
        </w:rPr>
        <w:t xml:space="preserve"> </w:t>
      </w:r>
      <w:r w:rsidRPr="00B61C0F">
        <w:rPr>
          <w:rFonts w:ascii="Times New Roman" w:eastAsia="Times New Roman" w:hAnsi="Times New Roman" w:cs="Times New Roman"/>
        </w:rPr>
        <w:t>vaisto turi būti vartojama ne ilgi</w:t>
      </w:r>
      <w:r>
        <w:rPr>
          <w:rFonts w:ascii="Times New Roman" w:eastAsia="Times New Roman" w:hAnsi="Times New Roman" w:cs="Times New Roman"/>
        </w:rPr>
        <w:t>au kaip</w:t>
      </w:r>
      <w:r w:rsidRPr="00F95B76">
        <w:rPr>
          <w:rFonts w:ascii="Times New Roman" w:hAnsi="Times New Roman"/>
        </w:rPr>
        <w:t xml:space="preserve"> 28</w:t>
      </w:r>
      <w:r>
        <w:rPr>
          <w:rFonts w:ascii="Times New Roman" w:eastAsia="Times New Roman" w:hAnsi="Times New Roman" w:cs="Times New Roman"/>
        </w:rPr>
        <w:t> </w:t>
      </w:r>
      <w:r w:rsidRPr="00B61C0F">
        <w:rPr>
          <w:rFonts w:ascii="Times New Roman" w:eastAsia="Times New Roman" w:hAnsi="Times New Roman" w:cs="Times New Roman"/>
        </w:rPr>
        <w:t>paras</w:t>
      </w:r>
      <w:r w:rsidRPr="00F95B76">
        <w:rPr>
          <w:rFonts w:ascii="Times New Roman" w:hAnsi="Times New Roman"/>
        </w:rPr>
        <w:t>.</w:t>
      </w:r>
    </w:p>
    <w:p w14:paraId="72048569" w14:textId="77777777" w:rsidR="00B61C0F" w:rsidRPr="00C722B4" w:rsidRDefault="00B61C0F" w:rsidP="00B61C0F">
      <w:pPr>
        <w:spacing w:after="0" w:line="240" w:lineRule="auto"/>
        <w:rPr>
          <w:rFonts w:ascii="Times New Roman" w:hAnsi="Times New Roman"/>
        </w:rPr>
      </w:pPr>
    </w:p>
    <w:p w14:paraId="327F125E" w14:textId="77777777" w:rsidR="00B61C0F" w:rsidRPr="004E3CD5" w:rsidRDefault="00B61C0F" w:rsidP="00B61C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111A39">
        <w:rPr>
          <w:rFonts w:ascii="Times New Roman" w:hAnsi="Times New Roman"/>
          <w:b/>
        </w:rPr>
        <w:t>9.</w:t>
      </w:r>
      <w:r w:rsidRPr="00111A39">
        <w:rPr>
          <w:rFonts w:ascii="Times New Roman" w:hAnsi="Times New Roman"/>
          <w:b/>
        </w:rPr>
        <w:tab/>
        <w:t>SPECIALIOS LAIKYMO SĄLYGOS</w:t>
      </w:r>
    </w:p>
    <w:p w14:paraId="4FF0787D" w14:textId="77777777" w:rsidR="00B61C0F" w:rsidRPr="00111A39" w:rsidRDefault="00B61C0F" w:rsidP="00B61C0F">
      <w:pPr>
        <w:spacing w:after="0" w:line="240" w:lineRule="auto"/>
        <w:rPr>
          <w:rFonts w:ascii="Times New Roman" w:hAnsi="Times New Roman"/>
        </w:rPr>
      </w:pPr>
    </w:p>
    <w:p w14:paraId="574B332B" w14:textId="77777777" w:rsidR="00B61C0F" w:rsidRPr="004E3CD5" w:rsidRDefault="00B61C0F" w:rsidP="00B61C0F">
      <w:pPr>
        <w:spacing w:after="0" w:line="240" w:lineRule="auto"/>
        <w:rPr>
          <w:rFonts w:ascii="Times New Roman" w:eastAsiaTheme="minorEastAsia" w:hAnsi="Times New Roman"/>
          <w:lang w:eastAsia="zh-TW"/>
        </w:rPr>
      </w:pPr>
      <w:r w:rsidRPr="00111A39">
        <w:rPr>
          <w:rFonts w:ascii="Times New Roman" w:hAnsi="Times New Roman"/>
        </w:rPr>
        <w:t>Laikyti ne aukštesnėje kaip 25</w:t>
      </w:r>
      <w:r>
        <w:rPr>
          <w:rFonts w:ascii="Times New Roman" w:hAnsi="Times New Roman"/>
        </w:rPr>
        <w:t> </w:t>
      </w:r>
      <w:r w:rsidRPr="00111A39">
        <w:rPr>
          <w:rFonts w:ascii="Times New Roman" w:hAnsi="Times New Roman"/>
        </w:rPr>
        <w:t>°C temperatūroje.</w:t>
      </w:r>
    </w:p>
    <w:p w14:paraId="7AF6D7B4" w14:textId="77777777" w:rsidR="00B61C0F" w:rsidRPr="004E3CD5" w:rsidRDefault="00B61C0F" w:rsidP="00B61C0F">
      <w:pPr>
        <w:spacing w:after="0" w:line="240" w:lineRule="auto"/>
        <w:rPr>
          <w:rFonts w:ascii="Times New Roman" w:eastAsiaTheme="minorEastAsia" w:hAnsi="Times New Roman"/>
          <w:lang w:eastAsia="zh-TW"/>
        </w:rPr>
      </w:pPr>
      <w:r w:rsidRPr="00111A39">
        <w:rPr>
          <w:rFonts w:ascii="Times New Roman" w:hAnsi="Times New Roman"/>
        </w:rPr>
        <w:t>Negalima užšaldyti.</w:t>
      </w:r>
    </w:p>
    <w:p w14:paraId="6ABE017C" w14:textId="77777777" w:rsidR="00B61C0F" w:rsidRPr="004E3CD5" w:rsidRDefault="00B61C0F" w:rsidP="00B61C0F">
      <w:pPr>
        <w:spacing w:after="0" w:line="240" w:lineRule="auto"/>
        <w:rPr>
          <w:rFonts w:ascii="Times New Roman" w:eastAsiaTheme="minorEastAsia" w:hAnsi="Times New Roman"/>
          <w:lang w:eastAsia="zh-TW"/>
        </w:rPr>
      </w:pPr>
      <w:r w:rsidRPr="00111A39">
        <w:rPr>
          <w:rFonts w:ascii="Times New Roman" w:hAnsi="Times New Roman"/>
        </w:rPr>
        <w:t>Praskiesto vaist</w:t>
      </w:r>
      <w:r>
        <w:rPr>
          <w:rFonts w:ascii="Times New Roman" w:hAnsi="Times New Roman"/>
        </w:rPr>
        <w:t>o</w:t>
      </w:r>
      <w:r w:rsidRPr="00111A39">
        <w:rPr>
          <w:rFonts w:ascii="Times New Roman" w:hAnsi="Times New Roman"/>
        </w:rPr>
        <w:t xml:space="preserve"> laikymo sąlygos nurodytos pakuotės lapelyje.</w:t>
      </w:r>
    </w:p>
    <w:p w14:paraId="164BDDDF" w14:textId="77777777" w:rsidR="00B61C0F" w:rsidRPr="004E3CD5" w:rsidRDefault="00B61C0F" w:rsidP="00B61C0F">
      <w:pPr>
        <w:spacing w:after="0" w:line="240" w:lineRule="auto"/>
        <w:rPr>
          <w:rFonts w:ascii="Times New Roman" w:eastAsiaTheme="minorEastAsia" w:hAnsi="Times New Roman"/>
          <w:lang w:eastAsia="zh-TW"/>
        </w:rPr>
      </w:pPr>
      <w:r w:rsidRPr="00111A39">
        <w:rPr>
          <w:rFonts w:ascii="Times New Roman" w:hAnsi="Times New Roman"/>
        </w:rPr>
        <w:t xml:space="preserve">Flakoną laikyti išorinėje dėžutėje, kad </w:t>
      </w:r>
      <w:r>
        <w:rPr>
          <w:rFonts w:ascii="Times New Roman" w:hAnsi="Times New Roman"/>
        </w:rPr>
        <w:t>vaistas</w:t>
      </w:r>
      <w:r w:rsidRPr="00111A39">
        <w:rPr>
          <w:rFonts w:ascii="Times New Roman" w:hAnsi="Times New Roman"/>
        </w:rPr>
        <w:t xml:space="preserve"> būtų apsaugotas nuo šviesos.</w:t>
      </w:r>
    </w:p>
    <w:p w14:paraId="778B7618" w14:textId="77777777" w:rsidR="00B61C0F" w:rsidRPr="00111A39" w:rsidRDefault="00B61C0F" w:rsidP="00B61C0F">
      <w:pPr>
        <w:spacing w:after="0" w:line="240" w:lineRule="auto"/>
        <w:rPr>
          <w:rFonts w:ascii="Times New Roman" w:hAnsi="Times New Roman"/>
        </w:rPr>
      </w:pPr>
    </w:p>
    <w:p w14:paraId="3C3E7EDD" w14:textId="77777777" w:rsidR="00B61C0F" w:rsidRPr="00111A39" w:rsidRDefault="00B61C0F" w:rsidP="00B61C0F">
      <w:pPr>
        <w:spacing w:after="0" w:line="240" w:lineRule="auto"/>
        <w:rPr>
          <w:rFonts w:ascii="Times New Roman" w:hAnsi="Times New Roman"/>
        </w:rPr>
      </w:pPr>
    </w:p>
    <w:p w14:paraId="4495BFC6" w14:textId="77777777" w:rsidR="00B61C0F" w:rsidRPr="004E3CD5" w:rsidRDefault="00B61C0F" w:rsidP="00B61C0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heme="minorEastAsia" w:hAnsi="Times New Roman"/>
          <w:b/>
          <w:lang w:eastAsia="zh-TW"/>
        </w:rPr>
      </w:pPr>
      <w:r w:rsidRPr="00111A39">
        <w:rPr>
          <w:rFonts w:ascii="Times New Roman" w:hAnsi="Times New Roman"/>
          <w:b/>
        </w:rPr>
        <w:t>10.</w:t>
      </w:r>
      <w:r w:rsidRPr="00111A39">
        <w:rPr>
          <w:rFonts w:ascii="Times New Roman" w:hAnsi="Times New Roman"/>
          <w:b/>
        </w:rPr>
        <w:tab/>
        <w:t>SPECIALIOS ATSARGUMO PRIEMONĖS DĖL NESUVARTOTO VAISTINIO PREPARATO AR JO ATLIEKŲ TVARKYMO (JEI REIKIA)</w:t>
      </w:r>
    </w:p>
    <w:p w14:paraId="3FEAE074" w14:textId="77777777" w:rsidR="00B61C0F" w:rsidRPr="00111A39" w:rsidRDefault="00B61C0F" w:rsidP="00B61C0F">
      <w:pPr>
        <w:spacing w:after="0" w:line="240" w:lineRule="auto"/>
        <w:rPr>
          <w:rFonts w:ascii="Times New Roman" w:hAnsi="Times New Roman"/>
        </w:rPr>
      </w:pPr>
    </w:p>
    <w:p w14:paraId="30B18D98" w14:textId="77777777" w:rsidR="00B61C0F" w:rsidRPr="00F95B76" w:rsidRDefault="00B61C0F" w:rsidP="00B61C0F">
      <w:pPr>
        <w:spacing w:after="0" w:line="240" w:lineRule="auto"/>
        <w:rPr>
          <w:rFonts w:ascii="Times New Roman" w:hAnsi="Times New Roman"/>
        </w:rPr>
      </w:pPr>
    </w:p>
    <w:p w14:paraId="2691D6B0" w14:textId="77777777" w:rsidR="00D875C0" w:rsidRPr="001F2C46" w:rsidRDefault="00D875C0" w:rsidP="00D875C0">
      <w:pPr>
        <w:spacing w:after="0" w:line="240" w:lineRule="auto"/>
        <w:rPr>
          <w:rFonts w:ascii="Times New Roman" w:hAnsi="Times New Roman"/>
        </w:rPr>
      </w:pPr>
    </w:p>
    <w:p w14:paraId="43E5E8F1" w14:textId="77777777" w:rsidR="00D875C0" w:rsidRPr="00427D92"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27D92">
        <w:rPr>
          <w:rFonts w:ascii="Times New Roman" w:hAnsi="Times New Roman"/>
          <w:b/>
        </w:rPr>
        <w:t>11.</w:t>
      </w:r>
      <w:r w:rsidRPr="00427D92">
        <w:rPr>
          <w:rFonts w:ascii="Times New Roman" w:hAnsi="Times New Roman"/>
          <w:b/>
        </w:rPr>
        <w:tab/>
        <w:t>REGISTRUOTOJO PAVADINIMAS IR ADRESAS</w:t>
      </w:r>
    </w:p>
    <w:p w14:paraId="66263892" w14:textId="77777777" w:rsidR="00D875C0" w:rsidRPr="00C722B4" w:rsidRDefault="00D875C0" w:rsidP="00D875C0">
      <w:pPr>
        <w:spacing w:after="0" w:line="240" w:lineRule="auto"/>
        <w:rPr>
          <w:rFonts w:ascii="Times New Roman" w:hAnsi="Times New Roman"/>
        </w:rPr>
      </w:pPr>
    </w:p>
    <w:p w14:paraId="63551CC4"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Sandoz d.d.</w:t>
      </w:r>
    </w:p>
    <w:p w14:paraId="533D8257"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Verovškova 57</w:t>
      </w:r>
    </w:p>
    <w:p w14:paraId="79BE1619"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SI-1000 Ljubljana</w:t>
      </w:r>
    </w:p>
    <w:p w14:paraId="0C62BCC3"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Slovėnija</w:t>
      </w:r>
    </w:p>
    <w:p w14:paraId="42F04C19" w14:textId="77777777" w:rsidR="00D875C0" w:rsidRPr="007C1A06" w:rsidRDefault="00D875C0" w:rsidP="00D875C0">
      <w:pPr>
        <w:spacing w:after="0" w:line="240" w:lineRule="auto"/>
        <w:rPr>
          <w:rFonts w:ascii="Times New Roman" w:hAnsi="Times New Roman"/>
        </w:rPr>
      </w:pPr>
    </w:p>
    <w:p w14:paraId="17A42AF5" w14:textId="77777777" w:rsidR="00D875C0" w:rsidRPr="007C1A06" w:rsidRDefault="00D875C0" w:rsidP="00D875C0">
      <w:pPr>
        <w:spacing w:after="0" w:line="240" w:lineRule="auto"/>
        <w:rPr>
          <w:rFonts w:ascii="Times New Roman" w:hAnsi="Times New Roman"/>
        </w:rPr>
      </w:pPr>
    </w:p>
    <w:p w14:paraId="1010C49C"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12.</w:t>
      </w:r>
      <w:r w:rsidRPr="007C1A06">
        <w:rPr>
          <w:rFonts w:ascii="Times New Roman" w:hAnsi="Times New Roman"/>
          <w:b/>
        </w:rPr>
        <w:tab/>
        <w:t>REGISTRACIJOS PAŽYMĖJIMO NUMERIS (-IAI)</w:t>
      </w:r>
    </w:p>
    <w:p w14:paraId="6E5352B6" w14:textId="77777777" w:rsidR="00D875C0" w:rsidRPr="007C1A06" w:rsidRDefault="00D875C0" w:rsidP="00D875C0">
      <w:pPr>
        <w:spacing w:after="0" w:line="240" w:lineRule="auto"/>
        <w:rPr>
          <w:rFonts w:ascii="Times New Roman" w:hAnsi="Times New Roman"/>
        </w:rPr>
      </w:pPr>
    </w:p>
    <w:p w14:paraId="0D98F93F"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N1 - LT/1/10/1953/004 </w:t>
      </w:r>
    </w:p>
    <w:p w14:paraId="409E935E"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N5 - LT/1/10/1953/005 </w:t>
      </w:r>
    </w:p>
    <w:p w14:paraId="1E8860CE"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N10 - LT/1/10/1953/006 </w:t>
      </w:r>
    </w:p>
    <w:p w14:paraId="70F688A3" w14:textId="77777777" w:rsidR="00D875C0" w:rsidRPr="007C1A06" w:rsidRDefault="00D875C0" w:rsidP="00D875C0">
      <w:pPr>
        <w:spacing w:after="0" w:line="240" w:lineRule="auto"/>
        <w:rPr>
          <w:rFonts w:ascii="Times New Roman" w:hAnsi="Times New Roman"/>
        </w:rPr>
      </w:pPr>
    </w:p>
    <w:p w14:paraId="3CE4D232" w14:textId="77777777" w:rsidR="00D875C0" w:rsidRPr="007C1A06" w:rsidRDefault="00D875C0" w:rsidP="00D875C0">
      <w:pPr>
        <w:spacing w:after="0" w:line="240" w:lineRule="auto"/>
        <w:rPr>
          <w:rFonts w:ascii="Times New Roman" w:hAnsi="Times New Roman"/>
        </w:rPr>
      </w:pPr>
    </w:p>
    <w:p w14:paraId="3160A11B"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13.</w:t>
      </w:r>
      <w:r w:rsidRPr="007C1A06">
        <w:rPr>
          <w:rFonts w:ascii="Times New Roman" w:hAnsi="Times New Roman"/>
          <w:b/>
        </w:rPr>
        <w:tab/>
        <w:t>SERIJOS NUMERIS</w:t>
      </w:r>
    </w:p>
    <w:p w14:paraId="63115396" w14:textId="77777777" w:rsidR="00D875C0" w:rsidRPr="007C1A06" w:rsidRDefault="00D875C0" w:rsidP="00D875C0">
      <w:pPr>
        <w:spacing w:after="0" w:line="240" w:lineRule="auto"/>
        <w:rPr>
          <w:rFonts w:ascii="Times New Roman" w:hAnsi="Times New Roman"/>
        </w:rPr>
      </w:pPr>
    </w:p>
    <w:p w14:paraId="2AC085F9" w14:textId="77777777" w:rsidR="00D875C0" w:rsidRPr="004E3CD5" w:rsidRDefault="00B14832" w:rsidP="00D875C0">
      <w:pPr>
        <w:spacing w:after="0" w:line="240" w:lineRule="auto"/>
        <w:rPr>
          <w:rFonts w:ascii="Times New Roman" w:eastAsiaTheme="minorEastAsia" w:hAnsi="Times New Roman"/>
          <w:lang w:eastAsia="zh-TW"/>
        </w:rPr>
      </w:pPr>
      <w:r w:rsidRPr="007C1A06">
        <w:rPr>
          <w:rFonts w:ascii="Times New Roman" w:hAnsi="Times New Roman"/>
        </w:rPr>
        <w:t>Lot</w:t>
      </w:r>
    </w:p>
    <w:p w14:paraId="36E06B30" w14:textId="77777777" w:rsidR="00D875C0" w:rsidRPr="007C1A06" w:rsidRDefault="00D875C0" w:rsidP="00D875C0">
      <w:pPr>
        <w:spacing w:after="0" w:line="240" w:lineRule="auto"/>
        <w:rPr>
          <w:rFonts w:ascii="Times New Roman" w:hAnsi="Times New Roman"/>
        </w:rPr>
      </w:pPr>
    </w:p>
    <w:p w14:paraId="5A7CE016" w14:textId="77777777" w:rsidR="00D875C0" w:rsidRPr="007C1A06" w:rsidRDefault="00D875C0" w:rsidP="00D875C0">
      <w:pPr>
        <w:spacing w:after="0" w:line="240" w:lineRule="auto"/>
        <w:rPr>
          <w:rFonts w:ascii="Times New Roman" w:hAnsi="Times New Roman"/>
        </w:rPr>
      </w:pPr>
    </w:p>
    <w:p w14:paraId="03AD890F"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14.</w:t>
      </w:r>
      <w:r w:rsidRPr="007C1A06">
        <w:rPr>
          <w:rFonts w:ascii="Times New Roman" w:hAnsi="Times New Roman"/>
          <w:b/>
        </w:rPr>
        <w:tab/>
        <w:t>PARDAVIMO (IŠDAVIMO) TVARKA</w:t>
      </w:r>
    </w:p>
    <w:p w14:paraId="336FA87E" w14:textId="77777777" w:rsidR="00D875C0" w:rsidRPr="007C1A06" w:rsidRDefault="00D875C0" w:rsidP="00D875C0">
      <w:pPr>
        <w:spacing w:after="0" w:line="240" w:lineRule="auto"/>
        <w:rPr>
          <w:rFonts w:ascii="Times New Roman" w:hAnsi="Times New Roman"/>
        </w:rPr>
      </w:pPr>
    </w:p>
    <w:p w14:paraId="5D9FAB69"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Receptinis vaist</w:t>
      </w:r>
      <w:r w:rsidR="003D5669" w:rsidRPr="007C1A06">
        <w:rPr>
          <w:rFonts w:ascii="Times New Roman" w:hAnsi="Times New Roman"/>
        </w:rPr>
        <w:t>as</w:t>
      </w:r>
      <w:r w:rsidRPr="007C1A06">
        <w:rPr>
          <w:rFonts w:ascii="Times New Roman" w:hAnsi="Times New Roman"/>
        </w:rPr>
        <w:t>.</w:t>
      </w:r>
    </w:p>
    <w:p w14:paraId="517FB97A" w14:textId="77777777" w:rsidR="00D875C0" w:rsidRPr="007C1A06" w:rsidRDefault="00D875C0" w:rsidP="00D875C0">
      <w:pPr>
        <w:spacing w:after="0" w:line="240" w:lineRule="auto"/>
        <w:rPr>
          <w:rFonts w:ascii="Times New Roman" w:hAnsi="Times New Roman"/>
        </w:rPr>
      </w:pPr>
    </w:p>
    <w:p w14:paraId="2BFB7176" w14:textId="77777777" w:rsidR="00D875C0" w:rsidRPr="007C1A06" w:rsidRDefault="00D875C0" w:rsidP="00D875C0">
      <w:pPr>
        <w:spacing w:after="0" w:line="240" w:lineRule="auto"/>
        <w:rPr>
          <w:rFonts w:ascii="Times New Roman" w:hAnsi="Times New Roman"/>
        </w:rPr>
      </w:pPr>
    </w:p>
    <w:p w14:paraId="683C842C"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15.</w:t>
      </w:r>
      <w:r w:rsidRPr="007C1A06">
        <w:rPr>
          <w:rFonts w:ascii="Times New Roman" w:hAnsi="Times New Roman"/>
          <w:b/>
        </w:rPr>
        <w:tab/>
        <w:t>VARTOJIMO INSTRUKCIJA</w:t>
      </w:r>
    </w:p>
    <w:p w14:paraId="74A770AF" w14:textId="77777777" w:rsidR="00D875C0" w:rsidRPr="007C1A06" w:rsidRDefault="00D875C0" w:rsidP="00D875C0">
      <w:pPr>
        <w:spacing w:after="0" w:line="240" w:lineRule="auto"/>
        <w:rPr>
          <w:rFonts w:ascii="Times New Roman" w:hAnsi="Times New Roman"/>
        </w:rPr>
      </w:pPr>
    </w:p>
    <w:p w14:paraId="569AEE92" w14:textId="77777777" w:rsidR="00D875C0" w:rsidRPr="007C1A06" w:rsidRDefault="00D875C0" w:rsidP="00D875C0">
      <w:pPr>
        <w:spacing w:after="0" w:line="240" w:lineRule="auto"/>
        <w:rPr>
          <w:rFonts w:ascii="Times New Roman" w:hAnsi="Times New Roman"/>
        </w:rPr>
      </w:pPr>
    </w:p>
    <w:p w14:paraId="10BF40C4"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16.</w:t>
      </w:r>
      <w:r w:rsidRPr="007C1A06">
        <w:rPr>
          <w:rFonts w:ascii="Times New Roman" w:hAnsi="Times New Roman"/>
          <w:b/>
        </w:rPr>
        <w:tab/>
        <w:t>INFORMACIJA BRAILIO RAŠTU</w:t>
      </w:r>
    </w:p>
    <w:p w14:paraId="14245DFF" w14:textId="77777777" w:rsidR="00D875C0" w:rsidRPr="007C1A06" w:rsidRDefault="00D875C0" w:rsidP="00D875C0">
      <w:pPr>
        <w:spacing w:after="0" w:line="240" w:lineRule="auto"/>
        <w:rPr>
          <w:rFonts w:ascii="Times New Roman" w:hAnsi="Times New Roman"/>
        </w:rPr>
      </w:pPr>
    </w:p>
    <w:p w14:paraId="5236BB5B"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highlight w:val="lightGray"/>
        </w:rPr>
        <w:t>Priimtas pagrindimas informacijos Brailio raštu nepateikti.</w:t>
      </w:r>
    </w:p>
    <w:p w14:paraId="18BE62FC" w14:textId="77777777" w:rsidR="003D5669" w:rsidRPr="007C1A06" w:rsidRDefault="003D5669" w:rsidP="003D5669">
      <w:pPr>
        <w:tabs>
          <w:tab w:val="left" w:pos="567"/>
        </w:tabs>
        <w:spacing w:after="0" w:line="260" w:lineRule="exact"/>
        <w:rPr>
          <w:rFonts w:ascii="Times New Roman" w:hAnsi="Times New Roman"/>
          <w:shd w:val="clear" w:color="auto" w:fill="CCCCCC"/>
        </w:rPr>
      </w:pPr>
    </w:p>
    <w:p w14:paraId="5AE8179D" w14:textId="77777777" w:rsidR="003D5669" w:rsidRPr="00427D92" w:rsidRDefault="003D5669" w:rsidP="003D566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F95B76">
        <w:rPr>
          <w:rFonts w:ascii="Times New Roman" w:hAnsi="Times New Roman"/>
          <w:b/>
        </w:rPr>
        <w:t>17.</w:t>
      </w:r>
      <w:r w:rsidRPr="00F95B76">
        <w:rPr>
          <w:rFonts w:ascii="Times New Roman" w:hAnsi="Times New Roman"/>
          <w:b/>
        </w:rPr>
        <w:tab/>
      </w:r>
      <w:r w:rsidRPr="001F2C46">
        <w:rPr>
          <w:rFonts w:ascii="Times New Roman" w:hAnsi="Times New Roman"/>
          <w:b/>
        </w:rPr>
        <w:t>UNIKALUS IDENTIFIKATORIUS – 2D BRŪKŠNINIS KODAS</w:t>
      </w:r>
    </w:p>
    <w:p w14:paraId="14DED979" w14:textId="77777777" w:rsidR="003D5669" w:rsidRPr="00C722B4" w:rsidRDefault="003D5669" w:rsidP="003D5669">
      <w:pPr>
        <w:tabs>
          <w:tab w:val="left" w:pos="567"/>
        </w:tabs>
        <w:spacing w:after="0" w:line="260" w:lineRule="exact"/>
        <w:rPr>
          <w:rFonts w:ascii="Times New Roman" w:hAnsi="Times New Roman"/>
        </w:rPr>
      </w:pPr>
    </w:p>
    <w:p w14:paraId="4449BEF7" w14:textId="77777777" w:rsidR="003D5669" w:rsidRPr="004E3CD5" w:rsidRDefault="003D5669" w:rsidP="003D5669">
      <w:pPr>
        <w:tabs>
          <w:tab w:val="left" w:pos="567"/>
        </w:tabs>
        <w:spacing w:after="0" w:line="260" w:lineRule="exact"/>
        <w:rPr>
          <w:rFonts w:ascii="Times New Roman" w:eastAsiaTheme="minorEastAsia" w:hAnsi="Times New Roman"/>
          <w:shd w:val="clear" w:color="auto" w:fill="CCCCCC"/>
          <w:lang w:eastAsia="zh-TW"/>
        </w:rPr>
      </w:pPr>
      <w:r w:rsidRPr="007C1A06">
        <w:rPr>
          <w:rFonts w:ascii="Times New Roman" w:hAnsi="Times New Roman"/>
          <w:highlight w:val="lightGray"/>
        </w:rPr>
        <w:t>2D brūkšninis kodas su nurodytu unikaliu identifikatoriumi.</w:t>
      </w:r>
    </w:p>
    <w:p w14:paraId="5C2FD28F" w14:textId="77777777" w:rsidR="003D5669" w:rsidRPr="004E3CD5" w:rsidRDefault="003D5669" w:rsidP="003D5669">
      <w:pPr>
        <w:tabs>
          <w:tab w:val="left" w:pos="567"/>
        </w:tabs>
        <w:spacing w:after="0" w:line="260" w:lineRule="exact"/>
        <w:rPr>
          <w:rFonts w:ascii="Times New Roman" w:hAnsi="Times New Roman"/>
          <w:shd w:val="clear" w:color="auto" w:fill="CCCCCC"/>
        </w:rPr>
      </w:pPr>
    </w:p>
    <w:p w14:paraId="31ADA712" w14:textId="77777777" w:rsidR="003D5669" w:rsidRPr="007C1A06" w:rsidRDefault="003D5669" w:rsidP="003D5669">
      <w:pPr>
        <w:tabs>
          <w:tab w:val="left" w:pos="567"/>
        </w:tabs>
        <w:spacing w:after="0" w:line="260" w:lineRule="exact"/>
        <w:rPr>
          <w:rFonts w:ascii="Times New Roman" w:eastAsia="Times New Roman" w:hAnsi="Times New Roman" w:cs="Times New Roman"/>
          <w:snapToGrid w:val="0"/>
          <w:szCs w:val="20"/>
        </w:rPr>
      </w:pPr>
    </w:p>
    <w:p w14:paraId="6DEF1F53" w14:textId="77777777" w:rsidR="003D5669" w:rsidRPr="001F2C46" w:rsidRDefault="003D5669" w:rsidP="003D566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F95B76">
        <w:rPr>
          <w:rFonts w:ascii="Times New Roman" w:hAnsi="Times New Roman"/>
          <w:b/>
        </w:rPr>
        <w:t>18.</w:t>
      </w:r>
      <w:r w:rsidRPr="00F95B76">
        <w:rPr>
          <w:rFonts w:ascii="Times New Roman" w:hAnsi="Times New Roman"/>
          <w:b/>
        </w:rPr>
        <w:tab/>
        <w:t>UNIKALUS IDENTIFIKATORIUS – ŽMONĖMS SUPRANTAMI DUOMENYS</w:t>
      </w:r>
    </w:p>
    <w:p w14:paraId="09919F6D" w14:textId="77777777" w:rsidR="003D5669" w:rsidRPr="00427D92" w:rsidRDefault="003D5669" w:rsidP="003D5669">
      <w:pPr>
        <w:tabs>
          <w:tab w:val="left" w:pos="567"/>
        </w:tabs>
        <w:spacing w:after="0" w:line="260" w:lineRule="exact"/>
        <w:rPr>
          <w:rFonts w:ascii="Times New Roman" w:hAnsi="Times New Roman"/>
        </w:rPr>
      </w:pPr>
    </w:p>
    <w:p w14:paraId="329DDE35" w14:textId="77777777" w:rsidR="003D5669" w:rsidRPr="00C722B4" w:rsidRDefault="00083798" w:rsidP="003D5669">
      <w:pPr>
        <w:tabs>
          <w:tab w:val="left" w:pos="567"/>
        </w:tabs>
        <w:spacing w:after="0" w:line="260" w:lineRule="exact"/>
        <w:rPr>
          <w:rFonts w:ascii="Times New Roman" w:hAnsi="Times New Roman"/>
          <w:color w:val="008000"/>
        </w:rPr>
      </w:pPr>
      <w:r w:rsidRPr="00C722B4">
        <w:rPr>
          <w:rFonts w:ascii="Times New Roman" w:hAnsi="Times New Roman"/>
        </w:rPr>
        <w:t>PC: {numeris}</w:t>
      </w:r>
    </w:p>
    <w:p w14:paraId="6D626746" w14:textId="77777777" w:rsidR="003D5669" w:rsidRPr="004E3CD5" w:rsidRDefault="00083798" w:rsidP="003D5669">
      <w:pPr>
        <w:tabs>
          <w:tab w:val="left" w:pos="567"/>
        </w:tabs>
        <w:spacing w:after="0" w:line="260" w:lineRule="exact"/>
        <w:rPr>
          <w:rFonts w:ascii="Times New Roman" w:eastAsiaTheme="minorEastAsia" w:hAnsi="Times New Roman"/>
          <w:lang w:eastAsia="zh-TW"/>
        </w:rPr>
      </w:pPr>
      <w:r w:rsidRPr="00327F03">
        <w:rPr>
          <w:rFonts w:ascii="Times New Roman" w:hAnsi="Times New Roman"/>
        </w:rPr>
        <w:t>SN: {numeris}</w:t>
      </w:r>
    </w:p>
    <w:p w14:paraId="7320E854" w14:textId="77777777" w:rsidR="00D875C0" w:rsidRPr="004E3CD5" w:rsidRDefault="003D5669" w:rsidP="003D5669">
      <w:pPr>
        <w:spacing w:after="0" w:line="240" w:lineRule="auto"/>
        <w:rPr>
          <w:rFonts w:ascii="Times New Roman" w:eastAsiaTheme="minorEastAsia" w:hAnsi="Times New Roman"/>
          <w:lang w:eastAsia="zh-TW"/>
        </w:rPr>
      </w:pPr>
      <w:r w:rsidRPr="007C1A06">
        <w:rPr>
          <w:rFonts w:ascii="Times New Roman" w:hAnsi="Times New Roman"/>
          <w:highlight w:val="lightGray"/>
        </w:rPr>
        <w:t>NN: {numeris}</w:t>
      </w:r>
    </w:p>
    <w:p w14:paraId="507DE11D" w14:textId="77777777" w:rsidR="00D875C0" w:rsidRPr="00F95B76"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C1A06">
        <w:rPr>
          <w:rFonts w:ascii="Times New Roman" w:hAnsi="Times New Roman"/>
        </w:rPr>
        <w:br w:type="page"/>
      </w:r>
      <w:r w:rsidRPr="007C1A06">
        <w:rPr>
          <w:rFonts w:ascii="Times New Roman" w:hAnsi="Times New Roman"/>
          <w:b/>
        </w:rPr>
        <w:t xml:space="preserve">MINIMALI INFORMACIJA ANT MAŽŲ </w:t>
      </w:r>
      <w:r w:rsidRPr="007C1A06">
        <w:rPr>
          <w:rFonts w:ascii="Times New Roman" w:eastAsia="Times New Roman" w:hAnsi="Times New Roman" w:cs="Times New Roman"/>
          <w:b/>
        </w:rPr>
        <w:t>VIDINIŲ</w:t>
      </w:r>
      <w:r w:rsidR="000C43D3">
        <w:rPr>
          <w:rFonts w:ascii="Times New Roman" w:eastAsia="Times New Roman" w:hAnsi="Times New Roman" w:cs="Times New Roman"/>
          <w:b/>
        </w:rPr>
        <w:t xml:space="preserve"> </w:t>
      </w:r>
      <w:r w:rsidRPr="007C1A06">
        <w:rPr>
          <w:rFonts w:ascii="Times New Roman" w:eastAsia="Times New Roman" w:hAnsi="Times New Roman" w:cs="Times New Roman"/>
          <w:b/>
        </w:rPr>
        <w:t>PAKUOČIŲ</w:t>
      </w:r>
    </w:p>
    <w:p w14:paraId="08320675" w14:textId="77777777" w:rsidR="00D875C0" w:rsidRPr="001F2C46"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022E5FB8" w14:textId="77777777" w:rsidR="00D875C0" w:rsidRPr="000C43D3"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27D92">
        <w:rPr>
          <w:rFonts w:ascii="Times New Roman" w:hAnsi="Times New Roman"/>
          <w:b/>
        </w:rPr>
        <w:t>FLAKONO ETIKETĖ – 80</w:t>
      </w:r>
      <w:r w:rsidR="007D5071" w:rsidRPr="00427D92">
        <w:rPr>
          <w:rFonts w:ascii="Times New Roman" w:hAnsi="Times New Roman"/>
          <w:b/>
        </w:rPr>
        <w:t> </w:t>
      </w:r>
      <w:r w:rsidRPr="000C43D3">
        <w:rPr>
          <w:rFonts w:ascii="Times New Roman" w:hAnsi="Times New Roman"/>
          <w:b/>
        </w:rPr>
        <w:t>mg/8</w:t>
      </w:r>
      <w:r w:rsidR="007D5071" w:rsidRPr="000C43D3">
        <w:rPr>
          <w:rFonts w:ascii="Times New Roman" w:hAnsi="Times New Roman"/>
          <w:b/>
        </w:rPr>
        <w:t> </w:t>
      </w:r>
      <w:r w:rsidRPr="000C43D3">
        <w:rPr>
          <w:rFonts w:ascii="Times New Roman" w:hAnsi="Times New Roman"/>
          <w:b/>
        </w:rPr>
        <w:t xml:space="preserve">ml </w:t>
      </w:r>
    </w:p>
    <w:p w14:paraId="481AC593" w14:textId="77777777" w:rsidR="00D875C0" w:rsidRPr="00C722B4" w:rsidRDefault="00D875C0" w:rsidP="00D875C0">
      <w:pPr>
        <w:spacing w:after="0" w:line="240" w:lineRule="auto"/>
        <w:rPr>
          <w:rFonts w:ascii="Times New Roman" w:hAnsi="Times New Roman"/>
        </w:rPr>
      </w:pPr>
    </w:p>
    <w:p w14:paraId="461A66EE" w14:textId="77777777" w:rsidR="00D875C0" w:rsidRPr="007C1A06" w:rsidRDefault="00D875C0" w:rsidP="00D875C0">
      <w:pPr>
        <w:spacing w:after="0" w:line="240" w:lineRule="auto"/>
        <w:rPr>
          <w:rFonts w:ascii="Times New Roman" w:hAnsi="Times New Roman"/>
        </w:rPr>
      </w:pPr>
    </w:p>
    <w:p w14:paraId="7DEB90B9"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w:t>
      </w:r>
      <w:r w:rsidRPr="007C1A06">
        <w:rPr>
          <w:rFonts w:ascii="Times New Roman" w:hAnsi="Times New Roman"/>
          <w:b/>
        </w:rPr>
        <w:tab/>
        <w:t>VAISTINIO PREPARATO PAVADINIMAS IR VARTOJIMO BŪDAS (-AI)</w:t>
      </w:r>
    </w:p>
    <w:p w14:paraId="511C085C" w14:textId="77777777" w:rsidR="00D875C0" w:rsidRPr="007C1A06" w:rsidRDefault="00D875C0" w:rsidP="00D875C0">
      <w:pPr>
        <w:spacing w:after="0" w:line="240" w:lineRule="auto"/>
        <w:rPr>
          <w:rFonts w:ascii="Times New Roman" w:hAnsi="Times New Roman"/>
        </w:rPr>
      </w:pPr>
    </w:p>
    <w:p w14:paraId="3B7994B4"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Docetaxel Ebewe 10 mg/ml koncentratas infuziniam tirpalui</w:t>
      </w:r>
    </w:p>
    <w:p w14:paraId="424A8AB8" w14:textId="77777777" w:rsidR="00D875C0" w:rsidRPr="004E3CD5" w:rsidRDefault="00F373DC" w:rsidP="00D875C0">
      <w:pPr>
        <w:autoSpaceDE w:val="0"/>
        <w:autoSpaceDN w:val="0"/>
        <w:adjustRightInd w:val="0"/>
        <w:spacing w:after="0" w:line="240" w:lineRule="auto"/>
        <w:rPr>
          <w:rFonts w:ascii="Times New Roman" w:eastAsiaTheme="minorEastAsia" w:hAnsi="Times New Roman"/>
          <w:lang w:eastAsia="zh-TW"/>
        </w:rPr>
      </w:pPr>
      <w:r>
        <w:rPr>
          <w:rFonts w:ascii="Times New Roman" w:hAnsi="Times New Roman"/>
        </w:rPr>
        <w:t>d</w:t>
      </w:r>
      <w:r w:rsidR="00D875C0" w:rsidRPr="007C1A06">
        <w:rPr>
          <w:rFonts w:ascii="Times New Roman" w:hAnsi="Times New Roman"/>
        </w:rPr>
        <w:t>ocetakselis</w:t>
      </w:r>
    </w:p>
    <w:p w14:paraId="40B879B4" w14:textId="77777777" w:rsidR="00D875C0" w:rsidRPr="001F2C46" w:rsidRDefault="00B61C0F" w:rsidP="00D875C0">
      <w:pPr>
        <w:spacing w:after="0" w:line="240" w:lineRule="auto"/>
        <w:rPr>
          <w:rFonts w:ascii="Times New Roman" w:hAnsi="Times New Roman"/>
        </w:rPr>
      </w:pPr>
      <w:r>
        <w:rPr>
          <w:rFonts w:ascii="Times New Roman" w:eastAsia="Times New Roman" w:hAnsi="Times New Roman" w:cs="Times New Roman"/>
        </w:rPr>
        <w:t>Leisti į veną</w:t>
      </w:r>
      <w:r w:rsidRPr="00F95B76">
        <w:rPr>
          <w:rFonts w:ascii="Times New Roman" w:hAnsi="Times New Roman"/>
        </w:rPr>
        <w:t>.</w:t>
      </w:r>
    </w:p>
    <w:p w14:paraId="0021C576" w14:textId="77777777" w:rsidR="00D875C0" w:rsidRPr="00427D92" w:rsidRDefault="00D875C0" w:rsidP="00D875C0">
      <w:pPr>
        <w:spacing w:after="0" w:line="240" w:lineRule="auto"/>
        <w:rPr>
          <w:rFonts w:ascii="Times New Roman" w:hAnsi="Times New Roman"/>
        </w:rPr>
      </w:pPr>
    </w:p>
    <w:p w14:paraId="2AA0F5E4" w14:textId="77777777" w:rsidR="00D875C0" w:rsidRPr="00C722B4" w:rsidRDefault="00D875C0" w:rsidP="00D875C0">
      <w:pPr>
        <w:spacing w:after="0" w:line="240" w:lineRule="auto"/>
        <w:rPr>
          <w:rFonts w:ascii="Times New Roman" w:hAnsi="Times New Roman"/>
        </w:rPr>
      </w:pPr>
    </w:p>
    <w:p w14:paraId="7C06043E"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2.</w:t>
      </w:r>
      <w:r w:rsidRPr="007C1A06">
        <w:rPr>
          <w:rFonts w:ascii="Times New Roman" w:hAnsi="Times New Roman"/>
          <w:b/>
        </w:rPr>
        <w:tab/>
        <w:t>VARTOJIMO METODAS</w:t>
      </w:r>
    </w:p>
    <w:p w14:paraId="0DDDB3A4" w14:textId="77777777" w:rsidR="00D875C0" w:rsidRPr="007C1A06" w:rsidRDefault="00D875C0" w:rsidP="00D875C0">
      <w:pPr>
        <w:spacing w:after="0" w:line="240" w:lineRule="auto"/>
        <w:rPr>
          <w:rFonts w:ascii="Times New Roman" w:hAnsi="Times New Roman"/>
        </w:rPr>
      </w:pPr>
    </w:p>
    <w:p w14:paraId="0D414A76" w14:textId="2F21151B"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Prieš vartojimą </w:t>
      </w:r>
      <w:r w:rsidR="007724E7">
        <w:rPr>
          <w:rFonts w:ascii="Times New Roman" w:hAnsi="Times New Roman"/>
        </w:rPr>
        <w:t>PRIVALOMA</w:t>
      </w:r>
      <w:r w:rsidR="007724E7" w:rsidRPr="007C1A06">
        <w:rPr>
          <w:rFonts w:ascii="Times New Roman" w:hAnsi="Times New Roman"/>
        </w:rPr>
        <w:t xml:space="preserve"> </w:t>
      </w:r>
      <w:r w:rsidRPr="007C1A06">
        <w:rPr>
          <w:rFonts w:ascii="Times New Roman" w:hAnsi="Times New Roman"/>
        </w:rPr>
        <w:t>praskiesti.</w:t>
      </w:r>
    </w:p>
    <w:p w14:paraId="06FFB323" w14:textId="77777777" w:rsidR="007724E7" w:rsidRDefault="007724E7" w:rsidP="00D875C0">
      <w:pPr>
        <w:spacing w:after="0" w:line="240" w:lineRule="auto"/>
        <w:rPr>
          <w:rFonts w:ascii="Times New Roman" w:hAnsi="Times New Roman"/>
        </w:rPr>
      </w:pPr>
    </w:p>
    <w:p w14:paraId="49F9511D" w14:textId="77777777" w:rsidR="00D875C0" w:rsidRDefault="00D875C0" w:rsidP="00D875C0">
      <w:pPr>
        <w:spacing w:after="0" w:line="240" w:lineRule="auto"/>
        <w:rPr>
          <w:rFonts w:ascii="Times New Roman" w:hAnsi="Times New Roman"/>
        </w:rPr>
      </w:pPr>
    </w:p>
    <w:p w14:paraId="4B46ABB8" w14:textId="77777777" w:rsidR="007724E7" w:rsidRPr="007C1A06" w:rsidRDefault="007724E7" w:rsidP="00D875C0">
      <w:pPr>
        <w:spacing w:after="0" w:line="240" w:lineRule="auto"/>
        <w:rPr>
          <w:rFonts w:ascii="Times New Roman" w:hAnsi="Times New Roman"/>
        </w:rPr>
      </w:pPr>
    </w:p>
    <w:p w14:paraId="7CA9A823"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3.</w:t>
      </w:r>
      <w:r w:rsidRPr="007C1A06">
        <w:rPr>
          <w:rFonts w:ascii="Times New Roman" w:hAnsi="Times New Roman"/>
          <w:b/>
        </w:rPr>
        <w:tab/>
        <w:t>TINKAMUMO LAIKAS</w:t>
      </w:r>
    </w:p>
    <w:p w14:paraId="13A4486B" w14:textId="77777777" w:rsidR="00D875C0" w:rsidRPr="007C1A06" w:rsidRDefault="00D875C0" w:rsidP="00D875C0">
      <w:pPr>
        <w:spacing w:after="0" w:line="240" w:lineRule="auto"/>
        <w:rPr>
          <w:rFonts w:ascii="Times New Roman" w:hAnsi="Times New Roman"/>
        </w:rPr>
      </w:pPr>
    </w:p>
    <w:p w14:paraId="207AF489" w14:textId="77777777" w:rsidR="00B61C0F" w:rsidRPr="004E3CD5" w:rsidRDefault="00B61C0F" w:rsidP="00B61C0F">
      <w:pPr>
        <w:autoSpaceDE w:val="0"/>
        <w:autoSpaceDN w:val="0"/>
        <w:adjustRightInd w:val="0"/>
        <w:spacing w:after="0" w:line="240" w:lineRule="auto"/>
        <w:rPr>
          <w:rFonts w:ascii="Times New Roman" w:eastAsiaTheme="minorEastAsia" w:hAnsi="Times New Roman"/>
          <w:lang w:eastAsia="zh-TW"/>
        </w:rPr>
      </w:pPr>
      <w:r w:rsidRPr="00111A39">
        <w:rPr>
          <w:rFonts w:ascii="Times New Roman" w:hAnsi="Times New Roman"/>
        </w:rPr>
        <w:t>EXP {</w:t>
      </w:r>
      <w:r>
        <w:rPr>
          <w:rFonts w:ascii="Times New Roman" w:hAnsi="Times New Roman"/>
        </w:rPr>
        <w:t xml:space="preserve">mm </w:t>
      </w:r>
      <w:r w:rsidRPr="00111A39">
        <w:rPr>
          <w:rFonts w:ascii="Times New Roman" w:hAnsi="Times New Roman"/>
        </w:rPr>
        <w:t>MMMM}</w:t>
      </w:r>
    </w:p>
    <w:p w14:paraId="2803E012" w14:textId="77777777" w:rsidR="00B61C0F" w:rsidRPr="00B61C0F" w:rsidRDefault="00B61C0F" w:rsidP="00B61C0F">
      <w:pPr>
        <w:spacing w:after="0" w:line="240" w:lineRule="auto"/>
        <w:rPr>
          <w:rFonts w:ascii="Times New Roman" w:eastAsia="Times New Roman" w:hAnsi="Times New Roman" w:cs="Times New Roman"/>
        </w:rPr>
      </w:pPr>
      <w:r w:rsidRPr="00B61C0F">
        <w:rPr>
          <w:rFonts w:ascii="Times New Roman" w:eastAsia="Times New Roman" w:hAnsi="Times New Roman" w:cs="Times New Roman"/>
        </w:rPr>
        <w:t>Tinkamumo laikas po pirmojo atidarymo:</w:t>
      </w:r>
    </w:p>
    <w:p w14:paraId="37B7E423" w14:textId="77777777" w:rsidR="00B61C0F" w:rsidRPr="001F2C46" w:rsidRDefault="00B61C0F" w:rsidP="00B61C0F">
      <w:pPr>
        <w:spacing w:after="0" w:line="240" w:lineRule="auto"/>
        <w:rPr>
          <w:rFonts w:ascii="Times New Roman" w:hAnsi="Times New Roman"/>
        </w:rPr>
      </w:pPr>
      <w:r w:rsidRPr="00B61C0F">
        <w:rPr>
          <w:rFonts w:ascii="Times New Roman" w:eastAsia="Times New Roman" w:hAnsi="Times New Roman" w:cs="Times New Roman"/>
        </w:rPr>
        <w:t>Vaisto turi būti vartojama ne ilgiau kaip</w:t>
      </w:r>
      <w:r w:rsidRPr="00F95B76">
        <w:rPr>
          <w:rFonts w:ascii="Times New Roman" w:hAnsi="Times New Roman"/>
        </w:rPr>
        <w:t xml:space="preserve"> </w:t>
      </w:r>
      <w:r w:rsidRPr="001F2C46">
        <w:rPr>
          <w:rFonts w:ascii="Times New Roman" w:hAnsi="Times New Roman"/>
        </w:rPr>
        <w:t>28</w:t>
      </w:r>
      <w:r>
        <w:rPr>
          <w:rFonts w:ascii="Times New Roman" w:eastAsia="Times New Roman" w:hAnsi="Times New Roman" w:cs="Times New Roman"/>
        </w:rPr>
        <w:t> </w:t>
      </w:r>
      <w:r w:rsidRPr="00F95B76">
        <w:rPr>
          <w:rFonts w:ascii="Times New Roman" w:hAnsi="Times New Roman"/>
        </w:rPr>
        <w:t>paras.</w:t>
      </w:r>
    </w:p>
    <w:p w14:paraId="24B7E523" w14:textId="77777777" w:rsidR="009E3E57" w:rsidRPr="00427D92" w:rsidRDefault="009E3E57" w:rsidP="00D875C0">
      <w:pPr>
        <w:spacing w:after="0" w:line="240" w:lineRule="auto"/>
        <w:rPr>
          <w:rFonts w:ascii="Times New Roman" w:hAnsi="Times New Roman"/>
        </w:rPr>
      </w:pPr>
    </w:p>
    <w:p w14:paraId="3DDE4210" w14:textId="77777777" w:rsidR="00D875C0" w:rsidRPr="00C722B4" w:rsidRDefault="00D875C0" w:rsidP="00D875C0">
      <w:pPr>
        <w:spacing w:after="0" w:line="240" w:lineRule="auto"/>
        <w:rPr>
          <w:rFonts w:ascii="Times New Roman" w:hAnsi="Times New Roman"/>
        </w:rPr>
      </w:pPr>
    </w:p>
    <w:p w14:paraId="12992B32"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4.</w:t>
      </w:r>
      <w:r w:rsidRPr="007C1A06">
        <w:rPr>
          <w:rFonts w:ascii="Times New Roman" w:hAnsi="Times New Roman"/>
          <w:b/>
        </w:rPr>
        <w:tab/>
        <w:t>SERIJOS NUMERIS</w:t>
      </w:r>
    </w:p>
    <w:p w14:paraId="191AC64D" w14:textId="77777777" w:rsidR="00D875C0" w:rsidRPr="007C1A06" w:rsidRDefault="00D875C0" w:rsidP="00D875C0">
      <w:pPr>
        <w:spacing w:after="0" w:line="240" w:lineRule="auto"/>
        <w:rPr>
          <w:rFonts w:ascii="Times New Roman" w:hAnsi="Times New Roman"/>
        </w:rPr>
      </w:pPr>
    </w:p>
    <w:p w14:paraId="33364719"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Lot</w:t>
      </w:r>
    </w:p>
    <w:p w14:paraId="44525CBA" w14:textId="77777777" w:rsidR="00D875C0" w:rsidRPr="007C1A06" w:rsidRDefault="00D875C0" w:rsidP="00D875C0">
      <w:pPr>
        <w:spacing w:after="0" w:line="240" w:lineRule="auto"/>
        <w:rPr>
          <w:rFonts w:ascii="Times New Roman" w:hAnsi="Times New Roman"/>
        </w:rPr>
      </w:pPr>
    </w:p>
    <w:p w14:paraId="26BC32D3" w14:textId="77777777" w:rsidR="00D875C0" w:rsidRPr="007C1A06" w:rsidRDefault="00D875C0" w:rsidP="00D875C0">
      <w:pPr>
        <w:spacing w:after="0" w:line="240" w:lineRule="auto"/>
        <w:rPr>
          <w:rFonts w:ascii="Times New Roman" w:hAnsi="Times New Roman"/>
        </w:rPr>
      </w:pPr>
    </w:p>
    <w:p w14:paraId="1CF687AB"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5.</w:t>
      </w:r>
      <w:r w:rsidRPr="007C1A06">
        <w:rPr>
          <w:rFonts w:ascii="Times New Roman" w:hAnsi="Times New Roman"/>
          <w:b/>
        </w:rPr>
        <w:tab/>
        <w:t>KIEKIS (MASĖ, TŪRIS ARBA VIENETAI)</w:t>
      </w:r>
    </w:p>
    <w:p w14:paraId="38BF7BBF" w14:textId="77777777" w:rsidR="00D875C0" w:rsidRPr="007C1A06" w:rsidRDefault="00D875C0" w:rsidP="00D875C0">
      <w:pPr>
        <w:spacing w:after="0" w:line="240" w:lineRule="auto"/>
        <w:rPr>
          <w:rFonts w:ascii="Times New Roman" w:hAnsi="Times New Roman"/>
        </w:rPr>
      </w:pPr>
    </w:p>
    <w:p w14:paraId="24FB12F3"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80 mg/8 ml</w:t>
      </w:r>
    </w:p>
    <w:p w14:paraId="4F12AF78" w14:textId="77777777" w:rsidR="00D875C0" w:rsidRPr="007C1A06" w:rsidRDefault="00D875C0" w:rsidP="00D875C0">
      <w:pPr>
        <w:spacing w:after="0" w:line="240" w:lineRule="auto"/>
        <w:rPr>
          <w:rFonts w:ascii="Times New Roman" w:hAnsi="Times New Roman"/>
        </w:rPr>
      </w:pPr>
    </w:p>
    <w:p w14:paraId="1AE27B78" w14:textId="77777777" w:rsidR="00D875C0" w:rsidRPr="007C1A06" w:rsidRDefault="00D875C0" w:rsidP="00D875C0">
      <w:pPr>
        <w:spacing w:after="0" w:line="240" w:lineRule="auto"/>
        <w:rPr>
          <w:rFonts w:ascii="Times New Roman" w:hAnsi="Times New Roman"/>
        </w:rPr>
      </w:pPr>
    </w:p>
    <w:p w14:paraId="7DA75B25"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6.</w:t>
      </w:r>
      <w:r w:rsidRPr="007C1A06">
        <w:rPr>
          <w:rFonts w:ascii="Times New Roman" w:hAnsi="Times New Roman"/>
          <w:b/>
        </w:rPr>
        <w:tab/>
        <w:t>KITA</w:t>
      </w:r>
    </w:p>
    <w:p w14:paraId="18608F42" w14:textId="77777777" w:rsidR="00D875C0" w:rsidRPr="007C1A06" w:rsidRDefault="00D875C0" w:rsidP="00D875C0">
      <w:pPr>
        <w:spacing w:after="0" w:line="240" w:lineRule="auto"/>
        <w:rPr>
          <w:rFonts w:ascii="Times New Roman" w:hAnsi="Times New Roman"/>
        </w:rPr>
      </w:pPr>
    </w:p>
    <w:p w14:paraId="4B649158" w14:textId="77777777" w:rsidR="00D875C0" w:rsidRPr="00F95B76" w:rsidRDefault="00D875C0" w:rsidP="00D875C0">
      <w:pPr>
        <w:spacing w:after="0" w:line="240" w:lineRule="auto"/>
        <w:rPr>
          <w:rFonts w:ascii="Times New Roman" w:eastAsiaTheme="minorEastAsia" w:hAnsi="Times New Roman"/>
          <w:lang w:val="en-US" w:eastAsia="zh-TW"/>
        </w:rPr>
      </w:pPr>
      <w:r w:rsidRPr="007C1A06">
        <w:rPr>
          <w:rFonts w:ascii="Times New Roman" w:hAnsi="Times New Roman"/>
        </w:rPr>
        <w:t xml:space="preserve">Citotoksinis </w:t>
      </w:r>
      <w:r w:rsidR="003D5669" w:rsidRPr="007C1A06">
        <w:rPr>
          <w:rFonts w:ascii="Times New Roman" w:hAnsi="Times New Roman"/>
        </w:rPr>
        <w:t>vaistas</w:t>
      </w:r>
      <w:r w:rsidR="00B61C0F">
        <w:rPr>
          <w:rFonts w:ascii="Times New Roman" w:eastAsia="Times New Roman" w:hAnsi="Times New Roman" w:cs="Times New Roman"/>
        </w:rPr>
        <w:t>.</w:t>
      </w:r>
    </w:p>
    <w:p w14:paraId="6C28C9EA" w14:textId="77777777" w:rsidR="00D875C0" w:rsidRPr="001F2C46" w:rsidRDefault="00D875C0" w:rsidP="00D875C0">
      <w:pPr>
        <w:spacing w:after="0" w:line="240" w:lineRule="auto"/>
        <w:rPr>
          <w:rFonts w:ascii="Times New Roman" w:hAnsi="Times New Roman"/>
        </w:rPr>
      </w:pPr>
    </w:p>
    <w:p w14:paraId="73D6F3E4" w14:textId="77777777" w:rsidR="00D875C0" w:rsidRPr="00427D92" w:rsidRDefault="00D875C0" w:rsidP="00D875C0">
      <w:pPr>
        <w:spacing w:after="0" w:line="240" w:lineRule="auto"/>
        <w:rPr>
          <w:rFonts w:ascii="Times New Roman" w:hAnsi="Times New Roman"/>
        </w:rPr>
      </w:pPr>
    </w:p>
    <w:p w14:paraId="18576299" w14:textId="77777777" w:rsidR="00D875C0" w:rsidRPr="000C43D3" w:rsidRDefault="00D875C0" w:rsidP="00D875C0">
      <w:pPr>
        <w:tabs>
          <w:tab w:val="left" w:pos="540"/>
        </w:tabs>
        <w:spacing w:after="0" w:line="240" w:lineRule="auto"/>
        <w:rPr>
          <w:rFonts w:ascii="Times New Roman" w:hAnsi="Times New Roman"/>
          <w:b/>
        </w:rPr>
      </w:pPr>
      <w:r w:rsidRPr="00427D92">
        <w:rPr>
          <w:rFonts w:ascii="Times New Roman" w:hAnsi="Times New Roman"/>
        </w:rPr>
        <w:br w:type="page"/>
      </w:r>
    </w:p>
    <w:p w14:paraId="6B6E494B" w14:textId="77777777" w:rsidR="00D875C0" w:rsidRPr="00C722B4"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C722B4">
        <w:rPr>
          <w:rFonts w:ascii="Times New Roman" w:hAnsi="Times New Roman"/>
          <w:b/>
        </w:rPr>
        <w:t>INFORMACIJA ANT IŠORINĖS IR VIDINĖS PAKUOTĖS</w:t>
      </w:r>
    </w:p>
    <w:p w14:paraId="00FEA78E" w14:textId="77777777" w:rsidR="00D875C0" w:rsidRPr="007C1A06"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446E95E1"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KARTONO DĖŽUTĖ / FLAKONO ETIKETĖ– 160</w:t>
      </w:r>
      <w:r w:rsidR="007D5071" w:rsidRPr="007C1A06">
        <w:rPr>
          <w:rFonts w:ascii="Times New Roman" w:hAnsi="Times New Roman"/>
          <w:b/>
        </w:rPr>
        <w:t> </w:t>
      </w:r>
      <w:r w:rsidRPr="007C1A06">
        <w:rPr>
          <w:rFonts w:ascii="Times New Roman" w:hAnsi="Times New Roman"/>
          <w:b/>
        </w:rPr>
        <w:t>mg/16</w:t>
      </w:r>
      <w:r w:rsidR="007D5071" w:rsidRPr="007C1A06">
        <w:rPr>
          <w:rFonts w:ascii="Times New Roman" w:hAnsi="Times New Roman"/>
          <w:b/>
        </w:rPr>
        <w:t> </w:t>
      </w:r>
      <w:r w:rsidRPr="007C1A06">
        <w:rPr>
          <w:rFonts w:ascii="Times New Roman" w:hAnsi="Times New Roman"/>
          <w:b/>
        </w:rPr>
        <w:t>ml</w:t>
      </w:r>
    </w:p>
    <w:p w14:paraId="6178A16B" w14:textId="77777777" w:rsidR="00D875C0" w:rsidRPr="007C1A06" w:rsidRDefault="00D875C0" w:rsidP="00D875C0">
      <w:pPr>
        <w:spacing w:after="0" w:line="240" w:lineRule="auto"/>
        <w:rPr>
          <w:rFonts w:ascii="Times New Roman" w:hAnsi="Times New Roman"/>
        </w:rPr>
      </w:pPr>
    </w:p>
    <w:p w14:paraId="6BD57284" w14:textId="77777777" w:rsidR="00D875C0" w:rsidRPr="007C1A06" w:rsidRDefault="00D875C0" w:rsidP="00D875C0">
      <w:pPr>
        <w:spacing w:after="0" w:line="240" w:lineRule="auto"/>
        <w:rPr>
          <w:rFonts w:ascii="Times New Roman" w:hAnsi="Times New Roman"/>
        </w:rPr>
      </w:pPr>
    </w:p>
    <w:p w14:paraId="76971A53"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w:t>
      </w:r>
      <w:r w:rsidRPr="007C1A06">
        <w:rPr>
          <w:rFonts w:ascii="Times New Roman" w:hAnsi="Times New Roman"/>
          <w:b/>
        </w:rPr>
        <w:tab/>
        <w:t>VAISTINIO PREPARATO PAVADINIMAS</w:t>
      </w:r>
    </w:p>
    <w:p w14:paraId="1DD9E368" w14:textId="77777777" w:rsidR="00D875C0" w:rsidRPr="007C1A06" w:rsidRDefault="00D875C0" w:rsidP="00D875C0">
      <w:pPr>
        <w:spacing w:after="0" w:line="240" w:lineRule="auto"/>
        <w:rPr>
          <w:rFonts w:ascii="Times New Roman" w:hAnsi="Times New Roman"/>
        </w:rPr>
      </w:pPr>
    </w:p>
    <w:p w14:paraId="4AF5CCFF"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Docetaxel Ebewe 10 mg/ml koncentratas infuziniam tirpalui</w:t>
      </w:r>
    </w:p>
    <w:p w14:paraId="52C61FAA" w14:textId="77777777" w:rsidR="00D875C0" w:rsidRPr="004E3CD5" w:rsidRDefault="00F373DC" w:rsidP="00D875C0">
      <w:pPr>
        <w:spacing w:after="0" w:line="240" w:lineRule="auto"/>
        <w:rPr>
          <w:rFonts w:ascii="Times New Roman" w:eastAsiaTheme="minorEastAsia" w:hAnsi="Times New Roman"/>
          <w:lang w:eastAsia="zh-TW"/>
        </w:rPr>
      </w:pPr>
      <w:r>
        <w:rPr>
          <w:rFonts w:ascii="Times New Roman" w:hAnsi="Times New Roman"/>
        </w:rPr>
        <w:t>d</w:t>
      </w:r>
      <w:r w:rsidR="00D875C0" w:rsidRPr="007C1A06">
        <w:rPr>
          <w:rFonts w:ascii="Times New Roman" w:hAnsi="Times New Roman"/>
        </w:rPr>
        <w:t>ocetakselis</w:t>
      </w:r>
    </w:p>
    <w:p w14:paraId="15B98C1C" w14:textId="77777777" w:rsidR="00D875C0" w:rsidRPr="007C1A06" w:rsidRDefault="00D875C0" w:rsidP="00D875C0">
      <w:pPr>
        <w:spacing w:after="0" w:line="240" w:lineRule="auto"/>
        <w:rPr>
          <w:rFonts w:ascii="Times New Roman" w:hAnsi="Times New Roman"/>
        </w:rPr>
      </w:pPr>
    </w:p>
    <w:p w14:paraId="0A40CF5D" w14:textId="77777777" w:rsidR="00D875C0" w:rsidRPr="007C1A06" w:rsidRDefault="00D875C0" w:rsidP="00D875C0">
      <w:pPr>
        <w:spacing w:after="0" w:line="240" w:lineRule="auto"/>
        <w:rPr>
          <w:rFonts w:ascii="Times New Roman" w:hAnsi="Times New Roman"/>
        </w:rPr>
      </w:pPr>
    </w:p>
    <w:p w14:paraId="735FD74F"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2.</w:t>
      </w:r>
      <w:r w:rsidRPr="007C1A06">
        <w:rPr>
          <w:rFonts w:ascii="Times New Roman" w:hAnsi="Times New Roman"/>
          <w:b/>
        </w:rPr>
        <w:tab/>
        <w:t>VEIKLIOJI (-IOS) MEDŽIAGA (-OS) IR JOS (-Ų) KIEKIS (-IAI)</w:t>
      </w:r>
    </w:p>
    <w:p w14:paraId="3ED3D834" w14:textId="77777777" w:rsidR="00D875C0" w:rsidRPr="007C1A06" w:rsidRDefault="00D875C0" w:rsidP="00D875C0">
      <w:pPr>
        <w:spacing w:after="0" w:line="240" w:lineRule="auto"/>
        <w:rPr>
          <w:rFonts w:ascii="Times New Roman" w:hAnsi="Times New Roman"/>
        </w:rPr>
      </w:pPr>
    </w:p>
    <w:p w14:paraId="601A08F2"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Kiekviename 16 ml flakone yra 160 mg docetakselio (10 mg/ml).</w:t>
      </w:r>
    </w:p>
    <w:p w14:paraId="61D625BF" w14:textId="77777777" w:rsidR="00D875C0" w:rsidRPr="007C1A06" w:rsidRDefault="00D875C0" w:rsidP="00D875C0">
      <w:pPr>
        <w:spacing w:after="0" w:line="240" w:lineRule="auto"/>
        <w:rPr>
          <w:rFonts w:ascii="Times New Roman" w:hAnsi="Times New Roman"/>
        </w:rPr>
      </w:pPr>
    </w:p>
    <w:p w14:paraId="6F72F78F" w14:textId="77777777" w:rsidR="00D875C0" w:rsidRPr="00F95B76" w:rsidRDefault="00D875C0" w:rsidP="00D875C0">
      <w:pPr>
        <w:spacing w:after="0" w:line="240" w:lineRule="auto"/>
        <w:rPr>
          <w:rFonts w:ascii="Times New Roman" w:hAnsi="Times New Roman"/>
        </w:rPr>
      </w:pPr>
    </w:p>
    <w:p w14:paraId="28902DB9" w14:textId="77777777" w:rsidR="00D875C0" w:rsidRPr="001F2C46"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F2C46">
        <w:rPr>
          <w:rFonts w:ascii="Times New Roman" w:hAnsi="Times New Roman"/>
          <w:b/>
        </w:rPr>
        <w:t>3.</w:t>
      </w:r>
      <w:r w:rsidRPr="001F2C46">
        <w:rPr>
          <w:rFonts w:ascii="Times New Roman" w:hAnsi="Times New Roman"/>
          <w:b/>
        </w:rPr>
        <w:tab/>
        <w:t>PAGALBINIŲ MEDŽIAGŲ SĄRAŠAS</w:t>
      </w:r>
    </w:p>
    <w:p w14:paraId="3E36E6F4" w14:textId="77777777" w:rsidR="00D875C0" w:rsidRPr="00427D92" w:rsidRDefault="00D875C0" w:rsidP="00D875C0">
      <w:pPr>
        <w:spacing w:after="0" w:line="240" w:lineRule="auto"/>
        <w:rPr>
          <w:rFonts w:ascii="Times New Roman" w:hAnsi="Times New Roman"/>
        </w:rPr>
      </w:pPr>
    </w:p>
    <w:p w14:paraId="5B46E2D3" w14:textId="77777777" w:rsidR="0060700D" w:rsidRPr="00F95B76" w:rsidRDefault="00B61C0F" w:rsidP="00B61C0F">
      <w:pPr>
        <w:spacing w:after="0" w:line="240" w:lineRule="auto"/>
        <w:rPr>
          <w:rFonts w:ascii="Times New Roman" w:hAnsi="Times New Roman"/>
        </w:rPr>
      </w:pPr>
      <w:r>
        <w:rPr>
          <w:rFonts w:ascii="Times New Roman" w:eastAsia="Times New Roman" w:hAnsi="Times New Roman" w:cs="Times New Roman"/>
        </w:rPr>
        <w:t>Sudėtyje yra p</w:t>
      </w:r>
      <w:r w:rsidRPr="00111A39">
        <w:rPr>
          <w:rFonts w:ascii="Times New Roman" w:eastAsia="Times New Roman" w:hAnsi="Times New Roman" w:cs="Times New Roman"/>
        </w:rPr>
        <w:t>olisorbat</w:t>
      </w:r>
      <w:r>
        <w:rPr>
          <w:rFonts w:ascii="Times New Roman" w:eastAsia="Times New Roman" w:hAnsi="Times New Roman" w:cs="Times New Roman"/>
        </w:rPr>
        <w:t>o</w:t>
      </w:r>
      <w:r w:rsidRPr="00F95B76">
        <w:rPr>
          <w:rFonts w:ascii="Times New Roman" w:hAnsi="Times New Roman"/>
        </w:rPr>
        <w:t xml:space="preserve"> 80</w:t>
      </w:r>
      <w:r>
        <w:rPr>
          <w:rFonts w:ascii="Times New Roman" w:eastAsia="Times New Roman" w:hAnsi="Times New Roman" w:cs="Times New Roman"/>
        </w:rPr>
        <w:t>, b</w:t>
      </w:r>
      <w:r w:rsidRPr="00111A39">
        <w:rPr>
          <w:rFonts w:ascii="Times New Roman" w:eastAsia="Times New Roman" w:hAnsi="Times New Roman" w:cs="Times New Roman"/>
        </w:rPr>
        <w:t>evandenė</w:t>
      </w:r>
      <w:r>
        <w:rPr>
          <w:rFonts w:ascii="Times New Roman" w:eastAsia="Times New Roman" w:hAnsi="Times New Roman" w:cs="Times New Roman"/>
        </w:rPr>
        <w:t>s</w:t>
      </w:r>
      <w:r w:rsidRPr="00F95B76">
        <w:rPr>
          <w:rFonts w:ascii="Times New Roman" w:hAnsi="Times New Roman"/>
        </w:rPr>
        <w:t xml:space="preserve"> citrinų </w:t>
      </w:r>
      <w:r w:rsidRPr="00111A39">
        <w:rPr>
          <w:rFonts w:ascii="Times New Roman" w:eastAsia="Times New Roman" w:hAnsi="Times New Roman" w:cs="Times New Roman"/>
        </w:rPr>
        <w:t>rūgšti</w:t>
      </w:r>
      <w:r>
        <w:rPr>
          <w:rFonts w:ascii="Times New Roman" w:eastAsia="Times New Roman" w:hAnsi="Times New Roman" w:cs="Times New Roman"/>
        </w:rPr>
        <w:t>e</w:t>
      </w:r>
      <w:r w:rsidRPr="00111A39">
        <w:rPr>
          <w:rFonts w:ascii="Times New Roman" w:eastAsia="Times New Roman" w:hAnsi="Times New Roman" w:cs="Times New Roman"/>
        </w:rPr>
        <w:t>s</w:t>
      </w:r>
      <w:r>
        <w:rPr>
          <w:rFonts w:ascii="Times New Roman" w:eastAsia="Times New Roman" w:hAnsi="Times New Roman" w:cs="Times New Roman"/>
        </w:rPr>
        <w:t>, m</w:t>
      </w:r>
      <w:r w:rsidRPr="00111A39">
        <w:rPr>
          <w:rFonts w:ascii="Times New Roman" w:eastAsia="Times New Roman" w:hAnsi="Times New Roman" w:cs="Times New Roman"/>
        </w:rPr>
        <w:t>akrogoli</w:t>
      </w:r>
      <w:r>
        <w:rPr>
          <w:rFonts w:ascii="Times New Roman" w:eastAsia="Times New Roman" w:hAnsi="Times New Roman" w:cs="Times New Roman"/>
        </w:rPr>
        <w:t>o</w:t>
      </w:r>
      <w:r w:rsidRPr="00F95B76">
        <w:rPr>
          <w:rFonts w:ascii="Times New Roman" w:hAnsi="Times New Roman"/>
        </w:rPr>
        <w:t xml:space="preserve"> 300</w:t>
      </w:r>
      <w:r>
        <w:rPr>
          <w:rFonts w:ascii="Times New Roman" w:eastAsia="Times New Roman" w:hAnsi="Times New Roman" w:cs="Times New Roman"/>
        </w:rPr>
        <w:t>, e</w:t>
      </w:r>
      <w:r w:rsidRPr="00111A39">
        <w:rPr>
          <w:rFonts w:ascii="Times New Roman" w:eastAsia="Times New Roman" w:hAnsi="Times New Roman" w:cs="Times New Roman"/>
        </w:rPr>
        <w:t>tanoli</w:t>
      </w:r>
      <w:r>
        <w:rPr>
          <w:rFonts w:ascii="Times New Roman" w:eastAsia="Times New Roman" w:hAnsi="Times New Roman" w:cs="Times New Roman"/>
        </w:rPr>
        <w:t>o</w:t>
      </w:r>
      <w:r w:rsidRPr="00F95B76">
        <w:rPr>
          <w:rFonts w:ascii="Times New Roman" w:hAnsi="Times New Roman"/>
        </w:rPr>
        <w:t xml:space="preserve"> (96</w:t>
      </w:r>
      <w:r w:rsidRPr="001F2C46">
        <w:rPr>
          <w:rFonts w:ascii="Times New Roman" w:hAnsi="Times New Roman"/>
        </w:rPr>
        <w:t> </w:t>
      </w:r>
      <w:r w:rsidRPr="00111A39">
        <w:rPr>
          <w:rFonts w:ascii="Times New Roman" w:eastAsia="Times New Roman" w:hAnsi="Times New Roman" w:cs="Times New Roman"/>
        </w:rPr>
        <w:t>%)</w:t>
      </w:r>
      <w:r>
        <w:rPr>
          <w:rFonts w:ascii="Times New Roman" w:eastAsia="Times New Roman" w:hAnsi="Times New Roman" w:cs="Times New Roman"/>
        </w:rPr>
        <w:t xml:space="preserve">. </w:t>
      </w:r>
    </w:p>
    <w:p w14:paraId="49789DBB" w14:textId="77777777" w:rsidR="00B61C0F" w:rsidRPr="00111A39" w:rsidRDefault="00B61C0F" w:rsidP="00B61C0F">
      <w:pPr>
        <w:spacing w:after="0" w:line="240" w:lineRule="auto"/>
        <w:rPr>
          <w:rFonts w:ascii="Times New Roman" w:eastAsia="Times New Roman" w:hAnsi="Times New Roman" w:cs="Times New Roman"/>
        </w:rPr>
      </w:pPr>
      <w:r w:rsidRPr="00B61C0F">
        <w:rPr>
          <w:rFonts w:ascii="Times New Roman" w:eastAsia="Times New Roman" w:hAnsi="Times New Roman" w:cs="Times New Roman"/>
        </w:rPr>
        <w:t>Daugiau informacijos žr. pakuotės lapelyje.</w:t>
      </w:r>
    </w:p>
    <w:p w14:paraId="3347EA0C" w14:textId="77777777" w:rsidR="00B61C0F" w:rsidRPr="00F95B76" w:rsidRDefault="00B61C0F" w:rsidP="00D875C0">
      <w:pPr>
        <w:spacing w:after="0" w:line="240" w:lineRule="auto"/>
        <w:rPr>
          <w:rFonts w:ascii="Times New Roman" w:hAnsi="Times New Roman"/>
        </w:rPr>
      </w:pPr>
    </w:p>
    <w:p w14:paraId="68EAA367" w14:textId="77777777" w:rsidR="00D875C0" w:rsidRPr="001F2C46" w:rsidRDefault="00D875C0" w:rsidP="00D875C0">
      <w:pPr>
        <w:spacing w:after="0" w:line="240" w:lineRule="auto"/>
        <w:rPr>
          <w:rFonts w:ascii="Times New Roman" w:hAnsi="Times New Roman"/>
        </w:rPr>
      </w:pPr>
    </w:p>
    <w:p w14:paraId="0C8B867B" w14:textId="77777777" w:rsidR="00D875C0" w:rsidRPr="00427D92"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27D92">
        <w:rPr>
          <w:rFonts w:ascii="Times New Roman" w:hAnsi="Times New Roman"/>
          <w:b/>
        </w:rPr>
        <w:t>4.</w:t>
      </w:r>
      <w:r w:rsidRPr="00427D92">
        <w:rPr>
          <w:rFonts w:ascii="Times New Roman" w:hAnsi="Times New Roman"/>
          <w:b/>
        </w:rPr>
        <w:tab/>
        <w:t>FARMACINĖ FORMA IR KIEKIS PAKUOTĖJE</w:t>
      </w:r>
    </w:p>
    <w:p w14:paraId="5FB2CAEA" w14:textId="77777777" w:rsidR="00D875C0" w:rsidRPr="00C722B4" w:rsidRDefault="00D875C0" w:rsidP="00D875C0">
      <w:pPr>
        <w:spacing w:after="0" w:line="240" w:lineRule="auto"/>
        <w:rPr>
          <w:rFonts w:ascii="Times New Roman" w:hAnsi="Times New Roman"/>
        </w:rPr>
      </w:pPr>
    </w:p>
    <w:p w14:paraId="54C20EF5" w14:textId="77777777" w:rsidR="005841DF" w:rsidRPr="004E3CD5" w:rsidRDefault="005841DF" w:rsidP="005841DF">
      <w:pPr>
        <w:spacing w:after="0" w:line="240" w:lineRule="auto"/>
        <w:rPr>
          <w:rFonts w:ascii="Times New Roman" w:eastAsiaTheme="minorEastAsia" w:hAnsi="Times New Roman"/>
          <w:lang w:eastAsia="zh-TW"/>
        </w:rPr>
      </w:pPr>
      <w:r w:rsidRPr="00327F03">
        <w:rPr>
          <w:rFonts w:ascii="Times New Roman" w:hAnsi="Times New Roman"/>
        </w:rPr>
        <w:t>Koncentratas infuziniam tirpalui</w:t>
      </w:r>
    </w:p>
    <w:p w14:paraId="33C4BF7F" w14:textId="77777777" w:rsidR="005841DF" w:rsidRPr="007C1A06" w:rsidRDefault="005841DF" w:rsidP="005841DF">
      <w:pPr>
        <w:spacing w:after="0" w:line="240" w:lineRule="auto"/>
        <w:rPr>
          <w:rFonts w:ascii="Times New Roman" w:hAnsi="Times New Roman"/>
        </w:rPr>
      </w:pPr>
    </w:p>
    <w:p w14:paraId="6C9247E1" w14:textId="77777777" w:rsidR="001071F6" w:rsidRPr="004E3CD5" w:rsidRDefault="001071F6" w:rsidP="001071F6">
      <w:pPr>
        <w:spacing w:after="0" w:line="240" w:lineRule="auto"/>
        <w:rPr>
          <w:rFonts w:ascii="Times New Roman" w:eastAsiaTheme="minorEastAsia" w:hAnsi="Times New Roman"/>
          <w:lang w:eastAsia="zh-TW"/>
        </w:rPr>
      </w:pPr>
      <w:r w:rsidRPr="007C1A06">
        <w:rPr>
          <w:rFonts w:ascii="Times New Roman" w:hAnsi="Times New Roman"/>
        </w:rPr>
        <w:t>Kiekviename 16 ml flakone yra 160 mg docetakselio (10 mg/ml).</w:t>
      </w:r>
    </w:p>
    <w:p w14:paraId="7E386634" w14:textId="6553D8CE"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1 flakonas</w:t>
      </w:r>
    </w:p>
    <w:p w14:paraId="54B5DB7D" w14:textId="17B8CB16" w:rsidR="00D875C0" w:rsidRPr="004E3CD5" w:rsidRDefault="00D875C0" w:rsidP="00D875C0">
      <w:pPr>
        <w:spacing w:after="0" w:line="240" w:lineRule="auto"/>
        <w:rPr>
          <w:rFonts w:ascii="Times New Roman" w:eastAsiaTheme="minorEastAsia" w:hAnsi="Times New Roman"/>
          <w:highlight w:val="lightGray"/>
          <w:lang w:eastAsia="zh-TW"/>
        </w:rPr>
      </w:pPr>
      <w:r w:rsidRPr="007C1A06">
        <w:rPr>
          <w:rFonts w:ascii="Times New Roman" w:hAnsi="Times New Roman"/>
          <w:highlight w:val="lightGray"/>
        </w:rPr>
        <w:t>5 flakonai</w:t>
      </w:r>
    </w:p>
    <w:p w14:paraId="5FB23B53" w14:textId="55EF2E89"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highlight w:val="lightGray"/>
        </w:rPr>
        <w:t>10 flakonų</w:t>
      </w:r>
    </w:p>
    <w:p w14:paraId="539AD517" w14:textId="77777777" w:rsidR="00B61C0F" w:rsidRPr="00111A39" w:rsidRDefault="00B61C0F" w:rsidP="00B61C0F">
      <w:pPr>
        <w:spacing w:after="0" w:line="240" w:lineRule="auto"/>
        <w:rPr>
          <w:rFonts w:ascii="Times New Roman" w:hAnsi="Times New Roman"/>
        </w:rPr>
      </w:pPr>
    </w:p>
    <w:p w14:paraId="75EDA972" w14:textId="77777777" w:rsidR="00B61C0F" w:rsidRPr="00F95B76" w:rsidRDefault="00B61C0F" w:rsidP="00B61C0F">
      <w:pPr>
        <w:spacing w:after="0" w:line="240" w:lineRule="auto"/>
        <w:rPr>
          <w:rFonts w:ascii="Times New Roman" w:hAnsi="Times New Roman"/>
        </w:rPr>
      </w:pPr>
    </w:p>
    <w:p w14:paraId="398A6F4E" w14:textId="77777777" w:rsidR="00B61C0F" w:rsidRPr="001F2C46" w:rsidRDefault="00B61C0F" w:rsidP="00B61C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F2C46">
        <w:rPr>
          <w:rFonts w:ascii="Times New Roman" w:hAnsi="Times New Roman"/>
          <w:b/>
        </w:rPr>
        <w:t>5.</w:t>
      </w:r>
      <w:r w:rsidRPr="001F2C46">
        <w:rPr>
          <w:rFonts w:ascii="Times New Roman" w:hAnsi="Times New Roman"/>
          <w:b/>
        </w:rPr>
        <w:tab/>
        <w:t>VARTOJIMO METODAS IR BŪDAS (-AI)</w:t>
      </w:r>
    </w:p>
    <w:p w14:paraId="0EDCC49A" w14:textId="77777777" w:rsidR="00B61C0F" w:rsidRPr="00427D92" w:rsidRDefault="00B61C0F" w:rsidP="00B61C0F">
      <w:pPr>
        <w:spacing w:after="0" w:line="240" w:lineRule="auto"/>
        <w:rPr>
          <w:rFonts w:ascii="Times New Roman" w:hAnsi="Times New Roman"/>
        </w:rPr>
      </w:pPr>
    </w:p>
    <w:p w14:paraId="466F0370" w14:textId="23336BFA" w:rsidR="00B61C0F" w:rsidRPr="00327F03" w:rsidRDefault="00083798" w:rsidP="00B61C0F">
      <w:pPr>
        <w:spacing w:after="0" w:line="240" w:lineRule="auto"/>
        <w:rPr>
          <w:rFonts w:ascii="Times New Roman" w:eastAsia="Times New Roman" w:hAnsi="Times New Roman" w:cs="Times New Roman"/>
        </w:rPr>
      </w:pPr>
      <w:r w:rsidRPr="00327F03">
        <w:rPr>
          <w:rFonts w:ascii="Times New Roman" w:eastAsia="Times New Roman" w:hAnsi="Times New Roman" w:cs="Times New Roman"/>
        </w:rPr>
        <w:t xml:space="preserve">Prieš vartojimą </w:t>
      </w:r>
      <w:r w:rsidR="00EC2A59">
        <w:rPr>
          <w:rFonts w:ascii="Times New Roman" w:eastAsia="Times New Roman" w:hAnsi="Times New Roman" w:cs="Times New Roman"/>
        </w:rPr>
        <w:t>PRIVALOMA</w:t>
      </w:r>
      <w:r w:rsidR="00EC2A59" w:rsidRPr="00327F03">
        <w:rPr>
          <w:rFonts w:ascii="Times New Roman" w:eastAsia="Times New Roman" w:hAnsi="Times New Roman" w:cs="Times New Roman"/>
        </w:rPr>
        <w:t xml:space="preserve"> </w:t>
      </w:r>
      <w:r w:rsidRPr="00327F03">
        <w:rPr>
          <w:rFonts w:ascii="Times New Roman" w:eastAsia="Times New Roman" w:hAnsi="Times New Roman" w:cs="Times New Roman"/>
        </w:rPr>
        <w:t>praskiesti.</w:t>
      </w:r>
    </w:p>
    <w:p w14:paraId="2BE3C212" w14:textId="77777777" w:rsidR="00B61C0F" w:rsidRPr="00111A39" w:rsidRDefault="00246F2E" w:rsidP="00B61C0F">
      <w:pPr>
        <w:spacing w:after="0" w:line="240" w:lineRule="auto"/>
        <w:rPr>
          <w:rFonts w:ascii="Times New Roman" w:eastAsia="Times New Roman" w:hAnsi="Times New Roman" w:cs="Times New Roman"/>
          <w:b/>
        </w:rPr>
      </w:pPr>
      <w:r w:rsidRPr="00246F2E">
        <w:rPr>
          <w:rFonts w:ascii="Times New Roman" w:eastAsia="Times New Roman" w:hAnsi="Times New Roman" w:cs="Times New Roman"/>
        </w:rPr>
        <w:t>Flakonai gali būti vartojami kartotinai.</w:t>
      </w:r>
    </w:p>
    <w:p w14:paraId="5B98F2F8" w14:textId="77777777" w:rsidR="00B61C0F" w:rsidRPr="001F2C46" w:rsidRDefault="00B61C0F" w:rsidP="00B61C0F">
      <w:pPr>
        <w:spacing w:after="0" w:line="240" w:lineRule="auto"/>
        <w:rPr>
          <w:rFonts w:ascii="Times New Roman" w:hAnsi="Times New Roman"/>
        </w:rPr>
      </w:pPr>
      <w:r w:rsidRPr="00F95B76">
        <w:rPr>
          <w:rFonts w:ascii="Times New Roman" w:hAnsi="Times New Roman"/>
        </w:rPr>
        <w:t>Prieš vartojimą perskaitykite pakuotės lapelį.</w:t>
      </w:r>
    </w:p>
    <w:p w14:paraId="15AE0A69" w14:textId="77777777" w:rsidR="00246F2E" w:rsidRPr="00111A39" w:rsidRDefault="00246F2E" w:rsidP="00246F2E">
      <w:pPr>
        <w:spacing w:after="0" w:line="240" w:lineRule="auto"/>
        <w:rPr>
          <w:rFonts w:ascii="Times New Roman" w:eastAsia="Times New Roman" w:hAnsi="Times New Roman" w:cs="Times New Roman"/>
        </w:rPr>
      </w:pPr>
      <w:r w:rsidRPr="00111A39">
        <w:rPr>
          <w:rFonts w:ascii="Times New Roman" w:eastAsia="Times New Roman" w:hAnsi="Times New Roman" w:cs="Times New Roman"/>
        </w:rPr>
        <w:t>Leisti į veną.</w:t>
      </w:r>
    </w:p>
    <w:p w14:paraId="50D20A5A" w14:textId="77777777" w:rsidR="00B61C0F" w:rsidRPr="00F95B76" w:rsidRDefault="00B61C0F" w:rsidP="00B61C0F">
      <w:pPr>
        <w:spacing w:after="0" w:line="240" w:lineRule="auto"/>
        <w:rPr>
          <w:rFonts w:ascii="Times New Roman" w:hAnsi="Times New Roman"/>
        </w:rPr>
      </w:pPr>
    </w:p>
    <w:p w14:paraId="24E3FEFB" w14:textId="77777777" w:rsidR="00B61C0F" w:rsidRPr="001F2C46" w:rsidRDefault="00B61C0F" w:rsidP="00B61C0F">
      <w:pPr>
        <w:spacing w:after="0" w:line="240" w:lineRule="auto"/>
        <w:rPr>
          <w:rFonts w:ascii="Times New Roman" w:hAnsi="Times New Roman"/>
        </w:rPr>
      </w:pPr>
    </w:p>
    <w:p w14:paraId="59B9A651" w14:textId="77777777" w:rsidR="00B61C0F" w:rsidRPr="00427D92" w:rsidRDefault="00B61C0F" w:rsidP="00B61C0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rPr>
      </w:pPr>
      <w:r w:rsidRPr="00427D92">
        <w:rPr>
          <w:rFonts w:ascii="Times New Roman" w:hAnsi="Times New Roman"/>
          <w:b/>
        </w:rPr>
        <w:t>6.</w:t>
      </w:r>
      <w:r w:rsidRPr="00427D92">
        <w:rPr>
          <w:rFonts w:ascii="Times New Roman" w:hAnsi="Times New Roman"/>
          <w:b/>
        </w:rPr>
        <w:tab/>
        <w:t>SPECIALUS ĮSPĖJIMAS, KAD VAISTINĮ PREPARATĄ BŪTINA LAIKYTI VAIKAMS NEPASTEBIMOJE IR NEPASIEKIAMOJE VIETOJE</w:t>
      </w:r>
    </w:p>
    <w:p w14:paraId="422E680A" w14:textId="77777777" w:rsidR="00B61C0F" w:rsidRPr="00C722B4" w:rsidRDefault="00B61C0F" w:rsidP="00B61C0F">
      <w:pPr>
        <w:spacing w:after="0" w:line="240" w:lineRule="auto"/>
        <w:rPr>
          <w:rFonts w:ascii="Times New Roman" w:hAnsi="Times New Roman"/>
        </w:rPr>
      </w:pPr>
    </w:p>
    <w:p w14:paraId="095A0FB8" w14:textId="77777777" w:rsidR="00B61C0F" w:rsidRPr="004E3CD5" w:rsidRDefault="00B61C0F" w:rsidP="00B61C0F">
      <w:pPr>
        <w:spacing w:after="0" w:line="240" w:lineRule="auto"/>
        <w:rPr>
          <w:rFonts w:ascii="Times New Roman" w:eastAsiaTheme="minorEastAsia" w:hAnsi="Times New Roman"/>
          <w:lang w:eastAsia="zh-TW"/>
        </w:rPr>
      </w:pPr>
      <w:r w:rsidRPr="00111A39">
        <w:rPr>
          <w:rFonts w:ascii="Times New Roman" w:hAnsi="Times New Roman"/>
        </w:rPr>
        <w:t>Laikyti vaikams nepastebimoje ir nepasiekiamoje vietoje.</w:t>
      </w:r>
    </w:p>
    <w:p w14:paraId="5F19AF47" w14:textId="77777777" w:rsidR="00B61C0F" w:rsidRPr="00111A39" w:rsidRDefault="00B61C0F" w:rsidP="00B61C0F">
      <w:pPr>
        <w:spacing w:after="0" w:line="240" w:lineRule="auto"/>
        <w:rPr>
          <w:rFonts w:ascii="Times New Roman" w:hAnsi="Times New Roman"/>
        </w:rPr>
      </w:pPr>
    </w:p>
    <w:p w14:paraId="776621CA" w14:textId="77777777" w:rsidR="00D875C0" w:rsidRPr="007C1A06" w:rsidRDefault="00D875C0" w:rsidP="00D875C0">
      <w:pPr>
        <w:spacing w:after="0" w:line="240" w:lineRule="auto"/>
        <w:rPr>
          <w:rFonts w:ascii="Times New Roman" w:hAnsi="Times New Roman"/>
        </w:rPr>
      </w:pPr>
    </w:p>
    <w:p w14:paraId="242B2AE9"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7.</w:t>
      </w:r>
      <w:r w:rsidRPr="007C1A06">
        <w:rPr>
          <w:rFonts w:ascii="Times New Roman" w:hAnsi="Times New Roman"/>
          <w:b/>
        </w:rPr>
        <w:tab/>
        <w:t>KITAS (-I) SPECIALUS (-ŪS) ĮSPĖJIMAS (-AI) (JEI REIKIA)</w:t>
      </w:r>
    </w:p>
    <w:p w14:paraId="2719EF1C" w14:textId="77777777" w:rsidR="00D875C0" w:rsidRPr="007C1A06" w:rsidRDefault="00D875C0" w:rsidP="00D875C0">
      <w:pPr>
        <w:spacing w:after="0" w:line="240" w:lineRule="auto"/>
        <w:rPr>
          <w:rFonts w:ascii="Times New Roman" w:hAnsi="Times New Roman"/>
        </w:rPr>
      </w:pPr>
    </w:p>
    <w:p w14:paraId="28F6BD12" w14:textId="77777777" w:rsidR="00D875C0" w:rsidRPr="00F95B76" w:rsidRDefault="00D875C0" w:rsidP="00D875C0">
      <w:pPr>
        <w:spacing w:after="0" w:line="240" w:lineRule="auto"/>
        <w:rPr>
          <w:rFonts w:ascii="Times New Roman" w:eastAsiaTheme="minorEastAsia" w:hAnsi="Times New Roman"/>
          <w:lang w:val="en-US" w:eastAsia="zh-TW"/>
        </w:rPr>
      </w:pPr>
      <w:r w:rsidRPr="007C1A06">
        <w:rPr>
          <w:rFonts w:ascii="Times New Roman" w:hAnsi="Times New Roman"/>
        </w:rPr>
        <w:t xml:space="preserve">Citotoksinis </w:t>
      </w:r>
      <w:r w:rsidR="005065A1" w:rsidRPr="007C1A06">
        <w:rPr>
          <w:rFonts w:ascii="Times New Roman" w:hAnsi="Times New Roman"/>
        </w:rPr>
        <w:t>vaistas</w:t>
      </w:r>
      <w:r w:rsidR="00246F2E">
        <w:rPr>
          <w:rFonts w:ascii="Times New Roman" w:eastAsia="Times New Roman" w:hAnsi="Times New Roman" w:cs="Times New Roman"/>
        </w:rPr>
        <w:t>.</w:t>
      </w:r>
    </w:p>
    <w:p w14:paraId="1CC02259" w14:textId="77777777" w:rsidR="00D875C0" w:rsidRPr="001F2C46" w:rsidRDefault="00D875C0" w:rsidP="00D875C0">
      <w:pPr>
        <w:spacing w:after="0" w:line="240" w:lineRule="auto"/>
        <w:rPr>
          <w:rFonts w:ascii="Times New Roman" w:hAnsi="Times New Roman"/>
        </w:rPr>
      </w:pPr>
    </w:p>
    <w:p w14:paraId="11F27CC3" w14:textId="77777777" w:rsidR="00D875C0" w:rsidRPr="00427D92" w:rsidRDefault="00D875C0" w:rsidP="00D875C0">
      <w:pPr>
        <w:spacing w:after="0" w:line="240" w:lineRule="auto"/>
        <w:rPr>
          <w:rFonts w:ascii="Times New Roman" w:hAnsi="Times New Roman"/>
        </w:rPr>
      </w:pPr>
    </w:p>
    <w:p w14:paraId="1EA902CF" w14:textId="77777777" w:rsidR="00D875C0" w:rsidRPr="00C722B4"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C722B4">
        <w:rPr>
          <w:rFonts w:ascii="Times New Roman" w:hAnsi="Times New Roman"/>
          <w:b/>
        </w:rPr>
        <w:t>8.</w:t>
      </w:r>
      <w:r w:rsidRPr="00C722B4">
        <w:rPr>
          <w:rFonts w:ascii="Times New Roman" w:hAnsi="Times New Roman"/>
          <w:b/>
        </w:rPr>
        <w:tab/>
        <w:t>TINKAMUMO LAIKAS</w:t>
      </w:r>
    </w:p>
    <w:p w14:paraId="54DD7AFE" w14:textId="77777777" w:rsidR="00D875C0" w:rsidRPr="007C1A06" w:rsidRDefault="00D875C0" w:rsidP="00D875C0">
      <w:pPr>
        <w:spacing w:after="0" w:line="240" w:lineRule="auto"/>
        <w:rPr>
          <w:rFonts w:ascii="Times New Roman" w:hAnsi="Times New Roman"/>
        </w:rPr>
      </w:pPr>
    </w:p>
    <w:p w14:paraId="4FC43A2A" w14:textId="77777777" w:rsidR="00246F2E" w:rsidRPr="004E3CD5" w:rsidRDefault="00246F2E" w:rsidP="00246F2E">
      <w:pPr>
        <w:autoSpaceDE w:val="0"/>
        <w:autoSpaceDN w:val="0"/>
        <w:adjustRightInd w:val="0"/>
        <w:spacing w:after="0" w:line="240" w:lineRule="auto"/>
        <w:rPr>
          <w:rFonts w:ascii="Times New Roman" w:eastAsiaTheme="minorEastAsia" w:hAnsi="Times New Roman"/>
          <w:lang w:eastAsia="zh-TW"/>
        </w:rPr>
      </w:pPr>
      <w:r>
        <w:rPr>
          <w:rFonts w:ascii="Times New Roman" w:hAnsi="Times New Roman"/>
        </w:rPr>
        <w:t>EXP</w:t>
      </w:r>
      <w:r w:rsidRPr="00111A39">
        <w:rPr>
          <w:rFonts w:ascii="Times New Roman" w:hAnsi="Times New Roman"/>
        </w:rPr>
        <w:t xml:space="preserve"> {</w:t>
      </w:r>
      <w:r>
        <w:rPr>
          <w:rFonts w:ascii="Times New Roman" w:hAnsi="Times New Roman"/>
        </w:rPr>
        <w:t xml:space="preserve">mm </w:t>
      </w:r>
      <w:r w:rsidRPr="00111A39">
        <w:rPr>
          <w:rFonts w:ascii="Times New Roman" w:hAnsi="Times New Roman"/>
        </w:rPr>
        <w:t>MMMM}</w:t>
      </w:r>
    </w:p>
    <w:p w14:paraId="35F83992" w14:textId="77777777" w:rsidR="00246F2E" w:rsidRDefault="00246F2E" w:rsidP="00246F2E">
      <w:pPr>
        <w:spacing w:after="0" w:line="240" w:lineRule="auto"/>
        <w:rPr>
          <w:rFonts w:ascii="Times New Roman" w:eastAsia="Times New Roman" w:hAnsi="Times New Roman" w:cs="Times New Roman"/>
        </w:rPr>
      </w:pPr>
      <w:r w:rsidRPr="00246F2E">
        <w:rPr>
          <w:rFonts w:ascii="Times New Roman" w:eastAsia="Times New Roman" w:hAnsi="Times New Roman" w:cs="Times New Roman"/>
        </w:rPr>
        <w:t>Tinkamumo laikas po pirmojo atidarymo:</w:t>
      </w:r>
    </w:p>
    <w:p w14:paraId="0EC5677D" w14:textId="77777777" w:rsidR="00246F2E" w:rsidRPr="001F2C46" w:rsidRDefault="00246F2E" w:rsidP="00246F2E">
      <w:pPr>
        <w:spacing w:after="0" w:line="240" w:lineRule="auto"/>
        <w:rPr>
          <w:rFonts w:ascii="Times New Roman" w:hAnsi="Times New Roman"/>
        </w:rPr>
      </w:pPr>
      <w:r w:rsidRPr="00F95B76">
        <w:rPr>
          <w:rFonts w:ascii="Times New Roman" w:hAnsi="Times New Roman"/>
        </w:rPr>
        <w:t xml:space="preserve">Pirmą kartą </w:t>
      </w:r>
      <w:r w:rsidRPr="00111A39">
        <w:rPr>
          <w:rFonts w:ascii="Times New Roman" w:eastAsia="Times New Roman" w:hAnsi="Times New Roman" w:cs="Times New Roman"/>
        </w:rPr>
        <w:t>atidarius</w:t>
      </w:r>
      <w:r w:rsidR="00C722B4">
        <w:rPr>
          <w:rFonts w:ascii="Times New Roman" w:eastAsia="Times New Roman" w:hAnsi="Times New Roman" w:cs="Times New Roman"/>
        </w:rPr>
        <w:t xml:space="preserve"> </w:t>
      </w:r>
      <w:r w:rsidRPr="00246F2E">
        <w:rPr>
          <w:rFonts w:ascii="Times New Roman" w:eastAsia="Times New Roman" w:hAnsi="Times New Roman" w:cs="Times New Roman"/>
        </w:rPr>
        <w:t>vaisto turi būti vartojama ne ilgiau kaip</w:t>
      </w:r>
      <w:r w:rsidR="00C722B4">
        <w:rPr>
          <w:rFonts w:ascii="Times New Roman" w:eastAsia="Times New Roman" w:hAnsi="Times New Roman" w:cs="Times New Roman"/>
        </w:rPr>
        <w:t xml:space="preserve"> </w:t>
      </w:r>
      <w:r w:rsidRPr="00111A39">
        <w:rPr>
          <w:rFonts w:ascii="Times New Roman" w:eastAsia="Times New Roman" w:hAnsi="Times New Roman" w:cs="Times New Roman"/>
        </w:rPr>
        <w:t>28</w:t>
      </w:r>
      <w:r>
        <w:rPr>
          <w:rFonts w:ascii="Times New Roman" w:eastAsia="Times New Roman" w:hAnsi="Times New Roman" w:cs="Times New Roman"/>
        </w:rPr>
        <w:t> paras</w:t>
      </w:r>
      <w:r w:rsidRPr="00F95B76">
        <w:rPr>
          <w:rFonts w:ascii="Times New Roman" w:hAnsi="Times New Roman"/>
        </w:rPr>
        <w:t>.</w:t>
      </w:r>
    </w:p>
    <w:p w14:paraId="461FEAE5" w14:textId="77777777" w:rsidR="00246F2E" w:rsidRPr="00C722B4" w:rsidRDefault="00246F2E" w:rsidP="00246F2E">
      <w:pPr>
        <w:spacing w:after="0" w:line="240" w:lineRule="auto"/>
        <w:rPr>
          <w:rFonts w:ascii="Times New Roman" w:hAnsi="Times New Roman"/>
        </w:rPr>
      </w:pPr>
    </w:p>
    <w:p w14:paraId="51832DC7" w14:textId="77777777" w:rsidR="00246F2E" w:rsidRPr="004E3CD5" w:rsidRDefault="00246F2E" w:rsidP="00246F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111A39">
        <w:rPr>
          <w:rFonts w:ascii="Times New Roman" w:hAnsi="Times New Roman"/>
          <w:b/>
        </w:rPr>
        <w:t>9.</w:t>
      </w:r>
      <w:r w:rsidRPr="00111A39">
        <w:rPr>
          <w:rFonts w:ascii="Times New Roman" w:hAnsi="Times New Roman"/>
          <w:b/>
        </w:rPr>
        <w:tab/>
        <w:t>SPECIALIOS LAIKYMO SĄLYGOS</w:t>
      </w:r>
    </w:p>
    <w:p w14:paraId="30801C49" w14:textId="77777777" w:rsidR="00246F2E" w:rsidRPr="00111A39" w:rsidRDefault="00246F2E" w:rsidP="00246F2E">
      <w:pPr>
        <w:spacing w:after="0" w:line="240" w:lineRule="auto"/>
        <w:rPr>
          <w:rFonts w:ascii="Times New Roman" w:hAnsi="Times New Roman"/>
        </w:rPr>
      </w:pPr>
    </w:p>
    <w:p w14:paraId="3DC9F310" w14:textId="77777777" w:rsidR="00246F2E" w:rsidRPr="004E3CD5" w:rsidRDefault="00246F2E" w:rsidP="00246F2E">
      <w:pPr>
        <w:spacing w:after="0" w:line="240" w:lineRule="auto"/>
        <w:rPr>
          <w:rFonts w:ascii="Times New Roman" w:eastAsiaTheme="minorEastAsia" w:hAnsi="Times New Roman"/>
          <w:lang w:eastAsia="zh-TW"/>
        </w:rPr>
      </w:pPr>
      <w:r w:rsidRPr="00111A39">
        <w:rPr>
          <w:rFonts w:ascii="Times New Roman" w:hAnsi="Times New Roman"/>
        </w:rPr>
        <w:t>Laikyti ne aukštesnėje kaip 25</w:t>
      </w:r>
      <w:r>
        <w:rPr>
          <w:rFonts w:ascii="Times New Roman" w:hAnsi="Times New Roman"/>
        </w:rPr>
        <w:t> </w:t>
      </w:r>
      <w:r w:rsidRPr="00111A39">
        <w:rPr>
          <w:rFonts w:ascii="Times New Roman" w:hAnsi="Times New Roman"/>
        </w:rPr>
        <w:t>°C temperatūroje.</w:t>
      </w:r>
    </w:p>
    <w:p w14:paraId="077E7ECA" w14:textId="77777777" w:rsidR="00246F2E" w:rsidRPr="004E3CD5" w:rsidRDefault="00246F2E" w:rsidP="00246F2E">
      <w:pPr>
        <w:spacing w:after="0" w:line="240" w:lineRule="auto"/>
        <w:rPr>
          <w:rFonts w:ascii="Times New Roman" w:eastAsiaTheme="minorEastAsia" w:hAnsi="Times New Roman"/>
          <w:lang w:eastAsia="zh-TW"/>
        </w:rPr>
      </w:pPr>
      <w:r w:rsidRPr="00111A39">
        <w:rPr>
          <w:rFonts w:ascii="Times New Roman" w:hAnsi="Times New Roman"/>
        </w:rPr>
        <w:t>Negalima užšaldyti.</w:t>
      </w:r>
    </w:p>
    <w:p w14:paraId="1AD2B3EC" w14:textId="77777777" w:rsidR="00246F2E" w:rsidRPr="004E3CD5" w:rsidRDefault="00246F2E" w:rsidP="00246F2E">
      <w:pPr>
        <w:spacing w:after="0" w:line="240" w:lineRule="auto"/>
        <w:rPr>
          <w:rFonts w:ascii="Times New Roman" w:eastAsiaTheme="minorEastAsia" w:hAnsi="Times New Roman"/>
          <w:lang w:eastAsia="zh-TW"/>
        </w:rPr>
      </w:pPr>
      <w:r w:rsidRPr="00111A39">
        <w:rPr>
          <w:rFonts w:ascii="Times New Roman" w:hAnsi="Times New Roman"/>
        </w:rPr>
        <w:t>Praskiesto vaist</w:t>
      </w:r>
      <w:r>
        <w:rPr>
          <w:rFonts w:ascii="Times New Roman" w:hAnsi="Times New Roman"/>
        </w:rPr>
        <w:t>o</w:t>
      </w:r>
      <w:r w:rsidRPr="00111A39">
        <w:rPr>
          <w:rFonts w:ascii="Times New Roman" w:hAnsi="Times New Roman"/>
        </w:rPr>
        <w:t xml:space="preserve"> laikymo sąlygos nurodytos pakuotės lapelyje.</w:t>
      </w:r>
    </w:p>
    <w:p w14:paraId="204D227A" w14:textId="77777777" w:rsidR="00246F2E" w:rsidRPr="004E3CD5" w:rsidRDefault="00246F2E" w:rsidP="00246F2E">
      <w:pPr>
        <w:spacing w:after="0" w:line="240" w:lineRule="auto"/>
        <w:rPr>
          <w:rFonts w:ascii="Times New Roman" w:eastAsiaTheme="minorEastAsia" w:hAnsi="Times New Roman"/>
          <w:lang w:eastAsia="zh-TW"/>
        </w:rPr>
      </w:pPr>
      <w:r w:rsidRPr="00111A39">
        <w:rPr>
          <w:rFonts w:ascii="Times New Roman" w:hAnsi="Times New Roman"/>
        </w:rPr>
        <w:t xml:space="preserve">Flakoną laikyti išorinėje dėžutėje, kad </w:t>
      </w:r>
      <w:r>
        <w:rPr>
          <w:rFonts w:ascii="Times New Roman" w:hAnsi="Times New Roman"/>
        </w:rPr>
        <w:t>vaistas</w:t>
      </w:r>
      <w:r w:rsidRPr="00111A39">
        <w:rPr>
          <w:rFonts w:ascii="Times New Roman" w:hAnsi="Times New Roman"/>
        </w:rPr>
        <w:t xml:space="preserve"> būtų apsaugotas nuo šviesos.</w:t>
      </w:r>
    </w:p>
    <w:p w14:paraId="4A306F92" w14:textId="77777777" w:rsidR="00246F2E" w:rsidRPr="00111A39" w:rsidRDefault="00246F2E" w:rsidP="00246F2E">
      <w:pPr>
        <w:spacing w:after="0" w:line="240" w:lineRule="auto"/>
        <w:rPr>
          <w:rFonts w:ascii="Times New Roman" w:hAnsi="Times New Roman"/>
        </w:rPr>
      </w:pPr>
    </w:p>
    <w:p w14:paraId="3F35184B" w14:textId="77777777" w:rsidR="00246F2E" w:rsidRPr="00111A39" w:rsidRDefault="00246F2E" w:rsidP="00246F2E">
      <w:pPr>
        <w:spacing w:after="0" w:line="240" w:lineRule="auto"/>
        <w:rPr>
          <w:rFonts w:ascii="Times New Roman" w:hAnsi="Times New Roman"/>
        </w:rPr>
      </w:pPr>
    </w:p>
    <w:p w14:paraId="72F1D06E" w14:textId="77777777" w:rsidR="00246F2E" w:rsidRPr="004E3CD5" w:rsidRDefault="00246F2E" w:rsidP="00246F2E">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heme="minorEastAsia" w:hAnsi="Times New Roman"/>
          <w:b/>
          <w:lang w:eastAsia="zh-TW"/>
        </w:rPr>
      </w:pPr>
      <w:r w:rsidRPr="00111A39">
        <w:rPr>
          <w:rFonts w:ascii="Times New Roman" w:hAnsi="Times New Roman"/>
          <w:b/>
        </w:rPr>
        <w:t>10.</w:t>
      </w:r>
      <w:r w:rsidRPr="00111A39">
        <w:rPr>
          <w:rFonts w:ascii="Times New Roman" w:hAnsi="Times New Roman"/>
          <w:b/>
        </w:rPr>
        <w:tab/>
        <w:t>SPECIALIOS ATSARGUMO PRIEMONĖS DĖL NESUVARTOTO VAISTINIO PREPARATO AR JO ATLIEKŲ TVARKYMO (JEI REIKIA)</w:t>
      </w:r>
    </w:p>
    <w:p w14:paraId="41D60E56" w14:textId="77777777" w:rsidR="00246F2E" w:rsidRPr="00111A39" w:rsidRDefault="00246F2E" w:rsidP="00246F2E">
      <w:pPr>
        <w:spacing w:after="0" w:line="240" w:lineRule="auto"/>
        <w:rPr>
          <w:rFonts w:ascii="Times New Roman" w:hAnsi="Times New Roman"/>
        </w:rPr>
      </w:pPr>
    </w:p>
    <w:p w14:paraId="4BF0D52E" w14:textId="77777777" w:rsidR="00246F2E" w:rsidRPr="00F95B76" w:rsidRDefault="00246F2E" w:rsidP="00246F2E">
      <w:pPr>
        <w:spacing w:after="0" w:line="240" w:lineRule="auto"/>
        <w:rPr>
          <w:rFonts w:ascii="Times New Roman" w:hAnsi="Times New Roman"/>
        </w:rPr>
      </w:pPr>
    </w:p>
    <w:p w14:paraId="712F1AAD" w14:textId="77777777" w:rsidR="00D875C0" w:rsidRPr="001F2C46" w:rsidRDefault="00D875C0" w:rsidP="00D875C0">
      <w:pPr>
        <w:spacing w:after="0" w:line="240" w:lineRule="auto"/>
        <w:rPr>
          <w:rFonts w:ascii="Times New Roman" w:hAnsi="Times New Roman"/>
        </w:rPr>
      </w:pPr>
    </w:p>
    <w:p w14:paraId="371F5E4D" w14:textId="77777777" w:rsidR="00D875C0" w:rsidRPr="00427D92"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27D92">
        <w:rPr>
          <w:rFonts w:ascii="Times New Roman" w:hAnsi="Times New Roman"/>
          <w:b/>
        </w:rPr>
        <w:t>11.</w:t>
      </w:r>
      <w:r w:rsidRPr="00427D92">
        <w:rPr>
          <w:rFonts w:ascii="Times New Roman" w:hAnsi="Times New Roman"/>
          <w:b/>
        </w:rPr>
        <w:tab/>
        <w:t>REGISTRUOTOJO PAVADINIMAS IR ADRESAS</w:t>
      </w:r>
    </w:p>
    <w:p w14:paraId="497188C3" w14:textId="77777777" w:rsidR="00D875C0" w:rsidRPr="00C722B4" w:rsidRDefault="00D875C0" w:rsidP="00D875C0">
      <w:pPr>
        <w:spacing w:after="0" w:line="240" w:lineRule="auto"/>
        <w:rPr>
          <w:rFonts w:ascii="Times New Roman" w:hAnsi="Times New Roman"/>
        </w:rPr>
      </w:pPr>
    </w:p>
    <w:p w14:paraId="2398840C"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Sandoz d.d.</w:t>
      </w:r>
    </w:p>
    <w:p w14:paraId="2D0E86B8"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Verovškova 57</w:t>
      </w:r>
    </w:p>
    <w:p w14:paraId="215309D3"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SI-1000 Ljubljana</w:t>
      </w:r>
    </w:p>
    <w:p w14:paraId="09ACBA59"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Slovėnija</w:t>
      </w:r>
    </w:p>
    <w:p w14:paraId="4275A1E1" w14:textId="77777777" w:rsidR="00D875C0" w:rsidRPr="007C1A06" w:rsidRDefault="00D875C0" w:rsidP="00D875C0">
      <w:pPr>
        <w:spacing w:after="0" w:line="240" w:lineRule="auto"/>
        <w:rPr>
          <w:rFonts w:ascii="Times New Roman" w:hAnsi="Times New Roman"/>
        </w:rPr>
      </w:pPr>
    </w:p>
    <w:p w14:paraId="35CFFB66" w14:textId="77777777" w:rsidR="00D875C0" w:rsidRPr="007C1A06" w:rsidRDefault="00D875C0" w:rsidP="00D875C0">
      <w:pPr>
        <w:spacing w:after="0" w:line="240" w:lineRule="auto"/>
        <w:rPr>
          <w:rFonts w:ascii="Times New Roman" w:hAnsi="Times New Roman"/>
        </w:rPr>
      </w:pPr>
    </w:p>
    <w:p w14:paraId="06EC368C"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12.</w:t>
      </w:r>
      <w:r w:rsidRPr="007C1A06">
        <w:rPr>
          <w:rFonts w:ascii="Times New Roman" w:hAnsi="Times New Roman"/>
          <w:b/>
        </w:rPr>
        <w:tab/>
        <w:t>REGISTRACIJOS PAŽYMĖJIMO NUMERIS (-IAI)</w:t>
      </w:r>
    </w:p>
    <w:p w14:paraId="2EF55F12" w14:textId="77777777" w:rsidR="00D875C0" w:rsidRPr="007C1A06" w:rsidRDefault="00D875C0" w:rsidP="00D875C0">
      <w:pPr>
        <w:spacing w:after="0" w:line="240" w:lineRule="auto"/>
        <w:rPr>
          <w:rFonts w:ascii="Times New Roman" w:hAnsi="Times New Roman"/>
        </w:rPr>
      </w:pPr>
    </w:p>
    <w:p w14:paraId="164CF096"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N1 - LT/1/10/1953/007</w:t>
      </w:r>
    </w:p>
    <w:p w14:paraId="20B66311"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N5 - LT/1/10/1953/008</w:t>
      </w:r>
    </w:p>
    <w:p w14:paraId="10033BFA"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N10 - LT/1/10/1953/009</w:t>
      </w:r>
    </w:p>
    <w:p w14:paraId="67208D28" w14:textId="77777777" w:rsidR="00D875C0" w:rsidRPr="007C1A06" w:rsidRDefault="00D875C0" w:rsidP="00D875C0">
      <w:pPr>
        <w:spacing w:after="0" w:line="240" w:lineRule="auto"/>
        <w:rPr>
          <w:rFonts w:ascii="Times New Roman" w:hAnsi="Times New Roman"/>
        </w:rPr>
      </w:pPr>
    </w:p>
    <w:p w14:paraId="66D41F3B" w14:textId="77777777" w:rsidR="00D875C0" w:rsidRPr="007C1A06" w:rsidRDefault="00D875C0" w:rsidP="00D875C0">
      <w:pPr>
        <w:spacing w:after="0" w:line="240" w:lineRule="auto"/>
        <w:rPr>
          <w:rFonts w:ascii="Times New Roman" w:hAnsi="Times New Roman"/>
        </w:rPr>
      </w:pPr>
    </w:p>
    <w:p w14:paraId="72BF0341"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13.</w:t>
      </w:r>
      <w:r w:rsidRPr="007C1A06">
        <w:rPr>
          <w:rFonts w:ascii="Times New Roman" w:hAnsi="Times New Roman"/>
          <w:b/>
        </w:rPr>
        <w:tab/>
        <w:t>SERIJOS NUMERIS</w:t>
      </w:r>
    </w:p>
    <w:p w14:paraId="24ECD93D" w14:textId="77777777" w:rsidR="00D875C0" w:rsidRPr="007C1A06" w:rsidRDefault="00D875C0" w:rsidP="00D875C0">
      <w:pPr>
        <w:spacing w:after="0" w:line="240" w:lineRule="auto"/>
        <w:rPr>
          <w:rFonts w:ascii="Times New Roman" w:hAnsi="Times New Roman"/>
        </w:rPr>
      </w:pPr>
    </w:p>
    <w:p w14:paraId="2D56C01E" w14:textId="77777777" w:rsidR="00D875C0" w:rsidRPr="004E3CD5" w:rsidRDefault="00C85A27" w:rsidP="00D875C0">
      <w:pPr>
        <w:spacing w:after="0" w:line="240" w:lineRule="auto"/>
        <w:rPr>
          <w:rFonts w:ascii="Times New Roman" w:eastAsiaTheme="minorEastAsia" w:hAnsi="Times New Roman"/>
          <w:lang w:eastAsia="zh-TW"/>
        </w:rPr>
      </w:pPr>
      <w:r>
        <w:rPr>
          <w:rFonts w:ascii="Times New Roman" w:hAnsi="Times New Roman"/>
        </w:rPr>
        <w:t>Lot</w:t>
      </w:r>
    </w:p>
    <w:p w14:paraId="74151942" w14:textId="77777777" w:rsidR="00D875C0" w:rsidRPr="007C1A06" w:rsidRDefault="00D875C0" w:rsidP="00D875C0">
      <w:pPr>
        <w:spacing w:after="0" w:line="240" w:lineRule="auto"/>
        <w:rPr>
          <w:rFonts w:ascii="Times New Roman" w:hAnsi="Times New Roman"/>
        </w:rPr>
      </w:pPr>
    </w:p>
    <w:p w14:paraId="6876FB6D" w14:textId="77777777" w:rsidR="00D875C0" w:rsidRPr="007C1A06" w:rsidRDefault="00D875C0" w:rsidP="00D875C0">
      <w:pPr>
        <w:spacing w:after="0" w:line="240" w:lineRule="auto"/>
        <w:rPr>
          <w:rFonts w:ascii="Times New Roman" w:hAnsi="Times New Roman"/>
        </w:rPr>
      </w:pPr>
    </w:p>
    <w:p w14:paraId="37986794"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14.</w:t>
      </w:r>
      <w:r w:rsidRPr="007C1A06">
        <w:rPr>
          <w:rFonts w:ascii="Times New Roman" w:hAnsi="Times New Roman"/>
          <w:b/>
        </w:rPr>
        <w:tab/>
        <w:t>PARDAVIMO (IŠDAVIMO) TVARKA</w:t>
      </w:r>
    </w:p>
    <w:p w14:paraId="6CCA7094" w14:textId="77777777" w:rsidR="00D875C0" w:rsidRPr="007C1A06" w:rsidRDefault="00D875C0" w:rsidP="00D875C0">
      <w:pPr>
        <w:spacing w:after="0" w:line="240" w:lineRule="auto"/>
        <w:rPr>
          <w:rFonts w:ascii="Times New Roman" w:hAnsi="Times New Roman"/>
        </w:rPr>
      </w:pPr>
    </w:p>
    <w:p w14:paraId="2D4DD979"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Receptinis vaist</w:t>
      </w:r>
      <w:r w:rsidR="005065A1" w:rsidRPr="007C1A06">
        <w:rPr>
          <w:rFonts w:ascii="Times New Roman" w:hAnsi="Times New Roman"/>
        </w:rPr>
        <w:t>as</w:t>
      </w:r>
      <w:r w:rsidRPr="007C1A06">
        <w:rPr>
          <w:rFonts w:ascii="Times New Roman" w:hAnsi="Times New Roman"/>
        </w:rPr>
        <w:t>.</w:t>
      </w:r>
    </w:p>
    <w:p w14:paraId="1E9CCC9A" w14:textId="77777777" w:rsidR="00D875C0" w:rsidRPr="007C1A06" w:rsidRDefault="00D875C0" w:rsidP="00D875C0">
      <w:pPr>
        <w:spacing w:after="0" w:line="240" w:lineRule="auto"/>
        <w:rPr>
          <w:rFonts w:ascii="Times New Roman" w:hAnsi="Times New Roman"/>
        </w:rPr>
      </w:pPr>
    </w:p>
    <w:p w14:paraId="0061FB07" w14:textId="77777777" w:rsidR="00D875C0" w:rsidRPr="007C1A06" w:rsidRDefault="00D875C0" w:rsidP="00D875C0">
      <w:pPr>
        <w:spacing w:after="0" w:line="240" w:lineRule="auto"/>
        <w:rPr>
          <w:rFonts w:ascii="Times New Roman" w:hAnsi="Times New Roman"/>
        </w:rPr>
      </w:pPr>
    </w:p>
    <w:p w14:paraId="49E7EF2B"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15.</w:t>
      </w:r>
      <w:r w:rsidRPr="007C1A06">
        <w:rPr>
          <w:rFonts w:ascii="Times New Roman" w:hAnsi="Times New Roman"/>
          <w:b/>
        </w:rPr>
        <w:tab/>
        <w:t>VARTOJIMO INSTRUKCIJA</w:t>
      </w:r>
    </w:p>
    <w:p w14:paraId="61CF243B" w14:textId="77777777" w:rsidR="00D875C0" w:rsidRPr="007C1A06" w:rsidRDefault="00D875C0" w:rsidP="00D875C0">
      <w:pPr>
        <w:spacing w:after="0" w:line="240" w:lineRule="auto"/>
        <w:rPr>
          <w:rFonts w:ascii="Times New Roman" w:hAnsi="Times New Roman"/>
        </w:rPr>
      </w:pPr>
    </w:p>
    <w:p w14:paraId="62ADCAF7" w14:textId="77777777" w:rsidR="00D875C0" w:rsidRPr="007C1A06" w:rsidRDefault="00D875C0" w:rsidP="00D875C0">
      <w:pPr>
        <w:spacing w:after="0" w:line="240" w:lineRule="auto"/>
        <w:rPr>
          <w:rFonts w:ascii="Times New Roman" w:hAnsi="Times New Roman"/>
        </w:rPr>
      </w:pPr>
    </w:p>
    <w:p w14:paraId="40505646" w14:textId="77777777" w:rsidR="00D875C0" w:rsidRPr="004E3CD5" w:rsidRDefault="00D875C0" w:rsidP="00D875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b/>
          <w:lang w:eastAsia="zh-TW"/>
        </w:rPr>
      </w:pPr>
      <w:r w:rsidRPr="007C1A06">
        <w:rPr>
          <w:rFonts w:ascii="Times New Roman" w:hAnsi="Times New Roman"/>
          <w:b/>
        </w:rPr>
        <w:t>16.</w:t>
      </w:r>
      <w:r w:rsidRPr="007C1A06">
        <w:rPr>
          <w:rFonts w:ascii="Times New Roman" w:hAnsi="Times New Roman"/>
          <w:b/>
        </w:rPr>
        <w:tab/>
        <w:t>INFORMACIJA BRAILIO RAŠTU</w:t>
      </w:r>
    </w:p>
    <w:p w14:paraId="650A8E86" w14:textId="77777777" w:rsidR="00D875C0" w:rsidRPr="007C1A06" w:rsidRDefault="00D875C0" w:rsidP="00D875C0">
      <w:pPr>
        <w:spacing w:after="0" w:line="240" w:lineRule="auto"/>
        <w:rPr>
          <w:rFonts w:ascii="Times New Roman" w:hAnsi="Times New Roman"/>
        </w:rPr>
      </w:pPr>
    </w:p>
    <w:p w14:paraId="610A9560"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highlight w:val="lightGray"/>
        </w:rPr>
        <w:t>Priimtas pagrindimas informacijos Brailio raštu nepateikti.</w:t>
      </w:r>
    </w:p>
    <w:p w14:paraId="6E1176E3" w14:textId="77777777" w:rsidR="00D875C0" w:rsidRPr="007C1A06" w:rsidRDefault="00D875C0" w:rsidP="00D875C0">
      <w:pPr>
        <w:spacing w:after="0" w:line="240" w:lineRule="auto"/>
        <w:rPr>
          <w:rFonts w:ascii="Times New Roman" w:hAnsi="Times New Roman"/>
        </w:rPr>
      </w:pPr>
    </w:p>
    <w:p w14:paraId="2F0ADBB3" w14:textId="77777777" w:rsidR="005065A1" w:rsidRPr="007C1A06" w:rsidRDefault="005065A1" w:rsidP="005065A1">
      <w:pPr>
        <w:tabs>
          <w:tab w:val="left" w:pos="567"/>
        </w:tabs>
        <w:spacing w:after="0" w:line="260" w:lineRule="exact"/>
        <w:rPr>
          <w:rFonts w:ascii="Times New Roman" w:hAnsi="Times New Roman"/>
          <w:shd w:val="clear" w:color="auto" w:fill="CCCCCC"/>
        </w:rPr>
      </w:pPr>
    </w:p>
    <w:p w14:paraId="4E9B37F8" w14:textId="77777777" w:rsidR="005065A1" w:rsidRPr="004E3CD5" w:rsidRDefault="005065A1" w:rsidP="005065A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EastAsia" w:hAnsi="Times New Roman"/>
          <w:i/>
          <w:lang w:eastAsia="zh-TW"/>
        </w:rPr>
      </w:pPr>
      <w:r w:rsidRPr="007C1A06">
        <w:rPr>
          <w:rFonts w:ascii="Times New Roman" w:hAnsi="Times New Roman"/>
          <w:b/>
        </w:rPr>
        <w:t>17.</w:t>
      </w:r>
      <w:r w:rsidRPr="007C1A06">
        <w:rPr>
          <w:rFonts w:ascii="Times New Roman" w:hAnsi="Times New Roman"/>
          <w:b/>
        </w:rPr>
        <w:tab/>
        <w:t>UNIKALUS IDENTIFIKATORIUS – 2D BRŪKŠNINIS KODAS</w:t>
      </w:r>
    </w:p>
    <w:p w14:paraId="33BF0C0C" w14:textId="77777777" w:rsidR="005065A1" w:rsidRPr="007C1A06" w:rsidRDefault="005065A1" w:rsidP="005065A1">
      <w:pPr>
        <w:tabs>
          <w:tab w:val="left" w:pos="567"/>
        </w:tabs>
        <w:spacing w:after="0" w:line="260" w:lineRule="exact"/>
        <w:rPr>
          <w:rFonts w:ascii="Times New Roman" w:hAnsi="Times New Roman"/>
        </w:rPr>
      </w:pPr>
    </w:p>
    <w:p w14:paraId="433DF1DD" w14:textId="77777777" w:rsidR="005065A1" w:rsidRPr="004E3CD5" w:rsidRDefault="005065A1" w:rsidP="005065A1">
      <w:pPr>
        <w:tabs>
          <w:tab w:val="left" w:pos="567"/>
        </w:tabs>
        <w:spacing w:after="0" w:line="260" w:lineRule="exact"/>
        <w:rPr>
          <w:rFonts w:ascii="Times New Roman" w:eastAsiaTheme="minorEastAsia" w:hAnsi="Times New Roman"/>
          <w:i/>
          <w:highlight w:val="lightGray"/>
          <w:lang w:eastAsia="zh-TW"/>
        </w:rPr>
      </w:pPr>
      <w:r w:rsidRPr="007C1A06">
        <w:rPr>
          <w:rFonts w:ascii="Times New Roman" w:hAnsi="Times New Roman"/>
          <w:i/>
          <w:highlight w:val="lightGray"/>
        </w:rPr>
        <w:t>Tik kartono dėžutei:</w:t>
      </w:r>
    </w:p>
    <w:p w14:paraId="3A748C65" w14:textId="77777777" w:rsidR="005065A1" w:rsidRPr="004E3CD5" w:rsidRDefault="005065A1" w:rsidP="005065A1">
      <w:pPr>
        <w:tabs>
          <w:tab w:val="left" w:pos="567"/>
        </w:tabs>
        <w:spacing w:after="0" w:line="260" w:lineRule="exact"/>
        <w:rPr>
          <w:rFonts w:ascii="Times New Roman" w:eastAsiaTheme="minorEastAsia" w:hAnsi="Times New Roman"/>
          <w:shd w:val="clear" w:color="auto" w:fill="CCCCCC"/>
          <w:lang w:eastAsia="zh-TW"/>
        </w:rPr>
      </w:pPr>
      <w:r w:rsidRPr="007C1A06">
        <w:rPr>
          <w:rFonts w:ascii="Times New Roman" w:hAnsi="Times New Roman"/>
          <w:highlight w:val="lightGray"/>
        </w:rPr>
        <w:t>2D brūkšninis kodas su nurodytu unikaliu identifikatoriumi.</w:t>
      </w:r>
    </w:p>
    <w:p w14:paraId="243AC1C1" w14:textId="77777777" w:rsidR="005065A1" w:rsidRPr="007C1A06" w:rsidRDefault="005065A1" w:rsidP="005065A1">
      <w:pPr>
        <w:tabs>
          <w:tab w:val="left" w:pos="567"/>
        </w:tabs>
        <w:spacing w:after="0" w:line="260" w:lineRule="exact"/>
        <w:rPr>
          <w:rFonts w:ascii="Times New Roman" w:hAnsi="Times New Roman"/>
          <w:shd w:val="clear" w:color="auto" w:fill="CCCCCC"/>
        </w:rPr>
      </w:pPr>
    </w:p>
    <w:p w14:paraId="7D27D264" w14:textId="77777777" w:rsidR="005065A1" w:rsidRPr="007C1A06" w:rsidRDefault="005065A1" w:rsidP="005065A1">
      <w:pPr>
        <w:tabs>
          <w:tab w:val="left" w:pos="567"/>
        </w:tabs>
        <w:spacing w:after="0" w:line="260" w:lineRule="exact"/>
        <w:rPr>
          <w:rFonts w:ascii="Times New Roman" w:hAnsi="Times New Roman"/>
        </w:rPr>
      </w:pPr>
    </w:p>
    <w:p w14:paraId="7BBF38E4" w14:textId="77777777" w:rsidR="005065A1" w:rsidRPr="004E3CD5" w:rsidRDefault="005065A1" w:rsidP="005065A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EastAsia" w:hAnsi="Times New Roman"/>
          <w:i/>
          <w:lang w:eastAsia="zh-TW"/>
        </w:rPr>
      </w:pPr>
      <w:r w:rsidRPr="007C1A06">
        <w:rPr>
          <w:rFonts w:ascii="Times New Roman" w:hAnsi="Times New Roman"/>
          <w:b/>
        </w:rPr>
        <w:t>18.</w:t>
      </w:r>
      <w:r w:rsidRPr="007C1A06">
        <w:rPr>
          <w:rFonts w:ascii="Times New Roman" w:hAnsi="Times New Roman"/>
          <w:b/>
        </w:rPr>
        <w:tab/>
        <w:t>UNIKALUS IDENTIFIKATORIUS – ŽMONĖMS SUPRANTAMI DUOMENYS</w:t>
      </w:r>
    </w:p>
    <w:p w14:paraId="71F678B0" w14:textId="77777777" w:rsidR="005065A1" w:rsidRPr="007C1A06" w:rsidRDefault="005065A1" w:rsidP="005065A1">
      <w:pPr>
        <w:tabs>
          <w:tab w:val="left" w:pos="567"/>
        </w:tabs>
        <w:spacing w:after="0" w:line="260" w:lineRule="exact"/>
        <w:rPr>
          <w:rFonts w:ascii="Times New Roman" w:hAnsi="Times New Roman"/>
        </w:rPr>
      </w:pPr>
    </w:p>
    <w:p w14:paraId="1780ED81" w14:textId="77777777" w:rsidR="005065A1" w:rsidRPr="004E3CD5" w:rsidRDefault="005065A1" w:rsidP="005065A1">
      <w:pPr>
        <w:tabs>
          <w:tab w:val="left" w:pos="567"/>
        </w:tabs>
        <w:spacing w:after="0" w:line="260" w:lineRule="exact"/>
        <w:rPr>
          <w:rFonts w:ascii="Times New Roman" w:eastAsiaTheme="minorEastAsia" w:hAnsi="Times New Roman"/>
          <w:i/>
          <w:lang w:eastAsia="zh-TW"/>
        </w:rPr>
      </w:pPr>
      <w:r w:rsidRPr="007C1A06">
        <w:rPr>
          <w:rFonts w:ascii="Times New Roman" w:hAnsi="Times New Roman"/>
          <w:i/>
          <w:highlight w:val="lightGray"/>
        </w:rPr>
        <w:t>Tik kartono dėžutei:</w:t>
      </w:r>
    </w:p>
    <w:p w14:paraId="48242130" w14:textId="77777777" w:rsidR="005065A1" w:rsidRPr="004E3CD5" w:rsidRDefault="005065A1" w:rsidP="005065A1">
      <w:pPr>
        <w:tabs>
          <w:tab w:val="left" w:pos="567"/>
        </w:tabs>
        <w:spacing w:after="0" w:line="260" w:lineRule="exact"/>
        <w:rPr>
          <w:rFonts w:ascii="Times New Roman" w:eastAsiaTheme="minorEastAsia" w:hAnsi="Times New Roman"/>
          <w:color w:val="008000"/>
          <w:lang w:eastAsia="zh-TW"/>
        </w:rPr>
      </w:pPr>
      <w:r w:rsidRPr="007C1A06">
        <w:rPr>
          <w:rFonts w:ascii="Times New Roman" w:hAnsi="Times New Roman"/>
        </w:rPr>
        <w:t>PC: {numeris}</w:t>
      </w:r>
    </w:p>
    <w:p w14:paraId="2D1A188A" w14:textId="77777777" w:rsidR="005065A1" w:rsidRPr="004E3CD5" w:rsidRDefault="005065A1" w:rsidP="005065A1">
      <w:pPr>
        <w:tabs>
          <w:tab w:val="left" w:pos="567"/>
        </w:tabs>
        <w:spacing w:after="0" w:line="260" w:lineRule="exact"/>
        <w:rPr>
          <w:rFonts w:ascii="Times New Roman" w:eastAsiaTheme="minorEastAsia" w:hAnsi="Times New Roman"/>
          <w:lang w:eastAsia="zh-TW"/>
        </w:rPr>
      </w:pPr>
      <w:r w:rsidRPr="007C1A06">
        <w:rPr>
          <w:rFonts w:ascii="Times New Roman" w:hAnsi="Times New Roman"/>
        </w:rPr>
        <w:t>SN: {numeris}</w:t>
      </w:r>
    </w:p>
    <w:p w14:paraId="5D2C2166" w14:textId="77777777" w:rsidR="005065A1" w:rsidRPr="004E3CD5" w:rsidRDefault="005065A1" w:rsidP="005065A1">
      <w:pPr>
        <w:spacing w:after="0" w:line="240" w:lineRule="auto"/>
        <w:rPr>
          <w:rFonts w:ascii="Times New Roman" w:eastAsiaTheme="minorEastAsia" w:hAnsi="Times New Roman"/>
          <w:lang w:eastAsia="zh-TW"/>
        </w:rPr>
      </w:pPr>
      <w:r w:rsidRPr="007C1A06">
        <w:rPr>
          <w:rFonts w:ascii="Times New Roman" w:hAnsi="Times New Roman"/>
          <w:highlight w:val="lightGray"/>
        </w:rPr>
        <w:t>NN: {numeris}</w:t>
      </w:r>
    </w:p>
    <w:p w14:paraId="010A39E6"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p>
    <w:p w14:paraId="005BD8FE"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r w:rsidRPr="007C1A06">
        <w:rPr>
          <w:rFonts w:ascii="Times New Roman" w:hAnsi="Times New Roman"/>
          <w:b/>
          <w:caps/>
        </w:rPr>
        <w:br w:type="page"/>
      </w:r>
    </w:p>
    <w:p w14:paraId="5EA030BC" w14:textId="77777777" w:rsidR="0060700D" w:rsidRPr="007C1A06" w:rsidRDefault="0060700D" w:rsidP="006070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C1A06">
        <w:rPr>
          <w:rFonts w:ascii="Times New Roman" w:eastAsia="Times New Roman" w:hAnsi="Times New Roman" w:cs="Times New Roman"/>
          <w:b/>
        </w:rPr>
        <w:t>MINIMALI INFORMACIJA ANT MAŽŲ VIDINIŲ</w:t>
      </w:r>
      <w:r w:rsidR="00C722B4">
        <w:rPr>
          <w:rFonts w:ascii="Times New Roman" w:eastAsia="Times New Roman" w:hAnsi="Times New Roman" w:cs="Times New Roman"/>
          <w:b/>
        </w:rPr>
        <w:t xml:space="preserve"> </w:t>
      </w:r>
      <w:r w:rsidRPr="007C1A06">
        <w:rPr>
          <w:rFonts w:ascii="Times New Roman" w:eastAsia="Times New Roman" w:hAnsi="Times New Roman" w:cs="Times New Roman"/>
          <w:b/>
        </w:rPr>
        <w:t>PAKUOČIŲ</w:t>
      </w:r>
    </w:p>
    <w:p w14:paraId="427A84EF" w14:textId="77777777" w:rsidR="0060700D" w:rsidRPr="007C1A06" w:rsidRDefault="0060700D" w:rsidP="006070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714A90B9" w14:textId="77777777" w:rsidR="0060700D" w:rsidRPr="007C1A06" w:rsidRDefault="0060700D" w:rsidP="006070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C1A06">
        <w:rPr>
          <w:rFonts w:ascii="Times New Roman" w:eastAsia="Times New Roman" w:hAnsi="Times New Roman" w:cs="Times New Roman"/>
          <w:b/>
        </w:rPr>
        <w:t xml:space="preserve">FLAKONO ETIKETĖ – </w:t>
      </w:r>
      <w:r>
        <w:rPr>
          <w:rFonts w:ascii="Times New Roman" w:eastAsia="Times New Roman" w:hAnsi="Times New Roman" w:cs="Times New Roman"/>
          <w:b/>
        </w:rPr>
        <w:t>16</w:t>
      </w:r>
      <w:r w:rsidRPr="007C1A06">
        <w:rPr>
          <w:rFonts w:ascii="Times New Roman" w:eastAsia="Times New Roman" w:hAnsi="Times New Roman" w:cs="Times New Roman"/>
          <w:b/>
        </w:rPr>
        <w:t>0 mg/</w:t>
      </w:r>
      <w:r>
        <w:rPr>
          <w:rFonts w:ascii="Times New Roman" w:eastAsia="Times New Roman" w:hAnsi="Times New Roman" w:cs="Times New Roman"/>
          <w:b/>
        </w:rPr>
        <w:t>16</w:t>
      </w:r>
      <w:r w:rsidRPr="007C1A06">
        <w:rPr>
          <w:rFonts w:ascii="Times New Roman" w:eastAsia="Times New Roman" w:hAnsi="Times New Roman" w:cs="Times New Roman"/>
          <w:b/>
        </w:rPr>
        <w:t xml:space="preserve"> ml </w:t>
      </w:r>
    </w:p>
    <w:p w14:paraId="549F097C" w14:textId="77777777" w:rsidR="0060700D" w:rsidRPr="007C1A06" w:rsidRDefault="0060700D" w:rsidP="0060700D">
      <w:pPr>
        <w:spacing w:after="0" w:line="240" w:lineRule="auto"/>
        <w:rPr>
          <w:rFonts w:ascii="Times New Roman" w:eastAsia="Times New Roman" w:hAnsi="Times New Roman" w:cs="Times New Roman"/>
        </w:rPr>
      </w:pPr>
    </w:p>
    <w:p w14:paraId="743BB2AF" w14:textId="77777777" w:rsidR="0060700D" w:rsidRPr="007C1A06" w:rsidRDefault="0060700D" w:rsidP="0060700D">
      <w:pPr>
        <w:spacing w:after="0" w:line="240" w:lineRule="auto"/>
        <w:rPr>
          <w:rFonts w:ascii="Times New Roman" w:eastAsia="Times New Roman" w:hAnsi="Times New Roman" w:cs="Times New Roman"/>
        </w:rPr>
      </w:pPr>
    </w:p>
    <w:p w14:paraId="3142DF35" w14:textId="77777777" w:rsidR="0060700D" w:rsidRPr="007C1A06" w:rsidRDefault="0060700D" w:rsidP="006070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C1A06">
        <w:rPr>
          <w:rFonts w:ascii="Times New Roman" w:eastAsia="Times New Roman" w:hAnsi="Times New Roman" w:cs="Times New Roman"/>
          <w:b/>
        </w:rPr>
        <w:t>1.</w:t>
      </w:r>
      <w:r w:rsidRPr="007C1A06">
        <w:rPr>
          <w:rFonts w:ascii="Times New Roman" w:eastAsia="Times New Roman" w:hAnsi="Times New Roman" w:cs="Times New Roman"/>
          <w:b/>
        </w:rPr>
        <w:tab/>
        <w:t>VAISTINIO PREPARATO PAVADINIMAS IR VARTOJIMO BŪDAS (-AI)</w:t>
      </w:r>
    </w:p>
    <w:p w14:paraId="6D79C300" w14:textId="77777777" w:rsidR="0060700D" w:rsidRPr="007C1A06" w:rsidRDefault="0060700D" w:rsidP="0060700D">
      <w:pPr>
        <w:spacing w:after="0" w:line="240" w:lineRule="auto"/>
        <w:rPr>
          <w:rFonts w:ascii="Times New Roman" w:eastAsia="Times New Roman" w:hAnsi="Times New Roman" w:cs="Times New Roman"/>
        </w:rPr>
      </w:pPr>
    </w:p>
    <w:p w14:paraId="733AD387" w14:textId="77777777" w:rsidR="0060700D" w:rsidRPr="007C1A06" w:rsidRDefault="0060700D" w:rsidP="0060700D">
      <w:pPr>
        <w:spacing w:after="0" w:line="240" w:lineRule="auto"/>
        <w:rPr>
          <w:rFonts w:ascii="Times New Roman" w:eastAsia="Times New Roman" w:hAnsi="Times New Roman" w:cs="Times New Roman"/>
        </w:rPr>
      </w:pPr>
      <w:r w:rsidRPr="007C1A06">
        <w:rPr>
          <w:rFonts w:ascii="Times New Roman" w:eastAsia="Times New Roman" w:hAnsi="Times New Roman" w:cs="Times New Roman"/>
        </w:rPr>
        <w:t>Docetaxel Ebewe 10 mg/ml koncentratas infuziniam tirpalui</w:t>
      </w:r>
    </w:p>
    <w:p w14:paraId="32D1DE0D" w14:textId="77777777" w:rsidR="0060700D" w:rsidRPr="007C1A06" w:rsidRDefault="00F373DC" w:rsidP="0060700D">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0700D" w:rsidRPr="007C1A06">
        <w:rPr>
          <w:rFonts w:ascii="Times New Roman" w:eastAsia="Times New Roman" w:hAnsi="Times New Roman" w:cs="Times New Roman"/>
        </w:rPr>
        <w:t>ocetakselis</w:t>
      </w:r>
    </w:p>
    <w:p w14:paraId="384063E0" w14:textId="77777777" w:rsidR="0060700D" w:rsidRPr="007C1A06" w:rsidRDefault="0060700D" w:rsidP="0060700D">
      <w:pPr>
        <w:spacing w:after="0" w:line="240" w:lineRule="auto"/>
        <w:rPr>
          <w:rFonts w:ascii="Times New Roman" w:eastAsia="Times New Roman" w:hAnsi="Times New Roman" w:cs="Times New Roman"/>
        </w:rPr>
      </w:pPr>
      <w:r>
        <w:rPr>
          <w:rFonts w:ascii="Times New Roman" w:eastAsia="Times New Roman" w:hAnsi="Times New Roman" w:cs="Times New Roman"/>
        </w:rPr>
        <w:t>Leisti į veną.</w:t>
      </w:r>
    </w:p>
    <w:p w14:paraId="19446956" w14:textId="77777777" w:rsidR="0060700D" w:rsidRPr="007C1A06" w:rsidRDefault="0060700D" w:rsidP="0060700D">
      <w:pPr>
        <w:spacing w:after="0" w:line="240" w:lineRule="auto"/>
        <w:rPr>
          <w:rFonts w:ascii="Times New Roman" w:eastAsia="Times New Roman" w:hAnsi="Times New Roman" w:cs="Times New Roman"/>
        </w:rPr>
      </w:pPr>
    </w:p>
    <w:p w14:paraId="7089BD5D" w14:textId="77777777" w:rsidR="0060700D" w:rsidRPr="007C1A06" w:rsidRDefault="0060700D" w:rsidP="0060700D">
      <w:pPr>
        <w:spacing w:after="0" w:line="240" w:lineRule="auto"/>
        <w:rPr>
          <w:rFonts w:ascii="Times New Roman" w:eastAsia="Times New Roman" w:hAnsi="Times New Roman" w:cs="Times New Roman"/>
        </w:rPr>
      </w:pPr>
    </w:p>
    <w:p w14:paraId="6F3290AB" w14:textId="77777777" w:rsidR="0060700D" w:rsidRPr="007C1A06" w:rsidRDefault="0060700D" w:rsidP="006070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C1A06">
        <w:rPr>
          <w:rFonts w:ascii="Times New Roman" w:eastAsia="Times New Roman" w:hAnsi="Times New Roman" w:cs="Times New Roman"/>
          <w:b/>
        </w:rPr>
        <w:t>2.</w:t>
      </w:r>
      <w:r w:rsidRPr="007C1A06">
        <w:rPr>
          <w:rFonts w:ascii="Times New Roman" w:eastAsia="Times New Roman" w:hAnsi="Times New Roman" w:cs="Times New Roman"/>
          <w:b/>
        </w:rPr>
        <w:tab/>
        <w:t>VARTOJIMO METODAS</w:t>
      </w:r>
    </w:p>
    <w:p w14:paraId="01E4E1F1" w14:textId="77777777" w:rsidR="0060700D" w:rsidRPr="007C1A06" w:rsidRDefault="0060700D" w:rsidP="0060700D">
      <w:pPr>
        <w:spacing w:after="0" w:line="240" w:lineRule="auto"/>
        <w:rPr>
          <w:rFonts w:ascii="Times New Roman" w:eastAsia="Times New Roman" w:hAnsi="Times New Roman" w:cs="Times New Roman"/>
        </w:rPr>
      </w:pPr>
    </w:p>
    <w:p w14:paraId="44BC8ABB" w14:textId="06C20E05" w:rsidR="0060700D" w:rsidRPr="004E3CD5" w:rsidRDefault="0060700D" w:rsidP="0060700D">
      <w:pPr>
        <w:spacing w:after="0" w:line="240" w:lineRule="auto"/>
        <w:rPr>
          <w:rFonts w:ascii="Times New Roman" w:hAnsi="Times New Roman"/>
        </w:rPr>
      </w:pPr>
      <w:r w:rsidRPr="004E3CD5">
        <w:rPr>
          <w:rFonts w:ascii="Times New Roman" w:hAnsi="Times New Roman"/>
        </w:rPr>
        <w:t xml:space="preserve">Prieš vartojimą </w:t>
      </w:r>
      <w:r w:rsidR="00EC2A59">
        <w:rPr>
          <w:rFonts w:ascii="Times New Roman" w:hAnsi="Times New Roman"/>
        </w:rPr>
        <w:t>PRIVALOMA</w:t>
      </w:r>
      <w:r w:rsidR="00EC2A59" w:rsidRPr="004E3CD5">
        <w:rPr>
          <w:rFonts w:ascii="Times New Roman" w:hAnsi="Times New Roman"/>
        </w:rPr>
        <w:t xml:space="preserve"> </w:t>
      </w:r>
      <w:r w:rsidRPr="004E3CD5">
        <w:rPr>
          <w:rFonts w:ascii="Times New Roman" w:hAnsi="Times New Roman"/>
        </w:rPr>
        <w:t>praskiesti.</w:t>
      </w:r>
    </w:p>
    <w:p w14:paraId="2D1B643F" w14:textId="77777777" w:rsidR="00EC2A59" w:rsidRDefault="00EC2A59" w:rsidP="0060700D">
      <w:pPr>
        <w:spacing w:after="0" w:line="240" w:lineRule="auto"/>
        <w:rPr>
          <w:rFonts w:ascii="Times New Roman" w:eastAsia="Times New Roman" w:hAnsi="Times New Roman" w:cs="Times New Roman"/>
        </w:rPr>
      </w:pPr>
    </w:p>
    <w:p w14:paraId="28DA1F2F" w14:textId="77777777" w:rsidR="0060700D" w:rsidRDefault="0060700D" w:rsidP="0060700D">
      <w:pPr>
        <w:spacing w:after="0" w:line="240" w:lineRule="auto"/>
        <w:rPr>
          <w:rFonts w:ascii="Times New Roman" w:eastAsia="Times New Roman" w:hAnsi="Times New Roman" w:cs="Times New Roman"/>
        </w:rPr>
      </w:pPr>
    </w:p>
    <w:p w14:paraId="7C7DD4F8" w14:textId="77777777" w:rsidR="00EC2A59" w:rsidRPr="007C1A06" w:rsidRDefault="00EC2A59" w:rsidP="0060700D">
      <w:pPr>
        <w:spacing w:after="0" w:line="240" w:lineRule="auto"/>
        <w:rPr>
          <w:rFonts w:ascii="Times New Roman" w:eastAsia="Times New Roman" w:hAnsi="Times New Roman" w:cs="Times New Roman"/>
        </w:rPr>
      </w:pPr>
    </w:p>
    <w:p w14:paraId="52EB291C" w14:textId="77777777" w:rsidR="0060700D" w:rsidRPr="007C1A06" w:rsidRDefault="0060700D" w:rsidP="006070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C1A06">
        <w:rPr>
          <w:rFonts w:ascii="Times New Roman" w:eastAsia="Times New Roman" w:hAnsi="Times New Roman" w:cs="Times New Roman"/>
          <w:b/>
        </w:rPr>
        <w:t>3.</w:t>
      </w:r>
      <w:r w:rsidRPr="007C1A06">
        <w:rPr>
          <w:rFonts w:ascii="Times New Roman" w:eastAsia="Times New Roman" w:hAnsi="Times New Roman" w:cs="Times New Roman"/>
          <w:b/>
        </w:rPr>
        <w:tab/>
        <w:t>TINKAMUMO LAIKAS</w:t>
      </w:r>
    </w:p>
    <w:p w14:paraId="22950B9D" w14:textId="77777777" w:rsidR="0060700D" w:rsidRPr="007C1A06" w:rsidRDefault="0060700D" w:rsidP="0060700D">
      <w:pPr>
        <w:spacing w:after="0" w:line="240" w:lineRule="auto"/>
        <w:rPr>
          <w:rFonts w:ascii="Times New Roman" w:eastAsia="Times New Roman" w:hAnsi="Times New Roman" w:cs="Times New Roman"/>
        </w:rPr>
      </w:pPr>
    </w:p>
    <w:p w14:paraId="4AEB43DA" w14:textId="77777777" w:rsidR="0060700D" w:rsidRPr="00111A39" w:rsidRDefault="0060700D" w:rsidP="0060700D">
      <w:pPr>
        <w:autoSpaceDE w:val="0"/>
        <w:autoSpaceDN w:val="0"/>
        <w:adjustRightInd w:val="0"/>
        <w:spacing w:after="0" w:line="240" w:lineRule="auto"/>
        <w:rPr>
          <w:rFonts w:ascii="Times New Roman" w:eastAsia="Times New Roman" w:hAnsi="Times New Roman" w:cs="Times New Roman"/>
        </w:rPr>
      </w:pPr>
      <w:r w:rsidRPr="00111A39">
        <w:rPr>
          <w:rFonts w:ascii="Times New Roman" w:eastAsia="Times New Roman" w:hAnsi="Times New Roman" w:cs="Times New Roman"/>
        </w:rPr>
        <w:t>EXP {</w:t>
      </w:r>
      <w:r>
        <w:rPr>
          <w:rFonts w:ascii="Times New Roman" w:eastAsia="Times New Roman" w:hAnsi="Times New Roman" w:cs="Times New Roman"/>
        </w:rPr>
        <w:t xml:space="preserve">mm </w:t>
      </w:r>
      <w:r w:rsidRPr="00111A39">
        <w:rPr>
          <w:rFonts w:ascii="Times New Roman" w:eastAsia="Times New Roman" w:hAnsi="Times New Roman" w:cs="Times New Roman"/>
        </w:rPr>
        <w:t>MMMM}</w:t>
      </w:r>
    </w:p>
    <w:p w14:paraId="3E96D66A" w14:textId="77777777" w:rsidR="0060700D" w:rsidRPr="00B61C0F" w:rsidRDefault="0060700D" w:rsidP="0060700D">
      <w:pPr>
        <w:spacing w:after="0" w:line="240" w:lineRule="auto"/>
        <w:rPr>
          <w:rFonts w:ascii="Times New Roman" w:eastAsia="Times New Roman" w:hAnsi="Times New Roman" w:cs="Times New Roman"/>
        </w:rPr>
      </w:pPr>
      <w:r w:rsidRPr="00B61C0F">
        <w:rPr>
          <w:rFonts w:ascii="Times New Roman" w:eastAsia="Times New Roman" w:hAnsi="Times New Roman" w:cs="Times New Roman"/>
        </w:rPr>
        <w:t>Tinkamumo laikas po pirmojo atidarymo:</w:t>
      </w:r>
    </w:p>
    <w:p w14:paraId="3BAC80A4" w14:textId="77777777" w:rsidR="0060700D" w:rsidRPr="00111A39" w:rsidRDefault="0060700D" w:rsidP="0060700D">
      <w:pPr>
        <w:spacing w:after="0" w:line="240" w:lineRule="auto"/>
        <w:rPr>
          <w:rFonts w:ascii="Times New Roman" w:eastAsia="Times New Roman" w:hAnsi="Times New Roman" w:cs="Times New Roman"/>
        </w:rPr>
      </w:pPr>
      <w:r w:rsidRPr="00B61C0F">
        <w:rPr>
          <w:rFonts w:ascii="Times New Roman" w:eastAsia="Times New Roman" w:hAnsi="Times New Roman" w:cs="Times New Roman"/>
        </w:rPr>
        <w:t xml:space="preserve">Vaisto turi būti vartojama ne ilgiau kaip </w:t>
      </w:r>
      <w:r w:rsidRPr="00111A39">
        <w:rPr>
          <w:rFonts w:ascii="Times New Roman" w:eastAsia="Times New Roman" w:hAnsi="Times New Roman" w:cs="Times New Roman"/>
        </w:rPr>
        <w:t>28</w:t>
      </w:r>
      <w:r>
        <w:rPr>
          <w:rFonts w:ascii="Times New Roman" w:eastAsia="Times New Roman" w:hAnsi="Times New Roman" w:cs="Times New Roman"/>
        </w:rPr>
        <w:t> </w:t>
      </w:r>
      <w:r w:rsidRPr="00111A39">
        <w:rPr>
          <w:rFonts w:ascii="Times New Roman" w:eastAsia="Times New Roman" w:hAnsi="Times New Roman" w:cs="Times New Roman"/>
        </w:rPr>
        <w:t>paras.</w:t>
      </w:r>
    </w:p>
    <w:p w14:paraId="63CFEF23" w14:textId="77777777" w:rsidR="0060700D" w:rsidRPr="007C1A06" w:rsidRDefault="0060700D" w:rsidP="0060700D">
      <w:pPr>
        <w:spacing w:after="0" w:line="240" w:lineRule="auto"/>
        <w:rPr>
          <w:rFonts w:ascii="Times New Roman" w:eastAsia="Times New Roman" w:hAnsi="Times New Roman" w:cs="Times New Roman"/>
        </w:rPr>
      </w:pPr>
    </w:p>
    <w:p w14:paraId="3B161092" w14:textId="77777777" w:rsidR="0060700D" w:rsidRPr="007C1A06" w:rsidRDefault="0060700D" w:rsidP="0060700D">
      <w:pPr>
        <w:spacing w:after="0" w:line="240" w:lineRule="auto"/>
        <w:rPr>
          <w:rFonts w:ascii="Times New Roman" w:eastAsia="Times New Roman" w:hAnsi="Times New Roman" w:cs="Times New Roman"/>
        </w:rPr>
      </w:pPr>
    </w:p>
    <w:p w14:paraId="5886785F" w14:textId="77777777" w:rsidR="0060700D" w:rsidRPr="007C1A06" w:rsidRDefault="0060700D" w:rsidP="006070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C1A06">
        <w:rPr>
          <w:rFonts w:ascii="Times New Roman" w:eastAsia="Times New Roman" w:hAnsi="Times New Roman" w:cs="Times New Roman"/>
          <w:b/>
        </w:rPr>
        <w:t>4.</w:t>
      </w:r>
      <w:r w:rsidRPr="007C1A06">
        <w:rPr>
          <w:rFonts w:ascii="Times New Roman" w:eastAsia="Times New Roman" w:hAnsi="Times New Roman" w:cs="Times New Roman"/>
          <w:b/>
        </w:rPr>
        <w:tab/>
        <w:t>SERIJOS NUMERIS</w:t>
      </w:r>
    </w:p>
    <w:p w14:paraId="39C4AB5B" w14:textId="77777777" w:rsidR="0060700D" w:rsidRPr="007C1A06" w:rsidRDefault="0060700D" w:rsidP="0060700D">
      <w:pPr>
        <w:spacing w:after="0" w:line="240" w:lineRule="auto"/>
        <w:rPr>
          <w:rFonts w:ascii="Times New Roman" w:eastAsia="Times New Roman" w:hAnsi="Times New Roman" w:cs="Times New Roman"/>
        </w:rPr>
      </w:pPr>
    </w:p>
    <w:p w14:paraId="48EE898A" w14:textId="77777777" w:rsidR="0060700D" w:rsidRPr="007C1A06" w:rsidRDefault="0060700D" w:rsidP="0060700D">
      <w:pPr>
        <w:autoSpaceDE w:val="0"/>
        <w:autoSpaceDN w:val="0"/>
        <w:adjustRightInd w:val="0"/>
        <w:spacing w:after="0" w:line="240" w:lineRule="auto"/>
        <w:rPr>
          <w:rFonts w:ascii="Times New Roman" w:eastAsia="Times New Roman" w:hAnsi="Times New Roman" w:cs="Times New Roman"/>
        </w:rPr>
      </w:pPr>
      <w:r w:rsidRPr="007C1A06">
        <w:rPr>
          <w:rFonts w:ascii="Times New Roman" w:eastAsia="Times New Roman" w:hAnsi="Times New Roman" w:cs="Times New Roman"/>
        </w:rPr>
        <w:t>Lot</w:t>
      </w:r>
    </w:p>
    <w:p w14:paraId="021F57EA" w14:textId="77777777" w:rsidR="0060700D" w:rsidRPr="007C1A06" w:rsidRDefault="0060700D" w:rsidP="0060700D">
      <w:pPr>
        <w:spacing w:after="0" w:line="240" w:lineRule="auto"/>
        <w:rPr>
          <w:rFonts w:ascii="Times New Roman" w:eastAsia="Times New Roman" w:hAnsi="Times New Roman" w:cs="Times New Roman"/>
        </w:rPr>
      </w:pPr>
    </w:p>
    <w:p w14:paraId="077C6B40" w14:textId="77777777" w:rsidR="0060700D" w:rsidRPr="007C1A06" w:rsidRDefault="0060700D" w:rsidP="0060700D">
      <w:pPr>
        <w:spacing w:after="0" w:line="240" w:lineRule="auto"/>
        <w:rPr>
          <w:rFonts w:ascii="Times New Roman" w:eastAsia="Times New Roman" w:hAnsi="Times New Roman" w:cs="Times New Roman"/>
        </w:rPr>
      </w:pPr>
    </w:p>
    <w:p w14:paraId="4B2B356B" w14:textId="77777777" w:rsidR="0060700D" w:rsidRPr="007C1A06" w:rsidRDefault="0060700D" w:rsidP="006070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C1A06">
        <w:rPr>
          <w:rFonts w:ascii="Times New Roman" w:eastAsia="Times New Roman" w:hAnsi="Times New Roman" w:cs="Times New Roman"/>
          <w:b/>
        </w:rPr>
        <w:t>5.</w:t>
      </w:r>
      <w:r w:rsidRPr="007C1A06">
        <w:rPr>
          <w:rFonts w:ascii="Times New Roman" w:eastAsia="Times New Roman" w:hAnsi="Times New Roman" w:cs="Times New Roman"/>
          <w:b/>
        </w:rPr>
        <w:tab/>
        <w:t>KIEKIS (MASĖ, TŪRIS ARBA VIENETAI)</w:t>
      </w:r>
    </w:p>
    <w:p w14:paraId="53AD190F" w14:textId="77777777" w:rsidR="0060700D" w:rsidRPr="007C1A06" w:rsidRDefault="0060700D" w:rsidP="0060700D">
      <w:pPr>
        <w:spacing w:after="0" w:line="240" w:lineRule="auto"/>
        <w:rPr>
          <w:rFonts w:ascii="Times New Roman" w:eastAsia="Times New Roman" w:hAnsi="Times New Roman" w:cs="Times New Roman"/>
        </w:rPr>
      </w:pPr>
    </w:p>
    <w:p w14:paraId="32A74524" w14:textId="77777777" w:rsidR="0060700D" w:rsidRPr="007C1A06" w:rsidRDefault="00D2003B" w:rsidP="0060700D">
      <w:pPr>
        <w:spacing w:after="0" w:line="240" w:lineRule="auto"/>
        <w:rPr>
          <w:rFonts w:ascii="Times New Roman" w:eastAsia="Times New Roman" w:hAnsi="Times New Roman" w:cs="Times New Roman"/>
        </w:rPr>
      </w:pPr>
      <w:r>
        <w:rPr>
          <w:rFonts w:ascii="Times New Roman" w:eastAsia="Times New Roman" w:hAnsi="Times New Roman" w:cs="Times New Roman"/>
        </w:rPr>
        <w:t>16</w:t>
      </w:r>
      <w:r w:rsidR="0060700D" w:rsidRPr="007C1A06">
        <w:rPr>
          <w:rFonts w:ascii="Times New Roman" w:eastAsia="Times New Roman" w:hAnsi="Times New Roman" w:cs="Times New Roman"/>
        </w:rPr>
        <w:t>0 mg/</w:t>
      </w:r>
      <w:r>
        <w:rPr>
          <w:rFonts w:ascii="Times New Roman" w:eastAsia="Times New Roman" w:hAnsi="Times New Roman" w:cs="Times New Roman"/>
        </w:rPr>
        <w:t>16</w:t>
      </w:r>
      <w:r w:rsidR="0060700D" w:rsidRPr="007C1A06">
        <w:rPr>
          <w:rFonts w:ascii="Times New Roman" w:eastAsia="Times New Roman" w:hAnsi="Times New Roman" w:cs="Times New Roman"/>
        </w:rPr>
        <w:t> ml</w:t>
      </w:r>
    </w:p>
    <w:p w14:paraId="5614571C" w14:textId="77777777" w:rsidR="0060700D" w:rsidRPr="007C1A06" w:rsidRDefault="0060700D" w:rsidP="0060700D">
      <w:pPr>
        <w:spacing w:after="0" w:line="240" w:lineRule="auto"/>
        <w:rPr>
          <w:rFonts w:ascii="Times New Roman" w:eastAsia="Times New Roman" w:hAnsi="Times New Roman" w:cs="Times New Roman"/>
        </w:rPr>
      </w:pPr>
    </w:p>
    <w:p w14:paraId="655EAFA0" w14:textId="77777777" w:rsidR="0060700D" w:rsidRPr="007C1A06" w:rsidRDefault="0060700D" w:rsidP="0060700D">
      <w:pPr>
        <w:spacing w:after="0" w:line="240" w:lineRule="auto"/>
        <w:rPr>
          <w:rFonts w:ascii="Times New Roman" w:eastAsia="Times New Roman" w:hAnsi="Times New Roman" w:cs="Times New Roman"/>
        </w:rPr>
      </w:pPr>
    </w:p>
    <w:p w14:paraId="7C8480E3" w14:textId="77777777" w:rsidR="0060700D" w:rsidRPr="007C1A06" w:rsidRDefault="0060700D" w:rsidP="006070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C1A06">
        <w:rPr>
          <w:rFonts w:ascii="Times New Roman" w:eastAsia="Times New Roman" w:hAnsi="Times New Roman" w:cs="Times New Roman"/>
          <w:b/>
        </w:rPr>
        <w:t>6.</w:t>
      </w:r>
      <w:r w:rsidRPr="007C1A06">
        <w:rPr>
          <w:rFonts w:ascii="Times New Roman" w:eastAsia="Times New Roman" w:hAnsi="Times New Roman" w:cs="Times New Roman"/>
          <w:b/>
        </w:rPr>
        <w:tab/>
        <w:t>KITA</w:t>
      </w:r>
    </w:p>
    <w:p w14:paraId="025176A9" w14:textId="77777777" w:rsidR="0060700D" w:rsidRPr="007C1A06" w:rsidRDefault="0060700D" w:rsidP="0060700D">
      <w:pPr>
        <w:spacing w:after="0" w:line="240" w:lineRule="auto"/>
        <w:rPr>
          <w:rFonts w:ascii="Times New Roman" w:eastAsia="Times New Roman" w:hAnsi="Times New Roman" w:cs="Times New Roman"/>
        </w:rPr>
      </w:pPr>
    </w:p>
    <w:p w14:paraId="0A41DDFB" w14:textId="77777777" w:rsidR="0060700D" w:rsidRPr="007C1A06" w:rsidRDefault="0060700D" w:rsidP="0060700D">
      <w:pPr>
        <w:spacing w:after="0" w:line="240" w:lineRule="auto"/>
        <w:rPr>
          <w:rFonts w:ascii="Times New Roman" w:eastAsia="Times New Roman" w:hAnsi="Times New Roman" w:cs="Times New Roman"/>
        </w:rPr>
      </w:pPr>
      <w:r w:rsidRPr="007C1A06">
        <w:rPr>
          <w:rFonts w:ascii="Times New Roman" w:eastAsia="Times New Roman" w:hAnsi="Times New Roman" w:cs="Times New Roman"/>
        </w:rPr>
        <w:t>Citotoksinis vaistas</w:t>
      </w:r>
      <w:r>
        <w:rPr>
          <w:rFonts w:ascii="Times New Roman" w:eastAsia="Times New Roman" w:hAnsi="Times New Roman" w:cs="Times New Roman"/>
        </w:rPr>
        <w:t>.</w:t>
      </w:r>
    </w:p>
    <w:p w14:paraId="1BED9C96" w14:textId="77777777" w:rsidR="0060700D" w:rsidRPr="007C1A06" w:rsidRDefault="0060700D" w:rsidP="0060700D">
      <w:pPr>
        <w:spacing w:after="0" w:line="240" w:lineRule="auto"/>
        <w:rPr>
          <w:rFonts w:ascii="Times New Roman" w:eastAsia="Times New Roman" w:hAnsi="Times New Roman" w:cs="Times New Roman"/>
        </w:rPr>
      </w:pPr>
    </w:p>
    <w:p w14:paraId="059CEC05" w14:textId="438397E0" w:rsidR="00EC2A59" w:rsidRDefault="00EC2A59">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2A664B3C" w14:textId="77777777" w:rsidR="0060700D" w:rsidRPr="007C1A06" w:rsidRDefault="0060700D" w:rsidP="0060700D">
      <w:pPr>
        <w:spacing w:after="0" w:line="240" w:lineRule="auto"/>
        <w:rPr>
          <w:rFonts w:ascii="Times New Roman" w:eastAsia="Times New Roman" w:hAnsi="Times New Roman" w:cs="Times New Roman"/>
        </w:rPr>
      </w:pPr>
    </w:p>
    <w:p w14:paraId="174ED566" w14:textId="77777777" w:rsidR="00D875C0" w:rsidRPr="007C1A06" w:rsidRDefault="00D875C0" w:rsidP="00D875C0">
      <w:pPr>
        <w:tabs>
          <w:tab w:val="left" w:pos="567"/>
        </w:tabs>
        <w:spacing w:after="0" w:line="240" w:lineRule="auto"/>
        <w:ind w:left="567" w:hanging="567"/>
        <w:jc w:val="center"/>
        <w:outlineLvl w:val="0"/>
        <w:rPr>
          <w:rFonts w:ascii="Times New Roman" w:eastAsia="Times New Roman" w:hAnsi="Times New Roman" w:cs="Times New Roman"/>
          <w:b/>
          <w:caps/>
        </w:rPr>
      </w:pPr>
    </w:p>
    <w:p w14:paraId="465D6972" w14:textId="77777777" w:rsidR="00D875C0" w:rsidRPr="00F95B76" w:rsidRDefault="00D875C0" w:rsidP="00D875C0">
      <w:pPr>
        <w:tabs>
          <w:tab w:val="left" w:pos="567"/>
        </w:tabs>
        <w:spacing w:after="0" w:line="240" w:lineRule="auto"/>
        <w:ind w:left="567" w:hanging="567"/>
        <w:jc w:val="center"/>
        <w:outlineLvl w:val="0"/>
        <w:rPr>
          <w:rFonts w:ascii="Times New Roman" w:hAnsi="Times New Roman"/>
          <w:b/>
          <w:caps/>
        </w:rPr>
      </w:pPr>
    </w:p>
    <w:p w14:paraId="08A30785" w14:textId="77777777" w:rsidR="00D875C0" w:rsidRPr="001F2C46" w:rsidRDefault="00D875C0" w:rsidP="00D875C0">
      <w:pPr>
        <w:tabs>
          <w:tab w:val="left" w:pos="567"/>
        </w:tabs>
        <w:spacing w:after="0" w:line="240" w:lineRule="auto"/>
        <w:ind w:left="567" w:hanging="567"/>
        <w:jc w:val="center"/>
        <w:outlineLvl w:val="0"/>
        <w:rPr>
          <w:rFonts w:ascii="Times New Roman" w:hAnsi="Times New Roman"/>
          <w:b/>
          <w:caps/>
        </w:rPr>
      </w:pPr>
    </w:p>
    <w:p w14:paraId="71642945" w14:textId="77777777" w:rsidR="00D875C0" w:rsidRPr="00427D92" w:rsidRDefault="00D875C0" w:rsidP="00D875C0">
      <w:pPr>
        <w:tabs>
          <w:tab w:val="left" w:pos="567"/>
        </w:tabs>
        <w:spacing w:after="0" w:line="240" w:lineRule="auto"/>
        <w:ind w:left="567" w:hanging="567"/>
        <w:jc w:val="center"/>
        <w:outlineLvl w:val="0"/>
        <w:rPr>
          <w:rFonts w:ascii="Times New Roman" w:hAnsi="Times New Roman"/>
          <w:b/>
          <w:caps/>
        </w:rPr>
      </w:pPr>
    </w:p>
    <w:p w14:paraId="2A901F7F" w14:textId="77777777" w:rsidR="00D875C0" w:rsidRPr="00C722B4" w:rsidRDefault="00D875C0" w:rsidP="00D875C0">
      <w:pPr>
        <w:tabs>
          <w:tab w:val="left" w:pos="567"/>
        </w:tabs>
        <w:spacing w:after="0" w:line="240" w:lineRule="auto"/>
        <w:ind w:left="567" w:hanging="567"/>
        <w:jc w:val="center"/>
        <w:outlineLvl w:val="0"/>
        <w:rPr>
          <w:rFonts w:ascii="Times New Roman" w:hAnsi="Times New Roman"/>
          <w:b/>
          <w:caps/>
        </w:rPr>
      </w:pPr>
    </w:p>
    <w:p w14:paraId="76152679"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2471D9E8"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3EC16D20"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1D844848"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76D5BBF5"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0098A2FD"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7AB1767C"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051B6432"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06DF7576"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45A9D22F"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1EF13642"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26BB4C02"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7A5FADE2"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439EAA0B"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38EE340D"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254F9836"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798F2003"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02CC0F7A"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697A5C83" w14:textId="77777777" w:rsidR="0060700D" w:rsidRDefault="0060700D" w:rsidP="00D875C0">
      <w:pPr>
        <w:tabs>
          <w:tab w:val="left" w:pos="567"/>
        </w:tabs>
        <w:spacing w:after="0" w:line="240" w:lineRule="auto"/>
        <w:ind w:left="567" w:hanging="567"/>
        <w:jc w:val="center"/>
        <w:outlineLvl w:val="0"/>
        <w:rPr>
          <w:rFonts w:ascii="Times New Roman" w:hAnsi="Times New Roman"/>
          <w:b/>
          <w:caps/>
        </w:rPr>
      </w:pPr>
    </w:p>
    <w:p w14:paraId="163BF958" w14:textId="77777777" w:rsidR="00D875C0" w:rsidRPr="007C1A06" w:rsidRDefault="00D875C0" w:rsidP="00D875C0">
      <w:pPr>
        <w:tabs>
          <w:tab w:val="left" w:pos="567"/>
        </w:tabs>
        <w:spacing w:after="0" w:line="240" w:lineRule="auto"/>
        <w:ind w:left="567" w:hanging="567"/>
        <w:jc w:val="center"/>
        <w:outlineLvl w:val="0"/>
        <w:rPr>
          <w:rFonts w:ascii="Times New Roman" w:hAnsi="Times New Roman"/>
          <w:b/>
          <w:caps/>
        </w:rPr>
      </w:pPr>
      <w:r w:rsidRPr="007C1A06">
        <w:rPr>
          <w:rFonts w:ascii="Times New Roman" w:hAnsi="Times New Roman"/>
          <w:b/>
          <w:caps/>
        </w:rPr>
        <w:t>B. PAKUOTĖS LAPELIS</w:t>
      </w:r>
      <w:bookmarkEnd w:id="75"/>
      <w:bookmarkEnd w:id="76"/>
    </w:p>
    <w:p w14:paraId="15D950BB" w14:textId="77777777" w:rsidR="00D875C0" w:rsidRPr="001F2C46" w:rsidRDefault="00D875C0" w:rsidP="00D875C0">
      <w:pPr>
        <w:tabs>
          <w:tab w:val="left" w:pos="567"/>
        </w:tabs>
        <w:spacing w:after="0" w:line="240" w:lineRule="auto"/>
        <w:ind w:left="567" w:hanging="567"/>
        <w:jc w:val="center"/>
        <w:outlineLvl w:val="0"/>
        <w:rPr>
          <w:rFonts w:ascii="Times New Roman" w:hAnsi="Times New Roman"/>
          <w:b/>
          <w:caps/>
        </w:rPr>
      </w:pPr>
      <w:r w:rsidRPr="007C1A06">
        <w:rPr>
          <w:rFonts w:ascii="Times New Roman" w:hAnsi="Times New Roman"/>
          <w:b/>
          <w:caps/>
        </w:rPr>
        <w:br w:type="page"/>
      </w:r>
      <w:bookmarkStart w:id="78" w:name="_Toc129243138"/>
      <w:bookmarkStart w:id="79" w:name="_Toc129243263"/>
      <w:r w:rsidRPr="007C1A06">
        <w:rPr>
          <w:rFonts w:ascii="Times New Roman" w:hAnsi="Times New Roman"/>
          <w:b/>
        </w:rPr>
        <w:t>Pakuotės lapelis:</w:t>
      </w:r>
      <w:r w:rsidR="00EC5B32">
        <w:rPr>
          <w:rFonts w:ascii="Times New Roman" w:hAnsi="Times New Roman"/>
          <w:b/>
        </w:rPr>
        <w:t xml:space="preserve"> </w:t>
      </w:r>
      <w:r w:rsidRPr="00F95B76">
        <w:rPr>
          <w:rFonts w:ascii="Times New Roman" w:hAnsi="Times New Roman"/>
          <w:b/>
        </w:rPr>
        <w:t>informacija vartotojui</w:t>
      </w:r>
      <w:bookmarkEnd w:id="78"/>
      <w:bookmarkEnd w:id="79"/>
    </w:p>
    <w:p w14:paraId="4CFACC68" w14:textId="77777777" w:rsidR="00D875C0" w:rsidRPr="00427D92" w:rsidRDefault="00D875C0" w:rsidP="00D875C0">
      <w:pPr>
        <w:spacing w:after="0" w:line="240" w:lineRule="auto"/>
        <w:jc w:val="center"/>
        <w:rPr>
          <w:rFonts w:ascii="Times New Roman" w:hAnsi="Times New Roman"/>
        </w:rPr>
      </w:pPr>
    </w:p>
    <w:p w14:paraId="4C808DA5" w14:textId="77777777" w:rsidR="00D875C0" w:rsidRPr="00C722B4" w:rsidRDefault="00D875C0" w:rsidP="00D875C0">
      <w:pPr>
        <w:spacing w:after="0" w:line="240" w:lineRule="auto"/>
        <w:jc w:val="center"/>
        <w:rPr>
          <w:rFonts w:ascii="Times New Roman" w:hAnsi="Times New Roman"/>
          <w:b/>
        </w:rPr>
      </w:pPr>
      <w:r w:rsidRPr="00C722B4">
        <w:rPr>
          <w:rFonts w:ascii="Times New Roman" w:hAnsi="Times New Roman"/>
          <w:b/>
        </w:rPr>
        <w:t>Docetaxel Ebewe 10 mg/ml koncentratas infuziniam tirpalui</w:t>
      </w:r>
    </w:p>
    <w:p w14:paraId="7AC6C0F0" w14:textId="77777777" w:rsidR="00D875C0" w:rsidRPr="004E3CD5" w:rsidRDefault="004E680F" w:rsidP="00D875C0">
      <w:pPr>
        <w:spacing w:after="0" w:line="240" w:lineRule="auto"/>
        <w:jc w:val="center"/>
        <w:rPr>
          <w:rFonts w:ascii="Times New Roman" w:eastAsiaTheme="minorEastAsia" w:hAnsi="Times New Roman"/>
          <w:lang w:eastAsia="zh-TW"/>
        </w:rPr>
      </w:pPr>
      <w:r>
        <w:rPr>
          <w:rFonts w:ascii="Times New Roman" w:hAnsi="Times New Roman"/>
        </w:rPr>
        <w:t>d</w:t>
      </w:r>
      <w:r w:rsidR="00D875C0" w:rsidRPr="007C1A06">
        <w:rPr>
          <w:rFonts w:ascii="Times New Roman" w:hAnsi="Times New Roman"/>
        </w:rPr>
        <w:t>ocetakselis</w:t>
      </w:r>
    </w:p>
    <w:p w14:paraId="35E4BAC3" w14:textId="77777777" w:rsidR="00D875C0" w:rsidRPr="007C1A06" w:rsidRDefault="00D875C0" w:rsidP="00D875C0">
      <w:pPr>
        <w:spacing w:after="0" w:line="240" w:lineRule="auto"/>
        <w:rPr>
          <w:rFonts w:ascii="Times New Roman" w:hAnsi="Times New Roman"/>
        </w:rPr>
      </w:pPr>
    </w:p>
    <w:p w14:paraId="22DDA32F" w14:textId="77777777" w:rsidR="00D875C0" w:rsidRPr="004E3CD5" w:rsidRDefault="00D875C0" w:rsidP="00D875C0">
      <w:pPr>
        <w:suppressAutoHyphens/>
        <w:spacing w:after="0" w:line="240" w:lineRule="auto"/>
        <w:rPr>
          <w:rFonts w:ascii="Times New Roman" w:eastAsiaTheme="minorEastAsia" w:hAnsi="Times New Roman"/>
          <w:lang w:eastAsia="zh-TW"/>
        </w:rPr>
      </w:pPr>
      <w:r w:rsidRPr="007C1A06">
        <w:rPr>
          <w:rFonts w:ascii="Times New Roman" w:hAnsi="Times New Roman"/>
          <w:b/>
        </w:rPr>
        <w:t>Atidžiai perskaitykite visą šį lapelį, prieš pradėdami vartoti vaistą, nes jame pateikiama Jums svarbi informacija.</w:t>
      </w:r>
    </w:p>
    <w:p w14:paraId="2BC9FB79" w14:textId="77777777" w:rsidR="00D875C0" w:rsidRPr="004E3CD5" w:rsidRDefault="00D875C0" w:rsidP="00D875C0">
      <w:pPr>
        <w:numPr>
          <w:ilvl w:val="0"/>
          <w:numId w:val="18"/>
        </w:numPr>
        <w:spacing w:after="0" w:line="240" w:lineRule="auto"/>
        <w:ind w:left="567" w:right="-2" w:hanging="567"/>
        <w:rPr>
          <w:rFonts w:ascii="Times New Roman" w:eastAsiaTheme="minorEastAsia" w:hAnsi="Times New Roman"/>
          <w:lang w:eastAsia="zh-TW"/>
        </w:rPr>
      </w:pPr>
      <w:r w:rsidRPr="007C1A06">
        <w:rPr>
          <w:rFonts w:ascii="Times New Roman" w:hAnsi="Times New Roman"/>
        </w:rPr>
        <w:t xml:space="preserve">Neišmeskite šio lapelio, nes vėl gali prireikti jį perskaityti. </w:t>
      </w:r>
    </w:p>
    <w:p w14:paraId="7EC109AD" w14:textId="77777777" w:rsidR="00D875C0" w:rsidRPr="004E3CD5" w:rsidRDefault="00D875C0" w:rsidP="00D875C0">
      <w:pPr>
        <w:numPr>
          <w:ilvl w:val="0"/>
          <w:numId w:val="18"/>
        </w:numPr>
        <w:spacing w:after="0" w:line="240" w:lineRule="auto"/>
        <w:ind w:left="567" w:right="-2" w:hanging="567"/>
        <w:rPr>
          <w:rFonts w:ascii="Times New Roman" w:eastAsiaTheme="minorEastAsia" w:hAnsi="Times New Roman"/>
          <w:lang w:eastAsia="zh-TW"/>
        </w:rPr>
      </w:pPr>
      <w:r w:rsidRPr="007C1A06">
        <w:rPr>
          <w:rFonts w:ascii="Times New Roman" w:hAnsi="Times New Roman"/>
        </w:rPr>
        <w:t>Jeigu kiltų daugiau klausimų, kreipkitės į gydytoją, vaistininką arba slaugytoją.</w:t>
      </w:r>
    </w:p>
    <w:p w14:paraId="4E9D1EF1" w14:textId="77777777" w:rsidR="00D875C0" w:rsidRPr="001F2C46" w:rsidRDefault="00D875C0" w:rsidP="00D875C0">
      <w:pPr>
        <w:numPr>
          <w:ilvl w:val="0"/>
          <w:numId w:val="18"/>
        </w:numPr>
        <w:tabs>
          <w:tab w:val="left" w:pos="567"/>
        </w:tabs>
        <w:spacing w:after="0" w:line="240" w:lineRule="auto"/>
        <w:ind w:left="567" w:hanging="567"/>
        <w:rPr>
          <w:rFonts w:ascii="Times New Roman" w:eastAsiaTheme="minorEastAsia" w:hAnsi="Times New Roman"/>
          <w:lang w:val="en-US" w:eastAsia="zh-TW"/>
        </w:rPr>
      </w:pPr>
      <w:r w:rsidRPr="007C1A06">
        <w:rPr>
          <w:rFonts w:ascii="Times New Roman" w:hAnsi="Times New Roman"/>
        </w:rPr>
        <w:t xml:space="preserve">Jeigu pasireiškė šalutinis poveikis (net jeigu jis šiame lapelyje nenurodytas), kreipkitės į gydytoją, </w:t>
      </w:r>
      <w:r w:rsidR="00246F2E" w:rsidRPr="00246F2E">
        <w:rPr>
          <w:rFonts w:ascii="Times New Roman" w:eastAsia="Times New Roman" w:hAnsi="Times New Roman" w:cs="Times New Roman"/>
        </w:rPr>
        <w:t>klinikinį</w:t>
      </w:r>
      <w:r w:rsidR="00C722B4">
        <w:rPr>
          <w:rFonts w:ascii="Times New Roman" w:eastAsia="Times New Roman" w:hAnsi="Times New Roman" w:cs="Times New Roman"/>
        </w:rPr>
        <w:t xml:space="preserve"> </w:t>
      </w:r>
      <w:r w:rsidRPr="007C1A06">
        <w:rPr>
          <w:rFonts w:ascii="Times New Roman" w:eastAsia="Times New Roman" w:hAnsi="Times New Roman" w:cs="Times New Roman"/>
        </w:rPr>
        <w:t>vaistininką</w:t>
      </w:r>
      <w:r w:rsidRPr="00F95B76">
        <w:rPr>
          <w:rFonts w:ascii="Times New Roman" w:hAnsi="Times New Roman"/>
        </w:rPr>
        <w:t xml:space="preserve"> arba slaugytoją. Žr. 4 skyrių.</w:t>
      </w:r>
    </w:p>
    <w:p w14:paraId="7CB8EF5F" w14:textId="77777777" w:rsidR="00D875C0" w:rsidRPr="00427D92" w:rsidRDefault="00D875C0" w:rsidP="00D875C0">
      <w:pPr>
        <w:spacing w:after="0" w:line="240" w:lineRule="auto"/>
        <w:rPr>
          <w:rFonts w:ascii="Times New Roman" w:hAnsi="Times New Roman"/>
        </w:rPr>
      </w:pPr>
    </w:p>
    <w:p w14:paraId="5DC3F7F6" w14:textId="77777777" w:rsidR="00D875C0" w:rsidRPr="00C722B4" w:rsidRDefault="00D875C0" w:rsidP="00D875C0">
      <w:pPr>
        <w:spacing w:after="0" w:line="240" w:lineRule="auto"/>
        <w:rPr>
          <w:rFonts w:ascii="Times New Roman" w:hAnsi="Times New Roman"/>
        </w:rPr>
      </w:pPr>
    </w:p>
    <w:p w14:paraId="420C7A4C" w14:textId="77777777" w:rsidR="00D875C0" w:rsidRPr="004E3CD5" w:rsidRDefault="00D875C0" w:rsidP="00D875C0">
      <w:pPr>
        <w:spacing w:after="0" w:line="240" w:lineRule="auto"/>
        <w:rPr>
          <w:rFonts w:ascii="Times New Roman" w:eastAsiaTheme="minorEastAsia" w:hAnsi="Times New Roman"/>
          <w:b/>
          <w:lang w:eastAsia="zh-TW"/>
        </w:rPr>
      </w:pPr>
      <w:r w:rsidRPr="007C1A06">
        <w:rPr>
          <w:rFonts w:ascii="Times New Roman" w:hAnsi="Times New Roman"/>
          <w:b/>
        </w:rPr>
        <w:t>Apie ką rašoma šiame lapelyje?</w:t>
      </w:r>
    </w:p>
    <w:p w14:paraId="73BC9EF5" w14:textId="77777777" w:rsidR="00D875C0" w:rsidRPr="007C1A06" w:rsidRDefault="00D875C0" w:rsidP="00D875C0">
      <w:pPr>
        <w:spacing w:after="0" w:line="240" w:lineRule="auto"/>
        <w:rPr>
          <w:rFonts w:ascii="Times New Roman" w:hAnsi="Times New Roman"/>
          <w:b/>
        </w:rPr>
      </w:pPr>
    </w:p>
    <w:p w14:paraId="262B05AE" w14:textId="77777777" w:rsidR="00D875C0" w:rsidRPr="004E3CD5" w:rsidRDefault="00D875C0" w:rsidP="00D875C0">
      <w:pPr>
        <w:spacing w:after="0" w:line="240" w:lineRule="auto"/>
        <w:ind w:left="567" w:hanging="567"/>
        <w:rPr>
          <w:rFonts w:ascii="Times New Roman" w:eastAsiaTheme="minorEastAsia" w:hAnsi="Times New Roman"/>
          <w:lang w:eastAsia="zh-TW"/>
        </w:rPr>
      </w:pPr>
      <w:r w:rsidRPr="007C1A06">
        <w:rPr>
          <w:rFonts w:ascii="Times New Roman" w:hAnsi="Times New Roman"/>
        </w:rPr>
        <w:t>1.</w:t>
      </w:r>
      <w:r w:rsidRPr="007C1A06">
        <w:rPr>
          <w:rFonts w:ascii="Times New Roman" w:hAnsi="Times New Roman"/>
        </w:rPr>
        <w:tab/>
        <w:t>Kas yra Docetaxel Ebewe ir kam jis vartojamas</w:t>
      </w:r>
    </w:p>
    <w:p w14:paraId="5B85B49C" w14:textId="77777777" w:rsidR="00D875C0" w:rsidRPr="004E3CD5" w:rsidRDefault="00D875C0" w:rsidP="00D875C0">
      <w:pPr>
        <w:spacing w:after="0" w:line="240" w:lineRule="auto"/>
        <w:ind w:left="567" w:hanging="567"/>
        <w:rPr>
          <w:rFonts w:ascii="Times New Roman" w:eastAsiaTheme="minorEastAsia" w:hAnsi="Times New Roman"/>
          <w:lang w:eastAsia="zh-TW"/>
        </w:rPr>
      </w:pPr>
      <w:r w:rsidRPr="007C1A06">
        <w:rPr>
          <w:rFonts w:ascii="Times New Roman" w:hAnsi="Times New Roman"/>
        </w:rPr>
        <w:t>2.</w:t>
      </w:r>
      <w:r w:rsidRPr="007C1A06">
        <w:rPr>
          <w:rFonts w:ascii="Times New Roman" w:hAnsi="Times New Roman"/>
        </w:rPr>
        <w:tab/>
        <w:t>Kas žinotina prieš vartojant Docetaxel Ebewe</w:t>
      </w:r>
    </w:p>
    <w:p w14:paraId="336E9AB1" w14:textId="77777777" w:rsidR="00D875C0" w:rsidRPr="004E3CD5" w:rsidRDefault="00D875C0" w:rsidP="00D875C0">
      <w:pPr>
        <w:spacing w:after="0" w:line="240" w:lineRule="auto"/>
        <w:ind w:left="567" w:hanging="567"/>
        <w:rPr>
          <w:rFonts w:ascii="Times New Roman" w:eastAsiaTheme="minorEastAsia" w:hAnsi="Times New Roman"/>
          <w:lang w:eastAsia="zh-TW"/>
        </w:rPr>
      </w:pPr>
      <w:r w:rsidRPr="007C1A06">
        <w:rPr>
          <w:rFonts w:ascii="Times New Roman" w:hAnsi="Times New Roman"/>
        </w:rPr>
        <w:t>3.</w:t>
      </w:r>
      <w:r w:rsidRPr="007C1A06">
        <w:rPr>
          <w:rFonts w:ascii="Times New Roman" w:hAnsi="Times New Roman"/>
        </w:rPr>
        <w:tab/>
        <w:t>Kaip vartoti Docetaxel Ebewe</w:t>
      </w:r>
    </w:p>
    <w:p w14:paraId="35313FDC" w14:textId="77777777" w:rsidR="00D875C0" w:rsidRPr="004E3CD5" w:rsidRDefault="00D875C0" w:rsidP="00D875C0">
      <w:pPr>
        <w:spacing w:after="0" w:line="240" w:lineRule="auto"/>
        <w:ind w:left="567" w:hanging="567"/>
        <w:rPr>
          <w:rFonts w:ascii="Times New Roman" w:eastAsiaTheme="minorEastAsia" w:hAnsi="Times New Roman"/>
          <w:lang w:eastAsia="zh-TW"/>
        </w:rPr>
      </w:pPr>
      <w:r w:rsidRPr="007C1A06">
        <w:rPr>
          <w:rFonts w:ascii="Times New Roman" w:hAnsi="Times New Roman"/>
        </w:rPr>
        <w:t>4.</w:t>
      </w:r>
      <w:r w:rsidRPr="007C1A06">
        <w:rPr>
          <w:rFonts w:ascii="Times New Roman" w:hAnsi="Times New Roman"/>
        </w:rPr>
        <w:tab/>
        <w:t>Galimas šalutinis poveikis</w:t>
      </w:r>
    </w:p>
    <w:p w14:paraId="3D6BA04E" w14:textId="77777777" w:rsidR="00D875C0" w:rsidRPr="004E3CD5" w:rsidRDefault="00D875C0" w:rsidP="00D875C0">
      <w:pPr>
        <w:spacing w:after="0" w:line="240" w:lineRule="auto"/>
        <w:ind w:left="567" w:hanging="567"/>
        <w:rPr>
          <w:rFonts w:ascii="Times New Roman" w:eastAsiaTheme="minorEastAsia" w:hAnsi="Times New Roman"/>
          <w:lang w:eastAsia="zh-TW"/>
        </w:rPr>
      </w:pPr>
      <w:r w:rsidRPr="007C1A06">
        <w:rPr>
          <w:rFonts w:ascii="Times New Roman" w:hAnsi="Times New Roman"/>
        </w:rPr>
        <w:t>5.</w:t>
      </w:r>
      <w:r w:rsidRPr="007C1A06">
        <w:rPr>
          <w:rFonts w:ascii="Times New Roman" w:hAnsi="Times New Roman"/>
        </w:rPr>
        <w:tab/>
        <w:t>Kaip laikyti Docetaxel Ebewe</w:t>
      </w:r>
    </w:p>
    <w:p w14:paraId="64F1B1D1" w14:textId="77777777" w:rsidR="00D875C0" w:rsidRPr="004E3CD5" w:rsidRDefault="00D875C0" w:rsidP="00D875C0">
      <w:pPr>
        <w:spacing w:after="0" w:line="240" w:lineRule="auto"/>
        <w:ind w:left="567" w:hanging="567"/>
        <w:rPr>
          <w:rFonts w:ascii="Times New Roman" w:eastAsiaTheme="minorEastAsia" w:hAnsi="Times New Roman"/>
          <w:lang w:eastAsia="zh-TW"/>
        </w:rPr>
      </w:pPr>
      <w:r w:rsidRPr="007C1A06">
        <w:rPr>
          <w:rFonts w:ascii="Times New Roman" w:hAnsi="Times New Roman"/>
        </w:rPr>
        <w:t>6.</w:t>
      </w:r>
      <w:r w:rsidRPr="007C1A06">
        <w:rPr>
          <w:rFonts w:ascii="Times New Roman" w:hAnsi="Times New Roman"/>
        </w:rPr>
        <w:tab/>
        <w:t>Pakuotės turinys ir kita informacija</w:t>
      </w:r>
    </w:p>
    <w:p w14:paraId="273F84D5" w14:textId="77777777" w:rsidR="00D875C0" w:rsidRPr="007C1A06" w:rsidRDefault="00D875C0" w:rsidP="00D875C0">
      <w:pPr>
        <w:spacing w:after="0" w:line="240" w:lineRule="auto"/>
        <w:rPr>
          <w:rFonts w:ascii="Times New Roman" w:hAnsi="Times New Roman"/>
        </w:rPr>
      </w:pPr>
    </w:p>
    <w:p w14:paraId="4AD7940E" w14:textId="77777777" w:rsidR="00D875C0" w:rsidRPr="007C1A06" w:rsidRDefault="00D875C0" w:rsidP="00D875C0">
      <w:pPr>
        <w:spacing w:after="0" w:line="240" w:lineRule="auto"/>
        <w:rPr>
          <w:rFonts w:ascii="Times New Roman" w:hAnsi="Times New Roman"/>
        </w:rPr>
      </w:pPr>
    </w:p>
    <w:p w14:paraId="4B57AB29" w14:textId="77777777" w:rsidR="00D875C0" w:rsidRPr="007C1A06" w:rsidRDefault="00D875C0" w:rsidP="00D875C0">
      <w:pPr>
        <w:keepNext/>
        <w:tabs>
          <w:tab w:val="left" w:pos="567"/>
        </w:tabs>
        <w:spacing w:after="0" w:line="240" w:lineRule="auto"/>
        <w:ind w:left="567" w:hanging="567"/>
        <w:outlineLvl w:val="1"/>
        <w:rPr>
          <w:rFonts w:ascii="Times New Roman" w:hAnsi="Times New Roman"/>
          <w:b/>
        </w:rPr>
      </w:pPr>
      <w:bookmarkStart w:id="80" w:name="_Toc129243139"/>
      <w:bookmarkStart w:id="81" w:name="_Toc129243264"/>
      <w:r w:rsidRPr="007C1A06">
        <w:rPr>
          <w:rFonts w:ascii="Times New Roman" w:hAnsi="Times New Roman"/>
          <w:b/>
        </w:rPr>
        <w:t>1.</w:t>
      </w:r>
      <w:r w:rsidRPr="007C1A06">
        <w:rPr>
          <w:rFonts w:ascii="Times New Roman" w:hAnsi="Times New Roman"/>
          <w:b/>
        </w:rPr>
        <w:tab/>
        <w:t>Kas yra Docetaxel Ebewe ir kam jis vartojamas</w:t>
      </w:r>
      <w:bookmarkEnd w:id="80"/>
      <w:bookmarkEnd w:id="81"/>
    </w:p>
    <w:p w14:paraId="7D4E2812" w14:textId="77777777" w:rsidR="00D875C0" w:rsidRPr="007C1A06" w:rsidRDefault="00D875C0" w:rsidP="00D875C0">
      <w:pPr>
        <w:spacing w:after="0" w:line="240" w:lineRule="auto"/>
        <w:rPr>
          <w:rFonts w:ascii="Times New Roman" w:hAnsi="Times New Roman"/>
        </w:rPr>
      </w:pPr>
    </w:p>
    <w:p w14:paraId="3A64351F" w14:textId="77777777" w:rsidR="00D875C0" w:rsidRPr="00FB5C4B" w:rsidRDefault="00D875C0" w:rsidP="00246F2E">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Šio vaisto prekinis pavadinimas – Docetaxel Ebewe, bendrinis – docetakselis. Docetakselis – tai medžiaga, </w:t>
      </w:r>
      <w:r w:rsidRPr="004E3CD5">
        <w:rPr>
          <w:rFonts w:ascii="Times New Roman" w:hAnsi="Times New Roman"/>
        </w:rPr>
        <w:t>gaunama iš kukmedžio spygli</w:t>
      </w:r>
      <w:r w:rsidRPr="004E3CD5">
        <w:rPr>
          <w:rFonts w:ascii="Times New Roman" w:hAnsi="Times New Roman" w:hint="eastAsia"/>
        </w:rPr>
        <w:t>ų</w:t>
      </w:r>
      <w:r w:rsidRPr="004E3CD5">
        <w:rPr>
          <w:rFonts w:ascii="Times New Roman" w:hAnsi="Times New Roman"/>
        </w:rPr>
        <w:t>. Docetakselis priklauso vaist</w:t>
      </w:r>
      <w:r w:rsidRPr="004E3CD5">
        <w:rPr>
          <w:rFonts w:ascii="Times New Roman" w:hAnsi="Times New Roman" w:hint="eastAsia"/>
        </w:rPr>
        <w:t>ų</w:t>
      </w:r>
      <w:r w:rsidRPr="004E3CD5">
        <w:rPr>
          <w:rFonts w:ascii="Times New Roman" w:hAnsi="Times New Roman"/>
        </w:rPr>
        <w:t xml:space="preserve"> nuo v</w:t>
      </w:r>
      <w:r w:rsidRPr="004E3CD5">
        <w:rPr>
          <w:rFonts w:ascii="Times New Roman" w:hAnsi="Times New Roman" w:hint="eastAsia"/>
        </w:rPr>
        <w:t>ėž</w:t>
      </w:r>
      <w:r w:rsidRPr="004E3CD5">
        <w:rPr>
          <w:rFonts w:ascii="Times New Roman" w:hAnsi="Times New Roman"/>
        </w:rPr>
        <w:t>io, vadinam</w:t>
      </w:r>
      <w:r w:rsidRPr="004E3CD5">
        <w:rPr>
          <w:rFonts w:ascii="Times New Roman" w:hAnsi="Times New Roman" w:hint="eastAsia"/>
        </w:rPr>
        <w:t>ų</w:t>
      </w:r>
      <w:r w:rsidRPr="004E3CD5">
        <w:rPr>
          <w:rFonts w:ascii="Times New Roman" w:hAnsi="Times New Roman"/>
        </w:rPr>
        <w:t xml:space="preserve"> taksoidais, grupei. </w:t>
      </w:r>
    </w:p>
    <w:p w14:paraId="3156C665" w14:textId="77777777" w:rsidR="00D875C0" w:rsidRPr="001F2C46" w:rsidRDefault="00D875C0" w:rsidP="00246F2E">
      <w:pPr>
        <w:autoSpaceDE w:val="0"/>
        <w:autoSpaceDN w:val="0"/>
        <w:adjustRightInd w:val="0"/>
        <w:spacing w:after="0" w:line="240" w:lineRule="auto"/>
        <w:rPr>
          <w:rFonts w:ascii="Times New Roman" w:hAnsi="Times New Roman"/>
        </w:rPr>
      </w:pPr>
    </w:p>
    <w:p w14:paraId="6905EC40" w14:textId="77777777" w:rsidR="00D875C0" w:rsidRPr="004E3CD5" w:rsidRDefault="00D875C0" w:rsidP="00246F2E">
      <w:pPr>
        <w:autoSpaceDE w:val="0"/>
        <w:autoSpaceDN w:val="0"/>
        <w:adjustRightInd w:val="0"/>
        <w:spacing w:after="0" w:line="240" w:lineRule="auto"/>
        <w:rPr>
          <w:rFonts w:ascii="Times New Roman" w:hAnsi="Times New Roman"/>
        </w:rPr>
      </w:pPr>
      <w:r w:rsidRPr="00427D92">
        <w:rPr>
          <w:rFonts w:ascii="Times New Roman" w:hAnsi="Times New Roman"/>
        </w:rPr>
        <w:t xml:space="preserve">Gydytojas skiria Docetaxel Ebewe </w:t>
      </w:r>
      <w:r w:rsidRPr="004E3CD5">
        <w:rPr>
          <w:rFonts w:ascii="Times New Roman" w:hAnsi="Times New Roman"/>
        </w:rPr>
        <w:t>kr</w:t>
      </w:r>
      <w:r w:rsidRPr="004E3CD5">
        <w:rPr>
          <w:rFonts w:ascii="Times New Roman" w:hAnsi="Times New Roman" w:hint="eastAsia"/>
        </w:rPr>
        <w:t>ū</w:t>
      </w:r>
      <w:r w:rsidRPr="004E3CD5">
        <w:rPr>
          <w:rFonts w:ascii="Times New Roman" w:hAnsi="Times New Roman"/>
        </w:rPr>
        <w:t>ties v</w:t>
      </w:r>
      <w:r w:rsidRPr="004E3CD5">
        <w:rPr>
          <w:rFonts w:ascii="Times New Roman" w:hAnsi="Times New Roman" w:hint="eastAsia"/>
        </w:rPr>
        <w:t>ėž</w:t>
      </w:r>
      <w:r w:rsidRPr="004E3CD5">
        <w:rPr>
          <w:rFonts w:ascii="Times New Roman" w:hAnsi="Times New Roman"/>
        </w:rPr>
        <w:t>iui, tam tikros r</w:t>
      </w:r>
      <w:r w:rsidRPr="004E3CD5">
        <w:rPr>
          <w:rFonts w:ascii="Times New Roman" w:hAnsi="Times New Roman" w:hint="eastAsia"/>
        </w:rPr>
        <w:t>ūš</w:t>
      </w:r>
      <w:r w:rsidRPr="004E3CD5">
        <w:rPr>
          <w:rFonts w:ascii="Times New Roman" w:hAnsi="Times New Roman"/>
        </w:rPr>
        <w:t>ies plau</w:t>
      </w:r>
      <w:r w:rsidRPr="004E3CD5">
        <w:rPr>
          <w:rFonts w:ascii="Times New Roman" w:hAnsi="Times New Roman" w:hint="eastAsia"/>
        </w:rPr>
        <w:t>č</w:t>
      </w:r>
      <w:r w:rsidRPr="004E3CD5">
        <w:rPr>
          <w:rFonts w:ascii="Times New Roman" w:hAnsi="Times New Roman"/>
        </w:rPr>
        <w:t>i</w:t>
      </w:r>
      <w:r w:rsidRPr="004E3CD5">
        <w:rPr>
          <w:rFonts w:ascii="Times New Roman" w:hAnsi="Times New Roman" w:hint="eastAsia"/>
        </w:rPr>
        <w:t>ų</w:t>
      </w:r>
      <w:r w:rsidRPr="004E3CD5">
        <w:rPr>
          <w:rFonts w:ascii="Times New Roman" w:hAnsi="Times New Roman"/>
        </w:rPr>
        <w:t xml:space="preserve"> v</w:t>
      </w:r>
      <w:r w:rsidRPr="004E3CD5">
        <w:rPr>
          <w:rFonts w:ascii="Times New Roman" w:hAnsi="Times New Roman" w:hint="eastAsia"/>
        </w:rPr>
        <w:t>ėž</w:t>
      </w:r>
      <w:r w:rsidRPr="004E3CD5">
        <w:rPr>
          <w:rFonts w:ascii="Times New Roman" w:hAnsi="Times New Roman"/>
        </w:rPr>
        <w:t>iui (</w:t>
      </w:r>
      <w:r w:rsidRPr="00F95B76">
        <w:rPr>
          <w:rFonts w:ascii="Times New Roman" w:hAnsi="Times New Roman"/>
          <w:u w:val="single"/>
        </w:rPr>
        <w:t>nesmulkialąsteliniam plaučių vėžiui</w:t>
      </w:r>
      <w:r w:rsidRPr="004E3CD5">
        <w:rPr>
          <w:rFonts w:ascii="Times New Roman" w:hAnsi="Times New Roman"/>
        </w:rPr>
        <w:t>), prostatos v</w:t>
      </w:r>
      <w:r w:rsidRPr="004E3CD5">
        <w:rPr>
          <w:rFonts w:ascii="Times New Roman" w:hAnsi="Times New Roman" w:hint="eastAsia"/>
        </w:rPr>
        <w:t>ėž</w:t>
      </w:r>
      <w:r w:rsidRPr="004E3CD5">
        <w:rPr>
          <w:rFonts w:ascii="Times New Roman" w:hAnsi="Times New Roman"/>
        </w:rPr>
        <w:t>iui, skrandžio v</w:t>
      </w:r>
      <w:r w:rsidRPr="004E3CD5">
        <w:rPr>
          <w:rFonts w:ascii="Times New Roman" w:hAnsi="Times New Roman" w:hint="eastAsia"/>
        </w:rPr>
        <w:t>ėž</w:t>
      </w:r>
      <w:r w:rsidRPr="004E3CD5">
        <w:rPr>
          <w:rFonts w:ascii="Times New Roman" w:hAnsi="Times New Roman"/>
        </w:rPr>
        <w:t>iui ir galvos bei kaklo v</w:t>
      </w:r>
      <w:r w:rsidRPr="004E3CD5">
        <w:rPr>
          <w:rFonts w:ascii="Times New Roman" w:hAnsi="Times New Roman" w:hint="eastAsia"/>
        </w:rPr>
        <w:t>ėž</w:t>
      </w:r>
      <w:r w:rsidRPr="004E3CD5">
        <w:rPr>
          <w:rFonts w:ascii="Times New Roman" w:hAnsi="Times New Roman"/>
        </w:rPr>
        <w:t>iui gydyti:</w:t>
      </w:r>
    </w:p>
    <w:p w14:paraId="2345521B" w14:textId="77777777" w:rsidR="00D875C0" w:rsidRPr="001F2C46" w:rsidRDefault="00D875C0" w:rsidP="00174041">
      <w:pPr>
        <w:pStyle w:val="Sraopastraipa"/>
        <w:numPr>
          <w:ilvl w:val="0"/>
          <w:numId w:val="22"/>
        </w:numPr>
        <w:tabs>
          <w:tab w:val="left" w:pos="426"/>
        </w:tabs>
        <w:autoSpaceDE w:val="0"/>
        <w:autoSpaceDN w:val="0"/>
        <w:adjustRightInd w:val="0"/>
        <w:spacing w:after="0" w:line="240" w:lineRule="auto"/>
        <w:ind w:left="426" w:hanging="426"/>
        <w:rPr>
          <w:rFonts w:ascii="Times New Roman" w:hAnsi="Times New Roman"/>
        </w:rPr>
      </w:pPr>
      <w:r w:rsidRPr="004E3CD5">
        <w:rPr>
          <w:rFonts w:ascii="Times New Roman" w:hAnsi="Times New Roman"/>
        </w:rPr>
        <w:t>progresavusiam kr</w:t>
      </w:r>
      <w:r w:rsidRPr="004E3CD5">
        <w:rPr>
          <w:rFonts w:ascii="Times New Roman" w:hAnsi="Times New Roman" w:hint="eastAsia"/>
        </w:rPr>
        <w:t>ū</w:t>
      </w:r>
      <w:r w:rsidRPr="004E3CD5">
        <w:rPr>
          <w:rFonts w:ascii="Times New Roman" w:hAnsi="Times New Roman"/>
        </w:rPr>
        <w:t>ties v</w:t>
      </w:r>
      <w:r w:rsidRPr="004E3CD5">
        <w:rPr>
          <w:rFonts w:ascii="Times New Roman" w:hAnsi="Times New Roman" w:hint="eastAsia"/>
        </w:rPr>
        <w:t>ėž</w:t>
      </w:r>
      <w:r w:rsidRPr="004E3CD5">
        <w:rPr>
          <w:rFonts w:ascii="Times New Roman" w:hAnsi="Times New Roman"/>
        </w:rPr>
        <w:t xml:space="preserve">iui gydyti Docetaxel Ebewe vartojamas vienas arba kartu su </w:t>
      </w:r>
      <w:r w:rsidRPr="00F95B76">
        <w:rPr>
          <w:rFonts w:ascii="Times New Roman" w:hAnsi="Times New Roman"/>
        </w:rPr>
        <w:t xml:space="preserve">doksorubicinu, trastuzumabu </w:t>
      </w:r>
      <w:r w:rsidRPr="001F2C46">
        <w:rPr>
          <w:rFonts w:ascii="Times New Roman" w:hAnsi="Times New Roman"/>
        </w:rPr>
        <w:t>ar kapecitabinu;</w:t>
      </w:r>
    </w:p>
    <w:p w14:paraId="356B9D24" w14:textId="77777777" w:rsidR="00D875C0" w:rsidRPr="004E3CD5" w:rsidRDefault="00D875C0" w:rsidP="004E3CD5">
      <w:pPr>
        <w:pStyle w:val="Sraopastraipa"/>
        <w:numPr>
          <w:ilvl w:val="0"/>
          <w:numId w:val="24"/>
        </w:numPr>
        <w:autoSpaceDE w:val="0"/>
        <w:autoSpaceDN w:val="0"/>
        <w:adjustRightInd w:val="0"/>
        <w:spacing w:after="0" w:line="240" w:lineRule="auto"/>
        <w:rPr>
          <w:rFonts w:ascii="Times New Roman" w:hAnsi="Times New Roman"/>
        </w:rPr>
      </w:pPr>
      <w:r w:rsidRPr="004E3CD5">
        <w:rPr>
          <w:rFonts w:ascii="Times New Roman" w:hAnsi="Times New Roman"/>
        </w:rPr>
        <w:t>pradini</w:t>
      </w:r>
      <w:r w:rsidRPr="004E3CD5">
        <w:rPr>
          <w:rFonts w:ascii="Times New Roman" w:hAnsi="Times New Roman" w:hint="eastAsia"/>
        </w:rPr>
        <w:t>ų</w:t>
      </w:r>
      <w:r w:rsidRPr="004E3CD5">
        <w:rPr>
          <w:rFonts w:ascii="Times New Roman" w:hAnsi="Times New Roman"/>
        </w:rPr>
        <w:t xml:space="preserve"> stadij</w:t>
      </w:r>
      <w:r w:rsidRPr="004E3CD5">
        <w:rPr>
          <w:rFonts w:ascii="Times New Roman" w:hAnsi="Times New Roman" w:hint="eastAsia"/>
        </w:rPr>
        <w:t>ų</w:t>
      </w:r>
      <w:r w:rsidRPr="004E3CD5">
        <w:rPr>
          <w:rFonts w:ascii="Times New Roman" w:hAnsi="Times New Roman"/>
        </w:rPr>
        <w:t xml:space="preserve"> kr</w:t>
      </w:r>
      <w:r w:rsidRPr="004E3CD5">
        <w:rPr>
          <w:rFonts w:ascii="Times New Roman" w:hAnsi="Times New Roman" w:hint="eastAsia"/>
        </w:rPr>
        <w:t>ū</w:t>
      </w:r>
      <w:r w:rsidRPr="004E3CD5">
        <w:rPr>
          <w:rFonts w:ascii="Times New Roman" w:hAnsi="Times New Roman"/>
        </w:rPr>
        <w:t>ties v</w:t>
      </w:r>
      <w:r w:rsidRPr="004E3CD5">
        <w:rPr>
          <w:rFonts w:ascii="Times New Roman" w:hAnsi="Times New Roman" w:hint="eastAsia"/>
        </w:rPr>
        <w:t>ėž</w:t>
      </w:r>
      <w:r w:rsidRPr="004E3CD5">
        <w:rPr>
          <w:rFonts w:ascii="Times New Roman" w:hAnsi="Times New Roman"/>
        </w:rPr>
        <w:t xml:space="preserve">iui, pažeidusiam </w:t>
      </w:r>
      <w:r w:rsidRPr="00F95B76">
        <w:rPr>
          <w:rFonts w:ascii="Times New Roman" w:hAnsi="Times New Roman"/>
        </w:rPr>
        <w:t xml:space="preserve">ar nepažeidusiam limfmazgius, gydyti Docetaxel Ebewe </w:t>
      </w:r>
      <w:r w:rsidRPr="004E3CD5">
        <w:rPr>
          <w:rFonts w:ascii="Times New Roman" w:hAnsi="Times New Roman"/>
        </w:rPr>
        <w:t>gali b</w:t>
      </w:r>
      <w:r w:rsidRPr="004E3CD5">
        <w:rPr>
          <w:rFonts w:ascii="Times New Roman" w:hAnsi="Times New Roman" w:hint="eastAsia"/>
        </w:rPr>
        <w:t>ū</w:t>
      </w:r>
      <w:r w:rsidRPr="004E3CD5">
        <w:rPr>
          <w:rFonts w:ascii="Times New Roman" w:hAnsi="Times New Roman"/>
        </w:rPr>
        <w:t>ti vartojamas kartu su doksorubicinu ir ciklofosfamidu;</w:t>
      </w:r>
    </w:p>
    <w:p w14:paraId="7C7844EB" w14:textId="77777777" w:rsidR="00D875C0" w:rsidRPr="004E3CD5" w:rsidRDefault="00D875C0" w:rsidP="004E3CD5">
      <w:pPr>
        <w:pStyle w:val="Sraopastraipa"/>
        <w:numPr>
          <w:ilvl w:val="0"/>
          <w:numId w:val="24"/>
        </w:numPr>
        <w:autoSpaceDE w:val="0"/>
        <w:autoSpaceDN w:val="0"/>
        <w:adjustRightInd w:val="0"/>
        <w:spacing w:after="0" w:line="240" w:lineRule="auto"/>
        <w:rPr>
          <w:rFonts w:ascii="Times New Roman" w:hAnsi="Times New Roman"/>
        </w:rPr>
      </w:pPr>
      <w:r w:rsidRPr="004E3CD5">
        <w:rPr>
          <w:rFonts w:ascii="Times New Roman" w:hAnsi="Times New Roman"/>
        </w:rPr>
        <w:t>plau</w:t>
      </w:r>
      <w:r w:rsidRPr="004E3CD5">
        <w:rPr>
          <w:rFonts w:ascii="Times New Roman" w:hAnsi="Times New Roman" w:hint="eastAsia"/>
        </w:rPr>
        <w:t>č</w:t>
      </w:r>
      <w:r w:rsidRPr="004E3CD5">
        <w:rPr>
          <w:rFonts w:ascii="Times New Roman" w:hAnsi="Times New Roman"/>
        </w:rPr>
        <w:t>i</w:t>
      </w:r>
      <w:r w:rsidRPr="004E3CD5">
        <w:rPr>
          <w:rFonts w:ascii="Times New Roman" w:hAnsi="Times New Roman" w:hint="eastAsia"/>
        </w:rPr>
        <w:t>ų</w:t>
      </w:r>
      <w:r w:rsidRPr="004E3CD5">
        <w:rPr>
          <w:rFonts w:ascii="Times New Roman" w:hAnsi="Times New Roman"/>
        </w:rPr>
        <w:t xml:space="preserve"> v</w:t>
      </w:r>
      <w:r w:rsidRPr="004E3CD5">
        <w:rPr>
          <w:rFonts w:ascii="Times New Roman" w:hAnsi="Times New Roman" w:hint="eastAsia"/>
        </w:rPr>
        <w:t>ėž</w:t>
      </w:r>
      <w:r w:rsidRPr="004E3CD5">
        <w:rPr>
          <w:rFonts w:ascii="Times New Roman" w:hAnsi="Times New Roman"/>
        </w:rPr>
        <w:t>iui gydyti Docetaxel Ebewe vartojamas vienas arba kartu su cisplatina;</w:t>
      </w:r>
    </w:p>
    <w:p w14:paraId="2CF8D938" w14:textId="77777777" w:rsidR="00D875C0" w:rsidRPr="004E3CD5" w:rsidRDefault="00D875C0" w:rsidP="004E3CD5">
      <w:pPr>
        <w:pStyle w:val="Sraopastraipa"/>
        <w:numPr>
          <w:ilvl w:val="0"/>
          <w:numId w:val="24"/>
        </w:numPr>
        <w:autoSpaceDE w:val="0"/>
        <w:autoSpaceDN w:val="0"/>
        <w:adjustRightInd w:val="0"/>
        <w:spacing w:after="0" w:line="240" w:lineRule="auto"/>
        <w:rPr>
          <w:rFonts w:ascii="Times New Roman" w:hAnsi="Times New Roman"/>
        </w:rPr>
      </w:pPr>
      <w:r w:rsidRPr="00F95B76">
        <w:rPr>
          <w:rFonts w:ascii="Times New Roman" w:hAnsi="Times New Roman"/>
        </w:rPr>
        <w:t>prosta</w:t>
      </w:r>
      <w:r w:rsidRPr="004E3CD5">
        <w:rPr>
          <w:rFonts w:ascii="Times New Roman" w:hAnsi="Times New Roman"/>
        </w:rPr>
        <w:t>tos v</w:t>
      </w:r>
      <w:r w:rsidRPr="004E3CD5">
        <w:rPr>
          <w:rFonts w:ascii="Times New Roman" w:hAnsi="Times New Roman" w:hint="eastAsia"/>
        </w:rPr>
        <w:t>ėž</w:t>
      </w:r>
      <w:r w:rsidRPr="004E3CD5">
        <w:rPr>
          <w:rFonts w:ascii="Times New Roman" w:hAnsi="Times New Roman"/>
        </w:rPr>
        <w:t>iui gydyti Docetaxel Ebewe vartojamas kartu su prednizonu ar prednizolonu;</w:t>
      </w:r>
    </w:p>
    <w:p w14:paraId="61B1F7E8" w14:textId="77777777" w:rsidR="00D875C0" w:rsidRPr="001F2C46" w:rsidRDefault="00D875C0" w:rsidP="004E3CD5">
      <w:pPr>
        <w:pStyle w:val="Sraopastraipa"/>
        <w:numPr>
          <w:ilvl w:val="0"/>
          <w:numId w:val="24"/>
        </w:numPr>
        <w:autoSpaceDE w:val="0"/>
        <w:autoSpaceDN w:val="0"/>
        <w:adjustRightInd w:val="0"/>
        <w:spacing w:after="0" w:line="240" w:lineRule="auto"/>
        <w:rPr>
          <w:rFonts w:ascii="Times New Roman" w:hAnsi="Times New Roman"/>
        </w:rPr>
      </w:pPr>
      <w:r w:rsidRPr="004E3CD5">
        <w:rPr>
          <w:rFonts w:ascii="Times New Roman" w:hAnsi="Times New Roman"/>
        </w:rPr>
        <w:t>skrandžio v</w:t>
      </w:r>
      <w:r w:rsidRPr="004E3CD5">
        <w:rPr>
          <w:rFonts w:ascii="Times New Roman" w:hAnsi="Times New Roman" w:hint="eastAsia"/>
        </w:rPr>
        <w:t>ėž</w:t>
      </w:r>
      <w:r w:rsidRPr="004E3CD5">
        <w:rPr>
          <w:rFonts w:ascii="Times New Roman" w:hAnsi="Times New Roman"/>
        </w:rPr>
        <w:t xml:space="preserve">iui gydyti Docetaxel Ebewe vartojamas kartu su cisplatina ir </w:t>
      </w:r>
      <w:r w:rsidRPr="00F95B76">
        <w:rPr>
          <w:rFonts w:ascii="Times New Roman" w:hAnsi="Times New Roman"/>
        </w:rPr>
        <w:t>5-fluorouracilu;</w:t>
      </w:r>
    </w:p>
    <w:p w14:paraId="038072D3" w14:textId="77777777" w:rsidR="00D875C0" w:rsidRPr="001F2C46" w:rsidRDefault="00D875C0" w:rsidP="004E3CD5">
      <w:pPr>
        <w:pStyle w:val="Sraopastraipa"/>
        <w:numPr>
          <w:ilvl w:val="0"/>
          <w:numId w:val="24"/>
        </w:numPr>
        <w:autoSpaceDE w:val="0"/>
        <w:autoSpaceDN w:val="0"/>
        <w:adjustRightInd w:val="0"/>
        <w:spacing w:after="0" w:line="240" w:lineRule="auto"/>
        <w:rPr>
          <w:rFonts w:ascii="Times New Roman" w:hAnsi="Times New Roman"/>
        </w:rPr>
      </w:pPr>
      <w:r w:rsidRPr="004E3CD5">
        <w:rPr>
          <w:rFonts w:ascii="Times New Roman" w:hAnsi="Times New Roman"/>
        </w:rPr>
        <w:t>galvos ir kaklo v</w:t>
      </w:r>
      <w:r w:rsidRPr="004E3CD5">
        <w:rPr>
          <w:rFonts w:ascii="Times New Roman" w:hAnsi="Times New Roman" w:hint="eastAsia"/>
        </w:rPr>
        <w:t>ėž</w:t>
      </w:r>
      <w:r w:rsidRPr="004E3CD5">
        <w:rPr>
          <w:rFonts w:ascii="Times New Roman" w:hAnsi="Times New Roman"/>
        </w:rPr>
        <w:t xml:space="preserve">iui gydyti Docetaxel Ebewe vartojamas kartu su cisplatina ir </w:t>
      </w:r>
      <w:r w:rsidRPr="00F95B76">
        <w:rPr>
          <w:rFonts w:ascii="Times New Roman" w:hAnsi="Times New Roman"/>
        </w:rPr>
        <w:t>5-fluorouracilu.</w:t>
      </w:r>
    </w:p>
    <w:p w14:paraId="71C1BF92" w14:textId="77777777" w:rsidR="00D875C0" w:rsidRPr="00427D92" w:rsidRDefault="00D875C0" w:rsidP="00D875C0">
      <w:pPr>
        <w:spacing w:after="0" w:line="240" w:lineRule="auto"/>
        <w:rPr>
          <w:rFonts w:ascii="Times New Roman" w:hAnsi="Times New Roman"/>
        </w:rPr>
      </w:pPr>
    </w:p>
    <w:p w14:paraId="30DF49B6" w14:textId="77777777" w:rsidR="00D875C0" w:rsidRPr="00C722B4" w:rsidRDefault="00D875C0" w:rsidP="00D875C0">
      <w:pPr>
        <w:spacing w:after="0" w:line="240" w:lineRule="auto"/>
        <w:rPr>
          <w:rFonts w:ascii="Times New Roman" w:hAnsi="Times New Roman"/>
        </w:rPr>
      </w:pPr>
    </w:p>
    <w:p w14:paraId="011BA6C2" w14:textId="77777777" w:rsidR="00D875C0" w:rsidRPr="007C1A06" w:rsidRDefault="00D875C0" w:rsidP="00D875C0">
      <w:pPr>
        <w:keepNext/>
        <w:tabs>
          <w:tab w:val="left" w:pos="567"/>
        </w:tabs>
        <w:spacing w:after="0" w:line="240" w:lineRule="auto"/>
        <w:ind w:left="567" w:hanging="567"/>
        <w:outlineLvl w:val="1"/>
        <w:rPr>
          <w:rFonts w:ascii="Times New Roman" w:hAnsi="Times New Roman"/>
          <w:b/>
        </w:rPr>
      </w:pPr>
      <w:bookmarkStart w:id="82" w:name="_Toc129243140"/>
      <w:bookmarkStart w:id="83" w:name="_Toc129243265"/>
      <w:r w:rsidRPr="007C1A06">
        <w:rPr>
          <w:rFonts w:ascii="Times New Roman" w:hAnsi="Times New Roman"/>
          <w:b/>
        </w:rPr>
        <w:t>2.</w:t>
      </w:r>
      <w:r w:rsidRPr="007C1A06">
        <w:rPr>
          <w:rFonts w:ascii="Times New Roman" w:hAnsi="Times New Roman"/>
          <w:b/>
        </w:rPr>
        <w:tab/>
        <w:t>Kas žinotina prieš vartojant Docetaxel Ebewe</w:t>
      </w:r>
      <w:bookmarkEnd w:id="82"/>
      <w:bookmarkEnd w:id="83"/>
    </w:p>
    <w:p w14:paraId="1CD91993" w14:textId="77777777" w:rsidR="00D875C0" w:rsidRPr="007C1A06" w:rsidRDefault="00D875C0" w:rsidP="00D875C0">
      <w:pPr>
        <w:spacing w:after="0" w:line="240" w:lineRule="auto"/>
        <w:rPr>
          <w:rFonts w:ascii="Times New Roman" w:hAnsi="Times New Roman"/>
        </w:rPr>
      </w:pPr>
    </w:p>
    <w:p w14:paraId="4FB6DF9D" w14:textId="3ED61D45" w:rsidR="00D875C0" w:rsidRPr="004E3CD5" w:rsidRDefault="00D875C0" w:rsidP="00D875C0">
      <w:pPr>
        <w:spacing w:after="0" w:line="220" w:lineRule="exact"/>
        <w:rPr>
          <w:rFonts w:ascii="Times New Roman" w:eastAsiaTheme="minorEastAsia" w:hAnsi="Times New Roman"/>
          <w:b/>
          <w:lang w:eastAsia="zh-TW"/>
        </w:rPr>
      </w:pPr>
      <w:r w:rsidRPr="007C1A06">
        <w:rPr>
          <w:rFonts w:ascii="Times New Roman" w:hAnsi="Times New Roman"/>
          <w:b/>
        </w:rPr>
        <w:t xml:space="preserve">Docetaxel Ebewe vartoti </w:t>
      </w:r>
      <w:r w:rsidR="00484C25">
        <w:rPr>
          <w:rFonts w:ascii="Times New Roman" w:hAnsi="Times New Roman"/>
          <w:b/>
        </w:rPr>
        <w:t>draudžiama</w:t>
      </w:r>
      <w:r w:rsidRPr="007C1A06">
        <w:rPr>
          <w:rFonts w:ascii="Times New Roman" w:hAnsi="Times New Roman"/>
          <w:b/>
        </w:rPr>
        <w:t>, jeigu:</w:t>
      </w:r>
    </w:p>
    <w:p w14:paraId="35AD6CC1" w14:textId="52629131" w:rsidR="00D875C0" w:rsidRPr="007C1A06" w:rsidRDefault="00D875C0" w:rsidP="004E3CD5">
      <w:pPr>
        <w:pStyle w:val="Sraopastraipa"/>
        <w:numPr>
          <w:ilvl w:val="0"/>
          <w:numId w:val="19"/>
        </w:numPr>
        <w:spacing w:after="0" w:line="240" w:lineRule="auto"/>
        <w:ind w:left="567" w:hanging="567"/>
        <w:rPr>
          <w:rFonts w:ascii="Times New Roman" w:hAnsi="Times New Roman"/>
        </w:rPr>
      </w:pPr>
      <w:r w:rsidRPr="007C1A06">
        <w:rPr>
          <w:rFonts w:ascii="Times New Roman" w:hAnsi="Times New Roman"/>
        </w:rPr>
        <w:t xml:space="preserve">yra alergija </w:t>
      </w:r>
      <w:r w:rsidR="00EC2A59">
        <w:rPr>
          <w:rFonts w:ascii="Times New Roman" w:hAnsi="Times New Roman"/>
        </w:rPr>
        <w:t xml:space="preserve">(padidėjęs jautrumas) </w:t>
      </w:r>
      <w:r w:rsidRPr="007C1A06">
        <w:rPr>
          <w:rFonts w:ascii="Times New Roman" w:hAnsi="Times New Roman"/>
        </w:rPr>
        <w:t>docetakseliui arba bet kuriai pagalbinei šio vaisto medžiagai (jos išvardytos 6 skyriuje);</w:t>
      </w:r>
    </w:p>
    <w:p w14:paraId="5931FAAF" w14:textId="77777777" w:rsidR="00D875C0" w:rsidRPr="001F2C46" w:rsidRDefault="00D875C0" w:rsidP="004E3CD5">
      <w:pPr>
        <w:pStyle w:val="Sraopastraipa"/>
        <w:numPr>
          <w:ilvl w:val="0"/>
          <w:numId w:val="19"/>
        </w:numPr>
        <w:spacing w:after="0" w:line="240" w:lineRule="auto"/>
        <w:ind w:left="567" w:hanging="567"/>
        <w:rPr>
          <w:rFonts w:ascii="Times New Roman" w:hAnsi="Times New Roman"/>
        </w:rPr>
      </w:pPr>
      <w:r w:rsidRPr="007C1A06">
        <w:rPr>
          <w:rFonts w:ascii="Times New Roman" w:hAnsi="Times New Roman"/>
        </w:rPr>
        <w:t xml:space="preserve">per </w:t>
      </w:r>
      <w:r w:rsidRPr="007C1A06">
        <w:rPr>
          <w:rFonts w:ascii="Times New Roman" w:eastAsia="Times New Roman" w:hAnsi="Times New Roman" w:cs="Times New Roman"/>
        </w:rPr>
        <w:t>mažas</w:t>
      </w:r>
      <w:r w:rsidR="00C722B4">
        <w:rPr>
          <w:rFonts w:ascii="Times New Roman" w:eastAsia="Times New Roman" w:hAnsi="Times New Roman" w:cs="Times New Roman"/>
        </w:rPr>
        <w:t xml:space="preserve"> </w:t>
      </w:r>
      <w:r w:rsidRPr="007C1A06">
        <w:rPr>
          <w:rFonts w:ascii="Times New Roman" w:eastAsia="Times New Roman" w:hAnsi="Times New Roman" w:cs="Times New Roman"/>
        </w:rPr>
        <w:t>baltųjų</w:t>
      </w:r>
      <w:r w:rsidRPr="00F95B76">
        <w:rPr>
          <w:rFonts w:ascii="Times New Roman" w:hAnsi="Times New Roman"/>
        </w:rPr>
        <w:t xml:space="preserve"> kraujo kūnelių </w:t>
      </w:r>
      <w:r w:rsidRPr="001F2C46">
        <w:rPr>
          <w:rFonts w:ascii="Times New Roman" w:hAnsi="Times New Roman"/>
        </w:rPr>
        <w:t>skaičius;</w:t>
      </w:r>
    </w:p>
    <w:p w14:paraId="6D6AEBDB" w14:textId="77777777" w:rsidR="00D875C0" w:rsidRPr="001F2C46" w:rsidRDefault="00D875C0" w:rsidP="004E3CD5">
      <w:pPr>
        <w:pStyle w:val="Sraopastraipa"/>
        <w:numPr>
          <w:ilvl w:val="0"/>
          <w:numId w:val="19"/>
        </w:numPr>
        <w:tabs>
          <w:tab w:val="left" w:pos="567"/>
        </w:tabs>
        <w:spacing w:after="0" w:line="240" w:lineRule="auto"/>
        <w:ind w:left="0" w:firstLine="0"/>
        <w:rPr>
          <w:rFonts w:ascii="Times New Roman" w:hAnsi="Times New Roman"/>
        </w:rPr>
      </w:pPr>
      <w:r w:rsidRPr="007C1A06">
        <w:rPr>
          <w:rFonts w:ascii="Times New Roman" w:eastAsia="Times New Roman" w:hAnsi="Times New Roman" w:cs="Times New Roman"/>
        </w:rPr>
        <w:t>sergama</w:t>
      </w:r>
      <w:r w:rsidR="00C722B4">
        <w:rPr>
          <w:rFonts w:ascii="Times New Roman" w:eastAsia="Times New Roman" w:hAnsi="Times New Roman" w:cs="Times New Roman"/>
        </w:rPr>
        <w:t xml:space="preserve"> </w:t>
      </w:r>
      <w:r w:rsidRPr="007C1A06">
        <w:rPr>
          <w:rFonts w:ascii="Times New Roman" w:eastAsia="Times New Roman" w:hAnsi="Times New Roman" w:cs="Times New Roman"/>
        </w:rPr>
        <w:t>sunkiomis</w:t>
      </w:r>
      <w:r w:rsidRPr="00F95B76">
        <w:rPr>
          <w:rFonts w:ascii="Times New Roman" w:hAnsi="Times New Roman"/>
        </w:rPr>
        <w:t xml:space="preserve"> kepenų ligomis.</w:t>
      </w:r>
    </w:p>
    <w:p w14:paraId="39E71A0F" w14:textId="77777777" w:rsidR="00D875C0" w:rsidRPr="00427D92" w:rsidRDefault="00D875C0" w:rsidP="00D875C0">
      <w:pPr>
        <w:spacing w:after="0" w:line="240" w:lineRule="auto"/>
        <w:rPr>
          <w:rFonts w:ascii="Times New Roman" w:hAnsi="Times New Roman"/>
        </w:rPr>
      </w:pPr>
    </w:p>
    <w:p w14:paraId="71DF81B2" w14:textId="77777777" w:rsidR="00D875C0" w:rsidRPr="00C722B4" w:rsidRDefault="00D875C0" w:rsidP="00D875C0">
      <w:pPr>
        <w:keepNext/>
        <w:keepLines/>
        <w:spacing w:after="0" w:line="240" w:lineRule="auto"/>
        <w:outlineLvl w:val="3"/>
        <w:rPr>
          <w:rFonts w:ascii="Times New Roman" w:hAnsi="Times New Roman"/>
          <w:b/>
        </w:rPr>
      </w:pPr>
      <w:r w:rsidRPr="00C722B4">
        <w:rPr>
          <w:rFonts w:ascii="Times New Roman" w:hAnsi="Times New Roman"/>
          <w:b/>
        </w:rPr>
        <w:t xml:space="preserve">Įspėjimai ir atsargumo priemonės </w:t>
      </w:r>
    </w:p>
    <w:p w14:paraId="267F781C" w14:textId="77777777" w:rsidR="00D875C0" w:rsidRPr="00FB5C4B"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Prieš kiekvieną Docetaxel Ebewe gydymo kursą Jums bus atliekamas kraujo tyrimas, kurio metu bus nustatyta, ar </w:t>
      </w:r>
      <w:r w:rsidRPr="007C1A06">
        <w:rPr>
          <w:rFonts w:ascii="Times New Roman" w:eastAsia="Times New Roman" w:hAnsi="Times New Roman" w:cs="Times New Roman"/>
        </w:rPr>
        <w:t>jūsų</w:t>
      </w:r>
      <w:r w:rsidRPr="00F95B76">
        <w:rPr>
          <w:rFonts w:ascii="Times New Roman" w:hAnsi="Times New Roman"/>
        </w:rPr>
        <w:t xml:space="preserve"> kraujyje yra pakankamai kraujo kūnelių ir ar kepenų funkcija yr</w:t>
      </w:r>
      <w:r w:rsidRPr="001F2C46">
        <w:rPr>
          <w:rFonts w:ascii="Times New Roman" w:hAnsi="Times New Roman"/>
        </w:rPr>
        <w:t>a tinkama. Jei sumažės baltųjų kraujo kūnelių kiekis, gali pasireikšti su tuo susijęs karščiavimas ar infekcija.</w:t>
      </w:r>
    </w:p>
    <w:p w14:paraId="032F9A20" w14:textId="77777777" w:rsidR="00D875C0" w:rsidRDefault="00D875C0" w:rsidP="00D875C0">
      <w:pPr>
        <w:autoSpaceDE w:val="0"/>
        <w:autoSpaceDN w:val="0"/>
        <w:adjustRightInd w:val="0"/>
        <w:spacing w:after="0" w:line="240" w:lineRule="auto"/>
        <w:rPr>
          <w:rFonts w:ascii="Times New Roman" w:hAnsi="Times New Roman"/>
        </w:rPr>
      </w:pPr>
    </w:p>
    <w:p w14:paraId="543869D5" w14:textId="77777777" w:rsidR="00F35BEE" w:rsidRDefault="00F35BEE" w:rsidP="00F35BEE">
      <w:pPr>
        <w:autoSpaceDE w:val="0"/>
        <w:autoSpaceDN w:val="0"/>
        <w:adjustRightInd w:val="0"/>
        <w:spacing w:after="0" w:line="240" w:lineRule="auto"/>
        <w:rPr>
          <w:rFonts w:ascii="Times New Roman" w:hAnsi="Times New Roman"/>
        </w:rPr>
      </w:pPr>
      <w:r w:rsidRPr="00F35BEE">
        <w:rPr>
          <w:rFonts w:ascii="Times New Roman" w:hAnsi="Times New Roman"/>
        </w:rPr>
        <w:t xml:space="preserve">Nedelsdami pasakykite gydytojui, </w:t>
      </w:r>
      <w:r>
        <w:rPr>
          <w:rFonts w:ascii="Times New Roman" w:hAnsi="Times New Roman"/>
        </w:rPr>
        <w:t>klinikiniam</w:t>
      </w:r>
      <w:r w:rsidRPr="00F35BEE">
        <w:rPr>
          <w:rFonts w:ascii="Times New Roman" w:hAnsi="Times New Roman"/>
        </w:rPr>
        <w:t xml:space="preserve"> vaistininkui arba slaugytoj</w:t>
      </w:r>
      <w:r>
        <w:rPr>
          <w:rFonts w:ascii="Times New Roman" w:hAnsi="Times New Roman"/>
        </w:rPr>
        <w:t>ai</w:t>
      </w:r>
      <w:r w:rsidRPr="00F35BEE">
        <w:rPr>
          <w:rFonts w:ascii="Times New Roman" w:hAnsi="Times New Roman"/>
        </w:rPr>
        <w:t>, jei</w:t>
      </w:r>
      <w:r>
        <w:rPr>
          <w:rFonts w:ascii="Times New Roman" w:hAnsi="Times New Roman"/>
        </w:rPr>
        <w:t>gu</w:t>
      </w:r>
      <w:r w:rsidRPr="00F35BEE">
        <w:rPr>
          <w:rFonts w:ascii="Times New Roman" w:hAnsi="Times New Roman"/>
        </w:rPr>
        <w:t xml:space="preserve"> atsiranda pilvo skausmas</w:t>
      </w:r>
      <w:r>
        <w:rPr>
          <w:rFonts w:ascii="Times New Roman" w:hAnsi="Times New Roman"/>
        </w:rPr>
        <w:t xml:space="preserve"> </w:t>
      </w:r>
      <w:r w:rsidRPr="00F35BEE">
        <w:rPr>
          <w:rFonts w:ascii="Times New Roman" w:hAnsi="Times New Roman"/>
        </w:rPr>
        <w:t>ar jautrumas, viduriavimas, kraujavimas iš tiesiosios žarnos, kraujas išmatose arba karščiavimas.</w:t>
      </w:r>
      <w:r>
        <w:rPr>
          <w:rFonts w:ascii="Times New Roman" w:hAnsi="Times New Roman"/>
        </w:rPr>
        <w:t xml:space="preserve"> </w:t>
      </w:r>
      <w:r w:rsidRPr="00F35BEE">
        <w:rPr>
          <w:rFonts w:ascii="Times New Roman" w:hAnsi="Times New Roman"/>
        </w:rPr>
        <w:t>Tokie simptomai gali būti pirmieji sunkaus toksinio poveikio virškinimo traktui, kuris gali būti</w:t>
      </w:r>
      <w:r>
        <w:rPr>
          <w:rFonts w:ascii="Times New Roman" w:hAnsi="Times New Roman"/>
        </w:rPr>
        <w:t xml:space="preserve"> </w:t>
      </w:r>
      <w:r w:rsidRPr="00F35BEE">
        <w:rPr>
          <w:rFonts w:ascii="Times New Roman" w:hAnsi="Times New Roman"/>
        </w:rPr>
        <w:t>mirtinas, požymiai. Gydytojas turi nedelsdamas juos įvertinti</w:t>
      </w:r>
      <w:r>
        <w:rPr>
          <w:rFonts w:ascii="Times New Roman" w:hAnsi="Times New Roman"/>
        </w:rPr>
        <w:t>.</w:t>
      </w:r>
    </w:p>
    <w:p w14:paraId="1340F0AB" w14:textId="77777777" w:rsidR="00F35BEE" w:rsidRDefault="00F35BEE" w:rsidP="00D875C0">
      <w:pPr>
        <w:autoSpaceDE w:val="0"/>
        <w:autoSpaceDN w:val="0"/>
        <w:adjustRightInd w:val="0"/>
        <w:spacing w:after="0" w:line="240" w:lineRule="auto"/>
        <w:rPr>
          <w:rFonts w:ascii="Times New Roman" w:hAnsi="Times New Roman"/>
        </w:rPr>
      </w:pPr>
    </w:p>
    <w:p w14:paraId="3D5D83E6" w14:textId="77777777" w:rsidR="00D875C0" w:rsidRPr="001F2C46" w:rsidRDefault="00D875C0" w:rsidP="00D875C0">
      <w:pPr>
        <w:autoSpaceDE w:val="0"/>
        <w:autoSpaceDN w:val="0"/>
        <w:adjustRightInd w:val="0"/>
        <w:spacing w:after="0" w:line="240" w:lineRule="auto"/>
        <w:rPr>
          <w:rFonts w:ascii="Times New Roman" w:hAnsi="Times New Roman"/>
        </w:rPr>
      </w:pPr>
      <w:r w:rsidRPr="00C722B4">
        <w:rPr>
          <w:rFonts w:ascii="Times New Roman" w:hAnsi="Times New Roman"/>
        </w:rPr>
        <w:t xml:space="preserve">Jeigu Jums sutriko regėjimas, pasakykite gydytojui, </w:t>
      </w:r>
      <w:r w:rsidR="00246F2E" w:rsidRPr="00246F2E">
        <w:rPr>
          <w:rFonts w:ascii="Times New Roman" w:hAnsi="Times New Roman" w:cs="Times New Roman"/>
        </w:rPr>
        <w:t xml:space="preserve">klinikiniam </w:t>
      </w:r>
      <w:r w:rsidRPr="00F95B76">
        <w:rPr>
          <w:rFonts w:ascii="Times New Roman" w:hAnsi="Times New Roman"/>
        </w:rPr>
        <w:t xml:space="preserve">vaistininkui arba slaugytojai. Sutrikus regėjimui, ypač jeigu neaiškiai </w:t>
      </w:r>
      <w:r w:rsidRPr="001F2C46">
        <w:rPr>
          <w:rFonts w:ascii="Times New Roman" w:hAnsi="Times New Roman"/>
        </w:rPr>
        <w:t>matote, reikia nedelsiant pasitikrinti akis ir regėjimą.</w:t>
      </w:r>
    </w:p>
    <w:p w14:paraId="4799D5BD" w14:textId="77777777" w:rsidR="003619CE" w:rsidRPr="001F2C46" w:rsidRDefault="003619CE" w:rsidP="003619CE">
      <w:pPr>
        <w:autoSpaceDE w:val="0"/>
        <w:autoSpaceDN w:val="0"/>
        <w:adjustRightInd w:val="0"/>
        <w:spacing w:after="0" w:line="240" w:lineRule="auto"/>
        <w:rPr>
          <w:rFonts w:ascii="Times New Roman" w:hAnsi="Times New Roman"/>
        </w:rPr>
      </w:pPr>
      <w:r w:rsidRPr="00F95B76">
        <w:rPr>
          <w:rFonts w:ascii="Times New Roman" w:hAnsi="Times New Roman"/>
        </w:rPr>
        <w:t xml:space="preserve">Jeigu Jums buvo pasireiškusi alerginė reakcija į ankstesnį gydymą paklitakseliu, apie tai pasakykite gydytojui, </w:t>
      </w:r>
      <w:r w:rsidR="00AB76C5">
        <w:rPr>
          <w:rFonts w:ascii="Times New Roman" w:hAnsi="Times New Roman" w:cs="Times New Roman"/>
        </w:rPr>
        <w:t>klinikiniam</w:t>
      </w:r>
      <w:r w:rsidRPr="00F95B76">
        <w:rPr>
          <w:rFonts w:ascii="Times New Roman" w:hAnsi="Times New Roman"/>
        </w:rPr>
        <w:t xml:space="preserve"> vaistininkui arba slaugytojui.</w:t>
      </w:r>
    </w:p>
    <w:p w14:paraId="73A97C90" w14:textId="77777777" w:rsidR="003619CE" w:rsidRPr="007C1A06" w:rsidRDefault="003619CE" w:rsidP="003619CE">
      <w:pPr>
        <w:autoSpaceDE w:val="0"/>
        <w:autoSpaceDN w:val="0"/>
        <w:adjustRightInd w:val="0"/>
        <w:spacing w:after="0" w:line="240" w:lineRule="auto"/>
        <w:rPr>
          <w:rFonts w:ascii="Times New Roman" w:hAnsi="Times New Roman" w:cs="Times New Roman"/>
        </w:rPr>
      </w:pPr>
    </w:p>
    <w:p w14:paraId="481C9666" w14:textId="77777777" w:rsidR="00246F2E" w:rsidRDefault="00246F2E" w:rsidP="003619CE">
      <w:pPr>
        <w:autoSpaceDE w:val="0"/>
        <w:autoSpaceDN w:val="0"/>
        <w:adjustRightInd w:val="0"/>
        <w:spacing w:after="0" w:line="240" w:lineRule="auto"/>
        <w:rPr>
          <w:rFonts w:ascii="Times New Roman" w:hAnsi="Times New Roman" w:cs="Times New Roman"/>
        </w:rPr>
      </w:pPr>
      <w:r w:rsidRPr="00246F2E">
        <w:rPr>
          <w:rFonts w:ascii="Times New Roman" w:hAnsi="Times New Roman" w:cs="Times New Roman"/>
        </w:rPr>
        <w:t>Jeigu Jums yra širdies sutrikimų, apie tai pasakykite gydytojui, klinikiniam vaistininkui arba slaugytojui.</w:t>
      </w:r>
    </w:p>
    <w:p w14:paraId="0BC2AB16" w14:textId="77777777" w:rsidR="00246F2E" w:rsidRPr="00F95B76" w:rsidRDefault="00246F2E" w:rsidP="003619CE">
      <w:pPr>
        <w:autoSpaceDE w:val="0"/>
        <w:autoSpaceDN w:val="0"/>
        <w:adjustRightInd w:val="0"/>
        <w:spacing w:after="0" w:line="240" w:lineRule="auto"/>
        <w:rPr>
          <w:rFonts w:ascii="Times New Roman" w:hAnsi="Times New Roman"/>
        </w:rPr>
      </w:pPr>
    </w:p>
    <w:p w14:paraId="462A3146" w14:textId="77777777" w:rsidR="00D875C0" w:rsidRPr="001F2C46" w:rsidRDefault="00D875C0" w:rsidP="003619CE">
      <w:pPr>
        <w:autoSpaceDE w:val="0"/>
        <w:autoSpaceDN w:val="0"/>
        <w:adjustRightInd w:val="0"/>
        <w:spacing w:after="0" w:line="240" w:lineRule="auto"/>
        <w:rPr>
          <w:rFonts w:ascii="Times New Roman" w:hAnsi="Times New Roman"/>
        </w:rPr>
      </w:pPr>
      <w:r w:rsidRPr="001F2C46">
        <w:rPr>
          <w:rFonts w:ascii="Times New Roman" w:hAnsi="Times New Roman"/>
        </w:rPr>
        <w:t>Jeigu atsirado ūmių plaučių sutrikimų arba pasunkėjo esami (karščiavimas,</w:t>
      </w:r>
      <w:r w:rsidRPr="00427D92">
        <w:rPr>
          <w:rFonts w:ascii="Times New Roman" w:hAnsi="Times New Roman"/>
        </w:rPr>
        <w:t xml:space="preserve"> dusulys arba kosulys), nedels</w:t>
      </w:r>
      <w:r w:rsidR="005065A1" w:rsidRPr="000C43D3">
        <w:rPr>
          <w:rFonts w:ascii="Times New Roman" w:hAnsi="Times New Roman"/>
        </w:rPr>
        <w:t>dami</w:t>
      </w:r>
      <w:r w:rsidRPr="000C43D3">
        <w:rPr>
          <w:rFonts w:ascii="Times New Roman" w:hAnsi="Times New Roman"/>
        </w:rPr>
        <w:t xml:space="preserve"> pasakykite gydytojui, </w:t>
      </w:r>
      <w:r w:rsidR="00246F2E" w:rsidRPr="00246F2E">
        <w:rPr>
          <w:rFonts w:ascii="Times New Roman" w:hAnsi="Times New Roman" w:cs="Times New Roman"/>
        </w:rPr>
        <w:t xml:space="preserve">klinikiniam </w:t>
      </w:r>
      <w:r w:rsidRPr="00F95B76">
        <w:rPr>
          <w:rFonts w:ascii="Times New Roman" w:hAnsi="Times New Roman"/>
        </w:rPr>
        <w:t>vaistininkui arba slaugytojai. Gydytojas gali nu</w:t>
      </w:r>
      <w:r w:rsidRPr="001F2C46">
        <w:rPr>
          <w:rFonts w:ascii="Times New Roman" w:hAnsi="Times New Roman"/>
        </w:rPr>
        <w:t>spręsti nedelsiant nutraukti šio vaisto vartojimą.</w:t>
      </w:r>
    </w:p>
    <w:p w14:paraId="5BB132CE" w14:textId="77777777" w:rsidR="00D875C0" w:rsidRPr="004E3CD5" w:rsidRDefault="00D875C0" w:rsidP="00D875C0">
      <w:pPr>
        <w:autoSpaceDE w:val="0"/>
        <w:autoSpaceDN w:val="0"/>
        <w:adjustRightInd w:val="0"/>
        <w:spacing w:after="0" w:line="240" w:lineRule="auto"/>
        <w:rPr>
          <w:rFonts w:ascii="Times New Roman" w:hAnsi="Times New Roman"/>
        </w:rPr>
      </w:pPr>
    </w:p>
    <w:p w14:paraId="37F6E3A6" w14:textId="77777777" w:rsidR="00D875C0" w:rsidRPr="001F2C46" w:rsidRDefault="00D875C0" w:rsidP="00D875C0">
      <w:pPr>
        <w:autoSpaceDE w:val="0"/>
        <w:autoSpaceDN w:val="0"/>
        <w:adjustRightInd w:val="0"/>
        <w:spacing w:after="0" w:line="240" w:lineRule="auto"/>
        <w:rPr>
          <w:rFonts w:ascii="Times New Roman" w:hAnsi="Times New Roman"/>
        </w:rPr>
      </w:pPr>
      <w:r w:rsidRPr="00F95B76">
        <w:rPr>
          <w:rFonts w:ascii="Times New Roman" w:hAnsi="Times New Roman"/>
        </w:rPr>
        <w:t>Gydytojas nurodys gerti kortikosteroido (pvz., deksametazono) premedikacijai vieną dieną iki Docetaxel Ebewe infuzijos ir vieną ar dvi dienas po jos, kad būtų sumažinti kai kurie po infuzijos galimi šalut</w:t>
      </w:r>
      <w:r w:rsidRPr="001F2C46">
        <w:rPr>
          <w:rFonts w:ascii="Times New Roman" w:hAnsi="Times New Roman"/>
        </w:rPr>
        <w:t xml:space="preserve">iniai poveikiai, tokie kaip alerginės reakcijos ir skysčių susilaikymas (plaštakų, pėdų ir kojų tinimas, svorio didėjimas). </w:t>
      </w:r>
    </w:p>
    <w:p w14:paraId="158836D7" w14:textId="77777777" w:rsidR="00D875C0" w:rsidRPr="00427D92" w:rsidRDefault="00D875C0" w:rsidP="00D875C0">
      <w:pPr>
        <w:autoSpaceDE w:val="0"/>
        <w:autoSpaceDN w:val="0"/>
        <w:adjustRightInd w:val="0"/>
        <w:spacing w:after="0" w:line="240" w:lineRule="auto"/>
        <w:rPr>
          <w:rFonts w:ascii="Times New Roman" w:hAnsi="Times New Roman"/>
        </w:rPr>
      </w:pPr>
    </w:p>
    <w:p w14:paraId="25ACA049" w14:textId="77777777" w:rsidR="00D875C0" w:rsidRDefault="00D875C0" w:rsidP="00D875C0">
      <w:pPr>
        <w:autoSpaceDE w:val="0"/>
        <w:autoSpaceDN w:val="0"/>
        <w:adjustRightInd w:val="0"/>
        <w:spacing w:after="0" w:line="240" w:lineRule="auto"/>
        <w:rPr>
          <w:rFonts w:ascii="Times New Roman" w:hAnsi="Times New Roman"/>
        </w:rPr>
      </w:pPr>
      <w:r w:rsidRPr="00C722B4">
        <w:rPr>
          <w:rFonts w:ascii="Times New Roman" w:hAnsi="Times New Roman"/>
        </w:rPr>
        <w:t>Gydymo metu Jums gali būti paskirta priemonių, palaikančių normalų kraujo ląstelių skaičių.</w:t>
      </w:r>
    </w:p>
    <w:p w14:paraId="6A8DE39D" w14:textId="77777777" w:rsidR="00396A8F" w:rsidRDefault="00396A8F" w:rsidP="00D875C0">
      <w:pPr>
        <w:autoSpaceDE w:val="0"/>
        <w:autoSpaceDN w:val="0"/>
        <w:adjustRightInd w:val="0"/>
        <w:spacing w:after="0" w:line="240" w:lineRule="auto"/>
        <w:rPr>
          <w:rFonts w:ascii="Times New Roman" w:hAnsi="Times New Roman"/>
        </w:rPr>
      </w:pPr>
    </w:p>
    <w:p w14:paraId="6061E8BB" w14:textId="741304A8" w:rsidR="00191D3F" w:rsidRDefault="00191D3F" w:rsidP="00191D3F">
      <w:pPr>
        <w:autoSpaceDE w:val="0"/>
        <w:autoSpaceDN w:val="0"/>
        <w:adjustRightInd w:val="0"/>
        <w:spacing w:after="0" w:line="240" w:lineRule="auto"/>
        <w:rPr>
          <w:rFonts w:ascii="Times New Roman" w:hAnsi="Times New Roman"/>
        </w:rPr>
      </w:pPr>
      <w:r>
        <w:rPr>
          <w:rFonts w:ascii="Times New Roman" w:hAnsi="Times New Roman"/>
        </w:rPr>
        <w:t>A</w:t>
      </w:r>
      <w:r w:rsidR="00D9198F">
        <w:rPr>
          <w:rFonts w:ascii="Times New Roman" w:hAnsi="Times New Roman"/>
        </w:rPr>
        <w:t>pie</w:t>
      </w:r>
      <w:r>
        <w:rPr>
          <w:rFonts w:ascii="Times New Roman" w:hAnsi="Times New Roman"/>
        </w:rPr>
        <w:t xml:space="preserve"> </w:t>
      </w:r>
      <w:r w:rsidR="004E680F" w:rsidRPr="00F54C45">
        <w:rPr>
          <w:rFonts w:ascii="Times New Roman" w:hAnsi="Times New Roman"/>
        </w:rPr>
        <w:t>sunkius odos sutrikimus, tokius kaip Stivenso-Džonsono</w:t>
      </w:r>
      <w:r w:rsidR="007835FD">
        <w:rPr>
          <w:rFonts w:ascii="Times New Roman" w:hAnsi="Times New Roman"/>
        </w:rPr>
        <w:t xml:space="preserve"> </w:t>
      </w:r>
      <w:r w:rsidR="004E680F" w:rsidRPr="00F54C45">
        <w:rPr>
          <w:rFonts w:ascii="Times New Roman" w:hAnsi="Times New Roman"/>
        </w:rPr>
        <w:t>(Stevens-Johnson) sindromas (SJS), toksinė epidermio nekrolizė (TEN) ir ūminė išplitusi egzanteminė</w:t>
      </w:r>
      <w:r w:rsidR="007835FD">
        <w:rPr>
          <w:rFonts w:ascii="Times New Roman" w:hAnsi="Times New Roman"/>
        </w:rPr>
        <w:t xml:space="preserve"> </w:t>
      </w:r>
      <w:r w:rsidR="004E680F" w:rsidRPr="00F54C45">
        <w:rPr>
          <w:rFonts w:ascii="Times New Roman" w:hAnsi="Times New Roman"/>
        </w:rPr>
        <w:t>pustuliozė (</w:t>
      </w:r>
      <w:r w:rsidR="004E680F" w:rsidRPr="00F54C45">
        <w:rPr>
          <w:rFonts w:ascii="Times New Roman" w:hAnsi="Times New Roman"/>
          <w:i/>
          <w:iCs/>
        </w:rPr>
        <w:t>angl.</w:t>
      </w:r>
      <w:r w:rsidR="004E680F" w:rsidRPr="00F54C45">
        <w:rPr>
          <w:rFonts w:ascii="Times New Roman" w:hAnsi="Times New Roman"/>
        </w:rPr>
        <w:t xml:space="preserve"> Acute Generalized Exanthematous Pustulosis, AGEP)</w:t>
      </w:r>
      <w:r w:rsidRPr="00191D3F">
        <w:rPr>
          <w:rFonts w:ascii="Times New Roman" w:hAnsi="Times New Roman"/>
        </w:rPr>
        <w:t xml:space="preserve"> </w:t>
      </w:r>
      <w:r>
        <w:rPr>
          <w:rFonts w:ascii="Times New Roman" w:hAnsi="Times New Roman"/>
        </w:rPr>
        <w:t>b</w:t>
      </w:r>
      <w:r w:rsidR="000353CE">
        <w:rPr>
          <w:rFonts w:ascii="Times New Roman" w:hAnsi="Times New Roman"/>
        </w:rPr>
        <w:t xml:space="preserve">uvo pranešta vartojant </w:t>
      </w:r>
      <w:r w:rsidR="009A0162">
        <w:rPr>
          <w:rFonts w:ascii="Times New Roman" w:hAnsi="Times New Roman"/>
        </w:rPr>
        <w:t>docetakselio</w:t>
      </w:r>
      <w:r>
        <w:rPr>
          <w:rFonts w:ascii="Times New Roman" w:hAnsi="Times New Roman"/>
        </w:rPr>
        <w:t>:</w:t>
      </w:r>
    </w:p>
    <w:p w14:paraId="1B0A7D27" w14:textId="77777777" w:rsidR="004E680F" w:rsidRPr="00453BC4" w:rsidRDefault="004E680F" w:rsidP="00453BC4">
      <w:pPr>
        <w:pStyle w:val="Sraopastraipa"/>
        <w:numPr>
          <w:ilvl w:val="0"/>
          <w:numId w:val="29"/>
        </w:numPr>
        <w:autoSpaceDE w:val="0"/>
        <w:autoSpaceDN w:val="0"/>
        <w:adjustRightInd w:val="0"/>
        <w:spacing w:after="0" w:line="240" w:lineRule="auto"/>
        <w:ind w:left="540" w:hanging="540"/>
        <w:rPr>
          <w:rFonts w:ascii="Times New Roman" w:hAnsi="Times New Roman"/>
        </w:rPr>
      </w:pPr>
      <w:r w:rsidRPr="00453BC4">
        <w:rPr>
          <w:rFonts w:ascii="Times New Roman" w:hAnsi="Times New Roman"/>
        </w:rPr>
        <w:t>SJS ar TEN simptomai yra pūslių atsiradimas, lupimasis ar kraujavimas bet kurioje odos</w:t>
      </w:r>
      <w:r w:rsidR="00473857" w:rsidRPr="00453BC4">
        <w:rPr>
          <w:rFonts w:ascii="Times New Roman" w:hAnsi="Times New Roman"/>
        </w:rPr>
        <w:t xml:space="preserve"> </w:t>
      </w:r>
      <w:r w:rsidRPr="00453BC4">
        <w:rPr>
          <w:rFonts w:ascii="Times New Roman" w:hAnsi="Times New Roman"/>
        </w:rPr>
        <w:t>vietoje (įskaitant lūpas, akis, burną, nosį, lytinius organus, plaštakas ar pėdas) su išbėrimu arba</w:t>
      </w:r>
      <w:r w:rsidR="00473857" w:rsidRPr="00453BC4">
        <w:rPr>
          <w:rFonts w:ascii="Times New Roman" w:hAnsi="Times New Roman"/>
        </w:rPr>
        <w:t xml:space="preserve"> </w:t>
      </w:r>
      <w:r w:rsidRPr="00453BC4">
        <w:rPr>
          <w:rFonts w:ascii="Times New Roman" w:hAnsi="Times New Roman"/>
        </w:rPr>
        <w:t>be jo. Be to, tuo pat metu gali atsirasti į gripą panašių simptomų, tokių kaip karščiavimas,</w:t>
      </w:r>
      <w:r w:rsidR="00473857" w:rsidRPr="00453BC4">
        <w:rPr>
          <w:rFonts w:ascii="Times New Roman" w:hAnsi="Times New Roman"/>
        </w:rPr>
        <w:t xml:space="preserve"> </w:t>
      </w:r>
      <w:r w:rsidRPr="00453BC4">
        <w:rPr>
          <w:rFonts w:ascii="Times New Roman" w:hAnsi="Times New Roman"/>
        </w:rPr>
        <w:t>šaltkrėtis ar raumenų maudimas.</w:t>
      </w:r>
    </w:p>
    <w:p w14:paraId="7C6FF098" w14:textId="77777777" w:rsidR="00396A8F" w:rsidRPr="00F54C45" w:rsidRDefault="004E680F" w:rsidP="00F54C45">
      <w:pPr>
        <w:pStyle w:val="Sraopastraipa"/>
        <w:numPr>
          <w:ilvl w:val="0"/>
          <w:numId w:val="22"/>
        </w:numPr>
        <w:autoSpaceDE w:val="0"/>
        <w:autoSpaceDN w:val="0"/>
        <w:adjustRightInd w:val="0"/>
        <w:spacing w:after="0" w:line="240" w:lineRule="auto"/>
        <w:ind w:left="567" w:hanging="567"/>
        <w:rPr>
          <w:rFonts w:ascii="Times New Roman" w:hAnsi="Times New Roman"/>
        </w:rPr>
      </w:pPr>
      <w:r w:rsidRPr="00F54C45">
        <w:rPr>
          <w:rFonts w:ascii="Times New Roman" w:hAnsi="Times New Roman"/>
        </w:rPr>
        <w:t>AGEP simptomai yra išplitęs išbėrimas raudonomis pleiskanotomis dėmėmis su</w:t>
      </w:r>
      <w:r w:rsidR="00473857" w:rsidRPr="00502ADB">
        <w:rPr>
          <w:rFonts w:ascii="Times New Roman" w:hAnsi="Times New Roman"/>
        </w:rPr>
        <w:t xml:space="preserve"> </w:t>
      </w:r>
      <w:r w:rsidRPr="00F54C45">
        <w:rPr>
          <w:rFonts w:ascii="Times New Roman" w:hAnsi="Times New Roman"/>
        </w:rPr>
        <w:t>gumbais po ištinusia oda (įskaitant odos raukšles, liemenį ir rankas) ir pūslės kartu su</w:t>
      </w:r>
      <w:r w:rsidR="00473857">
        <w:rPr>
          <w:rFonts w:ascii="Times New Roman" w:hAnsi="Times New Roman"/>
        </w:rPr>
        <w:t xml:space="preserve"> </w:t>
      </w:r>
      <w:r w:rsidRPr="00F54C45">
        <w:rPr>
          <w:rFonts w:ascii="Times New Roman" w:hAnsi="Times New Roman"/>
        </w:rPr>
        <w:t>karščiavimu.</w:t>
      </w:r>
    </w:p>
    <w:p w14:paraId="6D6DF698" w14:textId="77777777" w:rsidR="00D875C0" w:rsidRDefault="00C5107B" w:rsidP="00D875C0">
      <w:pPr>
        <w:spacing w:after="0" w:line="240" w:lineRule="auto"/>
        <w:rPr>
          <w:rFonts w:ascii="Times New Roman" w:hAnsi="Times New Roman"/>
        </w:rPr>
      </w:pPr>
      <w:r>
        <w:rPr>
          <w:rFonts w:ascii="Times New Roman" w:hAnsi="Times New Roman"/>
        </w:rPr>
        <w:t>Jeigu jums išsivystė sunkių odos reakcijų</w:t>
      </w:r>
      <w:r w:rsidR="003E33FA">
        <w:rPr>
          <w:rFonts w:ascii="Times New Roman" w:hAnsi="Times New Roman"/>
        </w:rPr>
        <w:t xml:space="preserve"> arba bet kurių </w:t>
      </w:r>
      <w:r w:rsidR="00F77CF9">
        <w:rPr>
          <w:rFonts w:ascii="Times New Roman" w:hAnsi="Times New Roman"/>
        </w:rPr>
        <w:t>aukščiau išvardytų reakci</w:t>
      </w:r>
      <w:r w:rsidR="00D549E8">
        <w:rPr>
          <w:rFonts w:ascii="Times New Roman" w:hAnsi="Times New Roman"/>
        </w:rPr>
        <w:t>j</w:t>
      </w:r>
      <w:r w:rsidR="00F77CF9">
        <w:rPr>
          <w:rFonts w:ascii="Times New Roman" w:hAnsi="Times New Roman"/>
        </w:rPr>
        <w:t>ų</w:t>
      </w:r>
      <w:r w:rsidR="005E602C">
        <w:rPr>
          <w:rFonts w:ascii="Times New Roman" w:hAnsi="Times New Roman"/>
        </w:rPr>
        <w:t>, nedelsiant kreipkitės į savo gydytoją</w:t>
      </w:r>
      <w:r w:rsidR="00465F5B">
        <w:rPr>
          <w:rFonts w:ascii="Times New Roman" w:hAnsi="Times New Roman"/>
        </w:rPr>
        <w:t xml:space="preserve"> ar sveikatos priežiūros specialistą.</w:t>
      </w:r>
    </w:p>
    <w:p w14:paraId="2E9A1D55" w14:textId="77777777" w:rsidR="00465F5B" w:rsidRDefault="00465F5B" w:rsidP="00D875C0">
      <w:pPr>
        <w:spacing w:after="0" w:line="240" w:lineRule="auto"/>
        <w:rPr>
          <w:rFonts w:ascii="Times New Roman" w:hAnsi="Times New Roman"/>
        </w:rPr>
      </w:pPr>
    </w:p>
    <w:p w14:paraId="56655538" w14:textId="45546E68" w:rsidR="009A0162" w:rsidRDefault="009A0162" w:rsidP="009A0162">
      <w:pPr>
        <w:spacing w:after="0" w:line="240" w:lineRule="auto"/>
        <w:rPr>
          <w:rFonts w:ascii="Times New Roman" w:hAnsi="Times New Roman"/>
        </w:rPr>
      </w:pPr>
      <w:r w:rsidRPr="009A0162">
        <w:rPr>
          <w:rFonts w:ascii="Times New Roman" w:hAnsi="Times New Roman"/>
        </w:rPr>
        <w:t>Jei Jums yra inkstų sutrikimų ar šlapimo rūgšties kiekis kraujyje yra didelis, apie tai pasakykite</w:t>
      </w:r>
      <w:r>
        <w:rPr>
          <w:rFonts w:ascii="Times New Roman" w:hAnsi="Times New Roman"/>
        </w:rPr>
        <w:t xml:space="preserve"> </w:t>
      </w:r>
      <w:r w:rsidRPr="009A0162">
        <w:rPr>
          <w:rFonts w:ascii="Times New Roman" w:hAnsi="Times New Roman"/>
        </w:rPr>
        <w:t xml:space="preserve">gydytojui, ligoninės vaistininkui ar slaugytojui prieš gydymo </w:t>
      </w:r>
      <w:r>
        <w:rPr>
          <w:rFonts w:ascii="Times New Roman" w:hAnsi="Times New Roman"/>
        </w:rPr>
        <w:t>Docetaxel Ebewe</w:t>
      </w:r>
      <w:r w:rsidRPr="009A0162">
        <w:rPr>
          <w:rFonts w:ascii="Times New Roman" w:hAnsi="Times New Roman"/>
        </w:rPr>
        <w:t xml:space="preserve"> pradžią.</w:t>
      </w:r>
    </w:p>
    <w:p w14:paraId="02C8CD24" w14:textId="77777777" w:rsidR="009A0162" w:rsidRPr="007C1A06" w:rsidRDefault="009A0162" w:rsidP="00D875C0">
      <w:pPr>
        <w:spacing w:after="0" w:line="240" w:lineRule="auto"/>
        <w:rPr>
          <w:rFonts w:ascii="Times New Roman" w:hAnsi="Times New Roman"/>
        </w:rPr>
      </w:pPr>
    </w:p>
    <w:p w14:paraId="6963FFF2" w14:textId="77777777" w:rsidR="00D875C0" w:rsidRPr="00FB5C4B"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Docetaxel Ebewe sudėtyje yra alkoholio. Pasakykite gydytojui, jeigu sergate alkoholizmu</w:t>
      </w:r>
      <w:r w:rsidR="00246F2E">
        <w:rPr>
          <w:rFonts w:ascii="Times New Roman" w:eastAsia="Times New Roman" w:hAnsi="Times New Roman" w:cs="Times New Roman"/>
        </w:rPr>
        <w:t>, epilepsija</w:t>
      </w:r>
      <w:r w:rsidRPr="00F95B76">
        <w:rPr>
          <w:rFonts w:ascii="Times New Roman" w:hAnsi="Times New Roman"/>
        </w:rPr>
        <w:t xml:space="preserve"> ar kepenų ligomis. Taip pat žr. toliau esantį poskyrį „Docetaxel Ebewe sudėtyje yra etanolio (alkoholio)“.</w:t>
      </w:r>
    </w:p>
    <w:p w14:paraId="3C5EDE5A" w14:textId="77777777" w:rsidR="00D875C0" w:rsidRPr="00427D92" w:rsidRDefault="00D875C0" w:rsidP="00D875C0">
      <w:pPr>
        <w:spacing w:after="0" w:line="240" w:lineRule="auto"/>
        <w:rPr>
          <w:rFonts w:ascii="Times New Roman" w:hAnsi="Times New Roman"/>
        </w:rPr>
      </w:pPr>
    </w:p>
    <w:p w14:paraId="1E84EAB4" w14:textId="77777777" w:rsidR="00D875C0" w:rsidRPr="00C722B4" w:rsidRDefault="00D875C0" w:rsidP="00D875C0">
      <w:pPr>
        <w:spacing w:after="0" w:line="220" w:lineRule="exact"/>
        <w:rPr>
          <w:rFonts w:ascii="Times New Roman" w:hAnsi="Times New Roman"/>
          <w:b/>
        </w:rPr>
      </w:pPr>
      <w:r w:rsidRPr="00C722B4">
        <w:rPr>
          <w:rFonts w:ascii="Times New Roman" w:hAnsi="Times New Roman"/>
          <w:b/>
        </w:rPr>
        <w:t>Kiti vaistai ir Docetaxel Ebewe</w:t>
      </w:r>
    </w:p>
    <w:p w14:paraId="6C2CC438" w14:textId="77777777" w:rsidR="00D875C0" w:rsidRPr="00FB5C4B" w:rsidRDefault="00D875C0" w:rsidP="00D875C0">
      <w:pPr>
        <w:numPr>
          <w:ilvl w:val="12"/>
          <w:numId w:val="0"/>
        </w:numPr>
        <w:spacing w:after="0" w:line="240" w:lineRule="auto"/>
        <w:ind w:right="-2"/>
        <w:rPr>
          <w:rFonts w:ascii="Times New Roman" w:eastAsiaTheme="minorEastAsia" w:hAnsi="Times New Roman"/>
          <w:lang w:eastAsia="zh-TW"/>
        </w:rPr>
      </w:pPr>
      <w:r w:rsidRPr="007C1A06">
        <w:rPr>
          <w:rFonts w:ascii="Times New Roman" w:hAnsi="Times New Roman"/>
        </w:rPr>
        <w:t>Jeigu vartojate ar neseniai vartojote kitų vaistų</w:t>
      </w:r>
      <w:r w:rsidR="00855EB6" w:rsidRPr="007C1A06">
        <w:rPr>
          <w:rFonts w:ascii="Times New Roman" w:eastAsia="Times New Roman" w:hAnsi="Times New Roman" w:cs="Times New Roman"/>
        </w:rPr>
        <w:t xml:space="preserve">, </w:t>
      </w:r>
      <w:r w:rsidR="00246F2E" w:rsidRPr="00246F2E">
        <w:rPr>
          <w:rFonts w:ascii="Times New Roman" w:eastAsia="Times New Roman" w:hAnsi="Times New Roman" w:cs="Times New Roman"/>
        </w:rPr>
        <w:t>įskaitant vaistus, įsigytus be recepto,</w:t>
      </w:r>
      <w:r w:rsidR="00246F2E" w:rsidRPr="00F95B76">
        <w:rPr>
          <w:rFonts w:ascii="Times New Roman" w:hAnsi="Times New Roman"/>
        </w:rPr>
        <w:t xml:space="preserve"> </w:t>
      </w:r>
      <w:r w:rsidRPr="001F2C46">
        <w:rPr>
          <w:rFonts w:ascii="Times New Roman" w:hAnsi="Times New Roman"/>
        </w:rPr>
        <w:t>arba dėl to nesate tikri, apie tai pasakykite gydytojui arba</w:t>
      </w:r>
      <w:r w:rsidRPr="007C1A06">
        <w:rPr>
          <w:rFonts w:ascii="Times New Roman" w:eastAsia="Times New Roman" w:hAnsi="Times New Roman" w:cs="Times New Roman"/>
        </w:rPr>
        <w:t xml:space="preserve"> </w:t>
      </w:r>
      <w:r w:rsidR="00246F2E" w:rsidRPr="00246F2E">
        <w:rPr>
          <w:rFonts w:ascii="Times New Roman" w:eastAsia="Times New Roman" w:hAnsi="Times New Roman" w:cs="Times New Roman"/>
        </w:rPr>
        <w:t>klinikiniam</w:t>
      </w:r>
      <w:r w:rsidR="00246F2E" w:rsidRPr="00F95B76">
        <w:rPr>
          <w:rFonts w:ascii="Times New Roman" w:hAnsi="Times New Roman"/>
        </w:rPr>
        <w:t xml:space="preserve"> </w:t>
      </w:r>
      <w:r w:rsidRPr="001F2C46">
        <w:rPr>
          <w:rFonts w:ascii="Times New Roman" w:hAnsi="Times New Roman"/>
        </w:rPr>
        <w:t>vaistininkui.</w:t>
      </w:r>
    </w:p>
    <w:p w14:paraId="0C708777" w14:textId="77777777" w:rsidR="002002CD" w:rsidRPr="001F2C46" w:rsidRDefault="00D875C0" w:rsidP="00D875C0">
      <w:pPr>
        <w:spacing w:after="0" w:line="240" w:lineRule="auto"/>
        <w:rPr>
          <w:rFonts w:ascii="Times New Roman" w:hAnsi="Times New Roman"/>
        </w:rPr>
      </w:pPr>
      <w:r w:rsidRPr="00427D92">
        <w:rPr>
          <w:rFonts w:ascii="Times New Roman" w:hAnsi="Times New Roman"/>
        </w:rPr>
        <w:t>Tai būtina, ka</w:t>
      </w:r>
      <w:r w:rsidRPr="000C43D3">
        <w:rPr>
          <w:rFonts w:ascii="Times New Roman" w:hAnsi="Times New Roman"/>
        </w:rPr>
        <w:t>dangi Docetaxel Ebewe ir kitų vaistų poveikis gali būti ne toks, kokio tikėtasi, be to, gali padidėti šalutinio poveikio pavojus.</w:t>
      </w:r>
      <w:r w:rsidR="00EC5B32">
        <w:rPr>
          <w:rFonts w:ascii="Times New Roman" w:hAnsi="Times New Roman"/>
        </w:rPr>
        <w:t xml:space="preserve"> </w:t>
      </w:r>
      <w:r w:rsidR="002002CD" w:rsidRPr="004E3CD5">
        <w:rPr>
          <w:rFonts w:ascii="Times New Roman" w:hAnsi="Times New Roman"/>
        </w:rPr>
        <w:t>Alkoholio kiekis, esantis šio vaisto sud</w:t>
      </w:r>
      <w:r w:rsidR="002002CD" w:rsidRPr="004E3CD5">
        <w:rPr>
          <w:rFonts w:ascii="Times New Roman" w:hAnsi="Times New Roman" w:hint="eastAsia"/>
        </w:rPr>
        <w:t>ė</w:t>
      </w:r>
      <w:r w:rsidR="002002CD" w:rsidRPr="004E3CD5">
        <w:rPr>
          <w:rFonts w:ascii="Times New Roman" w:hAnsi="Times New Roman"/>
        </w:rPr>
        <w:t>tyje, gali keisti kit</w:t>
      </w:r>
      <w:r w:rsidR="002002CD" w:rsidRPr="004E3CD5">
        <w:rPr>
          <w:rFonts w:ascii="Times New Roman" w:hAnsi="Times New Roman" w:hint="eastAsia"/>
        </w:rPr>
        <w:t>ų</w:t>
      </w:r>
      <w:r w:rsidR="002002CD" w:rsidRPr="004E3CD5">
        <w:rPr>
          <w:rFonts w:ascii="Times New Roman" w:hAnsi="Times New Roman"/>
        </w:rPr>
        <w:t xml:space="preserve"> vaist</w:t>
      </w:r>
      <w:r w:rsidR="002002CD" w:rsidRPr="004E3CD5">
        <w:rPr>
          <w:rFonts w:ascii="Times New Roman" w:hAnsi="Times New Roman" w:hint="eastAsia"/>
        </w:rPr>
        <w:t>ų</w:t>
      </w:r>
      <w:r w:rsidR="002002CD" w:rsidRPr="004E3CD5">
        <w:rPr>
          <w:rFonts w:ascii="Times New Roman" w:hAnsi="Times New Roman"/>
        </w:rPr>
        <w:t xml:space="preserve"> poveik</w:t>
      </w:r>
      <w:r w:rsidR="002002CD" w:rsidRPr="004E3CD5">
        <w:rPr>
          <w:rFonts w:ascii="Times New Roman" w:hAnsi="Times New Roman" w:hint="eastAsia"/>
        </w:rPr>
        <w:t>į</w:t>
      </w:r>
      <w:r w:rsidR="002002CD" w:rsidRPr="00F95B76">
        <w:rPr>
          <w:rFonts w:ascii="Times New Roman" w:hAnsi="Times New Roman"/>
        </w:rPr>
        <w:t>.</w:t>
      </w:r>
    </w:p>
    <w:p w14:paraId="5409A217" w14:textId="77777777" w:rsidR="002002CD" w:rsidRPr="00427D92" w:rsidRDefault="002002CD" w:rsidP="00D875C0">
      <w:pPr>
        <w:spacing w:after="0" w:line="240" w:lineRule="auto"/>
        <w:rPr>
          <w:rFonts w:ascii="Times New Roman" w:hAnsi="Times New Roman"/>
        </w:rPr>
      </w:pPr>
    </w:p>
    <w:p w14:paraId="109C3F99" w14:textId="77777777" w:rsidR="00D875C0" w:rsidRPr="00C722B4" w:rsidRDefault="00D875C0" w:rsidP="00D875C0">
      <w:pPr>
        <w:spacing w:after="0" w:line="220" w:lineRule="exact"/>
        <w:rPr>
          <w:rFonts w:ascii="Times New Roman" w:hAnsi="Times New Roman"/>
          <w:b/>
        </w:rPr>
      </w:pPr>
      <w:r w:rsidRPr="00C722B4">
        <w:rPr>
          <w:rFonts w:ascii="Times New Roman" w:hAnsi="Times New Roman"/>
          <w:b/>
        </w:rPr>
        <w:t>Nėštumas, žindymo laikotarpis ir vaisingumas</w:t>
      </w:r>
    </w:p>
    <w:p w14:paraId="58553F50" w14:textId="1931644B" w:rsidR="00D875C0" w:rsidRPr="00874783" w:rsidRDefault="009A0162" w:rsidP="00D875C0">
      <w:pPr>
        <w:autoSpaceDE w:val="0"/>
        <w:autoSpaceDN w:val="0"/>
        <w:adjustRightInd w:val="0"/>
        <w:spacing w:after="0" w:line="240" w:lineRule="auto"/>
        <w:rPr>
          <w:rFonts w:ascii="Times New Roman" w:eastAsiaTheme="minorEastAsia" w:hAnsi="Times New Roman"/>
          <w:lang w:eastAsia="zh-TW"/>
        </w:rPr>
      </w:pPr>
      <w:r w:rsidRPr="009A0162">
        <w:rPr>
          <w:rFonts w:ascii="Times New Roman" w:hAnsi="Times New Roman"/>
        </w:rPr>
        <w:t>Prieš vartojant bet kok</w:t>
      </w:r>
      <w:r>
        <w:rPr>
          <w:rFonts w:ascii="Times New Roman" w:hAnsi="Times New Roman"/>
        </w:rPr>
        <w:t>io</w:t>
      </w:r>
      <w:r w:rsidRPr="009A0162">
        <w:rPr>
          <w:rFonts w:ascii="Times New Roman" w:hAnsi="Times New Roman"/>
        </w:rPr>
        <w:t xml:space="preserve"> vaist</w:t>
      </w:r>
      <w:r>
        <w:rPr>
          <w:rFonts w:ascii="Times New Roman" w:hAnsi="Times New Roman"/>
        </w:rPr>
        <w:t>o</w:t>
      </w:r>
      <w:r w:rsidRPr="009A0162">
        <w:rPr>
          <w:rFonts w:ascii="Times New Roman" w:hAnsi="Times New Roman"/>
        </w:rPr>
        <w:t xml:space="preserve"> būtina pasitarti su gydytoju.</w:t>
      </w:r>
      <w:r w:rsidR="00770808">
        <w:rPr>
          <w:rFonts w:ascii="Times New Roman" w:hAnsi="Times New Roman"/>
        </w:rPr>
        <w:t xml:space="preserve"> </w:t>
      </w:r>
      <w:r w:rsidR="00D875C0" w:rsidRPr="004E3CD5">
        <w:rPr>
          <w:rFonts w:ascii="Times New Roman" w:hAnsi="Times New Roman"/>
        </w:rPr>
        <w:t>N</w:t>
      </w:r>
      <w:r w:rsidR="00D875C0" w:rsidRPr="004E3CD5">
        <w:rPr>
          <w:rFonts w:ascii="Times New Roman" w:hAnsi="Times New Roman" w:hint="eastAsia"/>
        </w:rPr>
        <w:t>ėšč</w:t>
      </w:r>
      <w:r w:rsidR="00D875C0" w:rsidRPr="004E3CD5">
        <w:rPr>
          <w:rFonts w:ascii="Times New Roman" w:hAnsi="Times New Roman"/>
        </w:rPr>
        <w:t xml:space="preserve">ioms moterims </w:t>
      </w:r>
      <w:r w:rsidR="00D875C0" w:rsidRPr="00F95B76">
        <w:rPr>
          <w:rFonts w:ascii="Times New Roman" w:hAnsi="Times New Roman"/>
        </w:rPr>
        <w:t xml:space="preserve">Docetaxel Ebewe </w:t>
      </w:r>
      <w:r w:rsidR="00D875C0" w:rsidRPr="004E3CD5">
        <w:rPr>
          <w:rFonts w:ascii="Times New Roman" w:hAnsi="Times New Roman"/>
        </w:rPr>
        <w:t>neskiriama, išskyrus neabejotinai b</w:t>
      </w:r>
      <w:r w:rsidR="00D875C0" w:rsidRPr="004E3CD5">
        <w:rPr>
          <w:rFonts w:ascii="Times New Roman" w:hAnsi="Times New Roman" w:hint="eastAsia"/>
        </w:rPr>
        <w:t>ū</w:t>
      </w:r>
      <w:r w:rsidR="00D875C0" w:rsidRPr="004E3CD5">
        <w:rPr>
          <w:rFonts w:ascii="Times New Roman" w:hAnsi="Times New Roman"/>
        </w:rPr>
        <w:t>tinus atvejus</w:t>
      </w:r>
      <w:r w:rsidR="00D875C0" w:rsidRPr="00F95B76">
        <w:rPr>
          <w:rFonts w:ascii="Times New Roman" w:hAnsi="Times New Roman"/>
        </w:rPr>
        <w:t>.</w:t>
      </w:r>
    </w:p>
    <w:p w14:paraId="3C7EC33C" w14:textId="77777777" w:rsidR="009A0162" w:rsidRDefault="009A0162" w:rsidP="009A0162">
      <w:pPr>
        <w:autoSpaceDE w:val="0"/>
        <w:autoSpaceDN w:val="0"/>
        <w:adjustRightInd w:val="0"/>
        <w:spacing w:after="0" w:line="240" w:lineRule="auto"/>
        <w:rPr>
          <w:rFonts w:ascii="Times New Roman" w:hAnsi="Times New Roman"/>
        </w:rPr>
      </w:pPr>
    </w:p>
    <w:p w14:paraId="596ACD9B" w14:textId="194B8917" w:rsidR="00D875C0" w:rsidRPr="00874783" w:rsidRDefault="009A0162" w:rsidP="009A0162">
      <w:pPr>
        <w:autoSpaceDE w:val="0"/>
        <w:autoSpaceDN w:val="0"/>
        <w:adjustRightInd w:val="0"/>
        <w:spacing w:after="0" w:line="240" w:lineRule="auto"/>
        <w:rPr>
          <w:rFonts w:ascii="Times New Roman" w:eastAsiaTheme="minorEastAsia" w:hAnsi="Times New Roman"/>
          <w:lang w:eastAsia="zh-TW"/>
        </w:rPr>
      </w:pPr>
      <w:r w:rsidRPr="009A0162">
        <w:rPr>
          <w:rFonts w:ascii="Times New Roman" w:hAnsi="Times New Roman"/>
        </w:rPr>
        <w:t xml:space="preserve">Negalima pastoti gydymo šiuo vaistu metu ir 2 mėnesius po jo nutraukimo. Būtina naudoti </w:t>
      </w:r>
      <w:r>
        <w:rPr>
          <w:rFonts w:ascii="Times New Roman" w:hAnsi="Times New Roman"/>
        </w:rPr>
        <w:t xml:space="preserve">taikyti </w:t>
      </w:r>
      <w:r w:rsidR="00B845F6">
        <w:rPr>
          <w:rFonts w:ascii="Times New Roman" w:hAnsi="Times New Roman"/>
        </w:rPr>
        <w:t xml:space="preserve">veiksmingą </w:t>
      </w:r>
      <w:r w:rsidRPr="009A0162">
        <w:rPr>
          <w:rFonts w:ascii="Times New Roman" w:hAnsi="Times New Roman"/>
        </w:rPr>
        <w:t xml:space="preserve">kontracepcijos metodą gydymo metu ir 2 mėnesius po jo nutraukimo, nes </w:t>
      </w:r>
      <w:r>
        <w:rPr>
          <w:rFonts w:ascii="Times New Roman" w:hAnsi="Times New Roman"/>
        </w:rPr>
        <w:t>docetakselis</w:t>
      </w:r>
      <w:r w:rsidRPr="009A0162">
        <w:rPr>
          <w:rFonts w:ascii="Times New Roman" w:hAnsi="Times New Roman"/>
        </w:rPr>
        <w:t xml:space="preserve"> gali pakenkti</w:t>
      </w:r>
      <w:r>
        <w:rPr>
          <w:rFonts w:ascii="Times New Roman" w:hAnsi="Times New Roman"/>
        </w:rPr>
        <w:t xml:space="preserve"> </w:t>
      </w:r>
      <w:r w:rsidRPr="009A0162">
        <w:rPr>
          <w:rFonts w:ascii="Times New Roman" w:hAnsi="Times New Roman"/>
        </w:rPr>
        <w:t xml:space="preserve">vaisiui. Jei gydomo metu pastojote, turite nedelsiant apie tai pasakyti </w:t>
      </w:r>
      <w:r>
        <w:rPr>
          <w:rFonts w:ascii="Times New Roman" w:hAnsi="Times New Roman"/>
        </w:rPr>
        <w:t xml:space="preserve">savo </w:t>
      </w:r>
      <w:r w:rsidRPr="009A0162">
        <w:rPr>
          <w:rFonts w:ascii="Times New Roman" w:hAnsi="Times New Roman"/>
        </w:rPr>
        <w:t>gydytojui.</w:t>
      </w:r>
      <w:r w:rsidR="00D875C0" w:rsidRPr="001F2C46">
        <w:rPr>
          <w:rFonts w:ascii="Times New Roman" w:hAnsi="Times New Roman"/>
        </w:rPr>
        <w:t>.</w:t>
      </w:r>
    </w:p>
    <w:p w14:paraId="3D691EFF" w14:textId="77777777" w:rsidR="009A0162" w:rsidRDefault="009A0162" w:rsidP="00D875C0">
      <w:pPr>
        <w:autoSpaceDE w:val="0"/>
        <w:autoSpaceDN w:val="0"/>
        <w:adjustRightInd w:val="0"/>
        <w:spacing w:after="0" w:line="240" w:lineRule="auto"/>
        <w:rPr>
          <w:rFonts w:ascii="Times New Roman" w:hAnsi="Times New Roman"/>
        </w:rPr>
      </w:pPr>
    </w:p>
    <w:p w14:paraId="715EA293" w14:textId="6094896E" w:rsidR="00D875C0" w:rsidRPr="000C43D3" w:rsidRDefault="00D875C0" w:rsidP="00D875C0">
      <w:pPr>
        <w:autoSpaceDE w:val="0"/>
        <w:autoSpaceDN w:val="0"/>
        <w:adjustRightInd w:val="0"/>
        <w:spacing w:after="0" w:line="240" w:lineRule="auto"/>
        <w:rPr>
          <w:rFonts w:ascii="Times New Roman" w:hAnsi="Times New Roman"/>
        </w:rPr>
      </w:pPr>
      <w:r w:rsidRPr="00427D92">
        <w:rPr>
          <w:rFonts w:ascii="Times New Roman" w:hAnsi="Times New Roman"/>
        </w:rPr>
        <w:t>Vartojant Docetaxel Ebewe, ži</w:t>
      </w:r>
      <w:r w:rsidRPr="000C43D3">
        <w:rPr>
          <w:rFonts w:ascii="Times New Roman" w:hAnsi="Times New Roman"/>
        </w:rPr>
        <w:t>ndyti negalima.</w:t>
      </w:r>
    </w:p>
    <w:p w14:paraId="05AFF79D" w14:textId="77777777" w:rsidR="009A0162" w:rsidRDefault="009A0162" w:rsidP="00D875C0">
      <w:pPr>
        <w:autoSpaceDE w:val="0"/>
        <w:autoSpaceDN w:val="0"/>
        <w:adjustRightInd w:val="0"/>
        <w:spacing w:after="0" w:line="240" w:lineRule="auto"/>
        <w:rPr>
          <w:rFonts w:ascii="Times New Roman" w:hAnsi="Times New Roman"/>
        </w:rPr>
      </w:pPr>
    </w:p>
    <w:p w14:paraId="568FD77D" w14:textId="6C60CC17" w:rsidR="00D875C0" w:rsidRPr="004E3CD5" w:rsidRDefault="00B45484" w:rsidP="00B45484">
      <w:pPr>
        <w:autoSpaceDE w:val="0"/>
        <w:autoSpaceDN w:val="0"/>
        <w:adjustRightInd w:val="0"/>
        <w:spacing w:after="0" w:line="240" w:lineRule="auto"/>
        <w:rPr>
          <w:rFonts w:ascii="Times New Roman" w:eastAsiaTheme="minorEastAsia" w:hAnsi="Times New Roman"/>
          <w:lang w:eastAsia="zh-TW"/>
        </w:rPr>
      </w:pPr>
      <w:r w:rsidRPr="00B45484">
        <w:rPr>
          <w:rFonts w:ascii="Times New Roman" w:hAnsi="Times New Roman"/>
        </w:rPr>
        <w:t xml:space="preserve">Jeigu esate </w:t>
      </w:r>
      <w:r w:rsidRPr="00427D92">
        <w:rPr>
          <w:rFonts w:ascii="Times New Roman" w:hAnsi="Times New Roman"/>
        </w:rPr>
        <w:t>Docetaxel Ebewe</w:t>
      </w:r>
      <w:r w:rsidRPr="00B45484">
        <w:rPr>
          <w:rFonts w:ascii="Times New Roman" w:hAnsi="Times New Roman"/>
        </w:rPr>
        <w:t xml:space="preserve"> gydomas vyras, gydymo metu ir </w:t>
      </w:r>
      <w:r>
        <w:rPr>
          <w:rFonts w:ascii="Times New Roman" w:hAnsi="Times New Roman"/>
        </w:rPr>
        <w:t>6</w:t>
      </w:r>
      <w:r w:rsidRPr="00B45484">
        <w:rPr>
          <w:rFonts w:ascii="Times New Roman" w:hAnsi="Times New Roman"/>
        </w:rPr>
        <w:t xml:space="preserve"> mėnesius po jo nutraukimo negalima</w:t>
      </w:r>
      <w:r>
        <w:rPr>
          <w:rFonts w:ascii="Times New Roman" w:hAnsi="Times New Roman"/>
        </w:rPr>
        <w:t xml:space="preserve"> </w:t>
      </w:r>
      <w:r w:rsidRPr="00B45484">
        <w:rPr>
          <w:rFonts w:ascii="Times New Roman" w:hAnsi="Times New Roman"/>
        </w:rPr>
        <w:t xml:space="preserve">apvaisinti partnerės ir būtina </w:t>
      </w:r>
      <w:r>
        <w:rPr>
          <w:rFonts w:ascii="Times New Roman" w:hAnsi="Times New Roman"/>
        </w:rPr>
        <w:t>taikyti</w:t>
      </w:r>
      <w:r w:rsidRPr="00B45484">
        <w:rPr>
          <w:rFonts w:ascii="Times New Roman" w:hAnsi="Times New Roman"/>
        </w:rPr>
        <w:t xml:space="preserve"> veiksmingą kontracepcijos metodą. Rekomenduojama</w:t>
      </w:r>
      <w:r w:rsidR="00526511">
        <w:rPr>
          <w:rFonts w:ascii="Times New Roman" w:hAnsi="Times New Roman"/>
        </w:rPr>
        <w:t xml:space="preserve"> </w:t>
      </w:r>
      <w:r w:rsidR="00D875C0" w:rsidRPr="004E3CD5">
        <w:rPr>
          <w:rFonts w:ascii="Times New Roman" w:hAnsi="Times New Roman"/>
        </w:rPr>
        <w:t>kreiptis d</w:t>
      </w:r>
      <w:r w:rsidR="00D875C0" w:rsidRPr="004E3CD5">
        <w:rPr>
          <w:rFonts w:ascii="Times New Roman" w:hAnsi="Times New Roman" w:hint="eastAsia"/>
        </w:rPr>
        <w:t>ė</w:t>
      </w:r>
      <w:r w:rsidR="00D875C0" w:rsidRPr="004E3CD5">
        <w:rPr>
          <w:rFonts w:ascii="Times New Roman" w:hAnsi="Times New Roman"/>
        </w:rPr>
        <w:t>l spermos užšaldymo galimyb</w:t>
      </w:r>
      <w:r w:rsidR="00D875C0" w:rsidRPr="004E3CD5">
        <w:rPr>
          <w:rFonts w:ascii="Times New Roman" w:hAnsi="Times New Roman" w:hint="eastAsia"/>
        </w:rPr>
        <w:t>ė</w:t>
      </w:r>
      <w:r w:rsidR="00D875C0" w:rsidRPr="004E3CD5">
        <w:rPr>
          <w:rFonts w:ascii="Times New Roman" w:hAnsi="Times New Roman"/>
        </w:rPr>
        <w:t>s iki gydymo pradžios, nes docetakselis gali trikdyti vyr</w:t>
      </w:r>
      <w:r w:rsidR="00D875C0" w:rsidRPr="004E3CD5">
        <w:rPr>
          <w:rFonts w:ascii="Times New Roman" w:hAnsi="Times New Roman" w:hint="eastAsia"/>
        </w:rPr>
        <w:t>ų</w:t>
      </w:r>
      <w:r w:rsidR="00D875C0" w:rsidRPr="004E3CD5">
        <w:rPr>
          <w:rFonts w:ascii="Times New Roman" w:hAnsi="Times New Roman"/>
        </w:rPr>
        <w:t xml:space="preserve"> vaisingum</w:t>
      </w:r>
      <w:r w:rsidR="00D875C0" w:rsidRPr="004E3CD5">
        <w:rPr>
          <w:rFonts w:ascii="Times New Roman" w:hAnsi="Times New Roman" w:hint="eastAsia"/>
        </w:rPr>
        <w:t>ą</w:t>
      </w:r>
      <w:r w:rsidR="00D875C0" w:rsidRPr="004E3CD5">
        <w:rPr>
          <w:rFonts w:ascii="Times New Roman" w:hAnsi="Times New Roman"/>
        </w:rPr>
        <w:t>.</w:t>
      </w:r>
    </w:p>
    <w:p w14:paraId="674ABA70" w14:textId="77777777" w:rsidR="00D875C0" w:rsidRPr="00F95B76" w:rsidRDefault="00D875C0" w:rsidP="00D875C0">
      <w:pPr>
        <w:spacing w:after="0" w:line="240" w:lineRule="auto"/>
        <w:rPr>
          <w:rFonts w:ascii="Times New Roman" w:hAnsi="Times New Roman"/>
        </w:rPr>
      </w:pPr>
    </w:p>
    <w:p w14:paraId="38DF4756" w14:textId="77777777" w:rsidR="00D875C0" w:rsidRPr="00427D92" w:rsidRDefault="00D875C0" w:rsidP="00D875C0">
      <w:pPr>
        <w:spacing w:after="0" w:line="220" w:lineRule="exact"/>
        <w:rPr>
          <w:rFonts w:ascii="Times New Roman" w:hAnsi="Times New Roman"/>
          <w:b/>
        </w:rPr>
      </w:pPr>
      <w:r w:rsidRPr="001F2C46">
        <w:rPr>
          <w:rFonts w:ascii="Times New Roman" w:hAnsi="Times New Roman"/>
          <w:b/>
        </w:rPr>
        <w:t>Vairavimas ir mechaniz</w:t>
      </w:r>
      <w:r w:rsidRPr="00427D92">
        <w:rPr>
          <w:rFonts w:ascii="Times New Roman" w:hAnsi="Times New Roman"/>
          <w:b/>
        </w:rPr>
        <w:t>mų valdymas</w:t>
      </w:r>
    </w:p>
    <w:p w14:paraId="68C07040" w14:textId="77777777" w:rsidR="00D875C0" w:rsidRPr="001F2C46" w:rsidRDefault="002002CD" w:rsidP="00F35BEE">
      <w:pPr>
        <w:spacing w:after="0" w:line="240" w:lineRule="auto"/>
        <w:rPr>
          <w:rFonts w:ascii="Times New Roman" w:hAnsi="Times New Roman"/>
        </w:rPr>
      </w:pPr>
      <w:r w:rsidRPr="000C43D3">
        <w:rPr>
          <w:rFonts w:ascii="Times New Roman" w:hAnsi="Times New Roman"/>
        </w:rPr>
        <w:t xml:space="preserve">Alkoholio kiekis, esantis šio vaisto </w:t>
      </w:r>
      <w:r w:rsidRPr="004E3CD5">
        <w:rPr>
          <w:rFonts w:ascii="Times New Roman" w:hAnsi="Times New Roman"/>
        </w:rPr>
        <w:t>sud</w:t>
      </w:r>
      <w:r w:rsidRPr="004E3CD5">
        <w:rPr>
          <w:rFonts w:ascii="Times New Roman" w:hAnsi="Times New Roman" w:hint="eastAsia"/>
        </w:rPr>
        <w:t>ė</w:t>
      </w:r>
      <w:r w:rsidRPr="004E3CD5">
        <w:rPr>
          <w:rFonts w:ascii="Times New Roman" w:hAnsi="Times New Roman"/>
        </w:rPr>
        <w:t>tyje, gali trikdyti J</w:t>
      </w:r>
      <w:r w:rsidRPr="004E3CD5">
        <w:rPr>
          <w:rFonts w:ascii="Times New Roman" w:hAnsi="Times New Roman" w:hint="eastAsia"/>
        </w:rPr>
        <w:t>ū</w:t>
      </w:r>
      <w:r w:rsidRPr="004E3CD5">
        <w:rPr>
          <w:rFonts w:ascii="Times New Roman" w:hAnsi="Times New Roman"/>
        </w:rPr>
        <w:t>s</w:t>
      </w:r>
      <w:r w:rsidRPr="004E3CD5">
        <w:rPr>
          <w:rFonts w:ascii="Times New Roman" w:hAnsi="Times New Roman" w:hint="eastAsia"/>
        </w:rPr>
        <w:t>ų</w:t>
      </w:r>
      <w:r w:rsidRPr="004E3CD5">
        <w:rPr>
          <w:rFonts w:ascii="Times New Roman" w:hAnsi="Times New Roman"/>
        </w:rPr>
        <w:t xml:space="preserve"> geb</w:t>
      </w:r>
      <w:r w:rsidRPr="004E3CD5">
        <w:rPr>
          <w:rFonts w:ascii="Times New Roman" w:hAnsi="Times New Roman" w:hint="eastAsia"/>
        </w:rPr>
        <w:t>ė</w:t>
      </w:r>
      <w:r w:rsidRPr="004E3CD5">
        <w:rPr>
          <w:rFonts w:ascii="Times New Roman" w:hAnsi="Times New Roman"/>
        </w:rPr>
        <w:t>jim</w:t>
      </w:r>
      <w:r w:rsidRPr="004E3CD5">
        <w:rPr>
          <w:rFonts w:ascii="Times New Roman" w:hAnsi="Times New Roman" w:hint="eastAsia"/>
        </w:rPr>
        <w:t>ą</w:t>
      </w:r>
      <w:r w:rsidRPr="004E3CD5">
        <w:rPr>
          <w:rFonts w:ascii="Times New Roman" w:hAnsi="Times New Roman"/>
        </w:rPr>
        <w:t xml:space="preserve"> vairuoti ar </w:t>
      </w:r>
      <w:r w:rsidRPr="00F95B76">
        <w:rPr>
          <w:rFonts w:ascii="Times New Roman" w:hAnsi="Times New Roman"/>
        </w:rPr>
        <w:t>valdyti mechanizmus.</w:t>
      </w:r>
      <w:r w:rsidR="00F35BEE" w:rsidRPr="00F35BEE">
        <w:t xml:space="preserve"> </w:t>
      </w:r>
      <w:r w:rsidR="00F35BEE" w:rsidRPr="00F35BEE">
        <w:rPr>
          <w:rFonts w:ascii="Times New Roman" w:hAnsi="Times New Roman"/>
        </w:rPr>
        <w:t xml:space="preserve">Gali pasireikšti šalutinis šio vaisto poveikis, </w:t>
      </w:r>
      <w:r w:rsidR="00F35BEE">
        <w:rPr>
          <w:rFonts w:ascii="Times New Roman" w:hAnsi="Times New Roman"/>
        </w:rPr>
        <w:t>kuris gali</w:t>
      </w:r>
      <w:r w:rsidR="00F35BEE" w:rsidRPr="00F35BEE">
        <w:rPr>
          <w:rFonts w:ascii="Times New Roman" w:hAnsi="Times New Roman"/>
        </w:rPr>
        <w:t xml:space="preserve"> bloginti gebėjimą vairuoti, naudoti</w:t>
      </w:r>
      <w:r w:rsidR="00F35BEE">
        <w:rPr>
          <w:rFonts w:ascii="Times New Roman" w:hAnsi="Times New Roman"/>
        </w:rPr>
        <w:t xml:space="preserve"> </w:t>
      </w:r>
      <w:r w:rsidR="00F35BEE" w:rsidRPr="00F35BEE">
        <w:rPr>
          <w:rFonts w:ascii="Times New Roman" w:hAnsi="Times New Roman"/>
        </w:rPr>
        <w:t>įrankius ar valdyti mechanizmus (žr. 4 skyrių „Galimas šalutinis poveikis“). Tokiu atveju</w:t>
      </w:r>
      <w:r w:rsidR="00F35BEE" w:rsidRPr="00F35BEE">
        <w:t xml:space="preserve"> </w:t>
      </w:r>
      <w:r w:rsidR="00F35BEE" w:rsidRPr="00F35BEE">
        <w:rPr>
          <w:rFonts w:ascii="Times New Roman" w:hAnsi="Times New Roman"/>
        </w:rPr>
        <w:t xml:space="preserve">nevairuokite, nenaudokite įrankių ir nevaldykite mechanizmų </w:t>
      </w:r>
      <w:r w:rsidR="00F35BEE">
        <w:rPr>
          <w:rFonts w:ascii="Times New Roman" w:hAnsi="Times New Roman"/>
        </w:rPr>
        <w:t xml:space="preserve">prieš tai </w:t>
      </w:r>
      <w:r w:rsidR="00F35BEE" w:rsidRPr="00F35BEE">
        <w:rPr>
          <w:rFonts w:ascii="Times New Roman" w:hAnsi="Times New Roman"/>
        </w:rPr>
        <w:t>nepasitarę su gydytoju, slaugytoj</w:t>
      </w:r>
      <w:r w:rsidR="00F35BEE">
        <w:rPr>
          <w:rFonts w:ascii="Times New Roman" w:hAnsi="Times New Roman"/>
        </w:rPr>
        <w:t>a</w:t>
      </w:r>
      <w:r w:rsidR="00F35BEE" w:rsidRPr="00F35BEE">
        <w:rPr>
          <w:rFonts w:ascii="Times New Roman" w:hAnsi="Times New Roman"/>
        </w:rPr>
        <w:t xml:space="preserve"> ar</w:t>
      </w:r>
      <w:r w:rsidR="00F35BEE">
        <w:rPr>
          <w:rFonts w:ascii="Times New Roman" w:hAnsi="Times New Roman"/>
        </w:rPr>
        <w:t xml:space="preserve"> klinikiniu </w:t>
      </w:r>
      <w:r w:rsidR="00F35BEE" w:rsidRPr="00F35BEE">
        <w:rPr>
          <w:rFonts w:ascii="Times New Roman" w:hAnsi="Times New Roman"/>
        </w:rPr>
        <w:t>vaistininku.</w:t>
      </w:r>
    </w:p>
    <w:p w14:paraId="399F486D" w14:textId="77777777" w:rsidR="002002CD" w:rsidRPr="00427D92" w:rsidRDefault="002002CD" w:rsidP="00D875C0">
      <w:pPr>
        <w:spacing w:after="0" w:line="240" w:lineRule="auto"/>
        <w:rPr>
          <w:rFonts w:ascii="Times New Roman" w:hAnsi="Times New Roman"/>
        </w:rPr>
      </w:pPr>
    </w:p>
    <w:p w14:paraId="2EAA5D22" w14:textId="77777777" w:rsidR="00D875C0" w:rsidRPr="00C722B4" w:rsidRDefault="00D875C0" w:rsidP="00D875C0">
      <w:pPr>
        <w:spacing w:after="0" w:line="240" w:lineRule="auto"/>
        <w:rPr>
          <w:rFonts w:ascii="Times New Roman" w:hAnsi="Times New Roman"/>
          <w:b/>
        </w:rPr>
      </w:pPr>
      <w:r w:rsidRPr="00C722B4">
        <w:rPr>
          <w:rFonts w:ascii="Times New Roman" w:hAnsi="Times New Roman"/>
          <w:b/>
        </w:rPr>
        <w:t>Docetaxel Ebewe sudėtyje yra etanolio (alkoholio)</w:t>
      </w:r>
    </w:p>
    <w:p w14:paraId="58C3AB88" w14:textId="77777777" w:rsidR="00042CBA" w:rsidRPr="007C1A06" w:rsidRDefault="00042CBA" w:rsidP="00042CBA">
      <w:pPr>
        <w:pStyle w:val="Pagrindinistekstas"/>
        <w:spacing w:before="19" w:line="252" w:lineRule="exact"/>
        <w:jc w:val="left"/>
        <w:rPr>
          <w:sz w:val="22"/>
          <w:szCs w:val="22"/>
        </w:rPr>
      </w:pPr>
      <w:r>
        <w:t>Š</w:t>
      </w:r>
      <w:r w:rsidRPr="004E3CD5">
        <w:rPr>
          <w:sz w:val="22"/>
        </w:rPr>
        <w:t xml:space="preserve">io </w:t>
      </w:r>
      <w:r w:rsidRPr="00915C14">
        <w:rPr>
          <w:sz w:val="22"/>
          <w:szCs w:val="22"/>
        </w:rPr>
        <w:t>vaisto</w:t>
      </w:r>
      <w:r w:rsidRPr="004E3CD5">
        <w:rPr>
          <w:sz w:val="22"/>
        </w:rPr>
        <w:t xml:space="preserve"> </w:t>
      </w:r>
      <w:r w:rsidRPr="007A4F7F">
        <w:rPr>
          <w:sz w:val="22"/>
          <w:szCs w:val="22"/>
        </w:rPr>
        <w:t xml:space="preserve">koncentrato infuziniam tirpalui </w:t>
      </w:r>
      <w:r>
        <w:rPr>
          <w:sz w:val="22"/>
          <w:szCs w:val="22"/>
        </w:rPr>
        <w:t xml:space="preserve">kiekviename </w:t>
      </w:r>
      <w:r w:rsidRPr="005D06A9">
        <w:rPr>
          <w:sz w:val="22"/>
          <w:szCs w:val="22"/>
        </w:rPr>
        <w:t>mililitre</w:t>
      </w:r>
      <w:r w:rsidRPr="0056015B">
        <w:rPr>
          <w:sz w:val="22"/>
          <w:szCs w:val="22"/>
        </w:rPr>
        <w:t xml:space="preserve"> </w:t>
      </w:r>
      <w:r w:rsidRPr="007A4F7F">
        <w:rPr>
          <w:sz w:val="22"/>
          <w:szCs w:val="22"/>
        </w:rPr>
        <w:t>yra 265 mg etanolio</w:t>
      </w:r>
      <w:r>
        <w:rPr>
          <w:sz w:val="22"/>
          <w:szCs w:val="22"/>
        </w:rPr>
        <w:t>,</w:t>
      </w:r>
      <w:r w:rsidRPr="007A4F7F">
        <w:rPr>
          <w:sz w:val="22"/>
          <w:szCs w:val="22"/>
        </w:rPr>
        <w:t xml:space="preserve"> </w:t>
      </w:r>
      <w:r>
        <w:rPr>
          <w:sz w:val="22"/>
          <w:szCs w:val="22"/>
        </w:rPr>
        <w:t>atitinkančio</w:t>
      </w:r>
      <w:r w:rsidRPr="007A4F7F">
        <w:rPr>
          <w:sz w:val="22"/>
          <w:szCs w:val="22"/>
        </w:rPr>
        <w:t xml:space="preserve"> 26 % (m/m)</w:t>
      </w:r>
      <w:r>
        <w:rPr>
          <w:sz w:val="22"/>
          <w:szCs w:val="22"/>
        </w:rPr>
        <w:t>. Jo kiekis šio vaistinio preparato 1 ml atitinka</w:t>
      </w:r>
      <w:r w:rsidRPr="00A77842">
        <w:rPr>
          <w:sz w:val="22"/>
          <w:szCs w:val="22"/>
        </w:rPr>
        <w:t xml:space="preserve"> </w:t>
      </w:r>
      <w:r>
        <w:rPr>
          <w:sz w:val="22"/>
          <w:szCs w:val="22"/>
        </w:rPr>
        <w:t>7</w:t>
      </w:r>
      <w:r w:rsidRPr="00A77842">
        <w:rPr>
          <w:sz w:val="22"/>
          <w:szCs w:val="22"/>
        </w:rPr>
        <w:t xml:space="preserve"> ml alaus arba </w:t>
      </w:r>
      <w:r>
        <w:rPr>
          <w:sz w:val="22"/>
          <w:szCs w:val="22"/>
        </w:rPr>
        <w:t>3</w:t>
      </w:r>
      <w:r w:rsidRPr="00A77842">
        <w:rPr>
          <w:sz w:val="22"/>
          <w:szCs w:val="22"/>
        </w:rPr>
        <w:t> ml vyno</w:t>
      </w:r>
      <w:r w:rsidRPr="0056015B">
        <w:rPr>
          <w:sz w:val="22"/>
          <w:szCs w:val="22"/>
        </w:rPr>
        <w:t>.</w:t>
      </w:r>
    </w:p>
    <w:p w14:paraId="65985380" w14:textId="77777777" w:rsidR="00042CBA" w:rsidRDefault="00042CBA" w:rsidP="00042CBA">
      <w:pPr>
        <w:spacing w:after="0" w:line="240" w:lineRule="auto"/>
        <w:rPr>
          <w:rFonts w:ascii="Times New Roman" w:eastAsia="Times New Roman" w:hAnsi="Times New Roman" w:cs="Times New Roman"/>
        </w:rPr>
      </w:pPr>
    </w:p>
    <w:p w14:paraId="32B289D4" w14:textId="30EB4334" w:rsidR="00B45484" w:rsidRDefault="00B45484" w:rsidP="00042CBA">
      <w:pPr>
        <w:spacing w:after="0" w:line="240" w:lineRule="auto"/>
        <w:rPr>
          <w:rFonts w:ascii="Times New Roman" w:hAnsi="Times New Roman"/>
        </w:rPr>
      </w:pPr>
      <w:r w:rsidRPr="00B45484">
        <w:rPr>
          <w:rFonts w:ascii="Times New Roman" w:hAnsi="Times New Roman"/>
        </w:rPr>
        <w:t>Kenksmingas asmenims, sergantiems alkoholizmu.</w:t>
      </w:r>
    </w:p>
    <w:p w14:paraId="1FC84033" w14:textId="0A567AD2" w:rsidR="00467349" w:rsidRPr="000353CE" w:rsidRDefault="008D3B6A" w:rsidP="00042CBA">
      <w:pPr>
        <w:spacing w:after="0" w:line="240" w:lineRule="auto"/>
        <w:rPr>
          <w:rFonts w:ascii="Times New Roman" w:hAnsi="Times New Roman"/>
        </w:rPr>
      </w:pPr>
      <w:r w:rsidRPr="000353CE">
        <w:rPr>
          <w:rFonts w:ascii="Times New Roman" w:hAnsi="Times New Roman"/>
        </w:rPr>
        <w:t>E</w:t>
      </w:r>
      <w:r w:rsidR="00FE4E67" w:rsidRPr="000353CE">
        <w:rPr>
          <w:rFonts w:ascii="Times New Roman" w:hAnsi="Times New Roman"/>
        </w:rPr>
        <w:t xml:space="preserve">santis šio vaisto sudėtyje alkoholio kiekis </w:t>
      </w:r>
      <w:r w:rsidRPr="000353CE">
        <w:rPr>
          <w:rFonts w:ascii="Times New Roman" w:hAnsi="Times New Roman"/>
        </w:rPr>
        <w:t xml:space="preserve">greičiausiai neturės įtakos suaugusiesiems ir paaugliams,  ir jo poveikis vaikams greičiausiai </w:t>
      </w:r>
      <w:r>
        <w:rPr>
          <w:rFonts w:ascii="Times New Roman" w:hAnsi="Times New Roman"/>
        </w:rPr>
        <w:t>ne</w:t>
      </w:r>
      <w:r w:rsidRPr="000353CE">
        <w:rPr>
          <w:rFonts w:ascii="Times New Roman" w:hAnsi="Times New Roman"/>
        </w:rPr>
        <w:t>bus pastebimas.</w:t>
      </w:r>
      <w:r>
        <w:rPr>
          <w:rFonts w:ascii="Times New Roman" w:hAnsi="Times New Roman"/>
        </w:rPr>
        <w:t xml:space="preserve"> </w:t>
      </w:r>
      <w:r w:rsidRPr="000353CE">
        <w:rPr>
          <w:rFonts w:ascii="Times New Roman" w:hAnsi="Times New Roman"/>
        </w:rPr>
        <w:t>J</w:t>
      </w:r>
      <w:r w:rsidR="009761F2" w:rsidRPr="000353CE">
        <w:rPr>
          <w:rFonts w:ascii="Times New Roman" w:hAnsi="Times New Roman"/>
        </w:rPr>
        <w:t>aunesniems vaikams</w:t>
      </w:r>
      <w:r w:rsidRPr="000353CE">
        <w:rPr>
          <w:rFonts w:ascii="Times New Roman" w:hAnsi="Times New Roman"/>
        </w:rPr>
        <w:t xml:space="preserve"> tai gali turėti tam tikra poveikį, pavyzdžiui sukelti mieguistumą.</w:t>
      </w:r>
    </w:p>
    <w:p w14:paraId="6053B12D" w14:textId="77777777" w:rsidR="00191D3F" w:rsidRDefault="00191D3F" w:rsidP="00191D3F">
      <w:pPr>
        <w:spacing w:after="0" w:line="240" w:lineRule="auto"/>
        <w:rPr>
          <w:rFonts w:ascii="Times New Roman" w:eastAsia="Times New Roman" w:hAnsi="Times New Roman" w:cs="Times New Roman"/>
        </w:rPr>
      </w:pPr>
      <w:r w:rsidRPr="000353CE">
        <w:rPr>
          <w:rFonts w:ascii="Times New Roman" w:eastAsia="Times New Roman" w:hAnsi="Times New Roman" w:cs="Times New Roman"/>
        </w:rPr>
        <w:t>.</w:t>
      </w:r>
    </w:p>
    <w:p w14:paraId="05C10496" w14:textId="77777777" w:rsidR="00DB68F0" w:rsidRDefault="00314918" w:rsidP="00042CB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vaisto sudėtyje esantis alkoholis gali </w:t>
      </w:r>
      <w:r w:rsidR="00EE3AF7">
        <w:rPr>
          <w:rFonts w:ascii="Times New Roman" w:eastAsia="Times New Roman" w:hAnsi="Times New Roman" w:cs="Times New Roman"/>
        </w:rPr>
        <w:t>keisti kitų vaistų poveikį.</w:t>
      </w:r>
      <w:r w:rsidR="0093571A">
        <w:rPr>
          <w:rFonts w:ascii="Times New Roman" w:eastAsia="Times New Roman" w:hAnsi="Times New Roman" w:cs="Times New Roman"/>
        </w:rPr>
        <w:t xml:space="preserve"> Pas</w:t>
      </w:r>
      <w:r w:rsidR="00AC1C0F">
        <w:rPr>
          <w:rFonts w:ascii="Times New Roman" w:eastAsia="Times New Roman" w:hAnsi="Times New Roman" w:cs="Times New Roman"/>
        </w:rPr>
        <w:t>ikalbėkite</w:t>
      </w:r>
      <w:r w:rsidR="00A33967">
        <w:rPr>
          <w:rFonts w:ascii="Times New Roman" w:eastAsia="Times New Roman" w:hAnsi="Times New Roman" w:cs="Times New Roman"/>
        </w:rPr>
        <w:t xml:space="preserve"> su</w:t>
      </w:r>
      <w:r w:rsidR="0093571A">
        <w:rPr>
          <w:rFonts w:ascii="Times New Roman" w:eastAsia="Times New Roman" w:hAnsi="Times New Roman" w:cs="Times New Roman"/>
        </w:rPr>
        <w:t xml:space="preserve"> savo gydytoju arba vaistininku</w:t>
      </w:r>
      <w:r w:rsidR="00B220CF">
        <w:rPr>
          <w:rFonts w:ascii="Times New Roman" w:eastAsia="Times New Roman" w:hAnsi="Times New Roman" w:cs="Times New Roman"/>
        </w:rPr>
        <w:t xml:space="preserve">, </w:t>
      </w:r>
      <w:r w:rsidR="00A33967">
        <w:rPr>
          <w:rFonts w:ascii="Times New Roman" w:eastAsia="Times New Roman" w:hAnsi="Times New Roman" w:cs="Times New Roman"/>
        </w:rPr>
        <w:t>jeigu</w:t>
      </w:r>
      <w:r w:rsidR="00B220CF">
        <w:rPr>
          <w:rFonts w:ascii="Times New Roman" w:eastAsia="Times New Roman" w:hAnsi="Times New Roman" w:cs="Times New Roman"/>
        </w:rPr>
        <w:t xml:space="preserve"> vartojate kitų vaistų</w:t>
      </w:r>
      <w:r w:rsidR="006049F4">
        <w:rPr>
          <w:rFonts w:ascii="Times New Roman" w:eastAsia="Times New Roman" w:hAnsi="Times New Roman" w:cs="Times New Roman"/>
        </w:rPr>
        <w:t>.</w:t>
      </w:r>
    </w:p>
    <w:p w14:paraId="58D99DEC" w14:textId="77777777" w:rsidR="00042CBA" w:rsidRDefault="00042CBA" w:rsidP="00042CBA">
      <w:pPr>
        <w:spacing w:after="0" w:line="240" w:lineRule="auto"/>
        <w:rPr>
          <w:rFonts w:ascii="Times New Roman" w:eastAsia="Times New Roman" w:hAnsi="Times New Roman" w:cs="Times New Roman"/>
        </w:rPr>
      </w:pPr>
    </w:p>
    <w:p w14:paraId="0BFDF9AF" w14:textId="13A63FB8" w:rsidR="00B45484" w:rsidRPr="00B45484" w:rsidRDefault="00B45484" w:rsidP="00B45484">
      <w:pPr>
        <w:spacing w:after="0" w:line="240" w:lineRule="auto"/>
        <w:rPr>
          <w:rFonts w:ascii="Times New Roman" w:eastAsia="Times New Roman" w:hAnsi="Times New Roman" w:cs="Times New Roman"/>
        </w:rPr>
      </w:pPr>
      <w:r w:rsidRPr="00B45484">
        <w:rPr>
          <w:rFonts w:ascii="Times New Roman" w:eastAsia="Times New Roman" w:hAnsi="Times New Roman" w:cs="Times New Roman"/>
        </w:rPr>
        <w:t>Reikia į tai atsižvelgti nėščiosioms, žindyvėms, vaikams ir didelės rizikos grupės (pvz., sergantiems</w:t>
      </w:r>
      <w:r>
        <w:rPr>
          <w:rFonts w:ascii="Times New Roman" w:eastAsia="Times New Roman" w:hAnsi="Times New Roman" w:cs="Times New Roman"/>
        </w:rPr>
        <w:t xml:space="preserve"> </w:t>
      </w:r>
      <w:r w:rsidRPr="00B45484">
        <w:rPr>
          <w:rFonts w:ascii="Times New Roman" w:eastAsia="Times New Roman" w:hAnsi="Times New Roman" w:cs="Times New Roman"/>
        </w:rPr>
        <w:t>kepenų ligomis ar epilepsija) pacientams.</w:t>
      </w:r>
    </w:p>
    <w:p w14:paraId="06463A80" w14:textId="77777777" w:rsidR="00E24F1C" w:rsidRDefault="005972D4" w:rsidP="00042CBA">
      <w:pPr>
        <w:spacing w:after="0" w:line="240" w:lineRule="auto"/>
        <w:rPr>
          <w:rFonts w:ascii="Times New Roman" w:eastAsia="Times New Roman" w:hAnsi="Times New Roman" w:cs="Times New Roman"/>
        </w:rPr>
      </w:pPr>
      <w:r>
        <w:rPr>
          <w:rFonts w:ascii="Times New Roman" w:eastAsia="Times New Roman" w:hAnsi="Times New Roman" w:cs="Times New Roman"/>
        </w:rPr>
        <w:t>Jeigu piktnaudžiaujate alkoholiu</w:t>
      </w:r>
      <w:r w:rsidR="00A278CE">
        <w:rPr>
          <w:rFonts w:ascii="Times New Roman" w:eastAsia="Times New Roman" w:hAnsi="Times New Roman" w:cs="Times New Roman"/>
        </w:rPr>
        <w:t>,</w:t>
      </w:r>
      <w:r w:rsidR="00A278CE" w:rsidRPr="00A278CE">
        <w:t xml:space="preserve"> </w:t>
      </w:r>
      <w:r w:rsidR="00A278CE" w:rsidRPr="00A278CE">
        <w:rPr>
          <w:rFonts w:ascii="Times New Roman" w:eastAsia="Times New Roman" w:hAnsi="Times New Roman" w:cs="Times New Roman"/>
        </w:rPr>
        <w:t>prieš vartojant šio vaisto pasikalbėkite su savo gydytoju arba vaistininku.</w:t>
      </w:r>
    </w:p>
    <w:p w14:paraId="58789709" w14:textId="77777777" w:rsidR="00B45484" w:rsidRDefault="00B45484" w:rsidP="00042CBA">
      <w:pPr>
        <w:spacing w:after="0" w:line="240" w:lineRule="auto"/>
        <w:rPr>
          <w:rFonts w:ascii="Times New Roman" w:eastAsia="Times New Roman" w:hAnsi="Times New Roman" w:cs="Times New Roman"/>
        </w:rPr>
      </w:pPr>
    </w:p>
    <w:p w14:paraId="32E7BA1F" w14:textId="4F769D5B" w:rsidR="00B45484" w:rsidRDefault="00B45484" w:rsidP="00B45484">
      <w:pPr>
        <w:spacing w:after="0" w:line="240" w:lineRule="auto"/>
        <w:rPr>
          <w:rFonts w:ascii="Times New Roman" w:eastAsia="Times New Roman" w:hAnsi="Times New Roman" w:cs="Times New Roman"/>
        </w:rPr>
      </w:pPr>
      <w:r w:rsidRPr="00B45484">
        <w:rPr>
          <w:rFonts w:ascii="Times New Roman" w:eastAsia="Times New Roman" w:hAnsi="Times New Roman" w:cs="Times New Roman"/>
        </w:rPr>
        <w:t>Šio vaisto sudėtyje esantis alkoholio kiekis gali turėti poveikį centrinei nervų sistemai (nervų sistemos</w:t>
      </w:r>
      <w:r>
        <w:rPr>
          <w:rFonts w:ascii="Times New Roman" w:eastAsia="Times New Roman" w:hAnsi="Times New Roman" w:cs="Times New Roman"/>
        </w:rPr>
        <w:t xml:space="preserve"> </w:t>
      </w:r>
      <w:r w:rsidRPr="00B45484">
        <w:rPr>
          <w:rFonts w:ascii="Times New Roman" w:eastAsia="Times New Roman" w:hAnsi="Times New Roman" w:cs="Times New Roman"/>
        </w:rPr>
        <w:t xml:space="preserve">daliai, kuriai priklauso galvos ir nugaros smegenys). </w:t>
      </w:r>
    </w:p>
    <w:p w14:paraId="4F3EE43D" w14:textId="77777777" w:rsidR="00E24F1C" w:rsidRDefault="00E24F1C" w:rsidP="00042CBA">
      <w:pPr>
        <w:spacing w:after="0" w:line="240" w:lineRule="auto"/>
        <w:rPr>
          <w:rFonts w:ascii="Times New Roman" w:eastAsia="Times New Roman" w:hAnsi="Times New Roman" w:cs="Times New Roman"/>
        </w:rPr>
      </w:pPr>
    </w:p>
    <w:p w14:paraId="3AC6EAA7" w14:textId="77777777" w:rsidR="00D875C0" w:rsidRPr="00427D92" w:rsidRDefault="00D875C0" w:rsidP="00D875C0">
      <w:pPr>
        <w:spacing w:after="0" w:line="240" w:lineRule="auto"/>
        <w:rPr>
          <w:rFonts w:ascii="Times New Roman" w:hAnsi="Times New Roman"/>
        </w:rPr>
      </w:pPr>
    </w:p>
    <w:p w14:paraId="7C24D11F" w14:textId="77777777" w:rsidR="00D875C0" w:rsidRPr="00C722B4" w:rsidRDefault="00D875C0" w:rsidP="00D875C0">
      <w:pPr>
        <w:keepNext/>
        <w:tabs>
          <w:tab w:val="left" w:pos="567"/>
        </w:tabs>
        <w:spacing w:after="0" w:line="240" w:lineRule="auto"/>
        <w:ind w:left="567" w:hanging="567"/>
        <w:outlineLvl w:val="1"/>
        <w:rPr>
          <w:rFonts w:ascii="Times New Roman" w:hAnsi="Times New Roman"/>
          <w:b/>
        </w:rPr>
      </w:pPr>
      <w:bookmarkStart w:id="84" w:name="_Toc129243141"/>
      <w:bookmarkStart w:id="85" w:name="_Toc129243266"/>
      <w:r w:rsidRPr="00C722B4">
        <w:rPr>
          <w:rFonts w:ascii="Times New Roman" w:hAnsi="Times New Roman"/>
          <w:b/>
        </w:rPr>
        <w:t>3.</w:t>
      </w:r>
      <w:r w:rsidRPr="00C722B4">
        <w:rPr>
          <w:rFonts w:ascii="Times New Roman" w:hAnsi="Times New Roman"/>
          <w:b/>
        </w:rPr>
        <w:tab/>
        <w:t>Kaip vartoti Docetaxel Ebewe</w:t>
      </w:r>
      <w:bookmarkEnd w:id="84"/>
      <w:bookmarkEnd w:id="85"/>
    </w:p>
    <w:p w14:paraId="2B7784E7" w14:textId="77777777" w:rsidR="00D875C0" w:rsidRPr="007C1A06" w:rsidRDefault="00D875C0" w:rsidP="00D875C0">
      <w:pPr>
        <w:spacing w:after="0" w:line="240" w:lineRule="auto"/>
        <w:rPr>
          <w:rFonts w:ascii="Times New Roman" w:hAnsi="Times New Roman"/>
        </w:rPr>
      </w:pPr>
    </w:p>
    <w:p w14:paraId="23326876"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Docetaxel Ebewe Jums sulašins sveikatos priežiūros specialistas.</w:t>
      </w:r>
    </w:p>
    <w:p w14:paraId="5FDE48D6" w14:textId="77777777" w:rsidR="00D875C0" w:rsidRPr="007C1A06" w:rsidRDefault="00D875C0" w:rsidP="00D875C0">
      <w:pPr>
        <w:autoSpaceDE w:val="0"/>
        <w:autoSpaceDN w:val="0"/>
        <w:adjustRightInd w:val="0"/>
        <w:spacing w:after="0" w:line="240" w:lineRule="auto"/>
        <w:rPr>
          <w:rFonts w:ascii="Times New Roman" w:hAnsi="Times New Roman"/>
        </w:rPr>
      </w:pPr>
    </w:p>
    <w:p w14:paraId="6D9D2F01" w14:textId="77777777" w:rsidR="00D875C0" w:rsidRPr="001F2C46" w:rsidRDefault="00D875C0" w:rsidP="00D875C0">
      <w:pPr>
        <w:autoSpaceDE w:val="0"/>
        <w:autoSpaceDN w:val="0"/>
        <w:adjustRightInd w:val="0"/>
        <w:spacing w:after="0" w:line="240" w:lineRule="auto"/>
        <w:rPr>
          <w:rFonts w:ascii="Times New Roman" w:hAnsi="Times New Roman"/>
          <w:b/>
        </w:rPr>
      </w:pPr>
      <w:r w:rsidRPr="00F95B76">
        <w:rPr>
          <w:rFonts w:ascii="Times New Roman" w:hAnsi="Times New Roman"/>
          <w:b/>
        </w:rPr>
        <w:t>Įprastinė dozė</w:t>
      </w:r>
    </w:p>
    <w:p w14:paraId="42211D78" w14:textId="77777777" w:rsidR="00D875C0" w:rsidRPr="000C43D3" w:rsidRDefault="00D875C0" w:rsidP="00D875C0">
      <w:pPr>
        <w:autoSpaceDE w:val="0"/>
        <w:autoSpaceDN w:val="0"/>
        <w:adjustRightInd w:val="0"/>
        <w:spacing w:after="0" w:line="240" w:lineRule="auto"/>
        <w:rPr>
          <w:rFonts w:ascii="Times New Roman" w:hAnsi="Times New Roman"/>
        </w:rPr>
      </w:pPr>
      <w:r w:rsidRPr="007C1A06">
        <w:rPr>
          <w:rFonts w:ascii="Times New Roman" w:eastAsia="Times New Roman" w:hAnsi="Times New Roman" w:cs="Times New Roman"/>
        </w:rPr>
        <w:t>Doz</w:t>
      </w:r>
      <w:r w:rsidR="00C85A27">
        <w:rPr>
          <w:rFonts w:ascii="Times New Roman" w:eastAsia="Times New Roman" w:hAnsi="Times New Roman" w:cs="Times New Roman"/>
        </w:rPr>
        <w:t>avimas</w:t>
      </w:r>
      <w:r w:rsidR="00C722B4">
        <w:rPr>
          <w:rFonts w:ascii="Times New Roman" w:eastAsia="Times New Roman" w:hAnsi="Times New Roman" w:cs="Times New Roman"/>
        </w:rPr>
        <w:t xml:space="preserve"> </w:t>
      </w:r>
      <w:r w:rsidRPr="007C1A06">
        <w:rPr>
          <w:rFonts w:ascii="Times New Roman" w:eastAsia="Times New Roman" w:hAnsi="Times New Roman" w:cs="Times New Roman"/>
        </w:rPr>
        <w:t>priklauso</w:t>
      </w:r>
      <w:r w:rsidRPr="00F95B76">
        <w:rPr>
          <w:rFonts w:ascii="Times New Roman" w:hAnsi="Times New Roman"/>
        </w:rPr>
        <w:t xml:space="preserve"> nuo paciento kūno svorio ir bendrosios sveikatos būklės. Gydytojas apskaičiuos kūno paviršiaus plotą </w:t>
      </w:r>
      <w:r w:rsidRPr="001F2C46">
        <w:rPr>
          <w:rFonts w:ascii="Times New Roman" w:hAnsi="Times New Roman"/>
        </w:rPr>
        <w:t>kvadratiniais metrais (m</w:t>
      </w:r>
      <w:r w:rsidRPr="00427D92">
        <w:rPr>
          <w:rFonts w:ascii="Times New Roman" w:hAnsi="Times New Roman"/>
          <w:vertAlign w:val="superscript"/>
        </w:rPr>
        <w:t>2</w:t>
      </w:r>
      <w:r w:rsidRPr="000C43D3">
        <w:rPr>
          <w:rFonts w:ascii="Times New Roman" w:hAnsi="Times New Roman"/>
        </w:rPr>
        <w:t>) ir pagal jį – reikiamą dozę.</w:t>
      </w:r>
    </w:p>
    <w:p w14:paraId="0B7451D9" w14:textId="77777777" w:rsidR="00D875C0" w:rsidRPr="00C722B4" w:rsidRDefault="00D875C0" w:rsidP="00D875C0">
      <w:pPr>
        <w:autoSpaceDE w:val="0"/>
        <w:autoSpaceDN w:val="0"/>
        <w:adjustRightInd w:val="0"/>
        <w:spacing w:after="0" w:line="240" w:lineRule="auto"/>
        <w:rPr>
          <w:rFonts w:ascii="Times New Roman" w:hAnsi="Times New Roman"/>
        </w:rPr>
      </w:pPr>
    </w:p>
    <w:p w14:paraId="0874AFBA" w14:textId="77777777" w:rsidR="00D875C0" w:rsidRPr="004E3CD5" w:rsidRDefault="00D875C0" w:rsidP="00D875C0">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Vartojimo metodas ir būdas</w:t>
      </w:r>
    </w:p>
    <w:p w14:paraId="7F862764"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Docetaxel Ebewe infuzuojama į veną (ligoninėje). Infuzijos trukmė – maždaug 1</w:t>
      </w:r>
      <w:r w:rsidR="007D5071" w:rsidRPr="007C1A06">
        <w:rPr>
          <w:rFonts w:ascii="Times New Roman" w:hAnsi="Times New Roman"/>
        </w:rPr>
        <w:t> </w:t>
      </w:r>
      <w:r w:rsidRPr="007C1A06">
        <w:rPr>
          <w:rFonts w:ascii="Times New Roman" w:hAnsi="Times New Roman"/>
        </w:rPr>
        <w:t>val.</w:t>
      </w:r>
    </w:p>
    <w:p w14:paraId="58A229B4" w14:textId="77777777" w:rsidR="00D875C0" w:rsidRPr="007C1A06" w:rsidRDefault="00D875C0" w:rsidP="00D875C0">
      <w:pPr>
        <w:autoSpaceDE w:val="0"/>
        <w:autoSpaceDN w:val="0"/>
        <w:adjustRightInd w:val="0"/>
        <w:spacing w:after="0" w:line="240" w:lineRule="auto"/>
        <w:rPr>
          <w:rFonts w:ascii="Times New Roman" w:hAnsi="Times New Roman"/>
        </w:rPr>
      </w:pPr>
    </w:p>
    <w:p w14:paraId="6026BA5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Vartojimo periodiškumas</w:t>
      </w:r>
    </w:p>
    <w:p w14:paraId="48C6FD7C"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Dažniausiai šio vaisto infuzuojama kas 3</w:t>
      </w:r>
      <w:r w:rsidR="007D5071" w:rsidRPr="007C1A06">
        <w:rPr>
          <w:rFonts w:ascii="Times New Roman" w:hAnsi="Times New Roman"/>
        </w:rPr>
        <w:t> </w:t>
      </w:r>
      <w:r w:rsidRPr="007C1A06">
        <w:rPr>
          <w:rFonts w:ascii="Times New Roman" w:hAnsi="Times New Roman"/>
        </w:rPr>
        <w:t>savaites.</w:t>
      </w:r>
    </w:p>
    <w:p w14:paraId="14F75724" w14:textId="77777777" w:rsidR="00D875C0" w:rsidRPr="00FB5C4B"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Docetaxel Ebewe dozę ir vartojimo periodiškumą gydytojas gali keisti, atsižvelgdamas į kraujo tyrimų duomenis, bendrąją sveikatos būklę bei vaisto poveikį. Ypač svarbu pasakyti gydytojui, jei atsiranda viduriavimas, burnos skausmas, tirpulys, badymas, dilgčiojimas bei karščiavimas, be to, parodykite </w:t>
      </w:r>
      <w:r w:rsidRPr="007C1A06">
        <w:rPr>
          <w:rFonts w:ascii="Times New Roman" w:eastAsia="Times New Roman" w:hAnsi="Times New Roman" w:cs="Times New Roman"/>
        </w:rPr>
        <w:t>Jam</w:t>
      </w:r>
      <w:r w:rsidRPr="00F95B76">
        <w:rPr>
          <w:rFonts w:ascii="Times New Roman" w:hAnsi="Times New Roman"/>
        </w:rPr>
        <w:t xml:space="preserve"> savo kraujo tyrimo rezultatus. Tai gydytojui padės nuspręsti, ar reikia mažinti dozę. </w:t>
      </w:r>
    </w:p>
    <w:p w14:paraId="6FD6B26D" w14:textId="77777777" w:rsidR="00D875C0" w:rsidRPr="00427D92" w:rsidRDefault="00D875C0" w:rsidP="00D875C0">
      <w:pPr>
        <w:autoSpaceDE w:val="0"/>
        <w:autoSpaceDN w:val="0"/>
        <w:adjustRightInd w:val="0"/>
        <w:spacing w:after="0" w:line="240" w:lineRule="auto"/>
        <w:rPr>
          <w:rFonts w:ascii="Times New Roman" w:hAnsi="Times New Roman"/>
        </w:rPr>
      </w:pPr>
    </w:p>
    <w:p w14:paraId="1A880233" w14:textId="77777777" w:rsidR="00D875C0" w:rsidRPr="001F2C46" w:rsidRDefault="00D875C0" w:rsidP="00D875C0">
      <w:pPr>
        <w:autoSpaceDE w:val="0"/>
        <w:autoSpaceDN w:val="0"/>
        <w:adjustRightInd w:val="0"/>
        <w:spacing w:after="0" w:line="240" w:lineRule="auto"/>
        <w:rPr>
          <w:rFonts w:ascii="Times New Roman" w:hAnsi="Times New Roman"/>
        </w:rPr>
      </w:pPr>
      <w:r w:rsidRPr="00C722B4">
        <w:rPr>
          <w:rFonts w:ascii="Times New Roman" w:hAnsi="Times New Roman"/>
        </w:rPr>
        <w:t xml:space="preserve">Jeigu kiltų bet kokių klausimų dėl šio vaisto vartojimo, kreipkitės į gydytoją arba </w:t>
      </w:r>
      <w:r w:rsidR="00CA5549">
        <w:rPr>
          <w:rFonts w:ascii="Times New Roman" w:eastAsia="Times New Roman" w:hAnsi="Times New Roman" w:cs="Times New Roman"/>
        </w:rPr>
        <w:t xml:space="preserve">klinikinį </w:t>
      </w:r>
      <w:r w:rsidRPr="00F95B76">
        <w:rPr>
          <w:rFonts w:ascii="Times New Roman" w:hAnsi="Times New Roman"/>
        </w:rPr>
        <w:t>vaistininką.</w:t>
      </w:r>
    </w:p>
    <w:p w14:paraId="6EC92914" w14:textId="77777777" w:rsidR="00D875C0" w:rsidRPr="00427D92" w:rsidRDefault="00D875C0" w:rsidP="00D875C0">
      <w:pPr>
        <w:spacing w:after="0" w:line="240" w:lineRule="auto"/>
        <w:rPr>
          <w:rFonts w:ascii="Times New Roman" w:hAnsi="Times New Roman"/>
        </w:rPr>
      </w:pPr>
    </w:p>
    <w:p w14:paraId="3639DA34" w14:textId="77777777" w:rsidR="00D875C0" w:rsidRPr="00C722B4" w:rsidRDefault="00D875C0" w:rsidP="00D875C0">
      <w:pPr>
        <w:spacing w:after="0" w:line="240" w:lineRule="auto"/>
        <w:rPr>
          <w:rFonts w:ascii="Times New Roman" w:hAnsi="Times New Roman"/>
        </w:rPr>
      </w:pPr>
    </w:p>
    <w:p w14:paraId="6474D322" w14:textId="77777777" w:rsidR="00D875C0" w:rsidRPr="007C1A06" w:rsidRDefault="00D875C0" w:rsidP="00D875C0">
      <w:pPr>
        <w:keepNext/>
        <w:tabs>
          <w:tab w:val="left" w:pos="567"/>
        </w:tabs>
        <w:spacing w:after="0" w:line="240" w:lineRule="auto"/>
        <w:ind w:left="567" w:hanging="567"/>
        <w:outlineLvl w:val="1"/>
        <w:rPr>
          <w:rFonts w:ascii="Times New Roman" w:hAnsi="Times New Roman"/>
          <w:b/>
        </w:rPr>
      </w:pPr>
      <w:bookmarkStart w:id="86" w:name="_Toc129243142"/>
      <w:bookmarkStart w:id="87" w:name="_Toc129243267"/>
      <w:r w:rsidRPr="007C1A06">
        <w:rPr>
          <w:rFonts w:ascii="Times New Roman" w:hAnsi="Times New Roman"/>
          <w:b/>
        </w:rPr>
        <w:t>4.</w:t>
      </w:r>
      <w:r w:rsidRPr="007C1A06">
        <w:rPr>
          <w:rFonts w:ascii="Times New Roman" w:hAnsi="Times New Roman"/>
          <w:b/>
        </w:rPr>
        <w:tab/>
        <w:t>Galimas šalutinis poveikis</w:t>
      </w:r>
      <w:bookmarkEnd w:id="86"/>
      <w:bookmarkEnd w:id="87"/>
    </w:p>
    <w:p w14:paraId="70D49BCF" w14:textId="77777777" w:rsidR="00D875C0" w:rsidRPr="007C1A06" w:rsidRDefault="00D875C0" w:rsidP="00D875C0">
      <w:pPr>
        <w:spacing w:after="0" w:line="240" w:lineRule="auto"/>
        <w:rPr>
          <w:rFonts w:ascii="Times New Roman" w:hAnsi="Times New Roman"/>
        </w:rPr>
      </w:pPr>
    </w:p>
    <w:p w14:paraId="276A59F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Šis vaistas, kaip ir visi kiti, gali sukelti šalutinį poveikį, nors jis pasireiškia ne visiems žmonėms.</w:t>
      </w:r>
    </w:p>
    <w:p w14:paraId="36097B98"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Apie juos Jums papasakos gydytojas, kuris taip pat paaiškins palankius gydymo poveikius ir galimus pavojus.</w:t>
      </w:r>
    </w:p>
    <w:p w14:paraId="24D75887"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Dažniausios nepageidaujamos reakcijos, pasireiškiančios vartojant vien tik Docetaxel Ebewe, yra raudonųjų ar baltųjų kraujo kūnelių kiekio sumažėjimas, nuplikimas, pykinimas, vėmimas, burnos skausmas, viduriavimas bei nuovargis.</w:t>
      </w:r>
    </w:p>
    <w:p w14:paraId="746BF281"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Nepageidaujamų Docetaxel Ebewe sukeltų reakcijų sunkumas gali padidėti, jei kartu vartojama kitokių chemoterapinių vaistų.</w:t>
      </w:r>
    </w:p>
    <w:p w14:paraId="6C43394B" w14:textId="77777777" w:rsidR="00D875C0" w:rsidRPr="00FB5C4B"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Infuzijos metu ligoninėje gali pasireikšti toliau išvardytų alerginių reakcijų (gali pasireikšti </w:t>
      </w:r>
      <w:r w:rsidRPr="00F95B76">
        <w:rPr>
          <w:rFonts w:ascii="Times New Roman" w:hAnsi="Times New Roman"/>
        </w:rPr>
        <w:t>daugiau kaip 1 pacientui iš 10):</w:t>
      </w:r>
    </w:p>
    <w:p w14:paraId="69F9EAF4" w14:textId="77777777" w:rsidR="00D875C0" w:rsidRPr="000C43D3" w:rsidRDefault="00D875C0" w:rsidP="00D875C0">
      <w:pPr>
        <w:numPr>
          <w:ilvl w:val="0"/>
          <w:numId w:val="8"/>
        </w:numPr>
        <w:autoSpaceDE w:val="0"/>
        <w:autoSpaceDN w:val="0"/>
        <w:adjustRightInd w:val="0"/>
        <w:spacing w:after="0" w:line="240" w:lineRule="auto"/>
        <w:rPr>
          <w:rFonts w:ascii="Times New Roman" w:hAnsi="Times New Roman"/>
        </w:rPr>
      </w:pPr>
      <w:r w:rsidRPr="00427D92">
        <w:rPr>
          <w:rFonts w:ascii="Times New Roman" w:hAnsi="Times New Roman"/>
        </w:rPr>
        <w:t>kraujo priplūdimas į veidą</w:t>
      </w:r>
      <w:r w:rsidRPr="000C43D3">
        <w:rPr>
          <w:rFonts w:ascii="Times New Roman" w:hAnsi="Times New Roman"/>
        </w:rPr>
        <w:t xml:space="preserve"> ir kaklą, odos pokyčiai, niežulys;</w:t>
      </w:r>
    </w:p>
    <w:p w14:paraId="33B78475" w14:textId="77777777" w:rsidR="00D875C0" w:rsidRPr="00C722B4" w:rsidRDefault="00D875C0" w:rsidP="00D875C0">
      <w:pPr>
        <w:numPr>
          <w:ilvl w:val="0"/>
          <w:numId w:val="8"/>
        </w:numPr>
        <w:autoSpaceDE w:val="0"/>
        <w:autoSpaceDN w:val="0"/>
        <w:adjustRightInd w:val="0"/>
        <w:spacing w:after="0" w:line="240" w:lineRule="auto"/>
        <w:rPr>
          <w:rFonts w:ascii="Times New Roman" w:hAnsi="Times New Roman"/>
        </w:rPr>
      </w:pPr>
      <w:r w:rsidRPr="00C722B4">
        <w:rPr>
          <w:rFonts w:ascii="Times New Roman" w:hAnsi="Times New Roman"/>
        </w:rPr>
        <w:t>gniaužimas krūtinėje, kvėpavimo pasunkėjimas;</w:t>
      </w:r>
    </w:p>
    <w:p w14:paraId="226152F9" w14:textId="77777777" w:rsidR="00D875C0" w:rsidRPr="004E3CD5" w:rsidRDefault="00D875C0" w:rsidP="00D875C0">
      <w:pPr>
        <w:numPr>
          <w:ilvl w:val="0"/>
          <w:numId w:val="8"/>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karščiavimas arba šaltkrėtis;</w:t>
      </w:r>
    </w:p>
    <w:p w14:paraId="0AB8E577" w14:textId="77777777" w:rsidR="00D875C0" w:rsidRPr="004E3CD5" w:rsidRDefault="00D875C0" w:rsidP="00D875C0">
      <w:pPr>
        <w:numPr>
          <w:ilvl w:val="0"/>
          <w:numId w:val="8"/>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nugaros skausmas;</w:t>
      </w:r>
    </w:p>
    <w:p w14:paraId="7247B2E3" w14:textId="77777777" w:rsidR="00D875C0" w:rsidRPr="004E3CD5" w:rsidRDefault="00D875C0" w:rsidP="00D875C0">
      <w:pPr>
        <w:numPr>
          <w:ilvl w:val="0"/>
          <w:numId w:val="8"/>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kraujo spaudimo sumažėjimas.</w:t>
      </w:r>
    </w:p>
    <w:p w14:paraId="43A69232" w14:textId="77777777" w:rsidR="00D875C0" w:rsidRPr="007C1A06" w:rsidRDefault="00D875C0" w:rsidP="00D875C0">
      <w:pPr>
        <w:autoSpaceDE w:val="0"/>
        <w:autoSpaceDN w:val="0"/>
        <w:adjustRightInd w:val="0"/>
        <w:spacing w:after="0" w:line="240" w:lineRule="auto"/>
        <w:rPr>
          <w:rFonts w:ascii="Times New Roman" w:hAnsi="Times New Roman"/>
        </w:rPr>
      </w:pPr>
      <w:r w:rsidRPr="007C1A06">
        <w:rPr>
          <w:rFonts w:ascii="Times New Roman" w:hAnsi="Times New Roman"/>
        </w:rPr>
        <w:t>Gali atsirasti ir sunkesnių reakcijų.</w:t>
      </w:r>
    </w:p>
    <w:p w14:paraId="68435902" w14:textId="77777777" w:rsidR="005065A1" w:rsidRPr="004E3CD5" w:rsidRDefault="005065A1" w:rsidP="00B4376E">
      <w:pPr>
        <w:autoSpaceDE w:val="0"/>
        <w:autoSpaceDN w:val="0"/>
        <w:adjustRightInd w:val="0"/>
        <w:spacing w:after="0" w:line="240" w:lineRule="auto"/>
        <w:rPr>
          <w:rFonts w:ascii="Times New Roman" w:hAnsi="Times New Roman"/>
        </w:rPr>
      </w:pPr>
    </w:p>
    <w:p w14:paraId="7ABAA18D" w14:textId="77777777" w:rsidR="00B4376E" w:rsidRPr="004E3CD5" w:rsidRDefault="00B4376E" w:rsidP="00B4376E">
      <w:pPr>
        <w:autoSpaceDE w:val="0"/>
        <w:autoSpaceDN w:val="0"/>
        <w:adjustRightInd w:val="0"/>
        <w:spacing w:after="0" w:line="240" w:lineRule="auto"/>
        <w:rPr>
          <w:rFonts w:ascii="Times New Roman" w:eastAsiaTheme="minorEastAsia" w:hAnsi="Times New Roman"/>
          <w:lang w:eastAsia="zh-TW"/>
        </w:rPr>
      </w:pPr>
      <w:r w:rsidRPr="004E3CD5">
        <w:rPr>
          <w:rFonts w:ascii="Times New Roman" w:hAnsi="Times New Roman"/>
        </w:rPr>
        <w:t>Jei Jums buvo pasireiškusi alergin</w:t>
      </w:r>
      <w:r w:rsidRPr="004E3CD5">
        <w:rPr>
          <w:rFonts w:ascii="Times New Roman" w:hAnsi="Times New Roman" w:hint="eastAsia"/>
        </w:rPr>
        <w:t>ė</w:t>
      </w:r>
      <w:r w:rsidRPr="004E3CD5">
        <w:rPr>
          <w:rFonts w:ascii="Times New Roman" w:hAnsi="Times New Roman"/>
        </w:rPr>
        <w:t xml:space="preserve"> reakcija paklitaksel</w:t>
      </w:r>
      <w:r w:rsidR="005065A1" w:rsidRPr="004E3CD5">
        <w:rPr>
          <w:rFonts w:ascii="Times New Roman" w:hAnsi="Times New Roman"/>
        </w:rPr>
        <w:t>iu</w:t>
      </w:r>
      <w:r w:rsidR="000827DB" w:rsidRPr="004E3CD5">
        <w:rPr>
          <w:rFonts w:ascii="Times New Roman" w:hAnsi="Times New Roman"/>
        </w:rPr>
        <w:t>i</w:t>
      </w:r>
      <w:r w:rsidRPr="004E3CD5">
        <w:rPr>
          <w:rFonts w:ascii="Times New Roman" w:hAnsi="Times New Roman"/>
        </w:rPr>
        <w:t>, gali pasireikšti alergin</w:t>
      </w:r>
      <w:r w:rsidRPr="004E3CD5">
        <w:rPr>
          <w:rFonts w:ascii="Times New Roman" w:hAnsi="Times New Roman" w:hint="eastAsia"/>
        </w:rPr>
        <w:t>ė</w:t>
      </w:r>
      <w:r w:rsidRPr="004E3CD5">
        <w:rPr>
          <w:rFonts w:ascii="Times New Roman" w:hAnsi="Times New Roman"/>
        </w:rPr>
        <w:t xml:space="preserve"> reakcija docetaksel</w:t>
      </w:r>
      <w:r w:rsidR="005065A1" w:rsidRPr="004E3CD5">
        <w:rPr>
          <w:rFonts w:ascii="Times New Roman" w:hAnsi="Times New Roman"/>
        </w:rPr>
        <w:t>iui</w:t>
      </w:r>
      <w:r w:rsidRPr="004E3CD5">
        <w:rPr>
          <w:rFonts w:ascii="Times New Roman" w:hAnsi="Times New Roman"/>
        </w:rPr>
        <w:t>, kuri gali b</w:t>
      </w:r>
      <w:r w:rsidRPr="004E3CD5">
        <w:rPr>
          <w:rFonts w:ascii="Times New Roman" w:hAnsi="Times New Roman" w:hint="eastAsia"/>
        </w:rPr>
        <w:t>ū</w:t>
      </w:r>
      <w:r w:rsidRPr="004E3CD5">
        <w:rPr>
          <w:rFonts w:ascii="Times New Roman" w:hAnsi="Times New Roman"/>
        </w:rPr>
        <w:t>ti sunkesn</w:t>
      </w:r>
      <w:r w:rsidRPr="004E3CD5">
        <w:rPr>
          <w:rFonts w:ascii="Times New Roman" w:hAnsi="Times New Roman" w:hint="eastAsia"/>
        </w:rPr>
        <w:t>ė</w:t>
      </w:r>
      <w:r w:rsidRPr="004E3CD5">
        <w:rPr>
          <w:rFonts w:ascii="Times New Roman" w:hAnsi="Times New Roman"/>
        </w:rPr>
        <w:t>.</w:t>
      </w:r>
    </w:p>
    <w:p w14:paraId="64D499C7" w14:textId="77777777" w:rsidR="00B4376E" w:rsidRPr="00F95B76" w:rsidRDefault="00B4376E" w:rsidP="00B4376E">
      <w:pPr>
        <w:autoSpaceDE w:val="0"/>
        <w:autoSpaceDN w:val="0"/>
        <w:adjustRightInd w:val="0"/>
        <w:spacing w:after="0" w:line="240" w:lineRule="auto"/>
        <w:rPr>
          <w:rFonts w:ascii="Times New Roman" w:hAnsi="Times New Roman"/>
        </w:rPr>
      </w:pPr>
    </w:p>
    <w:p w14:paraId="4B1C555D" w14:textId="77777777" w:rsidR="00D875C0" w:rsidRPr="001F2C46" w:rsidRDefault="00D875C0" w:rsidP="00D875C0">
      <w:pPr>
        <w:autoSpaceDE w:val="0"/>
        <w:autoSpaceDN w:val="0"/>
        <w:adjustRightInd w:val="0"/>
        <w:spacing w:after="0" w:line="240" w:lineRule="auto"/>
        <w:rPr>
          <w:rFonts w:ascii="Times New Roman" w:hAnsi="Times New Roman"/>
        </w:rPr>
      </w:pPr>
      <w:r w:rsidRPr="001F2C46">
        <w:rPr>
          <w:rFonts w:ascii="Times New Roman" w:hAnsi="Times New Roman"/>
        </w:rPr>
        <w:t>Infuzijos metu Jūsų būklė bus atidžiai stebima ligoninės personalo. Jei pasireiškė kuris nors iš išvardytų sutrikimų, apie tai reikia nedelsiant pranešti gydytojui.</w:t>
      </w:r>
    </w:p>
    <w:p w14:paraId="1903A41C" w14:textId="77777777" w:rsidR="00D875C0" w:rsidRPr="00427D92" w:rsidRDefault="00D875C0" w:rsidP="00D875C0">
      <w:pPr>
        <w:autoSpaceDE w:val="0"/>
        <w:autoSpaceDN w:val="0"/>
        <w:adjustRightInd w:val="0"/>
        <w:spacing w:after="0" w:line="240" w:lineRule="auto"/>
        <w:rPr>
          <w:rFonts w:ascii="Times New Roman" w:hAnsi="Times New Roman"/>
        </w:rPr>
      </w:pPr>
    </w:p>
    <w:p w14:paraId="3BBB790C" w14:textId="77777777" w:rsidR="00D875C0" w:rsidRPr="001F2C46" w:rsidRDefault="00D875C0" w:rsidP="00D875C0">
      <w:pPr>
        <w:autoSpaceDE w:val="0"/>
        <w:autoSpaceDN w:val="0"/>
        <w:adjustRightInd w:val="0"/>
        <w:spacing w:after="0" w:line="240" w:lineRule="auto"/>
        <w:rPr>
          <w:rFonts w:ascii="Times New Roman" w:hAnsi="Times New Roman"/>
        </w:rPr>
      </w:pPr>
      <w:r w:rsidRPr="00C722B4">
        <w:rPr>
          <w:rFonts w:ascii="Times New Roman" w:hAnsi="Times New Roman"/>
        </w:rPr>
        <w:t xml:space="preserve">Laikotarpiu nuo vienos </w:t>
      </w:r>
      <w:r w:rsidR="000827DB" w:rsidRPr="000827DB">
        <w:rPr>
          <w:rFonts w:ascii="Times New Roman" w:eastAsia="Times New Roman" w:hAnsi="Times New Roman" w:cs="Times New Roman"/>
        </w:rPr>
        <w:t>docetakselio</w:t>
      </w:r>
      <w:r w:rsidR="000827DB" w:rsidRPr="00F95B76">
        <w:rPr>
          <w:rFonts w:ascii="Times New Roman" w:hAnsi="Times New Roman"/>
        </w:rPr>
        <w:t xml:space="preserve"> </w:t>
      </w:r>
      <w:r w:rsidRPr="001F2C46">
        <w:rPr>
          <w:rFonts w:ascii="Times New Roman" w:hAnsi="Times New Roman"/>
        </w:rPr>
        <w:t>infuzijos iki kitos gali atsirasti toliau išvardytas šalutinis poveikis (jo dažnumas priklauso nuo kitų kartu vartojamų vaistų):</w:t>
      </w:r>
    </w:p>
    <w:p w14:paraId="221FA803" w14:textId="77777777" w:rsidR="00D875C0" w:rsidRPr="00427D92" w:rsidRDefault="00D875C0" w:rsidP="00D875C0">
      <w:pPr>
        <w:autoSpaceDE w:val="0"/>
        <w:autoSpaceDN w:val="0"/>
        <w:adjustRightInd w:val="0"/>
        <w:spacing w:after="0" w:line="240" w:lineRule="auto"/>
        <w:rPr>
          <w:rFonts w:ascii="Times New Roman" w:hAnsi="Times New Roman"/>
        </w:rPr>
      </w:pPr>
    </w:p>
    <w:p w14:paraId="337D4F16" w14:textId="63C194E2" w:rsidR="00D875C0" w:rsidRPr="00C722B4" w:rsidRDefault="00D875C0" w:rsidP="00D875C0">
      <w:pPr>
        <w:autoSpaceDE w:val="0"/>
        <w:autoSpaceDN w:val="0"/>
        <w:adjustRightInd w:val="0"/>
        <w:spacing w:after="0" w:line="240" w:lineRule="auto"/>
        <w:rPr>
          <w:rFonts w:ascii="Times New Roman" w:hAnsi="Times New Roman"/>
        </w:rPr>
      </w:pPr>
      <w:r w:rsidRPr="00C722B4">
        <w:rPr>
          <w:rFonts w:ascii="Times New Roman" w:hAnsi="Times New Roman"/>
          <w:b/>
        </w:rPr>
        <w:t>Labai dažn</w:t>
      </w:r>
      <w:r w:rsidR="00484C25">
        <w:rPr>
          <w:rFonts w:ascii="Times New Roman" w:hAnsi="Times New Roman"/>
          <w:b/>
        </w:rPr>
        <w:t>i</w:t>
      </w:r>
      <w:r w:rsidRPr="00C722B4">
        <w:rPr>
          <w:rFonts w:ascii="Times New Roman" w:hAnsi="Times New Roman"/>
          <w:b/>
        </w:rPr>
        <w:t xml:space="preserve"> šalutini</w:t>
      </w:r>
      <w:r w:rsidR="00484C25">
        <w:rPr>
          <w:rFonts w:ascii="Times New Roman" w:hAnsi="Times New Roman"/>
          <w:b/>
        </w:rPr>
        <w:t>o</w:t>
      </w:r>
      <w:r w:rsidRPr="00C722B4">
        <w:rPr>
          <w:rFonts w:ascii="Times New Roman" w:hAnsi="Times New Roman"/>
          <w:b/>
        </w:rPr>
        <w:t xml:space="preserve"> poveiki</w:t>
      </w:r>
      <w:r w:rsidR="00484C25">
        <w:rPr>
          <w:rFonts w:ascii="Times New Roman" w:hAnsi="Times New Roman"/>
          <w:b/>
        </w:rPr>
        <w:t>o reiškiniai</w:t>
      </w:r>
      <w:r w:rsidRPr="00C722B4">
        <w:rPr>
          <w:rFonts w:ascii="Times New Roman" w:hAnsi="Times New Roman"/>
        </w:rPr>
        <w:t xml:space="preserve"> (gali pasireikšti </w:t>
      </w:r>
      <w:r w:rsidR="00484C25">
        <w:rPr>
          <w:rFonts w:ascii="Times New Roman" w:hAnsi="Times New Roman"/>
        </w:rPr>
        <w:t>ne reči</w:t>
      </w:r>
      <w:r w:rsidRPr="00C722B4">
        <w:rPr>
          <w:rFonts w:ascii="Times New Roman" w:hAnsi="Times New Roman"/>
        </w:rPr>
        <w:t xml:space="preserve">au kaip 1 iš 10 </w:t>
      </w:r>
      <w:r w:rsidR="00484C25">
        <w:rPr>
          <w:rFonts w:ascii="Times New Roman" w:hAnsi="Times New Roman"/>
        </w:rPr>
        <w:t>asmen</w:t>
      </w:r>
      <w:r w:rsidRPr="00C722B4">
        <w:rPr>
          <w:rFonts w:ascii="Times New Roman" w:hAnsi="Times New Roman"/>
        </w:rPr>
        <w:t>ų)</w:t>
      </w:r>
      <w:r w:rsidR="000C0532">
        <w:rPr>
          <w:rFonts w:ascii="Times New Roman" w:hAnsi="Times New Roman"/>
        </w:rPr>
        <w:t>.</w:t>
      </w:r>
    </w:p>
    <w:p w14:paraId="694FCA38"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Infekcija, raudonųjų kraujo kūnelių kiekio sumažėjimas (mažakraujystė), baltųjų kraujo kūnelių (pastarieji svarbūs organizmo apsaugai nuo infekcijos) kiekio sumažėjimas, trombocitų kiekio sumažėjimas.</w:t>
      </w:r>
    </w:p>
    <w:p w14:paraId="350DAE45"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Karščiavimas. Atsiradus karščiavimui, būtina nedelsiant kreiptis į gydytoją.</w:t>
      </w:r>
    </w:p>
    <w:p w14:paraId="68E3646E"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Alerginės reakcijos (aprašytos aukščiau).</w:t>
      </w:r>
    </w:p>
    <w:p w14:paraId="7690C838"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Apetito netekimas (anoreksija).</w:t>
      </w:r>
    </w:p>
    <w:p w14:paraId="2B5DFAA4"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Nemiga.</w:t>
      </w:r>
    </w:p>
    <w:p w14:paraId="4F652771"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Tirpimo, badymo ar smaigymo pojūtis arba skausmas sąnariuose bei raumenyse.</w:t>
      </w:r>
    </w:p>
    <w:p w14:paraId="76A6E6ED"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Galvos skausmas.</w:t>
      </w:r>
    </w:p>
    <w:p w14:paraId="7BF5F9DF"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Skonio pojūčio pokytis.</w:t>
      </w:r>
    </w:p>
    <w:p w14:paraId="267FCFE2"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Akies uždegimas, ašarojimo sustiprėjimas.</w:t>
      </w:r>
    </w:p>
    <w:p w14:paraId="1056CBEC"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Patinimas dėl limfos nutekėjimo sutrikimo.</w:t>
      </w:r>
    </w:p>
    <w:p w14:paraId="6CD9E6C3"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Dusulys.</w:t>
      </w:r>
    </w:p>
    <w:p w14:paraId="7E76B25C"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Sloga, gerklės ir nosies uždegimas, kosulys.</w:t>
      </w:r>
    </w:p>
    <w:p w14:paraId="2AA56670"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Kraujavimas iš nosies.</w:t>
      </w:r>
    </w:p>
    <w:p w14:paraId="2657A9A3"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Burnos skausmas.</w:t>
      </w:r>
    </w:p>
    <w:p w14:paraId="0C13889E"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Virškinimo trakto sutrikimai, įskaitant pykinimą, vėmimą, viduriavimą ir vidurių užkietėjimą.</w:t>
      </w:r>
    </w:p>
    <w:p w14:paraId="646CC3ED"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Pilvo skausmas.</w:t>
      </w:r>
    </w:p>
    <w:p w14:paraId="3BA55395"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Nevirškinimas.</w:t>
      </w:r>
    </w:p>
    <w:p w14:paraId="508457F7" w14:textId="77777777" w:rsidR="00D875C0" w:rsidRPr="00FB5C4B"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Trumpalaikis plaukų netekimas (dažniausiai vėliau plaukų augimas vėl tampa normalus</w:t>
      </w:r>
      <w:r w:rsidRPr="007C1A06">
        <w:rPr>
          <w:rFonts w:ascii="Times New Roman" w:eastAsia="Times New Roman" w:hAnsi="Times New Roman" w:cs="Times New Roman"/>
        </w:rPr>
        <w:t>)</w:t>
      </w:r>
      <w:r w:rsidR="000827DB">
        <w:rPr>
          <w:rFonts w:ascii="Times New Roman" w:eastAsia="Times New Roman" w:hAnsi="Times New Roman" w:cs="Times New Roman"/>
        </w:rPr>
        <w:t>, kai kuriais</w:t>
      </w:r>
      <w:r w:rsidR="000827DB" w:rsidRPr="000827DB">
        <w:rPr>
          <w:rFonts w:ascii="Times New Roman" w:eastAsia="Times New Roman" w:hAnsi="Times New Roman" w:cs="Times New Roman"/>
        </w:rPr>
        <w:t xml:space="preserve"> atvejais (dažnis nežinomas) pasireiškė ilgalaikis plaukų netekimas</w:t>
      </w:r>
      <w:r w:rsidRPr="007C1A06">
        <w:rPr>
          <w:rFonts w:ascii="Times New Roman" w:eastAsia="Times New Roman" w:hAnsi="Times New Roman" w:cs="Times New Roman"/>
        </w:rPr>
        <w:t>.</w:t>
      </w:r>
    </w:p>
    <w:p w14:paraId="002F7A99" w14:textId="77777777" w:rsidR="00D875C0" w:rsidRPr="00427D92" w:rsidRDefault="00D875C0" w:rsidP="00D875C0">
      <w:pPr>
        <w:numPr>
          <w:ilvl w:val="0"/>
          <w:numId w:val="9"/>
        </w:numPr>
        <w:autoSpaceDE w:val="0"/>
        <w:autoSpaceDN w:val="0"/>
        <w:adjustRightInd w:val="0"/>
        <w:spacing w:after="0" w:line="240" w:lineRule="auto"/>
        <w:rPr>
          <w:rFonts w:ascii="Times New Roman" w:hAnsi="Times New Roman"/>
        </w:rPr>
      </w:pPr>
      <w:r w:rsidRPr="001F2C46">
        <w:rPr>
          <w:rFonts w:ascii="Times New Roman" w:hAnsi="Times New Roman"/>
        </w:rPr>
        <w:t>Delnų ar pėdų paraudimas ir patinimas (gali pradėti luptis oda). Toks poveikis g</w:t>
      </w:r>
      <w:r w:rsidRPr="00427D92">
        <w:rPr>
          <w:rFonts w:ascii="Times New Roman" w:hAnsi="Times New Roman"/>
        </w:rPr>
        <w:t>ali atsirasti ir rankose, veide ar ant viso kūno odos.</w:t>
      </w:r>
    </w:p>
    <w:p w14:paraId="387EE738" w14:textId="77777777" w:rsidR="00D875C0" w:rsidRPr="00C722B4" w:rsidRDefault="00D875C0" w:rsidP="00D875C0">
      <w:pPr>
        <w:numPr>
          <w:ilvl w:val="0"/>
          <w:numId w:val="9"/>
        </w:numPr>
        <w:autoSpaceDE w:val="0"/>
        <w:autoSpaceDN w:val="0"/>
        <w:adjustRightInd w:val="0"/>
        <w:spacing w:after="0" w:line="240" w:lineRule="auto"/>
        <w:rPr>
          <w:rFonts w:ascii="Times New Roman" w:hAnsi="Times New Roman"/>
        </w:rPr>
      </w:pPr>
      <w:r w:rsidRPr="00C722B4">
        <w:rPr>
          <w:rFonts w:ascii="Times New Roman" w:hAnsi="Times New Roman"/>
        </w:rPr>
        <w:t>Nagų spalvos pokytis (nagas gali nukristi).</w:t>
      </w:r>
    </w:p>
    <w:p w14:paraId="77792C8E"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Raumenų maudimas ir skausmas, nugaros ar kaulų skausmas.</w:t>
      </w:r>
    </w:p>
    <w:p w14:paraId="7EAF2A4F"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Menstruacijų pokytis arba išnykimas.</w:t>
      </w:r>
    </w:p>
    <w:p w14:paraId="20F71A1A"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Rankų, pėdų ir kojų patinimas.</w:t>
      </w:r>
    </w:p>
    <w:p w14:paraId="42B12598" w14:textId="77777777" w:rsidR="00D875C0" w:rsidRPr="004E3CD5"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Nuovargis arba į gripą panašūs simptomai.</w:t>
      </w:r>
    </w:p>
    <w:p w14:paraId="20FC235E" w14:textId="77777777" w:rsidR="00D875C0" w:rsidRPr="00453BC4" w:rsidRDefault="00D875C0"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Svorio padidėjimas arba sumažėjimas.</w:t>
      </w:r>
    </w:p>
    <w:p w14:paraId="6E59FC3A" w14:textId="616344CE" w:rsidR="00B45484" w:rsidRPr="004E3CD5" w:rsidRDefault="00B45484" w:rsidP="00D875C0">
      <w:pPr>
        <w:numPr>
          <w:ilvl w:val="0"/>
          <w:numId w:val="9"/>
        </w:numPr>
        <w:autoSpaceDE w:val="0"/>
        <w:autoSpaceDN w:val="0"/>
        <w:adjustRightInd w:val="0"/>
        <w:spacing w:after="0" w:line="240" w:lineRule="auto"/>
        <w:rPr>
          <w:rFonts w:ascii="Times New Roman" w:eastAsiaTheme="minorEastAsia" w:hAnsi="Times New Roman"/>
          <w:lang w:eastAsia="zh-TW"/>
        </w:rPr>
      </w:pPr>
      <w:r w:rsidRPr="00B45484">
        <w:rPr>
          <w:rFonts w:ascii="Times New Roman" w:eastAsiaTheme="minorEastAsia" w:hAnsi="Times New Roman"/>
          <w:lang w:eastAsia="zh-TW"/>
        </w:rPr>
        <w:t>Viršutinių kvėpavimo takų infekcija.</w:t>
      </w:r>
    </w:p>
    <w:p w14:paraId="03E59D40" w14:textId="77777777" w:rsidR="00D875C0" w:rsidRPr="007C1A06" w:rsidRDefault="00D875C0" w:rsidP="00D875C0">
      <w:pPr>
        <w:autoSpaceDE w:val="0"/>
        <w:autoSpaceDN w:val="0"/>
        <w:adjustRightInd w:val="0"/>
        <w:spacing w:after="0" w:line="240" w:lineRule="auto"/>
        <w:rPr>
          <w:rFonts w:ascii="Times New Roman" w:hAnsi="Times New Roman"/>
        </w:rPr>
      </w:pPr>
    </w:p>
    <w:p w14:paraId="1ACE5A66" w14:textId="1471F444" w:rsidR="00D875C0" w:rsidRPr="00874783"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b/>
        </w:rPr>
        <w:t>Dažna</w:t>
      </w:r>
      <w:r w:rsidR="00484C25">
        <w:rPr>
          <w:rFonts w:ascii="Times New Roman" w:hAnsi="Times New Roman"/>
          <w:b/>
        </w:rPr>
        <w:t>i</w:t>
      </w:r>
      <w:r w:rsidRPr="007C1A06">
        <w:rPr>
          <w:rFonts w:ascii="Times New Roman" w:hAnsi="Times New Roman"/>
          <w:b/>
        </w:rPr>
        <w:t xml:space="preserve"> šalutini</w:t>
      </w:r>
      <w:r w:rsidR="00484C25">
        <w:rPr>
          <w:rFonts w:ascii="Times New Roman" w:hAnsi="Times New Roman"/>
          <w:b/>
        </w:rPr>
        <w:t>o</w:t>
      </w:r>
      <w:r w:rsidRPr="007C1A06">
        <w:rPr>
          <w:rFonts w:ascii="Times New Roman" w:hAnsi="Times New Roman"/>
          <w:b/>
        </w:rPr>
        <w:t xml:space="preserve"> poveiki</w:t>
      </w:r>
      <w:r w:rsidR="00484C25">
        <w:rPr>
          <w:rFonts w:ascii="Times New Roman" w:hAnsi="Times New Roman"/>
          <w:b/>
        </w:rPr>
        <w:t>o reiškiniai</w:t>
      </w:r>
      <w:r w:rsidRPr="007C1A06">
        <w:rPr>
          <w:rFonts w:ascii="Times New Roman" w:hAnsi="Times New Roman"/>
          <w:b/>
        </w:rPr>
        <w:t xml:space="preserve"> </w:t>
      </w:r>
      <w:r w:rsidRPr="007C1A06">
        <w:rPr>
          <w:rFonts w:ascii="Times New Roman" w:hAnsi="Times New Roman"/>
        </w:rPr>
        <w:t>(</w:t>
      </w:r>
      <w:r w:rsidR="00F35BEE" w:rsidRPr="00F35BEE">
        <w:rPr>
          <w:rFonts w:ascii="Times New Roman" w:hAnsi="Times New Roman"/>
        </w:rPr>
        <w:t xml:space="preserve">gali pasireikšti </w:t>
      </w:r>
      <w:r w:rsidR="001E4347">
        <w:rPr>
          <w:rFonts w:ascii="Times New Roman" w:hAnsi="Times New Roman"/>
        </w:rPr>
        <w:t>reč</w:t>
      </w:r>
      <w:r w:rsidR="00F35BEE">
        <w:rPr>
          <w:rFonts w:ascii="Times New Roman" w:hAnsi="Times New Roman"/>
        </w:rPr>
        <w:t>iau</w:t>
      </w:r>
      <w:r w:rsidR="00F35BEE" w:rsidRPr="00F35BEE">
        <w:rPr>
          <w:rFonts w:ascii="Times New Roman" w:hAnsi="Times New Roman"/>
        </w:rPr>
        <w:t xml:space="preserve"> kaip 1 iš 10</w:t>
      </w:r>
      <w:r w:rsidR="00484C25">
        <w:rPr>
          <w:rFonts w:ascii="Times New Roman" w:hAnsi="Times New Roman"/>
        </w:rPr>
        <w:t xml:space="preserve"> asmen</w:t>
      </w:r>
      <w:r w:rsidR="00F35BEE" w:rsidRPr="00F35BEE">
        <w:rPr>
          <w:rFonts w:ascii="Times New Roman" w:hAnsi="Times New Roman"/>
        </w:rPr>
        <w:t>ų</w:t>
      </w:r>
      <w:r w:rsidRPr="00F95B76">
        <w:rPr>
          <w:rFonts w:ascii="Times New Roman" w:hAnsi="Times New Roman"/>
        </w:rPr>
        <w:t>).</w:t>
      </w:r>
    </w:p>
    <w:p w14:paraId="796EACBB" w14:textId="77777777" w:rsidR="00D875C0" w:rsidRPr="00427D92" w:rsidRDefault="00D875C0" w:rsidP="00D875C0">
      <w:pPr>
        <w:numPr>
          <w:ilvl w:val="0"/>
          <w:numId w:val="10"/>
        </w:numPr>
        <w:autoSpaceDE w:val="0"/>
        <w:autoSpaceDN w:val="0"/>
        <w:adjustRightInd w:val="0"/>
        <w:spacing w:after="0" w:line="240" w:lineRule="auto"/>
        <w:rPr>
          <w:rFonts w:ascii="Times New Roman" w:hAnsi="Times New Roman"/>
        </w:rPr>
      </w:pPr>
      <w:r w:rsidRPr="00427D92">
        <w:rPr>
          <w:rFonts w:ascii="Times New Roman" w:hAnsi="Times New Roman"/>
        </w:rPr>
        <w:t>Burnos kandidozė.</w:t>
      </w:r>
    </w:p>
    <w:p w14:paraId="25E56C2F" w14:textId="77777777" w:rsidR="00D875C0" w:rsidRPr="00C722B4" w:rsidRDefault="00D875C0" w:rsidP="00D875C0">
      <w:pPr>
        <w:numPr>
          <w:ilvl w:val="0"/>
          <w:numId w:val="10"/>
        </w:numPr>
        <w:autoSpaceDE w:val="0"/>
        <w:autoSpaceDN w:val="0"/>
        <w:adjustRightInd w:val="0"/>
        <w:spacing w:after="0" w:line="240" w:lineRule="auto"/>
        <w:rPr>
          <w:rFonts w:ascii="Times New Roman" w:hAnsi="Times New Roman"/>
        </w:rPr>
      </w:pPr>
      <w:r w:rsidRPr="00C722B4">
        <w:rPr>
          <w:rFonts w:ascii="Times New Roman" w:hAnsi="Times New Roman"/>
        </w:rPr>
        <w:t>Skysčių kiekio sumažėjimas organizme.</w:t>
      </w:r>
    </w:p>
    <w:p w14:paraId="6D74106D" w14:textId="77777777" w:rsidR="00D875C0" w:rsidRPr="004E3CD5" w:rsidRDefault="00D875C0" w:rsidP="00D875C0">
      <w:pPr>
        <w:numPr>
          <w:ilvl w:val="0"/>
          <w:numId w:val="10"/>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Svaigulys.</w:t>
      </w:r>
    </w:p>
    <w:p w14:paraId="18A71F22" w14:textId="77777777" w:rsidR="00D875C0" w:rsidRPr="004E3CD5" w:rsidRDefault="00D875C0" w:rsidP="00D875C0">
      <w:pPr>
        <w:numPr>
          <w:ilvl w:val="0"/>
          <w:numId w:val="10"/>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Klausos pablogėjimas.</w:t>
      </w:r>
    </w:p>
    <w:p w14:paraId="5E6226CE" w14:textId="77777777" w:rsidR="00D875C0" w:rsidRPr="004E3CD5" w:rsidRDefault="00D875C0" w:rsidP="00D875C0">
      <w:pPr>
        <w:numPr>
          <w:ilvl w:val="0"/>
          <w:numId w:val="10"/>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Kraujo spaudimo sumažėjimas, nereguliarus ar greitas širdies plakimas.</w:t>
      </w:r>
    </w:p>
    <w:p w14:paraId="7677834D" w14:textId="77777777" w:rsidR="00D875C0" w:rsidRPr="004E3CD5" w:rsidRDefault="00D875C0" w:rsidP="00D875C0">
      <w:pPr>
        <w:numPr>
          <w:ilvl w:val="0"/>
          <w:numId w:val="10"/>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Širdies nepakankamumas.</w:t>
      </w:r>
    </w:p>
    <w:p w14:paraId="61F51256" w14:textId="77777777" w:rsidR="00D875C0" w:rsidRPr="004E3CD5" w:rsidRDefault="00D875C0" w:rsidP="00D875C0">
      <w:pPr>
        <w:numPr>
          <w:ilvl w:val="0"/>
          <w:numId w:val="10"/>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Stemplės uždegimas.</w:t>
      </w:r>
    </w:p>
    <w:p w14:paraId="11CD66B4" w14:textId="77777777" w:rsidR="00D875C0" w:rsidRPr="004E3CD5" w:rsidRDefault="00D875C0" w:rsidP="00D875C0">
      <w:pPr>
        <w:numPr>
          <w:ilvl w:val="0"/>
          <w:numId w:val="10"/>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Burnos džiūvimas.</w:t>
      </w:r>
    </w:p>
    <w:p w14:paraId="0FE9CBBA" w14:textId="77777777" w:rsidR="00D875C0" w:rsidRPr="004E3CD5" w:rsidRDefault="00D875C0" w:rsidP="00D875C0">
      <w:pPr>
        <w:numPr>
          <w:ilvl w:val="0"/>
          <w:numId w:val="10"/>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Pasunkėjęs ar skausmingas rijimas.</w:t>
      </w:r>
    </w:p>
    <w:p w14:paraId="17396B3A" w14:textId="77777777" w:rsidR="00D875C0" w:rsidRPr="004E3CD5" w:rsidRDefault="00D875C0" w:rsidP="00D875C0">
      <w:pPr>
        <w:numPr>
          <w:ilvl w:val="0"/>
          <w:numId w:val="10"/>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Kraujavimas.</w:t>
      </w:r>
    </w:p>
    <w:p w14:paraId="10D33C95" w14:textId="77777777" w:rsidR="00D875C0" w:rsidRPr="00453BC4" w:rsidRDefault="00D875C0" w:rsidP="00D875C0">
      <w:pPr>
        <w:numPr>
          <w:ilvl w:val="0"/>
          <w:numId w:val="10"/>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Kepenų fermentų aktyvumo padidėjimas (dėl to reikia reguliariai tirti kraują).</w:t>
      </w:r>
    </w:p>
    <w:p w14:paraId="15154372" w14:textId="77777777" w:rsidR="00B45484" w:rsidRPr="00B45484" w:rsidRDefault="00B45484" w:rsidP="00B45484">
      <w:pPr>
        <w:numPr>
          <w:ilvl w:val="0"/>
          <w:numId w:val="10"/>
        </w:numPr>
        <w:autoSpaceDE w:val="0"/>
        <w:autoSpaceDN w:val="0"/>
        <w:adjustRightInd w:val="0"/>
        <w:spacing w:after="0" w:line="240" w:lineRule="auto"/>
        <w:rPr>
          <w:rFonts w:ascii="Times New Roman" w:eastAsiaTheme="minorEastAsia" w:hAnsi="Times New Roman"/>
          <w:lang w:eastAsia="zh-TW"/>
        </w:rPr>
      </w:pPr>
      <w:r w:rsidRPr="00B45484">
        <w:rPr>
          <w:rFonts w:ascii="Times New Roman" w:eastAsiaTheme="minorEastAsia" w:hAnsi="Times New Roman"/>
          <w:lang w:eastAsia="zh-TW"/>
        </w:rPr>
        <w:t>Padidėjęs cukraus kiekis kraujyje (cukrinis diabetas).</w:t>
      </w:r>
    </w:p>
    <w:p w14:paraId="277F9EDD" w14:textId="71612A69" w:rsidR="00B45484" w:rsidRPr="004E3CD5" w:rsidRDefault="00B45484" w:rsidP="00B45484">
      <w:pPr>
        <w:numPr>
          <w:ilvl w:val="0"/>
          <w:numId w:val="10"/>
        </w:numPr>
        <w:autoSpaceDE w:val="0"/>
        <w:autoSpaceDN w:val="0"/>
        <w:adjustRightInd w:val="0"/>
        <w:spacing w:after="0" w:line="240" w:lineRule="auto"/>
        <w:rPr>
          <w:rFonts w:ascii="Times New Roman" w:eastAsiaTheme="minorEastAsia" w:hAnsi="Times New Roman"/>
          <w:lang w:eastAsia="zh-TW"/>
        </w:rPr>
      </w:pPr>
      <w:r w:rsidRPr="00B45484">
        <w:rPr>
          <w:rFonts w:ascii="Times New Roman" w:eastAsiaTheme="minorEastAsia" w:hAnsi="Times New Roman"/>
          <w:lang w:eastAsia="zh-TW"/>
        </w:rPr>
        <w:t>Kalio, kalcio ir (arba) fosfatų kiekio sumažėjimas kraujyje.</w:t>
      </w:r>
    </w:p>
    <w:p w14:paraId="12C7CF90" w14:textId="77777777" w:rsidR="00D875C0" w:rsidRPr="007C1A06" w:rsidRDefault="00D875C0" w:rsidP="00D875C0">
      <w:pPr>
        <w:autoSpaceDE w:val="0"/>
        <w:autoSpaceDN w:val="0"/>
        <w:adjustRightInd w:val="0"/>
        <w:spacing w:after="0" w:line="240" w:lineRule="auto"/>
        <w:rPr>
          <w:rFonts w:ascii="Times New Roman" w:hAnsi="Times New Roman"/>
        </w:rPr>
      </w:pPr>
    </w:p>
    <w:p w14:paraId="167279F8" w14:textId="16F80EEC" w:rsidR="00D875C0" w:rsidRPr="00874783"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b/>
        </w:rPr>
        <w:t>Nedažna</w:t>
      </w:r>
      <w:r w:rsidR="00484C25">
        <w:rPr>
          <w:rFonts w:ascii="Times New Roman" w:hAnsi="Times New Roman"/>
          <w:b/>
        </w:rPr>
        <w:t>i</w:t>
      </w:r>
      <w:r w:rsidRPr="007C1A06">
        <w:rPr>
          <w:rFonts w:ascii="Times New Roman" w:hAnsi="Times New Roman"/>
          <w:b/>
        </w:rPr>
        <w:t xml:space="preserve"> šalutini</w:t>
      </w:r>
      <w:r w:rsidR="00484C25">
        <w:rPr>
          <w:rFonts w:ascii="Times New Roman" w:hAnsi="Times New Roman"/>
          <w:b/>
        </w:rPr>
        <w:t>o</w:t>
      </w:r>
      <w:r w:rsidRPr="007C1A06">
        <w:rPr>
          <w:rFonts w:ascii="Times New Roman" w:hAnsi="Times New Roman"/>
          <w:b/>
        </w:rPr>
        <w:t xml:space="preserve"> poveiki</w:t>
      </w:r>
      <w:r w:rsidR="00484C25">
        <w:rPr>
          <w:rFonts w:ascii="Times New Roman" w:hAnsi="Times New Roman"/>
          <w:b/>
        </w:rPr>
        <w:t>o reiškiniai</w:t>
      </w:r>
      <w:r w:rsidRPr="007C1A06">
        <w:rPr>
          <w:rFonts w:ascii="Times New Roman" w:hAnsi="Times New Roman"/>
        </w:rPr>
        <w:t xml:space="preserve"> (</w:t>
      </w:r>
      <w:r w:rsidR="00F35BEE" w:rsidRPr="00F35BEE">
        <w:rPr>
          <w:rFonts w:ascii="Times New Roman" w:hAnsi="Times New Roman"/>
        </w:rPr>
        <w:t xml:space="preserve">gali pasireikšti </w:t>
      </w:r>
      <w:r w:rsidR="001E4347">
        <w:rPr>
          <w:rFonts w:ascii="Times New Roman" w:hAnsi="Times New Roman"/>
        </w:rPr>
        <w:t>reč</w:t>
      </w:r>
      <w:r w:rsidR="00F35BEE">
        <w:rPr>
          <w:rFonts w:ascii="Times New Roman" w:hAnsi="Times New Roman"/>
        </w:rPr>
        <w:t>iau</w:t>
      </w:r>
      <w:r w:rsidR="00F35BEE" w:rsidRPr="00F35BEE">
        <w:rPr>
          <w:rFonts w:ascii="Times New Roman" w:hAnsi="Times New Roman"/>
        </w:rPr>
        <w:t xml:space="preserve"> kaip 1 iš 10</w:t>
      </w:r>
      <w:r w:rsidR="00F35BEE">
        <w:rPr>
          <w:rFonts w:ascii="Times New Roman" w:hAnsi="Times New Roman"/>
        </w:rPr>
        <w:t>0</w:t>
      </w:r>
      <w:r w:rsidR="00F35BEE" w:rsidRPr="00F35BEE">
        <w:rPr>
          <w:rFonts w:ascii="Times New Roman" w:hAnsi="Times New Roman"/>
        </w:rPr>
        <w:t xml:space="preserve"> </w:t>
      </w:r>
      <w:r w:rsidR="00484C25">
        <w:rPr>
          <w:rFonts w:ascii="Times New Roman" w:hAnsi="Times New Roman"/>
        </w:rPr>
        <w:t>asmen</w:t>
      </w:r>
      <w:r w:rsidR="00F35BEE" w:rsidRPr="00F35BEE">
        <w:rPr>
          <w:rFonts w:ascii="Times New Roman" w:hAnsi="Times New Roman"/>
        </w:rPr>
        <w:t>ų</w:t>
      </w:r>
      <w:r w:rsidRPr="001F2C46">
        <w:rPr>
          <w:rFonts w:ascii="Times New Roman" w:hAnsi="Times New Roman"/>
        </w:rPr>
        <w:t>).</w:t>
      </w:r>
    </w:p>
    <w:p w14:paraId="40BDCA7A" w14:textId="77777777" w:rsidR="00D875C0" w:rsidRPr="001F2C46" w:rsidRDefault="00D875C0" w:rsidP="00D875C0">
      <w:pPr>
        <w:numPr>
          <w:ilvl w:val="0"/>
          <w:numId w:val="11"/>
        </w:numPr>
        <w:autoSpaceDE w:val="0"/>
        <w:autoSpaceDN w:val="0"/>
        <w:adjustRightInd w:val="0"/>
        <w:spacing w:after="0" w:line="240" w:lineRule="auto"/>
        <w:rPr>
          <w:rFonts w:ascii="Times New Roman" w:hAnsi="Times New Roman"/>
        </w:rPr>
      </w:pPr>
      <w:r w:rsidRPr="001F2C46">
        <w:rPr>
          <w:rFonts w:ascii="Times New Roman" w:hAnsi="Times New Roman"/>
        </w:rPr>
        <w:t>Alpulys.</w:t>
      </w:r>
    </w:p>
    <w:p w14:paraId="4C0D8AAD" w14:textId="77777777" w:rsidR="00D875C0" w:rsidRPr="00427D92" w:rsidRDefault="00D875C0" w:rsidP="00D875C0">
      <w:pPr>
        <w:numPr>
          <w:ilvl w:val="0"/>
          <w:numId w:val="11"/>
        </w:numPr>
        <w:autoSpaceDE w:val="0"/>
        <w:autoSpaceDN w:val="0"/>
        <w:adjustRightInd w:val="0"/>
        <w:spacing w:after="0" w:line="240" w:lineRule="auto"/>
        <w:rPr>
          <w:rFonts w:ascii="Times New Roman" w:hAnsi="Times New Roman"/>
        </w:rPr>
      </w:pPr>
      <w:r w:rsidRPr="00427D92">
        <w:rPr>
          <w:rFonts w:ascii="Times New Roman" w:hAnsi="Times New Roman"/>
        </w:rPr>
        <w:t>Odos reakcija, flebitas (venos uždegimas) ar patinimas infuzijos vietoje.</w:t>
      </w:r>
    </w:p>
    <w:p w14:paraId="3E8DFF51" w14:textId="77777777" w:rsidR="00D875C0" w:rsidRPr="00874783" w:rsidRDefault="00D875C0" w:rsidP="00D875C0">
      <w:pPr>
        <w:numPr>
          <w:ilvl w:val="0"/>
          <w:numId w:val="11"/>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Kraujo krešulių atsiradimas.</w:t>
      </w:r>
    </w:p>
    <w:p w14:paraId="6888928D" w14:textId="77777777" w:rsidR="000108D9" w:rsidRPr="004E3CD5" w:rsidRDefault="000108D9" w:rsidP="00D875C0">
      <w:pPr>
        <w:numPr>
          <w:ilvl w:val="0"/>
          <w:numId w:val="11"/>
        </w:numPr>
        <w:autoSpaceDE w:val="0"/>
        <w:autoSpaceDN w:val="0"/>
        <w:adjustRightInd w:val="0"/>
        <w:spacing w:after="0" w:line="240" w:lineRule="auto"/>
        <w:rPr>
          <w:rFonts w:ascii="Times New Roman" w:eastAsiaTheme="minorEastAsia" w:hAnsi="Times New Roman"/>
          <w:lang w:eastAsia="zh-TW"/>
        </w:rPr>
      </w:pPr>
      <w:r>
        <w:rPr>
          <w:rFonts w:ascii="Times New Roman" w:hAnsi="Times New Roman"/>
        </w:rPr>
        <w:t xml:space="preserve">Ūminė mielodinė leukemija ir mielodisplazinis sindromas (kraujo vėžio rūšys) gali pasireikšti pacientams, kuriems taikomas gydymas docetakseliu kartu su tam tikru </w:t>
      </w:r>
      <w:r w:rsidR="0069589A">
        <w:rPr>
          <w:rFonts w:ascii="Times New Roman" w:hAnsi="Times New Roman"/>
        </w:rPr>
        <w:t xml:space="preserve">kitu </w:t>
      </w:r>
      <w:r>
        <w:rPr>
          <w:rFonts w:ascii="Times New Roman" w:hAnsi="Times New Roman"/>
        </w:rPr>
        <w:t>priešvėžiniu gydymu.</w:t>
      </w:r>
    </w:p>
    <w:p w14:paraId="5A6B1A0A" w14:textId="77777777" w:rsidR="00F35BEE" w:rsidRDefault="00F35BEE" w:rsidP="00874783">
      <w:pPr>
        <w:autoSpaceDE w:val="0"/>
        <w:autoSpaceDN w:val="0"/>
        <w:adjustRightInd w:val="0"/>
        <w:spacing w:after="0" w:line="240" w:lineRule="auto"/>
        <w:rPr>
          <w:rFonts w:ascii="Times New Roman" w:hAnsi="Times New Roman"/>
        </w:rPr>
      </w:pPr>
    </w:p>
    <w:p w14:paraId="59D2E446" w14:textId="2DAA0A75" w:rsidR="00D875C0" w:rsidRDefault="00F35BEE" w:rsidP="00874783">
      <w:pPr>
        <w:autoSpaceDE w:val="0"/>
        <w:autoSpaceDN w:val="0"/>
        <w:adjustRightInd w:val="0"/>
        <w:spacing w:after="0" w:line="240" w:lineRule="auto"/>
        <w:rPr>
          <w:rFonts w:ascii="Times New Roman" w:hAnsi="Times New Roman"/>
        </w:rPr>
      </w:pPr>
      <w:r w:rsidRPr="00874783">
        <w:rPr>
          <w:rFonts w:ascii="Times New Roman" w:hAnsi="Times New Roman"/>
          <w:b/>
        </w:rPr>
        <w:t>Ret</w:t>
      </w:r>
      <w:r w:rsidR="00484C25">
        <w:rPr>
          <w:rFonts w:ascii="Times New Roman" w:hAnsi="Times New Roman"/>
          <w:b/>
        </w:rPr>
        <w:t>i</w:t>
      </w:r>
      <w:r w:rsidRPr="00874783">
        <w:rPr>
          <w:rFonts w:ascii="Times New Roman" w:hAnsi="Times New Roman"/>
          <w:b/>
        </w:rPr>
        <w:t xml:space="preserve"> šalutini</w:t>
      </w:r>
      <w:r w:rsidR="00484C25">
        <w:rPr>
          <w:rFonts w:ascii="Times New Roman" w:hAnsi="Times New Roman"/>
          <w:b/>
        </w:rPr>
        <w:t>o</w:t>
      </w:r>
      <w:r w:rsidRPr="00874783">
        <w:rPr>
          <w:rFonts w:ascii="Times New Roman" w:hAnsi="Times New Roman"/>
          <w:b/>
        </w:rPr>
        <w:t xml:space="preserve"> poveiki</w:t>
      </w:r>
      <w:r w:rsidR="00484C25">
        <w:rPr>
          <w:rFonts w:ascii="Times New Roman" w:hAnsi="Times New Roman"/>
          <w:b/>
        </w:rPr>
        <w:t>o reiškiniai</w:t>
      </w:r>
      <w:r w:rsidRPr="00F35BEE">
        <w:rPr>
          <w:rFonts w:ascii="Times New Roman" w:hAnsi="Times New Roman"/>
        </w:rPr>
        <w:t xml:space="preserve"> (gali pasireikšti </w:t>
      </w:r>
      <w:r w:rsidR="001E4347">
        <w:rPr>
          <w:rFonts w:ascii="Times New Roman" w:hAnsi="Times New Roman"/>
        </w:rPr>
        <w:t>reč</w:t>
      </w:r>
      <w:r>
        <w:rPr>
          <w:rFonts w:ascii="Times New Roman" w:hAnsi="Times New Roman"/>
        </w:rPr>
        <w:t>iau</w:t>
      </w:r>
      <w:r w:rsidRPr="00F35BEE">
        <w:rPr>
          <w:rFonts w:ascii="Times New Roman" w:hAnsi="Times New Roman"/>
        </w:rPr>
        <w:t xml:space="preserve"> kaip 1 iš 1</w:t>
      </w:r>
      <w:r w:rsidR="00484C25">
        <w:rPr>
          <w:rFonts w:ascii="Times New Roman" w:hAnsi="Times New Roman"/>
        </w:rPr>
        <w:t xml:space="preserve"> </w:t>
      </w:r>
      <w:r w:rsidRPr="00F35BEE">
        <w:rPr>
          <w:rFonts w:ascii="Times New Roman" w:hAnsi="Times New Roman"/>
        </w:rPr>
        <w:t>0</w:t>
      </w:r>
      <w:r>
        <w:rPr>
          <w:rFonts w:ascii="Times New Roman" w:hAnsi="Times New Roman"/>
        </w:rPr>
        <w:t>00</w:t>
      </w:r>
      <w:r w:rsidRPr="00F35BEE">
        <w:rPr>
          <w:rFonts w:ascii="Times New Roman" w:hAnsi="Times New Roman"/>
        </w:rPr>
        <w:t xml:space="preserve"> </w:t>
      </w:r>
      <w:r w:rsidR="00484C25">
        <w:rPr>
          <w:rFonts w:ascii="Times New Roman" w:hAnsi="Times New Roman"/>
        </w:rPr>
        <w:t>asmen</w:t>
      </w:r>
      <w:r w:rsidRPr="00F35BEE">
        <w:rPr>
          <w:rFonts w:ascii="Times New Roman" w:hAnsi="Times New Roman"/>
        </w:rPr>
        <w:t>ų).</w:t>
      </w:r>
    </w:p>
    <w:p w14:paraId="0A8C27D3" w14:textId="77777777" w:rsidR="00F35BEE" w:rsidRPr="00874783" w:rsidRDefault="00F35BEE" w:rsidP="00874783">
      <w:pPr>
        <w:pStyle w:val="Sraopastraipa"/>
        <w:numPr>
          <w:ilvl w:val="0"/>
          <w:numId w:val="27"/>
        </w:numPr>
        <w:autoSpaceDE w:val="0"/>
        <w:autoSpaceDN w:val="0"/>
        <w:adjustRightInd w:val="0"/>
        <w:spacing w:after="0" w:line="240" w:lineRule="auto"/>
        <w:rPr>
          <w:rFonts w:ascii="Times New Roman" w:hAnsi="Times New Roman"/>
        </w:rPr>
      </w:pPr>
      <w:r w:rsidRPr="00F35BEE">
        <w:rPr>
          <w:rFonts w:ascii="Times New Roman" w:hAnsi="Times New Roman"/>
        </w:rPr>
        <w:t>Storosios bei plonosios žarnų uždegimas, kuris gali būti mirtinas (dažnis nežinomas), žarnos</w:t>
      </w:r>
      <w:r>
        <w:rPr>
          <w:rFonts w:ascii="Times New Roman" w:hAnsi="Times New Roman"/>
        </w:rPr>
        <w:t xml:space="preserve"> </w:t>
      </w:r>
      <w:r w:rsidRPr="00F35BEE">
        <w:rPr>
          <w:rFonts w:ascii="Times New Roman" w:hAnsi="Times New Roman"/>
        </w:rPr>
        <w:t>prakiurimas.</w:t>
      </w:r>
    </w:p>
    <w:p w14:paraId="3DE08DB0" w14:textId="77777777" w:rsidR="00F35BEE" w:rsidRPr="007C1A06" w:rsidRDefault="00F35BEE" w:rsidP="00874783">
      <w:pPr>
        <w:autoSpaceDE w:val="0"/>
        <w:autoSpaceDN w:val="0"/>
        <w:adjustRightInd w:val="0"/>
        <w:spacing w:after="0" w:line="240" w:lineRule="auto"/>
        <w:rPr>
          <w:rFonts w:ascii="Times New Roman" w:hAnsi="Times New Roman"/>
        </w:rPr>
      </w:pPr>
    </w:p>
    <w:p w14:paraId="1FE06C1C" w14:textId="76D74D6D" w:rsidR="00484C25" w:rsidRPr="00361542" w:rsidRDefault="00484C25" w:rsidP="00361542">
      <w:pPr>
        <w:tabs>
          <w:tab w:val="left" w:pos="567"/>
        </w:tabs>
        <w:spacing w:after="0" w:line="240" w:lineRule="auto"/>
        <w:rPr>
          <w:rFonts w:ascii="Times New Roman" w:hAnsi="Times New Roman"/>
        </w:rPr>
      </w:pPr>
      <w:r w:rsidRPr="00A65E61">
        <w:rPr>
          <w:rFonts w:ascii="Times New Roman" w:eastAsia="Times New Roman" w:hAnsi="Times New Roman" w:cs="Times New Roman"/>
          <w:b/>
          <w:bCs/>
        </w:rPr>
        <w:t xml:space="preserve">Šalutinio poveikio reiškiniai, kurių dažnis nežinomas </w:t>
      </w:r>
      <w:r w:rsidRPr="00361542">
        <w:rPr>
          <w:rFonts w:ascii="Times New Roman" w:hAnsi="Times New Roman"/>
          <w:b/>
        </w:rPr>
        <w:t>(negali būti apskaičiuotas pagal turimus duomenis</w:t>
      </w:r>
      <w:r w:rsidRPr="00A65E61">
        <w:rPr>
          <w:rFonts w:ascii="Times New Roman" w:eastAsia="Times New Roman" w:hAnsi="Times New Roman" w:cs="Times New Roman"/>
          <w:b/>
          <w:bCs/>
        </w:rPr>
        <w:t>):</w:t>
      </w:r>
    </w:p>
    <w:p w14:paraId="5AE0929F" w14:textId="7FA0247E" w:rsidR="00544DE9" w:rsidRDefault="00484C25" w:rsidP="00361542">
      <w:pPr>
        <w:tabs>
          <w:tab w:val="left" w:pos="567"/>
        </w:tabs>
        <w:spacing w:after="0" w:line="240" w:lineRule="auto"/>
        <w:rPr>
          <w:rFonts w:ascii="Times New Roman" w:hAnsi="Times New Roman" w:cs="Times New Roman"/>
        </w:rPr>
      </w:pPr>
      <w:r>
        <w:rPr>
          <w:rFonts w:ascii="Times New Roman" w:hAnsi="Times New Roman"/>
        </w:rPr>
        <w:tab/>
      </w:r>
      <w:r w:rsidR="00D875C0" w:rsidRPr="004E3CD5">
        <w:rPr>
          <w:rFonts w:ascii="Times New Roman" w:hAnsi="Times New Roman"/>
        </w:rPr>
        <w:t>Intersticin</w:t>
      </w:r>
      <w:r w:rsidR="00D875C0" w:rsidRPr="004E3CD5">
        <w:rPr>
          <w:rFonts w:ascii="Times New Roman" w:hAnsi="Times New Roman" w:hint="eastAsia"/>
        </w:rPr>
        <w:t>ė</w:t>
      </w:r>
      <w:r w:rsidR="00D875C0" w:rsidRPr="004E3CD5">
        <w:rPr>
          <w:rFonts w:ascii="Times New Roman" w:hAnsi="Times New Roman"/>
        </w:rPr>
        <w:t xml:space="preserve"> plau</w:t>
      </w:r>
      <w:r w:rsidR="00D875C0" w:rsidRPr="004E3CD5">
        <w:rPr>
          <w:rFonts w:ascii="Times New Roman" w:hAnsi="Times New Roman" w:hint="eastAsia"/>
        </w:rPr>
        <w:t>č</w:t>
      </w:r>
      <w:r w:rsidR="00D875C0" w:rsidRPr="004E3CD5">
        <w:rPr>
          <w:rFonts w:ascii="Times New Roman" w:hAnsi="Times New Roman"/>
        </w:rPr>
        <w:t>i</w:t>
      </w:r>
      <w:r w:rsidR="00D875C0" w:rsidRPr="004E3CD5">
        <w:rPr>
          <w:rFonts w:ascii="Times New Roman" w:hAnsi="Times New Roman" w:hint="eastAsia"/>
        </w:rPr>
        <w:t>ų</w:t>
      </w:r>
      <w:r w:rsidR="00D875C0" w:rsidRPr="004E3CD5">
        <w:rPr>
          <w:rFonts w:ascii="Times New Roman" w:hAnsi="Times New Roman"/>
        </w:rPr>
        <w:t xml:space="preserve"> liga (plau</w:t>
      </w:r>
      <w:r w:rsidR="00D875C0" w:rsidRPr="004E3CD5">
        <w:rPr>
          <w:rFonts w:ascii="Times New Roman" w:hAnsi="Times New Roman" w:hint="eastAsia"/>
        </w:rPr>
        <w:t>č</w:t>
      </w:r>
      <w:r w:rsidR="00D875C0" w:rsidRPr="004E3CD5">
        <w:rPr>
          <w:rFonts w:ascii="Times New Roman" w:hAnsi="Times New Roman"/>
        </w:rPr>
        <w:t>i</w:t>
      </w:r>
      <w:r w:rsidR="00D875C0" w:rsidRPr="004E3CD5">
        <w:rPr>
          <w:rFonts w:ascii="Times New Roman" w:hAnsi="Times New Roman" w:hint="eastAsia"/>
        </w:rPr>
        <w:t>ų</w:t>
      </w:r>
      <w:r w:rsidR="00D875C0" w:rsidRPr="004E3CD5">
        <w:rPr>
          <w:rFonts w:ascii="Times New Roman" w:hAnsi="Times New Roman"/>
        </w:rPr>
        <w:t xml:space="preserve"> uždegimas pasireiškiantis kosuliu ir dusuliu. Plau</w:t>
      </w:r>
      <w:r w:rsidR="00D875C0" w:rsidRPr="004E3CD5">
        <w:rPr>
          <w:rFonts w:ascii="Times New Roman" w:hAnsi="Times New Roman" w:hint="eastAsia"/>
        </w:rPr>
        <w:t>č</w:t>
      </w:r>
      <w:r w:rsidR="00D875C0" w:rsidRPr="004E3CD5">
        <w:rPr>
          <w:rFonts w:ascii="Times New Roman" w:hAnsi="Times New Roman"/>
        </w:rPr>
        <w:t>i</w:t>
      </w:r>
      <w:r w:rsidR="00D875C0" w:rsidRPr="004E3CD5">
        <w:rPr>
          <w:rFonts w:ascii="Times New Roman" w:hAnsi="Times New Roman" w:hint="eastAsia"/>
        </w:rPr>
        <w:t>ų</w:t>
      </w:r>
      <w:r w:rsidR="00D875C0" w:rsidRPr="004E3CD5">
        <w:rPr>
          <w:rFonts w:ascii="Times New Roman" w:hAnsi="Times New Roman"/>
        </w:rPr>
        <w:t xml:space="preserve"> </w:t>
      </w:r>
    </w:p>
    <w:p w14:paraId="7465B20E" w14:textId="77777777" w:rsidR="00D875C0" w:rsidRPr="001F2C46" w:rsidRDefault="00D875C0" w:rsidP="004E3CD5">
      <w:pPr>
        <w:pStyle w:val="Sraopastraipa"/>
        <w:tabs>
          <w:tab w:val="left" w:pos="709"/>
        </w:tabs>
        <w:autoSpaceDE w:val="0"/>
        <w:autoSpaceDN w:val="0"/>
        <w:adjustRightInd w:val="0"/>
        <w:spacing w:after="0" w:line="240" w:lineRule="auto"/>
        <w:ind w:left="426" w:firstLine="283"/>
        <w:rPr>
          <w:rFonts w:ascii="Times New Roman" w:hAnsi="Times New Roman"/>
        </w:rPr>
      </w:pPr>
      <w:r w:rsidRPr="004E3CD5">
        <w:rPr>
          <w:rFonts w:ascii="Times New Roman" w:hAnsi="Times New Roman"/>
        </w:rPr>
        <w:t>uždegimas gali atsirasti kartu vartojant docetakselio ir spindulin</w:t>
      </w:r>
      <w:r w:rsidRPr="004E3CD5">
        <w:rPr>
          <w:rFonts w:ascii="Times New Roman" w:hAnsi="Times New Roman" w:hint="eastAsia"/>
        </w:rPr>
        <w:t>į</w:t>
      </w:r>
      <w:r w:rsidRPr="004E3CD5">
        <w:rPr>
          <w:rFonts w:ascii="Times New Roman" w:hAnsi="Times New Roman"/>
        </w:rPr>
        <w:t xml:space="preserve"> gydym</w:t>
      </w:r>
      <w:r w:rsidRPr="004E3CD5">
        <w:rPr>
          <w:rFonts w:ascii="Times New Roman" w:hAnsi="Times New Roman" w:hint="eastAsia"/>
        </w:rPr>
        <w:t>ą</w:t>
      </w:r>
      <w:r w:rsidRPr="004E3CD5">
        <w:rPr>
          <w:rFonts w:ascii="Times New Roman" w:hAnsi="Times New Roman"/>
        </w:rPr>
        <w:t>)</w:t>
      </w:r>
      <w:r w:rsidRPr="00F95B76">
        <w:rPr>
          <w:rFonts w:ascii="Times New Roman" w:hAnsi="Times New Roman"/>
        </w:rPr>
        <w:t>.</w:t>
      </w:r>
    </w:p>
    <w:p w14:paraId="7C6CAA2F" w14:textId="77777777" w:rsidR="00D875C0" w:rsidRPr="004E3CD5" w:rsidRDefault="00D875C0" w:rsidP="004E3CD5">
      <w:pPr>
        <w:pStyle w:val="Sraopastraipa"/>
        <w:numPr>
          <w:ilvl w:val="0"/>
          <w:numId w:val="24"/>
        </w:numPr>
        <w:tabs>
          <w:tab w:val="left" w:pos="709"/>
        </w:tabs>
        <w:autoSpaceDE w:val="0"/>
        <w:autoSpaceDN w:val="0"/>
        <w:adjustRightInd w:val="0"/>
        <w:spacing w:after="0" w:line="240" w:lineRule="auto"/>
        <w:ind w:firstLine="66"/>
        <w:rPr>
          <w:rFonts w:ascii="Times New Roman" w:hAnsi="Times New Roman"/>
        </w:rPr>
      </w:pPr>
      <w:r w:rsidRPr="004E3CD5">
        <w:rPr>
          <w:rFonts w:ascii="Times New Roman" w:hAnsi="Times New Roman"/>
        </w:rPr>
        <w:t>Pneumonija (infekcin</w:t>
      </w:r>
      <w:r w:rsidRPr="004E3CD5">
        <w:rPr>
          <w:rFonts w:ascii="Times New Roman" w:hAnsi="Times New Roman" w:hint="eastAsia"/>
        </w:rPr>
        <w:t>ė</w:t>
      </w:r>
      <w:r w:rsidRPr="004E3CD5">
        <w:rPr>
          <w:rFonts w:ascii="Times New Roman" w:hAnsi="Times New Roman"/>
        </w:rPr>
        <w:t xml:space="preserve"> plau</w:t>
      </w:r>
      <w:r w:rsidRPr="004E3CD5">
        <w:rPr>
          <w:rFonts w:ascii="Times New Roman" w:hAnsi="Times New Roman" w:hint="eastAsia"/>
        </w:rPr>
        <w:t>č</w:t>
      </w:r>
      <w:r w:rsidRPr="004E3CD5">
        <w:rPr>
          <w:rFonts w:ascii="Times New Roman" w:hAnsi="Times New Roman"/>
        </w:rPr>
        <w:t>i</w:t>
      </w:r>
      <w:r w:rsidRPr="004E3CD5">
        <w:rPr>
          <w:rFonts w:ascii="Times New Roman" w:hAnsi="Times New Roman" w:hint="eastAsia"/>
        </w:rPr>
        <w:t>ų</w:t>
      </w:r>
      <w:r w:rsidRPr="004E3CD5">
        <w:rPr>
          <w:rFonts w:ascii="Times New Roman" w:hAnsi="Times New Roman"/>
        </w:rPr>
        <w:t xml:space="preserve"> liga).</w:t>
      </w:r>
    </w:p>
    <w:p w14:paraId="6FC9CAE0" w14:textId="77777777" w:rsidR="00D875C0" w:rsidRPr="004E3CD5" w:rsidRDefault="00D875C0" w:rsidP="004E3CD5">
      <w:pPr>
        <w:pStyle w:val="Sraopastraipa"/>
        <w:numPr>
          <w:ilvl w:val="0"/>
          <w:numId w:val="24"/>
        </w:numPr>
        <w:tabs>
          <w:tab w:val="left" w:pos="709"/>
        </w:tabs>
        <w:autoSpaceDE w:val="0"/>
        <w:autoSpaceDN w:val="0"/>
        <w:adjustRightInd w:val="0"/>
        <w:spacing w:after="0" w:line="240" w:lineRule="auto"/>
        <w:ind w:firstLine="66"/>
        <w:rPr>
          <w:rFonts w:ascii="Times New Roman" w:hAnsi="Times New Roman"/>
        </w:rPr>
      </w:pPr>
      <w:r w:rsidRPr="004E3CD5">
        <w:rPr>
          <w:rFonts w:ascii="Times New Roman" w:hAnsi="Times New Roman"/>
        </w:rPr>
        <w:t>Plau</w:t>
      </w:r>
      <w:r w:rsidRPr="004E3CD5">
        <w:rPr>
          <w:rFonts w:ascii="Times New Roman" w:hAnsi="Times New Roman" w:hint="eastAsia"/>
        </w:rPr>
        <w:t>č</w:t>
      </w:r>
      <w:r w:rsidRPr="004E3CD5">
        <w:rPr>
          <w:rFonts w:ascii="Times New Roman" w:hAnsi="Times New Roman"/>
        </w:rPr>
        <w:t>i</w:t>
      </w:r>
      <w:r w:rsidRPr="004E3CD5">
        <w:rPr>
          <w:rFonts w:ascii="Times New Roman" w:hAnsi="Times New Roman" w:hint="eastAsia"/>
        </w:rPr>
        <w:t>ų</w:t>
      </w:r>
      <w:r w:rsidRPr="004E3CD5">
        <w:rPr>
          <w:rFonts w:ascii="Times New Roman" w:hAnsi="Times New Roman"/>
        </w:rPr>
        <w:t xml:space="preserve"> fibroz</w:t>
      </w:r>
      <w:r w:rsidRPr="004E3CD5">
        <w:rPr>
          <w:rFonts w:ascii="Times New Roman" w:hAnsi="Times New Roman" w:hint="eastAsia"/>
        </w:rPr>
        <w:t>ė</w:t>
      </w:r>
      <w:r w:rsidRPr="004E3CD5">
        <w:rPr>
          <w:rFonts w:ascii="Times New Roman" w:hAnsi="Times New Roman"/>
        </w:rPr>
        <w:t xml:space="preserve"> (plau</w:t>
      </w:r>
      <w:r w:rsidRPr="004E3CD5">
        <w:rPr>
          <w:rFonts w:ascii="Times New Roman" w:hAnsi="Times New Roman" w:hint="eastAsia"/>
        </w:rPr>
        <w:t>č</w:t>
      </w:r>
      <w:r w:rsidRPr="004E3CD5">
        <w:rPr>
          <w:rFonts w:ascii="Times New Roman" w:hAnsi="Times New Roman"/>
        </w:rPr>
        <w:t>i</w:t>
      </w:r>
      <w:r w:rsidRPr="004E3CD5">
        <w:rPr>
          <w:rFonts w:ascii="Times New Roman" w:hAnsi="Times New Roman" w:hint="eastAsia"/>
        </w:rPr>
        <w:t>ų</w:t>
      </w:r>
      <w:r w:rsidRPr="004E3CD5">
        <w:rPr>
          <w:rFonts w:ascii="Times New Roman" w:hAnsi="Times New Roman"/>
        </w:rPr>
        <w:t xml:space="preserve"> rand</w:t>
      </w:r>
      <w:r w:rsidRPr="004E3CD5">
        <w:rPr>
          <w:rFonts w:ascii="Times New Roman" w:hAnsi="Times New Roman" w:hint="eastAsia"/>
        </w:rPr>
        <w:t>ė</w:t>
      </w:r>
      <w:r w:rsidRPr="004E3CD5">
        <w:rPr>
          <w:rFonts w:ascii="Times New Roman" w:hAnsi="Times New Roman"/>
        </w:rPr>
        <w:t>jimas ir stor</w:t>
      </w:r>
      <w:r w:rsidRPr="004E3CD5">
        <w:rPr>
          <w:rFonts w:ascii="Times New Roman" w:hAnsi="Times New Roman" w:hint="eastAsia"/>
        </w:rPr>
        <w:t>ė</w:t>
      </w:r>
      <w:r w:rsidRPr="004E3CD5">
        <w:rPr>
          <w:rFonts w:ascii="Times New Roman" w:hAnsi="Times New Roman"/>
        </w:rPr>
        <w:t>jimas pasireiškiantis dusuliu).</w:t>
      </w:r>
    </w:p>
    <w:p w14:paraId="2B78F2AE" w14:textId="77777777" w:rsidR="00D875C0" w:rsidRPr="004E3CD5" w:rsidRDefault="00D875C0" w:rsidP="004E3CD5">
      <w:pPr>
        <w:pStyle w:val="Sraopastraipa"/>
        <w:numPr>
          <w:ilvl w:val="0"/>
          <w:numId w:val="24"/>
        </w:numPr>
        <w:tabs>
          <w:tab w:val="left" w:pos="709"/>
        </w:tabs>
        <w:autoSpaceDE w:val="0"/>
        <w:autoSpaceDN w:val="0"/>
        <w:adjustRightInd w:val="0"/>
        <w:spacing w:after="0" w:line="240" w:lineRule="auto"/>
        <w:ind w:firstLine="66"/>
        <w:rPr>
          <w:rFonts w:ascii="Times New Roman" w:hAnsi="Times New Roman"/>
        </w:rPr>
      </w:pPr>
      <w:r w:rsidRPr="004E3CD5">
        <w:rPr>
          <w:rFonts w:ascii="Times New Roman" w:hAnsi="Times New Roman"/>
        </w:rPr>
        <w:t>Neaiškus matymas atsirad</w:t>
      </w:r>
      <w:r w:rsidRPr="004E3CD5">
        <w:rPr>
          <w:rFonts w:ascii="Times New Roman" w:hAnsi="Times New Roman" w:hint="eastAsia"/>
        </w:rPr>
        <w:t>ę</w:t>
      </w:r>
      <w:r w:rsidRPr="004E3CD5">
        <w:rPr>
          <w:rFonts w:ascii="Times New Roman" w:hAnsi="Times New Roman"/>
        </w:rPr>
        <w:t>s d</w:t>
      </w:r>
      <w:r w:rsidRPr="004E3CD5">
        <w:rPr>
          <w:rFonts w:ascii="Times New Roman" w:hAnsi="Times New Roman" w:hint="eastAsia"/>
        </w:rPr>
        <w:t>ė</w:t>
      </w:r>
      <w:r w:rsidRPr="004E3CD5">
        <w:rPr>
          <w:rFonts w:ascii="Times New Roman" w:hAnsi="Times New Roman"/>
        </w:rPr>
        <w:t>l tinklain</w:t>
      </w:r>
      <w:r w:rsidRPr="004E3CD5">
        <w:rPr>
          <w:rFonts w:ascii="Times New Roman" w:hAnsi="Times New Roman" w:hint="eastAsia"/>
        </w:rPr>
        <w:t>ė</w:t>
      </w:r>
      <w:r w:rsidRPr="004E3CD5">
        <w:rPr>
          <w:rFonts w:ascii="Times New Roman" w:hAnsi="Times New Roman"/>
        </w:rPr>
        <w:t>s patinimo akyje (cistin</w:t>
      </w:r>
      <w:r w:rsidRPr="004E3CD5">
        <w:rPr>
          <w:rFonts w:ascii="Times New Roman" w:hAnsi="Times New Roman" w:hint="eastAsia"/>
        </w:rPr>
        <w:t>ė</w:t>
      </w:r>
      <w:r w:rsidRPr="004E3CD5">
        <w:rPr>
          <w:rFonts w:ascii="Times New Roman" w:hAnsi="Times New Roman"/>
        </w:rPr>
        <w:t xml:space="preserve"> geltonosios d</w:t>
      </w:r>
      <w:r w:rsidRPr="004E3CD5">
        <w:rPr>
          <w:rFonts w:ascii="Times New Roman" w:hAnsi="Times New Roman" w:hint="eastAsia"/>
        </w:rPr>
        <w:t>ė</w:t>
      </w:r>
      <w:r w:rsidRPr="004E3CD5">
        <w:rPr>
          <w:rFonts w:ascii="Times New Roman" w:hAnsi="Times New Roman"/>
        </w:rPr>
        <w:t>m</w:t>
      </w:r>
      <w:r w:rsidRPr="004E3CD5">
        <w:rPr>
          <w:rFonts w:ascii="Times New Roman" w:hAnsi="Times New Roman" w:hint="eastAsia"/>
        </w:rPr>
        <w:t>ė</w:t>
      </w:r>
      <w:r w:rsidRPr="004E3CD5">
        <w:rPr>
          <w:rFonts w:ascii="Times New Roman" w:hAnsi="Times New Roman"/>
        </w:rPr>
        <w:t>s edema).</w:t>
      </w:r>
    </w:p>
    <w:p w14:paraId="5A02C810" w14:textId="77777777" w:rsidR="00D875C0" w:rsidRPr="00FB5C4B" w:rsidRDefault="00D875C0" w:rsidP="00874783">
      <w:pPr>
        <w:numPr>
          <w:ilvl w:val="0"/>
          <w:numId w:val="11"/>
        </w:numPr>
        <w:autoSpaceDE w:val="0"/>
        <w:autoSpaceDN w:val="0"/>
        <w:adjustRightInd w:val="0"/>
        <w:spacing w:after="0" w:line="240" w:lineRule="auto"/>
        <w:ind w:hanging="294"/>
        <w:rPr>
          <w:rFonts w:ascii="Times New Roman" w:eastAsia="Times New Roman" w:hAnsi="Times New Roman" w:cs="Times New Roman"/>
          <w:lang w:eastAsia="zh-TW"/>
        </w:rPr>
      </w:pPr>
      <w:r w:rsidRPr="004E3CD5">
        <w:rPr>
          <w:rFonts w:ascii="Times New Roman" w:hAnsi="Times New Roman"/>
        </w:rPr>
        <w:t>Natrio</w:t>
      </w:r>
      <w:r w:rsidR="000827DB" w:rsidRPr="000827DB">
        <w:rPr>
          <w:rFonts w:ascii="Times New Roman" w:hAnsi="Times New Roman" w:cs="Times New Roman"/>
        </w:rPr>
        <w:t>, kalio, magnio ir (arba) kalcio</w:t>
      </w:r>
      <w:r w:rsidRPr="004E3CD5">
        <w:rPr>
          <w:rFonts w:ascii="Times New Roman" w:hAnsi="Times New Roman"/>
        </w:rPr>
        <w:t xml:space="preserve"> kiekio sumaž</w:t>
      </w:r>
      <w:r w:rsidRPr="004E3CD5">
        <w:rPr>
          <w:rFonts w:ascii="Times New Roman" w:hAnsi="Times New Roman" w:hint="eastAsia"/>
        </w:rPr>
        <w:t>ė</w:t>
      </w:r>
      <w:r w:rsidRPr="004E3CD5">
        <w:rPr>
          <w:rFonts w:ascii="Times New Roman" w:hAnsi="Times New Roman"/>
        </w:rPr>
        <w:t>jimas kraujyje</w:t>
      </w:r>
      <w:r w:rsidR="000827DB" w:rsidRPr="000827DB">
        <w:rPr>
          <w:rFonts w:ascii="Times New Roman" w:hAnsi="Times New Roman" w:cs="Times New Roman"/>
        </w:rPr>
        <w:t xml:space="preserve"> (elektrolitų pusiausvyros sutrikimas)</w:t>
      </w:r>
      <w:r w:rsidRPr="000827DB">
        <w:rPr>
          <w:rFonts w:ascii="Times New Roman" w:eastAsia="Times New Roman" w:hAnsi="Times New Roman" w:cs="Times New Roman"/>
        </w:rPr>
        <w:t>.</w:t>
      </w:r>
    </w:p>
    <w:p w14:paraId="37C1F943" w14:textId="77777777" w:rsidR="000827DB" w:rsidRPr="00F95B76" w:rsidRDefault="000827DB" w:rsidP="00874783">
      <w:pPr>
        <w:pStyle w:val="Sraopastraipa"/>
        <w:numPr>
          <w:ilvl w:val="0"/>
          <w:numId w:val="11"/>
        </w:numPr>
        <w:autoSpaceDE w:val="0"/>
        <w:autoSpaceDN w:val="0"/>
        <w:adjustRightInd w:val="0"/>
        <w:spacing w:after="0" w:line="240" w:lineRule="auto"/>
        <w:ind w:hanging="294"/>
        <w:rPr>
          <w:rFonts w:ascii="Times New Roman" w:hAnsi="Times New Roman"/>
        </w:rPr>
      </w:pPr>
      <w:r w:rsidRPr="000827DB">
        <w:rPr>
          <w:rFonts w:ascii="Times New Roman" w:eastAsia="Times New Roman" w:hAnsi="Times New Roman" w:cs="Times New Roman"/>
        </w:rPr>
        <w:t xml:space="preserve">Skilvelių </w:t>
      </w:r>
      <w:r w:rsidR="00083798" w:rsidRPr="00327F03">
        <w:rPr>
          <w:rFonts w:ascii="Times New Roman" w:eastAsia="Times New Roman" w:hAnsi="Times New Roman" w:cs="Times New Roman"/>
        </w:rPr>
        <w:t>aritmija ar skilvelių tachikardija (pasireiškianti neritmišku ir (ar) dažnu širdies plakimu, sunkiu dusuliu, svaiguliu ir (arba) apalpimu). Kai kurie iš šių simptomų gali būti sunkūs. Jei toks poveikis pasireiškia, būtina nedelsiant kreiptis į gydytoją</w:t>
      </w:r>
      <w:r w:rsidRPr="004E3CD5">
        <w:rPr>
          <w:rFonts w:ascii="Times New Roman" w:hAnsi="Times New Roman"/>
        </w:rPr>
        <w:t>.</w:t>
      </w:r>
    </w:p>
    <w:p w14:paraId="278444F3" w14:textId="77777777" w:rsidR="00B4376E" w:rsidRDefault="00B4376E" w:rsidP="004E3CD5">
      <w:pPr>
        <w:pStyle w:val="Sraopastraipa"/>
        <w:numPr>
          <w:ilvl w:val="0"/>
          <w:numId w:val="24"/>
        </w:numPr>
        <w:tabs>
          <w:tab w:val="left" w:pos="709"/>
        </w:tabs>
        <w:autoSpaceDE w:val="0"/>
        <w:autoSpaceDN w:val="0"/>
        <w:adjustRightInd w:val="0"/>
        <w:spacing w:after="0" w:line="240" w:lineRule="auto"/>
        <w:ind w:firstLine="66"/>
        <w:rPr>
          <w:rFonts w:ascii="Times New Roman" w:hAnsi="Times New Roman"/>
        </w:rPr>
      </w:pPr>
      <w:r w:rsidRPr="001F2C46">
        <w:rPr>
          <w:rFonts w:ascii="Times New Roman" w:hAnsi="Times New Roman"/>
        </w:rPr>
        <w:t>I</w:t>
      </w:r>
      <w:r w:rsidRPr="004E3CD5">
        <w:rPr>
          <w:rFonts w:ascii="Times New Roman" w:hAnsi="Times New Roman"/>
        </w:rPr>
        <w:t>njekcijos vietos reakcija ankstesn</w:t>
      </w:r>
      <w:r w:rsidRPr="004E3CD5">
        <w:rPr>
          <w:rFonts w:ascii="Times New Roman" w:hAnsi="Times New Roman" w:hint="eastAsia"/>
        </w:rPr>
        <w:t>ė</w:t>
      </w:r>
      <w:r w:rsidRPr="004E3CD5">
        <w:rPr>
          <w:rFonts w:ascii="Times New Roman" w:hAnsi="Times New Roman"/>
        </w:rPr>
        <w:t>s reakcijos vietoje</w:t>
      </w:r>
      <w:r w:rsidR="005065A1" w:rsidRPr="004E3CD5">
        <w:rPr>
          <w:rFonts w:ascii="Times New Roman" w:hAnsi="Times New Roman"/>
        </w:rPr>
        <w:t>.</w:t>
      </w:r>
    </w:p>
    <w:p w14:paraId="1855EE4E" w14:textId="77777777" w:rsidR="000108D9" w:rsidRDefault="000108D9" w:rsidP="00874783">
      <w:pPr>
        <w:pStyle w:val="Sraopastraipa"/>
        <w:numPr>
          <w:ilvl w:val="0"/>
          <w:numId w:val="24"/>
        </w:numPr>
        <w:ind w:left="709" w:hanging="283"/>
        <w:rPr>
          <w:rFonts w:ascii="Times New Roman" w:hAnsi="Times New Roman"/>
        </w:rPr>
      </w:pPr>
      <w:r>
        <w:rPr>
          <w:rFonts w:ascii="Times New Roman" w:hAnsi="Times New Roman"/>
        </w:rPr>
        <w:t>Ne Hodžkino limfoma (</w:t>
      </w:r>
      <w:r w:rsidR="0069589A">
        <w:rPr>
          <w:rFonts w:ascii="Times New Roman" w:hAnsi="Times New Roman"/>
        </w:rPr>
        <w:t>imuninę sistemą paveikiantis vėžys)</w:t>
      </w:r>
      <w:r w:rsidRPr="000108D9">
        <w:rPr>
          <w:rFonts w:ascii="Times New Roman" w:hAnsi="Times New Roman"/>
        </w:rPr>
        <w:t xml:space="preserve"> ir </w:t>
      </w:r>
      <w:r w:rsidR="0069589A">
        <w:rPr>
          <w:rFonts w:ascii="Times New Roman" w:hAnsi="Times New Roman"/>
        </w:rPr>
        <w:t>kitų rūšių vėžys</w:t>
      </w:r>
      <w:r w:rsidRPr="000108D9">
        <w:rPr>
          <w:rFonts w:ascii="Times New Roman" w:hAnsi="Times New Roman"/>
        </w:rPr>
        <w:t xml:space="preserve"> gali pasireikšti pacientams, kuriems taikomas gydymas docetakseliu kartu su tam tikru </w:t>
      </w:r>
      <w:r w:rsidR="0069589A">
        <w:rPr>
          <w:rFonts w:ascii="Times New Roman" w:hAnsi="Times New Roman"/>
        </w:rPr>
        <w:t xml:space="preserve">kitu </w:t>
      </w:r>
      <w:r w:rsidRPr="000108D9">
        <w:rPr>
          <w:rFonts w:ascii="Times New Roman" w:hAnsi="Times New Roman"/>
        </w:rPr>
        <w:t xml:space="preserve">priešvėžiniu gydymu. </w:t>
      </w:r>
    </w:p>
    <w:p w14:paraId="33A3D983" w14:textId="77777777" w:rsidR="000125C2" w:rsidRPr="00F54C45" w:rsidRDefault="00001337" w:rsidP="00F54C45">
      <w:pPr>
        <w:pStyle w:val="Sraopastraipa"/>
        <w:autoSpaceDE w:val="0"/>
        <w:autoSpaceDN w:val="0"/>
        <w:adjustRightInd w:val="0"/>
        <w:spacing w:after="0" w:line="240" w:lineRule="auto"/>
        <w:rPr>
          <w:rFonts w:ascii="Times New Roman" w:eastAsia="Times New Roman" w:hAnsi="Times New Roman" w:cs="Times New Roman"/>
        </w:rPr>
      </w:pPr>
      <w:r w:rsidRPr="00F54C45">
        <w:rPr>
          <w:rFonts w:ascii="Times New Roman" w:eastAsia="Times New Roman" w:hAnsi="Times New Roman" w:cs="Times New Roman"/>
        </w:rPr>
        <w:t>Stivenso-Džonsono (Stevens-Johnson) sindromas (SJS) ir toksinė epidermio nekrolizė (TEN)</w:t>
      </w:r>
      <w:r w:rsidR="00E25617">
        <w:rPr>
          <w:rFonts w:ascii="Times New Roman" w:eastAsia="Times New Roman" w:hAnsi="Times New Roman" w:cs="Times New Roman"/>
        </w:rPr>
        <w:t xml:space="preserve"> </w:t>
      </w:r>
      <w:r w:rsidR="000125C2" w:rsidRPr="00F54C45">
        <w:rPr>
          <w:rFonts w:ascii="TimesNewRomanPSMT" w:eastAsia="TimesNewRomanPSMT" w:hAnsi="Arial" w:cs="TimesNewRomanPSMT"/>
        </w:rPr>
        <w:t>(</w:t>
      </w:r>
      <w:r w:rsidR="000125C2" w:rsidRPr="00F54C45">
        <w:rPr>
          <w:rFonts w:ascii="Times New Roman" w:eastAsia="Times New Roman" w:hAnsi="Times New Roman" w:cs="Times New Roman"/>
        </w:rPr>
        <w:t>pūslių atsiradimas, lupimasis ar kraujavimas bet kurioje odos vietoje (įskaitant lūpas, akis,</w:t>
      </w:r>
      <w:r w:rsidR="00E25617">
        <w:rPr>
          <w:rFonts w:ascii="Times New Roman" w:eastAsia="Times New Roman" w:hAnsi="Times New Roman" w:cs="Times New Roman"/>
        </w:rPr>
        <w:t xml:space="preserve"> </w:t>
      </w:r>
      <w:r w:rsidR="000125C2" w:rsidRPr="00F54C45">
        <w:rPr>
          <w:rFonts w:ascii="Times New Roman" w:eastAsia="Times New Roman" w:hAnsi="Times New Roman" w:cs="Times New Roman"/>
        </w:rPr>
        <w:t>burną, nosį, lytinius organus, plaštakas ar pėdas) su išbėrimu arba be jo. Be to, tuo pat metu gali</w:t>
      </w:r>
      <w:r w:rsidR="000125C2">
        <w:rPr>
          <w:rFonts w:ascii="Times New Roman" w:eastAsia="Times New Roman" w:hAnsi="Times New Roman" w:cs="Times New Roman"/>
        </w:rPr>
        <w:t xml:space="preserve"> </w:t>
      </w:r>
      <w:r w:rsidR="000125C2" w:rsidRPr="00F54C45">
        <w:rPr>
          <w:rFonts w:ascii="Times New Roman" w:eastAsia="Times New Roman" w:hAnsi="Times New Roman" w:cs="Times New Roman"/>
        </w:rPr>
        <w:t>atsirasti į gripą panašių simptomų, tokių kaip karščiavimas, šaltkrėtis ar raumenų</w:t>
      </w:r>
      <w:r w:rsidR="000125C2" w:rsidRPr="000125C2">
        <w:rPr>
          <w:rFonts w:ascii="Times New Roman" w:eastAsia="Times New Roman" w:hAnsi="Times New Roman" w:cs="Times New Roman"/>
        </w:rPr>
        <w:t xml:space="preserve"> </w:t>
      </w:r>
      <w:r w:rsidR="000125C2" w:rsidRPr="00F54C45">
        <w:rPr>
          <w:rFonts w:ascii="Times New Roman" w:eastAsia="Times New Roman" w:hAnsi="Times New Roman" w:cs="Times New Roman"/>
        </w:rPr>
        <w:t>maudimas.</w:t>
      </w:r>
    </w:p>
    <w:p w14:paraId="2FDC52C1" w14:textId="77777777" w:rsidR="00001337" w:rsidRDefault="000125C2" w:rsidP="0042227D">
      <w:pPr>
        <w:pStyle w:val="Sraopastraipa"/>
        <w:numPr>
          <w:ilvl w:val="0"/>
          <w:numId w:val="11"/>
        </w:numPr>
        <w:autoSpaceDE w:val="0"/>
        <w:autoSpaceDN w:val="0"/>
        <w:adjustRightInd w:val="0"/>
        <w:spacing w:after="0" w:line="240" w:lineRule="auto"/>
        <w:ind w:hanging="294"/>
        <w:rPr>
          <w:rFonts w:ascii="Times New Roman" w:eastAsia="Times New Roman" w:hAnsi="Times New Roman" w:cs="Times New Roman"/>
        </w:rPr>
      </w:pPr>
      <w:r w:rsidRPr="00F54C45">
        <w:rPr>
          <w:rFonts w:ascii="Times New Roman" w:eastAsia="Times New Roman" w:hAnsi="Times New Roman" w:cs="Times New Roman"/>
        </w:rPr>
        <w:t xml:space="preserve"> Ūminė išplitusi egzanteminė pustuliozė (angl. AGEP) (išplitęs išbėrimas raudonomis</w:t>
      </w:r>
      <w:r w:rsidR="00E25617">
        <w:rPr>
          <w:rFonts w:ascii="Times New Roman" w:eastAsia="Times New Roman" w:hAnsi="Times New Roman" w:cs="Times New Roman"/>
        </w:rPr>
        <w:t xml:space="preserve"> </w:t>
      </w:r>
      <w:r w:rsidRPr="00F54C45">
        <w:rPr>
          <w:rFonts w:ascii="Times New Roman" w:eastAsia="Times New Roman" w:hAnsi="Times New Roman" w:cs="Times New Roman"/>
        </w:rPr>
        <w:t>pleiskanotomis dėmėmis su gumbais po ištinusia oda (įskaitant odos raukšles, liemenį ir rankas)</w:t>
      </w:r>
      <w:r w:rsidRPr="00502ADB">
        <w:rPr>
          <w:rFonts w:ascii="Times New Roman" w:eastAsia="Times New Roman" w:hAnsi="Times New Roman" w:cs="Times New Roman"/>
        </w:rPr>
        <w:t xml:space="preserve"> </w:t>
      </w:r>
      <w:r w:rsidRPr="00F54C45">
        <w:rPr>
          <w:rFonts w:ascii="Times New Roman" w:eastAsia="Times New Roman" w:hAnsi="Times New Roman" w:cs="Times New Roman"/>
        </w:rPr>
        <w:t>ir pūslės kartu su karščiavimu).</w:t>
      </w:r>
    </w:p>
    <w:p w14:paraId="325F79A0" w14:textId="77777777" w:rsidR="001B5BC0" w:rsidRPr="00502ADB" w:rsidRDefault="001B5BC0" w:rsidP="00502ADB">
      <w:pPr>
        <w:pStyle w:val="Sraopastraipa"/>
        <w:numPr>
          <w:ilvl w:val="0"/>
          <w:numId w:val="11"/>
        </w:numPr>
        <w:autoSpaceDE w:val="0"/>
        <w:autoSpaceDN w:val="0"/>
        <w:adjustRightInd w:val="0"/>
        <w:spacing w:after="0" w:line="240" w:lineRule="auto"/>
        <w:rPr>
          <w:rFonts w:ascii="Times New Roman" w:eastAsia="Times New Roman" w:hAnsi="Times New Roman" w:cs="Times New Roman"/>
        </w:rPr>
      </w:pPr>
      <w:r w:rsidRPr="00502ADB">
        <w:rPr>
          <w:rFonts w:ascii="Times New Roman" w:eastAsia="Times New Roman" w:hAnsi="Times New Roman" w:cs="Times New Roman"/>
        </w:rPr>
        <w:t>Naviko lizės sindromas yra sunki būklė, nustatoma kraujo tyrimų rezultatų pokyčiais (pvz.,</w:t>
      </w:r>
      <w:r w:rsidR="00744100" w:rsidRPr="00502ADB">
        <w:rPr>
          <w:rFonts w:ascii="Times New Roman" w:eastAsia="Times New Roman" w:hAnsi="Times New Roman" w:cs="Times New Roman"/>
        </w:rPr>
        <w:t xml:space="preserve"> </w:t>
      </w:r>
      <w:r w:rsidRPr="00744100">
        <w:rPr>
          <w:rFonts w:ascii="Times New Roman" w:eastAsia="Times New Roman" w:hAnsi="Times New Roman" w:cs="Times New Roman"/>
        </w:rPr>
        <w:t>padidėjusiu šlapimo rūgšties, kalio ir fosforo kiekiu bei sumažėjusiu kalcio kiekiu) ir kliniškai</w:t>
      </w:r>
      <w:r w:rsidR="00744100" w:rsidRPr="00744100">
        <w:rPr>
          <w:rFonts w:ascii="Times New Roman" w:eastAsia="Times New Roman" w:hAnsi="Times New Roman" w:cs="Times New Roman"/>
        </w:rPr>
        <w:t xml:space="preserve"> </w:t>
      </w:r>
      <w:r w:rsidRPr="00744100">
        <w:rPr>
          <w:rFonts w:ascii="Times New Roman" w:eastAsia="Times New Roman" w:hAnsi="Times New Roman" w:cs="Times New Roman"/>
        </w:rPr>
        <w:t>pasireiškianti, pvz., traukuliais, inkstų nepakankamumu (šlapimo kiekio sumažėjimu ar</w:t>
      </w:r>
      <w:r w:rsidR="00744100" w:rsidRPr="00744100">
        <w:rPr>
          <w:rFonts w:ascii="Times New Roman" w:eastAsia="Times New Roman" w:hAnsi="Times New Roman" w:cs="Times New Roman"/>
        </w:rPr>
        <w:t xml:space="preserve"> </w:t>
      </w:r>
      <w:r w:rsidRPr="00744100">
        <w:rPr>
          <w:rFonts w:ascii="Times New Roman" w:eastAsia="Times New Roman" w:hAnsi="Times New Roman" w:cs="Times New Roman"/>
        </w:rPr>
        <w:t>patamsėjimu) ir širdies ritmo sutrikimais. Jei pasireiškia toks poveikis, apie tai nedels</w:t>
      </w:r>
      <w:r w:rsidR="001F0C02">
        <w:rPr>
          <w:rFonts w:ascii="Times New Roman" w:eastAsia="Times New Roman" w:hAnsi="Times New Roman" w:cs="Times New Roman"/>
        </w:rPr>
        <w:t>iant</w:t>
      </w:r>
      <w:r w:rsidRPr="00502ADB">
        <w:rPr>
          <w:rFonts w:ascii="Times New Roman" w:eastAsia="Times New Roman" w:hAnsi="Times New Roman" w:cs="Times New Roman"/>
        </w:rPr>
        <w:t xml:space="preserve"> turite</w:t>
      </w:r>
      <w:r w:rsidR="001F0C02">
        <w:rPr>
          <w:rFonts w:ascii="Times New Roman" w:eastAsia="Times New Roman" w:hAnsi="Times New Roman" w:cs="Times New Roman"/>
        </w:rPr>
        <w:t xml:space="preserve"> </w:t>
      </w:r>
      <w:r w:rsidRPr="00502ADB">
        <w:rPr>
          <w:rFonts w:ascii="Times New Roman" w:eastAsia="Times New Roman" w:hAnsi="Times New Roman" w:cs="Times New Roman"/>
        </w:rPr>
        <w:t xml:space="preserve">pasakyti </w:t>
      </w:r>
      <w:r w:rsidR="00744100">
        <w:rPr>
          <w:rFonts w:ascii="Times New Roman" w:eastAsia="Times New Roman" w:hAnsi="Times New Roman" w:cs="Times New Roman"/>
        </w:rPr>
        <w:t xml:space="preserve">savo </w:t>
      </w:r>
      <w:r w:rsidRPr="00502ADB">
        <w:rPr>
          <w:rFonts w:ascii="Times New Roman" w:eastAsia="Times New Roman" w:hAnsi="Times New Roman" w:cs="Times New Roman"/>
        </w:rPr>
        <w:t>gydytojui.</w:t>
      </w:r>
    </w:p>
    <w:p w14:paraId="13C9BBDB" w14:textId="77777777" w:rsidR="001B5BC0" w:rsidRPr="00502ADB" w:rsidRDefault="001B5BC0" w:rsidP="00F54C45">
      <w:pPr>
        <w:pStyle w:val="Sraopastraipa"/>
        <w:numPr>
          <w:ilvl w:val="0"/>
          <w:numId w:val="11"/>
        </w:numPr>
        <w:autoSpaceDE w:val="0"/>
        <w:autoSpaceDN w:val="0"/>
        <w:adjustRightInd w:val="0"/>
        <w:spacing w:after="0" w:line="240" w:lineRule="auto"/>
        <w:rPr>
          <w:rFonts w:ascii="Times New Roman" w:eastAsia="Times New Roman" w:hAnsi="Times New Roman" w:cs="Times New Roman"/>
        </w:rPr>
      </w:pPr>
      <w:r w:rsidRPr="00502ADB">
        <w:rPr>
          <w:rFonts w:ascii="Times New Roman" w:eastAsia="Times New Roman" w:hAnsi="Times New Roman" w:cs="Times New Roman"/>
        </w:rPr>
        <w:t>Miozitas (raumenų skausmą ir silpnumą sukeliantis raumenų uždegimas, t. y. jų karštumas,</w:t>
      </w:r>
      <w:r w:rsidR="001F0C02">
        <w:rPr>
          <w:rFonts w:ascii="Times New Roman" w:eastAsia="Times New Roman" w:hAnsi="Times New Roman" w:cs="Times New Roman"/>
        </w:rPr>
        <w:t xml:space="preserve"> </w:t>
      </w:r>
      <w:r w:rsidRPr="00502ADB">
        <w:rPr>
          <w:rFonts w:ascii="Times New Roman" w:eastAsia="Times New Roman" w:hAnsi="Times New Roman" w:cs="Times New Roman"/>
        </w:rPr>
        <w:t>paraudimas ir patinimas).</w:t>
      </w:r>
    </w:p>
    <w:p w14:paraId="3D387409" w14:textId="77777777" w:rsidR="000125C2" w:rsidRPr="00F54C45" w:rsidRDefault="000125C2" w:rsidP="00F54C45">
      <w:pPr>
        <w:autoSpaceDE w:val="0"/>
        <w:autoSpaceDN w:val="0"/>
        <w:adjustRightInd w:val="0"/>
        <w:spacing w:after="0" w:line="240" w:lineRule="auto"/>
        <w:ind w:left="720"/>
        <w:rPr>
          <w:rFonts w:ascii="Times New Roman" w:eastAsia="Times New Roman" w:hAnsi="Times New Roman" w:cs="Times New Roman"/>
        </w:rPr>
      </w:pPr>
    </w:p>
    <w:p w14:paraId="39C84EF1" w14:textId="77777777" w:rsidR="00D875C0" w:rsidRPr="00427D92" w:rsidRDefault="00D875C0" w:rsidP="00D875C0">
      <w:pPr>
        <w:spacing w:after="0" w:line="240" w:lineRule="auto"/>
        <w:rPr>
          <w:rFonts w:ascii="Times New Roman" w:hAnsi="Times New Roman"/>
          <w:b/>
        </w:rPr>
      </w:pPr>
      <w:r w:rsidRPr="00427D92">
        <w:rPr>
          <w:rFonts w:ascii="Times New Roman" w:hAnsi="Times New Roman"/>
          <w:b/>
        </w:rPr>
        <w:t>Pranešimas apie šalutinį poveikį</w:t>
      </w:r>
    </w:p>
    <w:p w14:paraId="46A799EF" w14:textId="2485BE3D" w:rsidR="00484C25" w:rsidRPr="004721A7" w:rsidRDefault="00484C25" w:rsidP="00484C25">
      <w:pPr>
        <w:tabs>
          <w:tab w:val="left" w:pos="567"/>
        </w:tabs>
        <w:spacing w:after="0" w:line="260" w:lineRule="exact"/>
        <w:ind w:right="-449"/>
        <w:rPr>
          <w:rFonts w:ascii="Times New Roman" w:eastAsia="Times New Roman" w:hAnsi="Times New Roman" w:cs="Times New Roman"/>
          <w:noProof/>
          <w:snapToGrid w:val="0"/>
        </w:rPr>
      </w:pPr>
      <w:r w:rsidRPr="00B45484">
        <w:rPr>
          <w:rFonts w:ascii="Times New Roman" w:eastAsia="Times New Roman" w:hAnsi="Times New Roman" w:cs="Times New Roman"/>
          <w:noProof/>
        </w:rPr>
        <w:t xml:space="preserve">Jeigu pasireiškė šalutinis poveikis, įskaitant šiame lapelyje nenurodytą, pasakykite gydytojui, vaistininkui arba </w:t>
      </w:r>
      <w:r w:rsidRPr="00B45484">
        <w:rPr>
          <w:rFonts w:ascii="Times New Roman" w:eastAsia="Times New Roman" w:hAnsi="Times New Roman" w:cs="Times New Roman"/>
        </w:rPr>
        <w:t>slaugytojui.</w:t>
      </w:r>
      <w:r w:rsidRPr="00B45484">
        <w:rPr>
          <w:rFonts w:ascii="Times New Roman" w:eastAsia="Times New Roman" w:hAnsi="Times New Roman" w:cs="Times New Roman"/>
          <w:noProof/>
        </w:rPr>
        <w:t xml:space="preserve"> </w:t>
      </w:r>
      <w:r w:rsidRPr="00B45484">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453BC4">
          <w:rPr>
            <w:rFonts w:ascii="Times New Roman" w:hAnsi="Times New Roman" w:cs="Times New Roman"/>
          </w:rPr>
          <w:t>https://vapris.vvkt.lt/vvkt-web/public/nrv</w:t>
        </w:r>
      </w:hyperlink>
      <w:r w:rsidRPr="00B45484">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3" w:history="1">
        <w:r w:rsidRPr="00453BC4">
          <w:rPr>
            <w:rFonts w:ascii="Times New Roman" w:hAnsi="Times New Roman" w:cs="Times New Roman"/>
          </w:rPr>
          <w:t>https://www.vvkt.lt/index.php?4004286486</w:t>
        </w:r>
      </w:hyperlink>
      <w:r w:rsidRPr="00B45484">
        <w:rPr>
          <w:rFonts w:ascii="Times New Roman" w:eastAsia="Times New Roman" w:hAnsi="Times New Roman" w:cs="Times New Roman"/>
          <w:snapToGrid w:val="0"/>
          <w:szCs w:val="20"/>
        </w:rPr>
        <w:t xml:space="preserve">, ir atsiunčiant elektroniniu paštu (adresu </w:t>
      </w:r>
      <w:hyperlink r:id="rId14" w:history="1">
        <w:r w:rsidRPr="00453BC4">
          <w:rPr>
            <w:rFonts w:ascii="Times New Roman" w:hAnsi="Times New Roman" w:cs="Times New Roman"/>
          </w:rPr>
          <w:t>NepageidaujamaR@vvkt.lt</w:t>
        </w:r>
      </w:hyperlink>
      <w:r w:rsidRPr="00B45484">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r w:rsidRPr="008211AB">
        <w:rPr>
          <w:rFonts w:ascii="Times New Roman" w:eastAsia="Times New Roman" w:hAnsi="Times New Roman" w:cs="Times New Roman"/>
          <w:snapToGrid w:val="0"/>
          <w:szCs w:val="20"/>
        </w:rPr>
        <w:t>.</w:t>
      </w:r>
    </w:p>
    <w:p w14:paraId="325987C7" w14:textId="77777777" w:rsidR="00D875C0" w:rsidRPr="00C722B4" w:rsidRDefault="00D875C0" w:rsidP="00361542">
      <w:pPr>
        <w:spacing w:after="0" w:line="240" w:lineRule="auto"/>
        <w:rPr>
          <w:rFonts w:ascii="Times New Roman" w:hAnsi="Times New Roman"/>
        </w:rPr>
      </w:pPr>
    </w:p>
    <w:p w14:paraId="2FBAA90C" w14:textId="77777777" w:rsidR="00D875C0" w:rsidRPr="007C1A06" w:rsidRDefault="00D875C0" w:rsidP="00D875C0">
      <w:pPr>
        <w:spacing w:after="0" w:line="240" w:lineRule="auto"/>
        <w:rPr>
          <w:rFonts w:ascii="Times New Roman" w:hAnsi="Times New Roman"/>
        </w:rPr>
      </w:pPr>
    </w:p>
    <w:p w14:paraId="26F3FD57" w14:textId="77777777" w:rsidR="00D875C0" w:rsidRPr="007C1A06" w:rsidRDefault="00D875C0" w:rsidP="00D875C0">
      <w:pPr>
        <w:keepNext/>
        <w:tabs>
          <w:tab w:val="left" w:pos="567"/>
        </w:tabs>
        <w:spacing w:after="0" w:line="240" w:lineRule="auto"/>
        <w:ind w:left="567" w:hanging="567"/>
        <w:outlineLvl w:val="1"/>
        <w:rPr>
          <w:rFonts w:ascii="Times New Roman" w:hAnsi="Times New Roman"/>
          <w:b/>
        </w:rPr>
      </w:pPr>
      <w:bookmarkStart w:id="88" w:name="_Toc129243143"/>
      <w:bookmarkStart w:id="89" w:name="_Toc129243268"/>
      <w:r w:rsidRPr="007C1A06">
        <w:rPr>
          <w:rFonts w:ascii="Times New Roman" w:hAnsi="Times New Roman"/>
          <w:b/>
        </w:rPr>
        <w:t>5.</w:t>
      </w:r>
      <w:r w:rsidRPr="007C1A06">
        <w:rPr>
          <w:rFonts w:ascii="Times New Roman" w:hAnsi="Times New Roman"/>
          <w:b/>
        </w:rPr>
        <w:tab/>
        <w:t>Kaip laikyti Docetaxel Ebewe</w:t>
      </w:r>
      <w:bookmarkEnd w:id="88"/>
      <w:bookmarkEnd w:id="89"/>
    </w:p>
    <w:p w14:paraId="794AAD1F" w14:textId="77777777" w:rsidR="00D875C0" w:rsidRPr="007C1A06" w:rsidRDefault="00D875C0" w:rsidP="00D875C0">
      <w:pPr>
        <w:spacing w:after="0" w:line="240" w:lineRule="auto"/>
        <w:rPr>
          <w:rFonts w:ascii="Times New Roman" w:hAnsi="Times New Roman"/>
        </w:rPr>
      </w:pPr>
    </w:p>
    <w:p w14:paraId="40E07925" w14:textId="77777777" w:rsidR="00D875C0" w:rsidRPr="004E3CD5" w:rsidRDefault="00D875C0" w:rsidP="00D875C0">
      <w:pPr>
        <w:numPr>
          <w:ilvl w:val="12"/>
          <w:numId w:val="0"/>
        </w:numPr>
        <w:spacing w:after="0" w:line="240" w:lineRule="auto"/>
        <w:ind w:right="-2"/>
        <w:rPr>
          <w:rFonts w:ascii="Times New Roman" w:eastAsiaTheme="minorEastAsia" w:hAnsi="Times New Roman"/>
          <w:lang w:eastAsia="zh-TW"/>
        </w:rPr>
      </w:pPr>
      <w:r w:rsidRPr="007C1A06">
        <w:rPr>
          <w:rFonts w:ascii="Times New Roman" w:hAnsi="Times New Roman"/>
        </w:rPr>
        <w:t>Šį vaistą laikykite vaikams nepastebimoje ir nepasiekiamoje vietoje.</w:t>
      </w:r>
    </w:p>
    <w:p w14:paraId="7E945615" w14:textId="77777777" w:rsidR="00D875C0" w:rsidRPr="007C1A06" w:rsidRDefault="00D875C0" w:rsidP="00D875C0">
      <w:pPr>
        <w:spacing w:after="0" w:line="240" w:lineRule="auto"/>
        <w:rPr>
          <w:rFonts w:ascii="Times New Roman" w:hAnsi="Times New Roman"/>
        </w:rPr>
      </w:pPr>
    </w:p>
    <w:p w14:paraId="1BB75513" w14:textId="77777777" w:rsidR="00D875C0" w:rsidRPr="00874783"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Ant dėžutės ir flakono etiketės </w:t>
      </w:r>
      <w:r w:rsidR="00C56594">
        <w:rPr>
          <w:rFonts w:ascii="Times New Roman" w:eastAsia="Times New Roman" w:hAnsi="Times New Roman" w:cs="Times New Roman"/>
        </w:rPr>
        <w:t xml:space="preserve">po </w:t>
      </w:r>
      <w:r w:rsidR="008E57E9">
        <w:rPr>
          <w:rFonts w:ascii="Times New Roman" w:eastAsia="Times New Roman" w:hAnsi="Times New Roman" w:cs="Times New Roman"/>
        </w:rPr>
        <w:t>„</w:t>
      </w:r>
      <w:r w:rsidR="00C56594">
        <w:rPr>
          <w:rFonts w:ascii="Times New Roman" w:eastAsia="Times New Roman" w:hAnsi="Times New Roman" w:cs="Times New Roman"/>
        </w:rPr>
        <w:t xml:space="preserve">EXP“ </w:t>
      </w:r>
      <w:r w:rsidRPr="00F95B76">
        <w:rPr>
          <w:rFonts w:ascii="Times New Roman" w:hAnsi="Times New Roman"/>
        </w:rPr>
        <w:t>nurodytam tinkamumo laikui pasibaigus,</w:t>
      </w:r>
      <w:r w:rsidR="00C46C67" w:rsidRPr="001F2C46">
        <w:rPr>
          <w:rFonts w:ascii="Times New Roman" w:hAnsi="Times New Roman"/>
        </w:rPr>
        <w:t xml:space="preserve"> </w:t>
      </w:r>
      <w:r w:rsidR="00C56594">
        <w:rPr>
          <w:rFonts w:ascii="Times New Roman" w:eastAsia="Times New Roman" w:hAnsi="Times New Roman" w:cs="Times New Roman"/>
        </w:rPr>
        <w:t>šio vaisto</w:t>
      </w:r>
      <w:r w:rsidRPr="00F95B76">
        <w:rPr>
          <w:rFonts w:ascii="Times New Roman" w:hAnsi="Times New Roman"/>
        </w:rPr>
        <w:t xml:space="preserve"> vartoti negalima. Vaistas tinkamas vartoti iki paskutinės nurodyto mėnesio dienos.</w:t>
      </w:r>
    </w:p>
    <w:p w14:paraId="63476DAD" w14:textId="77777777" w:rsidR="00D875C0" w:rsidRPr="00427D92" w:rsidRDefault="00D875C0" w:rsidP="00D875C0">
      <w:pPr>
        <w:spacing w:after="0" w:line="240" w:lineRule="auto"/>
        <w:rPr>
          <w:rFonts w:ascii="Times New Roman" w:hAnsi="Times New Roman"/>
        </w:rPr>
      </w:pPr>
    </w:p>
    <w:p w14:paraId="46477365" w14:textId="77777777" w:rsidR="00C56594" w:rsidRPr="007C1A06" w:rsidRDefault="00C56594" w:rsidP="00D875C0">
      <w:pPr>
        <w:spacing w:after="0" w:line="240" w:lineRule="auto"/>
        <w:rPr>
          <w:rFonts w:ascii="Times New Roman" w:eastAsia="Times New Roman" w:hAnsi="Times New Roman" w:cs="Times New Roman"/>
        </w:rPr>
      </w:pPr>
      <w:r w:rsidRPr="00C56594">
        <w:rPr>
          <w:rFonts w:ascii="Times New Roman" w:eastAsia="Times New Roman" w:hAnsi="Times New Roman" w:cs="Times New Roman"/>
        </w:rPr>
        <w:t>Laikyti ne aukštesnėje kaip 25</w:t>
      </w:r>
      <w:r>
        <w:rPr>
          <w:rFonts w:ascii="Times New Roman" w:eastAsia="Times New Roman" w:hAnsi="Times New Roman" w:cs="Times New Roman"/>
        </w:rPr>
        <w:t> </w:t>
      </w:r>
      <w:r w:rsidRPr="00C56594">
        <w:rPr>
          <w:rFonts w:ascii="Times New Roman" w:eastAsia="Times New Roman" w:hAnsi="Times New Roman" w:cs="Times New Roman"/>
        </w:rPr>
        <w:t>°C temperatūroje.</w:t>
      </w:r>
    </w:p>
    <w:p w14:paraId="3E22B299" w14:textId="77777777" w:rsidR="00D875C0" w:rsidRPr="001F2C46" w:rsidRDefault="00D875C0" w:rsidP="00D875C0">
      <w:pPr>
        <w:spacing w:after="0" w:line="240" w:lineRule="auto"/>
        <w:rPr>
          <w:rFonts w:ascii="Times New Roman" w:hAnsi="Times New Roman"/>
        </w:rPr>
      </w:pPr>
      <w:r w:rsidRPr="00F95B76">
        <w:rPr>
          <w:rFonts w:ascii="Times New Roman" w:hAnsi="Times New Roman"/>
        </w:rPr>
        <w:t>Negalima užšaldyti.</w:t>
      </w:r>
    </w:p>
    <w:p w14:paraId="542A674E" w14:textId="77777777" w:rsidR="00D875C0" w:rsidRPr="00C722B4" w:rsidRDefault="00D875C0" w:rsidP="00D875C0">
      <w:pPr>
        <w:autoSpaceDE w:val="0"/>
        <w:autoSpaceDN w:val="0"/>
        <w:adjustRightInd w:val="0"/>
        <w:spacing w:after="0" w:line="240" w:lineRule="auto"/>
        <w:rPr>
          <w:rFonts w:ascii="Times New Roman" w:hAnsi="Times New Roman"/>
        </w:rPr>
      </w:pPr>
      <w:r w:rsidRPr="00427D92">
        <w:rPr>
          <w:rFonts w:ascii="Times New Roman" w:hAnsi="Times New Roman"/>
        </w:rPr>
        <w:t xml:space="preserve">Flakoną laikyti išorinėje dėžutėje, kad </w:t>
      </w:r>
      <w:r w:rsidR="00BC138D" w:rsidRPr="000C43D3">
        <w:rPr>
          <w:rFonts w:ascii="Times New Roman" w:hAnsi="Times New Roman"/>
        </w:rPr>
        <w:t xml:space="preserve">vaistas </w:t>
      </w:r>
      <w:r w:rsidRPr="00C722B4">
        <w:rPr>
          <w:rFonts w:ascii="Times New Roman" w:hAnsi="Times New Roman"/>
        </w:rPr>
        <w:t>būtų apsaugotas nuo šviesos.</w:t>
      </w:r>
    </w:p>
    <w:p w14:paraId="79C9FF5D" w14:textId="77777777" w:rsidR="00D875C0" w:rsidRDefault="00D875C0" w:rsidP="00D875C0">
      <w:pPr>
        <w:autoSpaceDE w:val="0"/>
        <w:autoSpaceDN w:val="0"/>
        <w:adjustRightInd w:val="0"/>
        <w:spacing w:after="0" w:line="240" w:lineRule="auto"/>
        <w:rPr>
          <w:rFonts w:ascii="Times New Roman" w:hAnsi="Times New Roman"/>
        </w:rPr>
      </w:pPr>
    </w:p>
    <w:p w14:paraId="55567F6E" w14:textId="77777777" w:rsidR="00C56594" w:rsidRPr="00111A39" w:rsidRDefault="00C56594" w:rsidP="00C56594">
      <w:pPr>
        <w:spacing w:after="0" w:line="240" w:lineRule="auto"/>
        <w:rPr>
          <w:rFonts w:ascii="Times New Roman" w:eastAsia="Times New Roman" w:hAnsi="Times New Roman" w:cs="Times New Roman"/>
          <w:u w:val="single"/>
        </w:rPr>
      </w:pPr>
      <w:r w:rsidRPr="00C56594">
        <w:rPr>
          <w:rFonts w:ascii="Times New Roman" w:eastAsia="Times New Roman" w:hAnsi="Times New Roman" w:cs="Times New Roman"/>
          <w:u w:val="single"/>
        </w:rPr>
        <w:t>Laikymo sąlygos po pirmojo atidarymo</w:t>
      </w:r>
      <w:r w:rsidRPr="00111A39">
        <w:rPr>
          <w:rFonts w:ascii="Times New Roman" w:eastAsia="Times New Roman" w:hAnsi="Times New Roman" w:cs="Times New Roman"/>
          <w:u w:val="single"/>
        </w:rPr>
        <w:t xml:space="preserve">: </w:t>
      </w:r>
    </w:p>
    <w:p w14:paraId="7263877C" w14:textId="77777777" w:rsidR="00C56594" w:rsidRPr="00427D92" w:rsidRDefault="00C56594" w:rsidP="00C56594">
      <w:pPr>
        <w:spacing w:after="0" w:line="240" w:lineRule="auto"/>
        <w:rPr>
          <w:rFonts w:ascii="Times New Roman" w:hAnsi="Times New Roman"/>
        </w:rPr>
      </w:pPr>
      <w:r w:rsidRPr="00C56594">
        <w:rPr>
          <w:rFonts w:ascii="Times New Roman" w:eastAsia="Times New Roman" w:hAnsi="Times New Roman" w:cs="Times New Roman"/>
        </w:rPr>
        <w:t xml:space="preserve">Vaisto turi būti vartojama ne ilgiau kaip </w:t>
      </w:r>
      <w:r w:rsidRPr="00F95B76">
        <w:rPr>
          <w:rFonts w:ascii="Times New Roman" w:hAnsi="Times New Roman"/>
        </w:rPr>
        <w:t>28</w:t>
      </w:r>
      <w:r w:rsidRPr="001F2C46">
        <w:rPr>
          <w:rFonts w:ascii="Times New Roman" w:hAnsi="Times New Roman"/>
        </w:rPr>
        <w:t> </w:t>
      </w:r>
      <w:r w:rsidRPr="00C56594">
        <w:rPr>
          <w:rFonts w:ascii="Times New Roman" w:eastAsia="Times New Roman" w:hAnsi="Times New Roman" w:cs="Times New Roman"/>
        </w:rPr>
        <w:t>paras</w:t>
      </w:r>
      <w:r w:rsidRPr="00F95B76">
        <w:rPr>
          <w:rFonts w:ascii="Times New Roman" w:hAnsi="Times New Roman"/>
        </w:rPr>
        <w:t>. Laikyti ne aukštesnėje kaip 25</w:t>
      </w:r>
      <w:r w:rsidRPr="001F2C46">
        <w:rPr>
          <w:rFonts w:ascii="Times New Roman" w:hAnsi="Times New Roman"/>
        </w:rPr>
        <w:t> </w:t>
      </w:r>
      <w:r w:rsidRPr="00427D92">
        <w:rPr>
          <w:rFonts w:ascii="Times New Roman" w:hAnsi="Times New Roman"/>
        </w:rPr>
        <w:t>°C temperatūroje.</w:t>
      </w:r>
    </w:p>
    <w:p w14:paraId="6F5188CB" w14:textId="77777777" w:rsidR="00C56594" w:rsidRPr="00C722B4" w:rsidRDefault="00C56594" w:rsidP="00C56594">
      <w:pPr>
        <w:spacing w:after="0" w:line="240" w:lineRule="auto"/>
        <w:rPr>
          <w:rFonts w:ascii="Times New Roman" w:hAnsi="Times New Roman"/>
        </w:rPr>
      </w:pPr>
    </w:p>
    <w:p w14:paraId="25F9D18D" w14:textId="77777777" w:rsidR="00C56594" w:rsidRPr="001F2C46" w:rsidRDefault="00C56594" w:rsidP="00C56594">
      <w:pPr>
        <w:spacing w:after="0" w:line="240" w:lineRule="auto"/>
        <w:rPr>
          <w:rFonts w:ascii="Times New Roman" w:hAnsi="Times New Roman"/>
          <w:u w:val="single"/>
        </w:rPr>
      </w:pPr>
      <w:r w:rsidRPr="00C56594">
        <w:rPr>
          <w:rFonts w:ascii="Times New Roman" w:eastAsia="Times New Roman" w:hAnsi="Times New Roman" w:cs="Times New Roman"/>
          <w:u w:val="single"/>
        </w:rPr>
        <w:t>Laikymo sąlygos po</w:t>
      </w:r>
      <w:r w:rsidRPr="00F95B76">
        <w:rPr>
          <w:rFonts w:ascii="Times New Roman" w:hAnsi="Times New Roman"/>
          <w:u w:val="single"/>
        </w:rPr>
        <w:t xml:space="preserve"> </w:t>
      </w:r>
      <w:r w:rsidRPr="001F2C46">
        <w:rPr>
          <w:rFonts w:ascii="Times New Roman" w:hAnsi="Times New Roman"/>
          <w:u w:val="single"/>
        </w:rPr>
        <w:t>praskiedimo:</w:t>
      </w:r>
    </w:p>
    <w:p w14:paraId="7BE8E729" w14:textId="77777777" w:rsidR="00C56594" w:rsidRPr="00111A39" w:rsidRDefault="00C56594" w:rsidP="00C56594">
      <w:pPr>
        <w:spacing w:after="0" w:line="240" w:lineRule="auto"/>
        <w:rPr>
          <w:rFonts w:ascii="Times New Roman" w:hAnsi="Times New Roman"/>
        </w:rPr>
      </w:pPr>
      <w:r w:rsidRPr="00427D92">
        <w:rPr>
          <w:rFonts w:ascii="Times New Roman" w:hAnsi="Times New Roman"/>
        </w:rPr>
        <w:t>Infuzinis tirpalas turi būti suvartojamas per 4</w:t>
      </w:r>
      <w:r w:rsidRPr="000C43D3">
        <w:rPr>
          <w:rFonts w:ascii="Times New Roman" w:hAnsi="Times New Roman"/>
        </w:rPr>
        <w:t> </w:t>
      </w:r>
      <w:r w:rsidRPr="00C722B4">
        <w:rPr>
          <w:rFonts w:ascii="Times New Roman" w:hAnsi="Times New Roman"/>
        </w:rPr>
        <w:t>valandas, įskaitant 1 valandą infuzijos laiko. Cheminis ir fizinis stabilumas išli</w:t>
      </w:r>
      <w:r w:rsidRPr="00111A39">
        <w:rPr>
          <w:rFonts w:ascii="Times New Roman" w:hAnsi="Times New Roman"/>
        </w:rPr>
        <w:t xml:space="preserve">eka kambario temperatūroje (žemiau </w:t>
      </w:r>
      <w:r>
        <w:rPr>
          <w:rFonts w:ascii="Times New Roman" w:hAnsi="Times New Roman"/>
        </w:rPr>
        <w:t xml:space="preserve">kaip </w:t>
      </w:r>
      <w:r w:rsidRPr="00111A39">
        <w:rPr>
          <w:rFonts w:ascii="Times New Roman" w:hAnsi="Times New Roman"/>
        </w:rPr>
        <w:t>25</w:t>
      </w:r>
      <w:r>
        <w:rPr>
          <w:rFonts w:ascii="Times New Roman" w:hAnsi="Times New Roman"/>
        </w:rPr>
        <w:t> °</w:t>
      </w:r>
      <w:r w:rsidRPr="00111A39">
        <w:rPr>
          <w:rFonts w:ascii="Times New Roman" w:hAnsi="Times New Roman"/>
        </w:rPr>
        <w:t>C) arba šaldant (2</w:t>
      </w:r>
      <w:r>
        <w:rPr>
          <w:rFonts w:ascii="Times New Roman" w:hAnsi="Times New Roman"/>
        </w:rPr>
        <w:t> °</w:t>
      </w:r>
      <w:r w:rsidRPr="00111A39">
        <w:rPr>
          <w:rFonts w:ascii="Times New Roman" w:hAnsi="Times New Roman"/>
        </w:rPr>
        <w:t>C</w:t>
      </w:r>
      <w:r w:rsidR="00161A62">
        <w:rPr>
          <w:rFonts w:ascii="Times New Roman" w:hAnsi="Times New Roman"/>
        </w:rPr>
        <w:t xml:space="preserve"> </w:t>
      </w:r>
      <w:r w:rsidR="00161A62" w:rsidRPr="00271C71">
        <w:rPr>
          <w:rFonts w:ascii="Times New Roman" w:hAnsi="Times New Roman" w:cs="Times New Roman"/>
          <w:noProof/>
        </w:rPr>
        <w:t>–</w:t>
      </w:r>
      <w:r w:rsidR="00161A62">
        <w:rPr>
          <w:rFonts w:ascii="Times New Roman" w:hAnsi="Times New Roman" w:cs="Times New Roman"/>
          <w:noProof/>
        </w:rPr>
        <w:t xml:space="preserve"> </w:t>
      </w:r>
      <w:r w:rsidRPr="00111A39">
        <w:rPr>
          <w:rFonts w:ascii="Times New Roman" w:hAnsi="Times New Roman"/>
        </w:rPr>
        <w:t>8</w:t>
      </w:r>
      <w:r>
        <w:rPr>
          <w:rFonts w:ascii="Times New Roman" w:hAnsi="Times New Roman"/>
        </w:rPr>
        <w:t> °</w:t>
      </w:r>
      <w:r w:rsidRPr="00111A39">
        <w:rPr>
          <w:rFonts w:ascii="Times New Roman" w:hAnsi="Times New Roman"/>
        </w:rPr>
        <w:t>C).</w:t>
      </w:r>
    </w:p>
    <w:p w14:paraId="30F9010A" w14:textId="77777777" w:rsidR="00D875C0" w:rsidRPr="007C1A06" w:rsidRDefault="00D875C0" w:rsidP="00D875C0">
      <w:pPr>
        <w:spacing w:after="0" w:line="240" w:lineRule="auto"/>
        <w:rPr>
          <w:rFonts w:ascii="Times New Roman" w:hAnsi="Times New Roman"/>
        </w:rPr>
      </w:pPr>
    </w:p>
    <w:p w14:paraId="5BA99AE6" w14:textId="77777777" w:rsidR="00D875C0" w:rsidRDefault="00D875C0" w:rsidP="00D875C0">
      <w:pPr>
        <w:spacing w:after="0" w:line="240" w:lineRule="auto"/>
        <w:rPr>
          <w:rFonts w:ascii="Times New Roman" w:hAnsi="Times New Roman"/>
        </w:rPr>
      </w:pPr>
      <w:r w:rsidRPr="007C1A06">
        <w:rPr>
          <w:rFonts w:ascii="Times New Roman" w:hAnsi="Times New Roman"/>
        </w:rPr>
        <w:t xml:space="preserve">Vaistų negalima išmesti į kanalizaciją arba su buitinėmis atliekomis. Kaip išmesti nereikalingus vaistus, klauskite </w:t>
      </w:r>
      <w:r w:rsidR="002A0284">
        <w:rPr>
          <w:rFonts w:ascii="Times New Roman" w:eastAsia="Times New Roman" w:hAnsi="Times New Roman" w:cs="Times New Roman"/>
        </w:rPr>
        <w:t xml:space="preserve">klinikinio </w:t>
      </w:r>
      <w:r w:rsidRPr="00F95B76">
        <w:rPr>
          <w:rFonts w:ascii="Times New Roman" w:hAnsi="Times New Roman"/>
        </w:rPr>
        <w:t>vaistininko. Šios priemonės padės apsaugoti aplinką.</w:t>
      </w:r>
    </w:p>
    <w:p w14:paraId="14A84139" w14:textId="77777777" w:rsidR="00F11714" w:rsidRDefault="00F11714" w:rsidP="00D875C0">
      <w:pPr>
        <w:spacing w:after="0" w:line="240" w:lineRule="auto"/>
        <w:rPr>
          <w:rFonts w:ascii="Times New Roman" w:hAnsi="Times New Roman"/>
        </w:rPr>
      </w:pPr>
    </w:p>
    <w:p w14:paraId="15DAEF1E" w14:textId="77777777" w:rsidR="00F11714" w:rsidRPr="00FB5C4B" w:rsidRDefault="00F11714" w:rsidP="00D875C0">
      <w:pPr>
        <w:spacing w:after="0" w:line="240" w:lineRule="auto"/>
        <w:rPr>
          <w:rFonts w:ascii="Times New Roman" w:eastAsiaTheme="minorEastAsia" w:hAnsi="Times New Roman"/>
          <w:lang w:eastAsia="zh-TW"/>
        </w:rPr>
      </w:pPr>
    </w:p>
    <w:p w14:paraId="0B140959" w14:textId="77777777" w:rsidR="00D875C0" w:rsidRPr="001F2C46" w:rsidRDefault="00D875C0" w:rsidP="00D875C0">
      <w:pPr>
        <w:keepNext/>
        <w:tabs>
          <w:tab w:val="left" w:pos="567"/>
        </w:tabs>
        <w:spacing w:after="0" w:line="240" w:lineRule="auto"/>
        <w:ind w:left="567" w:hanging="567"/>
        <w:outlineLvl w:val="1"/>
        <w:rPr>
          <w:rFonts w:ascii="Times New Roman" w:hAnsi="Times New Roman"/>
          <w:b/>
        </w:rPr>
      </w:pPr>
      <w:bookmarkStart w:id="90" w:name="_Toc129243144"/>
      <w:bookmarkStart w:id="91" w:name="_Toc129243269"/>
      <w:r w:rsidRPr="00F95B76">
        <w:rPr>
          <w:rFonts w:ascii="Times New Roman" w:hAnsi="Times New Roman"/>
          <w:b/>
        </w:rPr>
        <w:t>6.</w:t>
      </w:r>
      <w:r w:rsidRPr="00F95B76">
        <w:rPr>
          <w:rFonts w:ascii="Times New Roman" w:hAnsi="Times New Roman"/>
          <w:b/>
        </w:rPr>
        <w:tab/>
        <w:t>Pakuotės turinys ir kita informacija</w:t>
      </w:r>
      <w:bookmarkEnd w:id="90"/>
      <w:bookmarkEnd w:id="91"/>
    </w:p>
    <w:p w14:paraId="1AB75EB2" w14:textId="77777777" w:rsidR="00D875C0" w:rsidRPr="00427D92" w:rsidRDefault="00D875C0" w:rsidP="00D875C0">
      <w:pPr>
        <w:spacing w:after="0" w:line="240" w:lineRule="auto"/>
        <w:rPr>
          <w:rFonts w:ascii="Times New Roman" w:hAnsi="Times New Roman"/>
        </w:rPr>
      </w:pPr>
    </w:p>
    <w:p w14:paraId="07B89175" w14:textId="77777777" w:rsidR="00D875C0" w:rsidRPr="00427D92" w:rsidRDefault="00D875C0" w:rsidP="00D875C0">
      <w:pPr>
        <w:spacing w:after="0" w:line="220" w:lineRule="exact"/>
        <w:rPr>
          <w:rFonts w:ascii="Times New Roman" w:hAnsi="Times New Roman"/>
          <w:b/>
        </w:rPr>
      </w:pPr>
      <w:r w:rsidRPr="00427D92">
        <w:rPr>
          <w:rFonts w:ascii="Times New Roman" w:hAnsi="Times New Roman"/>
          <w:b/>
        </w:rPr>
        <w:t>Docetaxel Ebewe sudėtis</w:t>
      </w:r>
    </w:p>
    <w:p w14:paraId="4EB0F139" w14:textId="77777777" w:rsidR="00D875C0" w:rsidRPr="001F2C46" w:rsidRDefault="00D875C0" w:rsidP="004E3CD5">
      <w:pPr>
        <w:pStyle w:val="Sraopastraipa"/>
        <w:numPr>
          <w:ilvl w:val="0"/>
          <w:numId w:val="20"/>
        </w:numPr>
        <w:spacing w:after="0" w:line="240" w:lineRule="auto"/>
        <w:ind w:left="567" w:hanging="567"/>
        <w:rPr>
          <w:rFonts w:ascii="Times New Roman" w:hAnsi="Times New Roman"/>
        </w:rPr>
      </w:pPr>
      <w:r w:rsidRPr="000C43D3">
        <w:rPr>
          <w:rFonts w:ascii="Times New Roman" w:hAnsi="Times New Roman"/>
        </w:rPr>
        <w:t>Veiklioji medžiaga yra docetakselis.</w:t>
      </w:r>
      <w:r w:rsidR="00EC5B32">
        <w:rPr>
          <w:rFonts w:ascii="Times New Roman" w:hAnsi="Times New Roman"/>
        </w:rPr>
        <w:t xml:space="preserve"> </w:t>
      </w:r>
      <w:r w:rsidR="00C56594" w:rsidRPr="00C56594">
        <w:rPr>
          <w:rFonts w:ascii="Times New Roman" w:eastAsia="Times New Roman" w:hAnsi="Times New Roman" w:cs="Times New Roman"/>
        </w:rPr>
        <w:t>Kiekviename</w:t>
      </w:r>
      <w:r w:rsidR="00586D22">
        <w:rPr>
          <w:rFonts w:ascii="Times New Roman" w:eastAsia="Times New Roman" w:hAnsi="Times New Roman" w:cs="Times New Roman"/>
        </w:rPr>
        <w:t xml:space="preserve"> </w:t>
      </w:r>
      <w:r w:rsidRPr="00F95B76">
        <w:rPr>
          <w:rFonts w:ascii="Times New Roman" w:hAnsi="Times New Roman"/>
        </w:rPr>
        <w:t>ml koncentrato infuziniam tirpalui yra 10 mg docetakselio.</w:t>
      </w:r>
    </w:p>
    <w:p w14:paraId="7522E8A0" w14:textId="77777777" w:rsidR="00D875C0" w:rsidRPr="00427D92" w:rsidRDefault="00D875C0" w:rsidP="004E3CD5">
      <w:pPr>
        <w:pStyle w:val="Sraopastraipa"/>
        <w:numPr>
          <w:ilvl w:val="0"/>
          <w:numId w:val="20"/>
        </w:numPr>
        <w:tabs>
          <w:tab w:val="num" w:pos="540"/>
        </w:tabs>
        <w:spacing w:after="0" w:line="240" w:lineRule="auto"/>
        <w:ind w:left="540" w:hanging="540"/>
        <w:rPr>
          <w:rFonts w:ascii="Times New Roman" w:hAnsi="Times New Roman"/>
        </w:rPr>
      </w:pPr>
      <w:r w:rsidRPr="00F95B76">
        <w:rPr>
          <w:rFonts w:ascii="Times New Roman" w:hAnsi="Times New Roman"/>
        </w:rPr>
        <w:t>Pagalbinės medžiagos yra: bevandenė citrinų rūgštis, makrogolis 300, polisorbatas 80, etanolis (96</w:t>
      </w:r>
      <w:r w:rsidR="007D5071" w:rsidRPr="001F2C46">
        <w:rPr>
          <w:rFonts w:ascii="Times New Roman" w:hAnsi="Times New Roman"/>
        </w:rPr>
        <w:t> </w:t>
      </w:r>
      <w:r w:rsidRPr="00427D92">
        <w:rPr>
          <w:rFonts w:ascii="Times New Roman" w:hAnsi="Times New Roman"/>
        </w:rPr>
        <w:t>%).</w:t>
      </w:r>
    </w:p>
    <w:p w14:paraId="574348EB" w14:textId="77777777" w:rsidR="00D875C0" w:rsidRPr="00C722B4" w:rsidRDefault="00D875C0" w:rsidP="00D875C0">
      <w:pPr>
        <w:spacing w:after="0" w:line="240" w:lineRule="auto"/>
        <w:rPr>
          <w:rFonts w:ascii="Times New Roman" w:hAnsi="Times New Roman"/>
        </w:rPr>
      </w:pPr>
    </w:p>
    <w:p w14:paraId="4B5156E2" w14:textId="77777777" w:rsidR="00D875C0" w:rsidRPr="004E3CD5" w:rsidRDefault="00D875C0" w:rsidP="00D875C0">
      <w:pPr>
        <w:spacing w:after="0" w:line="220" w:lineRule="exact"/>
        <w:rPr>
          <w:rFonts w:ascii="Times New Roman" w:eastAsiaTheme="minorEastAsia" w:hAnsi="Times New Roman"/>
          <w:b/>
          <w:lang w:eastAsia="zh-TW"/>
        </w:rPr>
      </w:pPr>
      <w:r w:rsidRPr="007C1A06">
        <w:rPr>
          <w:rFonts w:ascii="Times New Roman" w:hAnsi="Times New Roman"/>
          <w:b/>
        </w:rPr>
        <w:t>Docetaxel Ebewe išvaizda ir kiekis pakuotėje</w:t>
      </w:r>
    </w:p>
    <w:p w14:paraId="0A7EEB14" w14:textId="77777777" w:rsidR="00D875C0" w:rsidRPr="00874783"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Docetaxel Ebewe 10 mg/ml koncentratas infuziniam tirpalui yra skaidrus, bespalvis arba blyškiai geltonas tirpalas,</w:t>
      </w:r>
      <w:r w:rsidR="00EC5B32">
        <w:rPr>
          <w:rFonts w:ascii="Times New Roman" w:hAnsi="Times New Roman"/>
        </w:rPr>
        <w:t xml:space="preserve"> </w:t>
      </w:r>
      <w:r w:rsidRPr="00F95B76">
        <w:rPr>
          <w:rFonts w:ascii="Times New Roman" w:hAnsi="Times New Roman"/>
        </w:rPr>
        <w:t>kurio pH 3,0</w:t>
      </w:r>
      <w:r w:rsidR="007D5071" w:rsidRPr="001F2C46">
        <w:rPr>
          <w:rFonts w:ascii="Times New Roman" w:hAnsi="Times New Roman"/>
        </w:rPr>
        <w:noBreakHyphen/>
      </w:r>
      <w:r w:rsidRPr="00427D92">
        <w:rPr>
          <w:rFonts w:ascii="Times New Roman" w:hAnsi="Times New Roman"/>
        </w:rPr>
        <w:t>4,5, be matomų dalelių.</w:t>
      </w:r>
    </w:p>
    <w:p w14:paraId="420D22FA" w14:textId="77777777" w:rsidR="004042F8" w:rsidRPr="00F95B76" w:rsidRDefault="004042F8" w:rsidP="004042F8">
      <w:pPr>
        <w:spacing w:after="0" w:line="240" w:lineRule="auto"/>
        <w:rPr>
          <w:rFonts w:ascii="Times New Roman" w:hAnsi="Times New Roman"/>
        </w:rPr>
      </w:pPr>
      <w:r w:rsidRPr="00C722B4">
        <w:rPr>
          <w:rFonts w:ascii="Times New Roman" w:hAnsi="Times New Roman"/>
        </w:rPr>
        <w:t xml:space="preserve">Docetaxel Ebewe tiekiamas </w:t>
      </w:r>
      <w:r w:rsidRPr="00C56594">
        <w:rPr>
          <w:rFonts w:ascii="Times New Roman" w:eastAsia="Times New Roman" w:hAnsi="Times New Roman" w:cs="Times New Roman"/>
        </w:rPr>
        <w:t>atskiromis pakuotėmis, kurių kiekvienoje yra 1 flakonas</w:t>
      </w:r>
      <w:r w:rsidRPr="00F95B76">
        <w:rPr>
          <w:rFonts w:ascii="Times New Roman" w:hAnsi="Times New Roman"/>
        </w:rPr>
        <w:t xml:space="preserve"> (20</w:t>
      </w:r>
      <w:r w:rsidRPr="00C56594">
        <w:rPr>
          <w:rFonts w:ascii="Times New Roman" w:eastAsia="Times New Roman" w:hAnsi="Times New Roman" w:cs="Times New Roman"/>
        </w:rPr>
        <w:t xml:space="preserve"> </w:t>
      </w:r>
      <w:r w:rsidRPr="00F95B76">
        <w:rPr>
          <w:rFonts w:ascii="Times New Roman" w:hAnsi="Times New Roman"/>
        </w:rPr>
        <w:t>mg/</w:t>
      </w:r>
      <w:r w:rsidRPr="00C56594">
        <w:rPr>
          <w:rFonts w:ascii="Times New Roman" w:eastAsia="Times New Roman" w:hAnsi="Times New Roman" w:cs="Times New Roman"/>
        </w:rPr>
        <w:t xml:space="preserve"> 2 </w:t>
      </w:r>
      <w:r w:rsidRPr="00F95B76">
        <w:rPr>
          <w:rFonts w:ascii="Times New Roman" w:hAnsi="Times New Roman"/>
        </w:rPr>
        <w:t>ml</w:t>
      </w:r>
      <w:r w:rsidRPr="00C56594">
        <w:rPr>
          <w:rFonts w:ascii="Times New Roman" w:eastAsia="Times New Roman" w:hAnsi="Times New Roman" w:cs="Times New Roman"/>
        </w:rPr>
        <w:t>,</w:t>
      </w:r>
      <w:r w:rsidR="003A4D4D">
        <w:rPr>
          <w:rFonts w:ascii="Times New Roman" w:eastAsia="Times New Roman" w:hAnsi="Times New Roman" w:cs="Times New Roman"/>
        </w:rPr>
        <w:t xml:space="preserve"> </w:t>
      </w:r>
      <w:r w:rsidRPr="004E3CD5">
        <w:rPr>
          <w:rFonts w:ascii="Times New Roman" w:hAnsi="Times New Roman"/>
          <w:shd w:val="clear" w:color="auto" w:fill="BFBFBF" w:themeFill="background1" w:themeFillShade="BF"/>
        </w:rPr>
        <w:t>80</w:t>
      </w:r>
      <w:r w:rsidRPr="007C1A06">
        <w:rPr>
          <w:rFonts w:ascii="Times New Roman" w:eastAsia="Times New Roman" w:hAnsi="Times New Roman" w:cs="Times New Roman"/>
          <w:shd w:val="clear" w:color="auto" w:fill="BFBFBF" w:themeFill="background1" w:themeFillShade="BF"/>
        </w:rPr>
        <w:t xml:space="preserve"> </w:t>
      </w:r>
      <w:r w:rsidRPr="004E3CD5">
        <w:rPr>
          <w:rFonts w:ascii="Times New Roman" w:hAnsi="Times New Roman"/>
          <w:shd w:val="clear" w:color="auto" w:fill="BFBFBF" w:themeFill="background1" w:themeFillShade="BF"/>
        </w:rPr>
        <w:t>mg/</w:t>
      </w:r>
      <w:r w:rsidRPr="007C1A06">
        <w:rPr>
          <w:rFonts w:ascii="Times New Roman" w:eastAsia="Times New Roman" w:hAnsi="Times New Roman" w:cs="Times New Roman"/>
          <w:shd w:val="clear" w:color="auto" w:fill="BFBFBF" w:themeFill="background1" w:themeFillShade="BF"/>
        </w:rPr>
        <w:t xml:space="preserve"> 8 ml, </w:t>
      </w:r>
      <w:r w:rsidRPr="004E3CD5">
        <w:rPr>
          <w:rFonts w:ascii="Times New Roman" w:hAnsi="Times New Roman"/>
          <w:shd w:val="clear" w:color="auto" w:fill="BFBFBF" w:themeFill="background1" w:themeFillShade="BF"/>
        </w:rPr>
        <w:t>160</w:t>
      </w:r>
      <w:r w:rsidRPr="007C1A06">
        <w:rPr>
          <w:rFonts w:ascii="Times New Roman" w:eastAsia="Times New Roman" w:hAnsi="Times New Roman" w:cs="Times New Roman"/>
          <w:shd w:val="clear" w:color="auto" w:fill="BFBFBF" w:themeFill="background1" w:themeFillShade="BF"/>
        </w:rPr>
        <w:t xml:space="preserve"> </w:t>
      </w:r>
      <w:r w:rsidRPr="004E3CD5">
        <w:rPr>
          <w:rFonts w:ascii="Times New Roman" w:hAnsi="Times New Roman"/>
          <w:shd w:val="clear" w:color="auto" w:fill="BFBFBF" w:themeFill="background1" w:themeFillShade="BF"/>
        </w:rPr>
        <w:t>mg/</w:t>
      </w:r>
      <w:r w:rsidRPr="007C1A06">
        <w:rPr>
          <w:rFonts w:ascii="Times New Roman" w:eastAsia="Times New Roman" w:hAnsi="Times New Roman" w:cs="Times New Roman"/>
          <w:shd w:val="clear" w:color="auto" w:fill="BFBFBF" w:themeFill="background1" w:themeFillShade="BF"/>
        </w:rPr>
        <w:t>16 ml).</w:t>
      </w:r>
    </w:p>
    <w:p w14:paraId="0D0399F4" w14:textId="77777777" w:rsidR="004042F8" w:rsidRPr="001F2C46" w:rsidRDefault="004042F8" w:rsidP="004042F8">
      <w:pPr>
        <w:spacing w:after="0" w:line="240" w:lineRule="auto"/>
        <w:rPr>
          <w:rFonts w:ascii="Times New Roman" w:hAnsi="Times New Roman"/>
        </w:rPr>
      </w:pPr>
    </w:p>
    <w:p w14:paraId="5E35E3E8" w14:textId="515B293C" w:rsidR="004042F8" w:rsidRDefault="004042F8" w:rsidP="004042F8">
      <w:pPr>
        <w:spacing w:after="0" w:line="240" w:lineRule="auto"/>
        <w:rPr>
          <w:rFonts w:ascii="Times New Roman" w:eastAsia="Times New Roman" w:hAnsi="Times New Roman" w:cs="Times New Roman"/>
        </w:rPr>
      </w:pPr>
      <w:r w:rsidRPr="00C56594">
        <w:rPr>
          <w:rFonts w:ascii="Times New Roman" w:eastAsia="Times New Roman" w:hAnsi="Times New Roman" w:cs="Times New Roman"/>
        </w:rPr>
        <w:t>Docetaxel Ebewe tiekiamas multipakuotėmis, kurių kiekvienoje yra</w:t>
      </w:r>
      <w:r w:rsidRPr="00F95B76">
        <w:rPr>
          <w:rFonts w:ascii="Times New Roman" w:hAnsi="Times New Roman"/>
        </w:rPr>
        <w:t xml:space="preserve"> 5 arba 10 flakonų</w:t>
      </w:r>
      <w:r w:rsidRPr="00C56594">
        <w:rPr>
          <w:rFonts w:ascii="Times New Roman" w:eastAsia="Times New Roman" w:hAnsi="Times New Roman" w:cs="Times New Roman"/>
        </w:rPr>
        <w:t xml:space="preserve"> (20 mg/2 ml</w:t>
      </w:r>
      <w:r w:rsidRPr="007C1A06">
        <w:rPr>
          <w:rFonts w:ascii="Times New Roman" w:eastAsia="Times New Roman" w:hAnsi="Times New Roman" w:cs="Times New Roman"/>
        </w:rPr>
        <w:t xml:space="preserve">, </w:t>
      </w:r>
      <w:r w:rsidRPr="004E3CD5">
        <w:rPr>
          <w:rFonts w:ascii="Times New Roman" w:hAnsi="Times New Roman"/>
          <w:highlight w:val="lightGray"/>
        </w:rPr>
        <w:t>80</w:t>
      </w:r>
      <w:r w:rsidRPr="007C1A06">
        <w:rPr>
          <w:rFonts w:ascii="Times New Roman" w:eastAsia="Times New Roman" w:hAnsi="Times New Roman" w:cs="Times New Roman"/>
          <w:highlight w:val="lightGray"/>
        </w:rPr>
        <w:t xml:space="preserve"> </w:t>
      </w:r>
      <w:r w:rsidRPr="004E3CD5">
        <w:rPr>
          <w:rFonts w:ascii="Times New Roman" w:hAnsi="Times New Roman"/>
          <w:highlight w:val="lightGray"/>
        </w:rPr>
        <w:t>mg/8</w:t>
      </w:r>
      <w:r w:rsidRPr="007C1A06">
        <w:rPr>
          <w:rFonts w:ascii="Times New Roman" w:eastAsia="Times New Roman" w:hAnsi="Times New Roman" w:cs="Times New Roman"/>
          <w:highlight w:val="lightGray"/>
        </w:rPr>
        <w:t xml:space="preserve"> </w:t>
      </w:r>
      <w:r w:rsidRPr="004E3CD5">
        <w:rPr>
          <w:rFonts w:ascii="Times New Roman" w:hAnsi="Times New Roman"/>
          <w:highlight w:val="lightGray"/>
        </w:rPr>
        <w:t>ml</w:t>
      </w:r>
      <w:r w:rsidRPr="007C1A06">
        <w:rPr>
          <w:rFonts w:ascii="Times New Roman" w:eastAsia="Times New Roman" w:hAnsi="Times New Roman" w:cs="Times New Roman"/>
          <w:highlight w:val="lightGray"/>
        </w:rPr>
        <w:t xml:space="preserve">, </w:t>
      </w:r>
      <w:r w:rsidRPr="004E3CD5">
        <w:rPr>
          <w:rFonts w:ascii="Times New Roman" w:hAnsi="Times New Roman"/>
          <w:highlight w:val="lightGray"/>
        </w:rPr>
        <w:t>160</w:t>
      </w:r>
      <w:r w:rsidRPr="007C1A06">
        <w:rPr>
          <w:rFonts w:ascii="Times New Roman" w:eastAsia="Times New Roman" w:hAnsi="Times New Roman" w:cs="Times New Roman"/>
          <w:highlight w:val="lightGray"/>
        </w:rPr>
        <w:t xml:space="preserve"> </w:t>
      </w:r>
      <w:r w:rsidRPr="004E3CD5">
        <w:rPr>
          <w:rFonts w:ascii="Times New Roman" w:hAnsi="Times New Roman"/>
          <w:highlight w:val="lightGray"/>
        </w:rPr>
        <w:t>mg/16</w:t>
      </w:r>
      <w:r w:rsidRPr="007C1A06">
        <w:rPr>
          <w:rFonts w:ascii="Times New Roman" w:eastAsia="Times New Roman" w:hAnsi="Times New Roman" w:cs="Times New Roman"/>
          <w:highlight w:val="lightGray"/>
        </w:rPr>
        <w:t xml:space="preserve"> </w:t>
      </w:r>
      <w:r w:rsidRPr="004E3CD5">
        <w:rPr>
          <w:rFonts w:ascii="Times New Roman" w:hAnsi="Times New Roman"/>
          <w:highlight w:val="lightGray"/>
        </w:rPr>
        <w:t>ml</w:t>
      </w:r>
      <w:r w:rsidRPr="007C1A06">
        <w:rPr>
          <w:rFonts w:ascii="Times New Roman" w:eastAsia="Times New Roman" w:hAnsi="Times New Roman" w:cs="Times New Roman"/>
          <w:highlight w:val="lightGray"/>
        </w:rPr>
        <w:t>).</w:t>
      </w:r>
    </w:p>
    <w:p w14:paraId="3149C7BA" w14:textId="767FF7BE" w:rsidR="0016423D" w:rsidRDefault="0016423D" w:rsidP="004042F8">
      <w:pPr>
        <w:spacing w:after="0" w:line="240" w:lineRule="auto"/>
        <w:rPr>
          <w:rFonts w:ascii="Times New Roman" w:eastAsia="Times New Roman" w:hAnsi="Times New Roman" w:cs="Times New Roman"/>
        </w:rPr>
      </w:pPr>
    </w:p>
    <w:p w14:paraId="20A534CA" w14:textId="00EABC90" w:rsidR="0016423D" w:rsidRPr="005751B8" w:rsidRDefault="0016423D" w:rsidP="0016423D">
      <w:pPr>
        <w:spacing w:after="0" w:line="240" w:lineRule="auto"/>
        <w:jc w:val="both"/>
        <w:rPr>
          <w:rFonts w:ascii="Times New Roman" w:eastAsia="Times New Roman" w:hAnsi="Times New Roman" w:cs="Times New Roman"/>
          <w:lang w:eastAsia="x-none"/>
        </w:rPr>
      </w:pPr>
      <w:r>
        <w:rPr>
          <w:rFonts w:ascii="Times New Roman" w:hAnsi="Times New Roman" w:cs="Times New Roman"/>
          <w:color w:val="000000"/>
        </w:rPr>
        <w:t xml:space="preserve">Flakonai supakuoti su </w:t>
      </w:r>
      <w:r w:rsidRPr="00111A39">
        <w:rPr>
          <w:rFonts w:ascii="Times New Roman" w:hAnsi="Times New Roman"/>
        </w:rPr>
        <w:t>arba be apsauginės plastikinės plėvelės (</w:t>
      </w:r>
      <w:r w:rsidRPr="00111A39">
        <w:rPr>
          <w:rFonts w:ascii="Times New Roman" w:hAnsi="Times New Roman"/>
          <w:i/>
        </w:rPr>
        <w:t>Onko-Safe</w:t>
      </w:r>
      <w:r>
        <w:rPr>
          <w:rFonts w:ascii="Times New Roman" w:hAnsi="Times New Roman"/>
          <w:i/>
        </w:rPr>
        <w:t xml:space="preserve"> ar </w:t>
      </w:r>
      <w:r>
        <w:rPr>
          <w:rFonts w:ascii="Times New Roman" w:hAnsi="Times New Roman" w:cs="Times New Roman"/>
          <w:color w:val="000000"/>
        </w:rPr>
        <w:t>apsauginės rankovės  Sleeving)</w:t>
      </w:r>
      <w:r>
        <w:rPr>
          <w:rFonts w:ascii="Times New Roman" w:hAnsi="Times New Roman"/>
          <w:i/>
        </w:rPr>
        <w:t xml:space="preserve">. </w:t>
      </w:r>
      <w:r>
        <w:rPr>
          <w:rFonts w:ascii="Times New Roman" w:hAnsi="Times New Roman" w:cs="Times New Roman"/>
          <w:color w:val="000000"/>
        </w:rPr>
        <w:t xml:space="preserve">Onco-Safe ir Sleeving </w:t>
      </w:r>
      <w:r w:rsidRPr="005751B8">
        <w:rPr>
          <w:rFonts w:ascii="Times New Roman" w:eastAsia="Times New Roman" w:hAnsi="Times New Roman" w:cs="Times New Roman"/>
          <w:lang w:eastAsia="x-none"/>
        </w:rPr>
        <w:t xml:space="preserve">neturi sąlyčio su vaistu ir suteikia papildomą </w:t>
      </w:r>
      <w:r>
        <w:rPr>
          <w:rFonts w:ascii="Times New Roman" w:eastAsia="Times New Roman" w:hAnsi="Times New Roman" w:cs="Times New Roman"/>
          <w:lang w:eastAsia="x-none"/>
        </w:rPr>
        <w:t xml:space="preserve">apsauga transportuojant vaistą bei </w:t>
      </w:r>
      <w:r w:rsidRPr="005751B8">
        <w:rPr>
          <w:rFonts w:ascii="Times New Roman" w:eastAsia="Times New Roman" w:hAnsi="Times New Roman" w:cs="Times New Roman"/>
          <w:lang w:eastAsia="x-none"/>
        </w:rPr>
        <w:t>padidina medicinos ir farmacijos personalo saugumą.</w:t>
      </w:r>
    </w:p>
    <w:p w14:paraId="547512F2" w14:textId="77777777" w:rsidR="00D875C0" w:rsidRPr="001F2C46" w:rsidRDefault="00D875C0" w:rsidP="00D875C0">
      <w:pPr>
        <w:spacing w:after="0" w:line="240" w:lineRule="auto"/>
        <w:rPr>
          <w:rFonts w:ascii="Times New Roman" w:hAnsi="Times New Roman"/>
        </w:rPr>
      </w:pPr>
    </w:p>
    <w:p w14:paraId="2A64BBB0" w14:textId="77777777" w:rsidR="00D875C0" w:rsidRPr="00427D92" w:rsidRDefault="00D875C0" w:rsidP="00D875C0">
      <w:pPr>
        <w:spacing w:after="0" w:line="240" w:lineRule="auto"/>
        <w:rPr>
          <w:rFonts w:ascii="Times New Roman" w:hAnsi="Times New Roman"/>
        </w:rPr>
      </w:pPr>
      <w:r w:rsidRPr="00427D92">
        <w:rPr>
          <w:rFonts w:ascii="Times New Roman" w:hAnsi="Times New Roman"/>
        </w:rPr>
        <w:t>Gali būti tiekiamos ne visų dydžių pakuotės.</w:t>
      </w:r>
    </w:p>
    <w:p w14:paraId="75810662" w14:textId="77777777" w:rsidR="00D875C0" w:rsidRPr="00C722B4" w:rsidRDefault="00D875C0" w:rsidP="00D875C0">
      <w:pPr>
        <w:spacing w:after="0" w:line="240" w:lineRule="auto"/>
        <w:rPr>
          <w:rFonts w:ascii="Times New Roman" w:hAnsi="Times New Roman"/>
        </w:rPr>
      </w:pPr>
    </w:p>
    <w:p w14:paraId="71DEC753" w14:textId="77777777" w:rsidR="001A26E5" w:rsidRDefault="00D875C0" w:rsidP="00D875C0">
      <w:pPr>
        <w:spacing w:after="0" w:line="220" w:lineRule="exact"/>
        <w:rPr>
          <w:rFonts w:ascii="Times New Roman" w:hAnsi="Times New Roman"/>
          <w:b/>
        </w:rPr>
      </w:pPr>
      <w:r w:rsidRPr="007C1A06">
        <w:rPr>
          <w:rFonts w:ascii="Times New Roman" w:hAnsi="Times New Roman"/>
          <w:b/>
        </w:rPr>
        <w:t xml:space="preserve">Registruotojas </w:t>
      </w:r>
    </w:p>
    <w:p w14:paraId="0A91A062"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Sandoz d.d.</w:t>
      </w:r>
    </w:p>
    <w:p w14:paraId="0FC2925E"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Verovškova 57</w:t>
      </w:r>
    </w:p>
    <w:p w14:paraId="3675CD8E"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SI-1000 Ljubljana</w:t>
      </w:r>
    </w:p>
    <w:p w14:paraId="605B9D45" w14:textId="77777777" w:rsidR="001A26E5" w:rsidRPr="008E6F95" w:rsidRDefault="001A26E5" w:rsidP="001A26E5">
      <w:pPr>
        <w:spacing w:after="0" w:line="240" w:lineRule="auto"/>
        <w:rPr>
          <w:rFonts w:ascii="Times New Roman" w:hAnsi="Times New Roman" w:cs="Times New Roman"/>
        </w:rPr>
      </w:pPr>
      <w:r w:rsidRPr="008E6F95">
        <w:rPr>
          <w:rFonts w:ascii="Times New Roman" w:hAnsi="Times New Roman" w:cs="Times New Roman"/>
        </w:rPr>
        <w:t>Slovėnija</w:t>
      </w:r>
    </w:p>
    <w:p w14:paraId="35AD545B" w14:textId="77777777" w:rsidR="001A26E5" w:rsidRDefault="001A26E5" w:rsidP="00D875C0">
      <w:pPr>
        <w:spacing w:after="0" w:line="220" w:lineRule="exact"/>
        <w:rPr>
          <w:rFonts w:ascii="Times New Roman" w:hAnsi="Times New Roman"/>
          <w:b/>
        </w:rPr>
      </w:pPr>
    </w:p>
    <w:p w14:paraId="5589FD4D" w14:textId="77777777" w:rsidR="00D875C0" w:rsidRPr="004E3CD5" w:rsidRDefault="001A26E5" w:rsidP="00D875C0">
      <w:pPr>
        <w:spacing w:after="0" w:line="220" w:lineRule="exact"/>
        <w:rPr>
          <w:rFonts w:ascii="Times New Roman" w:eastAsiaTheme="minorEastAsia" w:hAnsi="Times New Roman"/>
          <w:b/>
          <w:lang w:eastAsia="zh-TW"/>
        </w:rPr>
      </w:pPr>
      <w:r>
        <w:rPr>
          <w:rFonts w:ascii="Times New Roman" w:hAnsi="Times New Roman"/>
          <w:b/>
        </w:rPr>
        <w:t>G</w:t>
      </w:r>
      <w:r w:rsidR="00D875C0" w:rsidRPr="007C1A06">
        <w:rPr>
          <w:rFonts w:ascii="Times New Roman" w:hAnsi="Times New Roman"/>
          <w:b/>
        </w:rPr>
        <w:t>amintojas</w:t>
      </w:r>
    </w:p>
    <w:p w14:paraId="29C74F70"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EBEWE Pharma Ges.m.b.H. Nfg. KG</w:t>
      </w:r>
    </w:p>
    <w:p w14:paraId="5E3F34B5"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Mondseestrasse 11</w:t>
      </w:r>
    </w:p>
    <w:p w14:paraId="39D5E65C"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A-4866 Unterach</w:t>
      </w:r>
    </w:p>
    <w:p w14:paraId="5DF332C2" w14:textId="77777777" w:rsidR="00D875C0" w:rsidRPr="004E3CD5" w:rsidRDefault="00D875C0" w:rsidP="00D875C0">
      <w:pPr>
        <w:tabs>
          <w:tab w:val="left" w:pos="2835"/>
        </w:tabs>
        <w:spacing w:after="0" w:line="240" w:lineRule="auto"/>
        <w:rPr>
          <w:rFonts w:ascii="Times New Roman" w:eastAsiaTheme="minorEastAsia" w:hAnsi="Times New Roman"/>
          <w:lang w:eastAsia="zh-TW"/>
        </w:rPr>
      </w:pPr>
      <w:r w:rsidRPr="007C1A06">
        <w:rPr>
          <w:rFonts w:ascii="Times New Roman" w:hAnsi="Times New Roman"/>
        </w:rPr>
        <w:t>Austrija</w:t>
      </w:r>
    </w:p>
    <w:p w14:paraId="1087CCF6" w14:textId="77777777" w:rsidR="003D2457" w:rsidRPr="003D2457" w:rsidRDefault="003D2457" w:rsidP="003D2457">
      <w:pPr>
        <w:tabs>
          <w:tab w:val="center" w:pos="4536"/>
          <w:tab w:val="right" w:pos="9072"/>
        </w:tabs>
        <w:spacing w:after="0" w:line="240" w:lineRule="auto"/>
        <w:rPr>
          <w:rFonts w:ascii="Times New Roman" w:eastAsiaTheme="minorEastAsia" w:hAnsi="Times New Roman"/>
          <w:lang w:eastAsia="zh-TW"/>
        </w:rPr>
      </w:pPr>
      <w:r w:rsidRPr="003D2457">
        <w:rPr>
          <w:rFonts w:ascii="Times New Roman" w:eastAsiaTheme="minorEastAsia" w:hAnsi="Times New Roman"/>
          <w:lang w:eastAsia="zh-TW"/>
        </w:rPr>
        <w:t>arba</w:t>
      </w:r>
    </w:p>
    <w:p w14:paraId="44CEC39F" w14:textId="77777777" w:rsidR="003D2457" w:rsidRPr="003D2457" w:rsidRDefault="003D2457" w:rsidP="003D2457">
      <w:pPr>
        <w:tabs>
          <w:tab w:val="center" w:pos="4536"/>
          <w:tab w:val="right" w:pos="9072"/>
        </w:tabs>
        <w:spacing w:after="0" w:line="240" w:lineRule="auto"/>
        <w:rPr>
          <w:rFonts w:ascii="Times New Roman" w:eastAsiaTheme="minorEastAsia" w:hAnsi="Times New Roman"/>
          <w:lang w:eastAsia="zh-TW"/>
        </w:rPr>
      </w:pPr>
    </w:p>
    <w:p w14:paraId="4B3384D3" w14:textId="77777777" w:rsidR="003D2457" w:rsidRPr="003D2457" w:rsidRDefault="003D2457" w:rsidP="003D2457">
      <w:pPr>
        <w:tabs>
          <w:tab w:val="center" w:pos="4536"/>
          <w:tab w:val="right" w:pos="9072"/>
        </w:tabs>
        <w:spacing w:after="0" w:line="240" w:lineRule="auto"/>
        <w:rPr>
          <w:rFonts w:ascii="Times New Roman" w:eastAsiaTheme="minorEastAsia" w:hAnsi="Times New Roman"/>
          <w:lang w:eastAsia="zh-TW"/>
        </w:rPr>
      </w:pPr>
      <w:r w:rsidRPr="003D2457">
        <w:rPr>
          <w:rFonts w:ascii="Times New Roman" w:eastAsiaTheme="minorEastAsia" w:hAnsi="Times New Roman"/>
          <w:lang w:eastAsia="zh-TW"/>
        </w:rPr>
        <w:t>Fareva Unterach GmbH</w:t>
      </w:r>
    </w:p>
    <w:p w14:paraId="127B793B" w14:textId="77777777" w:rsidR="003D2457" w:rsidRPr="003D2457" w:rsidRDefault="003D2457" w:rsidP="003D2457">
      <w:pPr>
        <w:tabs>
          <w:tab w:val="center" w:pos="4536"/>
          <w:tab w:val="right" w:pos="9072"/>
        </w:tabs>
        <w:spacing w:after="0" w:line="240" w:lineRule="auto"/>
        <w:rPr>
          <w:rFonts w:ascii="Times New Roman" w:eastAsiaTheme="minorEastAsia" w:hAnsi="Times New Roman"/>
          <w:lang w:eastAsia="zh-TW"/>
        </w:rPr>
      </w:pPr>
      <w:r w:rsidRPr="003D2457">
        <w:rPr>
          <w:rFonts w:ascii="Times New Roman" w:eastAsiaTheme="minorEastAsia" w:hAnsi="Times New Roman"/>
          <w:lang w:eastAsia="zh-TW"/>
        </w:rPr>
        <w:t>Mondseestrasse 11</w:t>
      </w:r>
    </w:p>
    <w:p w14:paraId="25E69976" w14:textId="77777777" w:rsidR="003D2457" w:rsidRPr="003D2457" w:rsidRDefault="003D2457" w:rsidP="003D2457">
      <w:pPr>
        <w:tabs>
          <w:tab w:val="center" w:pos="4536"/>
          <w:tab w:val="right" w:pos="9072"/>
        </w:tabs>
        <w:spacing w:after="0" w:line="240" w:lineRule="auto"/>
        <w:rPr>
          <w:rFonts w:ascii="Times New Roman" w:eastAsiaTheme="minorEastAsia" w:hAnsi="Times New Roman"/>
          <w:lang w:eastAsia="zh-TW"/>
        </w:rPr>
      </w:pPr>
      <w:r w:rsidRPr="003D2457">
        <w:rPr>
          <w:rFonts w:ascii="Times New Roman" w:eastAsiaTheme="minorEastAsia" w:hAnsi="Times New Roman"/>
          <w:lang w:eastAsia="zh-TW"/>
        </w:rPr>
        <w:t>A-4866 Unterach</w:t>
      </w:r>
    </w:p>
    <w:p w14:paraId="1A9A1338" w14:textId="77777777" w:rsidR="003D2457" w:rsidRPr="004E3CD5" w:rsidRDefault="003D2457" w:rsidP="003D2457">
      <w:pPr>
        <w:tabs>
          <w:tab w:val="center" w:pos="4536"/>
          <w:tab w:val="right" w:pos="9072"/>
        </w:tabs>
        <w:spacing w:after="0" w:line="240" w:lineRule="auto"/>
        <w:rPr>
          <w:rFonts w:ascii="Times New Roman" w:eastAsiaTheme="minorEastAsia" w:hAnsi="Times New Roman"/>
          <w:lang w:eastAsia="zh-TW"/>
        </w:rPr>
      </w:pPr>
      <w:r w:rsidRPr="003D2457">
        <w:rPr>
          <w:rFonts w:ascii="Times New Roman" w:eastAsiaTheme="minorEastAsia" w:hAnsi="Times New Roman"/>
          <w:lang w:eastAsia="zh-TW"/>
        </w:rPr>
        <w:t>Austrija</w:t>
      </w:r>
    </w:p>
    <w:p w14:paraId="2A98CDF7" w14:textId="77777777" w:rsidR="00D875C0" w:rsidRPr="007C1A06" w:rsidRDefault="00D875C0" w:rsidP="00D875C0">
      <w:pPr>
        <w:spacing w:after="0" w:line="240" w:lineRule="auto"/>
        <w:rPr>
          <w:rFonts w:ascii="Times New Roman" w:hAnsi="Times New Roman"/>
        </w:rPr>
      </w:pPr>
    </w:p>
    <w:p w14:paraId="43224EC7"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Jeigu apie šį vaistą norite sužinoti daugiau, kreipkitės į vietinį registruotojo atstovą.</w:t>
      </w:r>
    </w:p>
    <w:p w14:paraId="1634FE2A" w14:textId="77777777" w:rsidR="00D875C0" w:rsidRPr="007C1A06" w:rsidRDefault="00D875C0" w:rsidP="00D875C0">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D875C0" w:rsidRPr="007C1A06" w14:paraId="00B30B46" w14:textId="77777777" w:rsidTr="004E3CD5">
        <w:tc>
          <w:tcPr>
            <w:tcW w:w="4678" w:type="dxa"/>
          </w:tcPr>
          <w:p w14:paraId="0A074AE2" w14:textId="77777777" w:rsidR="00D875C0" w:rsidRPr="007C1A06" w:rsidRDefault="00D875C0" w:rsidP="003876F8">
            <w:pPr>
              <w:spacing w:after="0" w:line="240" w:lineRule="auto"/>
              <w:rPr>
                <w:rFonts w:ascii="Times New Roman" w:hAnsi="Times New Roman"/>
              </w:rPr>
            </w:pPr>
            <w:r w:rsidRPr="007C1A06">
              <w:rPr>
                <w:rFonts w:ascii="Times New Roman" w:hAnsi="Times New Roman"/>
              </w:rPr>
              <w:t>Sandoz Pharmaceuticals d.d. filialas</w:t>
            </w:r>
          </w:p>
          <w:p w14:paraId="5A1A3B84" w14:textId="4A87A4B4" w:rsidR="00D875C0" w:rsidRPr="001F2C46" w:rsidRDefault="00D875C0" w:rsidP="003876F8">
            <w:pPr>
              <w:spacing w:after="0" w:line="240" w:lineRule="auto"/>
              <w:rPr>
                <w:rFonts w:ascii="Times New Roman" w:hAnsi="Times New Roman"/>
              </w:rPr>
            </w:pPr>
            <w:r w:rsidRPr="00F95B76">
              <w:rPr>
                <w:rFonts w:ascii="Times New Roman" w:hAnsi="Times New Roman"/>
              </w:rPr>
              <w:t>Tel. +370 5 2636037</w:t>
            </w:r>
          </w:p>
          <w:p w14:paraId="211A1562" w14:textId="1A15B804" w:rsidR="00D875C0" w:rsidRPr="00427D92" w:rsidRDefault="00D875C0" w:rsidP="00E80C8F">
            <w:pPr>
              <w:spacing w:after="0" w:line="240" w:lineRule="auto"/>
              <w:rPr>
                <w:rFonts w:ascii="Times New Roman" w:eastAsiaTheme="minorEastAsia" w:hAnsi="Times New Roman"/>
                <w:lang w:val="en-US" w:eastAsia="zh-TW"/>
              </w:rPr>
            </w:pPr>
          </w:p>
        </w:tc>
      </w:tr>
    </w:tbl>
    <w:p w14:paraId="6FC43885" w14:textId="77777777" w:rsidR="00D875C0" w:rsidRPr="00F95B76" w:rsidRDefault="00D875C0" w:rsidP="00D875C0">
      <w:pPr>
        <w:spacing w:after="0" w:line="240" w:lineRule="auto"/>
        <w:rPr>
          <w:rFonts w:ascii="Times New Roman" w:hAnsi="Times New Roman"/>
        </w:rPr>
      </w:pPr>
    </w:p>
    <w:p w14:paraId="55B93A15" w14:textId="19E5012C" w:rsidR="00D875C0" w:rsidRPr="00427D92" w:rsidRDefault="00D875C0" w:rsidP="00D875C0">
      <w:pPr>
        <w:numPr>
          <w:ilvl w:val="12"/>
          <w:numId w:val="0"/>
        </w:numPr>
        <w:spacing w:after="0" w:line="240" w:lineRule="auto"/>
        <w:ind w:right="-2"/>
        <w:rPr>
          <w:rFonts w:ascii="Times New Roman" w:hAnsi="Times New Roman"/>
        </w:rPr>
      </w:pPr>
      <w:r w:rsidRPr="001F2C46">
        <w:rPr>
          <w:rFonts w:ascii="Times New Roman" w:hAnsi="Times New Roman"/>
          <w:b/>
        </w:rPr>
        <w:t>Šis vaistas</w:t>
      </w:r>
      <w:r w:rsidR="00484C25">
        <w:rPr>
          <w:rFonts w:ascii="Times New Roman" w:hAnsi="Times New Roman"/>
          <w:b/>
        </w:rPr>
        <w:t xml:space="preserve"> </w:t>
      </w:r>
      <w:r w:rsidR="00484C25" w:rsidRPr="00FB098B">
        <w:rPr>
          <w:rFonts w:ascii="Times New Roman" w:eastAsia="Times New Roman" w:hAnsi="Times New Roman" w:cs="Times New Roman"/>
          <w:b/>
        </w:rPr>
        <w:t xml:space="preserve">Europos ekonominės erdvės </w:t>
      </w:r>
      <w:r w:rsidR="00484C25" w:rsidRPr="0043521D">
        <w:rPr>
          <w:rFonts w:ascii="Times New Roman" w:eastAsia="Times New Roman" w:hAnsi="Times New Roman" w:cs="Times New Roman"/>
          <w:b/>
        </w:rPr>
        <w:t>valstybėse</w:t>
      </w:r>
      <w:r w:rsidRPr="001F2C46">
        <w:rPr>
          <w:rFonts w:ascii="Times New Roman" w:hAnsi="Times New Roman"/>
          <w:b/>
        </w:rPr>
        <w:t xml:space="preserve"> valstybėse narėse </w:t>
      </w:r>
      <w:r w:rsidR="00484C25" w:rsidRPr="002E4444">
        <w:rPr>
          <w:rFonts w:ascii="Times New Roman" w:eastAsia="Times New Roman" w:hAnsi="Times New Roman" w:cs="Times New Roman"/>
          <w:b/>
        </w:rPr>
        <w:t xml:space="preserve">ir Jungtinėje Karalystėje (Šiaurės Airijoje) </w:t>
      </w:r>
      <w:r w:rsidRPr="001F2C46">
        <w:rPr>
          <w:rFonts w:ascii="Times New Roman" w:hAnsi="Times New Roman"/>
          <w:b/>
        </w:rPr>
        <w:t>registruotas tokiais pavadinimais</w:t>
      </w:r>
      <w:r w:rsidRPr="00427D92">
        <w:rPr>
          <w:rFonts w:ascii="Times New Roman" w:hAnsi="Times New Roman"/>
        </w:rPr>
        <w:t>:</w:t>
      </w:r>
    </w:p>
    <w:p w14:paraId="3DF60F12" w14:textId="77777777" w:rsidR="00D875C0" w:rsidRPr="00C722B4" w:rsidRDefault="00D875C0" w:rsidP="00D875C0">
      <w:pPr>
        <w:spacing w:after="0" w:line="240" w:lineRule="auto"/>
        <w:rPr>
          <w:rFonts w:ascii="Times New Roman" w:hAnsi="Times New Roman"/>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20"/>
        <w:gridCol w:w="3789"/>
      </w:tblGrid>
      <w:tr w:rsidR="00874783" w:rsidRPr="007C1A06" w14:paraId="65FF4C74" w14:textId="77777777" w:rsidTr="00141267">
        <w:tc>
          <w:tcPr>
            <w:tcW w:w="5920" w:type="dxa"/>
            <w:tcBorders>
              <w:top w:val="single" w:sz="4" w:space="0" w:color="auto"/>
              <w:left w:val="single" w:sz="4" w:space="0" w:color="auto"/>
              <w:bottom w:val="single" w:sz="4" w:space="0" w:color="auto"/>
              <w:right w:val="single" w:sz="4" w:space="0" w:color="auto"/>
            </w:tcBorders>
          </w:tcPr>
          <w:p w14:paraId="23ACFE68" w14:textId="77777777" w:rsidR="00D875C0" w:rsidRPr="00C722B4" w:rsidRDefault="00D875C0" w:rsidP="00547CAE">
            <w:pPr>
              <w:spacing w:after="0" w:line="240" w:lineRule="auto"/>
              <w:rPr>
                <w:rFonts w:ascii="Times New Roman" w:hAnsi="Times New Roman"/>
              </w:rPr>
            </w:pPr>
            <w:r w:rsidRPr="00C722B4">
              <w:rPr>
                <w:rFonts w:ascii="Times New Roman" w:hAnsi="Times New Roman"/>
              </w:rPr>
              <w:t>Austrija</w:t>
            </w:r>
            <w:r w:rsidR="00C11F9C">
              <w:rPr>
                <w:rFonts w:ascii="Times New Roman" w:hAnsi="Times New Roman"/>
              </w:rPr>
              <w:t>, Bulgarija, Kipras, Čekija, Danija, Estija, Suomija, Prancūzija, Graikija,</w:t>
            </w:r>
            <w:r w:rsidR="00547CAE">
              <w:rPr>
                <w:rFonts w:ascii="Times New Roman" w:hAnsi="Times New Roman"/>
              </w:rPr>
              <w:t xml:space="preserve"> </w:t>
            </w:r>
            <w:r w:rsidR="00C11F9C">
              <w:rPr>
                <w:rFonts w:ascii="Times New Roman" w:hAnsi="Times New Roman"/>
              </w:rPr>
              <w:t>Airija, Latvija, Lietuva, Liuksemburgas, Malta, Norvegija, Lenkija, Portugalija, Rumunija, Ispanija, Švedija</w:t>
            </w:r>
          </w:p>
        </w:tc>
        <w:tc>
          <w:tcPr>
            <w:tcW w:w="3789" w:type="dxa"/>
            <w:tcBorders>
              <w:top w:val="single" w:sz="4" w:space="0" w:color="auto"/>
              <w:left w:val="single" w:sz="4" w:space="0" w:color="auto"/>
              <w:bottom w:val="single" w:sz="4" w:space="0" w:color="auto"/>
              <w:right w:val="single" w:sz="4" w:space="0" w:color="auto"/>
            </w:tcBorders>
          </w:tcPr>
          <w:p w14:paraId="3EA89F97" w14:textId="77777777" w:rsidR="00D875C0" w:rsidRPr="004E3CD5" w:rsidRDefault="00D875C0" w:rsidP="00C11F9C">
            <w:pPr>
              <w:spacing w:after="0" w:line="240" w:lineRule="auto"/>
              <w:rPr>
                <w:rFonts w:ascii="Times New Roman" w:eastAsiaTheme="minorEastAsia" w:hAnsi="Times New Roman"/>
                <w:lang w:eastAsia="zh-TW"/>
              </w:rPr>
            </w:pPr>
            <w:r w:rsidRPr="007C1A06">
              <w:rPr>
                <w:rFonts w:ascii="Times New Roman" w:hAnsi="Times New Roman"/>
              </w:rPr>
              <w:t xml:space="preserve">Docetaxel Ebewe </w:t>
            </w:r>
          </w:p>
        </w:tc>
      </w:tr>
      <w:tr w:rsidR="00874783" w:rsidRPr="007C1A06" w14:paraId="77CC3805" w14:textId="77777777" w:rsidTr="00141267">
        <w:tc>
          <w:tcPr>
            <w:tcW w:w="5920" w:type="dxa"/>
            <w:tcBorders>
              <w:top w:val="single" w:sz="4" w:space="0" w:color="auto"/>
              <w:left w:val="single" w:sz="4" w:space="0" w:color="auto"/>
              <w:bottom w:val="single" w:sz="4" w:space="0" w:color="auto"/>
              <w:right w:val="single" w:sz="4" w:space="0" w:color="auto"/>
            </w:tcBorders>
          </w:tcPr>
          <w:p w14:paraId="0E24EDDD" w14:textId="77777777" w:rsidR="00D875C0" w:rsidRPr="001F2C46" w:rsidRDefault="00D875C0" w:rsidP="003876F8">
            <w:pPr>
              <w:spacing w:after="0" w:line="240" w:lineRule="auto"/>
              <w:rPr>
                <w:rFonts w:ascii="Times New Roman" w:hAnsi="Times New Roman"/>
              </w:rPr>
            </w:pPr>
            <w:r w:rsidRPr="00F95B76">
              <w:rPr>
                <w:rFonts w:ascii="Times New Roman" w:hAnsi="Times New Roman"/>
              </w:rPr>
              <w:t>Belgija</w:t>
            </w:r>
          </w:p>
        </w:tc>
        <w:tc>
          <w:tcPr>
            <w:tcW w:w="3789" w:type="dxa"/>
            <w:tcBorders>
              <w:top w:val="single" w:sz="4" w:space="0" w:color="auto"/>
              <w:left w:val="single" w:sz="4" w:space="0" w:color="auto"/>
              <w:bottom w:val="single" w:sz="4" w:space="0" w:color="auto"/>
              <w:right w:val="single" w:sz="4" w:space="0" w:color="auto"/>
            </w:tcBorders>
          </w:tcPr>
          <w:p w14:paraId="39C5E418" w14:textId="77777777" w:rsidR="00D875C0" w:rsidRPr="004E3CD5" w:rsidRDefault="00D875C0" w:rsidP="00C11F9C">
            <w:pPr>
              <w:spacing w:after="0" w:line="240" w:lineRule="auto"/>
              <w:rPr>
                <w:rFonts w:ascii="Times New Roman" w:eastAsiaTheme="minorEastAsia" w:hAnsi="Times New Roman"/>
                <w:lang w:eastAsia="zh-TW"/>
              </w:rPr>
            </w:pPr>
            <w:r w:rsidRPr="00427D92">
              <w:rPr>
                <w:rFonts w:ascii="Times New Roman" w:hAnsi="Times New Roman"/>
              </w:rPr>
              <w:t xml:space="preserve">Docetaxel </w:t>
            </w:r>
            <w:r w:rsidRPr="007C1A06">
              <w:rPr>
                <w:rFonts w:ascii="Times New Roman" w:eastAsia="Times New Roman" w:hAnsi="Times New Roman" w:cs="Times New Roman"/>
              </w:rPr>
              <w:t>Ebewe</w:t>
            </w:r>
            <w:r w:rsidR="00EC5B32">
              <w:rPr>
                <w:rFonts w:ascii="Times New Roman" w:eastAsia="Times New Roman" w:hAnsi="Times New Roman" w:cs="Times New Roman"/>
              </w:rPr>
              <w:t xml:space="preserve"> </w:t>
            </w:r>
            <w:r w:rsidRPr="007C1A06">
              <w:rPr>
                <w:rFonts w:ascii="Times New Roman" w:eastAsia="Times New Roman" w:hAnsi="Times New Roman" w:cs="Times New Roman"/>
              </w:rPr>
              <w:t>Pharma</w:t>
            </w:r>
            <w:r w:rsidRPr="00F95B76">
              <w:rPr>
                <w:rFonts w:ascii="Times New Roman" w:hAnsi="Times New Roman"/>
              </w:rPr>
              <w:t xml:space="preserve"> </w:t>
            </w:r>
          </w:p>
        </w:tc>
      </w:tr>
      <w:tr w:rsidR="00874783" w:rsidRPr="007C1A06" w14:paraId="20528D22" w14:textId="77777777" w:rsidTr="00141267">
        <w:tc>
          <w:tcPr>
            <w:tcW w:w="5920" w:type="dxa"/>
            <w:tcBorders>
              <w:top w:val="single" w:sz="4" w:space="0" w:color="auto"/>
              <w:left w:val="single" w:sz="4" w:space="0" w:color="auto"/>
              <w:bottom w:val="single" w:sz="4" w:space="0" w:color="auto"/>
              <w:right w:val="single" w:sz="4" w:space="0" w:color="auto"/>
            </w:tcBorders>
          </w:tcPr>
          <w:p w14:paraId="708E06B5" w14:textId="77777777" w:rsidR="00D875C0" w:rsidRPr="001F2C46" w:rsidRDefault="00D875C0" w:rsidP="003876F8">
            <w:pPr>
              <w:spacing w:after="0" w:line="240" w:lineRule="auto"/>
              <w:rPr>
                <w:rFonts w:ascii="Times New Roman" w:hAnsi="Times New Roman"/>
              </w:rPr>
            </w:pPr>
            <w:r w:rsidRPr="00F95B76">
              <w:rPr>
                <w:rFonts w:ascii="Times New Roman" w:hAnsi="Times New Roman"/>
              </w:rPr>
              <w:t>Vokietija</w:t>
            </w:r>
          </w:p>
        </w:tc>
        <w:tc>
          <w:tcPr>
            <w:tcW w:w="3789" w:type="dxa"/>
            <w:tcBorders>
              <w:top w:val="single" w:sz="4" w:space="0" w:color="auto"/>
              <w:left w:val="single" w:sz="4" w:space="0" w:color="auto"/>
              <w:bottom w:val="single" w:sz="4" w:space="0" w:color="auto"/>
              <w:right w:val="single" w:sz="4" w:space="0" w:color="auto"/>
            </w:tcBorders>
          </w:tcPr>
          <w:p w14:paraId="13A4475E" w14:textId="77777777" w:rsidR="00D875C0" w:rsidRPr="00C722B4" w:rsidRDefault="00D875C0" w:rsidP="00C11F9C">
            <w:pPr>
              <w:spacing w:after="0" w:line="240" w:lineRule="auto"/>
              <w:rPr>
                <w:rFonts w:ascii="Times New Roman" w:hAnsi="Times New Roman"/>
              </w:rPr>
            </w:pPr>
            <w:r w:rsidRPr="00427D92">
              <w:rPr>
                <w:rFonts w:ascii="Times New Roman" w:hAnsi="Times New Roman"/>
              </w:rPr>
              <w:t>Docetaxel</w:t>
            </w:r>
            <w:r w:rsidRPr="00C722B4">
              <w:rPr>
                <w:rFonts w:ascii="Times New Roman" w:hAnsi="Times New Roman"/>
              </w:rPr>
              <w:t xml:space="preserve"> NC </w:t>
            </w:r>
          </w:p>
        </w:tc>
      </w:tr>
      <w:tr w:rsidR="00874783" w:rsidRPr="007C1A06" w14:paraId="31F7CE73" w14:textId="77777777" w:rsidTr="00141267">
        <w:tc>
          <w:tcPr>
            <w:tcW w:w="5920" w:type="dxa"/>
            <w:tcBorders>
              <w:top w:val="single" w:sz="4" w:space="0" w:color="auto"/>
              <w:left w:val="single" w:sz="4" w:space="0" w:color="auto"/>
              <w:bottom w:val="single" w:sz="4" w:space="0" w:color="auto"/>
              <w:right w:val="single" w:sz="4" w:space="0" w:color="auto"/>
            </w:tcBorders>
          </w:tcPr>
          <w:p w14:paraId="19FD1CBB" w14:textId="016ABB59" w:rsidR="00D875C0" w:rsidRPr="001F2C46" w:rsidRDefault="00D875C0" w:rsidP="003876F8">
            <w:pPr>
              <w:spacing w:after="0" w:line="240" w:lineRule="auto"/>
              <w:rPr>
                <w:rFonts w:ascii="Times New Roman" w:hAnsi="Times New Roman"/>
              </w:rPr>
            </w:pPr>
            <w:r w:rsidRPr="00F95B76">
              <w:rPr>
                <w:rFonts w:ascii="Times New Roman" w:hAnsi="Times New Roman"/>
              </w:rPr>
              <w:t>Italija</w:t>
            </w:r>
            <w:r w:rsidR="00C11F9C">
              <w:rPr>
                <w:rFonts w:ascii="Times New Roman" w:hAnsi="Times New Roman"/>
              </w:rPr>
              <w:t>, Olandija</w:t>
            </w:r>
            <w:r w:rsidR="00547CAE">
              <w:rPr>
                <w:rFonts w:ascii="Times New Roman" w:hAnsi="Times New Roman"/>
              </w:rPr>
              <w:t>, Vengrija, Slovakija, Slovėnija, Jungtinė Karalystė</w:t>
            </w:r>
          </w:p>
        </w:tc>
        <w:tc>
          <w:tcPr>
            <w:tcW w:w="3789" w:type="dxa"/>
            <w:tcBorders>
              <w:top w:val="single" w:sz="4" w:space="0" w:color="auto"/>
              <w:left w:val="single" w:sz="4" w:space="0" w:color="auto"/>
              <w:bottom w:val="single" w:sz="4" w:space="0" w:color="auto"/>
              <w:right w:val="single" w:sz="4" w:space="0" w:color="auto"/>
            </w:tcBorders>
          </w:tcPr>
          <w:p w14:paraId="1E44016F" w14:textId="77777777" w:rsidR="00D875C0" w:rsidRPr="00C722B4" w:rsidRDefault="00D875C0" w:rsidP="00547CAE">
            <w:pPr>
              <w:spacing w:after="0" w:line="240" w:lineRule="auto"/>
              <w:rPr>
                <w:rFonts w:ascii="Times New Roman" w:hAnsi="Times New Roman"/>
              </w:rPr>
            </w:pPr>
            <w:r w:rsidRPr="00427D92">
              <w:rPr>
                <w:rFonts w:ascii="Times New Roman" w:hAnsi="Times New Roman"/>
              </w:rPr>
              <w:t>Docetaxel Sandoz 10</w:t>
            </w:r>
            <w:r w:rsidR="007D5071" w:rsidRPr="00C722B4">
              <w:rPr>
                <w:rFonts w:ascii="Times New Roman" w:hAnsi="Times New Roman"/>
              </w:rPr>
              <w:t> </w:t>
            </w:r>
            <w:r w:rsidRPr="00C722B4">
              <w:rPr>
                <w:rFonts w:ascii="Times New Roman" w:hAnsi="Times New Roman"/>
              </w:rPr>
              <w:t xml:space="preserve">mg/ml </w:t>
            </w:r>
          </w:p>
        </w:tc>
      </w:tr>
    </w:tbl>
    <w:p w14:paraId="4BC2EA7C" w14:textId="77777777" w:rsidR="00D875C0" w:rsidRPr="001F2C46" w:rsidRDefault="00D875C0" w:rsidP="00D875C0">
      <w:pPr>
        <w:spacing w:after="0" w:line="240" w:lineRule="auto"/>
        <w:rPr>
          <w:rFonts w:ascii="Times New Roman" w:hAnsi="Times New Roman"/>
          <w:b/>
        </w:rPr>
      </w:pPr>
    </w:p>
    <w:p w14:paraId="0FAA7C6E" w14:textId="384EB7CE" w:rsidR="00D875C0" w:rsidRPr="00F95B76" w:rsidRDefault="00D875C0" w:rsidP="00D875C0">
      <w:pPr>
        <w:numPr>
          <w:ilvl w:val="12"/>
          <w:numId w:val="0"/>
        </w:numPr>
        <w:spacing w:after="0" w:line="240" w:lineRule="auto"/>
        <w:ind w:right="-2"/>
        <w:rPr>
          <w:rFonts w:ascii="Times New Roman" w:hAnsi="Times New Roman"/>
          <w:b/>
        </w:rPr>
      </w:pPr>
      <w:r w:rsidRPr="00427D92">
        <w:rPr>
          <w:rFonts w:ascii="Times New Roman" w:hAnsi="Times New Roman"/>
          <w:b/>
        </w:rPr>
        <w:t xml:space="preserve">Šis pakuotės lapelis paskutinį kartą peržiūrėtas </w:t>
      </w:r>
      <w:r w:rsidR="005A181A">
        <w:rPr>
          <w:rFonts w:ascii="Times New Roman" w:hAnsi="Times New Roman"/>
          <w:b/>
        </w:rPr>
        <w:t>2023-11-09.</w:t>
      </w:r>
      <w:r w:rsidR="00412D09">
        <w:rPr>
          <w:rFonts w:ascii="Times New Roman" w:hAnsi="Times New Roman"/>
          <w:b/>
        </w:rPr>
        <w:t>.</w:t>
      </w:r>
    </w:p>
    <w:p w14:paraId="1A743239" w14:textId="77777777" w:rsidR="00D875C0" w:rsidRPr="001F2C46" w:rsidRDefault="00D875C0" w:rsidP="00D875C0">
      <w:pPr>
        <w:spacing w:after="0" w:line="240" w:lineRule="auto"/>
        <w:rPr>
          <w:rFonts w:ascii="Times New Roman" w:hAnsi="Times New Roman"/>
        </w:rPr>
      </w:pPr>
    </w:p>
    <w:p w14:paraId="76B77943" w14:textId="77777777" w:rsidR="00D875C0" w:rsidRPr="00427D92" w:rsidRDefault="00D875C0" w:rsidP="00D875C0">
      <w:pPr>
        <w:spacing w:after="0" w:line="240" w:lineRule="auto"/>
        <w:rPr>
          <w:rFonts w:ascii="Times New Roman" w:hAnsi="Times New Roman"/>
        </w:rPr>
      </w:pPr>
    </w:p>
    <w:p w14:paraId="77B40742" w14:textId="77777777" w:rsidR="00D875C0" w:rsidRPr="00427D92" w:rsidRDefault="00D875C0" w:rsidP="00D875C0">
      <w:pPr>
        <w:numPr>
          <w:ilvl w:val="12"/>
          <w:numId w:val="0"/>
        </w:numPr>
        <w:spacing w:after="0" w:line="240" w:lineRule="auto"/>
        <w:ind w:right="-2"/>
        <w:rPr>
          <w:rFonts w:ascii="Times New Roman" w:hAnsi="Times New Roman"/>
        </w:rPr>
      </w:pPr>
      <w:r w:rsidRPr="00C722B4">
        <w:rPr>
          <w:rFonts w:ascii="Times New Roman" w:hAnsi="Times New Roman"/>
        </w:rPr>
        <w:t>Išsami informacija apie šį vaistą pateikiama Valstybinės vaistų kontrolės tarnybos prie Lietuvos Respublikos sveikatos apsaugos ministerijos tinklalapyje</w:t>
      </w:r>
      <w:hyperlink r:id="rId15" w:history="1">
        <w:r w:rsidRPr="00F95B76">
          <w:rPr>
            <w:rFonts w:ascii="Times New Roman" w:hAnsi="Times New Roman"/>
            <w:color w:val="0000FF"/>
            <w:u w:val="single"/>
          </w:rPr>
          <w:t>http://www.vvkt.lt/</w:t>
        </w:r>
      </w:hyperlink>
      <w:r w:rsidRPr="00427D92">
        <w:rPr>
          <w:rFonts w:ascii="Times New Roman" w:hAnsi="Times New Roman"/>
        </w:rPr>
        <w:t>.</w:t>
      </w:r>
    </w:p>
    <w:p w14:paraId="50875BFF" w14:textId="77777777" w:rsidR="00D875C0" w:rsidRPr="00C722B4" w:rsidRDefault="00D875C0" w:rsidP="00D875C0">
      <w:pPr>
        <w:spacing w:after="0" w:line="240" w:lineRule="auto"/>
        <w:rPr>
          <w:rFonts w:ascii="Times New Roman" w:hAnsi="Times New Roman"/>
        </w:rPr>
      </w:pPr>
    </w:p>
    <w:p w14:paraId="73E12A90"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w:t>
      </w:r>
    </w:p>
    <w:p w14:paraId="202AC9DB"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Toliau pateikta informacija skirta tik sveikatos priežiūros specialistams.</w:t>
      </w:r>
    </w:p>
    <w:p w14:paraId="248E8DA2" w14:textId="77777777" w:rsidR="00D875C0" w:rsidRPr="004E3CD5" w:rsidRDefault="00D875C0" w:rsidP="004E3CD5">
      <w:pPr>
        <w:spacing w:after="0" w:line="240" w:lineRule="auto"/>
        <w:rPr>
          <w:rFonts w:ascii="Times New Roman" w:hAnsi="Times New Roman"/>
        </w:rPr>
      </w:pPr>
    </w:p>
    <w:p w14:paraId="0BDC46BD" w14:textId="77777777" w:rsidR="00D875C0" w:rsidRPr="001F2C46" w:rsidRDefault="00D875C0" w:rsidP="00D875C0">
      <w:pPr>
        <w:spacing w:after="0" w:line="240" w:lineRule="auto"/>
        <w:jc w:val="center"/>
        <w:rPr>
          <w:rFonts w:ascii="Times New Roman" w:hAnsi="Times New Roman"/>
          <w:b/>
        </w:rPr>
      </w:pPr>
      <w:r w:rsidRPr="00F95B76">
        <w:rPr>
          <w:rFonts w:ascii="Times New Roman" w:hAnsi="Times New Roman"/>
          <w:b/>
        </w:rPr>
        <w:t>Ruošimo, vartojimo ir atliekų tvarkymo instrukcijos</w:t>
      </w:r>
    </w:p>
    <w:p w14:paraId="1C926DB2" w14:textId="77777777" w:rsidR="00D875C0" w:rsidRPr="00427D92" w:rsidRDefault="00D875C0" w:rsidP="00D875C0">
      <w:pPr>
        <w:spacing w:after="0" w:line="240" w:lineRule="auto"/>
        <w:rPr>
          <w:rFonts w:ascii="Times New Roman" w:hAnsi="Times New Roman"/>
        </w:rPr>
      </w:pPr>
    </w:p>
    <w:p w14:paraId="3886FF82" w14:textId="77777777" w:rsidR="00D875C0" w:rsidRPr="00C722B4" w:rsidRDefault="00D875C0" w:rsidP="00D875C0">
      <w:pPr>
        <w:spacing w:after="0" w:line="240" w:lineRule="auto"/>
        <w:rPr>
          <w:rFonts w:ascii="Times New Roman" w:hAnsi="Times New Roman"/>
          <w:u w:val="single"/>
        </w:rPr>
      </w:pPr>
      <w:r w:rsidRPr="00C722B4">
        <w:rPr>
          <w:rFonts w:ascii="Times New Roman" w:hAnsi="Times New Roman"/>
          <w:u w:val="single"/>
        </w:rPr>
        <w:t>Patikrinimas prieš vartojimą</w:t>
      </w:r>
    </w:p>
    <w:p w14:paraId="2E0500C2"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Docetaxel Ebewe koncentratas infuziniam tirpalui turi būti apžiūrimas prieš vartojimą, ar jame nėra dalelių ir nepakitusi spalva. Koncentratas, kuris yra neskaidrus arba kuriame randama nuosėdų, turi būti sunaikintas.</w:t>
      </w:r>
    </w:p>
    <w:p w14:paraId="10FAE6D9" w14:textId="77777777" w:rsidR="00D875C0" w:rsidRPr="007C1A06" w:rsidRDefault="00D875C0" w:rsidP="00D875C0">
      <w:pPr>
        <w:spacing w:after="0" w:line="240" w:lineRule="auto"/>
        <w:rPr>
          <w:rFonts w:ascii="Times New Roman" w:hAnsi="Times New Roman"/>
        </w:rPr>
      </w:pPr>
    </w:p>
    <w:p w14:paraId="0476DA8B" w14:textId="77777777" w:rsidR="00D875C0" w:rsidRPr="004E3CD5" w:rsidRDefault="00D875C0" w:rsidP="00D875C0">
      <w:pPr>
        <w:spacing w:after="0" w:line="240" w:lineRule="auto"/>
        <w:rPr>
          <w:rFonts w:ascii="Times New Roman" w:eastAsiaTheme="minorEastAsia" w:hAnsi="Times New Roman"/>
          <w:u w:val="single"/>
          <w:lang w:eastAsia="zh-TW"/>
        </w:rPr>
      </w:pPr>
      <w:r w:rsidRPr="007C1A06">
        <w:rPr>
          <w:rFonts w:ascii="Times New Roman" w:hAnsi="Times New Roman"/>
          <w:u w:val="single"/>
        </w:rPr>
        <w:t>Infuzinio tirpalo paruošimas</w:t>
      </w:r>
    </w:p>
    <w:p w14:paraId="5EAAB374"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Prieš vartojimą koncentratą būtina praskiesti.</w:t>
      </w:r>
    </w:p>
    <w:p w14:paraId="55B34261"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Infuziniai tirpalai turi būti ruošiami, skiedžiant 0,9</w:t>
      </w:r>
      <w:r w:rsidR="007D5071" w:rsidRPr="007C1A06">
        <w:rPr>
          <w:rFonts w:ascii="Times New Roman" w:hAnsi="Times New Roman"/>
        </w:rPr>
        <w:t> </w:t>
      </w:r>
      <w:r w:rsidRPr="007C1A06">
        <w:rPr>
          <w:rFonts w:ascii="Times New Roman" w:hAnsi="Times New Roman"/>
        </w:rPr>
        <w:t>% natrio chlorido arba 5</w:t>
      </w:r>
      <w:r w:rsidR="007D5071" w:rsidRPr="007C1A06">
        <w:rPr>
          <w:rFonts w:ascii="Times New Roman" w:hAnsi="Times New Roman"/>
        </w:rPr>
        <w:t> </w:t>
      </w:r>
      <w:r w:rsidRPr="007C1A06">
        <w:rPr>
          <w:rFonts w:ascii="Times New Roman" w:hAnsi="Times New Roman"/>
        </w:rPr>
        <w:t>% gliukozės tirpalais, ir turi būti sulašinami į veną.</w:t>
      </w:r>
    </w:p>
    <w:p w14:paraId="590669E4"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Jeigu flakonai laikomi šaldytuve, iš jo paimtą reikiamą Docetaxel Ebewe 10 mg/ml koncentrato infuziniam ti</w:t>
      </w:r>
      <w:r w:rsidR="00E414F5" w:rsidRPr="007C1A06">
        <w:rPr>
          <w:rFonts w:ascii="Times New Roman" w:hAnsi="Times New Roman"/>
        </w:rPr>
        <w:t>r</w:t>
      </w:r>
      <w:r w:rsidRPr="007C1A06">
        <w:rPr>
          <w:rFonts w:ascii="Times New Roman" w:hAnsi="Times New Roman"/>
        </w:rPr>
        <w:t>palui flakonų skaičių reikia 5</w:t>
      </w:r>
      <w:r w:rsidR="007D5071" w:rsidRPr="007C1A06">
        <w:rPr>
          <w:rFonts w:ascii="Times New Roman" w:hAnsi="Times New Roman"/>
        </w:rPr>
        <w:t> </w:t>
      </w:r>
      <w:r w:rsidRPr="007C1A06">
        <w:rPr>
          <w:rFonts w:ascii="Times New Roman" w:hAnsi="Times New Roman"/>
        </w:rPr>
        <w:t>min. palaikyti žemesnėje nei 25</w:t>
      </w:r>
      <w:r w:rsidR="007D5071" w:rsidRPr="007C1A06">
        <w:rPr>
          <w:rFonts w:ascii="Times New Roman" w:hAnsi="Times New Roman"/>
        </w:rPr>
        <w:t> </w:t>
      </w:r>
      <w:r w:rsidRPr="007C1A06">
        <w:rPr>
          <w:rFonts w:ascii="Times New Roman" w:hAnsi="Times New Roman"/>
        </w:rPr>
        <w:t>°C temperatūroje, kad tirpalas sušiltų iki kambario temperatūros.</w:t>
      </w:r>
    </w:p>
    <w:p w14:paraId="661923D2" w14:textId="77777777" w:rsidR="00D875C0" w:rsidRPr="007C1A06" w:rsidRDefault="00D875C0" w:rsidP="00D875C0">
      <w:pPr>
        <w:spacing w:after="0" w:line="240" w:lineRule="auto"/>
        <w:rPr>
          <w:rFonts w:ascii="Times New Roman" w:hAnsi="Times New Roman"/>
        </w:rPr>
      </w:pPr>
    </w:p>
    <w:p w14:paraId="6D8020E1"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Reikalingas tirpalo tūris gali būti tiesiogiai ištraukiamas iš flakono.</w:t>
      </w:r>
    </w:p>
    <w:p w14:paraId="677A3FA9" w14:textId="77777777" w:rsidR="00D875C0" w:rsidRPr="007C1A06" w:rsidRDefault="00D875C0" w:rsidP="00D875C0">
      <w:pPr>
        <w:autoSpaceDE w:val="0"/>
        <w:autoSpaceDN w:val="0"/>
        <w:adjustRightInd w:val="0"/>
        <w:spacing w:after="0" w:line="240" w:lineRule="auto"/>
        <w:rPr>
          <w:rFonts w:ascii="Times New Roman" w:hAnsi="Times New Roman"/>
        </w:rPr>
      </w:pPr>
    </w:p>
    <w:p w14:paraId="57E93433"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Norint gauti reikiamą dozę, gali prireikti daugiau kaip vieno koncentrato infuziniam tirpalui flakono. Apskaičiavus reikiamą dozę mg, graduotais švirkštais su adatomis iš reikiamo flakonų skaičiaus aseptinėmis sąlygomis ištraukiamas atitinkamas tirpalo (docetakselio koncentracija – 10</w:t>
      </w:r>
      <w:r w:rsidR="007D5071" w:rsidRPr="007C1A06">
        <w:rPr>
          <w:rFonts w:ascii="Times New Roman" w:hAnsi="Times New Roman"/>
        </w:rPr>
        <w:t> </w:t>
      </w:r>
      <w:r w:rsidRPr="007C1A06">
        <w:rPr>
          <w:rFonts w:ascii="Times New Roman" w:hAnsi="Times New Roman"/>
        </w:rPr>
        <w:t>mg/ml) tūris. Pavyzdžiui, 140 mg docetakselio dozei, reikia 14 ml docetakselio koncentrato infuziniam tirpalui.</w:t>
      </w:r>
    </w:p>
    <w:p w14:paraId="28846165" w14:textId="77777777" w:rsidR="00D875C0" w:rsidRPr="007C1A06" w:rsidRDefault="00D875C0" w:rsidP="00D875C0">
      <w:pPr>
        <w:autoSpaceDE w:val="0"/>
        <w:autoSpaceDN w:val="0"/>
        <w:adjustRightInd w:val="0"/>
        <w:spacing w:after="0" w:line="240" w:lineRule="auto"/>
        <w:rPr>
          <w:rFonts w:ascii="Times New Roman" w:hAnsi="Times New Roman"/>
        </w:rPr>
      </w:pPr>
    </w:p>
    <w:p w14:paraId="79992380"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Reikiamas tirpalo tūris </w:t>
      </w:r>
      <w:r w:rsidR="00732B43">
        <w:rPr>
          <w:rFonts w:ascii="Times New Roman" w:hAnsi="Times New Roman"/>
        </w:rPr>
        <w:t>suleidžiamas</w:t>
      </w:r>
      <w:r w:rsidRPr="007C1A06">
        <w:rPr>
          <w:rFonts w:ascii="Times New Roman" w:hAnsi="Times New Roman"/>
        </w:rPr>
        <w:t xml:space="preserve"> į 250 ml 5</w:t>
      </w:r>
      <w:r w:rsidR="007D5071" w:rsidRPr="007C1A06">
        <w:rPr>
          <w:rFonts w:ascii="Times New Roman" w:hAnsi="Times New Roman"/>
        </w:rPr>
        <w:t> </w:t>
      </w:r>
      <w:r w:rsidRPr="007C1A06">
        <w:rPr>
          <w:rFonts w:ascii="Times New Roman" w:hAnsi="Times New Roman"/>
        </w:rPr>
        <w:t>% gliukozės arba 0,9</w:t>
      </w:r>
      <w:r w:rsidR="007D5071" w:rsidRPr="007C1A06">
        <w:rPr>
          <w:rFonts w:ascii="Times New Roman" w:hAnsi="Times New Roman"/>
        </w:rPr>
        <w:t> </w:t>
      </w:r>
      <w:r w:rsidRPr="007C1A06">
        <w:rPr>
          <w:rFonts w:ascii="Times New Roman" w:hAnsi="Times New Roman"/>
        </w:rPr>
        <w:t>% natrio chlorido tirpalą, esantį infuziniame maišelyje arba buteliuke.</w:t>
      </w:r>
    </w:p>
    <w:p w14:paraId="02F3CE1B"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Jei reikia didesnės kaip 200 mg docetakselio dozės, naudojamas didesnis pagalbinio infuzinio tirpalo tūris, kad docetakselio koncentracija neviršytų 0,74 mg/ml.</w:t>
      </w:r>
    </w:p>
    <w:p w14:paraId="5E3684CC" w14:textId="77777777" w:rsidR="00D875C0" w:rsidRPr="007C1A06" w:rsidRDefault="00D875C0" w:rsidP="00D875C0">
      <w:pPr>
        <w:autoSpaceDE w:val="0"/>
        <w:autoSpaceDN w:val="0"/>
        <w:adjustRightInd w:val="0"/>
        <w:spacing w:after="0" w:line="240" w:lineRule="auto"/>
        <w:rPr>
          <w:rFonts w:ascii="Times New Roman" w:hAnsi="Times New Roman"/>
        </w:rPr>
      </w:pPr>
    </w:p>
    <w:p w14:paraId="6C917FA5"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Infuzinio maišelio arba buteliuko turinys sumaišomas atsargiai pavartant ir sukiojant rankose bei kontroliuojant, kad neatsirastų putų. Paruošimo bei transportavimo paciento vartojimui metu, reikia vengti purtymo ir smarkaus kratymo.</w:t>
      </w:r>
    </w:p>
    <w:p w14:paraId="24DABF40" w14:textId="77777777" w:rsidR="00D875C0" w:rsidRPr="007C1A06" w:rsidRDefault="00D875C0" w:rsidP="00D875C0">
      <w:pPr>
        <w:spacing w:after="0" w:line="240" w:lineRule="auto"/>
        <w:rPr>
          <w:rFonts w:ascii="Times New Roman" w:hAnsi="Times New Roman"/>
        </w:rPr>
      </w:pPr>
    </w:p>
    <w:p w14:paraId="76E7B9B6"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Paruoštas docetakselio infuzinis tirpalas yra stabilus iki 4 valandų ir turi būti suvartotas per 4</w:t>
      </w:r>
      <w:r w:rsidR="007D5071" w:rsidRPr="007C1A06">
        <w:rPr>
          <w:rFonts w:ascii="Times New Roman" w:hAnsi="Times New Roman"/>
        </w:rPr>
        <w:t> </w:t>
      </w:r>
      <w:r w:rsidRPr="007C1A06">
        <w:rPr>
          <w:rFonts w:ascii="Times New Roman" w:hAnsi="Times New Roman"/>
        </w:rPr>
        <w:t>valandas, įskaitant laikymo laiką bei vieną valandą infuzijos pacientui laiko. Infuziją reikia aseptiškai atlikti kambario temperatūroje (žemiau 25</w:t>
      </w:r>
      <w:r w:rsidR="007D5071" w:rsidRPr="007C1A06">
        <w:rPr>
          <w:rFonts w:ascii="Times New Roman" w:hAnsi="Times New Roman"/>
        </w:rPr>
        <w:t> °</w:t>
      </w:r>
      <w:r w:rsidRPr="007C1A06">
        <w:rPr>
          <w:rFonts w:ascii="Times New Roman" w:hAnsi="Times New Roman"/>
        </w:rPr>
        <w:t>C) įprasto apšvietimo sąlygomis.</w:t>
      </w:r>
    </w:p>
    <w:p w14:paraId="32CC758D" w14:textId="77777777" w:rsidR="00D875C0" w:rsidRPr="007C1A06" w:rsidRDefault="00D875C0" w:rsidP="00D875C0">
      <w:pPr>
        <w:spacing w:after="0" w:line="240" w:lineRule="auto"/>
        <w:rPr>
          <w:rFonts w:ascii="Times New Roman" w:hAnsi="Times New Roman"/>
        </w:rPr>
      </w:pPr>
    </w:p>
    <w:p w14:paraId="68C67491"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Prieš vartojimą infuzinis tirpalas, paruoštas iš Docetaxel Ebewe 10 mg/ml koncentrato infuziniam tirpalui, turi būti atidžiai apžiūrimas ar jame nėra dalelių. Jeigu infuzinis tirpalas nėra skaidrus ar jame yra dalelių, jis turi būti sunaikinamas. Mikrobiologiniu požiūriu tirpalas turi būti nedelsiant suvartojamas.</w:t>
      </w:r>
    </w:p>
    <w:p w14:paraId="2072D06B" w14:textId="77777777" w:rsidR="00D875C0" w:rsidRPr="007C1A06" w:rsidRDefault="00D875C0" w:rsidP="00D875C0">
      <w:pPr>
        <w:spacing w:after="0" w:line="240" w:lineRule="auto"/>
        <w:rPr>
          <w:rFonts w:ascii="Times New Roman" w:hAnsi="Times New Roman"/>
        </w:rPr>
      </w:pPr>
    </w:p>
    <w:p w14:paraId="6FB2685E" w14:textId="77777777" w:rsidR="00D875C0" w:rsidRPr="00FB5C4B"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Docetaxel Ebewe koncentrato sąlytis su iš PVC plastiko pagaminta įranga bei priemonėmis, naudojamomis infuziniam tirpalui paruošti, nerekomenduojamas. Siekiant sumažinti </w:t>
      </w:r>
      <w:r w:rsidRPr="007C1A06">
        <w:rPr>
          <w:rFonts w:ascii="Times New Roman" w:eastAsia="Times New Roman" w:hAnsi="Times New Roman" w:cs="Times New Roman"/>
        </w:rPr>
        <w:t>DE</w:t>
      </w:r>
      <w:r w:rsidR="00C84198" w:rsidRPr="007C1A06">
        <w:rPr>
          <w:rFonts w:ascii="Times New Roman" w:eastAsia="Times New Roman" w:hAnsi="Times New Roman" w:cs="Times New Roman"/>
        </w:rPr>
        <w:t>H</w:t>
      </w:r>
      <w:r w:rsidR="00C84198">
        <w:rPr>
          <w:rFonts w:ascii="Times New Roman" w:eastAsia="Times New Roman" w:hAnsi="Times New Roman" w:cs="Times New Roman"/>
        </w:rPr>
        <w:t>F</w:t>
      </w:r>
      <w:r w:rsidRPr="00F95B76">
        <w:rPr>
          <w:rFonts w:ascii="Times New Roman" w:hAnsi="Times New Roman"/>
        </w:rPr>
        <w:t xml:space="preserve"> (di-2-etilheksilftalato) – plastifikatoriaus, kuris gali būti išplautas iš PVC infuzinių maišelių ar sistemų, poveikį pacientams, galutinis Docetaxel Ebewe infuzijai praskiestas tirpalas turi bū</w:t>
      </w:r>
      <w:r w:rsidRPr="001F2C46">
        <w:rPr>
          <w:rFonts w:ascii="Times New Roman" w:hAnsi="Times New Roman"/>
        </w:rPr>
        <w:t>ti laikomas buteliukuose ar plastikiniuose maišeliuose (polipropileno, poliolefino) ir turi būti vartojamas per polietilenu padengtą įrangą.</w:t>
      </w:r>
    </w:p>
    <w:p w14:paraId="2A5AD3A3" w14:textId="77777777" w:rsidR="00D875C0" w:rsidRPr="00C722B4" w:rsidRDefault="00D875C0" w:rsidP="00D875C0">
      <w:pPr>
        <w:spacing w:after="0" w:line="240" w:lineRule="auto"/>
        <w:textAlignment w:val="top"/>
        <w:rPr>
          <w:rFonts w:ascii="Times New Roman" w:hAnsi="Times New Roman"/>
          <w:color w:val="000000"/>
        </w:rPr>
      </w:pPr>
      <w:r w:rsidRPr="00427D92">
        <w:rPr>
          <w:rFonts w:ascii="Times New Roman" w:hAnsi="Times New Roman"/>
          <w:color w:val="000000"/>
        </w:rPr>
        <w:t xml:space="preserve">Siekiant sumažinti nuosėdų atsiradimą infuziniame tirpale, rekomenduojama naudoti infuzinius maišelius. </w:t>
      </w:r>
      <w:r w:rsidRPr="00C722B4">
        <w:rPr>
          <w:rFonts w:ascii="Times New Roman" w:hAnsi="Times New Roman"/>
          <w:color w:val="000000"/>
        </w:rPr>
        <w:t>Nerekomenduojama naudoti stiklo buteliukų.</w:t>
      </w:r>
    </w:p>
    <w:p w14:paraId="7975E6DC" w14:textId="77777777" w:rsidR="00D875C0" w:rsidRPr="007C1A06" w:rsidRDefault="00D875C0" w:rsidP="00D875C0">
      <w:pPr>
        <w:spacing w:after="0" w:line="240" w:lineRule="auto"/>
        <w:rPr>
          <w:rFonts w:ascii="Times New Roman" w:hAnsi="Times New Roman"/>
        </w:rPr>
      </w:pPr>
    </w:p>
    <w:p w14:paraId="3B266D2C"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Paruošto tirpalo pH ir osmoliariškumas</w:t>
      </w:r>
    </w:p>
    <w:p w14:paraId="4C371683"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0,3</w:t>
      </w:r>
      <w:r w:rsidR="007D5071" w:rsidRPr="007C1A06">
        <w:rPr>
          <w:rFonts w:ascii="Times New Roman" w:hAnsi="Times New Roman"/>
        </w:rPr>
        <w:t> </w:t>
      </w:r>
      <w:r w:rsidRPr="007C1A06">
        <w:rPr>
          <w:rFonts w:ascii="Times New Roman" w:hAnsi="Times New Roman"/>
        </w:rPr>
        <w:t>mg/ml gliukozės 5</w:t>
      </w:r>
      <w:r w:rsidR="007D5071" w:rsidRPr="007C1A06">
        <w:rPr>
          <w:rFonts w:ascii="Times New Roman" w:hAnsi="Times New Roman"/>
        </w:rPr>
        <w:t> </w:t>
      </w:r>
      <w:r w:rsidRPr="007C1A06">
        <w:rPr>
          <w:rFonts w:ascii="Times New Roman" w:hAnsi="Times New Roman"/>
        </w:rPr>
        <w:t>% tirpalo pH≈3,6; 517</w:t>
      </w:r>
      <w:r w:rsidR="007D5071" w:rsidRPr="007C1A06">
        <w:rPr>
          <w:rFonts w:ascii="Times New Roman" w:hAnsi="Times New Roman"/>
        </w:rPr>
        <w:t> </w:t>
      </w:r>
      <w:r w:rsidRPr="007C1A06">
        <w:rPr>
          <w:rFonts w:ascii="Times New Roman" w:hAnsi="Times New Roman"/>
        </w:rPr>
        <w:t>mOsm/kg</w:t>
      </w:r>
    </w:p>
    <w:p w14:paraId="78677E25"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0,74</w:t>
      </w:r>
      <w:r w:rsidR="007D5071" w:rsidRPr="007C1A06">
        <w:rPr>
          <w:rFonts w:ascii="Times New Roman" w:hAnsi="Times New Roman"/>
        </w:rPr>
        <w:t> </w:t>
      </w:r>
      <w:r w:rsidRPr="007C1A06">
        <w:rPr>
          <w:rFonts w:ascii="Times New Roman" w:hAnsi="Times New Roman"/>
        </w:rPr>
        <w:t>mg/ml NaCl 0,9</w:t>
      </w:r>
      <w:r w:rsidR="007D5071" w:rsidRPr="007C1A06">
        <w:rPr>
          <w:rFonts w:ascii="Times New Roman" w:hAnsi="Times New Roman"/>
        </w:rPr>
        <w:t> </w:t>
      </w:r>
      <w:r w:rsidRPr="007C1A06">
        <w:rPr>
          <w:rFonts w:ascii="Times New Roman" w:hAnsi="Times New Roman"/>
        </w:rPr>
        <w:t>% tirpalo pH≈3,3-3,6; 849</w:t>
      </w:r>
      <w:r w:rsidR="007D5071" w:rsidRPr="007C1A06">
        <w:rPr>
          <w:rFonts w:ascii="Times New Roman" w:hAnsi="Times New Roman"/>
        </w:rPr>
        <w:t> </w:t>
      </w:r>
      <w:r w:rsidRPr="007C1A06">
        <w:rPr>
          <w:rFonts w:ascii="Times New Roman" w:hAnsi="Times New Roman"/>
        </w:rPr>
        <w:t>mOsm/kg</w:t>
      </w:r>
    </w:p>
    <w:p w14:paraId="355F5A7C" w14:textId="77777777" w:rsidR="00D875C0" w:rsidRPr="007C1A06" w:rsidRDefault="00D875C0" w:rsidP="00D875C0">
      <w:pPr>
        <w:spacing w:after="0" w:line="240" w:lineRule="auto"/>
        <w:rPr>
          <w:rFonts w:ascii="Times New Roman" w:hAnsi="Times New Roman"/>
        </w:rPr>
      </w:pPr>
    </w:p>
    <w:p w14:paraId="261F296E" w14:textId="77777777" w:rsidR="00D875C0" w:rsidRPr="004E3CD5" w:rsidRDefault="00D875C0" w:rsidP="00D875C0">
      <w:pPr>
        <w:spacing w:after="0" w:line="240" w:lineRule="auto"/>
        <w:rPr>
          <w:rFonts w:ascii="Times New Roman" w:eastAsiaTheme="minorEastAsia" w:hAnsi="Times New Roman"/>
          <w:i/>
          <w:lang w:eastAsia="zh-TW"/>
        </w:rPr>
      </w:pPr>
      <w:r w:rsidRPr="007C1A06">
        <w:rPr>
          <w:rFonts w:ascii="Times New Roman" w:hAnsi="Times New Roman"/>
          <w:i/>
        </w:rPr>
        <w:t>Darbo su antinavikiniais preparatais nurodymai</w:t>
      </w:r>
    </w:p>
    <w:p w14:paraId="14852766"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Nėščioms personalo narėms draudžiama dirbti su citot</w:t>
      </w:r>
      <w:r w:rsidR="00E414F5" w:rsidRPr="007C1A06">
        <w:rPr>
          <w:rFonts w:ascii="Times New Roman" w:hAnsi="Times New Roman"/>
        </w:rPr>
        <w:t>o</w:t>
      </w:r>
      <w:r w:rsidRPr="007C1A06">
        <w:rPr>
          <w:rFonts w:ascii="Times New Roman" w:hAnsi="Times New Roman"/>
        </w:rPr>
        <w:t>ksiniais preparatais. Vaist</w:t>
      </w:r>
      <w:r w:rsidR="000C0532">
        <w:rPr>
          <w:rFonts w:ascii="Times New Roman" w:hAnsi="Times New Roman"/>
        </w:rPr>
        <w:t>inį preparat</w:t>
      </w:r>
      <w:r w:rsidRPr="007C1A06">
        <w:rPr>
          <w:rFonts w:ascii="Times New Roman" w:hAnsi="Times New Roman"/>
        </w:rPr>
        <w:t xml:space="preserve">ą skiesti turėtų tik apmokytas personalas tam skirtoje vietoje. Darbo paviršius turėtų būti padengtas vienkartiniu sugeriamuoju popieriumi kurio apatinė pusė dengta plastiku. </w:t>
      </w:r>
    </w:p>
    <w:p w14:paraId="53451DA4"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Taip pat turi būti dėvimos pirštinės, kaukės ir speciali apranga. Turi būti imtasi saugumo priemonių siekiant išvengti netyčinio vaisto sąlyčio su oda ar gleivine; vaist</w:t>
      </w:r>
      <w:r w:rsidR="000C0532">
        <w:rPr>
          <w:rFonts w:ascii="Times New Roman" w:hAnsi="Times New Roman"/>
        </w:rPr>
        <w:t>ini</w:t>
      </w:r>
      <w:r w:rsidRPr="007C1A06">
        <w:rPr>
          <w:rFonts w:ascii="Times New Roman" w:hAnsi="Times New Roman"/>
        </w:rPr>
        <w:t xml:space="preserve">o </w:t>
      </w:r>
      <w:r w:rsidR="000C0532">
        <w:rPr>
          <w:rFonts w:ascii="Times New Roman" w:hAnsi="Times New Roman"/>
        </w:rPr>
        <w:t xml:space="preserve">preparato </w:t>
      </w:r>
      <w:r w:rsidRPr="007C1A06">
        <w:rPr>
          <w:rFonts w:ascii="Times New Roman" w:hAnsi="Times New Roman"/>
        </w:rPr>
        <w:t xml:space="preserve">paveikta sritis turi būti kruopščiai nuplaunama vandeniu ir muilu. Jeigu netyčia </w:t>
      </w:r>
      <w:r w:rsidR="000C0532">
        <w:rPr>
          <w:rFonts w:ascii="Times New Roman" w:hAnsi="Times New Roman"/>
        </w:rPr>
        <w:t xml:space="preserve">vaistinio </w:t>
      </w:r>
      <w:r w:rsidRPr="007C1A06">
        <w:rPr>
          <w:rFonts w:ascii="Times New Roman" w:hAnsi="Times New Roman"/>
        </w:rPr>
        <w:t>preparato patektų į akis, jos turi būti kruopščiai ir nedelsiant plaunamos vandeniu.</w:t>
      </w:r>
    </w:p>
    <w:p w14:paraId="1D8EEF27"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Naudokite </w:t>
      </w:r>
      <w:r w:rsidRPr="007C1A06">
        <w:rPr>
          <w:rFonts w:ascii="Times New Roman" w:hAnsi="Times New Roman"/>
          <w:i/>
        </w:rPr>
        <w:t>Luer-lock</w:t>
      </w:r>
      <w:r w:rsidRPr="007C1A06">
        <w:rPr>
          <w:rFonts w:ascii="Times New Roman" w:hAnsi="Times New Roman"/>
        </w:rPr>
        <w:t xml:space="preserve"> jungtį visiems švirkštams ir švirkštimo sistemoms. Didelio skersmens adatos rekomenduojamos, siekiant sumažinti slėgį ir tikėtiną aerozolio susiformavimą. Pastarojo formavimasis gali būti sumažinamas naudojant adatą su apsauginiu vožtuvu.</w:t>
      </w:r>
    </w:p>
    <w:p w14:paraId="0F796517" w14:textId="77777777" w:rsidR="00D875C0" w:rsidRPr="007C1A06" w:rsidRDefault="00D875C0" w:rsidP="00D875C0">
      <w:pPr>
        <w:spacing w:after="0" w:line="240" w:lineRule="auto"/>
        <w:rPr>
          <w:rFonts w:ascii="Times New Roman" w:hAnsi="Times New Roman"/>
        </w:rPr>
      </w:pPr>
    </w:p>
    <w:p w14:paraId="3F27E67E" w14:textId="77777777" w:rsidR="00D875C0" w:rsidRPr="00C722B4"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 xml:space="preserve">Bet koks kiekis nesuvartoto </w:t>
      </w:r>
      <w:r w:rsidR="000C0532">
        <w:rPr>
          <w:rFonts w:ascii="Times New Roman" w:hAnsi="Times New Roman"/>
        </w:rPr>
        <w:t xml:space="preserve">vaistinio </w:t>
      </w:r>
      <w:r w:rsidRPr="007C1A06">
        <w:rPr>
          <w:rFonts w:ascii="Times New Roman" w:hAnsi="Times New Roman"/>
        </w:rPr>
        <w:t xml:space="preserve">preparato turi būti sunaikinamas. Atitinkama priežiūra ir saugumo priemonės turi būti pritaikytos, išmetant priemones, naudojamas skiesti Docetaxel Ebewe. Nesuvartotas </w:t>
      </w:r>
      <w:r w:rsidR="000C0532">
        <w:rPr>
          <w:rFonts w:ascii="Times New Roman" w:hAnsi="Times New Roman"/>
        </w:rPr>
        <w:t xml:space="preserve">vaistinis </w:t>
      </w:r>
      <w:r w:rsidRPr="007C1A06">
        <w:rPr>
          <w:rFonts w:ascii="Times New Roman" w:hAnsi="Times New Roman"/>
        </w:rPr>
        <w:t xml:space="preserve">preparatas arba užterštos medžiagos turi būti supakuotos į </w:t>
      </w:r>
      <w:r w:rsidRPr="007C1A06">
        <w:rPr>
          <w:rFonts w:ascii="Times New Roman" w:eastAsia="Times New Roman" w:hAnsi="Times New Roman" w:cs="Times New Roman"/>
        </w:rPr>
        <w:t>didelio</w:t>
      </w:r>
      <w:r w:rsidR="00C722B4">
        <w:rPr>
          <w:rFonts w:ascii="Times New Roman" w:eastAsia="Times New Roman" w:hAnsi="Times New Roman" w:cs="Times New Roman"/>
        </w:rPr>
        <w:t xml:space="preserve"> </w:t>
      </w:r>
      <w:r w:rsidRPr="007C1A06">
        <w:rPr>
          <w:rFonts w:ascii="Times New Roman" w:eastAsia="Times New Roman" w:hAnsi="Times New Roman" w:cs="Times New Roman"/>
        </w:rPr>
        <w:t>pavojaus</w:t>
      </w:r>
      <w:r w:rsidRPr="00F95B76">
        <w:rPr>
          <w:rFonts w:ascii="Times New Roman" w:hAnsi="Times New Roman"/>
        </w:rPr>
        <w:t xml:space="preserve"> </w:t>
      </w:r>
      <w:r w:rsidRPr="001F2C46">
        <w:rPr>
          <w:rFonts w:ascii="Times New Roman" w:hAnsi="Times New Roman"/>
        </w:rPr>
        <w:t xml:space="preserve">atliekų maišus. Aštrūs daiktai (adatos, švirkštai, flakonai ir kt.) turi būti sudėti į tinkamą tvirtą talpyklę. Personalas, surenkantis ir išmetantis </w:t>
      </w:r>
      <w:r w:rsidR="000C0532">
        <w:rPr>
          <w:rFonts w:ascii="Times New Roman" w:hAnsi="Times New Roman"/>
        </w:rPr>
        <w:t xml:space="preserve">vaistinio </w:t>
      </w:r>
      <w:r w:rsidRPr="001F2C46">
        <w:rPr>
          <w:rFonts w:ascii="Times New Roman" w:hAnsi="Times New Roman"/>
        </w:rPr>
        <w:t>preparato</w:t>
      </w:r>
      <w:r w:rsidRPr="00427D92">
        <w:rPr>
          <w:rFonts w:ascii="Times New Roman" w:hAnsi="Times New Roman"/>
        </w:rPr>
        <w:t xml:space="preserve"> atliekas turi būti supažindintas su esama rizika. Nesuvartotas </w:t>
      </w:r>
      <w:r w:rsidR="000C0532">
        <w:rPr>
          <w:rFonts w:ascii="Times New Roman" w:hAnsi="Times New Roman"/>
        </w:rPr>
        <w:t xml:space="preserve">vaistinis </w:t>
      </w:r>
      <w:r w:rsidRPr="00427D92">
        <w:rPr>
          <w:rFonts w:ascii="Times New Roman" w:hAnsi="Times New Roman"/>
        </w:rPr>
        <w:t xml:space="preserve">preparatas ar atliekos turi būti tvarkomos laikantis vietinių citotoksinių preparatų naikinimo taisyklių. Perteklinis </w:t>
      </w:r>
      <w:r w:rsidR="000C0532">
        <w:rPr>
          <w:rFonts w:ascii="Times New Roman" w:hAnsi="Times New Roman"/>
        </w:rPr>
        <w:t xml:space="preserve">vaistinio </w:t>
      </w:r>
      <w:r w:rsidRPr="00427D92">
        <w:rPr>
          <w:rFonts w:ascii="Times New Roman" w:hAnsi="Times New Roman"/>
        </w:rPr>
        <w:t>preparato kiekis turi būti išpiltas į kanalizaciją ir nuplautas gausiu van</w:t>
      </w:r>
      <w:r w:rsidRPr="00C722B4">
        <w:rPr>
          <w:rFonts w:ascii="Times New Roman" w:hAnsi="Times New Roman"/>
        </w:rPr>
        <w:t>dens kiekiu.</w:t>
      </w:r>
    </w:p>
    <w:p w14:paraId="78C24005" w14:textId="77777777" w:rsidR="00D875C0" w:rsidRPr="007C1A06" w:rsidRDefault="00D875C0" w:rsidP="00D875C0">
      <w:pPr>
        <w:spacing w:after="0" w:line="240" w:lineRule="auto"/>
        <w:rPr>
          <w:rFonts w:ascii="Times New Roman" w:hAnsi="Times New Roman"/>
        </w:rPr>
      </w:pPr>
    </w:p>
    <w:p w14:paraId="4F1EEE43"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Vaistinis preparatas skirtas daugkartiniam vartojimui, žr. skyrių „Laikymas ir tinkamumo laikas“.</w:t>
      </w:r>
    </w:p>
    <w:p w14:paraId="70A75049" w14:textId="77777777" w:rsidR="00D875C0" w:rsidRPr="007C1A06" w:rsidRDefault="00D875C0" w:rsidP="00D875C0">
      <w:pPr>
        <w:spacing w:after="0" w:line="240" w:lineRule="auto"/>
        <w:rPr>
          <w:rFonts w:ascii="Times New Roman" w:hAnsi="Times New Roman"/>
        </w:rPr>
      </w:pPr>
    </w:p>
    <w:p w14:paraId="5DBFF974" w14:textId="77777777" w:rsidR="00D875C0" w:rsidRPr="004E3CD5" w:rsidRDefault="00D875C0" w:rsidP="00D875C0">
      <w:pPr>
        <w:spacing w:after="0" w:line="240" w:lineRule="auto"/>
        <w:rPr>
          <w:rFonts w:ascii="Times New Roman" w:eastAsiaTheme="minorEastAsia" w:hAnsi="Times New Roman"/>
          <w:b/>
          <w:i/>
          <w:lang w:eastAsia="zh-TW"/>
        </w:rPr>
      </w:pPr>
      <w:r w:rsidRPr="007C1A06">
        <w:rPr>
          <w:rFonts w:ascii="Times New Roman" w:hAnsi="Times New Roman"/>
          <w:b/>
          <w:i/>
        </w:rPr>
        <w:t xml:space="preserve">Nesuderinamumai </w:t>
      </w:r>
    </w:p>
    <w:p w14:paraId="28D1B793"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Šio vaistinio preparato negalima maišyti su kitais vaistiniais preparatais.</w:t>
      </w:r>
    </w:p>
    <w:p w14:paraId="107C537A" w14:textId="77777777" w:rsidR="003A4D4D" w:rsidRDefault="003A4D4D" w:rsidP="00D875C0">
      <w:pPr>
        <w:spacing w:after="0" w:line="240" w:lineRule="auto"/>
        <w:rPr>
          <w:rFonts w:ascii="Times New Roman" w:hAnsi="Times New Roman"/>
          <w:b/>
          <w:i/>
        </w:rPr>
      </w:pPr>
    </w:p>
    <w:p w14:paraId="0C9B3754" w14:textId="77777777" w:rsidR="00D875C0" w:rsidRPr="001F2C46" w:rsidRDefault="00D875C0" w:rsidP="00D875C0">
      <w:pPr>
        <w:spacing w:after="0" w:line="240" w:lineRule="auto"/>
        <w:rPr>
          <w:rFonts w:ascii="Times New Roman" w:hAnsi="Times New Roman"/>
          <w:b/>
          <w:i/>
        </w:rPr>
      </w:pPr>
      <w:r w:rsidRPr="00F95B76">
        <w:rPr>
          <w:rFonts w:ascii="Times New Roman" w:hAnsi="Times New Roman"/>
          <w:b/>
          <w:i/>
        </w:rPr>
        <w:t>Vartojimas</w:t>
      </w:r>
    </w:p>
    <w:p w14:paraId="39A65A59" w14:textId="77777777" w:rsidR="00D875C0" w:rsidRPr="00C722B4" w:rsidRDefault="00D875C0" w:rsidP="00D875C0">
      <w:pPr>
        <w:spacing w:after="0" w:line="240" w:lineRule="auto"/>
        <w:rPr>
          <w:rFonts w:ascii="Times New Roman" w:hAnsi="Times New Roman"/>
        </w:rPr>
      </w:pPr>
      <w:r w:rsidRPr="00427D92">
        <w:rPr>
          <w:rFonts w:ascii="Times New Roman" w:hAnsi="Times New Roman"/>
        </w:rPr>
        <w:t>Docetaxel Ebewe leidžiamas tik į veną.</w:t>
      </w:r>
    </w:p>
    <w:p w14:paraId="3DE4D116" w14:textId="77777777" w:rsidR="00D875C0" w:rsidRPr="00C722B4" w:rsidRDefault="00D875C0" w:rsidP="00D875C0">
      <w:pPr>
        <w:spacing w:after="0" w:line="240" w:lineRule="auto"/>
        <w:rPr>
          <w:rFonts w:ascii="Times New Roman" w:hAnsi="Times New Roman"/>
        </w:rPr>
      </w:pPr>
    </w:p>
    <w:p w14:paraId="0E362125" w14:textId="77777777" w:rsidR="00D875C0" w:rsidRPr="004E3CD5" w:rsidRDefault="00D875C0" w:rsidP="00D875C0">
      <w:pPr>
        <w:spacing w:after="0" w:line="240" w:lineRule="auto"/>
        <w:rPr>
          <w:rFonts w:ascii="Times New Roman" w:eastAsiaTheme="minorEastAsia" w:hAnsi="Times New Roman"/>
          <w:b/>
          <w:i/>
          <w:lang w:eastAsia="zh-TW"/>
        </w:rPr>
      </w:pPr>
      <w:r w:rsidRPr="007C1A06">
        <w:rPr>
          <w:rFonts w:ascii="Times New Roman" w:hAnsi="Times New Roman"/>
          <w:b/>
          <w:i/>
        </w:rPr>
        <w:t>Laikymas ir tinkamumo laikas</w:t>
      </w:r>
    </w:p>
    <w:p w14:paraId="4DA24E59" w14:textId="77777777" w:rsidR="00D875C0" w:rsidRPr="007C1A06" w:rsidRDefault="00D875C0" w:rsidP="00D875C0">
      <w:pPr>
        <w:spacing w:after="0" w:line="240" w:lineRule="auto"/>
        <w:rPr>
          <w:rFonts w:ascii="Times New Roman" w:hAnsi="Times New Roman"/>
        </w:rPr>
      </w:pPr>
    </w:p>
    <w:p w14:paraId="66A4983A" w14:textId="77777777" w:rsidR="00D875C0" w:rsidRPr="004E3CD5" w:rsidRDefault="00D875C0" w:rsidP="00D875C0">
      <w:pPr>
        <w:spacing w:after="0" w:line="240" w:lineRule="auto"/>
        <w:rPr>
          <w:rFonts w:ascii="Times New Roman" w:eastAsiaTheme="minorEastAsia" w:hAnsi="Times New Roman"/>
          <w:b/>
          <w:lang w:eastAsia="zh-TW"/>
        </w:rPr>
      </w:pPr>
      <w:r w:rsidRPr="007C1A06">
        <w:rPr>
          <w:rFonts w:ascii="Times New Roman" w:hAnsi="Times New Roman"/>
          <w:b/>
        </w:rPr>
        <w:t>Pardavimui supakuoto vaistinio preparato tinkamumo laikas</w:t>
      </w:r>
    </w:p>
    <w:p w14:paraId="5370D87D"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Neatidarius: 2</w:t>
      </w:r>
      <w:r w:rsidR="007D5071" w:rsidRPr="007C1A06">
        <w:rPr>
          <w:rFonts w:ascii="Times New Roman" w:hAnsi="Times New Roman"/>
        </w:rPr>
        <w:t> </w:t>
      </w:r>
      <w:r w:rsidRPr="007C1A06">
        <w:rPr>
          <w:rFonts w:ascii="Times New Roman" w:hAnsi="Times New Roman"/>
        </w:rPr>
        <w:t>metai</w:t>
      </w:r>
    </w:p>
    <w:p w14:paraId="2B2E1112" w14:textId="77777777" w:rsidR="00D875C0" w:rsidRPr="00C722B4"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Pirmą kartą atidarius: 28</w:t>
      </w:r>
      <w:r w:rsidR="007D5071" w:rsidRPr="007C1A06">
        <w:rPr>
          <w:rFonts w:ascii="Times New Roman" w:hAnsi="Times New Roman"/>
        </w:rPr>
        <w:t> </w:t>
      </w:r>
      <w:r w:rsidR="00915C14">
        <w:rPr>
          <w:rFonts w:ascii="Times New Roman" w:eastAsia="Times New Roman" w:hAnsi="Times New Roman" w:cs="Times New Roman"/>
        </w:rPr>
        <w:t>paros</w:t>
      </w:r>
      <w:r w:rsidR="00915C14" w:rsidRPr="00F95B76">
        <w:rPr>
          <w:rFonts w:ascii="Times New Roman" w:hAnsi="Times New Roman"/>
        </w:rPr>
        <w:t>.</w:t>
      </w:r>
      <w:r w:rsidRPr="001F2C46">
        <w:rPr>
          <w:rFonts w:ascii="Times New Roman" w:hAnsi="Times New Roman"/>
        </w:rPr>
        <w:t xml:space="preserve"> Laikyti ne aukštesnėje kaip 25</w:t>
      </w:r>
      <w:r w:rsidR="007D5071" w:rsidRPr="00427D92">
        <w:rPr>
          <w:rFonts w:ascii="Times New Roman" w:hAnsi="Times New Roman"/>
        </w:rPr>
        <w:t> </w:t>
      </w:r>
      <w:r w:rsidRPr="00C722B4">
        <w:rPr>
          <w:rFonts w:ascii="Times New Roman" w:hAnsi="Times New Roman"/>
        </w:rPr>
        <w:t>°C temperatūroje.</w:t>
      </w:r>
    </w:p>
    <w:p w14:paraId="2151BB54" w14:textId="77777777" w:rsidR="00D875C0" w:rsidRPr="007C1A06" w:rsidRDefault="00D875C0" w:rsidP="00D875C0">
      <w:pPr>
        <w:spacing w:after="0" w:line="240" w:lineRule="auto"/>
        <w:rPr>
          <w:rFonts w:ascii="Times New Roman" w:hAnsi="Times New Roman"/>
        </w:rPr>
      </w:pPr>
    </w:p>
    <w:p w14:paraId="578C4C8C" w14:textId="77777777" w:rsidR="00D875C0" w:rsidRPr="004E3CD5" w:rsidRDefault="00D875C0" w:rsidP="00D875C0">
      <w:pPr>
        <w:spacing w:after="0" w:line="240" w:lineRule="auto"/>
        <w:rPr>
          <w:rFonts w:ascii="Times New Roman" w:eastAsiaTheme="minorEastAsia" w:hAnsi="Times New Roman"/>
          <w:b/>
          <w:lang w:eastAsia="zh-TW"/>
        </w:rPr>
      </w:pPr>
      <w:r w:rsidRPr="007C1A06">
        <w:rPr>
          <w:rFonts w:ascii="Times New Roman" w:hAnsi="Times New Roman"/>
          <w:b/>
        </w:rPr>
        <w:t>Tinkamumo laikas po praskiedimo:</w:t>
      </w:r>
    </w:p>
    <w:p w14:paraId="3C617831"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Nustatyta, kad praskiesto gliukozės 5</w:t>
      </w:r>
      <w:r w:rsidR="007D5071" w:rsidRPr="007C1A06">
        <w:rPr>
          <w:rFonts w:ascii="Times New Roman" w:hAnsi="Times New Roman"/>
        </w:rPr>
        <w:t> </w:t>
      </w:r>
      <w:r w:rsidRPr="007C1A06">
        <w:rPr>
          <w:rFonts w:ascii="Times New Roman" w:hAnsi="Times New Roman"/>
        </w:rPr>
        <w:t>% arba natrio chlorido 0,9</w:t>
      </w:r>
      <w:r w:rsidR="007D5071" w:rsidRPr="007C1A06">
        <w:rPr>
          <w:rFonts w:ascii="Times New Roman" w:hAnsi="Times New Roman"/>
        </w:rPr>
        <w:t> </w:t>
      </w:r>
      <w:r w:rsidRPr="007C1A06">
        <w:rPr>
          <w:rFonts w:ascii="Times New Roman" w:hAnsi="Times New Roman"/>
        </w:rPr>
        <w:t>% tirpalais preparato cheminis ir fizinis stabilumas, laikant apsaugojus nuo šviesos 2</w:t>
      </w:r>
      <w:r w:rsidR="007D5071" w:rsidRPr="007C1A06">
        <w:rPr>
          <w:rFonts w:ascii="Times New Roman" w:hAnsi="Times New Roman"/>
        </w:rPr>
        <w:t> </w:t>
      </w:r>
      <w:r w:rsidRPr="007C1A06">
        <w:rPr>
          <w:rFonts w:ascii="Times New Roman" w:hAnsi="Times New Roman"/>
        </w:rPr>
        <w:t>°C</w:t>
      </w:r>
      <w:r w:rsidR="00161A62">
        <w:rPr>
          <w:rFonts w:ascii="Times New Roman" w:hAnsi="Times New Roman"/>
        </w:rPr>
        <w:t xml:space="preserve"> </w:t>
      </w:r>
      <w:r w:rsidR="00161A62" w:rsidRPr="00271C71">
        <w:rPr>
          <w:rFonts w:ascii="Times New Roman" w:hAnsi="Times New Roman" w:cs="Times New Roman"/>
          <w:noProof/>
        </w:rPr>
        <w:t>–</w:t>
      </w:r>
      <w:r w:rsidR="00161A62">
        <w:rPr>
          <w:rFonts w:ascii="Times New Roman" w:hAnsi="Times New Roman" w:cs="Times New Roman"/>
          <w:noProof/>
        </w:rPr>
        <w:t xml:space="preserve"> </w:t>
      </w:r>
      <w:r w:rsidRPr="007C1A06">
        <w:rPr>
          <w:rFonts w:ascii="Times New Roman" w:hAnsi="Times New Roman"/>
        </w:rPr>
        <w:t>8</w:t>
      </w:r>
      <w:r w:rsidR="007D5071" w:rsidRPr="007C1A06">
        <w:rPr>
          <w:rFonts w:ascii="Times New Roman" w:hAnsi="Times New Roman"/>
        </w:rPr>
        <w:t> </w:t>
      </w:r>
      <w:r w:rsidRPr="007C1A06">
        <w:rPr>
          <w:rFonts w:ascii="Times New Roman" w:hAnsi="Times New Roman"/>
        </w:rPr>
        <w:t>°C temperatūroje ir neapsaugojus nuo šviesos žemesnėje kaip 25</w:t>
      </w:r>
      <w:r w:rsidR="007D5071" w:rsidRPr="007C1A06">
        <w:rPr>
          <w:rFonts w:ascii="Times New Roman" w:hAnsi="Times New Roman"/>
        </w:rPr>
        <w:t> </w:t>
      </w:r>
      <w:r w:rsidRPr="007C1A06">
        <w:rPr>
          <w:rFonts w:ascii="Times New Roman" w:hAnsi="Times New Roman"/>
        </w:rPr>
        <w:t>°C temperatūroje, nekinta iki 4</w:t>
      </w:r>
      <w:r w:rsidR="007D5071" w:rsidRPr="007C1A06">
        <w:rPr>
          <w:rFonts w:ascii="Times New Roman" w:hAnsi="Times New Roman"/>
        </w:rPr>
        <w:t> </w:t>
      </w:r>
      <w:r w:rsidRPr="007C1A06">
        <w:rPr>
          <w:rFonts w:ascii="Times New Roman" w:hAnsi="Times New Roman"/>
        </w:rPr>
        <w:t>valandų.</w:t>
      </w:r>
    </w:p>
    <w:p w14:paraId="024CC7C5" w14:textId="77777777" w:rsidR="00D875C0" w:rsidRPr="00874783"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Mikrobiologiniu požiūriu vaistinis preparatas po atidarymo turi būti suvartojamas nedelsiant.</w:t>
      </w:r>
      <w:r w:rsidRPr="007C1A06">
        <w:rPr>
          <w:rFonts w:ascii="Times New Roman" w:eastAsia="Times New Roman" w:hAnsi="Times New Roman" w:cs="Times New Roman"/>
        </w:rPr>
        <w:t xml:space="preserve"> </w:t>
      </w:r>
    </w:p>
    <w:p w14:paraId="56988D7B" w14:textId="77777777" w:rsidR="00D875C0" w:rsidRPr="001F2C46" w:rsidRDefault="00D875C0" w:rsidP="00D875C0">
      <w:pPr>
        <w:spacing w:after="0" w:line="240" w:lineRule="auto"/>
        <w:rPr>
          <w:rFonts w:ascii="Times New Roman" w:hAnsi="Times New Roman"/>
        </w:rPr>
      </w:pPr>
      <w:r w:rsidRPr="001F2C46">
        <w:rPr>
          <w:rFonts w:ascii="Times New Roman" w:hAnsi="Times New Roman"/>
        </w:rPr>
        <w:t>Jei jis tuoj pat nevartojamas, už laikymo trukmę ir sąlygas atsako vartotojas.</w:t>
      </w:r>
    </w:p>
    <w:p w14:paraId="35789B60" w14:textId="77777777" w:rsidR="00D875C0" w:rsidRPr="00427D92" w:rsidRDefault="00D875C0" w:rsidP="00D875C0">
      <w:pPr>
        <w:spacing w:after="0" w:line="240" w:lineRule="auto"/>
        <w:rPr>
          <w:rFonts w:ascii="Times New Roman" w:hAnsi="Times New Roman"/>
        </w:rPr>
      </w:pPr>
    </w:p>
    <w:p w14:paraId="6EED8DBC" w14:textId="77777777" w:rsidR="00D875C0" w:rsidRPr="00C722B4" w:rsidRDefault="00D875C0" w:rsidP="00D875C0">
      <w:pPr>
        <w:spacing w:after="0" w:line="240" w:lineRule="auto"/>
        <w:rPr>
          <w:rFonts w:ascii="Times New Roman" w:hAnsi="Times New Roman"/>
          <w:b/>
          <w:i/>
        </w:rPr>
      </w:pPr>
      <w:r w:rsidRPr="00C722B4">
        <w:rPr>
          <w:rFonts w:ascii="Times New Roman" w:hAnsi="Times New Roman"/>
          <w:b/>
          <w:i/>
        </w:rPr>
        <w:t>Specialios laikymo sąlygos</w:t>
      </w:r>
    </w:p>
    <w:p w14:paraId="2A6359AA" w14:textId="77777777" w:rsidR="00D875C0" w:rsidRPr="007C1A06" w:rsidRDefault="00D875C0" w:rsidP="00D875C0">
      <w:pPr>
        <w:spacing w:after="0" w:line="240" w:lineRule="auto"/>
        <w:rPr>
          <w:rFonts w:ascii="Times New Roman" w:hAnsi="Times New Roman"/>
        </w:rPr>
      </w:pPr>
    </w:p>
    <w:p w14:paraId="407385AE" w14:textId="77777777" w:rsidR="00D875C0" w:rsidRPr="004E3CD5" w:rsidRDefault="00D875C0" w:rsidP="00D875C0">
      <w:pPr>
        <w:spacing w:after="0" w:line="240" w:lineRule="auto"/>
        <w:rPr>
          <w:rFonts w:ascii="Times New Roman" w:eastAsiaTheme="minorEastAsia" w:hAnsi="Times New Roman"/>
          <w:b/>
          <w:lang w:eastAsia="zh-TW"/>
        </w:rPr>
      </w:pPr>
      <w:r w:rsidRPr="007C1A06">
        <w:rPr>
          <w:rFonts w:ascii="Times New Roman" w:hAnsi="Times New Roman"/>
          <w:b/>
        </w:rPr>
        <w:t>Pardavimui supakuotas vaistinis preparatas</w:t>
      </w:r>
    </w:p>
    <w:p w14:paraId="2ADC4385"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Laikyti ne aukštesnėje kaip 25</w:t>
      </w:r>
      <w:r w:rsidR="007D5071" w:rsidRPr="007C1A06">
        <w:rPr>
          <w:rFonts w:ascii="Times New Roman" w:hAnsi="Times New Roman"/>
        </w:rPr>
        <w:t> </w:t>
      </w:r>
      <w:r w:rsidRPr="007C1A06">
        <w:rPr>
          <w:rFonts w:ascii="Times New Roman" w:hAnsi="Times New Roman"/>
        </w:rPr>
        <w:t>°C temperatūroje.</w:t>
      </w:r>
    </w:p>
    <w:p w14:paraId="5F1720F4"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Negalima užšaldyti.</w:t>
      </w:r>
    </w:p>
    <w:p w14:paraId="1558101A" w14:textId="77777777" w:rsidR="00D875C0" w:rsidRPr="004E3CD5" w:rsidRDefault="00D875C0" w:rsidP="00D875C0">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Flakoną laikyti išorinėje dėžutėje, kad preparatas būtų apsaugotas nuo šviesos.</w:t>
      </w:r>
    </w:p>
    <w:p w14:paraId="6E6E78A7" w14:textId="77777777" w:rsidR="00D875C0" w:rsidRPr="004E3CD5" w:rsidRDefault="00D875C0" w:rsidP="00D875C0">
      <w:pPr>
        <w:spacing w:after="0" w:line="240" w:lineRule="auto"/>
        <w:rPr>
          <w:rFonts w:ascii="Times New Roman" w:eastAsiaTheme="minorEastAsia" w:hAnsi="Times New Roman"/>
          <w:lang w:eastAsia="zh-TW"/>
        </w:rPr>
      </w:pPr>
      <w:r w:rsidRPr="007C1A06">
        <w:rPr>
          <w:rFonts w:ascii="Times New Roman" w:hAnsi="Times New Roman"/>
        </w:rPr>
        <w:t>Praskiesto vaistinio preparato laikymo sąlygos pateiktos poskyryje „Tinkamumo laikas po praskiedimo“.</w:t>
      </w:r>
    </w:p>
    <w:p w14:paraId="1F179C40" w14:textId="77777777" w:rsidR="00D875C0" w:rsidRDefault="00D875C0" w:rsidP="00D875C0">
      <w:pPr>
        <w:spacing w:after="0" w:line="240" w:lineRule="auto"/>
        <w:rPr>
          <w:rFonts w:ascii="Times New Roman" w:hAnsi="Times New Roman"/>
        </w:rPr>
      </w:pPr>
    </w:p>
    <w:p w14:paraId="67D20735" w14:textId="77777777" w:rsidR="0079241E" w:rsidRPr="0031293D" w:rsidRDefault="0079241E" w:rsidP="001F75E6">
      <w:pPr>
        <w:spacing w:after="0" w:line="240" w:lineRule="auto"/>
        <w:rPr>
          <w:rFonts w:ascii="Times New Roman" w:hAnsi="Times New Roman"/>
        </w:rPr>
      </w:pPr>
      <w:bookmarkStart w:id="92" w:name="_GoBack"/>
      <w:bookmarkEnd w:id="92"/>
    </w:p>
    <w:sectPr w:rsidR="0079241E" w:rsidRPr="0031293D" w:rsidSect="003876F8">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7598C" w14:textId="77777777" w:rsidR="00453BC4" w:rsidRDefault="00453BC4">
      <w:pPr>
        <w:spacing w:after="0" w:line="240" w:lineRule="auto"/>
      </w:pPr>
      <w:r>
        <w:separator/>
      </w:r>
    </w:p>
  </w:endnote>
  <w:endnote w:type="continuationSeparator" w:id="0">
    <w:p w14:paraId="7D89E506" w14:textId="77777777" w:rsidR="00453BC4" w:rsidRDefault="00453BC4">
      <w:pPr>
        <w:spacing w:after="0" w:line="240" w:lineRule="auto"/>
      </w:pPr>
      <w:r>
        <w:continuationSeparator/>
      </w:r>
    </w:p>
  </w:endnote>
  <w:endnote w:type="continuationNotice" w:id="1">
    <w:p w14:paraId="39543FC4" w14:textId="77777777" w:rsidR="00453BC4" w:rsidRDefault="00453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TimesNewRomanPS-ItalicMT">
    <w:altName w:val="Times New Roman"/>
    <w:panose1 w:val="00000000000000000000"/>
    <w:charset w:val="EE"/>
    <w:family w:val="auto"/>
    <w:notTrueType/>
    <w:pitch w:val="default"/>
    <w:sig w:usb0="00000007" w:usb1="00000000" w:usb2="00000000" w:usb3="00000000" w:csb0="00000003"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7656" w14:textId="77777777" w:rsidR="00AB1BD4" w:rsidRDefault="00AB1BD4" w:rsidP="003876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46</w:t>
    </w:r>
    <w:r>
      <w:rPr>
        <w:rStyle w:val="Puslapionumeris"/>
      </w:rPr>
      <w:fldChar w:fldCharType="end"/>
    </w:r>
  </w:p>
  <w:p w14:paraId="2FD4ADE4" w14:textId="77777777" w:rsidR="00AB1BD4" w:rsidRDefault="00AB1BD4" w:rsidP="003876F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5A3EC" w14:textId="24788F88" w:rsidR="00AB1BD4" w:rsidRPr="00362D58" w:rsidRDefault="00AB1BD4" w:rsidP="003876F8">
    <w:pPr>
      <w:pStyle w:val="Porat"/>
      <w:framePr w:wrap="around" w:vAnchor="text" w:hAnchor="margin" w:xAlign="right" w:y="1"/>
      <w:rPr>
        <w:rStyle w:val="Puslapionumeris"/>
        <w:sz w:val="20"/>
        <w:szCs w:val="20"/>
      </w:rPr>
    </w:pPr>
    <w:r w:rsidRPr="00362D58">
      <w:rPr>
        <w:rStyle w:val="Puslapionumeris"/>
        <w:sz w:val="20"/>
        <w:szCs w:val="20"/>
      </w:rPr>
      <w:fldChar w:fldCharType="begin"/>
    </w:r>
    <w:r w:rsidRPr="00362D58">
      <w:rPr>
        <w:rStyle w:val="Puslapionumeris"/>
        <w:sz w:val="20"/>
        <w:szCs w:val="20"/>
      </w:rPr>
      <w:instrText xml:space="preserve">PAGE  </w:instrText>
    </w:r>
    <w:r w:rsidRPr="00362D58">
      <w:rPr>
        <w:rStyle w:val="Puslapionumeris"/>
        <w:sz w:val="20"/>
        <w:szCs w:val="20"/>
      </w:rPr>
      <w:fldChar w:fldCharType="separate"/>
    </w:r>
    <w:r w:rsidR="00053C6B">
      <w:rPr>
        <w:rStyle w:val="Puslapionumeris"/>
        <w:noProof/>
        <w:sz w:val="20"/>
        <w:szCs w:val="20"/>
      </w:rPr>
      <w:t>69</w:t>
    </w:r>
    <w:r w:rsidRPr="00362D58">
      <w:rPr>
        <w:rStyle w:val="Puslapionumeris"/>
        <w:sz w:val="20"/>
        <w:szCs w:val="20"/>
      </w:rPr>
      <w:fldChar w:fldCharType="end"/>
    </w:r>
  </w:p>
  <w:p w14:paraId="689E4DE7" w14:textId="77777777" w:rsidR="00AB1BD4" w:rsidRDefault="00AB1BD4" w:rsidP="003876F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AECD4" w14:textId="77777777" w:rsidR="00AB1BD4" w:rsidRDefault="00AB1B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45A22" w14:textId="77777777" w:rsidR="00453BC4" w:rsidRDefault="00453BC4">
      <w:pPr>
        <w:spacing w:after="0" w:line="240" w:lineRule="auto"/>
      </w:pPr>
      <w:r>
        <w:separator/>
      </w:r>
    </w:p>
  </w:footnote>
  <w:footnote w:type="continuationSeparator" w:id="0">
    <w:p w14:paraId="22596014" w14:textId="77777777" w:rsidR="00453BC4" w:rsidRDefault="00453BC4">
      <w:pPr>
        <w:spacing w:after="0" w:line="240" w:lineRule="auto"/>
      </w:pPr>
      <w:r>
        <w:continuationSeparator/>
      </w:r>
    </w:p>
  </w:footnote>
  <w:footnote w:type="continuationNotice" w:id="1">
    <w:p w14:paraId="5A1E6022" w14:textId="77777777" w:rsidR="00453BC4" w:rsidRDefault="00453B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FC56" w14:textId="77777777" w:rsidR="00AB1BD4" w:rsidRDefault="00AB1B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7A4A" w14:textId="77777777" w:rsidR="00AB1BD4" w:rsidRDefault="00AB1BD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C8CF8" w14:textId="77777777" w:rsidR="00AB1BD4" w:rsidRDefault="00AB1B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87C61"/>
    <w:multiLevelType w:val="hybridMultilevel"/>
    <w:tmpl w:val="E65AA1A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87E0B"/>
    <w:multiLevelType w:val="hybridMultilevel"/>
    <w:tmpl w:val="9B76A6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71CE3"/>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9744D"/>
    <w:multiLevelType w:val="hybridMultilevel"/>
    <w:tmpl w:val="E272E0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CA6812"/>
    <w:multiLevelType w:val="hybridMultilevel"/>
    <w:tmpl w:val="85BE4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465A67"/>
    <w:multiLevelType w:val="hybridMultilevel"/>
    <w:tmpl w:val="BB1CC262"/>
    <w:lvl w:ilvl="0" w:tplc="308847AE">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85790"/>
    <w:multiLevelType w:val="hybridMultilevel"/>
    <w:tmpl w:val="FCBE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C4023"/>
    <w:multiLevelType w:val="multilevel"/>
    <w:tmpl w:val="E6D2AF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0C36DC2C"/>
    <w:lvl w:ilvl="0" w:tplc="41E43D9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C4364"/>
    <w:multiLevelType w:val="hybridMultilevel"/>
    <w:tmpl w:val="2220806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B3270C"/>
    <w:multiLevelType w:val="hybridMultilevel"/>
    <w:tmpl w:val="4552E57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261520"/>
    <w:multiLevelType w:val="hybridMultilevel"/>
    <w:tmpl w:val="68A27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746ABC"/>
    <w:multiLevelType w:val="multilevel"/>
    <w:tmpl w:val="0B145C22"/>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39452E9"/>
    <w:multiLevelType w:val="hybridMultilevel"/>
    <w:tmpl w:val="E73813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B76CA"/>
    <w:multiLevelType w:val="hybridMultilevel"/>
    <w:tmpl w:val="EDA6AF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1A534C"/>
    <w:multiLevelType w:val="hybridMultilevel"/>
    <w:tmpl w:val="DF00847C"/>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966315"/>
    <w:multiLevelType w:val="hybridMultilevel"/>
    <w:tmpl w:val="60D651EC"/>
    <w:lvl w:ilvl="0" w:tplc="308847AE">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A603DA"/>
    <w:multiLevelType w:val="hybridMultilevel"/>
    <w:tmpl w:val="0552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7202F"/>
    <w:multiLevelType w:val="hybridMultilevel"/>
    <w:tmpl w:val="D7A0AA3A"/>
    <w:lvl w:ilvl="0" w:tplc="308847AE">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992C54"/>
    <w:multiLevelType w:val="hybridMultilevel"/>
    <w:tmpl w:val="245C2186"/>
    <w:lvl w:ilvl="0" w:tplc="0427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C6D02"/>
    <w:multiLevelType w:val="multilevel"/>
    <w:tmpl w:val="D03C47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EA3B12"/>
    <w:multiLevelType w:val="hybridMultilevel"/>
    <w:tmpl w:val="C7B0267C"/>
    <w:lvl w:ilvl="0" w:tplc="8C3433B6">
      <w:numFmt w:val="bullet"/>
      <w:lvlText w:val=""/>
      <w:lvlJc w:val="left"/>
      <w:pPr>
        <w:ind w:left="360" w:hanging="360"/>
      </w:pPr>
      <w:rPr>
        <w:rFonts w:ascii="Symbol" w:hAnsi="Symbol" w:cs="Times New Roman"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A5922C0"/>
    <w:multiLevelType w:val="multilevel"/>
    <w:tmpl w:val="4AD424B4"/>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BCF249E"/>
    <w:multiLevelType w:val="hybridMultilevel"/>
    <w:tmpl w:val="D03C47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1F50F1"/>
    <w:multiLevelType w:val="hybridMultilevel"/>
    <w:tmpl w:val="C2AA9AC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1E76DF3"/>
    <w:multiLevelType w:val="hybridMultilevel"/>
    <w:tmpl w:val="C4BE513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BD6AC5"/>
    <w:multiLevelType w:val="hybridMultilevel"/>
    <w:tmpl w:val="B2946C30"/>
    <w:lvl w:ilvl="0" w:tplc="BE4A9D9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4EA74E1"/>
    <w:multiLevelType w:val="hybridMultilevel"/>
    <w:tmpl w:val="764CE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5"/>
  </w:num>
  <w:num w:numId="3">
    <w:abstractNumId w:val="8"/>
  </w:num>
  <w:num w:numId="4">
    <w:abstractNumId w:val="17"/>
  </w:num>
  <w:num w:numId="5">
    <w:abstractNumId w:val="4"/>
  </w:num>
  <w:num w:numId="6">
    <w:abstractNumId w:val="6"/>
  </w:num>
  <w:num w:numId="7">
    <w:abstractNumId w:val="13"/>
  </w:num>
  <w:num w:numId="8">
    <w:abstractNumId w:val="2"/>
  </w:num>
  <w:num w:numId="9">
    <w:abstractNumId w:val="1"/>
  </w:num>
  <w:num w:numId="10">
    <w:abstractNumId w:val="14"/>
  </w:num>
  <w:num w:numId="11">
    <w:abstractNumId w:val="10"/>
  </w:num>
  <w:num w:numId="12">
    <w:abstractNumId w:val="24"/>
  </w:num>
  <w:num w:numId="13">
    <w:abstractNumId w:val="19"/>
  </w:num>
  <w:num w:numId="14">
    <w:abstractNumId w:val="21"/>
  </w:num>
  <w:num w:numId="15">
    <w:abstractNumId w:val="3"/>
  </w:num>
  <w:num w:numId="16">
    <w:abstractNumId w:val="23"/>
  </w:num>
  <w:num w:numId="17">
    <w:abstractNumId w:val="12"/>
  </w:num>
  <w:num w:numId="18">
    <w:abstractNumId w:val="0"/>
    <w:lvlOverride w:ilvl="0">
      <w:lvl w:ilvl="0">
        <w:start w:val="1"/>
        <w:numFmt w:val="bullet"/>
        <w:lvlText w:val="-"/>
        <w:lvlJc w:val="left"/>
        <w:pPr>
          <w:ind w:left="360" w:hanging="360"/>
        </w:pPr>
      </w:lvl>
    </w:lvlOverride>
  </w:num>
  <w:num w:numId="19">
    <w:abstractNumId w:val="11"/>
  </w:num>
  <w:num w:numId="20">
    <w:abstractNumId w:val="26"/>
  </w:num>
  <w:num w:numId="21">
    <w:abstractNumId w:val="27"/>
  </w:num>
  <w:num w:numId="22">
    <w:abstractNumId w:val="20"/>
  </w:num>
  <w:num w:numId="23">
    <w:abstractNumId w:val="7"/>
  </w:num>
  <w:num w:numId="24">
    <w:abstractNumId w:val="16"/>
  </w:num>
  <w:num w:numId="25">
    <w:abstractNumId w:val="22"/>
  </w:num>
  <w:num w:numId="26">
    <w:abstractNumId w:val="25"/>
  </w:num>
  <w:num w:numId="27">
    <w:abstractNumId w:val="5"/>
  </w:num>
  <w:num w:numId="28">
    <w:abstractNumId w:val="2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396"/>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C0"/>
    <w:rsid w:val="00001337"/>
    <w:rsid w:val="000108D9"/>
    <w:rsid w:val="000125C2"/>
    <w:rsid w:val="00012DC0"/>
    <w:rsid w:val="00020F49"/>
    <w:rsid w:val="00024C04"/>
    <w:rsid w:val="0003051F"/>
    <w:rsid w:val="00031A09"/>
    <w:rsid w:val="000353CE"/>
    <w:rsid w:val="000409F9"/>
    <w:rsid w:val="00042CBA"/>
    <w:rsid w:val="00053C6B"/>
    <w:rsid w:val="00060CAC"/>
    <w:rsid w:val="000664E6"/>
    <w:rsid w:val="00067F7F"/>
    <w:rsid w:val="00070CB3"/>
    <w:rsid w:val="0007666D"/>
    <w:rsid w:val="00077B54"/>
    <w:rsid w:val="000827DB"/>
    <w:rsid w:val="00083798"/>
    <w:rsid w:val="000854F3"/>
    <w:rsid w:val="00093E1A"/>
    <w:rsid w:val="00095CB4"/>
    <w:rsid w:val="000A11FA"/>
    <w:rsid w:val="000B22F8"/>
    <w:rsid w:val="000B6150"/>
    <w:rsid w:val="000C0532"/>
    <w:rsid w:val="000C0F79"/>
    <w:rsid w:val="000C43D3"/>
    <w:rsid w:val="000D157F"/>
    <w:rsid w:val="000D2CFE"/>
    <w:rsid w:val="000D40AF"/>
    <w:rsid w:val="000D6F8D"/>
    <w:rsid w:val="000E00CB"/>
    <w:rsid w:val="000E57E6"/>
    <w:rsid w:val="000E67CC"/>
    <w:rsid w:val="000F5E7D"/>
    <w:rsid w:val="000F6A03"/>
    <w:rsid w:val="000F73EA"/>
    <w:rsid w:val="001038A6"/>
    <w:rsid w:val="00106300"/>
    <w:rsid w:val="001071F6"/>
    <w:rsid w:val="0011031E"/>
    <w:rsid w:val="00111A39"/>
    <w:rsid w:val="00112C2F"/>
    <w:rsid w:val="001201CA"/>
    <w:rsid w:val="0012033A"/>
    <w:rsid w:val="00126295"/>
    <w:rsid w:val="00127699"/>
    <w:rsid w:val="001319FC"/>
    <w:rsid w:val="00132AA9"/>
    <w:rsid w:val="00136CFC"/>
    <w:rsid w:val="00141267"/>
    <w:rsid w:val="00152A16"/>
    <w:rsid w:val="00161A62"/>
    <w:rsid w:val="0016423D"/>
    <w:rsid w:val="001648E7"/>
    <w:rsid w:val="00164E63"/>
    <w:rsid w:val="00165326"/>
    <w:rsid w:val="0016780D"/>
    <w:rsid w:val="00174041"/>
    <w:rsid w:val="00174C25"/>
    <w:rsid w:val="001774A7"/>
    <w:rsid w:val="00181DD7"/>
    <w:rsid w:val="001823E7"/>
    <w:rsid w:val="00183A14"/>
    <w:rsid w:val="00187307"/>
    <w:rsid w:val="00191D3F"/>
    <w:rsid w:val="001927F6"/>
    <w:rsid w:val="001933E9"/>
    <w:rsid w:val="00195BBD"/>
    <w:rsid w:val="001974E6"/>
    <w:rsid w:val="00197AED"/>
    <w:rsid w:val="001A26E5"/>
    <w:rsid w:val="001B139E"/>
    <w:rsid w:val="001B422A"/>
    <w:rsid w:val="001B5BC0"/>
    <w:rsid w:val="001B7EB2"/>
    <w:rsid w:val="001C1372"/>
    <w:rsid w:val="001C7207"/>
    <w:rsid w:val="001C79C8"/>
    <w:rsid w:val="001D57D6"/>
    <w:rsid w:val="001D6FA6"/>
    <w:rsid w:val="001E16E1"/>
    <w:rsid w:val="001E4347"/>
    <w:rsid w:val="001F0C02"/>
    <w:rsid w:val="001F2C46"/>
    <w:rsid w:val="001F75E6"/>
    <w:rsid w:val="002002CD"/>
    <w:rsid w:val="00210C06"/>
    <w:rsid w:val="00214F43"/>
    <w:rsid w:val="002250BE"/>
    <w:rsid w:val="002320F5"/>
    <w:rsid w:val="00233180"/>
    <w:rsid w:val="002340EC"/>
    <w:rsid w:val="002405FF"/>
    <w:rsid w:val="0024317A"/>
    <w:rsid w:val="002443EE"/>
    <w:rsid w:val="002456AC"/>
    <w:rsid w:val="00246F2E"/>
    <w:rsid w:val="0025329A"/>
    <w:rsid w:val="0026128E"/>
    <w:rsid w:val="00262249"/>
    <w:rsid w:val="002632A2"/>
    <w:rsid w:val="0026707E"/>
    <w:rsid w:val="00270AF3"/>
    <w:rsid w:val="00276FD2"/>
    <w:rsid w:val="00280ACB"/>
    <w:rsid w:val="00281750"/>
    <w:rsid w:val="00285FD2"/>
    <w:rsid w:val="00293C72"/>
    <w:rsid w:val="00296A6E"/>
    <w:rsid w:val="0029794D"/>
    <w:rsid w:val="002A0284"/>
    <w:rsid w:val="002A2253"/>
    <w:rsid w:val="002B29BD"/>
    <w:rsid w:val="002B598A"/>
    <w:rsid w:val="002B6A25"/>
    <w:rsid w:val="002C66B1"/>
    <w:rsid w:val="002D421E"/>
    <w:rsid w:val="002D795E"/>
    <w:rsid w:val="002D7EE1"/>
    <w:rsid w:val="002E1DB4"/>
    <w:rsid w:val="002F0700"/>
    <w:rsid w:val="002F291E"/>
    <w:rsid w:val="002F6DD7"/>
    <w:rsid w:val="00303982"/>
    <w:rsid w:val="00306A87"/>
    <w:rsid w:val="0031293D"/>
    <w:rsid w:val="00314918"/>
    <w:rsid w:val="00315C0C"/>
    <w:rsid w:val="00320A2D"/>
    <w:rsid w:val="00327F03"/>
    <w:rsid w:val="00346894"/>
    <w:rsid w:val="00351A14"/>
    <w:rsid w:val="00360F43"/>
    <w:rsid w:val="00361542"/>
    <w:rsid w:val="003619CE"/>
    <w:rsid w:val="0036248E"/>
    <w:rsid w:val="00375EF3"/>
    <w:rsid w:val="003876F8"/>
    <w:rsid w:val="00393E12"/>
    <w:rsid w:val="00396A8F"/>
    <w:rsid w:val="00397290"/>
    <w:rsid w:val="0039740E"/>
    <w:rsid w:val="003A3636"/>
    <w:rsid w:val="003A4D4D"/>
    <w:rsid w:val="003A76A2"/>
    <w:rsid w:val="003B03F4"/>
    <w:rsid w:val="003B15C8"/>
    <w:rsid w:val="003B35A5"/>
    <w:rsid w:val="003B5720"/>
    <w:rsid w:val="003C00C3"/>
    <w:rsid w:val="003C1708"/>
    <w:rsid w:val="003C4549"/>
    <w:rsid w:val="003C45CB"/>
    <w:rsid w:val="003D188C"/>
    <w:rsid w:val="003D2457"/>
    <w:rsid w:val="003D5669"/>
    <w:rsid w:val="003E1E21"/>
    <w:rsid w:val="003E33FA"/>
    <w:rsid w:val="003F4E72"/>
    <w:rsid w:val="003F4EE4"/>
    <w:rsid w:val="003F5551"/>
    <w:rsid w:val="003F6F07"/>
    <w:rsid w:val="004042F8"/>
    <w:rsid w:val="00412D09"/>
    <w:rsid w:val="00412EC4"/>
    <w:rsid w:val="00413141"/>
    <w:rsid w:val="00414833"/>
    <w:rsid w:val="004175FA"/>
    <w:rsid w:val="00420298"/>
    <w:rsid w:val="0042227D"/>
    <w:rsid w:val="004226E2"/>
    <w:rsid w:val="00424734"/>
    <w:rsid w:val="00427D92"/>
    <w:rsid w:val="00445A37"/>
    <w:rsid w:val="00446DE4"/>
    <w:rsid w:val="00450E8B"/>
    <w:rsid w:val="00453BC4"/>
    <w:rsid w:val="00460A64"/>
    <w:rsid w:val="0046247D"/>
    <w:rsid w:val="0046402B"/>
    <w:rsid w:val="0046417B"/>
    <w:rsid w:val="00465F5B"/>
    <w:rsid w:val="00467009"/>
    <w:rsid w:val="00467349"/>
    <w:rsid w:val="004676B7"/>
    <w:rsid w:val="00473857"/>
    <w:rsid w:val="00483D21"/>
    <w:rsid w:val="00484C25"/>
    <w:rsid w:val="00486F6E"/>
    <w:rsid w:val="004872B1"/>
    <w:rsid w:val="00490E21"/>
    <w:rsid w:val="00490EBF"/>
    <w:rsid w:val="004A1D8F"/>
    <w:rsid w:val="004A37B5"/>
    <w:rsid w:val="004A5144"/>
    <w:rsid w:val="004A7091"/>
    <w:rsid w:val="004B2BA5"/>
    <w:rsid w:val="004B3FA3"/>
    <w:rsid w:val="004B6841"/>
    <w:rsid w:val="004D0E76"/>
    <w:rsid w:val="004D50A9"/>
    <w:rsid w:val="004E00B8"/>
    <w:rsid w:val="004E3CD5"/>
    <w:rsid w:val="004E4D59"/>
    <w:rsid w:val="004E680F"/>
    <w:rsid w:val="00501853"/>
    <w:rsid w:val="0050253A"/>
    <w:rsid w:val="00502ADB"/>
    <w:rsid w:val="005065A1"/>
    <w:rsid w:val="00510929"/>
    <w:rsid w:val="00526511"/>
    <w:rsid w:val="0053065D"/>
    <w:rsid w:val="0053292B"/>
    <w:rsid w:val="00537C98"/>
    <w:rsid w:val="00544DE9"/>
    <w:rsid w:val="00547CAE"/>
    <w:rsid w:val="00547FFD"/>
    <w:rsid w:val="0056015B"/>
    <w:rsid w:val="0056363B"/>
    <w:rsid w:val="00564CA5"/>
    <w:rsid w:val="00571E51"/>
    <w:rsid w:val="00572E9C"/>
    <w:rsid w:val="005739C6"/>
    <w:rsid w:val="0057676D"/>
    <w:rsid w:val="005841DF"/>
    <w:rsid w:val="00585EF6"/>
    <w:rsid w:val="00586D22"/>
    <w:rsid w:val="00596BBE"/>
    <w:rsid w:val="005972D4"/>
    <w:rsid w:val="005A0DFC"/>
    <w:rsid w:val="005A181A"/>
    <w:rsid w:val="005A3106"/>
    <w:rsid w:val="005A5166"/>
    <w:rsid w:val="005B300B"/>
    <w:rsid w:val="005B530E"/>
    <w:rsid w:val="005B5FED"/>
    <w:rsid w:val="005B75B9"/>
    <w:rsid w:val="005D3423"/>
    <w:rsid w:val="005D4CBE"/>
    <w:rsid w:val="005E00ED"/>
    <w:rsid w:val="005E4CED"/>
    <w:rsid w:val="005E602C"/>
    <w:rsid w:val="005F0D02"/>
    <w:rsid w:val="005F0E56"/>
    <w:rsid w:val="005F1A3F"/>
    <w:rsid w:val="005F624F"/>
    <w:rsid w:val="005F7AE4"/>
    <w:rsid w:val="006016F8"/>
    <w:rsid w:val="006049F4"/>
    <w:rsid w:val="0060700D"/>
    <w:rsid w:val="0061226F"/>
    <w:rsid w:val="006204D4"/>
    <w:rsid w:val="00621C9C"/>
    <w:rsid w:val="0062589C"/>
    <w:rsid w:val="00630CD8"/>
    <w:rsid w:val="00630E58"/>
    <w:rsid w:val="00632581"/>
    <w:rsid w:val="00632BA3"/>
    <w:rsid w:val="0063429C"/>
    <w:rsid w:val="006359AB"/>
    <w:rsid w:val="006359F8"/>
    <w:rsid w:val="006364CE"/>
    <w:rsid w:val="0063717B"/>
    <w:rsid w:val="006373FE"/>
    <w:rsid w:val="00641358"/>
    <w:rsid w:val="00646A66"/>
    <w:rsid w:val="00665DE0"/>
    <w:rsid w:val="006667E2"/>
    <w:rsid w:val="00667B1A"/>
    <w:rsid w:val="00681DD0"/>
    <w:rsid w:val="00694BB4"/>
    <w:rsid w:val="0069589A"/>
    <w:rsid w:val="0069749C"/>
    <w:rsid w:val="006A0514"/>
    <w:rsid w:val="006A0EAF"/>
    <w:rsid w:val="006A4452"/>
    <w:rsid w:val="006A667D"/>
    <w:rsid w:val="006B0EF3"/>
    <w:rsid w:val="006C4203"/>
    <w:rsid w:val="006D6BB3"/>
    <w:rsid w:val="006F7FC2"/>
    <w:rsid w:val="00700DBF"/>
    <w:rsid w:val="00701421"/>
    <w:rsid w:val="00702537"/>
    <w:rsid w:val="00712D89"/>
    <w:rsid w:val="00714471"/>
    <w:rsid w:val="00715BC6"/>
    <w:rsid w:val="00731FFA"/>
    <w:rsid w:val="00732B43"/>
    <w:rsid w:val="00744100"/>
    <w:rsid w:val="00747D0D"/>
    <w:rsid w:val="00754DB0"/>
    <w:rsid w:val="00762168"/>
    <w:rsid w:val="00770808"/>
    <w:rsid w:val="00770946"/>
    <w:rsid w:val="007724E7"/>
    <w:rsid w:val="00780E0B"/>
    <w:rsid w:val="007835FD"/>
    <w:rsid w:val="00783E7F"/>
    <w:rsid w:val="0078756E"/>
    <w:rsid w:val="00790787"/>
    <w:rsid w:val="0079241E"/>
    <w:rsid w:val="007933F4"/>
    <w:rsid w:val="007946A4"/>
    <w:rsid w:val="007A3774"/>
    <w:rsid w:val="007A7FC9"/>
    <w:rsid w:val="007B0130"/>
    <w:rsid w:val="007B29DA"/>
    <w:rsid w:val="007B3F05"/>
    <w:rsid w:val="007B4FF9"/>
    <w:rsid w:val="007B6171"/>
    <w:rsid w:val="007C083F"/>
    <w:rsid w:val="007C1A06"/>
    <w:rsid w:val="007D1432"/>
    <w:rsid w:val="007D248D"/>
    <w:rsid w:val="007D3B5D"/>
    <w:rsid w:val="007D46BD"/>
    <w:rsid w:val="007D5071"/>
    <w:rsid w:val="007D5449"/>
    <w:rsid w:val="007D6998"/>
    <w:rsid w:val="007D6D2F"/>
    <w:rsid w:val="007E6D60"/>
    <w:rsid w:val="007F0A81"/>
    <w:rsid w:val="008020C8"/>
    <w:rsid w:val="00807371"/>
    <w:rsid w:val="00812B91"/>
    <w:rsid w:val="00813385"/>
    <w:rsid w:val="00817AD8"/>
    <w:rsid w:val="00821237"/>
    <w:rsid w:val="00823209"/>
    <w:rsid w:val="008246ED"/>
    <w:rsid w:val="00827F08"/>
    <w:rsid w:val="00833346"/>
    <w:rsid w:val="00837122"/>
    <w:rsid w:val="008377C5"/>
    <w:rsid w:val="00845370"/>
    <w:rsid w:val="008525B4"/>
    <w:rsid w:val="00855EB6"/>
    <w:rsid w:val="008744F6"/>
    <w:rsid w:val="00874783"/>
    <w:rsid w:val="008762A6"/>
    <w:rsid w:val="008806EA"/>
    <w:rsid w:val="008917C1"/>
    <w:rsid w:val="0089194E"/>
    <w:rsid w:val="00895B68"/>
    <w:rsid w:val="008B1DA1"/>
    <w:rsid w:val="008C6A5E"/>
    <w:rsid w:val="008D2442"/>
    <w:rsid w:val="008D3595"/>
    <w:rsid w:val="008D3B6A"/>
    <w:rsid w:val="008E0583"/>
    <w:rsid w:val="008E57E9"/>
    <w:rsid w:val="008E7D67"/>
    <w:rsid w:val="008F1413"/>
    <w:rsid w:val="00902629"/>
    <w:rsid w:val="00910DF9"/>
    <w:rsid w:val="0091343F"/>
    <w:rsid w:val="00913A7F"/>
    <w:rsid w:val="00915C14"/>
    <w:rsid w:val="00921CBA"/>
    <w:rsid w:val="00932CF2"/>
    <w:rsid w:val="0093571A"/>
    <w:rsid w:val="0094511D"/>
    <w:rsid w:val="00945D54"/>
    <w:rsid w:val="00946473"/>
    <w:rsid w:val="00947DDD"/>
    <w:rsid w:val="00955AC4"/>
    <w:rsid w:val="00963956"/>
    <w:rsid w:val="009761F2"/>
    <w:rsid w:val="00993DE4"/>
    <w:rsid w:val="009A0162"/>
    <w:rsid w:val="009A79EA"/>
    <w:rsid w:val="009B1273"/>
    <w:rsid w:val="009B447F"/>
    <w:rsid w:val="009B7365"/>
    <w:rsid w:val="009C2FF3"/>
    <w:rsid w:val="009D4C02"/>
    <w:rsid w:val="009D7A66"/>
    <w:rsid w:val="009E0708"/>
    <w:rsid w:val="009E3E57"/>
    <w:rsid w:val="009E478D"/>
    <w:rsid w:val="009F0163"/>
    <w:rsid w:val="009F5720"/>
    <w:rsid w:val="009F7D2E"/>
    <w:rsid w:val="00A0468A"/>
    <w:rsid w:val="00A1716E"/>
    <w:rsid w:val="00A20DDB"/>
    <w:rsid w:val="00A276D4"/>
    <w:rsid w:val="00A27799"/>
    <w:rsid w:val="00A278CE"/>
    <w:rsid w:val="00A32315"/>
    <w:rsid w:val="00A33967"/>
    <w:rsid w:val="00A36987"/>
    <w:rsid w:val="00A46EB4"/>
    <w:rsid w:val="00A51EF6"/>
    <w:rsid w:val="00A56C6D"/>
    <w:rsid w:val="00A60076"/>
    <w:rsid w:val="00A60736"/>
    <w:rsid w:val="00A714D7"/>
    <w:rsid w:val="00A76D10"/>
    <w:rsid w:val="00A7747E"/>
    <w:rsid w:val="00A77842"/>
    <w:rsid w:val="00A819C1"/>
    <w:rsid w:val="00A94026"/>
    <w:rsid w:val="00AB10A3"/>
    <w:rsid w:val="00AB17DD"/>
    <w:rsid w:val="00AB1BD4"/>
    <w:rsid w:val="00AB3868"/>
    <w:rsid w:val="00AB5DDA"/>
    <w:rsid w:val="00AB6850"/>
    <w:rsid w:val="00AB76C5"/>
    <w:rsid w:val="00AC1C0F"/>
    <w:rsid w:val="00AC4DE5"/>
    <w:rsid w:val="00AC5593"/>
    <w:rsid w:val="00AC7818"/>
    <w:rsid w:val="00AD06A4"/>
    <w:rsid w:val="00AD4B8E"/>
    <w:rsid w:val="00AD6321"/>
    <w:rsid w:val="00AE4C80"/>
    <w:rsid w:val="00AE5AEE"/>
    <w:rsid w:val="00AF0F7E"/>
    <w:rsid w:val="00AF3207"/>
    <w:rsid w:val="00AF3A11"/>
    <w:rsid w:val="00AF619A"/>
    <w:rsid w:val="00AF7FB2"/>
    <w:rsid w:val="00B14832"/>
    <w:rsid w:val="00B201A0"/>
    <w:rsid w:val="00B220CF"/>
    <w:rsid w:val="00B37678"/>
    <w:rsid w:val="00B4376E"/>
    <w:rsid w:val="00B45484"/>
    <w:rsid w:val="00B504D9"/>
    <w:rsid w:val="00B5662B"/>
    <w:rsid w:val="00B61C0F"/>
    <w:rsid w:val="00B63D62"/>
    <w:rsid w:val="00B67A7B"/>
    <w:rsid w:val="00B725E6"/>
    <w:rsid w:val="00B75FFD"/>
    <w:rsid w:val="00B76AA8"/>
    <w:rsid w:val="00B81BA2"/>
    <w:rsid w:val="00B82A4E"/>
    <w:rsid w:val="00B845F6"/>
    <w:rsid w:val="00B924EF"/>
    <w:rsid w:val="00B93C53"/>
    <w:rsid w:val="00B96FAD"/>
    <w:rsid w:val="00BA594A"/>
    <w:rsid w:val="00BA6E38"/>
    <w:rsid w:val="00BC138D"/>
    <w:rsid w:val="00BC2654"/>
    <w:rsid w:val="00BC423F"/>
    <w:rsid w:val="00BC4940"/>
    <w:rsid w:val="00BD42D9"/>
    <w:rsid w:val="00BE3C8D"/>
    <w:rsid w:val="00BE6F45"/>
    <w:rsid w:val="00BE7636"/>
    <w:rsid w:val="00BF2E69"/>
    <w:rsid w:val="00BF41ED"/>
    <w:rsid w:val="00BF648D"/>
    <w:rsid w:val="00C0310E"/>
    <w:rsid w:val="00C03897"/>
    <w:rsid w:val="00C03DAC"/>
    <w:rsid w:val="00C04259"/>
    <w:rsid w:val="00C11C35"/>
    <w:rsid w:val="00C11F9C"/>
    <w:rsid w:val="00C16BD1"/>
    <w:rsid w:val="00C327AA"/>
    <w:rsid w:val="00C37B30"/>
    <w:rsid w:val="00C44652"/>
    <w:rsid w:val="00C46C67"/>
    <w:rsid w:val="00C5107B"/>
    <w:rsid w:val="00C54CE0"/>
    <w:rsid w:val="00C54EAD"/>
    <w:rsid w:val="00C56594"/>
    <w:rsid w:val="00C61C05"/>
    <w:rsid w:val="00C6262D"/>
    <w:rsid w:val="00C639BD"/>
    <w:rsid w:val="00C66317"/>
    <w:rsid w:val="00C7081D"/>
    <w:rsid w:val="00C722B4"/>
    <w:rsid w:val="00C72FD9"/>
    <w:rsid w:val="00C7649F"/>
    <w:rsid w:val="00C76ED1"/>
    <w:rsid w:val="00C81D72"/>
    <w:rsid w:val="00C84198"/>
    <w:rsid w:val="00C85A27"/>
    <w:rsid w:val="00C90CC2"/>
    <w:rsid w:val="00C933B1"/>
    <w:rsid w:val="00C94397"/>
    <w:rsid w:val="00CA4F30"/>
    <w:rsid w:val="00CA5549"/>
    <w:rsid w:val="00CA63E3"/>
    <w:rsid w:val="00CA7C6D"/>
    <w:rsid w:val="00CB08AB"/>
    <w:rsid w:val="00CB2506"/>
    <w:rsid w:val="00CB4D1B"/>
    <w:rsid w:val="00CB6A02"/>
    <w:rsid w:val="00CC71F2"/>
    <w:rsid w:val="00CC77A4"/>
    <w:rsid w:val="00CD3C4A"/>
    <w:rsid w:val="00CE17E7"/>
    <w:rsid w:val="00CE18A8"/>
    <w:rsid w:val="00CE61BD"/>
    <w:rsid w:val="00CE65C8"/>
    <w:rsid w:val="00CE7408"/>
    <w:rsid w:val="00CF077D"/>
    <w:rsid w:val="00CF0AF6"/>
    <w:rsid w:val="00CF2128"/>
    <w:rsid w:val="00D12312"/>
    <w:rsid w:val="00D12C21"/>
    <w:rsid w:val="00D2003B"/>
    <w:rsid w:val="00D307B8"/>
    <w:rsid w:val="00D42E48"/>
    <w:rsid w:val="00D52C53"/>
    <w:rsid w:val="00D545D3"/>
    <w:rsid w:val="00D549E8"/>
    <w:rsid w:val="00D60496"/>
    <w:rsid w:val="00D71F2D"/>
    <w:rsid w:val="00D72851"/>
    <w:rsid w:val="00D875C0"/>
    <w:rsid w:val="00D901D2"/>
    <w:rsid w:val="00D90C3D"/>
    <w:rsid w:val="00D9198F"/>
    <w:rsid w:val="00DA20F3"/>
    <w:rsid w:val="00DA3934"/>
    <w:rsid w:val="00DA6E7A"/>
    <w:rsid w:val="00DB1C6F"/>
    <w:rsid w:val="00DB68F0"/>
    <w:rsid w:val="00DC25AD"/>
    <w:rsid w:val="00DD0D17"/>
    <w:rsid w:val="00DD7A02"/>
    <w:rsid w:val="00DE41BA"/>
    <w:rsid w:val="00DF272C"/>
    <w:rsid w:val="00E00079"/>
    <w:rsid w:val="00E07EA1"/>
    <w:rsid w:val="00E10684"/>
    <w:rsid w:val="00E21E25"/>
    <w:rsid w:val="00E232B4"/>
    <w:rsid w:val="00E24F1C"/>
    <w:rsid w:val="00E25617"/>
    <w:rsid w:val="00E25E21"/>
    <w:rsid w:val="00E30DE0"/>
    <w:rsid w:val="00E40EEA"/>
    <w:rsid w:val="00E414F5"/>
    <w:rsid w:val="00E42D5A"/>
    <w:rsid w:val="00E42E3C"/>
    <w:rsid w:val="00E505E0"/>
    <w:rsid w:val="00E506BC"/>
    <w:rsid w:val="00E5407D"/>
    <w:rsid w:val="00E54431"/>
    <w:rsid w:val="00E5660F"/>
    <w:rsid w:val="00E67AC6"/>
    <w:rsid w:val="00E72FBF"/>
    <w:rsid w:val="00E774C4"/>
    <w:rsid w:val="00E77FDD"/>
    <w:rsid w:val="00E80C8F"/>
    <w:rsid w:val="00E85DB9"/>
    <w:rsid w:val="00E921BC"/>
    <w:rsid w:val="00EA1332"/>
    <w:rsid w:val="00EA557A"/>
    <w:rsid w:val="00EB6CE8"/>
    <w:rsid w:val="00EC2623"/>
    <w:rsid w:val="00EC2A59"/>
    <w:rsid w:val="00EC5B32"/>
    <w:rsid w:val="00ED04F1"/>
    <w:rsid w:val="00ED40CD"/>
    <w:rsid w:val="00EE3AF7"/>
    <w:rsid w:val="00EE5034"/>
    <w:rsid w:val="00EF0272"/>
    <w:rsid w:val="00F035C9"/>
    <w:rsid w:val="00F11714"/>
    <w:rsid w:val="00F14E25"/>
    <w:rsid w:val="00F276BD"/>
    <w:rsid w:val="00F3053A"/>
    <w:rsid w:val="00F31F85"/>
    <w:rsid w:val="00F3574F"/>
    <w:rsid w:val="00F35BEE"/>
    <w:rsid w:val="00F373DC"/>
    <w:rsid w:val="00F40C5C"/>
    <w:rsid w:val="00F40EA6"/>
    <w:rsid w:val="00F46462"/>
    <w:rsid w:val="00F465BB"/>
    <w:rsid w:val="00F54C45"/>
    <w:rsid w:val="00F6003A"/>
    <w:rsid w:val="00F64AE1"/>
    <w:rsid w:val="00F73AE2"/>
    <w:rsid w:val="00F75AB7"/>
    <w:rsid w:val="00F77CF9"/>
    <w:rsid w:val="00F8609A"/>
    <w:rsid w:val="00F86EE1"/>
    <w:rsid w:val="00F870FF"/>
    <w:rsid w:val="00F93E94"/>
    <w:rsid w:val="00F957E7"/>
    <w:rsid w:val="00F95B76"/>
    <w:rsid w:val="00F9795D"/>
    <w:rsid w:val="00FA06D7"/>
    <w:rsid w:val="00FA781C"/>
    <w:rsid w:val="00FB116C"/>
    <w:rsid w:val="00FB1A49"/>
    <w:rsid w:val="00FB3181"/>
    <w:rsid w:val="00FB3342"/>
    <w:rsid w:val="00FB4671"/>
    <w:rsid w:val="00FB5C4B"/>
    <w:rsid w:val="00FC4A17"/>
    <w:rsid w:val="00FC5559"/>
    <w:rsid w:val="00FD6F0A"/>
    <w:rsid w:val="00FD7961"/>
    <w:rsid w:val="00FE396E"/>
    <w:rsid w:val="00FE4E67"/>
    <w:rsid w:val="00FF5FC9"/>
  </w:rsids>
  <m:mathPr>
    <m:mathFont m:val="Cambria Math"/>
    <m:brkBin m:val="before"/>
    <m:brkBinSub m:val="--"/>
    <m:smallFrac/>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FCD934"/>
  <w15:docId w15:val="{9E95A291-A002-4FC6-9264-279DD78F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2CBA"/>
    <w:pPr>
      <w:spacing w:after="200" w:line="276" w:lineRule="auto"/>
    </w:pPr>
    <w:rPr>
      <w:rFonts w:asciiTheme="minorHAnsi" w:hAnsiTheme="minorHAnsi" w:cstheme="minorBidi"/>
      <w:sz w:val="22"/>
      <w:szCs w:val="22"/>
      <w:lang w:val="lt-LT"/>
    </w:rPr>
  </w:style>
  <w:style w:type="paragraph" w:styleId="Antrat1">
    <w:name w:val="heading 1"/>
    <w:basedOn w:val="prastasis"/>
    <w:next w:val="prastasis"/>
    <w:link w:val="Antrat1Diagrama"/>
    <w:qFormat/>
    <w:rsid w:val="00D875C0"/>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D875C0"/>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D875C0"/>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semiHidden/>
    <w:unhideWhenUsed/>
    <w:qFormat/>
    <w:rsid w:val="00D875C0"/>
    <w:pPr>
      <w:keepNext/>
      <w:keepLines/>
      <w:spacing w:before="200" w:after="0" w:line="240" w:lineRule="auto"/>
      <w:outlineLvl w:val="3"/>
    </w:pPr>
    <w:rPr>
      <w:rFonts w:ascii="Cambria" w:eastAsia="Times New Roman" w:hAnsi="Cambria" w:cs="Times New Roman"/>
      <w:b/>
      <w:bCs/>
      <w:i/>
      <w:iCs/>
      <w:color w:val="4F81BD"/>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75C0"/>
    <w:rPr>
      <w:rFonts w:eastAsia="Times New Roman"/>
      <w:b/>
      <w:bCs/>
      <w:kern w:val="32"/>
      <w:sz w:val="32"/>
      <w:szCs w:val="32"/>
      <w:lang w:val="lt-LT"/>
    </w:rPr>
  </w:style>
  <w:style w:type="character" w:customStyle="1" w:styleId="Antrat2Diagrama">
    <w:name w:val="Antraštė 2 Diagrama"/>
    <w:basedOn w:val="Numatytasispastraiposriftas"/>
    <w:link w:val="Antrat2"/>
    <w:rsid w:val="00D875C0"/>
    <w:rPr>
      <w:rFonts w:eastAsia="Times New Roman"/>
      <w:b/>
      <w:bCs/>
      <w:i/>
      <w:iCs/>
      <w:sz w:val="28"/>
      <w:szCs w:val="28"/>
      <w:lang w:val="lt-LT"/>
    </w:rPr>
  </w:style>
  <w:style w:type="character" w:customStyle="1" w:styleId="Antrat3Diagrama">
    <w:name w:val="Antraštė 3 Diagrama"/>
    <w:basedOn w:val="Numatytasispastraiposriftas"/>
    <w:link w:val="Antrat3"/>
    <w:rsid w:val="00D875C0"/>
    <w:rPr>
      <w:rFonts w:eastAsia="Times New Roman"/>
      <w:b/>
      <w:bCs/>
      <w:sz w:val="26"/>
      <w:szCs w:val="26"/>
      <w:lang w:val="lt-LT"/>
    </w:rPr>
  </w:style>
  <w:style w:type="character" w:customStyle="1" w:styleId="Antrat4Diagrama">
    <w:name w:val="Antraštė 4 Diagrama"/>
    <w:basedOn w:val="Numatytasispastraiposriftas"/>
    <w:link w:val="Antrat4"/>
    <w:uiPriority w:val="9"/>
    <w:semiHidden/>
    <w:rsid w:val="00D875C0"/>
    <w:rPr>
      <w:rFonts w:ascii="Cambria" w:eastAsia="Times New Roman" w:hAnsi="Cambria" w:cs="Times New Roman"/>
      <w:b/>
      <w:bCs/>
      <w:i/>
      <w:iCs/>
      <w:color w:val="4F81BD"/>
      <w:sz w:val="24"/>
      <w:szCs w:val="24"/>
      <w:lang w:val="lt-LT"/>
    </w:rPr>
  </w:style>
  <w:style w:type="numbering" w:customStyle="1" w:styleId="NoList1">
    <w:name w:val="No List1"/>
    <w:next w:val="Sraonra"/>
    <w:uiPriority w:val="99"/>
    <w:semiHidden/>
    <w:unhideWhenUsed/>
    <w:rsid w:val="00D875C0"/>
  </w:style>
  <w:style w:type="character" w:styleId="Hipersaitas">
    <w:name w:val="Hyperlink"/>
    <w:rsid w:val="00D875C0"/>
    <w:rPr>
      <w:color w:val="0000FF"/>
      <w:u w:val="single"/>
    </w:rPr>
  </w:style>
  <w:style w:type="paragraph" w:customStyle="1" w:styleId="PI-1EMEASMCA">
    <w:name w:val="PI-1 EMEA_SMCA"/>
    <w:basedOn w:val="Antrat2"/>
    <w:autoRedefine/>
    <w:rsid w:val="00D875C0"/>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D875C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rPr>
  </w:style>
  <w:style w:type="character" w:customStyle="1" w:styleId="PI-1labEMEASMCAChar">
    <w:name w:val="PI-1_lab EMEA_SMCA Char"/>
    <w:link w:val="PI-1labEMEASMCA"/>
    <w:rsid w:val="00D875C0"/>
    <w:rPr>
      <w:rFonts w:ascii="Times New Roman" w:eastAsia="Times New Roman" w:hAnsi="Times New Roman" w:cs="Times New Roman"/>
      <w:b/>
      <w:noProof/>
    </w:rPr>
  </w:style>
  <w:style w:type="paragraph" w:customStyle="1" w:styleId="PI-2EMEASMCA">
    <w:name w:val="PI-2 EMEA_SMCA"/>
    <w:basedOn w:val="Antrat3"/>
    <w:autoRedefine/>
    <w:rsid w:val="00D875C0"/>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D875C0"/>
    <w:pPr>
      <w:spacing w:after="0" w:line="240" w:lineRule="auto"/>
    </w:pPr>
    <w:rPr>
      <w:rFonts w:ascii="Times New Roman" w:eastAsia="Times New Roman" w:hAnsi="Times New Roman" w:cs="Times New Roman"/>
      <w:sz w:val="20"/>
      <w:szCs w:val="20"/>
    </w:rPr>
  </w:style>
  <w:style w:type="character" w:customStyle="1" w:styleId="BTEMEASMCAChar">
    <w:name w:val="BT EMEA_SMCA Char"/>
    <w:link w:val="BTEMEASMCA"/>
    <w:rsid w:val="00D875C0"/>
    <w:rPr>
      <w:rFonts w:ascii="Times New Roman" w:eastAsia="Times New Roman" w:hAnsi="Times New Roman" w:cs="Times New Roman"/>
    </w:rPr>
  </w:style>
  <w:style w:type="paragraph" w:customStyle="1" w:styleId="TTEMEASMCA">
    <w:name w:val="TT EMEA_SMCA"/>
    <w:basedOn w:val="Antrat1"/>
    <w:link w:val="TTEMEASMCAChar"/>
    <w:autoRedefine/>
    <w:rsid w:val="00D875C0"/>
    <w:pPr>
      <w:keepNext w:val="0"/>
      <w:tabs>
        <w:tab w:val="left" w:pos="567"/>
      </w:tabs>
      <w:spacing w:before="0" w:after="0"/>
      <w:ind w:left="567" w:hanging="567"/>
      <w:jc w:val="center"/>
    </w:pPr>
    <w:rPr>
      <w:rFonts w:ascii="Times New Roman" w:hAnsi="Times New Roman" w:cs="Times New Roman"/>
      <w:bCs w:val="0"/>
      <w:caps/>
      <w:kern w:val="0"/>
      <w:sz w:val="20"/>
      <w:szCs w:val="20"/>
    </w:rPr>
  </w:style>
  <w:style w:type="character" w:customStyle="1" w:styleId="TTEMEASMCAChar">
    <w:name w:val="TT EMEA_SMCA Char"/>
    <w:link w:val="TTEMEASMCA"/>
    <w:rsid w:val="00D875C0"/>
    <w:rPr>
      <w:rFonts w:ascii="Times New Roman" w:eastAsia="Times New Roman" w:hAnsi="Times New Roman" w:cs="Times New Roman"/>
      <w:b/>
      <w:caps/>
    </w:rPr>
  </w:style>
  <w:style w:type="paragraph" w:customStyle="1" w:styleId="BTAnIIEMEASMCA">
    <w:name w:val="BT(AnII) EMEA_SMCA"/>
    <w:basedOn w:val="Debesliotekstas"/>
    <w:autoRedefine/>
    <w:rsid w:val="00D875C0"/>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D875C0"/>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D875C0"/>
    <w:rPr>
      <w:rFonts w:ascii="Tahoma" w:eastAsia="Times New Roman" w:hAnsi="Tahoma" w:cs="Tahoma"/>
      <w:sz w:val="16"/>
      <w:szCs w:val="16"/>
      <w:lang w:val="lt-LT"/>
    </w:rPr>
  </w:style>
  <w:style w:type="paragraph" w:customStyle="1" w:styleId="BT-EMEASMCA">
    <w:name w:val="BT- EMEA_SMCA"/>
    <w:basedOn w:val="BTEMEASMCA"/>
    <w:autoRedefine/>
    <w:rsid w:val="00D875C0"/>
    <w:pPr>
      <w:numPr>
        <w:numId w:val="1"/>
      </w:numPr>
      <w:tabs>
        <w:tab w:val="clear" w:pos="720"/>
        <w:tab w:val="num" w:pos="540"/>
      </w:tabs>
      <w:ind w:left="540" w:hanging="540"/>
    </w:pPr>
  </w:style>
  <w:style w:type="paragraph" w:customStyle="1" w:styleId="PI-3EMEASMCA">
    <w:name w:val="PI-3 EMEA_SMCA"/>
    <w:basedOn w:val="prastasis"/>
    <w:autoRedefine/>
    <w:rsid w:val="00D875C0"/>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D875C0"/>
    <w:rPr>
      <w:b/>
    </w:rPr>
  </w:style>
  <w:style w:type="paragraph" w:customStyle="1" w:styleId="BTbeEMEASMCA">
    <w:name w:val="BT(be) EMEA_SMCA"/>
    <w:basedOn w:val="BTEMEASMCA"/>
    <w:autoRedefine/>
    <w:rsid w:val="00D875C0"/>
    <w:pPr>
      <w:jc w:val="center"/>
    </w:pPr>
    <w:rPr>
      <w:b/>
      <w:u w:val="single"/>
    </w:rPr>
  </w:style>
  <w:style w:type="paragraph" w:customStyle="1" w:styleId="BTeEMEASMCA">
    <w:name w:val="BT(e) EMEA_SMCA"/>
    <w:basedOn w:val="BTEMEASMCA"/>
    <w:autoRedefine/>
    <w:rsid w:val="00D875C0"/>
    <w:pPr>
      <w:jc w:val="center"/>
    </w:pPr>
    <w:rPr>
      <w:u w:val="single"/>
    </w:rPr>
  </w:style>
  <w:style w:type="paragraph" w:customStyle="1" w:styleId="BTgEMEASMCA">
    <w:name w:val="BT(g) EMEA_SMCA"/>
    <w:basedOn w:val="BTEMEASMCA"/>
    <w:link w:val="BTgEMEASMCAChar"/>
    <w:autoRedefine/>
    <w:rsid w:val="00D875C0"/>
    <w:rPr>
      <w:i/>
      <w:color w:val="008000"/>
      <w:u w:val="single"/>
    </w:rPr>
  </w:style>
  <w:style w:type="character" w:customStyle="1" w:styleId="BTgEMEASMCAChar">
    <w:name w:val="BT(g) EMEA_SMCA Char"/>
    <w:link w:val="BTgEMEASMCA"/>
    <w:rsid w:val="00D875C0"/>
    <w:rPr>
      <w:rFonts w:ascii="Times New Roman" w:eastAsia="Times New Roman" w:hAnsi="Times New Roman" w:cs="Times New Roman"/>
      <w:i/>
      <w:color w:val="008000"/>
      <w:u w:val="single"/>
    </w:rPr>
  </w:style>
  <w:style w:type="paragraph" w:customStyle="1" w:styleId="BTuEMEASMCA">
    <w:name w:val="BT(u) EMEA_SMCA"/>
    <w:basedOn w:val="BTEMEASMCA"/>
    <w:autoRedefine/>
    <w:rsid w:val="00D875C0"/>
    <w:rPr>
      <w:u w:val="single"/>
    </w:rPr>
  </w:style>
  <w:style w:type="paragraph" w:styleId="Pagrindinistekstas">
    <w:name w:val="Body Text"/>
    <w:basedOn w:val="prastasis"/>
    <w:link w:val="PagrindinistekstasDiagrama"/>
    <w:rsid w:val="00D875C0"/>
    <w:pPr>
      <w:spacing w:after="0" w:line="240" w:lineRule="auto"/>
      <w:jc w:val="center"/>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D875C0"/>
    <w:rPr>
      <w:rFonts w:ascii="Times New Roman" w:eastAsia="Times New Roman" w:hAnsi="Times New Roman" w:cs="Times New Roman"/>
      <w:sz w:val="24"/>
      <w:szCs w:val="24"/>
      <w:lang w:val="lt-LT"/>
    </w:rPr>
  </w:style>
  <w:style w:type="paragraph" w:styleId="Antrats">
    <w:name w:val="header"/>
    <w:basedOn w:val="prastasis"/>
    <w:link w:val="AntratsDiagrama"/>
    <w:rsid w:val="00D875C0"/>
    <w:pPr>
      <w:tabs>
        <w:tab w:val="center" w:pos="4536"/>
        <w:tab w:val="right" w:pos="9072"/>
      </w:tabs>
      <w:spacing w:after="0" w:line="240" w:lineRule="auto"/>
    </w:pPr>
    <w:rPr>
      <w:rFonts w:ascii="Times New Roman" w:eastAsia="Times New Roman" w:hAnsi="Times New Roman" w:cs="Times New Roman"/>
      <w:sz w:val="20"/>
      <w:szCs w:val="20"/>
      <w:lang w:val="nl-NL" w:eastAsia="nl-NL"/>
    </w:rPr>
  </w:style>
  <w:style w:type="character" w:customStyle="1" w:styleId="AntratsDiagrama">
    <w:name w:val="Antraštės Diagrama"/>
    <w:basedOn w:val="Numatytasispastraiposriftas"/>
    <w:link w:val="Antrats"/>
    <w:rsid w:val="00D875C0"/>
    <w:rPr>
      <w:rFonts w:ascii="Times New Roman" w:eastAsia="Times New Roman" w:hAnsi="Times New Roman" w:cs="Times New Roman"/>
      <w:lang w:val="nl-NL" w:eastAsia="nl-NL"/>
    </w:rPr>
  </w:style>
  <w:style w:type="paragraph" w:styleId="Dokumentoinaostekstas">
    <w:name w:val="endnote text"/>
    <w:basedOn w:val="prastasis"/>
    <w:link w:val="DokumentoinaostekstasDiagrama"/>
    <w:semiHidden/>
    <w:rsid w:val="00D875C0"/>
    <w:pPr>
      <w:spacing w:before="80" w:after="60" w:line="240" w:lineRule="auto"/>
      <w:ind w:left="907" w:hanging="907"/>
    </w:pPr>
    <w:rPr>
      <w:rFonts w:ascii="Times New Roman" w:eastAsia="Times New Roman" w:hAnsi="Times New Roman" w:cs="Times New Roman"/>
      <w:sz w:val="24"/>
      <w:szCs w:val="20"/>
      <w:lang w:val="en-US"/>
    </w:rPr>
  </w:style>
  <w:style w:type="character" w:customStyle="1" w:styleId="DokumentoinaostekstasDiagrama">
    <w:name w:val="Dokumento išnašos tekstas Diagrama"/>
    <w:basedOn w:val="Numatytasispastraiposriftas"/>
    <w:link w:val="Dokumentoinaostekstas"/>
    <w:semiHidden/>
    <w:rsid w:val="00D875C0"/>
    <w:rPr>
      <w:rFonts w:ascii="Times New Roman" w:eastAsia="Times New Roman" w:hAnsi="Times New Roman" w:cs="Times New Roman"/>
      <w:sz w:val="24"/>
    </w:rPr>
  </w:style>
  <w:style w:type="paragraph" w:customStyle="1" w:styleId="Char">
    <w:name w:val="Char"/>
    <w:basedOn w:val="prastasis"/>
    <w:rsid w:val="00D875C0"/>
    <w:pPr>
      <w:spacing w:after="160" w:line="240" w:lineRule="exact"/>
    </w:pPr>
    <w:rPr>
      <w:rFonts w:ascii="Verdana" w:eastAsia="Times New Roman" w:hAnsi="Verdana" w:cs="Verdana"/>
      <w:sz w:val="20"/>
      <w:szCs w:val="20"/>
      <w:lang w:val="en-GB"/>
    </w:rPr>
  </w:style>
  <w:style w:type="paragraph" w:styleId="Porat">
    <w:name w:val="footer"/>
    <w:basedOn w:val="prastasis"/>
    <w:link w:val="PoratDiagrama"/>
    <w:rsid w:val="00D875C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D875C0"/>
    <w:rPr>
      <w:rFonts w:ascii="Times New Roman" w:eastAsia="Times New Roman" w:hAnsi="Times New Roman" w:cs="Times New Roman"/>
      <w:sz w:val="24"/>
      <w:szCs w:val="24"/>
      <w:lang w:val="lt-LT"/>
    </w:rPr>
  </w:style>
  <w:style w:type="character" w:styleId="Puslapionumeris">
    <w:name w:val="page number"/>
    <w:basedOn w:val="Numatytasispastraiposriftas"/>
    <w:rsid w:val="00D875C0"/>
  </w:style>
  <w:style w:type="character" w:customStyle="1" w:styleId="hps">
    <w:name w:val="hps"/>
    <w:basedOn w:val="Numatytasispastraiposriftas"/>
    <w:rsid w:val="00D875C0"/>
  </w:style>
  <w:style w:type="table" w:styleId="Lentelstinklelis">
    <w:name w:val="Table Grid"/>
    <w:basedOn w:val="prastojilentel"/>
    <w:rsid w:val="00D875C0"/>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D875C0"/>
    <w:rPr>
      <w:sz w:val="16"/>
      <w:szCs w:val="16"/>
    </w:rPr>
  </w:style>
  <w:style w:type="paragraph" w:styleId="Komentarotekstas">
    <w:name w:val="annotation text"/>
    <w:basedOn w:val="prastasis"/>
    <w:link w:val="KomentarotekstasDiagrama"/>
    <w:rsid w:val="00D875C0"/>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D875C0"/>
    <w:rPr>
      <w:rFonts w:ascii="Times New Roman" w:eastAsia="Times New Roman" w:hAnsi="Times New Roman" w:cs="Times New Roman"/>
    </w:rPr>
  </w:style>
  <w:style w:type="paragraph" w:styleId="Komentarotema">
    <w:name w:val="annotation subject"/>
    <w:basedOn w:val="Komentarotekstas"/>
    <w:next w:val="Komentarotekstas"/>
    <w:link w:val="KomentarotemaDiagrama"/>
    <w:rsid w:val="00D875C0"/>
    <w:rPr>
      <w:b/>
      <w:bCs/>
    </w:rPr>
  </w:style>
  <w:style w:type="character" w:customStyle="1" w:styleId="KomentarotemaDiagrama">
    <w:name w:val="Komentaro tema Diagrama"/>
    <w:basedOn w:val="KomentarotekstasDiagrama"/>
    <w:link w:val="Komentarotema"/>
    <w:rsid w:val="00D875C0"/>
    <w:rPr>
      <w:rFonts w:ascii="Times New Roman" w:eastAsia="Times New Roman" w:hAnsi="Times New Roman" w:cs="Times New Roman"/>
      <w:b/>
      <w:bCs/>
    </w:rPr>
  </w:style>
  <w:style w:type="paragraph" w:styleId="Paprastasistekstas">
    <w:name w:val="Plain Text"/>
    <w:basedOn w:val="prastasis"/>
    <w:link w:val="PaprastasistekstasDiagrama"/>
    <w:uiPriority w:val="99"/>
    <w:rsid w:val="00D875C0"/>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D875C0"/>
    <w:rPr>
      <w:rFonts w:ascii="Courier New" w:eastAsia="SimSun" w:hAnsi="Courier New" w:cs="Times New Roman"/>
    </w:rPr>
  </w:style>
  <w:style w:type="paragraph" w:styleId="Sraopastraipa">
    <w:name w:val="List Paragraph"/>
    <w:basedOn w:val="prastasis"/>
    <w:uiPriority w:val="34"/>
    <w:qFormat/>
    <w:rsid w:val="00F957E7"/>
    <w:pPr>
      <w:ind w:left="720"/>
      <w:contextualSpacing/>
    </w:pPr>
  </w:style>
  <w:style w:type="paragraph" w:styleId="prastojitrauka">
    <w:name w:val="Normal Indent"/>
    <w:basedOn w:val="prastasis"/>
    <w:rsid w:val="00D875C0"/>
    <w:pPr>
      <w:spacing w:after="120" w:line="240" w:lineRule="auto"/>
      <w:ind w:left="720"/>
    </w:pPr>
    <w:rPr>
      <w:rFonts w:ascii="Times New Roman" w:eastAsia="Times New Roman" w:hAnsi="Times New Roman" w:cs="Times New Roman"/>
      <w:lang w:val="en-GB" w:eastAsia="en-GB"/>
    </w:rPr>
  </w:style>
  <w:style w:type="paragraph" w:customStyle="1" w:styleId="CM25">
    <w:name w:val="CM25"/>
    <w:basedOn w:val="prastasis"/>
    <w:next w:val="prastasis"/>
    <w:uiPriority w:val="99"/>
    <w:rsid w:val="00D875C0"/>
    <w:pPr>
      <w:widowControl w:val="0"/>
      <w:autoSpaceDE w:val="0"/>
      <w:autoSpaceDN w:val="0"/>
      <w:adjustRightInd w:val="0"/>
      <w:spacing w:after="253" w:line="240" w:lineRule="auto"/>
    </w:pPr>
    <w:rPr>
      <w:rFonts w:ascii="Times New Roman" w:eastAsia="Times New Roman" w:hAnsi="Times New Roman" w:cs="Times New Roman"/>
      <w:sz w:val="24"/>
      <w:szCs w:val="24"/>
      <w:lang w:val="en-US"/>
    </w:rPr>
  </w:style>
  <w:style w:type="paragraph" w:styleId="Pataisymai">
    <w:name w:val="Revision"/>
    <w:hidden/>
    <w:uiPriority w:val="99"/>
    <w:semiHidden/>
    <w:rsid w:val="001F75E6"/>
    <w:pPr>
      <w:spacing w:after="0" w:line="240" w:lineRule="auto"/>
    </w:pPr>
    <w:rPr>
      <w:rFonts w:asciiTheme="minorHAnsi" w:hAnsiTheme="minorHAnsi" w:cstheme="minorBidi"/>
      <w:sz w:val="22"/>
      <w:szCs w:val="22"/>
      <w:lang w:val="lt-LT"/>
    </w:rPr>
  </w:style>
  <w:style w:type="numbering" w:customStyle="1" w:styleId="NoList11">
    <w:name w:val="No List11"/>
    <w:next w:val="Sraonra"/>
    <w:uiPriority w:val="99"/>
    <w:semiHidden/>
    <w:unhideWhenUsed/>
    <w:rsid w:val="00F957E7"/>
  </w:style>
  <w:style w:type="paragraph" w:customStyle="1" w:styleId="Revision1">
    <w:name w:val="Revision1"/>
    <w:next w:val="Pataisymai"/>
    <w:hidden/>
    <w:uiPriority w:val="99"/>
    <w:semiHidden/>
    <w:rsid w:val="001F75E6"/>
    <w:pPr>
      <w:spacing w:after="0" w:line="240" w:lineRule="auto"/>
    </w:pPr>
    <w:rPr>
      <w:rFonts w:asciiTheme="minorHAnsi" w:eastAsia="Calibri" w:hAnsiTheme="minorHAnsi" w:cstheme="minorBidi"/>
      <w:sz w:val="22"/>
      <w:szCs w:val="22"/>
      <w:lang w:val="lt-LT"/>
    </w:rPr>
  </w:style>
  <w:style w:type="character" w:customStyle="1" w:styleId="jlqj4b">
    <w:name w:val="jlqj4b"/>
    <w:basedOn w:val="Numatytasispastraiposriftas"/>
    <w:rsid w:val="00191D3F"/>
  </w:style>
  <w:style w:type="character" w:customStyle="1" w:styleId="fszzbb">
    <w:name w:val="fszzbb"/>
    <w:basedOn w:val="Numatytasispastraiposriftas"/>
    <w:rsid w:val="00191D3F"/>
  </w:style>
  <w:style w:type="character" w:customStyle="1" w:styleId="Neapdorotaspaminjimas1">
    <w:name w:val="Neapdorotas paminėjimas1"/>
    <w:basedOn w:val="Numatytasispastraiposriftas"/>
    <w:uiPriority w:val="99"/>
    <w:semiHidden/>
    <w:unhideWhenUsed/>
    <w:rsid w:val="00412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5469">
      <w:bodyDiv w:val="1"/>
      <w:marLeft w:val="0"/>
      <w:marRight w:val="0"/>
      <w:marTop w:val="0"/>
      <w:marBottom w:val="0"/>
      <w:divBdr>
        <w:top w:val="none" w:sz="0" w:space="0" w:color="auto"/>
        <w:left w:val="none" w:sz="0" w:space="0" w:color="auto"/>
        <w:bottom w:val="none" w:sz="0" w:space="0" w:color="auto"/>
        <w:right w:val="none" w:sz="0" w:space="0" w:color="auto"/>
      </w:divBdr>
      <w:divsChild>
        <w:div w:id="113866263">
          <w:marLeft w:val="0"/>
          <w:marRight w:val="0"/>
          <w:marTop w:val="0"/>
          <w:marBottom w:val="0"/>
          <w:divBdr>
            <w:top w:val="none" w:sz="0" w:space="0" w:color="auto"/>
            <w:left w:val="none" w:sz="0" w:space="0" w:color="auto"/>
            <w:bottom w:val="none" w:sz="0" w:space="0" w:color="auto"/>
            <w:right w:val="none" w:sz="0" w:space="0" w:color="auto"/>
          </w:divBdr>
          <w:divsChild>
            <w:div w:id="1039358899">
              <w:marLeft w:val="0"/>
              <w:marRight w:val="0"/>
              <w:marTop w:val="0"/>
              <w:marBottom w:val="0"/>
              <w:divBdr>
                <w:top w:val="none" w:sz="0" w:space="0" w:color="auto"/>
                <w:left w:val="none" w:sz="0" w:space="0" w:color="auto"/>
                <w:bottom w:val="none" w:sz="0" w:space="0" w:color="auto"/>
                <w:right w:val="none" w:sz="0" w:space="0" w:color="auto"/>
              </w:divBdr>
              <w:divsChild>
                <w:div w:id="42025039">
                  <w:marLeft w:val="0"/>
                  <w:marRight w:val="0"/>
                  <w:marTop w:val="0"/>
                  <w:marBottom w:val="0"/>
                  <w:divBdr>
                    <w:top w:val="none" w:sz="0" w:space="0" w:color="auto"/>
                    <w:left w:val="none" w:sz="0" w:space="0" w:color="auto"/>
                    <w:bottom w:val="none" w:sz="0" w:space="0" w:color="auto"/>
                    <w:right w:val="none" w:sz="0" w:space="0" w:color="auto"/>
                  </w:divBdr>
                  <w:divsChild>
                    <w:div w:id="622618187">
                      <w:marLeft w:val="0"/>
                      <w:marRight w:val="0"/>
                      <w:marTop w:val="0"/>
                      <w:marBottom w:val="0"/>
                      <w:divBdr>
                        <w:top w:val="none" w:sz="0" w:space="0" w:color="auto"/>
                        <w:left w:val="none" w:sz="0" w:space="0" w:color="auto"/>
                        <w:bottom w:val="none" w:sz="0" w:space="0" w:color="auto"/>
                        <w:right w:val="none" w:sz="0" w:space="0" w:color="auto"/>
                      </w:divBdr>
                      <w:divsChild>
                        <w:div w:id="1457485393">
                          <w:marLeft w:val="0"/>
                          <w:marRight w:val="0"/>
                          <w:marTop w:val="0"/>
                          <w:marBottom w:val="0"/>
                          <w:divBdr>
                            <w:top w:val="none" w:sz="0" w:space="0" w:color="auto"/>
                            <w:left w:val="none" w:sz="0" w:space="0" w:color="auto"/>
                            <w:bottom w:val="none" w:sz="0" w:space="0" w:color="auto"/>
                            <w:right w:val="none" w:sz="0" w:space="0" w:color="auto"/>
                          </w:divBdr>
                          <w:divsChild>
                            <w:div w:id="1512716030">
                              <w:marLeft w:val="0"/>
                              <w:marRight w:val="0"/>
                              <w:marTop w:val="0"/>
                              <w:marBottom w:val="0"/>
                              <w:divBdr>
                                <w:top w:val="none" w:sz="0" w:space="0" w:color="auto"/>
                                <w:left w:val="none" w:sz="0" w:space="0" w:color="auto"/>
                                <w:bottom w:val="none" w:sz="0" w:space="0" w:color="auto"/>
                                <w:right w:val="none" w:sz="0" w:space="0" w:color="auto"/>
                              </w:divBdr>
                              <w:divsChild>
                                <w:div w:id="1763211348">
                                  <w:marLeft w:val="0"/>
                                  <w:marRight w:val="0"/>
                                  <w:marTop w:val="0"/>
                                  <w:marBottom w:val="0"/>
                                  <w:divBdr>
                                    <w:top w:val="none" w:sz="0" w:space="0" w:color="auto"/>
                                    <w:left w:val="none" w:sz="0" w:space="0" w:color="auto"/>
                                    <w:bottom w:val="none" w:sz="0" w:space="0" w:color="auto"/>
                                    <w:right w:val="none" w:sz="0" w:space="0" w:color="auto"/>
                                  </w:divBdr>
                                  <w:divsChild>
                                    <w:div w:id="1747267253">
                                      <w:marLeft w:val="0"/>
                                      <w:marRight w:val="0"/>
                                      <w:marTop w:val="0"/>
                                      <w:marBottom w:val="0"/>
                                      <w:divBdr>
                                        <w:top w:val="none" w:sz="0" w:space="0" w:color="auto"/>
                                        <w:left w:val="none" w:sz="0" w:space="0" w:color="auto"/>
                                        <w:bottom w:val="none" w:sz="0" w:space="0" w:color="auto"/>
                                        <w:right w:val="none" w:sz="0" w:space="0" w:color="auto"/>
                                      </w:divBdr>
                                      <w:divsChild>
                                        <w:div w:id="257911014">
                                          <w:marLeft w:val="0"/>
                                          <w:marRight w:val="0"/>
                                          <w:marTop w:val="0"/>
                                          <w:marBottom w:val="0"/>
                                          <w:divBdr>
                                            <w:top w:val="none" w:sz="0" w:space="0" w:color="auto"/>
                                            <w:left w:val="none" w:sz="0" w:space="0" w:color="auto"/>
                                            <w:bottom w:val="none" w:sz="0" w:space="0" w:color="auto"/>
                                            <w:right w:val="none" w:sz="0" w:space="0" w:color="auto"/>
                                          </w:divBdr>
                                          <w:divsChild>
                                            <w:div w:id="840851753">
                                              <w:marLeft w:val="0"/>
                                              <w:marRight w:val="0"/>
                                              <w:marTop w:val="0"/>
                                              <w:marBottom w:val="0"/>
                                              <w:divBdr>
                                                <w:top w:val="none" w:sz="0" w:space="0" w:color="auto"/>
                                                <w:left w:val="none" w:sz="0" w:space="0" w:color="auto"/>
                                                <w:bottom w:val="none" w:sz="0" w:space="0" w:color="auto"/>
                                                <w:right w:val="none" w:sz="0" w:space="0" w:color="auto"/>
                                              </w:divBdr>
                                              <w:divsChild>
                                                <w:div w:id="996032862">
                                                  <w:marLeft w:val="0"/>
                                                  <w:marRight w:val="0"/>
                                                  <w:marTop w:val="0"/>
                                                  <w:marBottom w:val="0"/>
                                                  <w:divBdr>
                                                    <w:top w:val="none" w:sz="0" w:space="0" w:color="auto"/>
                                                    <w:left w:val="none" w:sz="0" w:space="0" w:color="auto"/>
                                                    <w:bottom w:val="single" w:sz="6" w:space="0" w:color="DADCE0"/>
                                                    <w:right w:val="none" w:sz="0" w:space="0" w:color="auto"/>
                                                  </w:divBdr>
                                                  <w:divsChild>
                                                    <w:div w:id="386605917">
                                                      <w:marLeft w:val="0"/>
                                                      <w:marRight w:val="0"/>
                                                      <w:marTop w:val="0"/>
                                                      <w:marBottom w:val="0"/>
                                                      <w:divBdr>
                                                        <w:top w:val="none" w:sz="0" w:space="0" w:color="auto"/>
                                                        <w:left w:val="none" w:sz="0" w:space="0" w:color="auto"/>
                                                        <w:bottom w:val="none" w:sz="0" w:space="0" w:color="auto"/>
                                                        <w:right w:val="none" w:sz="0" w:space="0" w:color="auto"/>
                                                      </w:divBdr>
                                                      <w:divsChild>
                                                        <w:div w:id="977615393">
                                                          <w:marLeft w:val="0"/>
                                                          <w:marRight w:val="0"/>
                                                          <w:marTop w:val="0"/>
                                                          <w:marBottom w:val="0"/>
                                                          <w:divBdr>
                                                            <w:top w:val="none" w:sz="0" w:space="0" w:color="auto"/>
                                                            <w:left w:val="none" w:sz="0" w:space="0" w:color="auto"/>
                                                            <w:bottom w:val="none" w:sz="0" w:space="0" w:color="auto"/>
                                                            <w:right w:val="none" w:sz="0" w:space="0" w:color="auto"/>
                                                          </w:divBdr>
                                                        </w:div>
                                                        <w:div w:id="2019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38642">
                                                  <w:marLeft w:val="0"/>
                                                  <w:marRight w:val="0"/>
                                                  <w:marTop w:val="0"/>
                                                  <w:marBottom w:val="0"/>
                                                  <w:divBdr>
                                                    <w:top w:val="none" w:sz="0" w:space="0" w:color="auto"/>
                                                    <w:left w:val="none" w:sz="0" w:space="0" w:color="auto"/>
                                                    <w:bottom w:val="single" w:sz="6" w:space="0" w:color="DADCE0"/>
                                                    <w:right w:val="none" w:sz="0" w:space="0" w:color="auto"/>
                                                  </w:divBdr>
                                                  <w:divsChild>
                                                    <w:div w:id="121845342">
                                                      <w:marLeft w:val="0"/>
                                                      <w:marRight w:val="0"/>
                                                      <w:marTop w:val="0"/>
                                                      <w:marBottom w:val="0"/>
                                                      <w:divBdr>
                                                        <w:top w:val="none" w:sz="0" w:space="0" w:color="auto"/>
                                                        <w:left w:val="none" w:sz="0" w:space="0" w:color="auto"/>
                                                        <w:bottom w:val="none" w:sz="0" w:space="0" w:color="auto"/>
                                                        <w:right w:val="none" w:sz="0" w:space="0" w:color="auto"/>
                                                      </w:divBdr>
                                                      <w:divsChild>
                                                        <w:div w:id="1147090652">
                                                          <w:marLeft w:val="0"/>
                                                          <w:marRight w:val="0"/>
                                                          <w:marTop w:val="0"/>
                                                          <w:marBottom w:val="0"/>
                                                          <w:divBdr>
                                                            <w:top w:val="none" w:sz="0" w:space="0" w:color="auto"/>
                                                            <w:left w:val="none" w:sz="0" w:space="0" w:color="auto"/>
                                                            <w:bottom w:val="none" w:sz="0" w:space="0" w:color="auto"/>
                                                            <w:right w:val="none" w:sz="0" w:space="0" w:color="auto"/>
                                                          </w:divBdr>
                                                        </w:div>
                                                        <w:div w:id="10752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89895">
                                                  <w:marLeft w:val="0"/>
                                                  <w:marRight w:val="0"/>
                                                  <w:marTop w:val="0"/>
                                                  <w:marBottom w:val="0"/>
                                                  <w:divBdr>
                                                    <w:top w:val="none" w:sz="0" w:space="0" w:color="auto"/>
                                                    <w:left w:val="none" w:sz="0" w:space="0" w:color="auto"/>
                                                    <w:bottom w:val="none" w:sz="0" w:space="0" w:color="auto"/>
                                                    <w:right w:val="none" w:sz="0" w:space="0" w:color="auto"/>
                                                  </w:divBdr>
                                                  <w:divsChild>
                                                    <w:div w:id="525480646">
                                                      <w:marLeft w:val="0"/>
                                                      <w:marRight w:val="0"/>
                                                      <w:marTop w:val="0"/>
                                                      <w:marBottom w:val="0"/>
                                                      <w:divBdr>
                                                        <w:top w:val="none" w:sz="0" w:space="0" w:color="auto"/>
                                                        <w:left w:val="none" w:sz="0" w:space="0" w:color="auto"/>
                                                        <w:bottom w:val="none" w:sz="0" w:space="0" w:color="auto"/>
                                                        <w:right w:val="none" w:sz="0" w:space="0" w:color="auto"/>
                                                      </w:divBdr>
                                                      <w:divsChild>
                                                        <w:div w:id="58402738">
                                                          <w:marLeft w:val="0"/>
                                                          <w:marRight w:val="0"/>
                                                          <w:marTop w:val="0"/>
                                                          <w:marBottom w:val="0"/>
                                                          <w:divBdr>
                                                            <w:top w:val="none" w:sz="0" w:space="0" w:color="auto"/>
                                                            <w:left w:val="none" w:sz="0" w:space="0" w:color="auto"/>
                                                            <w:bottom w:val="none" w:sz="0" w:space="0" w:color="auto"/>
                                                            <w:right w:val="none" w:sz="0" w:space="0" w:color="auto"/>
                                                          </w:divBdr>
                                                        </w:div>
                                                        <w:div w:id="149857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29549">
                                                  <w:marLeft w:val="0"/>
                                                  <w:marRight w:val="0"/>
                                                  <w:marTop w:val="0"/>
                                                  <w:marBottom w:val="0"/>
                                                  <w:divBdr>
                                                    <w:top w:val="none" w:sz="0" w:space="0" w:color="auto"/>
                                                    <w:left w:val="none" w:sz="0" w:space="0" w:color="auto"/>
                                                    <w:bottom w:val="none" w:sz="0" w:space="0" w:color="auto"/>
                                                    <w:right w:val="none" w:sz="0" w:space="0" w:color="auto"/>
                                                  </w:divBdr>
                                                  <w:divsChild>
                                                    <w:div w:id="1447197648">
                                                      <w:marLeft w:val="0"/>
                                                      <w:marRight w:val="0"/>
                                                      <w:marTop w:val="0"/>
                                                      <w:marBottom w:val="0"/>
                                                      <w:divBdr>
                                                        <w:top w:val="none" w:sz="0" w:space="0" w:color="auto"/>
                                                        <w:left w:val="none" w:sz="0" w:space="0" w:color="auto"/>
                                                        <w:bottom w:val="none" w:sz="0" w:space="0" w:color="auto"/>
                                                        <w:right w:val="none" w:sz="0" w:space="0" w:color="auto"/>
                                                      </w:divBdr>
                                                      <w:divsChild>
                                                        <w:div w:id="2031225552">
                                                          <w:marLeft w:val="0"/>
                                                          <w:marRight w:val="0"/>
                                                          <w:marTop w:val="0"/>
                                                          <w:marBottom w:val="0"/>
                                                          <w:divBdr>
                                                            <w:top w:val="none" w:sz="0" w:space="0" w:color="auto"/>
                                                            <w:left w:val="none" w:sz="0" w:space="0" w:color="auto"/>
                                                            <w:bottom w:val="none" w:sz="0" w:space="0" w:color="auto"/>
                                                            <w:right w:val="none" w:sz="0" w:space="0" w:color="auto"/>
                                                          </w:divBdr>
                                                          <w:divsChild>
                                                            <w:div w:id="52522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007509">
      <w:bodyDiv w:val="1"/>
      <w:marLeft w:val="0"/>
      <w:marRight w:val="0"/>
      <w:marTop w:val="0"/>
      <w:marBottom w:val="0"/>
      <w:divBdr>
        <w:top w:val="none" w:sz="0" w:space="0" w:color="auto"/>
        <w:left w:val="none" w:sz="0" w:space="0" w:color="auto"/>
        <w:bottom w:val="none" w:sz="0" w:space="0" w:color="auto"/>
        <w:right w:val="none" w:sz="0" w:space="0" w:color="auto"/>
      </w:divBdr>
      <w:divsChild>
        <w:div w:id="1727099792">
          <w:marLeft w:val="0"/>
          <w:marRight w:val="0"/>
          <w:marTop w:val="0"/>
          <w:marBottom w:val="0"/>
          <w:divBdr>
            <w:top w:val="none" w:sz="0" w:space="0" w:color="auto"/>
            <w:left w:val="none" w:sz="0" w:space="0" w:color="auto"/>
            <w:bottom w:val="none" w:sz="0" w:space="0" w:color="auto"/>
            <w:right w:val="none" w:sz="0" w:space="0" w:color="auto"/>
          </w:divBdr>
          <w:divsChild>
            <w:div w:id="1703554467">
              <w:marLeft w:val="0"/>
              <w:marRight w:val="0"/>
              <w:marTop w:val="0"/>
              <w:marBottom w:val="0"/>
              <w:divBdr>
                <w:top w:val="none" w:sz="0" w:space="0" w:color="auto"/>
                <w:left w:val="none" w:sz="0" w:space="0" w:color="auto"/>
                <w:bottom w:val="none" w:sz="0" w:space="0" w:color="auto"/>
                <w:right w:val="none" w:sz="0" w:space="0" w:color="auto"/>
              </w:divBdr>
              <w:divsChild>
                <w:div w:id="847987436">
                  <w:marLeft w:val="0"/>
                  <w:marRight w:val="0"/>
                  <w:marTop w:val="0"/>
                  <w:marBottom w:val="0"/>
                  <w:divBdr>
                    <w:top w:val="none" w:sz="0" w:space="0" w:color="auto"/>
                    <w:left w:val="none" w:sz="0" w:space="0" w:color="auto"/>
                    <w:bottom w:val="none" w:sz="0" w:space="0" w:color="auto"/>
                    <w:right w:val="none" w:sz="0" w:space="0" w:color="auto"/>
                  </w:divBdr>
                  <w:divsChild>
                    <w:div w:id="1926183791">
                      <w:marLeft w:val="0"/>
                      <w:marRight w:val="0"/>
                      <w:marTop w:val="0"/>
                      <w:marBottom w:val="0"/>
                      <w:divBdr>
                        <w:top w:val="none" w:sz="0" w:space="0" w:color="auto"/>
                        <w:left w:val="none" w:sz="0" w:space="0" w:color="auto"/>
                        <w:bottom w:val="none" w:sz="0" w:space="0" w:color="auto"/>
                        <w:right w:val="none" w:sz="0" w:space="0" w:color="auto"/>
                      </w:divBdr>
                      <w:divsChild>
                        <w:div w:id="1784304659">
                          <w:marLeft w:val="0"/>
                          <w:marRight w:val="0"/>
                          <w:marTop w:val="0"/>
                          <w:marBottom w:val="0"/>
                          <w:divBdr>
                            <w:top w:val="none" w:sz="0" w:space="0" w:color="auto"/>
                            <w:left w:val="none" w:sz="0" w:space="0" w:color="auto"/>
                            <w:bottom w:val="none" w:sz="0" w:space="0" w:color="auto"/>
                            <w:right w:val="none" w:sz="0" w:space="0" w:color="auto"/>
                          </w:divBdr>
                          <w:divsChild>
                            <w:div w:id="1568493580">
                              <w:marLeft w:val="0"/>
                              <w:marRight w:val="0"/>
                              <w:marTop w:val="0"/>
                              <w:marBottom w:val="0"/>
                              <w:divBdr>
                                <w:top w:val="none" w:sz="0" w:space="0" w:color="auto"/>
                                <w:left w:val="none" w:sz="0" w:space="0" w:color="auto"/>
                                <w:bottom w:val="none" w:sz="0" w:space="0" w:color="auto"/>
                                <w:right w:val="none" w:sz="0" w:space="0" w:color="auto"/>
                              </w:divBdr>
                              <w:divsChild>
                                <w:div w:id="857740355">
                                  <w:marLeft w:val="0"/>
                                  <w:marRight w:val="0"/>
                                  <w:marTop w:val="0"/>
                                  <w:marBottom w:val="0"/>
                                  <w:divBdr>
                                    <w:top w:val="none" w:sz="0" w:space="0" w:color="auto"/>
                                    <w:left w:val="none" w:sz="0" w:space="0" w:color="auto"/>
                                    <w:bottom w:val="none" w:sz="0" w:space="0" w:color="auto"/>
                                    <w:right w:val="none" w:sz="0" w:space="0" w:color="auto"/>
                                  </w:divBdr>
                                  <w:divsChild>
                                    <w:div w:id="1489519041">
                                      <w:marLeft w:val="0"/>
                                      <w:marRight w:val="0"/>
                                      <w:marTop w:val="0"/>
                                      <w:marBottom w:val="0"/>
                                      <w:divBdr>
                                        <w:top w:val="none" w:sz="0" w:space="0" w:color="auto"/>
                                        <w:left w:val="none" w:sz="0" w:space="0" w:color="auto"/>
                                        <w:bottom w:val="none" w:sz="0" w:space="0" w:color="auto"/>
                                        <w:right w:val="none" w:sz="0" w:space="0" w:color="auto"/>
                                      </w:divBdr>
                                      <w:divsChild>
                                        <w:div w:id="8727534">
                                          <w:marLeft w:val="0"/>
                                          <w:marRight w:val="0"/>
                                          <w:marTop w:val="0"/>
                                          <w:marBottom w:val="0"/>
                                          <w:divBdr>
                                            <w:top w:val="none" w:sz="0" w:space="0" w:color="auto"/>
                                            <w:left w:val="none" w:sz="0" w:space="0" w:color="auto"/>
                                            <w:bottom w:val="none" w:sz="0" w:space="0" w:color="auto"/>
                                            <w:right w:val="none" w:sz="0" w:space="0" w:color="auto"/>
                                          </w:divBdr>
                                          <w:divsChild>
                                            <w:div w:id="1149126371">
                                              <w:marLeft w:val="0"/>
                                              <w:marRight w:val="0"/>
                                              <w:marTop w:val="0"/>
                                              <w:marBottom w:val="0"/>
                                              <w:divBdr>
                                                <w:top w:val="none" w:sz="0" w:space="0" w:color="auto"/>
                                                <w:left w:val="none" w:sz="0" w:space="0" w:color="auto"/>
                                                <w:bottom w:val="none" w:sz="0" w:space="0" w:color="auto"/>
                                                <w:right w:val="none" w:sz="0" w:space="0" w:color="auto"/>
                                              </w:divBdr>
                                              <w:divsChild>
                                                <w:div w:id="1459907839">
                                                  <w:marLeft w:val="0"/>
                                                  <w:marRight w:val="0"/>
                                                  <w:marTop w:val="0"/>
                                                  <w:marBottom w:val="0"/>
                                                  <w:divBdr>
                                                    <w:top w:val="none" w:sz="0" w:space="0" w:color="auto"/>
                                                    <w:left w:val="none" w:sz="0" w:space="0" w:color="auto"/>
                                                    <w:bottom w:val="single" w:sz="6" w:space="0" w:color="DADCE0"/>
                                                    <w:right w:val="none" w:sz="0" w:space="0" w:color="auto"/>
                                                  </w:divBdr>
                                                  <w:divsChild>
                                                    <w:div w:id="1001130047">
                                                      <w:marLeft w:val="0"/>
                                                      <w:marRight w:val="0"/>
                                                      <w:marTop w:val="0"/>
                                                      <w:marBottom w:val="0"/>
                                                      <w:divBdr>
                                                        <w:top w:val="none" w:sz="0" w:space="0" w:color="auto"/>
                                                        <w:left w:val="none" w:sz="0" w:space="0" w:color="auto"/>
                                                        <w:bottom w:val="none" w:sz="0" w:space="0" w:color="auto"/>
                                                        <w:right w:val="none" w:sz="0" w:space="0" w:color="auto"/>
                                                      </w:divBdr>
                                                      <w:divsChild>
                                                        <w:div w:id="541138463">
                                                          <w:marLeft w:val="0"/>
                                                          <w:marRight w:val="0"/>
                                                          <w:marTop w:val="0"/>
                                                          <w:marBottom w:val="0"/>
                                                          <w:divBdr>
                                                            <w:top w:val="none" w:sz="0" w:space="0" w:color="auto"/>
                                                            <w:left w:val="none" w:sz="0" w:space="0" w:color="auto"/>
                                                            <w:bottom w:val="none" w:sz="0" w:space="0" w:color="auto"/>
                                                            <w:right w:val="none" w:sz="0" w:space="0" w:color="auto"/>
                                                          </w:divBdr>
                                                        </w:div>
                                                        <w:div w:id="16216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5296">
                                                  <w:marLeft w:val="0"/>
                                                  <w:marRight w:val="0"/>
                                                  <w:marTop w:val="0"/>
                                                  <w:marBottom w:val="0"/>
                                                  <w:divBdr>
                                                    <w:top w:val="none" w:sz="0" w:space="0" w:color="auto"/>
                                                    <w:left w:val="none" w:sz="0" w:space="0" w:color="auto"/>
                                                    <w:bottom w:val="single" w:sz="6" w:space="0" w:color="DADCE0"/>
                                                    <w:right w:val="none" w:sz="0" w:space="0" w:color="auto"/>
                                                  </w:divBdr>
                                                  <w:divsChild>
                                                    <w:div w:id="1927378877">
                                                      <w:marLeft w:val="0"/>
                                                      <w:marRight w:val="0"/>
                                                      <w:marTop w:val="0"/>
                                                      <w:marBottom w:val="0"/>
                                                      <w:divBdr>
                                                        <w:top w:val="none" w:sz="0" w:space="0" w:color="auto"/>
                                                        <w:left w:val="none" w:sz="0" w:space="0" w:color="auto"/>
                                                        <w:bottom w:val="none" w:sz="0" w:space="0" w:color="auto"/>
                                                        <w:right w:val="none" w:sz="0" w:space="0" w:color="auto"/>
                                                      </w:divBdr>
                                                      <w:divsChild>
                                                        <w:div w:id="345641265">
                                                          <w:marLeft w:val="0"/>
                                                          <w:marRight w:val="0"/>
                                                          <w:marTop w:val="0"/>
                                                          <w:marBottom w:val="0"/>
                                                          <w:divBdr>
                                                            <w:top w:val="none" w:sz="0" w:space="0" w:color="auto"/>
                                                            <w:left w:val="none" w:sz="0" w:space="0" w:color="auto"/>
                                                            <w:bottom w:val="none" w:sz="0" w:space="0" w:color="auto"/>
                                                            <w:right w:val="none" w:sz="0" w:space="0" w:color="auto"/>
                                                          </w:divBdr>
                                                        </w:div>
                                                        <w:div w:id="2883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400">
                                                  <w:marLeft w:val="0"/>
                                                  <w:marRight w:val="0"/>
                                                  <w:marTop w:val="0"/>
                                                  <w:marBottom w:val="0"/>
                                                  <w:divBdr>
                                                    <w:top w:val="none" w:sz="0" w:space="0" w:color="auto"/>
                                                    <w:left w:val="none" w:sz="0" w:space="0" w:color="auto"/>
                                                    <w:bottom w:val="none" w:sz="0" w:space="0" w:color="auto"/>
                                                    <w:right w:val="none" w:sz="0" w:space="0" w:color="auto"/>
                                                  </w:divBdr>
                                                  <w:divsChild>
                                                    <w:div w:id="1961103674">
                                                      <w:marLeft w:val="0"/>
                                                      <w:marRight w:val="0"/>
                                                      <w:marTop w:val="0"/>
                                                      <w:marBottom w:val="0"/>
                                                      <w:divBdr>
                                                        <w:top w:val="none" w:sz="0" w:space="0" w:color="auto"/>
                                                        <w:left w:val="none" w:sz="0" w:space="0" w:color="auto"/>
                                                        <w:bottom w:val="none" w:sz="0" w:space="0" w:color="auto"/>
                                                        <w:right w:val="none" w:sz="0" w:space="0" w:color="auto"/>
                                                      </w:divBdr>
                                                      <w:divsChild>
                                                        <w:div w:id="1342047348">
                                                          <w:marLeft w:val="0"/>
                                                          <w:marRight w:val="0"/>
                                                          <w:marTop w:val="0"/>
                                                          <w:marBottom w:val="0"/>
                                                          <w:divBdr>
                                                            <w:top w:val="none" w:sz="0" w:space="0" w:color="auto"/>
                                                            <w:left w:val="none" w:sz="0" w:space="0" w:color="auto"/>
                                                            <w:bottom w:val="none" w:sz="0" w:space="0" w:color="auto"/>
                                                            <w:right w:val="none" w:sz="0" w:space="0" w:color="auto"/>
                                                          </w:divBdr>
                                                        </w:div>
                                                        <w:div w:id="13719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8271">
                                                  <w:marLeft w:val="0"/>
                                                  <w:marRight w:val="0"/>
                                                  <w:marTop w:val="0"/>
                                                  <w:marBottom w:val="0"/>
                                                  <w:divBdr>
                                                    <w:top w:val="none" w:sz="0" w:space="0" w:color="auto"/>
                                                    <w:left w:val="none" w:sz="0" w:space="0" w:color="auto"/>
                                                    <w:bottom w:val="none" w:sz="0" w:space="0" w:color="auto"/>
                                                    <w:right w:val="none" w:sz="0" w:space="0" w:color="auto"/>
                                                  </w:divBdr>
                                                  <w:divsChild>
                                                    <w:div w:id="1187986936">
                                                      <w:marLeft w:val="0"/>
                                                      <w:marRight w:val="0"/>
                                                      <w:marTop w:val="0"/>
                                                      <w:marBottom w:val="0"/>
                                                      <w:divBdr>
                                                        <w:top w:val="none" w:sz="0" w:space="0" w:color="auto"/>
                                                        <w:left w:val="none" w:sz="0" w:space="0" w:color="auto"/>
                                                        <w:bottom w:val="none" w:sz="0" w:space="0" w:color="auto"/>
                                                        <w:right w:val="none" w:sz="0" w:space="0" w:color="auto"/>
                                                      </w:divBdr>
                                                      <w:divsChild>
                                                        <w:div w:id="289748951">
                                                          <w:marLeft w:val="0"/>
                                                          <w:marRight w:val="0"/>
                                                          <w:marTop w:val="0"/>
                                                          <w:marBottom w:val="0"/>
                                                          <w:divBdr>
                                                            <w:top w:val="none" w:sz="0" w:space="0" w:color="auto"/>
                                                            <w:left w:val="none" w:sz="0" w:space="0" w:color="auto"/>
                                                            <w:bottom w:val="none" w:sz="0" w:space="0" w:color="auto"/>
                                                            <w:right w:val="none" w:sz="0" w:space="0" w:color="auto"/>
                                                          </w:divBdr>
                                                          <w:divsChild>
                                                            <w:div w:id="20279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7648252">
      <w:bodyDiv w:val="1"/>
      <w:marLeft w:val="0"/>
      <w:marRight w:val="0"/>
      <w:marTop w:val="0"/>
      <w:marBottom w:val="0"/>
      <w:divBdr>
        <w:top w:val="none" w:sz="0" w:space="0" w:color="auto"/>
        <w:left w:val="none" w:sz="0" w:space="0" w:color="auto"/>
        <w:bottom w:val="none" w:sz="0" w:space="0" w:color="auto"/>
        <w:right w:val="none" w:sz="0" w:space="0" w:color="auto"/>
      </w:divBdr>
    </w:div>
    <w:div w:id="1560022220">
      <w:bodyDiv w:val="1"/>
      <w:marLeft w:val="0"/>
      <w:marRight w:val="0"/>
      <w:marTop w:val="0"/>
      <w:marBottom w:val="0"/>
      <w:divBdr>
        <w:top w:val="none" w:sz="0" w:space="0" w:color="auto"/>
        <w:left w:val="none" w:sz="0" w:space="0" w:color="auto"/>
        <w:bottom w:val="none" w:sz="0" w:space="0" w:color="auto"/>
        <w:right w:val="none" w:sz="0" w:space="0" w:color="auto"/>
      </w:divBdr>
    </w:div>
    <w:div w:id="18318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CC9F0-B727-4E30-A758-015B5113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102887</Words>
  <Characters>58646</Characters>
  <Application>Microsoft Office Word</Application>
  <DocSecurity>0</DocSecurity>
  <Lines>488</Lines>
  <Paragraphs>322</Paragraphs>
  <ScaleCrop>false</ScaleCrop>
  <HeadingPairs>
    <vt:vector size="8" baseType="variant">
      <vt:variant>
        <vt:lpstr>Pavadinimas</vt:lpstr>
      </vt:variant>
      <vt:variant>
        <vt:i4>1</vt:i4>
      </vt:variant>
      <vt:variant>
        <vt:lpstr>Antraštės</vt:lpstr>
      </vt:variant>
      <vt:variant>
        <vt:i4>41</vt:i4>
      </vt:variant>
      <vt:variant>
        <vt:lpstr>Title</vt:lpstr>
      </vt:variant>
      <vt:variant>
        <vt:i4>1</vt:i4>
      </vt:variant>
      <vt:variant>
        <vt:lpstr>Headings</vt:lpstr>
      </vt:variant>
      <vt:variant>
        <vt:i4>41</vt:i4>
      </vt:variant>
    </vt:vector>
  </HeadingPairs>
  <TitlesOfParts>
    <vt:vector size="84"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Specialūs įspėjimai ir atsargumo priemonės</vt:lpstr>
      <vt:lpstr>        </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Specialūs įspėjimai ir atsargumo priemonės</vt:lpstr>
      <vt:lpstr>        </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vector>
  </TitlesOfParts>
  <Company>Novartis</Company>
  <LinksUpToDate>false</LinksUpToDate>
  <CharactersWithSpaces>161211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Albina Burkauskaitė</cp:lastModifiedBy>
  <cp:revision>3</cp:revision>
  <cp:lastPrinted>2018-07-10T09:36:00Z</cp:lastPrinted>
  <dcterms:created xsi:type="dcterms:W3CDTF">2023-12-13T08:49:00Z</dcterms:created>
  <dcterms:modified xsi:type="dcterms:W3CDTF">2023-12-13T08:51:00Z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2020-11-14T14:15:40Z</vt:lpwstr>
  </property>
  <property fmtid="{D5CDD505-2E9C-101B-9397-08002B2CF9AE}" pid="4" name="MSIP_Label_4929bff8-5b33-42aa-95d2-28f72e792cb0_Method">
    <vt:lpwstr>Privileged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92a30e03-230a-472f-9c88-05fcb71e8c31</vt:lpwstr>
  </property>
  <property fmtid="{D5CDD505-2E9C-101B-9397-08002B2CF9AE}" pid="8" name="MSIP_Label_4929bff8-5b33-42aa-95d2-28f72e792cb0_ContentBits">
    <vt:lpwstr>0</vt:lpwstr>
  </property>
</Properties>
</file>