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832" w:rsidRDefault="00F72832" w:rsidP="00F72832">
      <w:pPr>
        <w:tabs>
          <w:tab w:val="left" w:pos="567"/>
        </w:tabs>
        <w:rPr>
          <w:rFonts w:ascii="Times New Roman" w:hAnsi="Times New Roman" w:cs="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jc w:val="center"/>
        <w:rPr>
          <w:rFonts w:ascii="Times New Roman" w:hAnsi="Times New Roman"/>
          <w:b/>
          <w:sz w:val="22"/>
          <w:szCs w:val="22"/>
          <w:lang w:val="lt-LT"/>
        </w:rPr>
      </w:pPr>
    </w:p>
    <w:p w:rsidR="00F72832" w:rsidRDefault="00F72832" w:rsidP="00F72832">
      <w:pPr>
        <w:tabs>
          <w:tab w:val="left" w:pos="567"/>
        </w:tabs>
        <w:jc w:val="center"/>
        <w:rPr>
          <w:rFonts w:ascii="Times New Roman" w:hAnsi="Times New Roman"/>
          <w:b/>
          <w:sz w:val="22"/>
          <w:szCs w:val="22"/>
          <w:lang w:val="lt-LT"/>
        </w:rPr>
      </w:pPr>
      <w:r>
        <w:rPr>
          <w:rFonts w:ascii="Times New Roman" w:hAnsi="Times New Roman"/>
          <w:b/>
          <w:sz w:val="22"/>
          <w:szCs w:val="22"/>
          <w:lang w:val="lt-LT"/>
        </w:rPr>
        <w:t>I PRIEDAS</w:t>
      </w:r>
    </w:p>
    <w:p w:rsidR="00F72832" w:rsidRDefault="00F72832" w:rsidP="00F72832">
      <w:pPr>
        <w:tabs>
          <w:tab w:val="left" w:pos="567"/>
        </w:tabs>
        <w:jc w:val="center"/>
        <w:rPr>
          <w:rFonts w:ascii="Times New Roman" w:hAnsi="Times New Roman"/>
          <w:b/>
          <w:sz w:val="22"/>
          <w:szCs w:val="22"/>
          <w:lang w:val="lt-LT"/>
        </w:rPr>
      </w:pPr>
    </w:p>
    <w:p w:rsidR="00F72832" w:rsidRDefault="00F72832" w:rsidP="00F72832">
      <w:pPr>
        <w:tabs>
          <w:tab w:val="left" w:pos="567"/>
        </w:tabs>
        <w:jc w:val="center"/>
        <w:rPr>
          <w:rFonts w:ascii="Times New Roman" w:hAnsi="Times New Roman"/>
          <w:b/>
          <w:sz w:val="22"/>
          <w:szCs w:val="22"/>
          <w:lang w:val="lt-LT"/>
        </w:rPr>
      </w:pPr>
      <w:r>
        <w:rPr>
          <w:rFonts w:ascii="Times New Roman" w:hAnsi="Times New Roman"/>
          <w:b/>
          <w:sz w:val="22"/>
          <w:szCs w:val="22"/>
          <w:lang w:val="lt-LT"/>
        </w:rPr>
        <w:t>PREPARATO CHARAKTERISTIKŲ SANTRAUKA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br w:type="page"/>
      </w:r>
      <w:r>
        <w:rPr>
          <w:rFonts w:ascii="Times New Roman" w:hAnsi="Times New Roman"/>
          <w:b/>
          <w:sz w:val="22"/>
          <w:szCs w:val="22"/>
          <w:lang w:val="lt-LT"/>
        </w:rPr>
        <w:lastRenderedPageBreak/>
        <w:t>1.</w:t>
      </w:r>
      <w:r>
        <w:rPr>
          <w:rFonts w:ascii="Times New Roman" w:hAnsi="Times New Roman"/>
          <w:b/>
          <w:sz w:val="22"/>
          <w:szCs w:val="22"/>
          <w:lang w:val="lt-LT"/>
        </w:rPr>
        <w:tab/>
        <w:t>VAISTINIO PREPARATO PAVADINIMAS</w:t>
      </w:r>
    </w:p>
    <w:p w:rsidR="00F72832" w:rsidRDefault="00F72832" w:rsidP="00F72832">
      <w:pPr>
        <w:tabs>
          <w:tab w:val="left" w:pos="567"/>
        </w:tabs>
        <w:rPr>
          <w:rFonts w:ascii="Times New Roman" w:hAnsi="Times New Roman"/>
          <w:sz w:val="22"/>
          <w:szCs w:val="22"/>
          <w:lang w:val="lt-LT"/>
        </w:rPr>
      </w:pPr>
    </w:p>
    <w:p w:rsidR="00F72832" w:rsidRDefault="00F72832" w:rsidP="00F72832">
      <w:pPr>
        <w:widowControl w:val="0"/>
        <w:tabs>
          <w:tab w:val="left" w:pos="567"/>
        </w:tabs>
        <w:rPr>
          <w:rFonts w:ascii="Times New Roman" w:hAnsi="Times New Roman"/>
          <w:sz w:val="22"/>
          <w:szCs w:val="22"/>
          <w:lang w:val="lt-LT"/>
        </w:rPr>
      </w:pPr>
      <w:r>
        <w:rPr>
          <w:rFonts w:ascii="Times New Roman" w:hAnsi="Times New Roman"/>
          <w:sz w:val="22"/>
          <w:szCs w:val="22"/>
          <w:lang w:val="lt-LT"/>
        </w:rPr>
        <w:t>OSSICA 150 mg plėvele dengtos tabletės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widowControl w:val="0"/>
        <w:tabs>
          <w:tab w:val="left" w:pos="567"/>
        </w:tabs>
        <w:rPr>
          <w:rFonts w:ascii="Times New Roman" w:hAnsi="Times New Roman"/>
          <w:sz w:val="22"/>
          <w:szCs w:val="22"/>
          <w:lang w:val="lt-LT"/>
        </w:rPr>
      </w:pPr>
      <w:r>
        <w:rPr>
          <w:rFonts w:ascii="Times New Roman" w:hAnsi="Times New Roman"/>
          <w:b/>
          <w:sz w:val="22"/>
          <w:szCs w:val="22"/>
          <w:lang w:val="lt-LT"/>
        </w:rPr>
        <w:t>2.</w:t>
      </w:r>
      <w:r>
        <w:rPr>
          <w:rFonts w:ascii="Times New Roman" w:hAnsi="Times New Roman"/>
          <w:b/>
          <w:sz w:val="22"/>
          <w:szCs w:val="22"/>
          <w:lang w:val="lt-LT"/>
        </w:rPr>
        <w:tab/>
        <w:t>KOKYBINĖ IR KIEKYBINĖ SUDĖTIS</w:t>
      </w:r>
    </w:p>
    <w:p w:rsidR="00F72832" w:rsidRDefault="00F72832" w:rsidP="00F72832">
      <w:pPr>
        <w:widowControl w:val="0"/>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Kiekvienoje plėvele dengtoje tabletėje yra 168,81 mg natrio ibandronato monohidrato, atitinkančio 150 mg ibandrono rūgšties.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u w:val="single"/>
          <w:lang w:val="lt-LT"/>
        </w:rPr>
        <w:t>Pagalbinė medžiaga, kurios poveikis žinomas</w:t>
      </w:r>
      <w:r>
        <w:rPr>
          <w:rFonts w:ascii="Times New Roman" w:hAnsi="Times New Roman"/>
          <w:sz w:val="22"/>
          <w:szCs w:val="22"/>
          <w:lang w:val="lt-LT"/>
        </w:rPr>
        <w:t xml:space="preserve">: kiekvienoje plėvele dengtoje tabletėje yra 294,69 mg laktozės monohidrato. </w:t>
      </w:r>
    </w:p>
    <w:p w:rsidR="00F72832" w:rsidRDefault="00F72832" w:rsidP="00F72832">
      <w:pPr>
        <w:tabs>
          <w:tab w:val="left" w:pos="567"/>
        </w:tabs>
        <w:autoSpaceDE w:val="0"/>
        <w:autoSpaceDN w:val="0"/>
        <w:adjustRightInd w:val="0"/>
        <w:rPr>
          <w:rFonts w:ascii="Times New Roman" w:hAnsi="Times New Roman"/>
          <w:sz w:val="22"/>
          <w:szCs w:val="22"/>
          <w:lang w:val="lt-LT"/>
        </w:rPr>
      </w:pPr>
    </w:p>
    <w:p w:rsidR="00F72832" w:rsidRDefault="00F72832" w:rsidP="00F72832">
      <w:pPr>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Visos pagalbinės medžiagos išvardytos 6.1 skyriuje.</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caps/>
          <w:sz w:val="22"/>
          <w:szCs w:val="22"/>
          <w:lang w:val="lt-LT"/>
        </w:rPr>
      </w:pPr>
      <w:r>
        <w:rPr>
          <w:rFonts w:ascii="Times New Roman" w:hAnsi="Times New Roman"/>
          <w:b/>
          <w:sz w:val="22"/>
          <w:szCs w:val="22"/>
          <w:lang w:val="lt-LT"/>
        </w:rPr>
        <w:t>3.</w:t>
      </w:r>
      <w:r>
        <w:rPr>
          <w:rFonts w:ascii="Times New Roman" w:hAnsi="Times New Roman"/>
          <w:b/>
          <w:sz w:val="22"/>
          <w:szCs w:val="22"/>
          <w:lang w:val="lt-LT"/>
        </w:rPr>
        <w:tab/>
        <w:t>FARMACINĖ FORMA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Plėvele dengta tabletė.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Baltos ar balkšvos spalvos, ovalo formos, abipus išgaubtos, plėvele dengtos tabletės, kurių vienoje pusėje įspausta „M24“, kitoje pusėje įspaudo nėra.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caps/>
          <w:sz w:val="22"/>
          <w:szCs w:val="22"/>
          <w:lang w:val="lt-LT"/>
        </w:rPr>
      </w:pPr>
      <w:r>
        <w:rPr>
          <w:rFonts w:ascii="Times New Roman" w:hAnsi="Times New Roman"/>
          <w:b/>
          <w:caps/>
          <w:sz w:val="22"/>
          <w:szCs w:val="22"/>
          <w:lang w:val="lt-LT"/>
        </w:rPr>
        <w:t>4.</w:t>
      </w:r>
      <w:r>
        <w:rPr>
          <w:rFonts w:ascii="Times New Roman" w:hAnsi="Times New Roman"/>
          <w:b/>
          <w:sz w:val="22"/>
          <w:szCs w:val="22"/>
          <w:lang w:val="lt-LT"/>
        </w:rPr>
        <w:tab/>
        <w:t>KLINIKINĖ INFORMACIJA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4.1</w:t>
      </w:r>
      <w:r>
        <w:rPr>
          <w:rFonts w:ascii="Times New Roman" w:hAnsi="Times New Roman"/>
          <w:b/>
          <w:sz w:val="22"/>
          <w:szCs w:val="22"/>
          <w:lang w:val="lt-LT"/>
        </w:rPr>
        <w:tab/>
        <w:t>Terapinės indikacijos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Moterų po menopauzės, kurioms padidėjusi kaulų lūžių rizika (žr. 5.1 skyrių), osteoporozės gydymas. Įrodytas veiksmingumas mažinant stuburo slankstelių lūžių riziką; veiksmingumas mažinant šlaunikaulio </w:t>
      </w:r>
      <w:r>
        <w:rPr>
          <w:rFonts w:ascii="Times New Roman" w:hAnsi="Times New Roman"/>
          <w:spacing w:val="-4"/>
          <w:sz w:val="22"/>
          <w:szCs w:val="22"/>
          <w:lang w:val="lt-LT"/>
        </w:rPr>
        <w:t>kaklelio lūžių riziką nenustatytas.</w:t>
      </w:r>
    </w:p>
    <w:p w:rsidR="00F72832" w:rsidRDefault="00F72832" w:rsidP="00F72832">
      <w:pPr>
        <w:tabs>
          <w:tab w:val="left" w:pos="567"/>
        </w:tabs>
        <w:rPr>
          <w:rFonts w:ascii="Times New Roman" w:hAnsi="Times New Roman"/>
          <w:sz w:val="22"/>
          <w:szCs w:val="22"/>
          <w:lang w:val="lt-LT"/>
        </w:rPr>
      </w:pPr>
    </w:p>
    <w:p w:rsidR="00F72832" w:rsidRDefault="00F72832" w:rsidP="00F72832">
      <w:pPr>
        <w:numPr>
          <w:ilvl w:val="1"/>
          <w:numId w:val="4"/>
        </w:numPr>
        <w:tabs>
          <w:tab w:val="clear" w:pos="570"/>
          <w:tab w:val="left" w:pos="567"/>
        </w:tabs>
        <w:outlineLvl w:val="0"/>
        <w:rPr>
          <w:rFonts w:ascii="Times New Roman" w:hAnsi="Times New Roman"/>
          <w:b/>
          <w:sz w:val="22"/>
          <w:szCs w:val="22"/>
          <w:lang w:val="lt-LT"/>
        </w:rPr>
      </w:pPr>
      <w:r>
        <w:rPr>
          <w:rFonts w:ascii="Times New Roman" w:hAnsi="Times New Roman"/>
          <w:b/>
          <w:sz w:val="22"/>
          <w:szCs w:val="22"/>
          <w:lang w:val="lt-LT"/>
        </w:rPr>
        <w:t>Dozavimas ir vartojimo metodas</w:t>
      </w:r>
    </w:p>
    <w:p w:rsidR="00F72832" w:rsidRDefault="00F72832" w:rsidP="00F72832">
      <w:pPr>
        <w:tabs>
          <w:tab w:val="left" w:pos="567"/>
        </w:tabs>
        <w:rPr>
          <w:rFonts w:ascii="Times New Roman" w:hAnsi="Times New Roman"/>
          <w:b/>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u w:val="single"/>
          <w:lang w:val="lt-LT"/>
        </w:rPr>
        <w:t>Dozavimas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Rekomenduojama dozė yra viena OSSICA 150 mg plėvele dengta tabletė vieną kartą per mėnesį. </w:t>
      </w:r>
      <w:r>
        <w:rPr>
          <w:rFonts w:ascii="Times New Roman" w:hAnsi="Times New Roman"/>
          <w:spacing w:val="-3"/>
          <w:sz w:val="22"/>
          <w:szCs w:val="22"/>
          <w:lang w:val="lt-LT"/>
        </w:rPr>
        <w:t xml:space="preserve">Rekomenduojama tabletę </w:t>
      </w:r>
      <w:r>
        <w:rPr>
          <w:rFonts w:ascii="Times New Roman" w:hAnsi="Times New Roman"/>
          <w:spacing w:val="-4"/>
          <w:sz w:val="22"/>
          <w:szCs w:val="22"/>
          <w:lang w:val="lt-LT"/>
        </w:rPr>
        <w:t>išgerti tą pačią kiekvieno mėnesio dieną.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OSSICA </w:t>
      </w:r>
      <w:r>
        <w:rPr>
          <w:rFonts w:ascii="Times New Roman" w:hAnsi="Times New Roman"/>
          <w:sz w:val="22"/>
          <w:szCs w:val="22"/>
          <w:lang w:val="lt-LT"/>
        </w:rPr>
        <w:t xml:space="preserve">150 mg plėvele dengtas </w:t>
      </w:r>
      <w:r>
        <w:rPr>
          <w:rFonts w:ascii="Times New Roman" w:hAnsi="Times New Roman"/>
          <w:spacing w:val="-3"/>
          <w:sz w:val="22"/>
          <w:szCs w:val="22"/>
          <w:lang w:val="lt-LT"/>
        </w:rPr>
        <w:t xml:space="preserve">tabletes vartoti ryte nevalgius (bent 6 valandas), o išgėrus tabletę nevalgyti ir negerti (išskyrus vandenį), taip pat nevartoti kitų medicininių produktų ir papildų (pavyzdžiui, kalcio) bent </w:t>
      </w:r>
      <w:r>
        <w:rPr>
          <w:rFonts w:ascii="Times New Roman" w:hAnsi="Times New Roman"/>
          <w:spacing w:val="-4"/>
          <w:sz w:val="22"/>
          <w:szCs w:val="22"/>
          <w:lang w:val="lt-LT"/>
        </w:rPr>
        <w:t>1 valandą (žr. 4.5 skyrių).</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Praleidę vaisto dozę pacientai turėtų išgerti vieną OSSICA 150 mg plėvele dengtą tabletę kitos dienos ryte po to, kai prisiminė, išskyrus, tuos atvejus, kai iki kitos dozės pagal planą liko mažiau nei 7 dienos.</w:t>
      </w:r>
      <w:r>
        <w:rPr>
          <w:rFonts w:ascii="Times New Roman" w:hAnsi="Times New Roman"/>
          <w:sz w:val="22"/>
          <w:szCs w:val="22"/>
          <w:lang w:val="lt-LT"/>
        </w:rPr>
        <w:t xml:space="preserve"> </w:t>
      </w:r>
      <w:r>
        <w:rPr>
          <w:rFonts w:ascii="Times New Roman" w:hAnsi="Times New Roman"/>
          <w:spacing w:val="-3"/>
          <w:sz w:val="22"/>
          <w:szCs w:val="22"/>
          <w:lang w:val="lt-LT"/>
        </w:rPr>
        <w:t xml:space="preserve">Tada pacientai turėtų toliau vartoti vaistą vieną kartą per mėnesį, tomis dienomis, kurios buvo numatytos iš </w:t>
      </w:r>
      <w:r>
        <w:rPr>
          <w:rFonts w:ascii="Times New Roman" w:hAnsi="Times New Roman"/>
          <w:spacing w:val="-4"/>
          <w:sz w:val="22"/>
          <w:szCs w:val="22"/>
          <w:lang w:val="lt-LT"/>
        </w:rPr>
        <w:t>pradžių.</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Jeigu iki kitos dozės pagal planą liko mažiau nei 7 dienos, pacientai turėtų palaukti iki ateis laikas kitai dozei ir toliau vartoti po vieną tabletę kas mėnesį, taip, kaip buvo numatyta iš pradžių.</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4"/>
          <w:sz w:val="22"/>
          <w:szCs w:val="22"/>
          <w:lang w:val="lt-LT"/>
        </w:rPr>
        <w:t>Negalima vartoti dviejų tablečių per vieną savaitę.</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Pacientams, kurie negauna pakankamai kalcio ir (ar) vitamino D su maistu, šių medžiagų skirti </w:t>
      </w:r>
      <w:r>
        <w:rPr>
          <w:rFonts w:ascii="Times New Roman" w:hAnsi="Times New Roman"/>
          <w:spacing w:val="-4"/>
          <w:sz w:val="22"/>
          <w:szCs w:val="22"/>
          <w:lang w:val="lt-LT"/>
        </w:rPr>
        <w:t>papildomai (žr. 4.4 ir 4.5 skyrius).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lastRenderedPageBreak/>
        <w:t>Optimali osteoporozės gydymo bisfosfonatais trukmė nėra nustatyta. Gydymo pratęsimo būtinybę, remiantis gydymo ibandrono rūgštimi nauda ir galima rizika konkrečiam pacientui, reikia vertinti periodiškai, ypač praėjus 5 ar daugiau gydymo metų.</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i/>
          <w:sz w:val="22"/>
          <w:szCs w:val="22"/>
          <w:lang w:val="lt-LT"/>
        </w:rPr>
      </w:pPr>
      <w:r>
        <w:rPr>
          <w:rFonts w:ascii="Times New Roman" w:hAnsi="Times New Roman"/>
          <w:i/>
          <w:sz w:val="22"/>
          <w:szCs w:val="22"/>
          <w:u w:val="single"/>
          <w:lang w:val="lt-LT"/>
        </w:rPr>
        <w:t xml:space="preserve">Ypatingos </w:t>
      </w:r>
      <w:r w:rsidR="00F94887">
        <w:rPr>
          <w:rFonts w:ascii="Times New Roman" w:hAnsi="Times New Roman"/>
          <w:i/>
          <w:sz w:val="22"/>
          <w:szCs w:val="22"/>
          <w:u w:val="single"/>
          <w:lang w:val="lt-LT"/>
        </w:rPr>
        <w:t>populiacijos</w:t>
      </w:r>
      <w:r>
        <w:rPr>
          <w:rFonts w:ascii="Times New Roman" w:hAnsi="Times New Roman"/>
          <w:i/>
          <w:sz w:val="22"/>
          <w:szCs w:val="22"/>
          <w:u w:val="single"/>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i/>
          <w:sz w:val="22"/>
          <w:szCs w:val="22"/>
          <w:lang w:val="lt-LT"/>
        </w:rPr>
        <w:t>Pacienta</w:t>
      </w:r>
      <w:r w:rsidR="00F94887">
        <w:rPr>
          <w:rFonts w:ascii="Times New Roman" w:hAnsi="Times New Roman"/>
          <w:i/>
          <w:sz w:val="22"/>
          <w:szCs w:val="22"/>
          <w:lang w:val="lt-LT"/>
        </w:rPr>
        <w:t>ms</w:t>
      </w:r>
      <w:r>
        <w:rPr>
          <w:rFonts w:ascii="Times New Roman" w:hAnsi="Times New Roman"/>
          <w:i/>
          <w:sz w:val="22"/>
          <w:szCs w:val="22"/>
          <w:lang w:val="lt-LT"/>
        </w:rPr>
        <w:t>, kurių inkstų funkcija sutrikusi</w:t>
      </w:r>
    </w:p>
    <w:p w:rsidR="00F72832" w:rsidRDefault="00F72832" w:rsidP="00F72832">
      <w:pPr>
        <w:widowControl w:val="0"/>
        <w:tabs>
          <w:tab w:val="left" w:pos="567"/>
        </w:tabs>
        <w:rPr>
          <w:rFonts w:ascii="Times New Roman" w:hAnsi="Times New Roman"/>
          <w:sz w:val="22"/>
          <w:szCs w:val="22"/>
          <w:lang w:val="lt-LT"/>
        </w:rPr>
      </w:pPr>
      <w:r>
        <w:rPr>
          <w:rFonts w:ascii="Times New Roman" w:hAnsi="Times New Roman"/>
          <w:spacing w:val="-3"/>
          <w:sz w:val="22"/>
          <w:szCs w:val="22"/>
          <w:lang w:val="lt-LT"/>
        </w:rPr>
        <w:t xml:space="preserve">OSSICA 150 mg </w:t>
      </w:r>
      <w:r>
        <w:rPr>
          <w:rFonts w:ascii="Times New Roman" w:hAnsi="Times New Roman"/>
          <w:sz w:val="22"/>
          <w:szCs w:val="22"/>
          <w:lang w:val="lt-LT"/>
        </w:rPr>
        <w:t xml:space="preserve">plėvele dengtos tabletės </w:t>
      </w:r>
      <w:r>
        <w:rPr>
          <w:rFonts w:ascii="Times New Roman" w:hAnsi="Times New Roman"/>
          <w:spacing w:val="-3"/>
          <w:sz w:val="22"/>
          <w:szCs w:val="22"/>
          <w:lang w:val="lt-LT"/>
        </w:rPr>
        <w:t xml:space="preserve">nerekomenduojamos pacientams, kurių kreatinino klirensas mažesnis kaip 30 ml/min., nes </w:t>
      </w:r>
      <w:r>
        <w:rPr>
          <w:rFonts w:ascii="Times New Roman" w:hAnsi="Times New Roman"/>
          <w:spacing w:val="-4"/>
          <w:sz w:val="22"/>
          <w:szCs w:val="22"/>
          <w:lang w:val="lt-LT"/>
        </w:rPr>
        <w:t>nepakanka klinikinės patirties (žr. 4.4 ir 5.2 skyrius).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Pacientams, kurių inkstų funkcija sutrikusi lengvai ar vidutiniškai ir kreatinino klirensas lygus ar didesnis negu 30 ml/min., dozės koreguoti nereikia.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i/>
          <w:sz w:val="22"/>
          <w:szCs w:val="22"/>
          <w:lang w:val="lt-LT"/>
        </w:rPr>
        <w:t>Pacienta</w:t>
      </w:r>
      <w:r w:rsidR="00F94887">
        <w:rPr>
          <w:rFonts w:ascii="Times New Roman" w:hAnsi="Times New Roman"/>
          <w:i/>
          <w:sz w:val="22"/>
          <w:szCs w:val="22"/>
          <w:lang w:val="lt-LT"/>
        </w:rPr>
        <w:t>ms</w:t>
      </w:r>
      <w:r>
        <w:rPr>
          <w:rFonts w:ascii="Times New Roman" w:hAnsi="Times New Roman"/>
          <w:i/>
          <w:sz w:val="22"/>
          <w:szCs w:val="22"/>
          <w:lang w:val="lt-LT"/>
        </w:rPr>
        <w:t xml:space="preserve">, kurių kepenų funkcija sutrikusi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Dozės koreguoti nereikia (žr. 5.2 skyrių).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i/>
          <w:sz w:val="22"/>
          <w:szCs w:val="22"/>
          <w:lang w:val="lt-LT"/>
        </w:rPr>
      </w:pPr>
      <w:r>
        <w:rPr>
          <w:rFonts w:ascii="Times New Roman" w:hAnsi="Times New Roman"/>
          <w:i/>
          <w:spacing w:val="-4"/>
          <w:sz w:val="22"/>
          <w:szCs w:val="22"/>
          <w:lang w:val="lt-LT"/>
        </w:rPr>
        <w:t>Senyviems pacientams (&gt;65 m.)</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Dozės koreguoti nereikia (žr. 5.2 skyrių).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i/>
          <w:sz w:val="22"/>
          <w:szCs w:val="22"/>
          <w:lang w:val="lt-LT"/>
        </w:rPr>
        <w:t xml:space="preserve">Vaikų populiacija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Jaunesniems nei 18 metų vaikams aktualių OSSICA 150 mg plėvele dengtų tablečių indikacijų nėra ir OSSICA 150 mg plėvele dengtų tablečių tyrimai šiai populiacijai  neatlikti (žr. 5.1 ir 5.2 skyrius).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Default"/>
        <w:tabs>
          <w:tab w:val="left" w:pos="567"/>
        </w:tabs>
        <w:rPr>
          <w:color w:val="auto"/>
          <w:sz w:val="22"/>
          <w:szCs w:val="22"/>
          <w:lang w:val="lt-LT"/>
        </w:rPr>
      </w:pPr>
      <w:r>
        <w:rPr>
          <w:color w:val="auto"/>
          <w:sz w:val="22"/>
          <w:szCs w:val="22"/>
          <w:u w:val="single"/>
          <w:lang w:val="lt-LT"/>
        </w:rPr>
        <w:t xml:space="preserve">Vartojimo metodas </w:t>
      </w:r>
    </w:p>
    <w:p w:rsidR="00F72832" w:rsidRDefault="00F72832" w:rsidP="00F72832">
      <w:pPr>
        <w:pStyle w:val="Default"/>
        <w:tabs>
          <w:tab w:val="left" w:pos="567"/>
        </w:tabs>
        <w:rPr>
          <w:color w:val="auto"/>
          <w:sz w:val="22"/>
          <w:szCs w:val="22"/>
          <w:lang w:val="lt-LT"/>
        </w:rPr>
      </w:pPr>
      <w:r>
        <w:rPr>
          <w:color w:val="auto"/>
          <w:sz w:val="22"/>
          <w:szCs w:val="22"/>
          <w:lang w:val="lt-LT"/>
        </w:rPr>
        <w:t xml:space="preserve">Vartoti per burną. </w:t>
      </w:r>
    </w:p>
    <w:p w:rsidR="00F72832" w:rsidRDefault="00F72832" w:rsidP="00F72832">
      <w:pPr>
        <w:pStyle w:val="Default"/>
        <w:tabs>
          <w:tab w:val="left" w:pos="567"/>
        </w:tabs>
        <w:rPr>
          <w:color w:val="auto"/>
          <w:sz w:val="22"/>
          <w:szCs w:val="22"/>
          <w:lang w:val="lt-LT"/>
        </w:rPr>
      </w:pPr>
    </w:p>
    <w:p w:rsidR="00F72832" w:rsidRDefault="00F72832" w:rsidP="00F72832">
      <w:pPr>
        <w:pStyle w:val="Default"/>
        <w:numPr>
          <w:ilvl w:val="0"/>
          <w:numId w:val="6"/>
        </w:numPr>
        <w:tabs>
          <w:tab w:val="left" w:pos="426"/>
        </w:tabs>
        <w:ind w:left="426" w:hanging="426"/>
        <w:rPr>
          <w:color w:val="auto"/>
          <w:sz w:val="22"/>
          <w:szCs w:val="22"/>
          <w:lang w:val="lt-LT"/>
        </w:rPr>
      </w:pPr>
      <w:r>
        <w:rPr>
          <w:color w:val="auto"/>
          <w:spacing w:val="-3"/>
          <w:sz w:val="22"/>
          <w:szCs w:val="22"/>
          <w:lang w:val="lt-LT"/>
        </w:rPr>
        <w:t xml:space="preserve">Nuryti nesmulkintą tabletę, užgerti pilna stikline vandens (nuo 180 ml iki 240 ml) stovint </w:t>
      </w:r>
      <w:r>
        <w:rPr>
          <w:color w:val="auto"/>
          <w:spacing w:val="-4"/>
          <w:sz w:val="22"/>
          <w:szCs w:val="22"/>
          <w:lang w:val="lt-LT"/>
        </w:rPr>
        <w:t>arba tiesiai sėdint.</w:t>
      </w:r>
      <w:r>
        <w:rPr>
          <w:color w:val="auto"/>
          <w:sz w:val="22"/>
          <w:szCs w:val="22"/>
          <w:lang w:val="lt-LT"/>
        </w:rPr>
        <w:t xml:space="preserve"> </w:t>
      </w:r>
      <w:r>
        <w:rPr>
          <w:sz w:val="22"/>
          <w:szCs w:val="22"/>
          <w:lang w:val="lt-LT"/>
        </w:rPr>
        <w:t>Negalima užgerti vandeniu, kuriame yra didelė kalcio koncentracija. Jeigu manote, kad vandentiekio vandenyje gali būti didelė kalcio koncentracija (kietas vanduo), tuomet patartina vartoti mažos mineralizacijos buteliuose išpilstytą vandenį.</w:t>
      </w:r>
      <w:r>
        <w:rPr>
          <w:color w:val="auto"/>
          <w:sz w:val="22"/>
          <w:szCs w:val="22"/>
          <w:lang w:val="lt-LT"/>
        </w:rPr>
        <w:t xml:space="preserve"> </w:t>
      </w:r>
    </w:p>
    <w:p w:rsidR="00F72832" w:rsidRDefault="00F72832" w:rsidP="00F72832">
      <w:pPr>
        <w:pStyle w:val="Default"/>
        <w:numPr>
          <w:ilvl w:val="0"/>
          <w:numId w:val="6"/>
        </w:numPr>
        <w:tabs>
          <w:tab w:val="left" w:pos="567"/>
        </w:tabs>
        <w:ind w:left="426" w:hanging="426"/>
        <w:rPr>
          <w:color w:val="auto"/>
          <w:sz w:val="22"/>
          <w:szCs w:val="22"/>
          <w:lang w:val="lt-LT"/>
        </w:rPr>
      </w:pPr>
      <w:r>
        <w:rPr>
          <w:color w:val="auto"/>
          <w:sz w:val="22"/>
          <w:szCs w:val="22"/>
          <w:lang w:val="lt-LT"/>
        </w:rPr>
        <w:t xml:space="preserve">Išgėrus OSSICA 150 mg plėvele dengtą tabletę nesigulti 1 valandą. </w:t>
      </w:r>
    </w:p>
    <w:p w:rsidR="00F72832" w:rsidRDefault="00F72832" w:rsidP="00F72832">
      <w:pPr>
        <w:pStyle w:val="Default"/>
        <w:numPr>
          <w:ilvl w:val="0"/>
          <w:numId w:val="6"/>
        </w:numPr>
        <w:tabs>
          <w:tab w:val="left" w:pos="567"/>
        </w:tabs>
        <w:ind w:left="426" w:hanging="426"/>
        <w:rPr>
          <w:color w:val="auto"/>
          <w:sz w:val="22"/>
          <w:szCs w:val="22"/>
          <w:lang w:val="lt-LT"/>
        </w:rPr>
      </w:pPr>
      <w:r>
        <w:rPr>
          <w:sz w:val="22"/>
          <w:szCs w:val="22"/>
          <w:lang w:val="lt-LT"/>
        </w:rPr>
        <w:t xml:space="preserve">Užgerti OSSICA 150 mg </w:t>
      </w:r>
      <w:r>
        <w:rPr>
          <w:spacing w:val="-3"/>
          <w:sz w:val="22"/>
          <w:szCs w:val="22"/>
          <w:lang w:val="lt-LT"/>
        </w:rPr>
        <w:t xml:space="preserve">plėvele dengtą tabletę </w:t>
      </w:r>
      <w:r>
        <w:rPr>
          <w:sz w:val="22"/>
          <w:szCs w:val="22"/>
          <w:lang w:val="lt-LT"/>
        </w:rPr>
        <w:t xml:space="preserve">galima tik vandeniu. </w:t>
      </w:r>
    </w:p>
    <w:p w:rsidR="00F72832" w:rsidRDefault="00F72832" w:rsidP="00F72832">
      <w:pPr>
        <w:pStyle w:val="Default"/>
        <w:numPr>
          <w:ilvl w:val="0"/>
          <w:numId w:val="6"/>
        </w:numPr>
        <w:tabs>
          <w:tab w:val="left" w:pos="567"/>
        </w:tabs>
        <w:ind w:left="426" w:hanging="426"/>
        <w:rPr>
          <w:color w:val="auto"/>
          <w:sz w:val="22"/>
          <w:szCs w:val="22"/>
          <w:lang w:val="lt-LT"/>
        </w:rPr>
      </w:pPr>
      <w:r>
        <w:rPr>
          <w:spacing w:val="-4"/>
          <w:sz w:val="22"/>
          <w:szCs w:val="22"/>
          <w:lang w:val="lt-LT"/>
        </w:rPr>
        <w:t>Tablečių nekramtyti ir nečiulpti, nes gali išopėti burna bei ryklė.</w:t>
      </w:r>
      <w:r>
        <w:rPr>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b/>
          <w:sz w:val="22"/>
          <w:szCs w:val="22"/>
          <w:lang w:val="lt-LT"/>
        </w:rPr>
      </w:pPr>
      <w:r>
        <w:rPr>
          <w:rFonts w:ascii="Times New Roman" w:hAnsi="Times New Roman"/>
          <w:b/>
          <w:sz w:val="22"/>
          <w:szCs w:val="22"/>
          <w:lang w:val="lt-LT"/>
        </w:rPr>
        <w:t>4.3</w:t>
      </w:r>
      <w:r>
        <w:rPr>
          <w:rFonts w:ascii="Times New Roman" w:hAnsi="Times New Roman"/>
          <w:b/>
          <w:sz w:val="22"/>
          <w:szCs w:val="22"/>
          <w:lang w:val="lt-LT"/>
        </w:rPr>
        <w:tab/>
        <w:t>Kontraindikacijos</w:t>
      </w:r>
    </w:p>
    <w:p w:rsidR="00F72832" w:rsidRDefault="00F72832" w:rsidP="00F72832">
      <w:pPr>
        <w:tabs>
          <w:tab w:val="left" w:pos="567"/>
        </w:tabs>
        <w:ind w:left="567" w:hanging="567"/>
        <w:rPr>
          <w:rFonts w:ascii="Times New Roman" w:hAnsi="Times New Roman"/>
          <w:sz w:val="22"/>
          <w:szCs w:val="22"/>
          <w:lang w:val="lt-LT"/>
        </w:rPr>
      </w:pPr>
    </w:p>
    <w:p w:rsidR="00F72832" w:rsidRDefault="00F72832" w:rsidP="00F72832">
      <w:pPr>
        <w:pStyle w:val="Sraopastraipa"/>
        <w:numPr>
          <w:ilvl w:val="0"/>
          <w:numId w:val="6"/>
        </w:numPr>
        <w:tabs>
          <w:tab w:val="left" w:pos="-180"/>
          <w:tab w:val="left" w:pos="426"/>
        </w:tabs>
        <w:ind w:left="426" w:hanging="426"/>
        <w:rPr>
          <w:rFonts w:ascii="Times New Roman" w:hAnsi="Times New Roman"/>
          <w:sz w:val="22"/>
          <w:szCs w:val="22"/>
          <w:lang w:val="lt-LT"/>
        </w:rPr>
      </w:pPr>
      <w:r>
        <w:rPr>
          <w:rFonts w:ascii="Times New Roman" w:hAnsi="Times New Roman"/>
          <w:sz w:val="22"/>
          <w:szCs w:val="22"/>
          <w:lang w:val="lt-LT"/>
        </w:rPr>
        <w:t>Padidėjęs jautrumas ibandrono rūgščiai arba bet kuriai 6.1 skyriuje nurodytai pagalbinei medžiagai.</w:t>
      </w:r>
    </w:p>
    <w:p w:rsidR="00F72832" w:rsidRDefault="00F72832" w:rsidP="00F72832">
      <w:pPr>
        <w:pStyle w:val="Default"/>
        <w:numPr>
          <w:ilvl w:val="0"/>
          <w:numId w:val="6"/>
        </w:numPr>
        <w:tabs>
          <w:tab w:val="left" w:pos="426"/>
        </w:tabs>
        <w:ind w:left="426" w:hanging="426"/>
        <w:rPr>
          <w:sz w:val="22"/>
          <w:szCs w:val="22"/>
          <w:lang w:val="lt-LT"/>
        </w:rPr>
      </w:pPr>
      <w:r>
        <w:rPr>
          <w:spacing w:val="-3"/>
          <w:sz w:val="22"/>
          <w:szCs w:val="22"/>
          <w:lang w:val="lt-LT"/>
        </w:rPr>
        <w:t>Hipokalcemija.</w:t>
      </w:r>
      <w:r>
        <w:rPr>
          <w:sz w:val="22"/>
          <w:szCs w:val="22"/>
          <w:lang w:val="lt-LT"/>
        </w:rPr>
        <w:t xml:space="preserve"> </w:t>
      </w:r>
    </w:p>
    <w:p w:rsidR="00F72832" w:rsidRDefault="00F72832" w:rsidP="00F72832">
      <w:pPr>
        <w:pStyle w:val="Default"/>
        <w:numPr>
          <w:ilvl w:val="0"/>
          <w:numId w:val="6"/>
        </w:numPr>
        <w:tabs>
          <w:tab w:val="left" w:pos="426"/>
        </w:tabs>
        <w:ind w:left="426" w:hanging="426"/>
        <w:rPr>
          <w:sz w:val="22"/>
          <w:szCs w:val="22"/>
          <w:lang w:val="lt-LT"/>
        </w:rPr>
      </w:pPr>
      <w:r>
        <w:rPr>
          <w:sz w:val="22"/>
          <w:szCs w:val="22"/>
          <w:lang w:val="lt-LT"/>
        </w:rPr>
        <w:t xml:space="preserve">Stemplės ištuštėjimo trukmę ilginantys stemplės sutrikimai, tokie kaip striktūra ar achalazija. </w:t>
      </w:r>
    </w:p>
    <w:p w:rsidR="00F72832" w:rsidRDefault="00F72832" w:rsidP="00F72832">
      <w:pPr>
        <w:pStyle w:val="Default"/>
        <w:numPr>
          <w:ilvl w:val="0"/>
          <w:numId w:val="6"/>
        </w:numPr>
        <w:tabs>
          <w:tab w:val="left" w:pos="426"/>
        </w:tabs>
        <w:ind w:left="426" w:hanging="426"/>
        <w:rPr>
          <w:sz w:val="22"/>
          <w:szCs w:val="22"/>
          <w:lang w:val="lt-LT"/>
        </w:rPr>
      </w:pPr>
      <w:r>
        <w:rPr>
          <w:sz w:val="22"/>
          <w:szCs w:val="22"/>
          <w:lang w:val="lt-LT"/>
        </w:rPr>
        <w:t xml:space="preserve">Negalėjimas bent 60 minučių išbūti vertikalioje padėtyje stovint ar sėdint.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4.4</w:t>
      </w:r>
      <w:r>
        <w:rPr>
          <w:rFonts w:ascii="Times New Roman" w:hAnsi="Times New Roman"/>
          <w:b/>
          <w:sz w:val="22"/>
          <w:szCs w:val="22"/>
          <w:lang w:val="lt-LT"/>
        </w:rPr>
        <w:tab/>
        <w:t>Specialūs įspėjimai ir atsargumo priemonės</w:t>
      </w: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Default"/>
        <w:tabs>
          <w:tab w:val="left" w:pos="567"/>
        </w:tabs>
        <w:rPr>
          <w:color w:val="auto"/>
          <w:sz w:val="22"/>
          <w:szCs w:val="22"/>
          <w:u w:val="single"/>
          <w:lang w:val="lt-LT"/>
        </w:rPr>
      </w:pPr>
      <w:r>
        <w:rPr>
          <w:color w:val="auto"/>
          <w:sz w:val="22"/>
          <w:szCs w:val="22"/>
          <w:u w:val="single"/>
          <w:lang w:val="lt-LT"/>
        </w:rPr>
        <w:t xml:space="preserve">Hipokalcemija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Jei yra hipokalcemija, ją reikia koreguoti prieš pradedant gydymą OSSICA150 mg plėvele dengtomis tabletėmis.</w:t>
      </w:r>
      <w:r>
        <w:rPr>
          <w:rFonts w:ascii="Times New Roman" w:hAnsi="Times New Roman"/>
          <w:sz w:val="22"/>
          <w:szCs w:val="22"/>
          <w:lang w:val="lt-LT"/>
        </w:rPr>
        <w:t xml:space="preserve"> </w:t>
      </w:r>
      <w:r>
        <w:rPr>
          <w:rFonts w:ascii="Times New Roman" w:hAnsi="Times New Roman"/>
          <w:spacing w:val="-3"/>
          <w:sz w:val="22"/>
          <w:szCs w:val="22"/>
          <w:lang w:val="lt-LT"/>
        </w:rPr>
        <w:t>Kiti kaulų ir mineralų metabolizmo sutrikimai turi būti veiksmingai gydomi.</w:t>
      </w:r>
      <w:r>
        <w:rPr>
          <w:rFonts w:ascii="Times New Roman" w:hAnsi="Times New Roman"/>
          <w:sz w:val="22"/>
          <w:szCs w:val="22"/>
          <w:lang w:val="lt-LT"/>
        </w:rPr>
        <w:t xml:space="preserve"> </w:t>
      </w:r>
      <w:r>
        <w:rPr>
          <w:rFonts w:ascii="Times New Roman" w:hAnsi="Times New Roman"/>
          <w:spacing w:val="-3"/>
          <w:sz w:val="22"/>
          <w:szCs w:val="22"/>
          <w:lang w:val="lt-LT"/>
        </w:rPr>
        <w:t xml:space="preserve">Svarbu, kad visi pacientai vartotų tinkamą </w:t>
      </w:r>
      <w:r>
        <w:rPr>
          <w:rFonts w:ascii="Times New Roman" w:hAnsi="Times New Roman"/>
          <w:spacing w:val="-4"/>
          <w:sz w:val="22"/>
          <w:szCs w:val="22"/>
          <w:lang w:val="lt-LT"/>
        </w:rPr>
        <w:t>kalcio ir vitamino D kiekį.</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pStyle w:val="Default"/>
        <w:rPr>
          <w:sz w:val="22"/>
          <w:szCs w:val="22"/>
          <w:u w:val="single"/>
          <w:lang w:val="lt-LT"/>
        </w:rPr>
      </w:pPr>
      <w:r>
        <w:rPr>
          <w:iCs/>
          <w:sz w:val="22"/>
          <w:szCs w:val="22"/>
          <w:u w:val="single"/>
          <w:lang w:val="lt-LT"/>
        </w:rPr>
        <w:t>Virškinimo trakto sudirginimas</w:t>
      </w:r>
    </w:p>
    <w:p w:rsidR="00F72832" w:rsidRDefault="00F72832" w:rsidP="00F72832">
      <w:pPr>
        <w:pStyle w:val="Default"/>
        <w:rPr>
          <w:sz w:val="22"/>
          <w:szCs w:val="22"/>
          <w:lang w:val="lt-LT"/>
        </w:rPr>
      </w:pPr>
      <w:r>
        <w:rPr>
          <w:sz w:val="22"/>
          <w:szCs w:val="22"/>
          <w:lang w:val="lt-LT"/>
        </w:rPr>
        <w:lastRenderedPageBreak/>
        <w:t xml:space="preserve">Geriamieji bisfosfonatai gali vietiškai dirginti viršutinės virškinimo trakto dalies gleivinę. Dėl šio galimo dirginančio poveikio ir galimo gretutinių ligų pablogėjimo reikia būti atsargiems OSSICA skiriant pacientams, sergantiems viršutinės virškinimo trakto dalies ligomis, pvz., patvirtinta </w:t>
      </w:r>
      <w:r>
        <w:rPr>
          <w:i/>
          <w:sz w:val="22"/>
          <w:szCs w:val="22"/>
          <w:lang w:val="lt-LT"/>
        </w:rPr>
        <w:t xml:space="preserve">Barrett’o </w:t>
      </w:r>
      <w:r>
        <w:rPr>
          <w:sz w:val="22"/>
          <w:szCs w:val="22"/>
          <w:lang w:val="lt-LT"/>
        </w:rPr>
        <w:t xml:space="preserve">stemple, disfagija, kitomis stemplės ligomis, gastritu, duodenitu ar opomis. </w:t>
      </w:r>
    </w:p>
    <w:p w:rsidR="00F72832" w:rsidRDefault="00F72832" w:rsidP="00F72832">
      <w:pPr>
        <w:pStyle w:val="Default"/>
        <w:rPr>
          <w:sz w:val="22"/>
          <w:szCs w:val="22"/>
          <w:lang w:val="lt-LT"/>
        </w:rPr>
      </w:pPr>
    </w:p>
    <w:p w:rsidR="00F72832" w:rsidRDefault="00F72832" w:rsidP="00F72832">
      <w:pPr>
        <w:pStyle w:val="Default"/>
        <w:rPr>
          <w:sz w:val="22"/>
          <w:szCs w:val="22"/>
          <w:lang w:val="lt-LT"/>
        </w:rPr>
      </w:pPr>
      <w:r>
        <w:rPr>
          <w:sz w:val="22"/>
          <w:szCs w:val="22"/>
          <w:lang w:val="lt-LT"/>
        </w:rPr>
        <w:t xml:space="preserve">Geriamaisiais bisfosfonatais gydytiems pacientams buvo pastebėtos nepageidaujamosreakcijos, tokios kaip ezofagitas, stemplės opos ar erozijos, kurie kai kuriais atvejais buvo sunkūs ir reikalaujantys hospitalizacijos, retais atvejais pasireiškė kraujavimu arba sąlygojo stemplės susiaurėjimą ar prakiurimą. Nustatyta, kad sunkių stemplės nepageidaujamų reakcijų pavojus yra didesnis pacientams, kurie nesilaiko dozavimo rekomendacijų ir (arba), pasireiškus simptomams, verčiantiems galvoti apie stemplės sudirginimą, geriamuosius bisfosfonatus toliau vartoja. Pacientai turi kreipti ypatingą dėmesį į dozavimą ir būti pajėgūs laikytis ten pateiktų nurodymų (žr. 4.2 skyrių). </w:t>
      </w:r>
    </w:p>
    <w:p w:rsidR="00F72832" w:rsidRDefault="00F72832" w:rsidP="00F72832">
      <w:pPr>
        <w:tabs>
          <w:tab w:val="left" w:pos="567"/>
        </w:tabs>
        <w:spacing w:line="260" w:lineRule="exact"/>
        <w:rPr>
          <w:rFonts w:ascii="Times New Roman" w:hAnsi="Times New Roman"/>
          <w:sz w:val="22"/>
          <w:szCs w:val="22"/>
          <w:lang w:val="lt-LT"/>
        </w:rPr>
      </w:pP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pacing w:val="-3"/>
          <w:sz w:val="22"/>
          <w:szCs w:val="22"/>
          <w:lang w:val="lt-LT"/>
        </w:rPr>
        <w:t xml:space="preserve">Gydytojai turi budriai reaguoti į bet kokius simptomus, rodančius galimą stemplės reakciją į gydymą, ir pacientams, kuriems atsiranda stemplės dirginimo požymių, pavyzdžiui, atsiranda rijimo sutrikimai ar jie pasunkėja, skauda ryjant, vargina skausmas už krūtinkaulio ar rėmuo, nurodyti nebegerti OSSICA ir </w:t>
      </w:r>
      <w:r>
        <w:rPr>
          <w:rFonts w:ascii="Times New Roman" w:hAnsi="Times New Roman"/>
          <w:spacing w:val="-4"/>
          <w:sz w:val="22"/>
          <w:szCs w:val="22"/>
          <w:lang w:val="lt-LT"/>
        </w:rPr>
        <w:t>kreiptis medicinos pagalbos.</w:t>
      </w:r>
      <w:r>
        <w:rPr>
          <w:rFonts w:ascii="Times New Roman" w:hAnsi="Times New Roman"/>
          <w:sz w:val="22"/>
          <w:szCs w:val="22"/>
          <w:lang w:val="lt-LT"/>
        </w:rPr>
        <w:t xml:space="preserve"> </w:t>
      </w:r>
    </w:p>
    <w:p w:rsidR="00F72832" w:rsidRDefault="00F72832" w:rsidP="00F72832">
      <w:pPr>
        <w:tabs>
          <w:tab w:val="left" w:pos="567"/>
        </w:tabs>
        <w:spacing w:line="260" w:lineRule="exact"/>
        <w:rPr>
          <w:rFonts w:ascii="Times New Roman" w:hAnsi="Times New Roman"/>
          <w:sz w:val="22"/>
          <w:szCs w:val="22"/>
          <w:lang w:val="lt-LT"/>
        </w:rPr>
      </w:pPr>
    </w:p>
    <w:p w:rsidR="00F72832" w:rsidRDefault="00F72832" w:rsidP="00F72832">
      <w:pPr>
        <w:pStyle w:val="Response"/>
        <w:spacing w:before="0" w:after="0"/>
        <w:ind w:left="0"/>
        <w:jc w:val="left"/>
        <w:rPr>
          <w:sz w:val="22"/>
          <w:szCs w:val="22"/>
          <w:lang w:val="lt-LT"/>
        </w:rPr>
      </w:pPr>
      <w:r>
        <w:rPr>
          <w:sz w:val="22"/>
          <w:szCs w:val="22"/>
          <w:lang w:val="lt-LT"/>
        </w:rPr>
        <w:t xml:space="preserve">Nors kontroliuojamuose klinikiniuose tyrimuose nebuvo stebėta jokios padidėjusios rizikos, vaistą jau įdiegus į rinką, buvo gauti reti pranešimai apie bisfosfonatų vartojimo metu atsiradusias skrandžio ir dvylikapirštės žarnos opas, kai kurios iš jų buvo sunkios ir su komplikacijomis. </w:t>
      </w:r>
    </w:p>
    <w:p w:rsidR="00F72832" w:rsidRDefault="00F72832" w:rsidP="00F72832">
      <w:pPr>
        <w:tabs>
          <w:tab w:val="left" w:pos="567"/>
        </w:tabs>
        <w:spacing w:line="260" w:lineRule="exact"/>
        <w:rPr>
          <w:rFonts w:ascii="Times New Roman" w:hAnsi="Times New Roman"/>
          <w:sz w:val="22"/>
          <w:szCs w:val="22"/>
          <w:lang w:val="lt-LT"/>
        </w:rPr>
      </w:pP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pacing w:val="-3"/>
          <w:sz w:val="22"/>
          <w:szCs w:val="22"/>
          <w:lang w:val="lt-LT"/>
        </w:rPr>
        <w:t xml:space="preserve">Ir nesteroidiniai vaistiniai preparatai nuo uždegimo, ir bisfosfonatai dirgina virškinimo traktą, todėl kartu su šių preparatų vartoti reikia </w:t>
      </w:r>
      <w:r>
        <w:rPr>
          <w:rFonts w:ascii="Times New Roman" w:hAnsi="Times New Roman"/>
          <w:spacing w:val="-4"/>
          <w:sz w:val="22"/>
          <w:szCs w:val="22"/>
          <w:lang w:val="lt-LT"/>
        </w:rPr>
        <w:t>atsargiai.</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pacing w:val="-4"/>
          <w:sz w:val="22"/>
          <w:szCs w:val="22"/>
          <w:u w:val="single"/>
          <w:lang w:val="lt-LT"/>
        </w:rPr>
        <w:t>Žandikaulio osteonekrozė</w:t>
      </w:r>
      <w:r>
        <w:rPr>
          <w:rFonts w:ascii="Times New Roman" w:hAnsi="Times New Roman"/>
          <w:sz w:val="22"/>
          <w:szCs w:val="22"/>
          <w:u w:val="single"/>
          <w:lang w:val="lt-LT"/>
        </w:rPr>
        <w:t xml:space="preserve"> </w:t>
      </w:r>
    </w:p>
    <w:p w:rsidR="00054B02" w:rsidRPr="002238D1" w:rsidRDefault="00054B02" w:rsidP="00054B02">
      <w:pPr>
        <w:autoSpaceDE w:val="0"/>
        <w:autoSpaceDN w:val="0"/>
        <w:adjustRightInd w:val="0"/>
        <w:rPr>
          <w:rFonts w:ascii="Times New Roman" w:hAnsi="Times New Roman" w:cs="Times New Roman"/>
          <w:color w:val="000000"/>
          <w:sz w:val="22"/>
          <w:szCs w:val="22"/>
          <w:lang w:val="lt-LT"/>
        </w:rPr>
      </w:pPr>
      <w:r w:rsidRPr="002238D1">
        <w:rPr>
          <w:rFonts w:ascii="Times New Roman" w:hAnsi="Times New Roman" w:cs="Times New Roman"/>
          <w:color w:val="000000"/>
          <w:sz w:val="22"/>
          <w:szCs w:val="22"/>
          <w:lang w:val="lt-LT"/>
        </w:rPr>
        <w:t>Vaist</w:t>
      </w:r>
      <w:r w:rsidR="00F94887" w:rsidRPr="002238D1">
        <w:rPr>
          <w:rFonts w:ascii="Times New Roman" w:hAnsi="Times New Roman" w:cs="Times New Roman"/>
          <w:color w:val="000000"/>
          <w:sz w:val="22"/>
          <w:szCs w:val="22"/>
          <w:lang w:val="lt-LT"/>
        </w:rPr>
        <w:t>iniam preparat</w:t>
      </w:r>
      <w:r w:rsidRPr="002238D1">
        <w:rPr>
          <w:rFonts w:ascii="Times New Roman" w:hAnsi="Times New Roman" w:cs="Times New Roman"/>
          <w:color w:val="000000"/>
          <w:sz w:val="22"/>
          <w:szCs w:val="22"/>
          <w:lang w:val="lt-LT"/>
        </w:rPr>
        <w:t xml:space="preserve">ui jau esant rinkoje yra pastebėta labai retų žandikaulio osteonekrozės (ŽON) atvejų pacientams, kurie ibandrono rūgštimi buvo gydomi nuo osteoporozės (žr. 4.8 skyrių). </w:t>
      </w:r>
    </w:p>
    <w:p w:rsidR="00054B02" w:rsidRPr="002238D1" w:rsidRDefault="00054B02" w:rsidP="00054B02">
      <w:pPr>
        <w:autoSpaceDE w:val="0"/>
        <w:autoSpaceDN w:val="0"/>
        <w:adjustRightInd w:val="0"/>
        <w:rPr>
          <w:rFonts w:ascii="Times New Roman" w:hAnsi="Times New Roman" w:cs="Times New Roman"/>
          <w:color w:val="000000"/>
          <w:sz w:val="22"/>
          <w:szCs w:val="22"/>
          <w:lang w:val="lt-LT"/>
        </w:rPr>
      </w:pPr>
    </w:p>
    <w:p w:rsidR="00054B02" w:rsidRPr="002238D1" w:rsidRDefault="00054B02" w:rsidP="00054B02">
      <w:pPr>
        <w:autoSpaceDE w:val="0"/>
        <w:autoSpaceDN w:val="0"/>
        <w:adjustRightInd w:val="0"/>
        <w:rPr>
          <w:rFonts w:ascii="Times New Roman" w:hAnsi="Times New Roman" w:cs="Times New Roman"/>
          <w:color w:val="000000"/>
          <w:sz w:val="22"/>
          <w:szCs w:val="22"/>
          <w:lang w:val="lt-LT"/>
        </w:rPr>
      </w:pPr>
      <w:r w:rsidRPr="002238D1">
        <w:rPr>
          <w:rFonts w:ascii="Times New Roman" w:hAnsi="Times New Roman" w:cs="Times New Roman"/>
          <w:color w:val="000000"/>
          <w:sz w:val="22"/>
          <w:szCs w:val="22"/>
          <w:lang w:val="lt-LT"/>
        </w:rPr>
        <w:t xml:space="preserve">Pacientams, kurių burnoje yra neužgijusių atvirų minkštųjų audinių pažaidų, gydymo ar naujo gydymo kurso pradžią reikia atidėti. </w:t>
      </w:r>
    </w:p>
    <w:p w:rsidR="00054B02" w:rsidRPr="002238D1" w:rsidRDefault="00054B02" w:rsidP="00054B02">
      <w:pPr>
        <w:tabs>
          <w:tab w:val="left" w:pos="567"/>
        </w:tabs>
        <w:rPr>
          <w:rFonts w:ascii="Times New Roman" w:hAnsi="Times New Roman" w:cs="Times New Roman"/>
          <w:color w:val="000000"/>
          <w:sz w:val="22"/>
          <w:szCs w:val="22"/>
          <w:lang w:val="lt-LT"/>
        </w:rPr>
      </w:pPr>
    </w:p>
    <w:p w:rsidR="00054B02" w:rsidRPr="002238D1" w:rsidRDefault="00054B02" w:rsidP="00054B02">
      <w:pPr>
        <w:tabs>
          <w:tab w:val="left" w:pos="567"/>
        </w:tabs>
        <w:rPr>
          <w:rFonts w:ascii="Times New Roman" w:hAnsi="Times New Roman" w:cs="Times New Roman"/>
          <w:color w:val="000000"/>
          <w:sz w:val="22"/>
          <w:szCs w:val="22"/>
          <w:lang w:val="lt-LT"/>
        </w:rPr>
      </w:pPr>
      <w:r w:rsidRPr="002238D1">
        <w:rPr>
          <w:rFonts w:ascii="Times New Roman" w:hAnsi="Times New Roman" w:cs="Times New Roman"/>
          <w:color w:val="000000"/>
          <w:sz w:val="22"/>
          <w:szCs w:val="22"/>
          <w:lang w:val="lt-LT"/>
        </w:rPr>
        <w:t xml:space="preserve">Prieš gydymą OSSICA rekomenduojama ištirti lydinčių rizikos veiksnių turinčių pacientų dantų būklę ir taikyti profilaktinį gydymą, remiantis individualiu naudos ir rizikos įvertinimu. </w:t>
      </w:r>
    </w:p>
    <w:p w:rsidR="00054B02" w:rsidRPr="002238D1" w:rsidRDefault="00054B02" w:rsidP="00054B02">
      <w:pPr>
        <w:autoSpaceDE w:val="0"/>
        <w:autoSpaceDN w:val="0"/>
        <w:adjustRightInd w:val="0"/>
        <w:rPr>
          <w:rFonts w:ascii="Verdana" w:hAnsi="Verdana" w:cs="Verdana"/>
          <w:color w:val="000000"/>
          <w:sz w:val="18"/>
          <w:szCs w:val="18"/>
          <w:lang w:val="lt-LT"/>
        </w:rPr>
      </w:pPr>
    </w:p>
    <w:p w:rsidR="00054B02" w:rsidRPr="004D1435" w:rsidRDefault="00BF4608" w:rsidP="00054B02">
      <w:pPr>
        <w:autoSpaceDE w:val="0"/>
        <w:autoSpaceDN w:val="0"/>
        <w:adjustRightInd w:val="0"/>
        <w:rPr>
          <w:rFonts w:ascii="Times New Roman" w:hAnsi="Times New Roman" w:cs="Times New Roman"/>
          <w:color w:val="000000"/>
          <w:sz w:val="22"/>
          <w:szCs w:val="22"/>
          <w:lang w:val="lt-LT"/>
        </w:rPr>
      </w:pPr>
      <w:r w:rsidRPr="004D1435">
        <w:rPr>
          <w:rFonts w:ascii="Times New Roman" w:hAnsi="Times New Roman" w:cs="Times New Roman"/>
          <w:color w:val="000000"/>
          <w:sz w:val="22"/>
          <w:szCs w:val="22"/>
          <w:lang w:val="lt-LT"/>
        </w:rPr>
        <w:t>Rizikos veiksniai, į kuriuos reikia atsižvelgti</w:t>
      </w:r>
      <w:r w:rsidR="00F94887" w:rsidRPr="004D1435">
        <w:rPr>
          <w:rFonts w:ascii="Times New Roman" w:hAnsi="Times New Roman" w:cs="Times New Roman"/>
          <w:color w:val="000000"/>
          <w:sz w:val="22"/>
          <w:szCs w:val="22"/>
          <w:lang w:val="lt-LT"/>
        </w:rPr>
        <w:t>,</w:t>
      </w:r>
      <w:r w:rsidRPr="004D1435">
        <w:rPr>
          <w:rFonts w:ascii="Times New Roman" w:hAnsi="Times New Roman" w:cs="Times New Roman"/>
          <w:color w:val="000000"/>
          <w:sz w:val="22"/>
          <w:szCs w:val="22"/>
          <w:lang w:val="lt-LT"/>
        </w:rPr>
        <w:t xml:space="preserve"> vertinant paciento riziką susirgti ŽON, yra šie:</w:t>
      </w:r>
      <w:r w:rsidR="00054B02" w:rsidRPr="004D1435">
        <w:rPr>
          <w:rFonts w:ascii="Times New Roman" w:hAnsi="Times New Roman" w:cs="Times New Roman"/>
          <w:color w:val="000000"/>
          <w:sz w:val="22"/>
          <w:szCs w:val="22"/>
          <w:lang w:val="lt-LT"/>
        </w:rPr>
        <w:t xml:space="preserve"> </w:t>
      </w:r>
    </w:p>
    <w:p w:rsidR="00054B02" w:rsidRPr="004D1435" w:rsidRDefault="00054B02" w:rsidP="002B7661">
      <w:pPr>
        <w:autoSpaceDE w:val="0"/>
        <w:autoSpaceDN w:val="0"/>
        <w:adjustRightInd w:val="0"/>
        <w:ind w:left="720" w:hanging="720"/>
        <w:rPr>
          <w:rFonts w:ascii="Times New Roman" w:hAnsi="Times New Roman" w:cs="Times New Roman"/>
          <w:color w:val="000000"/>
          <w:sz w:val="22"/>
          <w:szCs w:val="22"/>
          <w:lang w:val="lt-LT"/>
        </w:rPr>
      </w:pPr>
      <w:r w:rsidRPr="004D1435">
        <w:rPr>
          <w:rFonts w:ascii="Times New Roman" w:hAnsi="Times New Roman" w:cs="Times New Roman"/>
          <w:color w:val="000000"/>
          <w:sz w:val="22"/>
          <w:szCs w:val="22"/>
          <w:lang w:val="lt-LT"/>
        </w:rPr>
        <w:t xml:space="preserve">•     </w:t>
      </w:r>
      <w:r w:rsidR="00145D01" w:rsidRPr="004D1435">
        <w:rPr>
          <w:rFonts w:ascii="Times New Roman" w:hAnsi="Times New Roman" w:cs="Times New Roman"/>
          <w:color w:val="000000"/>
          <w:sz w:val="22"/>
          <w:szCs w:val="22"/>
          <w:lang w:val="lt-LT"/>
        </w:rPr>
        <w:tab/>
      </w:r>
      <w:r w:rsidR="00BF4608" w:rsidRPr="004D1435">
        <w:rPr>
          <w:rFonts w:ascii="Times New Roman" w:hAnsi="Times New Roman" w:cs="Times New Roman"/>
          <w:color w:val="000000"/>
          <w:sz w:val="22"/>
          <w:szCs w:val="22"/>
          <w:lang w:val="lt-LT"/>
        </w:rPr>
        <w:t>kaulų rezorbciją slopinančio vaist</w:t>
      </w:r>
      <w:r w:rsidR="00F94887" w:rsidRPr="004D1435">
        <w:rPr>
          <w:rFonts w:ascii="Times New Roman" w:hAnsi="Times New Roman" w:cs="Times New Roman"/>
          <w:color w:val="000000"/>
          <w:sz w:val="22"/>
          <w:szCs w:val="22"/>
          <w:lang w:val="lt-LT"/>
        </w:rPr>
        <w:t>ini</w:t>
      </w:r>
      <w:r w:rsidR="00BF4608" w:rsidRPr="004D1435">
        <w:rPr>
          <w:rFonts w:ascii="Times New Roman" w:hAnsi="Times New Roman" w:cs="Times New Roman"/>
          <w:color w:val="000000"/>
          <w:sz w:val="22"/>
          <w:szCs w:val="22"/>
          <w:lang w:val="lt-LT"/>
        </w:rPr>
        <w:t>o</w:t>
      </w:r>
      <w:r w:rsidR="00F94887" w:rsidRPr="004D1435">
        <w:rPr>
          <w:rFonts w:ascii="Times New Roman" w:hAnsi="Times New Roman" w:cs="Times New Roman"/>
          <w:color w:val="000000"/>
          <w:sz w:val="22"/>
          <w:szCs w:val="22"/>
          <w:lang w:val="lt-LT"/>
        </w:rPr>
        <w:t xml:space="preserve"> preparato</w:t>
      </w:r>
      <w:r w:rsidR="00BF4608" w:rsidRPr="004D1435">
        <w:rPr>
          <w:rFonts w:ascii="Times New Roman" w:hAnsi="Times New Roman" w:cs="Times New Roman"/>
          <w:color w:val="000000"/>
          <w:sz w:val="22"/>
          <w:szCs w:val="22"/>
          <w:lang w:val="lt-LT"/>
        </w:rPr>
        <w:t xml:space="preserve"> </w:t>
      </w:r>
      <w:r w:rsidR="00F94887" w:rsidRPr="004D1435">
        <w:rPr>
          <w:rFonts w:ascii="Times New Roman" w:hAnsi="Times New Roman" w:cs="Times New Roman"/>
          <w:color w:val="000000"/>
          <w:sz w:val="22"/>
          <w:szCs w:val="22"/>
          <w:lang w:val="lt-LT"/>
        </w:rPr>
        <w:t xml:space="preserve">stiprumas </w:t>
      </w:r>
      <w:r w:rsidR="00BF4608" w:rsidRPr="004D1435">
        <w:rPr>
          <w:rFonts w:ascii="Times New Roman" w:hAnsi="Times New Roman" w:cs="Times New Roman"/>
          <w:color w:val="000000"/>
          <w:sz w:val="22"/>
          <w:szCs w:val="22"/>
          <w:lang w:val="lt-LT"/>
        </w:rPr>
        <w:t xml:space="preserve">(didesnę riziką kelia labai stiprūs junginiai), vartojimo būdas </w:t>
      </w:r>
      <w:r w:rsidRPr="004D1435">
        <w:rPr>
          <w:rFonts w:ascii="Times New Roman" w:hAnsi="Times New Roman" w:cs="Times New Roman"/>
          <w:color w:val="000000"/>
          <w:sz w:val="22"/>
          <w:szCs w:val="22"/>
          <w:lang w:val="lt-LT"/>
        </w:rPr>
        <w:t xml:space="preserve"> (didesnė rizika vartojant parenteriniu būdu) ir </w:t>
      </w:r>
      <w:r w:rsidR="00BD5CEA" w:rsidRPr="004D1435">
        <w:rPr>
          <w:rFonts w:ascii="Times New Roman" w:hAnsi="Times New Roman" w:cs="Times New Roman"/>
          <w:color w:val="000000"/>
          <w:sz w:val="22"/>
          <w:szCs w:val="22"/>
          <w:lang w:val="lt-LT"/>
        </w:rPr>
        <w:t xml:space="preserve">kaulų rezorbcijos terapijos kaupiamoji </w:t>
      </w:r>
      <w:r w:rsidRPr="004D1435">
        <w:rPr>
          <w:rFonts w:ascii="Times New Roman" w:hAnsi="Times New Roman" w:cs="Times New Roman"/>
          <w:color w:val="000000"/>
          <w:sz w:val="22"/>
          <w:szCs w:val="22"/>
          <w:lang w:val="lt-LT"/>
        </w:rPr>
        <w:t>doz</w:t>
      </w:r>
      <w:r w:rsidR="00F94887" w:rsidRPr="004D1435">
        <w:rPr>
          <w:rFonts w:ascii="Times New Roman" w:hAnsi="Times New Roman" w:cs="Times New Roman"/>
          <w:color w:val="000000"/>
          <w:sz w:val="22"/>
          <w:szCs w:val="22"/>
          <w:lang w:val="lt-LT"/>
        </w:rPr>
        <w:t>ė</w:t>
      </w:r>
      <w:r w:rsidRPr="004D1435">
        <w:rPr>
          <w:rFonts w:ascii="Times New Roman" w:hAnsi="Times New Roman" w:cs="Times New Roman"/>
          <w:color w:val="000000"/>
          <w:sz w:val="22"/>
          <w:szCs w:val="22"/>
          <w:lang w:val="lt-LT"/>
        </w:rPr>
        <w:t xml:space="preserve">; </w:t>
      </w:r>
    </w:p>
    <w:p w:rsidR="00054B02" w:rsidRPr="004D1435" w:rsidRDefault="00054B02" w:rsidP="002B7661">
      <w:pPr>
        <w:autoSpaceDE w:val="0"/>
        <w:autoSpaceDN w:val="0"/>
        <w:adjustRightInd w:val="0"/>
        <w:rPr>
          <w:rFonts w:ascii="Times New Roman" w:hAnsi="Times New Roman" w:cs="Times New Roman"/>
          <w:color w:val="000000"/>
          <w:sz w:val="22"/>
          <w:szCs w:val="22"/>
          <w:lang w:val="lt-LT"/>
        </w:rPr>
      </w:pPr>
      <w:r w:rsidRPr="004D1435">
        <w:rPr>
          <w:rFonts w:ascii="Times New Roman" w:hAnsi="Times New Roman" w:cs="Times New Roman"/>
          <w:color w:val="000000"/>
          <w:sz w:val="22"/>
          <w:szCs w:val="22"/>
          <w:lang w:val="lt-LT"/>
        </w:rPr>
        <w:t xml:space="preserve">•     </w:t>
      </w:r>
      <w:r w:rsidR="00145D01" w:rsidRPr="004D1435">
        <w:rPr>
          <w:rFonts w:ascii="Times New Roman" w:hAnsi="Times New Roman" w:cs="Times New Roman"/>
          <w:color w:val="000000"/>
          <w:sz w:val="22"/>
          <w:szCs w:val="22"/>
          <w:lang w:val="lt-LT"/>
        </w:rPr>
        <w:tab/>
      </w:r>
      <w:r w:rsidR="00D64245" w:rsidRPr="004D1435">
        <w:rPr>
          <w:rFonts w:ascii="Times New Roman" w:hAnsi="Times New Roman" w:cs="Times New Roman"/>
          <w:color w:val="000000"/>
          <w:sz w:val="22"/>
          <w:szCs w:val="22"/>
          <w:lang w:val="lt-LT"/>
        </w:rPr>
        <w:t>v</w:t>
      </w:r>
      <w:r w:rsidR="00BD5CEA" w:rsidRPr="004D1435">
        <w:rPr>
          <w:rFonts w:ascii="Times New Roman" w:hAnsi="Times New Roman" w:cs="Times New Roman"/>
          <w:color w:val="000000"/>
          <w:sz w:val="22"/>
          <w:szCs w:val="22"/>
          <w:lang w:val="lt-LT"/>
        </w:rPr>
        <w:t>ėžio liga, lydinčios patologinės būklės (pvz., anemija, koaguliacijos sutrikimai, infekcija)</w:t>
      </w:r>
      <w:r w:rsidRPr="004D1435">
        <w:rPr>
          <w:rFonts w:ascii="Times New Roman" w:hAnsi="Times New Roman" w:cs="Times New Roman"/>
          <w:color w:val="000000"/>
          <w:sz w:val="22"/>
          <w:szCs w:val="22"/>
          <w:lang w:val="lt-LT"/>
        </w:rPr>
        <w:t xml:space="preserve">, </w:t>
      </w:r>
      <w:r w:rsidR="00BD5CEA" w:rsidRPr="004D1435">
        <w:rPr>
          <w:rFonts w:ascii="Times New Roman" w:hAnsi="Times New Roman" w:cs="Times New Roman"/>
          <w:color w:val="000000"/>
          <w:sz w:val="22"/>
          <w:szCs w:val="22"/>
          <w:lang w:val="lt-LT"/>
        </w:rPr>
        <w:t>rūkymas</w:t>
      </w:r>
      <w:r w:rsidRPr="004D1435">
        <w:rPr>
          <w:rFonts w:ascii="Times New Roman" w:hAnsi="Times New Roman" w:cs="Times New Roman"/>
          <w:color w:val="000000"/>
          <w:sz w:val="22"/>
          <w:szCs w:val="22"/>
          <w:lang w:val="lt-LT"/>
        </w:rPr>
        <w:t xml:space="preserve">; </w:t>
      </w:r>
    </w:p>
    <w:p w:rsidR="00BD5CEA" w:rsidRPr="004D1435" w:rsidRDefault="00054B02" w:rsidP="002B7661">
      <w:pPr>
        <w:autoSpaceDE w:val="0"/>
        <w:autoSpaceDN w:val="0"/>
        <w:adjustRightInd w:val="0"/>
        <w:ind w:left="720" w:hanging="720"/>
        <w:rPr>
          <w:rFonts w:ascii="Times New Roman" w:hAnsi="Times New Roman" w:cs="Times New Roman"/>
          <w:color w:val="000000"/>
          <w:sz w:val="22"/>
          <w:szCs w:val="22"/>
          <w:lang w:val="lt-LT"/>
        </w:rPr>
      </w:pPr>
      <w:r w:rsidRPr="004D1435">
        <w:rPr>
          <w:rFonts w:ascii="Times New Roman" w:hAnsi="Times New Roman" w:cs="Times New Roman"/>
          <w:color w:val="000000"/>
          <w:sz w:val="22"/>
          <w:szCs w:val="22"/>
          <w:lang w:val="lt-LT"/>
        </w:rPr>
        <w:t xml:space="preserve">•     </w:t>
      </w:r>
      <w:r w:rsidR="00145D01" w:rsidRPr="004D1435">
        <w:rPr>
          <w:rFonts w:ascii="Times New Roman" w:hAnsi="Times New Roman" w:cs="Times New Roman"/>
          <w:color w:val="000000"/>
          <w:sz w:val="22"/>
          <w:szCs w:val="22"/>
          <w:lang w:val="lt-LT"/>
        </w:rPr>
        <w:tab/>
      </w:r>
      <w:r w:rsidR="00D64245" w:rsidRPr="004D1435">
        <w:rPr>
          <w:rFonts w:ascii="Times New Roman" w:hAnsi="Times New Roman" w:cs="Times New Roman"/>
          <w:color w:val="000000"/>
          <w:sz w:val="22"/>
          <w:szCs w:val="22"/>
          <w:lang w:val="lt-LT"/>
        </w:rPr>
        <w:t>g</w:t>
      </w:r>
      <w:r w:rsidR="00BD5CEA" w:rsidRPr="004D1435">
        <w:rPr>
          <w:rFonts w:ascii="Times New Roman" w:hAnsi="Times New Roman" w:cs="Times New Roman"/>
          <w:color w:val="000000"/>
          <w:sz w:val="22"/>
          <w:szCs w:val="22"/>
          <w:lang w:val="lt-LT"/>
        </w:rPr>
        <w:t xml:space="preserve">retutinis </w:t>
      </w:r>
      <w:r w:rsidRPr="004D1435">
        <w:rPr>
          <w:rFonts w:ascii="Times New Roman" w:hAnsi="Times New Roman" w:cs="Times New Roman"/>
          <w:color w:val="000000"/>
          <w:sz w:val="22"/>
          <w:szCs w:val="22"/>
          <w:lang w:val="lt-LT"/>
        </w:rPr>
        <w:t>gydym</w:t>
      </w:r>
      <w:r w:rsidR="00BD5CEA" w:rsidRPr="004D1435">
        <w:rPr>
          <w:rFonts w:ascii="Times New Roman" w:hAnsi="Times New Roman" w:cs="Times New Roman"/>
          <w:color w:val="000000"/>
          <w:sz w:val="22"/>
          <w:szCs w:val="22"/>
          <w:lang w:val="lt-LT"/>
        </w:rPr>
        <w:t>as kortokosteroidais,</w:t>
      </w:r>
      <w:r w:rsidRPr="004D1435">
        <w:rPr>
          <w:rFonts w:ascii="Times New Roman" w:hAnsi="Times New Roman" w:cs="Times New Roman"/>
          <w:color w:val="000000"/>
          <w:sz w:val="22"/>
          <w:szCs w:val="22"/>
          <w:lang w:val="lt-LT"/>
        </w:rPr>
        <w:t xml:space="preserve"> chemoterapij</w:t>
      </w:r>
      <w:r w:rsidR="00BD5CEA" w:rsidRPr="004D1435">
        <w:rPr>
          <w:rFonts w:ascii="Times New Roman" w:hAnsi="Times New Roman" w:cs="Times New Roman"/>
          <w:color w:val="000000"/>
          <w:sz w:val="22"/>
          <w:szCs w:val="22"/>
          <w:lang w:val="lt-LT"/>
        </w:rPr>
        <w:t>a</w:t>
      </w:r>
      <w:r w:rsidRPr="004D1435">
        <w:rPr>
          <w:rFonts w:ascii="Times New Roman" w:hAnsi="Times New Roman" w:cs="Times New Roman"/>
          <w:color w:val="000000"/>
          <w:sz w:val="22"/>
          <w:szCs w:val="22"/>
          <w:lang w:val="lt-LT"/>
        </w:rPr>
        <w:t>, angiogenezės inhibitori</w:t>
      </w:r>
      <w:r w:rsidR="00BD5CEA" w:rsidRPr="004D1435">
        <w:rPr>
          <w:rFonts w:ascii="Times New Roman" w:hAnsi="Times New Roman" w:cs="Times New Roman"/>
          <w:color w:val="000000"/>
          <w:sz w:val="22"/>
          <w:szCs w:val="22"/>
          <w:lang w:val="lt-LT"/>
        </w:rPr>
        <w:t>ai</w:t>
      </w:r>
      <w:r w:rsidRPr="004D1435">
        <w:rPr>
          <w:rFonts w:ascii="Times New Roman" w:hAnsi="Times New Roman" w:cs="Times New Roman"/>
          <w:color w:val="000000"/>
          <w:sz w:val="22"/>
          <w:szCs w:val="22"/>
          <w:lang w:val="lt-LT"/>
        </w:rPr>
        <w:t xml:space="preserve">s, galvos </w:t>
      </w:r>
      <w:r w:rsidR="00BD5CEA" w:rsidRPr="004D1435">
        <w:rPr>
          <w:rFonts w:ascii="Times New Roman" w:hAnsi="Times New Roman" w:cs="Times New Roman"/>
          <w:color w:val="000000"/>
          <w:sz w:val="22"/>
          <w:szCs w:val="22"/>
          <w:lang w:val="lt-LT"/>
        </w:rPr>
        <w:t>ir kaklo  radioterapija</w:t>
      </w:r>
      <w:r w:rsidR="00D64245" w:rsidRPr="004D1435">
        <w:rPr>
          <w:rFonts w:ascii="Times New Roman" w:hAnsi="Times New Roman" w:cs="Times New Roman"/>
          <w:color w:val="000000"/>
          <w:sz w:val="22"/>
          <w:szCs w:val="22"/>
          <w:lang w:val="lt-LT"/>
        </w:rPr>
        <w:t xml:space="preserve">; </w:t>
      </w:r>
    </w:p>
    <w:p w:rsidR="00054B02" w:rsidRPr="004D1435" w:rsidRDefault="00054B02" w:rsidP="002B7661">
      <w:pPr>
        <w:autoSpaceDE w:val="0"/>
        <w:autoSpaceDN w:val="0"/>
        <w:adjustRightInd w:val="0"/>
        <w:ind w:left="720" w:hanging="720"/>
        <w:rPr>
          <w:rFonts w:ascii="Times New Roman" w:hAnsi="Times New Roman" w:cs="Times New Roman"/>
          <w:color w:val="000000"/>
          <w:sz w:val="22"/>
          <w:szCs w:val="22"/>
          <w:lang w:val="lt-LT"/>
        </w:rPr>
      </w:pPr>
      <w:r w:rsidRPr="004D1435">
        <w:rPr>
          <w:rFonts w:ascii="Times New Roman" w:hAnsi="Times New Roman" w:cs="Times New Roman"/>
          <w:color w:val="000000"/>
          <w:sz w:val="22"/>
          <w:szCs w:val="22"/>
          <w:lang w:val="lt-LT"/>
        </w:rPr>
        <w:t xml:space="preserve">•    </w:t>
      </w:r>
      <w:r w:rsidR="00145D01" w:rsidRPr="004D1435">
        <w:rPr>
          <w:rFonts w:ascii="Times New Roman" w:hAnsi="Times New Roman" w:cs="Times New Roman"/>
          <w:color w:val="000000"/>
          <w:sz w:val="22"/>
          <w:szCs w:val="22"/>
          <w:lang w:val="lt-LT"/>
        </w:rPr>
        <w:tab/>
      </w:r>
      <w:r w:rsidRPr="004D1435">
        <w:rPr>
          <w:rFonts w:ascii="Times New Roman" w:hAnsi="Times New Roman" w:cs="Times New Roman"/>
          <w:color w:val="000000"/>
          <w:sz w:val="22"/>
          <w:szCs w:val="22"/>
          <w:lang w:val="lt-LT"/>
        </w:rPr>
        <w:t xml:space="preserve"> </w:t>
      </w:r>
      <w:r w:rsidR="00D64245" w:rsidRPr="004D1435">
        <w:rPr>
          <w:rFonts w:ascii="Times New Roman" w:hAnsi="Times New Roman" w:cs="Times New Roman"/>
          <w:color w:val="000000"/>
          <w:sz w:val="22"/>
          <w:szCs w:val="22"/>
          <w:lang w:val="lt-LT"/>
        </w:rPr>
        <w:t xml:space="preserve">prasta burnos higiena, periodonto ligos, blogai pritaikyti protezai, buvusios dantų ligos, </w:t>
      </w:r>
      <w:r w:rsidRPr="004D1435">
        <w:rPr>
          <w:rFonts w:ascii="Times New Roman" w:hAnsi="Times New Roman" w:cs="Times New Roman"/>
          <w:color w:val="000000"/>
          <w:sz w:val="22"/>
          <w:szCs w:val="22"/>
          <w:lang w:val="lt-LT"/>
        </w:rPr>
        <w:t>invazin</w:t>
      </w:r>
      <w:r w:rsidR="00D64245" w:rsidRPr="004D1435">
        <w:rPr>
          <w:rFonts w:ascii="Times New Roman" w:hAnsi="Times New Roman" w:cs="Times New Roman"/>
          <w:color w:val="000000"/>
          <w:sz w:val="22"/>
          <w:szCs w:val="22"/>
          <w:lang w:val="lt-LT"/>
        </w:rPr>
        <w:t>ė</w:t>
      </w:r>
      <w:r w:rsidRPr="004D1435">
        <w:rPr>
          <w:rFonts w:ascii="Times New Roman" w:hAnsi="Times New Roman" w:cs="Times New Roman"/>
          <w:color w:val="000000"/>
          <w:sz w:val="22"/>
          <w:szCs w:val="22"/>
          <w:lang w:val="lt-LT"/>
        </w:rPr>
        <w:t>s odontologin</w:t>
      </w:r>
      <w:r w:rsidR="00D64245" w:rsidRPr="004D1435">
        <w:rPr>
          <w:rFonts w:ascii="Times New Roman" w:hAnsi="Times New Roman" w:cs="Times New Roman"/>
          <w:color w:val="000000"/>
          <w:sz w:val="22"/>
          <w:szCs w:val="22"/>
          <w:lang w:val="lt-LT"/>
        </w:rPr>
        <w:t>ė</w:t>
      </w:r>
      <w:r w:rsidRPr="004D1435">
        <w:rPr>
          <w:rFonts w:ascii="Times New Roman" w:hAnsi="Times New Roman" w:cs="Times New Roman"/>
          <w:color w:val="000000"/>
          <w:sz w:val="22"/>
          <w:szCs w:val="22"/>
          <w:lang w:val="lt-LT"/>
        </w:rPr>
        <w:t>s procedūr</w:t>
      </w:r>
      <w:r w:rsidR="00D64245" w:rsidRPr="004D1435">
        <w:rPr>
          <w:rFonts w:ascii="Times New Roman" w:hAnsi="Times New Roman" w:cs="Times New Roman"/>
          <w:color w:val="000000"/>
          <w:sz w:val="22"/>
          <w:szCs w:val="22"/>
          <w:lang w:val="lt-LT"/>
        </w:rPr>
        <w:t>o</w:t>
      </w:r>
      <w:r w:rsidRPr="004D1435">
        <w:rPr>
          <w:rFonts w:ascii="Times New Roman" w:hAnsi="Times New Roman" w:cs="Times New Roman"/>
          <w:color w:val="000000"/>
          <w:sz w:val="22"/>
          <w:szCs w:val="22"/>
          <w:lang w:val="lt-LT"/>
        </w:rPr>
        <w:t>s (pvz., dantų traukim</w:t>
      </w:r>
      <w:r w:rsidR="00D64245" w:rsidRPr="004D1435">
        <w:rPr>
          <w:rFonts w:ascii="Times New Roman" w:hAnsi="Times New Roman" w:cs="Times New Roman"/>
          <w:color w:val="000000"/>
          <w:sz w:val="22"/>
          <w:szCs w:val="22"/>
          <w:lang w:val="lt-LT"/>
        </w:rPr>
        <w:t>as</w:t>
      </w:r>
      <w:r w:rsidRPr="004D1435">
        <w:rPr>
          <w:rFonts w:ascii="Times New Roman" w:hAnsi="Times New Roman" w:cs="Times New Roman"/>
          <w:color w:val="000000"/>
          <w:sz w:val="22"/>
          <w:szCs w:val="22"/>
          <w:lang w:val="lt-LT"/>
        </w:rPr>
        <w:t>)</w:t>
      </w:r>
      <w:r w:rsidR="00D64245" w:rsidRPr="004D1435">
        <w:rPr>
          <w:rFonts w:ascii="Times New Roman" w:hAnsi="Times New Roman" w:cs="Times New Roman"/>
          <w:color w:val="000000"/>
          <w:sz w:val="22"/>
          <w:szCs w:val="22"/>
          <w:lang w:val="lt-LT"/>
        </w:rPr>
        <w:t>.</w:t>
      </w:r>
      <w:r w:rsidRPr="004D1435">
        <w:rPr>
          <w:rFonts w:ascii="Times New Roman" w:hAnsi="Times New Roman" w:cs="Times New Roman"/>
          <w:color w:val="000000"/>
          <w:sz w:val="22"/>
          <w:szCs w:val="22"/>
          <w:lang w:val="lt-LT"/>
        </w:rPr>
        <w:t xml:space="preserve"> </w:t>
      </w:r>
    </w:p>
    <w:p w:rsidR="00D64245" w:rsidRPr="004D1435" w:rsidRDefault="00D64245" w:rsidP="00D64245">
      <w:pPr>
        <w:autoSpaceDE w:val="0"/>
        <w:autoSpaceDN w:val="0"/>
        <w:adjustRightInd w:val="0"/>
        <w:rPr>
          <w:rFonts w:ascii="Times New Roman" w:hAnsi="Times New Roman" w:cs="Times New Roman"/>
          <w:color w:val="000000"/>
          <w:sz w:val="22"/>
          <w:szCs w:val="22"/>
          <w:lang w:val="lt-LT"/>
        </w:rPr>
      </w:pPr>
    </w:p>
    <w:p w:rsidR="00D64245" w:rsidRPr="004D1435" w:rsidRDefault="00D64245" w:rsidP="00D64245">
      <w:pPr>
        <w:autoSpaceDE w:val="0"/>
        <w:autoSpaceDN w:val="0"/>
        <w:adjustRightInd w:val="0"/>
        <w:rPr>
          <w:rFonts w:ascii="Times New Roman" w:hAnsi="Times New Roman" w:cs="Times New Roman"/>
          <w:color w:val="000000"/>
          <w:sz w:val="22"/>
          <w:szCs w:val="22"/>
          <w:lang w:val="lt-LT"/>
        </w:rPr>
      </w:pPr>
      <w:r w:rsidRPr="004D1435">
        <w:rPr>
          <w:rFonts w:ascii="Times New Roman" w:hAnsi="Times New Roman" w:cs="Times New Roman"/>
          <w:color w:val="000000"/>
          <w:sz w:val="22"/>
          <w:szCs w:val="22"/>
          <w:lang w:val="lt-LT"/>
        </w:rPr>
        <w:lastRenderedPageBreak/>
        <w:t xml:space="preserve">Gydymo </w:t>
      </w:r>
      <w:r w:rsidR="00915B01" w:rsidRPr="004D1435">
        <w:rPr>
          <w:rFonts w:ascii="Times New Roman" w:hAnsi="Times New Roman" w:cs="Times New Roman"/>
          <w:color w:val="000000"/>
          <w:sz w:val="22"/>
          <w:szCs w:val="22"/>
          <w:lang w:val="lt-LT"/>
        </w:rPr>
        <w:t xml:space="preserve">OSSICA </w:t>
      </w:r>
      <w:r w:rsidRPr="004D1435">
        <w:rPr>
          <w:rFonts w:ascii="Times New Roman" w:hAnsi="Times New Roman" w:cs="Times New Roman"/>
          <w:color w:val="000000"/>
          <w:sz w:val="22"/>
          <w:szCs w:val="22"/>
          <w:lang w:val="lt-LT"/>
        </w:rPr>
        <w:t>metu visi pacientai turi būti skatinami palaikyti gerą burnos higieną, reguliariai tikrintis dantis ir iš karto pranešti apie visus burnos simptomus, tokius kaip dantų klib</w:t>
      </w:r>
      <w:r w:rsidR="00F94887" w:rsidRPr="004D1435">
        <w:rPr>
          <w:rFonts w:ascii="Times New Roman" w:hAnsi="Times New Roman" w:cs="Times New Roman"/>
          <w:color w:val="000000"/>
          <w:sz w:val="22"/>
          <w:szCs w:val="22"/>
          <w:lang w:val="lt-LT"/>
        </w:rPr>
        <w:t>ėj</w:t>
      </w:r>
      <w:r w:rsidRPr="004D1435">
        <w:rPr>
          <w:rFonts w:ascii="Times New Roman" w:hAnsi="Times New Roman" w:cs="Times New Roman"/>
          <w:color w:val="000000"/>
          <w:sz w:val="22"/>
          <w:szCs w:val="22"/>
          <w:lang w:val="lt-LT"/>
        </w:rPr>
        <w:t xml:space="preserve">imas, skausmas ar patinimas, negyjančios opos ar išskyros. Gydymo metu invazines dantų gydymo procedūras galima atlikti nuodugniai apsvarsčius ir kuo toliau nuo </w:t>
      </w:r>
      <w:r w:rsidR="00915B01" w:rsidRPr="004D1435">
        <w:rPr>
          <w:rFonts w:ascii="Times New Roman" w:hAnsi="Times New Roman" w:cs="Times New Roman"/>
          <w:color w:val="000000"/>
          <w:sz w:val="22"/>
          <w:szCs w:val="22"/>
          <w:lang w:val="lt-LT"/>
        </w:rPr>
        <w:t xml:space="preserve">OSSICA </w:t>
      </w:r>
      <w:r w:rsidRPr="004D1435">
        <w:rPr>
          <w:rFonts w:ascii="Times New Roman" w:hAnsi="Times New Roman" w:cs="Times New Roman"/>
          <w:color w:val="000000"/>
          <w:sz w:val="22"/>
          <w:szCs w:val="22"/>
          <w:lang w:val="lt-LT"/>
        </w:rPr>
        <w:t xml:space="preserve">vartojimo vietos. </w:t>
      </w:r>
    </w:p>
    <w:p w:rsidR="00145D01" w:rsidRPr="008F6CBA" w:rsidRDefault="00145D01" w:rsidP="00D64245">
      <w:pPr>
        <w:autoSpaceDE w:val="0"/>
        <w:autoSpaceDN w:val="0"/>
        <w:adjustRightInd w:val="0"/>
        <w:rPr>
          <w:rFonts w:ascii="Times New Roman" w:hAnsi="Times New Roman" w:cs="Times New Roman"/>
          <w:color w:val="000000"/>
          <w:sz w:val="22"/>
          <w:szCs w:val="22"/>
          <w:lang w:val="lt-LT"/>
        </w:rPr>
      </w:pPr>
    </w:p>
    <w:p w:rsidR="00D64245" w:rsidRPr="008F6CBA" w:rsidRDefault="00D64245" w:rsidP="00D64245">
      <w:pPr>
        <w:autoSpaceDE w:val="0"/>
        <w:autoSpaceDN w:val="0"/>
        <w:adjustRightInd w:val="0"/>
        <w:rPr>
          <w:rFonts w:ascii="Times New Roman" w:hAnsi="Times New Roman" w:cs="Times New Roman"/>
          <w:color w:val="000000"/>
          <w:sz w:val="22"/>
          <w:szCs w:val="22"/>
          <w:lang w:val="lt-LT"/>
        </w:rPr>
      </w:pPr>
      <w:r w:rsidRPr="008F6CBA">
        <w:rPr>
          <w:rFonts w:ascii="Times New Roman" w:hAnsi="Times New Roman" w:cs="Times New Roman"/>
          <w:color w:val="000000"/>
          <w:sz w:val="22"/>
          <w:szCs w:val="22"/>
          <w:lang w:val="lt-LT"/>
        </w:rPr>
        <w:t xml:space="preserve">Pacientų, kuriems atsirado ŽON, gydymo planas turi būti parengtas glaudžiai bendradarbiaujant gydančiam gydytojui ir gydytojui odontologui ar burnos chirurgui, turinčiam ŽON gydymo patirties. Reikia apsvarstyti, ar nevertėtų gydymo </w:t>
      </w:r>
      <w:r w:rsidR="00915B01" w:rsidRPr="008F6CBA">
        <w:rPr>
          <w:rFonts w:ascii="Times New Roman" w:hAnsi="Times New Roman" w:cs="Times New Roman"/>
          <w:color w:val="000000"/>
          <w:sz w:val="22"/>
          <w:szCs w:val="22"/>
          <w:lang w:val="lt-LT"/>
        </w:rPr>
        <w:t xml:space="preserve">OSSICA </w:t>
      </w:r>
      <w:r w:rsidRPr="008F6CBA">
        <w:rPr>
          <w:rFonts w:ascii="Times New Roman" w:hAnsi="Times New Roman" w:cs="Times New Roman"/>
          <w:color w:val="000000"/>
          <w:sz w:val="22"/>
          <w:szCs w:val="22"/>
          <w:lang w:val="lt-LT"/>
        </w:rPr>
        <w:t xml:space="preserve">laikinai nutraukti, jeigu įmanoma, kol būklė pagerės ar susiję rizikos veiksniai bus sušvelninti. </w:t>
      </w:r>
    </w:p>
    <w:p w:rsidR="00F72832" w:rsidRPr="008F6CBA" w:rsidRDefault="00F72832" w:rsidP="00F72832">
      <w:pPr>
        <w:autoSpaceDE w:val="0"/>
        <w:autoSpaceDN w:val="0"/>
        <w:adjustRightInd w:val="0"/>
        <w:rPr>
          <w:rFonts w:ascii="Verdana" w:eastAsia="Calibri" w:hAnsi="Verdana" w:cs="Verdana"/>
          <w:color w:val="000000"/>
          <w:sz w:val="22"/>
          <w:szCs w:val="22"/>
          <w:lang w:val="lt-LT"/>
        </w:rPr>
      </w:pPr>
    </w:p>
    <w:p w:rsidR="00F72832" w:rsidRDefault="00F72832" w:rsidP="00F72832">
      <w:pPr>
        <w:autoSpaceDE w:val="0"/>
        <w:autoSpaceDN w:val="0"/>
        <w:adjustRightInd w:val="0"/>
        <w:rPr>
          <w:rFonts w:ascii="Times New Roman" w:eastAsia="Calibri" w:hAnsi="Times New Roman" w:cs="Times New Roman"/>
          <w:color w:val="000000"/>
          <w:sz w:val="22"/>
          <w:szCs w:val="22"/>
          <w:u w:val="single"/>
          <w:lang w:val="lt-LT"/>
        </w:rPr>
      </w:pPr>
      <w:r w:rsidRPr="008F6CBA">
        <w:rPr>
          <w:rFonts w:ascii="Times New Roman" w:eastAsia="Calibri" w:hAnsi="Times New Roman"/>
          <w:color w:val="000000"/>
          <w:sz w:val="22"/>
          <w:szCs w:val="22"/>
          <w:u w:val="single"/>
          <w:lang w:val="lt-LT"/>
        </w:rPr>
        <w:t>I</w:t>
      </w:r>
      <w:r>
        <w:rPr>
          <w:rFonts w:ascii="Times New Roman" w:eastAsia="Calibri" w:hAnsi="Times New Roman"/>
          <w:color w:val="000000"/>
          <w:sz w:val="22"/>
          <w:szCs w:val="22"/>
          <w:u w:val="single"/>
          <w:lang w:val="lt-LT"/>
        </w:rPr>
        <w:t>šorinio ausies kanalo osteonekrozė</w:t>
      </w:r>
    </w:p>
    <w:p w:rsidR="00F72832" w:rsidRDefault="00F72832" w:rsidP="00F72832">
      <w:pPr>
        <w:tabs>
          <w:tab w:val="left" w:pos="567"/>
        </w:tabs>
        <w:rPr>
          <w:rFonts w:ascii="Times New Roman" w:hAnsi="Times New Roman"/>
          <w:i/>
          <w:sz w:val="22"/>
          <w:szCs w:val="22"/>
          <w:lang w:val="lt-LT"/>
        </w:rPr>
      </w:pPr>
      <w:r w:rsidRPr="008F6CBA">
        <w:rPr>
          <w:rFonts w:ascii="Times New Roman" w:eastAsia="Calibri" w:hAnsi="Times New Roman"/>
          <w:color w:val="000000"/>
          <w:sz w:val="22"/>
          <w:szCs w:val="22"/>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rsidR="00F72832" w:rsidRDefault="00F72832" w:rsidP="00F72832">
      <w:pPr>
        <w:tabs>
          <w:tab w:val="left" w:pos="567"/>
        </w:tabs>
        <w:rPr>
          <w:rFonts w:ascii="Times New Roman" w:hAnsi="Times New Roman"/>
          <w:sz w:val="22"/>
          <w:szCs w:val="22"/>
          <w:u w:val="single"/>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 xml:space="preserve">Atipiniai šlaunikaulio lūžiai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Pacientams reikia patarti, kad bisfosfonatų vartojimo metu praneštų apie bet kokį šlaunies, klubo ar kirkšnies skausmą, o visus pacientus, kuriems pasireiškia tokie simptomai, reikia ištirti, ar jie nepatyrė nepilno šlaunikaulio lūžio.</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 xml:space="preserve">Inkstų pažeidimas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OSSICA 150 mg plėvele dengtos tabletės nerekomenduojamos pacientams, kurių kreatinino klirensas mažesnis kaip 30 ml/min., nes nepakanka klinikinės patirties (žr. 5.2 skyrių).</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i/>
          <w:sz w:val="22"/>
          <w:szCs w:val="22"/>
          <w:lang w:val="lt-LT"/>
        </w:rPr>
      </w:pPr>
      <w:r>
        <w:rPr>
          <w:rFonts w:ascii="Times New Roman" w:hAnsi="Times New Roman"/>
          <w:i/>
          <w:sz w:val="22"/>
          <w:szCs w:val="22"/>
          <w:lang w:val="lt-LT"/>
        </w:rPr>
        <w:t xml:space="preserve">Galaktozės netoleravimas </w:t>
      </w:r>
    </w:p>
    <w:p w:rsidR="00F72832" w:rsidRDefault="00F72832" w:rsidP="00F72832">
      <w:pPr>
        <w:tabs>
          <w:tab w:val="left" w:pos="567"/>
        </w:tabs>
        <w:rPr>
          <w:rFonts w:ascii="Times New Roman" w:hAnsi="Times New Roman"/>
          <w:spacing w:val="-3"/>
          <w:sz w:val="22"/>
          <w:szCs w:val="22"/>
          <w:lang w:val="lt-LT"/>
        </w:rPr>
      </w:pPr>
      <w:r>
        <w:rPr>
          <w:rFonts w:ascii="Times New Roman" w:hAnsi="Times New Roman"/>
          <w:spacing w:val="-3"/>
          <w:sz w:val="22"/>
          <w:szCs w:val="22"/>
          <w:lang w:val="lt-LT"/>
        </w:rPr>
        <w:t xml:space="preserve">Šio vaistinio preparato sudėtyje yra laktozės. Pacientams, kuriems yra retų paveldimų sutrikimų: galaktozės netoleravimas, </w:t>
      </w:r>
      <w:r>
        <w:rPr>
          <w:rFonts w:ascii="Times New Roman" w:hAnsi="Times New Roman"/>
          <w:i/>
          <w:spacing w:val="-3"/>
          <w:sz w:val="22"/>
          <w:szCs w:val="22"/>
          <w:lang w:val="lt-LT"/>
        </w:rPr>
        <w:t>Lapp</w:t>
      </w:r>
      <w:r>
        <w:rPr>
          <w:rFonts w:ascii="Times New Roman" w:hAnsi="Times New Roman"/>
          <w:spacing w:val="-3"/>
          <w:sz w:val="22"/>
          <w:szCs w:val="22"/>
          <w:lang w:val="lt-LT"/>
        </w:rPr>
        <w:t xml:space="preserve"> laktazės trūkumas ar gliukozės ir galaktozės malabsorbcija, šio vaistinio preparato vartoti negalima.</w:t>
      </w:r>
    </w:p>
    <w:p w:rsidR="00F72832" w:rsidRDefault="00F72832" w:rsidP="00F72832">
      <w:pPr>
        <w:tabs>
          <w:tab w:val="left" w:pos="567"/>
        </w:tabs>
        <w:rPr>
          <w:rFonts w:ascii="Times New Roman" w:hAnsi="Times New Roman"/>
          <w:b/>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4.5</w:t>
      </w:r>
      <w:r>
        <w:rPr>
          <w:rFonts w:ascii="Times New Roman" w:hAnsi="Times New Roman"/>
          <w:b/>
          <w:sz w:val="22"/>
          <w:szCs w:val="22"/>
          <w:lang w:val="lt-LT"/>
        </w:rPr>
        <w:tab/>
        <w:t>Sąveika su kitais vaistiniais preparatais ir kitokia sąveika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Vaistinio preparato sąveika su maistu</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Maistas dažniausiai sumažina biologinį geriamosios ibandrono rūgšties prieinamumą.</w:t>
      </w:r>
      <w:r>
        <w:rPr>
          <w:rFonts w:ascii="Times New Roman" w:hAnsi="Times New Roman"/>
          <w:sz w:val="22"/>
          <w:szCs w:val="22"/>
          <w:lang w:val="lt-LT"/>
        </w:rPr>
        <w:t xml:space="preserve"> </w:t>
      </w:r>
      <w:r>
        <w:rPr>
          <w:rFonts w:ascii="Times New Roman" w:hAnsi="Times New Roman"/>
          <w:spacing w:val="-3"/>
          <w:sz w:val="22"/>
          <w:szCs w:val="22"/>
          <w:lang w:val="lt-LT"/>
        </w:rPr>
        <w:t xml:space="preserve">Panašu, kad produktai, kuriuose yra kalcio, įskaitant pieną, ir kitų daugiavalenčių katijonų (aliuminio, magnio, geležies), blogina OSSICA 150 mg plėvele dengtų tablečių </w:t>
      </w:r>
      <w:r>
        <w:rPr>
          <w:rFonts w:ascii="Times New Roman" w:hAnsi="Times New Roman"/>
          <w:spacing w:val="-3"/>
          <w:sz w:val="22"/>
          <w:szCs w:val="22"/>
          <w:lang w:val="lt-LT"/>
        </w:rPr>
        <w:lastRenderedPageBreak/>
        <w:t>absorbciją. Tai patvirtina tyrimų su gyvūnais duomenys.</w:t>
      </w:r>
      <w:r>
        <w:rPr>
          <w:rFonts w:ascii="Times New Roman" w:hAnsi="Times New Roman"/>
          <w:sz w:val="22"/>
          <w:szCs w:val="22"/>
          <w:lang w:val="lt-LT"/>
        </w:rPr>
        <w:t xml:space="preserve"> </w:t>
      </w:r>
      <w:r>
        <w:rPr>
          <w:rFonts w:ascii="Times New Roman" w:hAnsi="Times New Roman"/>
          <w:spacing w:val="-3"/>
          <w:sz w:val="22"/>
          <w:szCs w:val="22"/>
          <w:lang w:val="lt-LT"/>
        </w:rPr>
        <w:t xml:space="preserve">Todėl pacientai turi gerti OSSICA 150 mg plėvele dengtą tabletę ryte nevalgę (bent 6 valandas), o išgėrę vaisto dozę, nevalgyti dar 1 valandą (žr. 4.2 </w:t>
      </w:r>
      <w:r>
        <w:rPr>
          <w:rFonts w:ascii="Times New Roman" w:hAnsi="Times New Roman"/>
          <w:spacing w:val="-4"/>
          <w:sz w:val="22"/>
          <w:szCs w:val="22"/>
          <w:lang w:val="lt-LT"/>
        </w:rPr>
        <w:t>skyrių).</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Sąveika su kitais vaistiniais preparatais</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Manoma, kad metabolinės sąveikos neturėtų būti, kadangi ibandrono rūgštis neslopina pagrindinių žmogaus kepenų P450 izofermentų ir nesužadina žiurkių kepenų citochromo P450 sistemos fermentų (žr. 5.2 skyrių).</w:t>
      </w:r>
      <w:r>
        <w:rPr>
          <w:rFonts w:ascii="Times New Roman" w:hAnsi="Times New Roman"/>
          <w:sz w:val="22"/>
          <w:szCs w:val="22"/>
          <w:lang w:val="lt-LT"/>
        </w:rPr>
        <w:t xml:space="preserve"> </w:t>
      </w:r>
      <w:r>
        <w:rPr>
          <w:rFonts w:ascii="Times New Roman" w:hAnsi="Times New Roman"/>
          <w:spacing w:val="-3"/>
          <w:sz w:val="22"/>
          <w:szCs w:val="22"/>
          <w:lang w:val="lt-LT"/>
        </w:rPr>
        <w:t>Ibandrono rūgštis pasišalina tik per inkstus sekrecijos būdu, jos biotransformacija nevyksta.</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Kalcio papildai, antacidiniai vaistai ir kai kurie geriamieji medicininiai produktai, kuriuose yra daugiavalenčių katijonų</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Panašu, kad kalcio papildai, antacidiniai vaistai ir kai kurie geriamieji medicininiai produktai, kuriuose yra daugiavalenčių katijonų (aliuminio, magnio, geležies), blogina OSSICA 150 mg plėvele dengtų tablečių absorbciją.</w:t>
      </w:r>
      <w:r>
        <w:rPr>
          <w:rFonts w:ascii="Times New Roman" w:hAnsi="Times New Roman"/>
          <w:sz w:val="22"/>
          <w:szCs w:val="22"/>
          <w:lang w:val="lt-LT"/>
        </w:rPr>
        <w:t xml:space="preserve"> </w:t>
      </w:r>
      <w:r>
        <w:rPr>
          <w:rFonts w:ascii="Times New Roman" w:hAnsi="Times New Roman"/>
          <w:spacing w:val="-3"/>
          <w:sz w:val="22"/>
          <w:szCs w:val="22"/>
          <w:lang w:val="lt-LT"/>
        </w:rPr>
        <w:t xml:space="preserve">Todėl pacientai neturėtų vartoti kitų geriamųjų medicininių produktų bent 6 valandas iki </w:t>
      </w:r>
      <w:r>
        <w:rPr>
          <w:rFonts w:ascii="Times New Roman" w:hAnsi="Times New Roman"/>
          <w:spacing w:val="-4"/>
          <w:sz w:val="22"/>
          <w:szCs w:val="22"/>
          <w:lang w:val="lt-LT"/>
        </w:rPr>
        <w:t>OSSICA</w:t>
      </w:r>
      <w:r>
        <w:rPr>
          <w:rFonts w:ascii="Times New Roman" w:hAnsi="Times New Roman"/>
          <w:spacing w:val="-3"/>
          <w:sz w:val="22"/>
          <w:szCs w:val="22"/>
          <w:lang w:val="lt-LT"/>
        </w:rPr>
        <w:t xml:space="preserve"> 150 mg plėvele dengtų tablečių vartojimo </w:t>
      </w:r>
      <w:r>
        <w:rPr>
          <w:rFonts w:ascii="Times New Roman" w:hAnsi="Times New Roman"/>
          <w:spacing w:val="-4"/>
          <w:sz w:val="22"/>
          <w:szCs w:val="22"/>
          <w:lang w:val="lt-LT"/>
        </w:rPr>
        <w:t>ir dar 1 valandą pavartojus OSSICA</w:t>
      </w:r>
      <w:r>
        <w:rPr>
          <w:rFonts w:ascii="Times New Roman" w:hAnsi="Times New Roman"/>
          <w:spacing w:val="-3"/>
          <w:sz w:val="22"/>
          <w:szCs w:val="22"/>
          <w:lang w:val="lt-LT"/>
        </w:rPr>
        <w:t>150 mg plėvele dengtų tablečių</w:t>
      </w:r>
      <w:r>
        <w:rPr>
          <w:rFonts w:ascii="Times New Roman" w:hAnsi="Times New Roman"/>
          <w:spacing w:val="-4"/>
          <w:sz w:val="22"/>
          <w:szCs w:val="22"/>
          <w:lang w:val="lt-LT"/>
        </w:rPr>
        <w:t>.</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u w:val="single"/>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u w:val="single"/>
          <w:lang w:val="lt-LT"/>
        </w:rPr>
        <w:t>Acetilsalicilo rūgštis ir NVNU</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Kadangi acetilsalicilo rūgštis, nesteroidiniai vaistai nuo uždegimo (NVNU) ir bisfosfonatai yra susiję su virškinimo trakto dirginimu, šių vaistų kartu reikia skirti atsargiai (žr. 4.4 skyrių).</w:t>
      </w:r>
    </w:p>
    <w:p w:rsidR="00F72832" w:rsidRDefault="00F72832" w:rsidP="00F72832">
      <w:pPr>
        <w:tabs>
          <w:tab w:val="left" w:pos="567"/>
        </w:tabs>
        <w:rPr>
          <w:rFonts w:ascii="Times New Roman" w:hAnsi="Times New Roman"/>
          <w:sz w:val="22"/>
          <w:szCs w:val="22"/>
          <w:u w:val="single"/>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u w:val="single"/>
          <w:lang w:val="lt-LT"/>
        </w:rPr>
        <w:t>H2 receptorių blokatoriai ar protonų siurblio inhibitoriai</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Iš 1500 pacienčių, dalyvavusių BM 16549 tyrime, kurio metu buvo lyginamas ibandrono rūgšties dozavimas kartą per mėnesį ir kartą per parą, 14 % ir 18 % vartojo histamino (H2), blokatorius ar protonų siurblio inhibitorius atitinkamai po vienerių ir dvejų metų.</w:t>
      </w:r>
      <w:r>
        <w:rPr>
          <w:rFonts w:ascii="Times New Roman" w:hAnsi="Times New Roman"/>
          <w:sz w:val="22"/>
          <w:szCs w:val="22"/>
          <w:lang w:val="lt-LT"/>
        </w:rPr>
        <w:t xml:space="preserve"> </w:t>
      </w:r>
      <w:r>
        <w:rPr>
          <w:rFonts w:ascii="Times New Roman" w:hAnsi="Times New Roman"/>
          <w:spacing w:val="-3"/>
          <w:sz w:val="22"/>
          <w:szCs w:val="22"/>
          <w:lang w:val="lt-LT"/>
        </w:rPr>
        <w:t xml:space="preserve">Šioms pacientėms viršutinio virškinimo trakto aukšto sutrikimų dažnis buvo panašus tarp tų, kurios vartojo vieną </w:t>
      </w:r>
      <w:r w:rsidR="00915B01">
        <w:rPr>
          <w:rFonts w:ascii="Times New Roman" w:hAnsi="Times New Roman"/>
          <w:spacing w:val="-3"/>
          <w:sz w:val="22"/>
          <w:szCs w:val="22"/>
          <w:lang w:val="lt-LT"/>
        </w:rPr>
        <w:t xml:space="preserve">ibandrono rūgšties </w:t>
      </w:r>
      <w:r>
        <w:rPr>
          <w:rFonts w:ascii="Times New Roman" w:hAnsi="Times New Roman"/>
          <w:spacing w:val="-3"/>
          <w:sz w:val="22"/>
          <w:szCs w:val="22"/>
          <w:lang w:val="lt-LT"/>
        </w:rPr>
        <w:t>150 mg plėvele dengtą tabletę kartą per mėnesį, ir tų, kurios ibandrono rūgšties 2,5 mg vartojo kartą per parą.</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Sušvirkštus ranitidino į veną sveikiems savanoriams vyrams ir moterims po menopauzės, biologinis ibandrono rūgšties prieinamumas padidėjo maždaug 20 %, tikriausiai dėl sumažėjusio skrandžio sulčių rūgštingumo. </w:t>
      </w:r>
      <w:r>
        <w:rPr>
          <w:rFonts w:ascii="Times New Roman" w:hAnsi="Times New Roman"/>
          <w:spacing w:val="-3"/>
          <w:sz w:val="22"/>
          <w:szCs w:val="22"/>
          <w:lang w:val="lt-LT"/>
        </w:rPr>
        <w:t>Tačiau šis padidėjimas patenka į normalių biologinio ibandrono rūgšties prieinamumo reikšmių amplitudę, todėl OSSICA 150 mg plėvele dengtų tablečių skiriant kartu su H</w:t>
      </w:r>
      <w:r>
        <w:rPr>
          <w:rFonts w:ascii="Times New Roman" w:hAnsi="Times New Roman"/>
          <w:spacing w:val="-3"/>
          <w:sz w:val="22"/>
          <w:szCs w:val="22"/>
          <w:vertAlign w:val="subscript"/>
          <w:lang w:val="lt-LT"/>
        </w:rPr>
        <w:t>2</w:t>
      </w:r>
      <w:r>
        <w:rPr>
          <w:rFonts w:ascii="Times New Roman" w:hAnsi="Times New Roman"/>
          <w:spacing w:val="-3"/>
          <w:sz w:val="22"/>
          <w:szCs w:val="22"/>
          <w:lang w:val="lt-LT"/>
        </w:rPr>
        <w:t xml:space="preserve"> antagonistais ar su kitais skrandžio pH </w:t>
      </w:r>
      <w:r>
        <w:rPr>
          <w:rFonts w:ascii="Times New Roman" w:hAnsi="Times New Roman"/>
          <w:spacing w:val="-4"/>
          <w:sz w:val="22"/>
          <w:szCs w:val="22"/>
          <w:lang w:val="lt-LT"/>
        </w:rPr>
        <w:t>didinančiais vaistais dozės koreguoti nereikia.</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4.6</w:t>
      </w:r>
      <w:r>
        <w:rPr>
          <w:rFonts w:ascii="Times New Roman" w:hAnsi="Times New Roman"/>
          <w:b/>
          <w:sz w:val="22"/>
          <w:szCs w:val="22"/>
          <w:lang w:val="lt-LT"/>
        </w:rPr>
        <w:tab/>
        <w:t>Vaisingumas, nėštumo ir žindymo laikotarpis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pacing w:val="-4"/>
          <w:sz w:val="22"/>
          <w:szCs w:val="22"/>
          <w:u w:val="single"/>
          <w:lang w:val="lt-LT"/>
        </w:rPr>
        <w:t>Nėštumas</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OSSICA yra skirtas vartoti tik moterims po menopauzės, jo negalima vartoti vaisingo amžiaus moterims.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Dar nepakanka duomenų apie ibandrono rūgšties skyrimą nėščioms moterims. Tiriant žiurkes nustatytas toksinis poveikis reprodukcinei sistemai (žr. 5.3 skyrių). Galimas pavojus žmogui nežinomas.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OSSICA </w:t>
      </w:r>
      <w:r>
        <w:rPr>
          <w:rFonts w:ascii="Times New Roman" w:hAnsi="Times New Roman"/>
          <w:spacing w:val="-3"/>
          <w:sz w:val="22"/>
          <w:szCs w:val="22"/>
          <w:lang w:val="lt-LT"/>
        </w:rPr>
        <w:t xml:space="preserve">150 mg plėvele dengtų tablečių </w:t>
      </w:r>
      <w:r>
        <w:rPr>
          <w:rFonts w:ascii="Times New Roman" w:hAnsi="Times New Roman"/>
          <w:sz w:val="22"/>
          <w:szCs w:val="22"/>
          <w:lang w:val="lt-LT"/>
        </w:rPr>
        <w:t>negalima vartoti nėštumo metu.</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pacing w:val="-4"/>
          <w:sz w:val="22"/>
          <w:szCs w:val="22"/>
          <w:u w:val="single"/>
          <w:lang w:val="lt-LT"/>
        </w:rPr>
        <w:t>Žindymas</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Nėra žinoma, ar ibandrono rūgštis išskiriama į motinos pieną. Tiriant nustatyta, kad, vaisto sušvirkštus į veną, žindančių žiurkių piene buvo nedaug ibandrono rūgšties.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OSSICA </w:t>
      </w:r>
      <w:r>
        <w:rPr>
          <w:rFonts w:ascii="Times New Roman" w:hAnsi="Times New Roman"/>
          <w:spacing w:val="-3"/>
          <w:sz w:val="22"/>
          <w:szCs w:val="22"/>
          <w:lang w:val="lt-LT"/>
        </w:rPr>
        <w:t xml:space="preserve">150 mg plėvele dengtų tablečių </w:t>
      </w:r>
      <w:r>
        <w:rPr>
          <w:rFonts w:ascii="Times New Roman" w:hAnsi="Times New Roman"/>
          <w:sz w:val="22"/>
          <w:szCs w:val="22"/>
          <w:lang w:val="lt-LT"/>
        </w:rPr>
        <w:t>žindymo metu vartoti negalima.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Vaisingumas</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4.7</w:t>
      </w:r>
      <w:r>
        <w:rPr>
          <w:rFonts w:ascii="Times New Roman" w:hAnsi="Times New Roman"/>
          <w:b/>
          <w:sz w:val="22"/>
          <w:szCs w:val="22"/>
          <w:lang w:val="lt-LT"/>
        </w:rPr>
        <w:tab/>
        <w:t>Poveikis gebėjimui vairuoti ir valdyti mechanizmus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Remiantis farmakodinamika ir farmakokinetika bei pastebėtomis nepageidaujamomis reakcijomis manoma, kad ibandronatas gebėjimo vairuoti ir valdyti mechanizmus neveikia arba veikia nereikšmingai.</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outlineLvl w:val="0"/>
        <w:rPr>
          <w:rFonts w:ascii="Times New Roman" w:hAnsi="Times New Roman"/>
          <w:b/>
          <w:sz w:val="22"/>
          <w:szCs w:val="22"/>
          <w:lang w:val="lt-LT"/>
        </w:rPr>
      </w:pPr>
      <w:r>
        <w:rPr>
          <w:rFonts w:ascii="Times New Roman" w:hAnsi="Times New Roman"/>
          <w:b/>
          <w:sz w:val="22"/>
          <w:szCs w:val="22"/>
          <w:lang w:val="lt-LT"/>
        </w:rPr>
        <w:t>4.8</w:t>
      </w:r>
      <w:r>
        <w:rPr>
          <w:rFonts w:ascii="Times New Roman" w:hAnsi="Times New Roman"/>
          <w:b/>
          <w:sz w:val="22"/>
          <w:szCs w:val="22"/>
          <w:lang w:val="lt-LT"/>
        </w:rPr>
        <w:tab/>
        <w:t>Nepageidaujamas poveikis</w:t>
      </w:r>
    </w:p>
    <w:p w:rsidR="00F72832" w:rsidRDefault="00F72832" w:rsidP="00F72832">
      <w:pPr>
        <w:autoSpaceDE w:val="0"/>
        <w:autoSpaceDN w:val="0"/>
        <w:adjustRightInd w:val="0"/>
        <w:rPr>
          <w:rFonts w:ascii="Times New Roman" w:hAnsi="Times New Roman"/>
          <w:color w:val="000000"/>
          <w:sz w:val="22"/>
          <w:szCs w:val="22"/>
          <w:u w:val="single"/>
          <w:lang w:val="lt-LT"/>
        </w:rPr>
      </w:pPr>
    </w:p>
    <w:p w:rsidR="00F72832" w:rsidRDefault="00F72832" w:rsidP="00F72832">
      <w:pPr>
        <w:pStyle w:val="Default"/>
        <w:rPr>
          <w:sz w:val="22"/>
          <w:szCs w:val="22"/>
          <w:lang w:val="lt-LT"/>
        </w:rPr>
      </w:pPr>
      <w:r>
        <w:rPr>
          <w:sz w:val="22"/>
          <w:szCs w:val="22"/>
          <w:u w:val="single"/>
          <w:lang w:val="lt-LT"/>
        </w:rPr>
        <w:t xml:space="preserve">Saugumo duomenų santrauka </w:t>
      </w:r>
    </w:p>
    <w:p w:rsidR="00F72832" w:rsidRDefault="00F72832" w:rsidP="00F72832">
      <w:pPr>
        <w:pStyle w:val="Default"/>
        <w:rPr>
          <w:sz w:val="22"/>
          <w:szCs w:val="22"/>
          <w:u w:val="single"/>
          <w:lang w:val="lt-LT"/>
        </w:rPr>
      </w:pPr>
      <w:r>
        <w:rPr>
          <w:color w:val="auto"/>
          <w:sz w:val="22"/>
          <w:szCs w:val="22"/>
          <w:lang w:val="lt-LT"/>
        </w:rPr>
        <w:t>Dažniausios sunkios nepageidaujamos reakcijos yra anafilaksinė reakcija/šokas, atipiniai šlaunikaulio lūžiai, žandikaulio osteonekrozė, virškinimo trakto sudirginimas ir akių uždegimas (žr. skirsnį „</w:t>
      </w:r>
      <w:r>
        <w:rPr>
          <w:sz w:val="22"/>
          <w:szCs w:val="22"/>
          <w:u w:val="single"/>
          <w:lang w:val="lt-LT"/>
        </w:rPr>
        <w:t>Kai kurių nepageidaujamų reakcijų aprašymas” ir 4.4 skyrių).</w:t>
      </w:r>
    </w:p>
    <w:p w:rsidR="00F72832" w:rsidRDefault="00F72832" w:rsidP="00F72832">
      <w:pPr>
        <w:pStyle w:val="Default"/>
        <w:rPr>
          <w:color w:val="auto"/>
          <w:sz w:val="22"/>
          <w:szCs w:val="22"/>
          <w:lang w:val="lt-LT"/>
        </w:rPr>
      </w:pPr>
      <w:r>
        <w:rPr>
          <w:sz w:val="22"/>
          <w:szCs w:val="22"/>
          <w:lang w:val="lt-LT"/>
        </w:rPr>
        <w:t>Dažniausiai pastebėtos nepageidaujamos reakcijos yra sąnarių skausmas bei į gripą panašūs simptomai. Šie simptomai paprastai būna susiję su pirmąja doze, trunka neilgai, yra nesunkūs ar vidutinio sunkumo, toliau vartojant preparatą paprastai praeina savaime be gydymo vaistais (žiūrėkite paragrafą „Į gripą panaši liga“).</w:t>
      </w:r>
    </w:p>
    <w:p w:rsidR="00F72832" w:rsidRDefault="00F72832" w:rsidP="00F72832">
      <w:pPr>
        <w:autoSpaceDE w:val="0"/>
        <w:autoSpaceDN w:val="0"/>
        <w:adjustRightInd w:val="0"/>
        <w:rPr>
          <w:rFonts w:ascii="Times New Roman" w:hAnsi="Times New Roman"/>
          <w:color w:val="000000"/>
          <w:sz w:val="22"/>
          <w:szCs w:val="22"/>
          <w:u w:val="single"/>
          <w:lang w:val="lt-LT"/>
        </w:rPr>
      </w:pPr>
    </w:p>
    <w:p w:rsidR="00F72832" w:rsidRDefault="00F72832" w:rsidP="00F72832">
      <w:pPr>
        <w:autoSpaceDE w:val="0"/>
        <w:autoSpaceDN w:val="0"/>
        <w:adjustRightInd w:val="0"/>
        <w:snapToGrid w:val="0"/>
        <w:rPr>
          <w:rFonts w:ascii="Times New Roman" w:hAnsi="Times New Roman"/>
          <w:color w:val="000000"/>
          <w:sz w:val="22"/>
          <w:szCs w:val="22"/>
          <w:u w:val="single"/>
          <w:lang w:val="lt-LT"/>
        </w:rPr>
      </w:pPr>
      <w:r>
        <w:rPr>
          <w:rFonts w:ascii="Times New Roman" w:hAnsi="Times New Roman"/>
          <w:color w:val="000000"/>
          <w:sz w:val="22"/>
          <w:szCs w:val="22"/>
          <w:u w:val="single"/>
          <w:lang w:val="lt-LT"/>
        </w:rPr>
        <w:t>Nepageidaujamų reakcijų sąrašas lentelėje</w:t>
      </w:r>
    </w:p>
    <w:p w:rsidR="00F72832" w:rsidRDefault="00F72832" w:rsidP="00F72832">
      <w:pPr>
        <w:autoSpaceDE w:val="0"/>
        <w:autoSpaceDN w:val="0"/>
        <w:adjustRightInd w:val="0"/>
        <w:snapToGrid w:val="0"/>
        <w:rPr>
          <w:rFonts w:ascii="Times New Roman" w:hAnsi="Times New Roman"/>
          <w:sz w:val="22"/>
          <w:szCs w:val="22"/>
          <w:lang w:val="lt-LT" w:eastAsia="lt-LT"/>
        </w:rPr>
      </w:pPr>
      <w:r>
        <w:rPr>
          <w:rFonts w:ascii="Times New Roman" w:hAnsi="Times New Roman"/>
          <w:color w:val="000000"/>
          <w:sz w:val="22"/>
          <w:szCs w:val="22"/>
          <w:u w:val="single"/>
          <w:lang w:val="lt-LT"/>
        </w:rPr>
        <w:t xml:space="preserve"> </w:t>
      </w:r>
      <w:r>
        <w:rPr>
          <w:rFonts w:ascii="Times New Roman" w:hAnsi="Times New Roman"/>
          <w:color w:val="000000"/>
          <w:sz w:val="22"/>
          <w:szCs w:val="22"/>
          <w:lang w:val="lt-LT"/>
        </w:rPr>
        <w:t>Visų žinomų nepageidaujamų reakcijų apžvalga yra pateikta 1-oje lentelėje.</w:t>
      </w:r>
      <w:r>
        <w:rPr>
          <w:rFonts w:ascii="Times New Roman" w:hAnsi="Times New Roman"/>
          <w:sz w:val="22"/>
          <w:szCs w:val="22"/>
          <w:lang w:val="lt-LT"/>
        </w:rPr>
        <w:t xml:space="preserve"> </w:t>
      </w:r>
    </w:p>
    <w:p w:rsidR="00F72832" w:rsidRDefault="00F72832" w:rsidP="00F72832">
      <w:pPr>
        <w:autoSpaceDE w:val="0"/>
        <w:autoSpaceDN w:val="0"/>
        <w:adjustRightInd w:val="0"/>
        <w:rPr>
          <w:rFonts w:ascii="Times New Roman" w:hAnsi="Times New Roman"/>
          <w:color w:val="000000"/>
          <w:sz w:val="22"/>
          <w:szCs w:val="22"/>
          <w:u w:val="single"/>
          <w:lang w:val="lt-LT"/>
        </w:rPr>
      </w:pPr>
    </w:p>
    <w:p w:rsidR="00F72832" w:rsidRDefault="00F72832" w:rsidP="00F72832">
      <w:pPr>
        <w:tabs>
          <w:tab w:val="left" w:pos="567"/>
        </w:tabs>
        <w:outlineLvl w:val="0"/>
        <w:rPr>
          <w:rFonts w:ascii="Times New Roman" w:hAnsi="Times New Roman"/>
          <w:spacing w:val="-3"/>
          <w:sz w:val="22"/>
          <w:szCs w:val="22"/>
          <w:lang w:val="lt-LT"/>
        </w:rPr>
      </w:pPr>
      <w:r>
        <w:rPr>
          <w:rFonts w:ascii="Times New Roman" w:hAnsi="Times New Roman"/>
          <w:spacing w:val="-3"/>
          <w:sz w:val="22"/>
          <w:szCs w:val="22"/>
          <w:lang w:val="lt-LT"/>
        </w:rPr>
        <w:t xml:space="preserve">Geriamosios ibandrono rūgšties 2,5 mg per parą saugumas buvo vertinamas pagal 1251 pacientės, vartojusios preparatą keturių placebu kontroliuojamų klinikinių tyrimų, metu, duomenis; didžioji dauguma pacienčių dalyvavo pagrindiniame trejų metų lūžių  tyrime (MF 4411).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Dvejų metų trukmės osteoporoze sergančių moterų po menopauzės tyrimo (BM 16549) metu bendrieji 150 mg ibandrono rūgšties, vartojamos kartą per mėnesį, ir 2,5 mg ibandrono rūgšties per parą saugumo duomenys buvo panašūs.</w:t>
      </w:r>
      <w:r>
        <w:rPr>
          <w:rFonts w:ascii="Times New Roman" w:hAnsi="Times New Roman"/>
          <w:sz w:val="22"/>
          <w:szCs w:val="22"/>
          <w:lang w:val="lt-LT"/>
        </w:rPr>
        <w:t xml:space="preserve"> </w:t>
      </w:r>
      <w:r>
        <w:rPr>
          <w:rFonts w:ascii="Times New Roman" w:hAnsi="Times New Roman"/>
          <w:spacing w:val="-3"/>
          <w:sz w:val="22"/>
          <w:szCs w:val="22"/>
          <w:lang w:val="lt-LT"/>
        </w:rPr>
        <w:t>Bendra pacienčių, kurioms pasireiškė nepageidaujama reakcija, proporcija vartojant ibandrono rūgštį po 150 mg vieną kartą per mėnesį grupėje atitinkamai po vienerių ir dvejų metų buvo 22,7 % ir 25 %.</w:t>
      </w:r>
      <w:r>
        <w:rPr>
          <w:rFonts w:ascii="Times New Roman" w:hAnsi="Times New Roman"/>
          <w:sz w:val="22"/>
          <w:szCs w:val="22"/>
          <w:lang w:val="lt-LT"/>
        </w:rPr>
        <w:t xml:space="preserve"> </w:t>
      </w:r>
      <w:r>
        <w:rPr>
          <w:rFonts w:ascii="Times New Roman" w:hAnsi="Times New Roman"/>
          <w:spacing w:val="-3"/>
          <w:sz w:val="22"/>
          <w:szCs w:val="22"/>
          <w:lang w:val="lt-LT"/>
        </w:rPr>
        <w:t xml:space="preserve">Daugeliu atvejų </w:t>
      </w:r>
      <w:r>
        <w:rPr>
          <w:rFonts w:ascii="Times New Roman" w:hAnsi="Times New Roman"/>
          <w:spacing w:val="-4"/>
          <w:sz w:val="22"/>
          <w:szCs w:val="22"/>
          <w:lang w:val="lt-LT"/>
        </w:rPr>
        <w:t>gydymo nutraukti nereikėjo.</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color w:val="000000"/>
          <w:sz w:val="22"/>
          <w:szCs w:val="22"/>
          <w:lang w:val="lt-LT"/>
        </w:rPr>
        <w:t>Nepageidaujamos reakcijos yra išvardytos pagal MedDRA organų sistemų klases ir dažnį. Nepageidaujamo poveikio dažnis apibūdinamas taip: labai dažnas (≥ 1/10), dažnas (nuo ≥ 1/100 iki &lt; 1/10), nedažnas (nuo ≥ 1/1000 iki &lt; 1/100), retas (nuo ≥ 1/10000 iki &lt; 1/1000), labai retas (&lt; 1/10000</w:t>
      </w:r>
      <w:r w:rsidR="00B9709D">
        <w:rPr>
          <w:rFonts w:ascii="Times New Roman" w:hAnsi="Times New Roman"/>
          <w:color w:val="000000"/>
          <w:sz w:val="22"/>
          <w:szCs w:val="22"/>
          <w:lang w:val="lt-LT"/>
        </w:rPr>
        <w:t xml:space="preserve">) ir </w:t>
      </w:r>
      <w:r>
        <w:rPr>
          <w:rFonts w:ascii="Times New Roman" w:hAnsi="Times New Roman"/>
          <w:color w:val="000000"/>
          <w:sz w:val="22"/>
          <w:szCs w:val="22"/>
          <w:lang w:val="lt-LT"/>
        </w:rPr>
        <w:t xml:space="preserve"> nežinomas (negali būti </w:t>
      </w:r>
      <w:r w:rsidR="00F94887">
        <w:rPr>
          <w:rFonts w:ascii="Times New Roman" w:hAnsi="Times New Roman"/>
          <w:color w:val="000000"/>
          <w:sz w:val="22"/>
          <w:szCs w:val="22"/>
          <w:lang w:val="lt-LT"/>
        </w:rPr>
        <w:t xml:space="preserve">apskaičiuotas </w:t>
      </w:r>
      <w:r>
        <w:rPr>
          <w:rFonts w:ascii="Times New Roman" w:hAnsi="Times New Roman"/>
          <w:color w:val="000000"/>
          <w:sz w:val="22"/>
          <w:szCs w:val="22"/>
          <w:lang w:val="lt-LT"/>
        </w:rPr>
        <w:t>pagal turimus duomenis). Kiekvienoje dažnio grupėje nepageidaujamos reakcijos išdėstytos mažėjančio sunkumo tvarka.</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1 lentelė. Nepageidaujamos reakcijos į vaistą, pasitaikiusios (&gt;1/100, ≤1/10), kurios, tyrėjų nuomone, galėjo būti susijusios su gydymu, pasireiškusios III fazės BM 16549 ir MF 4411 tyrimų metu ir vaistui esant rinkoje pomenopauzės moterims, kurios vartojo ibandrono rūgštį po 150 mg kartą per mėnesį arba gėrė ibandrono rūgštį po 2,5 mg kasdien. </w:t>
      </w:r>
    </w:p>
    <w:tbl>
      <w:tblPr>
        <w:tblW w:w="0" w:type="auto"/>
        <w:tblLayout w:type="fixed"/>
        <w:tblLook w:val="04A0" w:firstRow="1" w:lastRow="0" w:firstColumn="1" w:lastColumn="0" w:noHBand="0" w:noVBand="1"/>
      </w:tblPr>
      <w:tblGrid>
        <w:gridCol w:w="9092"/>
      </w:tblGrid>
      <w:tr w:rsidR="00F72832" w:rsidRPr="008F6CBA" w:rsidTr="00F72832">
        <w:trPr>
          <w:trHeight w:val="658"/>
        </w:trPr>
        <w:tc>
          <w:tcPr>
            <w:tcW w:w="9092" w:type="dxa"/>
          </w:tcPr>
          <w:p w:rsidR="00F72832" w:rsidRDefault="00F72832">
            <w:pPr>
              <w:autoSpaceDE w:val="0"/>
              <w:autoSpaceDN w:val="0"/>
              <w:adjustRightInd w:val="0"/>
              <w:rPr>
                <w:rFonts w:ascii="Times New Roman" w:hAnsi="Times New Roman"/>
                <w:color w:val="000000"/>
                <w:sz w:val="22"/>
                <w:szCs w:val="22"/>
                <w:lang w:val="lt-LT" w:eastAsia="lt-LT"/>
              </w:rPr>
            </w:pPr>
          </w:p>
        </w:tc>
      </w:tr>
      <w:tr w:rsidR="00F72832" w:rsidRPr="008F6CBA" w:rsidTr="00F72832">
        <w:trPr>
          <w:trHeight w:val="147"/>
        </w:trPr>
        <w:tc>
          <w:tcPr>
            <w:tcW w:w="9092" w:type="dxa"/>
          </w:tcPr>
          <w:p w:rsidR="00F72832" w:rsidRDefault="00F72832">
            <w:pPr>
              <w:autoSpaceDE w:val="0"/>
              <w:autoSpaceDN w:val="0"/>
              <w:adjustRightInd w:val="0"/>
              <w:rPr>
                <w:rFonts w:ascii="Times New Roman" w:hAnsi="Times New Roman"/>
                <w:color w:val="000000"/>
                <w:sz w:val="22"/>
                <w:szCs w:val="22"/>
                <w:lang w:val="lt-LT" w:eastAsia="lt-LT"/>
              </w:rPr>
            </w:pPr>
          </w:p>
        </w:tc>
      </w:tr>
    </w:tbl>
    <w:p w:rsidR="00F72832" w:rsidRDefault="00F72832" w:rsidP="00F72832">
      <w:pPr>
        <w:tabs>
          <w:tab w:val="left" w:pos="567"/>
        </w:tabs>
        <w:rPr>
          <w:rFonts w:ascii="Times New Roman" w:hAnsi="Times New Roman"/>
          <w:sz w:val="22"/>
          <w:szCs w:val="22"/>
          <w:lang w:val="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00"/>
        <w:gridCol w:w="1868"/>
        <w:gridCol w:w="33"/>
        <w:gridCol w:w="1728"/>
        <w:gridCol w:w="26"/>
        <w:gridCol w:w="1819"/>
        <w:gridCol w:w="51"/>
        <w:gridCol w:w="1529"/>
      </w:tblGrid>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b/>
                <w:noProof/>
                <w:sz w:val="22"/>
                <w:szCs w:val="22"/>
                <w:lang w:val="lt-LT" w:eastAsia="lt-LT"/>
              </w:rPr>
            </w:pPr>
            <w:r>
              <w:rPr>
                <w:rFonts w:ascii="Times New Roman" w:hAnsi="Times New Roman"/>
                <w:b/>
                <w:noProof/>
                <w:sz w:val="22"/>
                <w:szCs w:val="22"/>
                <w:lang w:val="lt-LT" w:eastAsia="lt-LT"/>
              </w:rPr>
              <w:t>Organų sistemų klasės</w:t>
            </w:r>
          </w:p>
        </w:tc>
        <w:tc>
          <w:tcPr>
            <w:tcW w:w="1062"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b/>
                <w:noProof/>
                <w:sz w:val="22"/>
                <w:szCs w:val="22"/>
                <w:lang w:val="lt-LT" w:eastAsia="lt-LT"/>
              </w:rPr>
            </w:pPr>
            <w:r>
              <w:rPr>
                <w:rFonts w:ascii="Times New Roman" w:hAnsi="Times New Roman"/>
                <w:b/>
                <w:noProof/>
                <w:sz w:val="22"/>
                <w:szCs w:val="22"/>
                <w:lang w:val="lt-LT" w:eastAsia="lt-LT"/>
              </w:rPr>
              <w:t>Dažnas</w:t>
            </w:r>
          </w:p>
        </w:tc>
        <w:tc>
          <w:tcPr>
            <w:tcW w:w="96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b/>
                <w:noProof/>
                <w:sz w:val="22"/>
                <w:szCs w:val="22"/>
                <w:lang w:val="lt-LT" w:eastAsia="lt-LT"/>
              </w:rPr>
            </w:pPr>
            <w:r>
              <w:rPr>
                <w:rFonts w:ascii="Times New Roman" w:hAnsi="Times New Roman"/>
                <w:b/>
                <w:noProof/>
                <w:sz w:val="22"/>
                <w:szCs w:val="22"/>
                <w:lang w:val="lt-LT" w:eastAsia="lt-LT"/>
              </w:rPr>
              <w:t>Nedažnas</w:t>
            </w:r>
          </w:p>
        </w:tc>
        <w:tc>
          <w:tcPr>
            <w:tcW w:w="106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b/>
                <w:noProof/>
                <w:sz w:val="22"/>
                <w:szCs w:val="22"/>
                <w:lang w:val="lt-LT" w:eastAsia="lt-LT"/>
              </w:rPr>
            </w:pPr>
            <w:r>
              <w:rPr>
                <w:rFonts w:ascii="Times New Roman" w:hAnsi="Times New Roman"/>
                <w:b/>
                <w:bCs/>
                <w:noProof/>
                <w:sz w:val="22"/>
                <w:szCs w:val="22"/>
                <w:lang w:val="lt-LT" w:eastAsia="lt-LT"/>
              </w:rPr>
              <w:t>Retas</w:t>
            </w:r>
          </w:p>
        </w:tc>
        <w:tc>
          <w:tcPr>
            <w:tcW w:w="79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b/>
                <w:noProof/>
                <w:sz w:val="22"/>
                <w:szCs w:val="22"/>
                <w:lang w:val="lt-LT" w:eastAsia="lt-LT"/>
              </w:rPr>
            </w:pPr>
            <w:r>
              <w:rPr>
                <w:rFonts w:ascii="Times New Roman" w:hAnsi="Times New Roman"/>
                <w:b/>
                <w:noProof/>
                <w:sz w:val="22"/>
                <w:szCs w:val="22"/>
                <w:lang w:val="lt-LT" w:eastAsia="lt-LT"/>
              </w:rPr>
              <w:t>Labai retas</w:t>
            </w:r>
          </w:p>
        </w:tc>
      </w:tr>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Imuninės sistemos sutrikimai</w:t>
            </w:r>
          </w:p>
        </w:tc>
        <w:tc>
          <w:tcPr>
            <w:tcW w:w="1062"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c>
          <w:tcPr>
            <w:tcW w:w="96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Bronchų astmos pasunkėjimas</w:t>
            </w:r>
          </w:p>
        </w:tc>
        <w:tc>
          <w:tcPr>
            <w:tcW w:w="106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Padidėjusio jautrumo reakcijos</w:t>
            </w:r>
          </w:p>
        </w:tc>
        <w:tc>
          <w:tcPr>
            <w:tcW w:w="79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Anafilaksinė reakcija ar šokas*†</w:t>
            </w:r>
          </w:p>
        </w:tc>
      </w:tr>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Nervų sistemos sutrikimai</w:t>
            </w:r>
          </w:p>
        </w:tc>
        <w:tc>
          <w:tcPr>
            <w:tcW w:w="1062"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Galvos skausmas</w:t>
            </w:r>
          </w:p>
        </w:tc>
        <w:tc>
          <w:tcPr>
            <w:tcW w:w="96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Svaigulys</w:t>
            </w:r>
          </w:p>
        </w:tc>
        <w:tc>
          <w:tcPr>
            <w:tcW w:w="106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c>
          <w:tcPr>
            <w:tcW w:w="79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r>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Akių sutrikimai</w:t>
            </w:r>
          </w:p>
        </w:tc>
        <w:tc>
          <w:tcPr>
            <w:tcW w:w="1062"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c>
          <w:tcPr>
            <w:tcW w:w="96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c>
          <w:tcPr>
            <w:tcW w:w="106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Akių uždegimas*†</w:t>
            </w:r>
          </w:p>
        </w:tc>
        <w:tc>
          <w:tcPr>
            <w:tcW w:w="79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r>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Virškinimo trakto sutrikimai*</w:t>
            </w:r>
          </w:p>
        </w:tc>
        <w:tc>
          <w:tcPr>
            <w:tcW w:w="1062"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xml:space="preserve">Ezofagitas, gastritas, gastroezofaginio refliukso liga, dispepsija, viduriavimas, </w:t>
            </w:r>
          </w:p>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pilvo skausmas, pykinimas</w:t>
            </w:r>
          </w:p>
        </w:tc>
        <w:tc>
          <w:tcPr>
            <w:tcW w:w="96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xml:space="preserve">Ezofagitas, įskaitant stemplės opėjimą arba  striktūras ir rijimo sutrikimą, vėmimas, </w:t>
            </w:r>
          </w:p>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xml:space="preserve">dujų kaupimasis virškinimo trakte </w:t>
            </w:r>
          </w:p>
        </w:tc>
        <w:tc>
          <w:tcPr>
            <w:tcW w:w="106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Duodenitas</w:t>
            </w:r>
          </w:p>
        </w:tc>
        <w:tc>
          <w:tcPr>
            <w:tcW w:w="797"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r>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Odos ir poodinio audinio sutrikimai</w:t>
            </w:r>
          </w:p>
        </w:tc>
        <w:tc>
          <w:tcPr>
            <w:tcW w:w="1040"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Bėrimas</w:t>
            </w:r>
          </w:p>
        </w:tc>
        <w:tc>
          <w:tcPr>
            <w:tcW w:w="101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c>
          <w:tcPr>
            <w:tcW w:w="1012"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Angioedema, veido edema, dilgėlinė</w:t>
            </w:r>
          </w:p>
        </w:tc>
        <w:tc>
          <w:tcPr>
            <w:tcW w:w="824"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sz w:val="22"/>
                <w:szCs w:val="22"/>
                <w:lang w:eastAsia="lt-LT"/>
              </w:rPr>
              <w:t>Stivenso- Džonsono (Stevens-Johnson) sindromas†, daugiaformė eritema†, pūslinis dermatitas†</w:t>
            </w:r>
            <w:r>
              <w:rPr>
                <w:rFonts w:ascii="Times New Roman" w:hAnsi="Times New Roman"/>
                <w:noProof/>
                <w:sz w:val="22"/>
                <w:szCs w:val="22"/>
                <w:lang w:val="lt-LT" w:eastAsia="lt-LT"/>
              </w:rPr>
              <w:t> </w:t>
            </w:r>
          </w:p>
        </w:tc>
      </w:tr>
      <w:tr w:rsidR="00F72832" w:rsidRPr="008F6CBA"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Skeleto, raumenų ir jungiamojo audinio sutrikimai</w:t>
            </w:r>
          </w:p>
        </w:tc>
        <w:tc>
          <w:tcPr>
            <w:tcW w:w="1040"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Artralgija, mialgija, skeleto raumenų skausmas, mėšlungis, skeleto raumenų sustingimas</w:t>
            </w:r>
          </w:p>
        </w:tc>
        <w:tc>
          <w:tcPr>
            <w:tcW w:w="101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Nugaros skausmas</w:t>
            </w:r>
          </w:p>
        </w:tc>
        <w:tc>
          <w:tcPr>
            <w:tcW w:w="1012" w:type="pct"/>
            <w:tcBorders>
              <w:top w:val="outset" w:sz="6" w:space="0" w:color="auto"/>
              <w:left w:val="outset" w:sz="6" w:space="0" w:color="auto"/>
              <w:bottom w:val="outset" w:sz="6" w:space="0" w:color="auto"/>
              <w:right w:val="outset" w:sz="6" w:space="0" w:color="auto"/>
            </w:tcBorders>
          </w:tcPr>
          <w:p w:rsidR="00F72832" w:rsidRDefault="00F72832">
            <w:pPr>
              <w:pStyle w:val="Default"/>
              <w:rPr>
                <w:sz w:val="22"/>
                <w:szCs w:val="22"/>
                <w:lang w:val="lt-LT" w:eastAsia="lt-LT"/>
              </w:rPr>
            </w:pPr>
            <w:r>
              <w:rPr>
                <w:sz w:val="22"/>
                <w:szCs w:val="22"/>
                <w:lang w:val="lt-LT" w:eastAsia="lt-LT"/>
              </w:rPr>
              <w:t xml:space="preserve">Atipiniai šlaunikaulio pogūbriniai ir diafizės lūžiai † </w:t>
            </w:r>
          </w:p>
          <w:p w:rsidR="00F72832" w:rsidRDefault="00F72832">
            <w:pPr>
              <w:tabs>
                <w:tab w:val="left" w:pos="567"/>
              </w:tabs>
              <w:rPr>
                <w:rFonts w:ascii="Times New Roman" w:hAnsi="Times New Roman"/>
                <w:noProof/>
                <w:sz w:val="22"/>
                <w:szCs w:val="22"/>
                <w:lang w:val="lt-LT" w:eastAsia="lt-LT"/>
              </w:rPr>
            </w:pPr>
          </w:p>
        </w:tc>
        <w:tc>
          <w:tcPr>
            <w:tcW w:w="824"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sz w:val="22"/>
                <w:szCs w:val="22"/>
                <w:lang w:val="lt-LT" w:eastAsia="lt-LT"/>
              </w:rPr>
              <w:t>Žandikaulio osteonekrozė</w:t>
            </w:r>
            <w:r>
              <w:rPr>
                <w:rFonts w:ascii="Times New Roman" w:hAnsi="Times New Roman"/>
                <w:noProof/>
                <w:sz w:val="22"/>
                <w:szCs w:val="22"/>
                <w:lang w:val="lt-LT" w:eastAsia="lt-LT"/>
              </w:rPr>
              <w:t xml:space="preserve"> *†,</w:t>
            </w:r>
          </w:p>
          <w:p w:rsidR="00F72832" w:rsidRPr="00111FF2" w:rsidRDefault="00F72832">
            <w:pPr>
              <w:tabs>
                <w:tab w:val="left" w:pos="567"/>
              </w:tabs>
              <w:rPr>
                <w:rFonts w:ascii="Times New Roman" w:hAnsi="Times New Roman"/>
                <w:noProof/>
                <w:sz w:val="22"/>
                <w:szCs w:val="22"/>
                <w:lang w:val="lt-LT" w:eastAsia="lt-LT"/>
              </w:rPr>
            </w:pPr>
            <w:r w:rsidRPr="002238D1">
              <w:rPr>
                <w:rFonts w:ascii="Times New Roman" w:hAnsi="Times New Roman"/>
                <w:sz w:val="22"/>
                <w:szCs w:val="22"/>
                <w:lang w:val="lt-LT" w:eastAsia="lt-LT"/>
              </w:rPr>
              <w:t>išorinio ausies kanalo osteonekrozė (bisfosfonatų grupės vaistams būdinga nepageidaujama reakcija).</w:t>
            </w:r>
          </w:p>
        </w:tc>
      </w:tr>
      <w:tr w:rsidR="00F72832" w:rsidTr="00F72832">
        <w:trPr>
          <w:tblCellSpacing w:w="0" w:type="dxa"/>
        </w:trPr>
        <w:tc>
          <w:tcPr>
            <w:tcW w:w="1113"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sz w:val="22"/>
                <w:szCs w:val="22"/>
                <w:lang w:val="lt-LT" w:eastAsia="lt-LT"/>
              </w:rPr>
              <w:t>Bendrieji sutrikimai ir vartojimo vietos pažeidimai</w:t>
            </w:r>
            <w:r>
              <w:rPr>
                <w:rFonts w:ascii="Times New Roman" w:hAnsi="Times New Roman"/>
                <w:noProof/>
                <w:sz w:val="22"/>
                <w:szCs w:val="22"/>
                <w:lang w:val="lt-LT" w:eastAsia="lt-LT"/>
              </w:rPr>
              <w:t xml:space="preserve"> </w:t>
            </w:r>
          </w:p>
        </w:tc>
        <w:tc>
          <w:tcPr>
            <w:tcW w:w="1040"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Į gripą panaši liga*</w:t>
            </w:r>
          </w:p>
        </w:tc>
        <w:tc>
          <w:tcPr>
            <w:tcW w:w="1011" w:type="pct"/>
            <w:gridSpan w:val="3"/>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Nuovargis</w:t>
            </w:r>
          </w:p>
        </w:tc>
        <w:tc>
          <w:tcPr>
            <w:tcW w:w="1012" w:type="pct"/>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c>
          <w:tcPr>
            <w:tcW w:w="824" w:type="pct"/>
            <w:gridSpan w:val="2"/>
            <w:tcBorders>
              <w:top w:val="outset" w:sz="6" w:space="0" w:color="auto"/>
              <w:left w:val="outset" w:sz="6" w:space="0" w:color="auto"/>
              <w:bottom w:val="outset" w:sz="6" w:space="0" w:color="auto"/>
              <w:right w:val="outset" w:sz="6" w:space="0" w:color="auto"/>
            </w:tcBorders>
            <w:hideMark/>
          </w:tcPr>
          <w:p w:rsidR="00F72832" w:rsidRDefault="00F72832">
            <w:pPr>
              <w:tabs>
                <w:tab w:val="left" w:pos="567"/>
              </w:tabs>
              <w:rPr>
                <w:rFonts w:ascii="Times New Roman" w:hAnsi="Times New Roman"/>
                <w:noProof/>
                <w:sz w:val="22"/>
                <w:szCs w:val="22"/>
                <w:lang w:val="lt-LT" w:eastAsia="lt-LT"/>
              </w:rPr>
            </w:pPr>
            <w:r>
              <w:rPr>
                <w:rFonts w:ascii="Times New Roman" w:hAnsi="Times New Roman"/>
                <w:noProof/>
                <w:sz w:val="22"/>
                <w:szCs w:val="22"/>
                <w:lang w:val="lt-LT" w:eastAsia="lt-LT"/>
              </w:rPr>
              <w:t> </w:t>
            </w:r>
          </w:p>
        </w:tc>
      </w:tr>
    </w:tbl>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*Žiūrėti informaciją žemiau </w:t>
      </w:r>
    </w:p>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†Nustatyta vaistui esant rinkoje. </w:t>
      </w:r>
    </w:p>
    <w:p w:rsidR="00F72832" w:rsidRDefault="00F72832" w:rsidP="00F72832">
      <w:pPr>
        <w:tabs>
          <w:tab w:val="left" w:pos="567"/>
        </w:tabs>
        <w:rPr>
          <w:rFonts w:ascii="Times New Roman" w:hAnsi="Times New Roman"/>
          <w:sz w:val="22"/>
          <w:szCs w:val="22"/>
          <w:u w:val="single"/>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u w:val="single"/>
          <w:lang w:val="lt-LT"/>
        </w:rPr>
        <w:t>Kai kurių nepageidaujamų reakcijų aprašymas</w:t>
      </w:r>
    </w:p>
    <w:p w:rsidR="00F72832" w:rsidRDefault="00F72832" w:rsidP="00F72832">
      <w:pPr>
        <w:tabs>
          <w:tab w:val="left" w:pos="567"/>
        </w:tabs>
        <w:rPr>
          <w:rFonts w:ascii="Times New Roman" w:hAnsi="Times New Roman"/>
          <w:i/>
          <w:sz w:val="22"/>
          <w:szCs w:val="22"/>
          <w:u w:val="single"/>
          <w:lang w:val="lt-LT"/>
        </w:rPr>
      </w:pPr>
      <w:r>
        <w:rPr>
          <w:rFonts w:ascii="Times New Roman" w:hAnsi="Times New Roman"/>
          <w:i/>
          <w:sz w:val="22"/>
          <w:szCs w:val="22"/>
          <w:u w:val="single"/>
          <w:lang w:val="lt-LT"/>
        </w:rPr>
        <w:t>Virškinimo trakto sutrikimai</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Kartą per mėnesį dozavimo tyrime dalyvavo anksčiau sirgusios virškinimo trakto ligomis pacientės, tai pat ir sirgusios pepsine opa, iš kurios nekraujavo, ar dėl kurios nereikėjo gydytis ligoninėje, taip pat pacientės, kurioms buvo vaistais išgydyta dispepsija ar refliuksas.</w:t>
      </w:r>
      <w:r>
        <w:rPr>
          <w:rFonts w:ascii="Times New Roman" w:hAnsi="Times New Roman"/>
          <w:sz w:val="22"/>
          <w:szCs w:val="22"/>
          <w:lang w:val="lt-LT"/>
        </w:rPr>
        <w:t xml:space="preserve"> </w:t>
      </w:r>
      <w:r>
        <w:rPr>
          <w:rFonts w:ascii="Times New Roman" w:hAnsi="Times New Roman"/>
          <w:spacing w:val="-3"/>
          <w:sz w:val="22"/>
          <w:szCs w:val="22"/>
          <w:lang w:val="lt-LT"/>
        </w:rPr>
        <w:t xml:space="preserve">Šioms pacientėms viršutinės virškinimo trakto dalies sutrikimų dažnis buvo vienodas vartojant 150 mg kartą per mėnesį ar po </w:t>
      </w:r>
      <w:r>
        <w:rPr>
          <w:rFonts w:ascii="Times New Roman" w:hAnsi="Times New Roman"/>
          <w:spacing w:val="-4"/>
          <w:sz w:val="22"/>
          <w:szCs w:val="22"/>
          <w:lang w:val="lt-LT"/>
        </w:rPr>
        <w:t>2,5 mg per parą.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pacing w:val="-2"/>
          <w:sz w:val="22"/>
          <w:szCs w:val="22"/>
          <w:lang w:val="lt-LT"/>
        </w:rPr>
      </w:pPr>
    </w:p>
    <w:p w:rsidR="00F72832" w:rsidRDefault="00F72832" w:rsidP="00F72832">
      <w:pPr>
        <w:tabs>
          <w:tab w:val="left" w:pos="567"/>
        </w:tabs>
        <w:rPr>
          <w:rFonts w:ascii="Times New Roman" w:hAnsi="Times New Roman"/>
          <w:spacing w:val="-2"/>
          <w:sz w:val="22"/>
          <w:szCs w:val="22"/>
          <w:u w:val="single"/>
          <w:lang w:val="lt-LT"/>
        </w:rPr>
      </w:pPr>
      <w:r>
        <w:rPr>
          <w:rFonts w:ascii="Times New Roman" w:hAnsi="Times New Roman"/>
          <w:spacing w:val="-2"/>
          <w:sz w:val="22"/>
          <w:szCs w:val="22"/>
          <w:u w:val="single"/>
          <w:lang w:val="lt-LT"/>
        </w:rPr>
        <w:t>Į gripą panaši liga</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2"/>
          <w:sz w:val="22"/>
          <w:szCs w:val="22"/>
          <w:lang w:val="lt-LT"/>
        </w:rPr>
        <w:lastRenderedPageBreak/>
        <w:t>Į gripą panašus sindromas pasireiškia kaip ūminės fazės reakcija arba tokiais simptomais kaip raumenų, sąnarių skausmas, karščiavimas, šaltkrėtis, nuovargis, pykinimas, apetito sumažėjimas ar kaulų skausmas.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u w:val="single"/>
          <w:lang w:val="lt-LT"/>
        </w:rPr>
      </w:pPr>
    </w:p>
    <w:p w:rsidR="00F72832" w:rsidRDefault="00F72832" w:rsidP="00F72832">
      <w:pPr>
        <w:tabs>
          <w:tab w:val="left" w:pos="567"/>
        </w:tabs>
        <w:rPr>
          <w:rFonts w:ascii="Times New Roman" w:hAnsi="Times New Roman"/>
          <w:spacing w:val="-3"/>
          <w:sz w:val="22"/>
          <w:szCs w:val="22"/>
          <w:u w:val="single"/>
          <w:lang w:val="lt-LT"/>
        </w:rPr>
      </w:pPr>
      <w:r>
        <w:rPr>
          <w:rFonts w:ascii="Times New Roman" w:hAnsi="Times New Roman"/>
          <w:spacing w:val="-3"/>
          <w:sz w:val="22"/>
          <w:szCs w:val="22"/>
          <w:u w:val="single"/>
          <w:lang w:val="lt-LT"/>
        </w:rPr>
        <w:t>Žandikaulio osteonekrozė</w:t>
      </w:r>
    </w:p>
    <w:p w:rsidR="00915B01" w:rsidRDefault="00915B01" w:rsidP="00F72832">
      <w:pPr>
        <w:tabs>
          <w:tab w:val="left" w:pos="567"/>
        </w:tabs>
        <w:rPr>
          <w:rFonts w:ascii="Times New Roman" w:hAnsi="Times New Roman" w:cs="Times New Roman"/>
          <w:sz w:val="22"/>
          <w:szCs w:val="22"/>
        </w:rPr>
      </w:pPr>
      <w:r w:rsidRPr="002238D1">
        <w:rPr>
          <w:rFonts w:ascii="Times New Roman" w:hAnsi="Times New Roman" w:cs="Times New Roman"/>
          <w:sz w:val="22"/>
          <w:szCs w:val="22"/>
          <w:lang w:val="lt-LT"/>
        </w:rPr>
        <w:t xml:space="preserve">Yra pastebėta žandikaulio osteonekrozės atvejų, dauguma jų registruota vėžiu sirgusiems pacientams, gydytiems kaulų rezorbciją slopinančiais vaistiniais preparatais, tokiais kaip ibandrono rūgštis (žr. 4.4 skyrių). </w:t>
      </w:r>
      <w:r w:rsidRPr="002B7661">
        <w:rPr>
          <w:rFonts w:ascii="Times New Roman" w:hAnsi="Times New Roman" w:cs="Times New Roman"/>
          <w:sz w:val="22"/>
          <w:szCs w:val="22"/>
        </w:rPr>
        <w:t>ŽON atvejų yra pastebėta ibandrono rūgšties preparatams jau esant rinkoje.</w:t>
      </w:r>
    </w:p>
    <w:p w:rsidR="00145D01" w:rsidRPr="00915B01" w:rsidRDefault="00145D01" w:rsidP="00F72832">
      <w:pPr>
        <w:tabs>
          <w:tab w:val="left" w:pos="567"/>
        </w:tabs>
        <w:rPr>
          <w:rFonts w:ascii="Times New Roman" w:hAnsi="Times New Roman" w:cs="Times New Roman"/>
          <w:spacing w:val="-3"/>
          <w:sz w:val="22"/>
          <w:szCs w:val="22"/>
          <w:lang w:val="lt-LT"/>
        </w:rPr>
      </w:pPr>
    </w:p>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iCs/>
          <w:color w:val="000000"/>
          <w:sz w:val="22"/>
          <w:szCs w:val="22"/>
          <w:u w:val="single"/>
          <w:lang w:val="lt-LT"/>
        </w:rPr>
        <w:t xml:space="preserve">Akių uždegimas </w:t>
      </w:r>
    </w:p>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Vartojusiesiems ibandrono rūgštį buvo pastebėti akių uždegimo reiškiniai, tokie kaip uveitas, episkleritas ir skleritas. Kai kuriais atvejais šie reiškiniai išnykdavo tik nutraukus ibandrono rūgšties vartojimą. </w:t>
      </w:r>
    </w:p>
    <w:p w:rsidR="00F72832" w:rsidRDefault="00F72832" w:rsidP="00F72832">
      <w:pPr>
        <w:autoSpaceDE w:val="0"/>
        <w:autoSpaceDN w:val="0"/>
        <w:adjustRightInd w:val="0"/>
        <w:rPr>
          <w:rFonts w:ascii="Times New Roman" w:hAnsi="Times New Roman"/>
          <w:i/>
          <w:iCs/>
          <w:color w:val="000000"/>
          <w:sz w:val="22"/>
          <w:szCs w:val="22"/>
          <w:u w:val="single"/>
          <w:lang w:val="lt-LT"/>
        </w:rPr>
      </w:pPr>
    </w:p>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iCs/>
          <w:color w:val="000000"/>
          <w:sz w:val="22"/>
          <w:szCs w:val="22"/>
          <w:u w:val="single"/>
          <w:lang w:val="lt-LT"/>
        </w:rPr>
        <w:t xml:space="preserve">Anafilaksinė reakcija ar šokas </w:t>
      </w:r>
    </w:p>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Ibandrono rūgštimi į veną gydytiems pacientams buvo pastebėtos anafilaksinės reakcijos ar šoko atvejai, įskaitant mirtį nulėmusius atvejus.</w:t>
      </w:r>
    </w:p>
    <w:p w:rsidR="00F72832" w:rsidRDefault="00F72832" w:rsidP="00F72832">
      <w:pPr>
        <w:tabs>
          <w:tab w:val="left" w:pos="567"/>
        </w:tabs>
        <w:autoSpaceDE w:val="0"/>
        <w:autoSpaceDN w:val="0"/>
        <w:adjustRightInd w:val="0"/>
        <w:spacing w:line="260" w:lineRule="exact"/>
        <w:rPr>
          <w:rFonts w:ascii="Times New Roman" w:hAnsi="Times New Roman"/>
          <w:noProof/>
          <w:snapToGrid w:val="0"/>
          <w:sz w:val="22"/>
          <w:szCs w:val="22"/>
          <w:u w:val="single"/>
          <w:lang w:val="lt-LT"/>
        </w:rPr>
      </w:pPr>
    </w:p>
    <w:p w:rsidR="00F72832" w:rsidRDefault="00F72832" w:rsidP="00F72832">
      <w:pPr>
        <w:tabs>
          <w:tab w:val="left" w:pos="567"/>
        </w:tabs>
        <w:autoSpaceDE w:val="0"/>
        <w:autoSpaceDN w:val="0"/>
        <w:adjustRightInd w:val="0"/>
        <w:spacing w:line="260" w:lineRule="exact"/>
        <w:rPr>
          <w:rFonts w:ascii="Times New Roman" w:hAnsi="Times New Roman"/>
          <w:snapToGrid w:val="0"/>
          <w:sz w:val="22"/>
          <w:szCs w:val="22"/>
          <w:u w:val="single"/>
          <w:lang w:val="lt-LT"/>
        </w:rPr>
      </w:pPr>
      <w:r>
        <w:rPr>
          <w:rFonts w:ascii="Times New Roman" w:hAnsi="Times New Roman"/>
          <w:noProof/>
          <w:snapToGrid w:val="0"/>
          <w:sz w:val="22"/>
          <w:szCs w:val="22"/>
          <w:u w:val="single"/>
          <w:lang w:val="lt-LT"/>
        </w:rPr>
        <w:t>Pranešimas apie įtariamas nepageidaujamas reakcijas</w:t>
      </w:r>
    </w:p>
    <w:p w:rsidR="00F72832" w:rsidRDefault="00F72832" w:rsidP="00F72832">
      <w:pPr>
        <w:tabs>
          <w:tab w:val="left" w:pos="567"/>
        </w:tabs>
        <w:autoSpaceDE w:val="0"/>
        <w:autoSpaceDN w:val="0"/>
        <w:adjustRightInd w:val="0"/>
        <w:spacing w:line="260" w:lineRule="exact"/>
        <w:jc w:val="both"/>
        <w:rPr>
          <w:rFonts w:ascii="Times New Roman" w:hAnsi="Times New Roman"/>
          <w:noProof/>
          <w:snapToGrid w:val="0"/>
          <w:sz w:val="22"/>
          <w:szCs w:val="22"/>
          <w:lang w:val="lt-LT"/>
        </w:rPr>
      </w:pPr>
      <w:r>
        <w:rPr>
          <w:rFonts w:ascii="Times New Roman" w:hAnsi="Times New Roman"/>
          <w:noProof/>
          <w:snapToGrid w:val="0"/>
          <w:sz w:val="22"/>
          <w:szCs w:val="22"/>
          <w:lang w:val="lt-LT"/>
        </w:rPr>
        <w:t>Svarbu pranešti apie įtariamas nepageidaujamas reakcijas, pastebėtas po vaistinio preparato registracijos, nes tai leidžia nuolat stebėti vaistinio preparato naudos ir rizikos santykį.</w:t>
      </w:r>
      <w:r>
        <w:rPr>
          <w:rFonts w:ascii="Times New Roman" w:hAnsi="Times New Roman"/>
          <w:snapToGrid w:val="0"/>
          <w:sz w:val="22"/>
          <w:szCs w:val="22"/>
          <w:lang w:val="lt-LT"/>
        </w:rPr>
        <w:t xml:space="preserve"> </w:t>
      </w:r>
      <w:r>
        <w:rPr>
          <w:rFonts w:ascii="Times New Roman" w:hAnsi="Times New Roman"/>
          <w:noProof/>
          <w:snapToGrid w:val="0"/>
          <w:sz w:val="22"/>
          <w:szCs w:val="22"/>
          <w:lang w:val="lt-LT"/>
        </w:rPr>
        <w:t>Sveikatos priežiūros specialistai turi pranešti apie bet kokias įtariamas nepageidaujamas reakcijas, užpildę interneto svetainėje http://</w:t>
      </w:r>
      <w:hyperlink r:id="rId6" w:history="1">
        <w:r>
          <w:rPr>
            <w:rStyle w:val="Hipersaitas"/>
            <w:rFonts w:ascii="Times New Roman" w:eastAsia="SimSun" w:hAnsi="Times New Roman"/>
            <w:noProof/>
            <w:snapToGrid w:val="0"/>
            <w:sz w:val="22"/>
            <w:szCs w:val="22"/>
            <w:lang w:val="lt-LT"/>
          </w:rPr>
          <w:t>www.vvkt.lt</w:t>
        </w:r>
      </w:hyperlink>
      <w:r>
        <w:rPr>
          <w:rFonts w:ascii="Times New Roman" w:hAnsi="Times New Roman"/>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Pr>
            <w:rStyle w:val="Hipersaitas"/>
            <w:rFonts w:ascii="Times New Roman" w:eastAsia="SimSun" w:hAnsi="Times New Roman"/>
            <w:noProof/>
            <w:snapToGrid w:val="0"/>
            <w:sz w:val="22"/>
            <w:szCs w:val="22"/>
            <w:lang w:val="lt-LT"/>
          </w:rPr>
          <w:t>NepageidaujamaR@vvkt.lt</w:t>
        </w:r>
      </w:hyperlink>
      <w:r>
        <w:rPr>
          <w:rFonts w:ascii="Times New Roman" w:hAnsi="Times New Roman"/>
          <w:noProof/>
          <w:snapToGrid w:val="0"/>
          <w:sz w:val="22"/>
          <w:szCs w:val="22"/>
          <w:lang w:val="lt-LT"/>
        </w:rPr>
        <w:t>), per interneto svetainę (adresu http://www.vvkt.lt).</w:t>
      </w:r>
    </w:p>
    <w:p w:rsidR="00F72832" w:rsidRDefault="00F72832" w:rsidP="00F72832">
      <w:pPr>
        <w:tabs>
          <w:tab w:val="left" w:pos="567"/>
        </w:tabs>
        <w:autoSpaceDE w:val="0"/>
        <w:autoSpaceDN w:val="0"/>
        <w:adjustRightInd w:val="0"/>
        <w:spacing w:line="260" w:lineRule="exact"/>
        <w:rPr>
          <w:rFonts w:ascii="Times New Roman" w:hAnsi="Times New Roman"/>
          <w:noProof/>
          <w:snapToGrid w:val="0"/>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4.9</w:t>
      </w:r>
      <w:r>
        <w:rPr>
          <w:rFonts w:ascii="Times New Roman" w:hAnsi="Times New Roman"/>
          <w:b/>
          <w:sz w:val="22"/>
          <w:szCs w:val="22"/>
          <w:lang w:val="lt-LT"/>
        </w:rPr>
        <w:tab/>
        <w:t>Perdozavimas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Specifinės informacijos apie OSSICA 150 mg plėvele dengtų tablečių perdozavimo reiškinių gydymą nėra.</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Tačiau, remiantis duomenimis apie šios klasės junginius, geriamosios vaisto formos perdozavimas gali sukelti nepageidaujamas viršutinės virškinimo trakto dalies reakcijas (pavyzdžiui, virškinimo sutrikimą, rėmenį, ezofagitą, gastritą ar opą) arba hipokalcemiją.</w:t>
      </w:r>
      <w:r>
        <w:rPr>
          <w:rFonts w:ascii="Times New Roman" w:hAnsi="Times New Roman"/>
          <w:sz w:val="22"/>
          <w:szCs w:val="22"/>
          <w:lang w:val="lt-LT"/>
        </w:rPr>
        <w:t xml:space="preserve"> </w:t>
      </w:r>
      <w:r>
        <w:rPr>
          <w:rFonts w:ascii="Times New Roman" w:hAnsi="Times New Roman"/>
          <w:spacing w:val="-3"/>
          <w:sz w:val="22"/>
          <w:szCs w:val="22"/>
          <w:lang w:val="lt-LT"/>
        </w:rPr>
        <w:t>OSSICA 150 mg plėvele dengtoms tabletėms neutralizuoti duodama pieno ar antacidinių preparatų, bet kokios nepageidaujamos reakcijos gydomos simptomiškai.</w:t>
      </w:r>
      <w:r>
        <w:rPr>
          <w:rFonts w:ascii="Times New Roman" w:hAnsi="Times New Roman"/>
          <w:sz w:val="22"/>
          <w:szCs w:val="22"/>
          <w:lang w:val="lt-LT"/>
        </w:rPr>
        <w:t xml:space="preserve"> </w:t>
      </w:r>
      <w:r>
        <w:rPr>
          <w:rFonts w:ascii="Times New Roman" w:hAnsi="Times New Roman"/>
          <w:spacing w:val="-3"/>
          <w:sz w:val="22"/>
          <w:szCs w:val="22"/>
          <w:lang w:val="lt-LT"/>
        </w:rPr>
        <w:t>Kadangi yra stemplės sudirginimo rizika, pacientui negalima sukelti vėmimo, jis turi būti vertikalioje padėtyje.</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sz w:val="22"/>
          <w:szCs w:val="22"/>
          <w:lang w:val="lt-LT"/>
        </w:rPr>
      </w:pPr>
      <w:r>
        <w:rPr>
          <w:rFonts w:ascii="Times New Roman" w:hAnsi="Times New Roman"/>
          <w:b/>
          <w:sz w:val="22"/>
          <w:szCs w:val="22"/>
          <w:lang w:val="lt-LT"/>
        </w:rPr>
        <w:t>5.</w:t>
      </w:r>
      <w:r>
        <w:rPr>
          <w:rFonts w:ascii="Times New Roman" w:hAnsi="Times New Roman"/>
          <w:b/>
          <w:sz w:val="22"/>
          <w:szCs w:val="22"/>
          <w:lang w:val="lt-LT"/>
        </w:rPr>
        <w:tab/>
        <w:t>FARMAKOLOGINĖS SAVYBĖS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 xml:space="preserve">5.1 </w:t>
      </w:r>
      <w:r>
        <w:rPr>
          <w:rFonts w:ascii="Times New Roman" w:hAnsi="Times New Roman"/>
          <w:b/>
          <w:sz w:val="22"/>
          <w:szCs w:val="22"/>
          <w:lang w:val="lt-LT"/>
        </w:rPr>
        <w:tab/>
        <w:t>Farmakodinaminės savybės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Farmakoterapinė grupė – vaistiniai preparatai kaulų ligų gydymui, bisfosfonatai, ATC kodas – M05BA06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Veikimo mechanizmas</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Ibandrono rūgštis yra stipriai veikiantis bisfosfonatas, priklausantis azoto molekulę turinčiai bisfosfonatų grupei, kuri selektyviai veikia kaulinį audinį ir specifiškai slopina </w:t>
      </w:r>
      <w:r>
        <w:rPr>
          <w:rFonts w:ascii="Times New Roman" w:hAnsi="Times New Roman"/>
          <w:spacing w:val="-3"/>
          <w:sz w:val="22"/>
          <w:szCs w:val="22"/>
          <w:lang w:val="lt-LT"/>
        </w:rPr>
        <w:lastRenderedPageBreak/>
        <w:t>osteoklastų aktyvumą, tiesiogiai neveikdama kaulų formavimosi.</w:t>
      </w:r>
      <w:r>
        <w:rPr>
          <w:rFonts w:ascii="Times New Roman" w:hAnsi="Times New Roman"/>
          <w:sz w:val="22"/>
          <w:szCs w:val="22"/>
          <w:lang w:val="lt-LT"/>
        </w:rPr>
        <w:t xml:space="preserve"> </w:t>
      </w:r>
      <w:r>
        <w:rPr>
          <w:rFonts w:ascii="Times New Roman" w:hAnsi="Times New Roman"/>
          <w:spacing w:val="-3"/>
          <w:sz w:val="22"/>
          <w:szCs w:val="22"/>
          <w:lang w:val="lt-LT"/>
        </w:rPr>
        <w:t>Ji neslopina osteoklastų proliferacijos.</w:t>
      </w:r>
      <w:r>
        <w:rPr>
          <w:rFonts w:ascii="Times New Roman" w:hAnsi="Times New Roman"/>
          <w:sz w:val="22"/>
          <w:szCs w:val="22"/>
          <w:lang w:val="lt-LT"/>
        </w:rPr>
        <w:t xml:space="preserve"> </w:t>
      </w:r>
      <w:r>
        <w:rPr>
          <w:rFonts w:ascii="Times New Roman" w:hAnsi="Times New Roman"/>
          <w:spacing w:val="-3"/>
          <w:sz w:val="22"/>
          <w:szCs w:val="22"/>
          <w:lang w:val="lt-LT"/>
        </w:rPr>
        <w:t xml:space="preserve">Ibandrono rūgštis laipsniškai didina kaulų masę ir mažina lūžių dažnį, slopindama moterų po menopauzės suaktyvėjusią </w:t>
      </w:r>
      <w:r>
        <w:rPr>
          <w:rFonts w:ascii="Times New Roman" w:hAnsi="Times New Roman"/>
          <w:spacing w:val="-4"/>
          <w:sz w:val="22"/>
          <w:szCs w:val="22"/>
          <w:lang w:val="lt-LT"/>
        </w:rPr>
        <w:t>kaulų apykaitą iki to lygio, kuris buvo prieš menopauzę.</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Farmakodinaminis poveikis</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Farmakodinaminis ibandrono rūgšties poveikis yra kaulų rezorbcijos slopinimas.</w:t>
      </w:r>
      <w:r>
        <w:rPr>
          <w:rFonts w:ascii="Times New Roman" w:hAnsi="Times New Roman"/>
          <w:sz w:val="22"/>
          <w:szCs w:val="22"/>
          <w:lang w:val="lt-LT"/>
        </w:rPr>
        <w:t xml:space="preserve"> </w:t>
      </w:r>
      <w:r>
        <w:rPr>
          <w:rFonts w:ascii="Times New Roman" w:hAnsi="Times New Roman"/>
          <w:i/>
          <w:spacing w:val="-3"/>
          <w:sz w:val="22"/>
          <w:szCs w:val="22"/>
          <w:lang w:val="lt-LT"/>
        </w:rPr>
        <w:t>In vivo</w:t>
      </w:r>
      <w:r>
        <w:rPr>
          <w:rFonts w:ascii="Times New Roman" w:hAnsi="Times New Roman"/>
          <w:spacing w:val="-3"/>
          <w:sz w:val="22"/>
          <w:szCs w:val="22"/>
          <w:lang w:val="lt-LT"/>
        </w:rPr>
        <w:t xml:space="preserve"> ibandrono rūgštis stabdo eksperimentiškai sužadintą kaulų destrukciją, sukeltą slopinamos lytinių liaukų funkcijos, retinoidų, navikų ar navikų ekstraktų.</w:t>
      </w:r>
      <w:r>
        <w:rPr>
          <w:rFonts w:ascii="Times New Roman" w:hAnsi="Times New Roman"/>
          <w:sz w:val="22"/>
          <w:szCs w:val="22"/>
          <w:lang w:val="lt-LT"/>
        </w:rPr>
        <w:t xml:space="preserve"> </w:t>
      </w:r>
      <w:r>
        <w:rPr>
          <w:rFonts w:ascii="Times New Roman" w:hAnsi="Times New Roman"/>
          <w:spacing w:val="-3"/>
          <w:sz w:val="22"/>
          <w:szCs w:val="22"/>
          <w:lang w:val="lt-LT"/>
        </w:rPr>
        <w:t xml:space="preserve">Jaunoms (greitai augančioms) žiurkėms taip pat slopinama endogeninė kaulų rezorbcija, dėl to padidėja normali kaulų masė lyginant su gyvūnų, </w:t>
      </w:r>
      <w:r>
        <w:rPr>
          <w:rFonts w:ascii="Times New Roman" w:hAnsi="Times New Roman"/>
          <w:spacing w:val="-4"/>
          <w:sz w:val="22"/>
          <w:szCs w:val="22"/>
          <w:lang w:val="lt-LT"/>
        </w:rPr>
        <w:t>negavusių preparato.</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Gyvūnų modeliai patvirtino, kad ibandrono rūgštis stipriai slopina osteoklastų aktyvumą.</w:t>
      </w:r>
      <w:r>
        <w:rPr>
          <w:rFonts w:ascii="Times New Roman" w:hAnsi="Times New Roman"/>
          <w:sz w:val="22"/>
          <w:szCs w:val="22"/>
          <w:lang w:val="lt-LT"/>
        </w:rPr>
        <w:t xml:space="preserve"> </w:t>
      </w:r>
      <w:r>
        <w:rPr>
          <w:rFonts w:ascii="Times New Roman" w:hAnsi="Times New Roman"/>
          <w:spacing w:val="-3"/>
          <w:sz w:val="22"/>
          <w:szCs w:val="22"/>
          <w:lang w:val="lt-LT"/>
        </w:rPr>
        <w:t xml:space="preserve">Jokie duomenys nerodo, kad augančioms žiurkėms būtų slopinama mineralizacija, net kai vartojama </w:t>
      </w:r>
      <w:r>
        <w:rPr>
          <w:rFonts w:ascii="Times New Roman" w:hAnsi="Times New Roman"/>
          <w:spacing w:val="-4"/>
          <w:sz w:val="22"/>
          <w:szCs w:val="22"/>
          <w:lang w:val="lt-LT"/>
        </w:rPr>
        <w:t>5000 kartų didesnė negu osteoporozei gydyti dozė.</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Ilgai kasdien ar su pertraukomis (ilgi intervalai tarp dozių) preparatą gavusioms žiurkėms, šunims ir beždžionėms formavosi naujas, normalus kaulinis audinys, kurio mechaninis atsparumas išliko toks pat arba padidėjo net skiriant toksines dozes.</w:t>
      </w:r>
      <w:r>
        <w:rPr>
          <w:rFonts w:ascii="Times New Roman" w:hAnsi="Times New Roman"/>
          <w:sz w:val="22"/>
          <w:szCs w:val="22"/>
          <w:lang w:val="lt-LT"/>
        </w:rPr>
        <w:t xml:space="preserve"> </w:t>
      </w:r>
      <w:r>
        <w:rPr>
          <w:rFonts w:ascii="Times New Roman" w:hAnsi="Times New Roman"/>
          <w:spacing w:val="-3"/>
          <w:sz w:val="22"/>
          <w:szCs w:val="22"/>
          <w:lang w:val="lt-LT"/>
        </w:rPr>
        <w:t>Žmonėms ibandrono rūgšties efektyvumas, jos vartojant kasdien ar su pertraukomis, kai intervalas tarp dozių yra 9–10 savaičių, įrodytas klinikiniame tyrime (MF 4411), šio tyrimo metu buvo patvirtintas ibandrono rūgšties efektyvumas lūžių prevencijai.</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Modeliuose su gyvūnais ibandrono rūgštis sukėlė biocheminių rodiklių pokyčius, kurie rodė nuo dozės priklausomą kaulų rezorbcijos slopinimą, iš jų ir sumažėjusį biocheminių kolageno irimo žymenų (pavyzdžiui, deoksipiridinolino ir kryžminių I tipo kolageno N-telopeptidų (NTX) kiekį šlapime.</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I fazės bioekvivalentiškumo tyrime dalyvavo 72 moterys po menopauzės, kurios gėrė po 150 mg kas 28 dienas, iš viso keturias dozes, CTX slopinimas serume po pirmosios dozės nustatytas po 24 valandų (vidutinis slopinimas 28 %), vidutinis didžiausias slopinimas (69 %) nustatytas po 6 dienų.</w:t>
      </w:r>
      <w:r>
        <w:rPr>
          <w:rFonts w:ascii="Times New Roman" w:hAnsi="Times New Roman"/>
          <w:sz w:val="22"/>
          <w:szCs w:val="22"/>
          <w:lang w:val="lt-LT"/>
        </w:rPr>
        <w:t xml:space="preserve"> </w:t>
      </w:r>
      <w:r>
        <w:rPr>
          <w:rFonts w:ascii="Times New Roman" w:hAnsi="Times New Roman"/>
          <w:spacing w:val="-3"/>
          <w:sz w:val="22"/>
          <w:szCs w:val="22"/>
          <w:lang w:val="lt-LT"/>
        </w:rPr>
        <w:t>Praėjus 6 dienoms po trečiosios ir ketvirtosios dozių, didžiausio slopinimo mediana buvo 74 %, praėjus 28 dienoms po ketvirtosios dozės slopinimo mediana sumažėjo iki 56 %.</w:t>
      </w:r>
      <w:r>
        <w:rPr>
          <w:rFonts w:ascii="Times New Roman" w:hAnsi="Times New Roman"/>
          <w:sz w:val="22"/>
          <w:szCs w:val="22"/>
          <w:lang w:val="lt-LT"/>
        </w:rPr>
        <w:t xml:space="preserve"> </w:t>
      </w:r>
      <w:r>
        <w:rPr>
          <w:rFonts w:ascii="Times New Roman" w:hAnsi="Times New Roman"/>
          <w:spacing w:val="-3"/>
          <w:sz w:val="22"/>
          <w:szCs w:val="22"/>
          <w:lang w:val="lt-LT"/>
        </w:rPr>
        <w:t xml:space="preserve">Jeigu vėliau vaisto </w:t>
      </w:r>
      <w:r>
        <w:rPr>
          <w:rFonts w:ascii="Times New Roman" w:hAnsi="Times New Roman"/>
          <w:spacing w:val="-4"/>
          <w:sz w:val="22"/>
          <w:szCs w:val="22"/>
          <w:lang w:val="lt-LT"/>
        </w:rPr>
        <w:t>nebevartojama, biocheminiai kaulų rezorbcijos žymenys nebeslopinami.</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 xml:space="preserve">Klinikinis veiksmingumas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Norint nustatyti, kurioms moterims kaulų lūžių dėl osteoporozės rizika yra padidėjusi, reikia atsižvelgti į nepriklausomus rizikos veiksnius, pvz., mažą KMT, amžių, anksčiau buvusius kaulų lūžius, kaulų lūžius šeimos anamnezėje, greitą kaulų apykaitą ir mažą kūno masės indeksą.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b/>
          <w:sz w:val="22"/>
          <w:szCs w:val="22"/>
          <w:u w:val="single"/>
          <w:lang w:val="lt-LT"/>
        </w:rPr>
      </w:pPr>
    </w:p>
    <w:p w:rsidR="00F72832" w:rsidRDefault="00F72832" w:rsidP="00F72832">
      <w:pPr>
        <w:tabs>
          <w:tab w:val="left" w:pos="567"/>
        </w:tabs>
        <w:rPr>
          <w:rFonts w:ascii="Times New Roman" w:hAnsi="Times New Roman"/>
          <w:i/>
          <w:sz w:val="22"/>
          <w:szCs w:val="22"/>
          <w:lang w:val="lt-LT"/>
        </w:rPr>
      </w:pPr>
      <w:r>
        <w:rPr>
          <w:rFonts w:ascii="Times New Roman" w:hAnsi="Times New Roman"/>
          <w:i/>
          <w:sz w:val="22"/>
          <w:szCs w:val="22"/>
          <w:u w:val="single"/>
          <w:lang w:val="lt-LT"/>
        </w:rPr>
        <w:t>Ibandrono rūgštis 150 mg kartą per mėnesį</w:t>
      </w:r>
    </w:p>
    <w:p w:rsidR="00F72832" w:rsidRDefault="00F72832" w:rsidP="00F72832">
      <w:pPr>
        <w:tabs>
          <w:tab w:val="left" w:pos="567"/>
        </w:tabs>
        <w:rPr>
          <w:rFonts w:ascii="Times New Roman" w:hAnsi="Times New Roman"/>
          <w:i/>
          <w:sz w:val="22"/>
          <w:szCs w:val="22"/>
          <w:lang w:val="lt-LT"/>
        </w:rPr>
      </w:pPr>
      <w:r>
        <w:rPr>
          <w:rFonts w:ascii="Times New Roman" w:hAnsi="Times New Roman"/>
          <w:i/>
          <w:spacing w:val="-4"/>
          <w:sz w:val="22"/>
          <w:szCs w:val="22"/>
          <w:lang w:val="lt-LT"/>
        </w:rPr>
        <w:t>Kaulų mineralų tankis (KMT)</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Dvejų metų trukmės dvigubai aklo daugiacentrio BM 16549 tyrimo, kuriame dalyvavo osteoporoze sergančios moterys po menopauzės (pradinis juosmeninių slankstelių KMT T lygmuo mažesnis nei -2,5 SD), metu įrodyta, kad ibandrono rūgštis 150 mg kartą per mėnesį yra bent jau tokia pat efektyvi didinant KMT kaip ibandrono rūgštis 2,5 mg per parą.</w:t>
      </w:r>
      <w:r>
        <w:rPr>
          <w:rFonts w:ascii="Times New Roman" w:hAnsi="Times New Roman"/>
          <w:sz w:val="22"/>
          <w:szCs w:val="22"/>
          <w:lang w:val="lt-LT"/>
        </w:rPr>
        <w:t xml:space="preserve"> </w:t>
      </w:r>
      <w:r>
        <w:rPr>
          <w:rFonts w:ascii="Times New Roman" w:hAnsi="Times New Roman"/>
          <w:spacing w:val="-3"/>
          <w:sz w:val="22"/>
          <w:szCs w:val="22"/>
          <w:lang w:val="lt-LT"/>
        </w:rPr>
        <w:t xml:space="preserve">Tai parodė ir pirminė analizė po vienerių metų, ir </w:t>
      </w:r>
      <w:r>
        <w:rPr>
          <w:rFonts w:ascii="Times New Roman" w:hAnsi="Times New Roman"/>
          <w:spacing w:val="-4"/>
          <w:sz w:val="22"/>
          <w:szCs w:val="22"/>
          <w:lang w:val="lt-LT"/>
        </w:rPr>
        <w:t>patvirtinančioji tikslų analizė po dvejų metų (2lentelė).</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2 lentelė: Vidutinis santykinis juosmeninių slankstelių, bendro klubo kaulų, šlaunikaulio kaklelio ir gumburo srities KMT pokytis lyginant su pradine verte po vienerių (pirminė analizė) ir po dvejų </w:t>
      </w:r>
      <w:r>
        <w:rPr>
          <w:rFonts w:ascii="Times New Roman" w:hAnsi="Times New Roman"/>
          <w:spacing w:val="-4"/>
          <w:sz w:val="22"/>
          <w:szCs w:val="22"/>
          <w:lang w:val="lt-LT"/>
        </w:rPr>
        <w:t>(protokolo populiacijos) BM 16549 tyrimo metų.</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00"/>
        <w:gridCol w:w="1620"/>
        <w:gridCol w:w="1440"/>
        <w:gridCol w:w="1662"/>
        <w:gridCol w:w="1578"/>
      </w:tblGrid>
      <w:tr w:rsidR="00F72832" w:rsidTr="00F72832">
        <w:tc>
          <w:tcPr>
            <w:tcW w:w="270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Vienų metų BM 16549 tyrimo duomenys</w:t>
            </w:r>
          </w:p>
        </w:tc>
        <w:tc>
          <w:tcPr>
            <w:tcW w:w="3240" w:type="dxa"/>
            <w:gridSpan w:val="2"/>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Dvejų metų BM 16549 tyrimo duomenys</w:t>
            </w:r>
          </w:p>
        </w:tc>
      </w:tr>
      <w:tr w:rsidR="00F72832" w:rsidTr="00F72832">
        <w:tc>
          <w:tcPr>
            <w:tcW w:w="27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3"/>
                <w:position w:val="-4"/>
                <w:sz w:val="22"/>
                <w:szCs w:val="22"/>
                <w:lang w:val="lt-LT" w:eastAsia="lt-LT"/>
              </w:rPr>
              <w:t xml:space="preserve">Vidutinis santykinis pokytis lyginant su pradine verte </w:t>
            </w:r>
            <w:r>
              <w:rPr>
                <w:rFonts w:ascii="Times New Roman" w:hAnsi="Times New Roman"/>
                <w:sz w:val="22"/>
                <w:szCs w:val="22"/>
                <w:lang w:val="lt-LT" w:eastAsia="lt-LT"/>
              </w:rPr>
              <w:t xml:space="preserve">% [95 % PI] </w:t>
            </w:r>
          </w:p>
        </w:tc>
        <w:tc>
          <w:tcPr>
            <w:tcW w:w="162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rPr>
                <w:color w:val="auto"/>
                <w:sz w:val="22"/>
                <w:szCs w:val="22"/>
                <w:lang w:val="lt-LT" w:eastAsia="lt-LT"/>
              </w:rPr>
            </w:pPr>
            <w:r>
              <w:rPr>
                <w:color w:val="auto"/>
                <w:sz w:val="22"/>
                <w:szCs w:val="22"/>
                <w:lang w:val="lt-LT" w:eastAsia="lt-LT"/>
              </w:rPr>
              <w:t xml:space="preserve">Ibandrono rūgštis 2,5 mg kartą per parą </w:t>
            </w:r>
          </w:p>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(N=318) </w:t>
            </w:r>
          </w:p>
        </w:tc>
        <w:tc>
          <w:tcPr>
            <w:tcW w:w="144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rPr>
                <w:color w:val="auto"/>
                <w:sz w:val="22"/>
                <w:szCs w:val="22"/>
                <w:lang w:val="lt-LT" w:eastAsia="lt-LT"/>
              </w:rPr>
            </w:pPr>
            <w:r>
              <w:rPr>
                <w:color w:val="auto"/>
                <w:sz w:val="22"/>
                <w:szCs w:val="22"/>
                <w:lang w:val="lt-LT" w:eastAsia="lt-LT"/>
              </w:rPr>
              <w:t xml:space="preserve">Ibandrono rūgštis 150 mg kartą per mėnesį </w:t>
            </w:r>
          </w:p>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(N=320) </w:t>
            </w:r>
          </w:p>
        </w:tc>
        <w:tc>
          <w:tcPr>
            <w:tcW w:w="1662" w:type="dxa"/>
            <w:tcBorders>
              <w:top w:val="single" w:sz="4" w:space="0" w:color="auto"/>
              <w:left w:val="single" w:sz="4" w:space="0" w:color="auto"/>
              <w:bottom w:val="single" w:sz="4" w:space="0" w:color="auto"/>
              <w:right w:val="single" w:sz="4" w:space="0" w:color="auto"/>
            </w:tcBorders>
            <w:hideMark/>
          </w:tcPr>
          <w:p w:rsidR="00F72832" w:rsidRDefault="00F72832">
            <w:pPr>
              <w:pStyle w:val="Debesliotekstas"/>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Ibandrono rūgštis 2,5 mg kartą per parą </w:t>
            </w:r>
          </w:p>
          <w:p w:rsidR="00F72832" w:rsidRDefault="00F72832">
            <w:pPr>
              <w:pStyle w:val="Debesliotekstas"/>
              <w:tabs>
                <w:tab w:val="left" w:pos="567"/>
              </w:tabs>
              <w:autoSpaceDE w:val="0"/>
              <w:autoSpaceDN w:val="0"/>
              <w:adjustRightInd w:val="0"/>
              <w:rPr>
                <w:rFonts w:ascii="Times New Roman" w:eastAsia="Calibri" w:hAnsi="Times New Roman"/>
                <w:sz w:val="22"/>
                <w:szCs w:val="22"/>
                <w:lang w:val="lt-LT" w:eastAsia="lt-LT"/>
              </w:rPr>
            </w:pPr>
            <w:r>
              <w:rPr>
                <w:rFonts w:ascii="Times New Roman" w:hAnsi="Times New Roman"/>
                <w:sz w:val="22"/>
                <w:szCs w:val="22"/>
                <w:lang w:val="lt-LT" w:eastAsia="lt-LT"/>
              </w:rPr>
              <w:t xml:space="preserve">(N=294) </w:t>
            </w:r>
          </w:p>
        </w:tc>
        <w:tc>
          <w:tcPr>
            <w:tcW w:w="1578" w:type="dxa"/>
            <w:tcBorders>
              <w:top w:val="single" w:sz="4" w:space="0" w:color="auto"/>
              <w:left w:val="single" w:sz="4" w:space="0" w:color="auto"/>
              <w:bottom w:val="single" w:sz="4" w:space="0" w:color="auto"/>
              <w:right w:val="single" w:sz="4" w:space="0" w:color="auto"/>
            </w:tcBorders>
            <w:hideMark/>
          </w:tcPr>
          <w:p w:rsidR="00F72832" w:rsidRDefault="00F72832">
            <w:pPr>
              <w:pStyle w:val="Debesliotekstas"/>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Ibandrono rūgštis 150 mg kartą per mėnesį </w:t>
            </w:r>
          </w:p>
          <w:p w:rsidR="00F72832" w:rsidRDefault="00F72832">
            <w:pPr>
              <w:pStyle w:val="Debesliotekstas"/>
              <w:tabs>
                <w:tab w:val="left" w:pos="567"/>
              </w:tabs>
              <w:autoSpaceDE w:val="0"/>
              <w:autoSpaceDN w:val="0"/>
              <w:adjustRightInd w:val="0"/>
              <w:rPr>
                <w:rFonts w:ascii="Times New Roman" w:eastAsia="Calibri" w:hAnsi="Times New Roman"/>
                <w:sz w:val="22"/>
                <w:szCs w:val="22"/>
                <w:lang w:val="lt-LT" w:eastAsia="lt-LT"/>
              </w:rPr>
            </w:pPr>
            <w:r>
              <w:rPr>
                <w:rFonts w:ascii="Times New Roman" w:hAnsi="Times New Roman"/>
                <w:sz w:val="22"/>
                <w:szCs w:val="22"/>
                <w:lang w:val="lt-LT" w:eastAsia="lt-LT"/>
              </w:rPr>
              <w:t xml:space="preserve">(N=291) </w:t>
            </w:r>
          </w:p>
        </w:tc>
      </w:tr>
      <w:tr w:rsidR="00F72832" w:rsidTr="00F72832">
        <w:tc>
          <w:tcPr>
            <w:tcW w:w="27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cs="Times New Roman"/>
                <w:sz w:val="22"/>
                <w:szCs w:val="22"/>
                <w:lang w:val="lt-LT" w:eastAsia="lt-LT"/>
              </w:rPr>
            </w:pPr>
            <w:r>
              <w:rPr>
                <w:rFonts w:ascii="Times New Roman" w:hAnsi="Times New Roman"/>
                <w:spacing w:val="-3"/>
                <w:sz w:val="22"/>
                <w:szCs w:val="22"/>
                <w:lang w:val="lt-LT" w:eastAsia="lt-LT"/>
              </w:rPr>
              <w:t>Juosmeninių slankstelių L2-L4 KMT</w:t>
            </w:r>
          </w:p>
        </w:tc>
        <w:tc>
          <w:tcPr>
            <w:tcW w:w="16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3,9 [3,4, 4,3] </w:t>
            </w:r>
          </w:p>
        </w:tc>
        <w:tc>
          <w:tcPr>
            <w:tcW w:w="144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4,9 [4,4, 5,3] </w:t>
            </w:r>
          </w:p>
        </w:tc>
        <w:tc>
          <w:tcPr>
            <w:tcW w:w="1662"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5 [4,4, 5,5] </w:t>
            </w:r>
          </w:p>
        </w:tc>
        <w:tc>
          <w:tcPr>
            <w:tcW w:w="1578"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6,6 [6, 7,1] </w:t>
            </w:r>
          </w:p>
        </w:tc>
      </w:tr>
      <w:tr w:rsidR="00F72832" w:rsidTr="00F72832">
        <w:tc>
          <w:tcPr>
            <w:tcW w:w="27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3"/>
                <w:sz w:val="22"/>
                <w:szCs w:val="22"/>
                <w:lang w:val="lt-LT" w:eastAsia="lt-LT"/>
              </w:rPr>
              <w:t>Bendras klubo kaulų KMT</w:t>
            </w:r>
          </w:p>
        </w:tc>
        <w:tc>
          <w:tcPr>
            <w:tcW w:w="16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2 [1,7, 2,3] </w:t>
            </w:r>
          </w:p>
        </w:tc>
        <w:tc>
          <w:tcPr>
            <w:tcW w:w="144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3,1 [2,8, 3,4] </w:t>
            </w:r>
          </w:p>
        </w:tc>
        <w:tc>
          <w:tcPr>
            <w:tcW w:w="1662"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2,5 [2,1, 2,9] </w:t>
            </w:r>
          </w:p>
        </w:tc>
        <w:tc>
          <w:tcPr>
            <w:tcW w:w="1578"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4,2 [3,8, 4,5] </w:t>
            </w:r>
          </w:p>
        </w:tc>
      </w:tr>
      <w:tr w:rsidR="00F72832" w:rsidTr="00F72832">
        <w:tc>
          <w:tcPr>
            <w:tcW w:w="27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3"/>
                <w:sz w:val="22"/>
                <w:szCs w:val="22"/>
                <w:lang w:val="lt-LT" w:eastAsia="lt-LT"/>
              </w:rPr>
              <w:t>Šlaunikaulio kaklelio KMT</w:t>
            </w:r>
          </w:p>
        </w:tc>
        <w:tc>
          <w:tcPr>
            <w:tcW w:w="16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1,7 [1,3, 2,1] </w:t>
            </w:r>
          </w:p>
        </w:tc>
        <w:tc>
          <w:tcPr>
            <w:tcW w:w="144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2,2 [1,9, 2,6] </w:t>
            </w:r>
          </w:p>
        </w:tc>
        <w:tc>
          <w:tcPr>
            <w:tcW w:w="1662"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1,9 [1l4, 2l4] </w:t>
            </w:r>
          </w:p>
        </w:tc>
        <w:tc>
          <w:tcPr>
            <w:tcW w:w="1578"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3,1 [2,7, 3,6] </w:t>
            </w:r>
          </w:p>
        </w:tc>
      </w:tr>
      <w:tr w:rsidR="00F72832" w:rsidTr="00F72832">
        <w:tc>
          <w:tcPr>
            <w:tcW w:w="27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3"/>
                <w:sz w:val="22"/>
                <w:szCs w:val="22"/>
                <w:lang w:val="lt-LT" w:eastAsia="lt-LT"/>
              </w:rPr>
              <w:t>Gumburo srities KMT</w:t>
            </w:r>
          </w:p>
        </w:tc>
        <w:tc>
          <w:tcPr>
            <w:tcW w:w="16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3,2 [2,8, 3,7] </w:t>
            </w:r>
          </w:p>
        </w:tc>
        <w:tc>
          <w:tcPr>
            <w:tcW w:w="144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4,6 [4,2, 5,1] </w:t>
            </w:r>
          </w:p>
        </w:tc>
        <w:tc>
          <w:tcPr>
            <w:tcW w:w="1662"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4l0 [3l5, 4l5] </w:t>
            </w:r>
          </w:p>
        </w:tc>
        <w:tc>
          <w:tcPr>
            <w:tcW w:w="1578"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6,2 [5,7, 6,7] </w:t>
            </w:r>
          </w:p>
        </w:tc>
      </w:tr>
    </w:tbl>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Dar daugiau, perspektyvinės analizės metu įrodyta, kad ibandrono rūgšties 150 mg kartą per mėnesį poveikis didinant juosmeninių slankstelių KMT buvo stipresnis už ibandrono rūgšties 2,5 mg kartą per parą po </w:t>
      </w:r>
      <w:r>
        <w:rPr>
          <w:rFonts w:ascii="Times New Roman" w:hAnsi="Times New Roman"/>
          <w:spacing w:val="-4"/>
          <w:sz w:val="22"/>
          <w:szCs w:val="22"/>
          <w:lang w:val="lt-LT"/>
        </w:rPr>
        <w:t>vienerių metų (p=0,002) ir po dvejų metų, p &lt; 0,001.</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Po vienerių metų (pirminė analizė) juosmeninių slankstelių KMT padidėjo ar nepakito lyginant su pradine reikšme (gautas KMT atsakas) 91,3 % (p=0,005) pacienčių, vartojusių ibandrono rūgštį 150 mg kartą per mėnesį, lyginant su 84 % pacienčių, vartojusių ibandrono rūgšties 2,5 mg kartą per parą.</w:t>
      </w:r>
      <w:r>
        <w:rPr>
          <w:rFonts w:ascii="Times New Roman" w:hAnsi="Times New Roman"/>
          <w:sz w:val="22"/>
          <w:szCs w:val="22"/>
          <w:lang w:val="lt-LT"/>
        </w:rPr>
        <w:t xml:space="preserve"> </w:t>
      </w:r>
      <w:r>
        <w:rPr>
          <w:rFonts w:ascii="Times New Roman" w:hAnsi="Times New Roman"/>
          <w:spacing w:val="-3"/>
          <w:sz w:val="22"/>
          <w:szCs w:val="22"/>
          <w:lang w:val="lt-LT"/>
        </w:rPr>
        <w:t xml:space="preserve">Po dvejų metų atsakas gautas atitinkamai 93,5 % (p=0,004) ir 86,4 % pacienčių vartojusių ibandrono rūgštį 150 mg </w:t>
      </w:r>
      <w:r>
        <w:rPr>
          <w:rFonts w:ascii="Times New Roman" w:hAnsi="Times New Roman"/>
          <w:spacing w:val="-4"/>
          <w:sz w:val="22"/>
          <w:szCs w:val="22"/>
          <w:lang w:val="lt-LT"/>
        </w:rPr>
        <w:t>kartą per mėnesį ar ibandrono rūgšties 2,5 mg kartą per parą.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Po vienerių metų bendras klubo kaulų KMT padidėjo ar nepakito lyginant su pradine reikšme 90 % pacienčių, vartojusių ibandrono rūgštį 150 mg kartą per mėnesį, lyginant su 76,7 % pacienčių, vartojusių ibandrono rūgšties 2,5 mg kartą per parą (p &lt;0,001).</w:t>
      </w:r>
      <w:r>
        <w:rPr>
          <w:rFonts w:ascii="Times New Roman" w:hAnsi="Times New Roman"/>
          <w:sz w:val="22"/>
          <w:szCs w:val="22"/>
          <w:lang w:val="lt-LT"/>
        </w:rPr>
        <w:t xml:space="preserve"> </w:t>
      </w:r>
      <w:r>
        <w:rPr>
          <w:rFonts w:ascii="Times New Roman" w:hAnsi="Times New Roman"/>
          <w:spacing w:val="-3"/>
          <w:sz w:val="22"/>
          <w:szCs w:val="22"/>
          <w:lang w:val="lt-LT"/>
        </w:rPr>
        <w:t>Po dvejų metų bendras klubo kaulų KMT padidėjo ar nepakito lyginant su pradine reikšme 93,4 %  (p &lt; 0,001) pacienčių, vartojusių ibandrono rūgštį 150 mg kartą per mėnesį ir 78 4 % pacienčių, vartojusių ibandrono rūgšties 2,5 mg per parą.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Taikant griežtesnius kriterijus bei atsižvelgiant ir į juosmeninių slankstelių, ir į bendrą klubo kaulų KMT, per vienerius metus atsakas buvo gautas 83,9 % pacienčių, vartojusių ibandrono rūgštį 150 mg kartą per mėnesį, lyginant su 65,7 % pacienčių, vartojusių ibandrono rūgšties 2,5 mg kartą per parą (p &lt;0,001).</w:t>
      </w:r>
      <w:r>
        <w:rPr>
          <w:rFonts w:ascii="Times New Roman" w:hAnsi="Times New Roman"/>
          <w:sz w:val="22"/>
          <w:szCs w:val="22"/>
          <w:lang w:val="lt-LT"/>
        </w:rPr>
        <w:t xml:space="preserve"> </w:t>
      </w:r>
      <w:r>
        <w:rPr>
          <w:rFonts w:ascii="Times New Roman" w:hAnsi="Times New Roman"/>
          <w:spacing w:val="-3"/>
          <w:sz w:val="22"/>
          <w:szCs w:val="22"/>
          <w:lang w:val="lt-LT"/>
        </w:rPr>
        <w:t xml:space="preserve">Po dvejų metų šį kriterijų atitiko 87,1 % ir 70,5 % pacienčių atitinkamai 150 mg kartą per mėnesį ir </w:t>
      </w:r>
      <w:r>
        <w:rPr>
          <w:rFonts w:ascii="Times New Roman" w:hAnsi="Times New Roman"/>
          <w:spacing w:val="-4"/>
          <w:sz w:val="22"/>
          <w:szCs w:val="22"/>
          <w:lang w:val="lt-LT"/>
        </w:rPr>
        <w:t>2,5 mg kartą per parą grupėse (p &lt;0,001).</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u w:val="single"/>
          <w:lang w:val="lt-LT"/>
        </w:rPr>
      </w:pPr>
    </w:p>
    <w:p w:rsidR="00F72832" w:rsidRDefault="00F72832" w:rsidP="00F72832">
      <w:pPr>
        <w:tabs>
          <w:tab w:val="left" w:pos="567"/>
        </w:tabs>
        <w:rPr>
          <w:rFonts w:ascii="Times New Roman" w:hAnsi="Times New Roman"/>
          <w:i/>
          <w:sz w:val="22"/>
          <w:szCs w:val="22"/>
          <w:lang w:val="lt-LT"/>
        </w:rPr>
      </w:pPr>
      <w:r>
        <w:rPr>
          <w:rFonts w:ascii="Times New Roman" w:hAnsi="Times New Roman"/>
          <w:i/>
          <w:spacing w:val="-4"/>
          <w:sz w:val="22"/>
          <w:szCs w:val="22"/>
          <w:lang w:val="lt-LT"/>
        </w:rPr>
        <w:t>Biocheminiai kaulų apykaitos žymenys</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Kliniškai reikšmingas CTX kiekio sumažėjimas serume stebėtas kaskart, kai jis buvo tiriamas, t.y. 3-ą, 6-ą, 12-ą ir 24-ą mėnesį. Po vienerių metų (pirminė analizė) vidutinis reliatyvus pokytis lyginant su pradine reikšme buvo –76 % tais atvejais, kai buvo vartojama ibandrono rūgšties 150 mg kartą per mėnesį, ir –67 %, kai buvo vartojama ibandrono rūgšties 2,5 mg per parą.</w:t>
      </w:r>
      <w:r>
        <w:rPr>
          <w:rFonts w:ascii="Times New Roman" w:hAnsi="Times New Roman"/>
          <w:sz w:val="22"/>
          <w:szCs w:val="22"/>
          <w:lang w:val="lt-LT"/>
        </w:rPr>
        <w:t xml:space="preserve"> </w:t>
      </w:r>
      <w:r>
        <w:rPr>
          <w:rFonts w:ascii="Times New Roman" w:hAnsi="Times New Roman"/>
          <w:spacing w:val="-3"/>
          <w:sz w:val="22"/>
          <w:szCs w:val="22"/>
          <w:lang w:val="lt-LT"/>
        </w:rPr>
        <w:t>Po dvejų metų vidutinis reliatyvus pokytis buvo –68 % ir -62 % atitinkamai 150 mg kartą per mėnesį ir 2,5 mg kartą per parą grupėse.</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Po vienerių metų buvo manoma, kad atsakas (registruotas, kai pradinė reikšmė sumažėjo ≥50 % ) buvo gautas 83,5 % ibandrono rūgšties 150 mg per mėnesį vartojusių pacienčių, lyginant su 73,9 % ibandrono rūgšties 2,5 mg per parą vartojusiųjų (p=0,006).</w:t>
      </w:r>
      <w:r>
        <w:rPr>
          <w:rFonts w:ascii="Times New Roman" w:hAnsi="Times New Roman"/>
          <w:sz w:val="22"/>
          <w:szCs w:val="22"/>
          <w:lang w:val="lt-LT"/>
        </w:rPr>
        <w:t xml:space="preserve"> </w:t>
      </w:r>
      <w:r>
        <w:rPr>
          <w:rFonts w:ascii="Times New Roman" w:hAnsi="Times New Roman"/>
          <w:spacing w:val="-3"/>
          <w:sz w:val="22"/>
          <w:szCs w:val="22"/>
          <w:lang w:val="lt-LT"/>
        </w:rPr>
        <w:t>Po dvejų metų atsakas buvo gautas 78,7 % ir 65,6 % pacienčių, vartojusių atitinkamai 150 mg kartą per mėnesį ir 2,5 mg kartą per parą (p=0,002).</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lastRenderedPageBreak/>
        <w:t>Remiantis BM 16549 tyrimo duomenimis, manoma, kad ibandrono rūgšties 150 mg dozė kartą per mėnesį yra bent jau tokia pat efektyvi lūžių profilaktikai kaip ir ibandrono rūgšties 2,5 mg per parą.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u w:val="single"/>
          <w:lang w:val="lt-LT"/>
        </w:rPr>
        <w:t>Ibandrono rūgštis 2,5 mg kartą per parą</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Pradinio trejų metų trukmės randomizuoto, dvigubai aklo, placebu kontroliuojamo kaulų lūžių tyrimo (MF 4411) metu statistiškai patikimai ir kliniškai reikšmingai sumažėjo naujų radiografinių morfometrinių ir simptominių stuburo slankstelių lūžių dažnis (3 lentelė). Šio tyrimo metu ibandrono rūgšties buvo geriama po 2,5 mg per parą kasdien arba po 20 mg su pertraukomis (tiriamasis dozavimas).</w:t>
      </w:r>
      <w:r>
        <w:rPr>
          <w:rFonts w:ascii="Times New Roman" w:hAnsi="Times New Roman"/>
          <w:sz w:val="22"/>
          <w:szCs w:val="22"/>
          <w:lang w:val="lt-LT"/>
        </w:rPr>
        <w:t xml:space="preserve"> </w:t>
      </w:r>
      <w:r>
        <w:rPr>
          <w:rFonts w:ascii="Times New Roman" w:hAnsi="Times New Roman"/>
          <w:spacing w:val="-3"/>
          <w:sz w:val="22"/>
          <w:szCs w:val="22"/>
          <w:lang w:val="lt-LT"/>
        </w:rPr>
        <w:t>Ibandrono rūgšties pacientės gėrė ryte nevalgiusios, išgėrusios vaistą nevalgė ir negėrė dar 60 minučių (badavimo laikas išgėrus dozę).</w:t>
      </w:r>
      <w:r>
        <w:rPr>
          <w:rFonts w:ascii="Times New Roman" w:hAnsi="Times New Roman"/>
          <w:sz w:val="22"/>
          <w:szCs w:val="22"/>
          <w:lang w:val="lt-LT"/>
        </w:rPr>
        <w:t xml:space="preserve"> </w:t>
      </w:r>
      <w:r>
        <w:rPr>
          <w:rFonts w:ascii="Times New Roman" w:hAnsi="Times New Roman"/>
          <w:spacing w:val="-3"/>
          <w:sz w:val="22"/>
          <w:szCs w:val="22"/>
          <w:lang w:val="lt-LT"/>
        </w:rPr>
        <w:t>Tyrime dalyvavo moterys nuo 55 metų iki 80 metų, kurioms menopauzė prasidėjo mažiausiai prieš 5 metus, kurių juosmeninių slankstelių KMT bent viename slankstelyje [L1-L4] buvo nuo 2 iki 5 SN mažesnis už vidurkį prieš menopauzę (T lygmuo) ir kurioms buvo nuo vieno iki keturių slankstelinių lūžių.</w:t>
      </w:r>
      <w:r>
        <w:rPr>
          <w:rFonts w:ascii="Times New Roman" w:hAnsi="Times New Roman"/>
          <w:sz w:val="22"/>
          <w:szCs w:val="22"/>
          <w:lang w:val="lt-LT"/>
        </w:rPr>
        <w:t xml:space="preserve"> </w:t>
      </w:r>
      <w:r>
        <w:rPr>
          <w:rFonts w:ascii="Times New Roman" w:hAnsi="Times New Roman"/>
          <w:spacing w:val="-3"/>
          <w:sz w:val="22"/>
          <w:szCs w:val="22"/>
          <w:lang w:val="lt-LT"/>
        </w:rPr>
        <w:t>Visos pacientės gavo po 500 mg kalcio ir 400 TV vitamino D per parą.</w:t>
      </w:r>
      <w:r>
        <w:rPr>
          <w:rFonts w:ascii="Times New Roman" w:hAnsi="Times New Roman"/>
          <w:sz w:val="22"/>
          <w:szCs w:val="22"/>
          <w:lang w:val="lt-LT"/>
        </w:rPr>
        <w:t xml:space="preserve"> </w:t>
      </w:r>
      <w:r>
        <w:rPr>
          <w:rFonts w:ascii="Times New Roman" w:hAnsi="Times New Roman"/>
          <w:spacing w:val="-3"/>
          <w:sz w:val="22"/>
          <w:szCs w:val="22"/>
          <w:lang w:val="lt-LT"/>
        </w:rPr>
        <w:t>Efektyvumas buvo vertinamas tiriant 2928 pacientes.</w:t>
      </w:r>
      <w:r>
        <w:rPr>
          <w:rFonts w:ascii="Times New Roman" w:hAnsi="Times New Roman"/>
          <w:sz w:val="22"/>
          <w:szCs w:val="22"/>
          <w:lang w:val="lt-LT"/>
        </w:rPr>
        <w:t xml:space="preserve"> </w:t>
      </w:r>
      <w:r>
        <w:rPr>
          <w:rFonts w:ascii="Times New Roman" w:hAnsi="Times New Roman"/>
          <w:spacing w:val="-3"/>
          <w:sz w:val="22"/>
          <w:szCs w:val="22"/>
          <w:lang w:val="lt-LT"/>
        </w:rPr>
        <w:t>Vartojant po 2,5 mg ibandrono rūgšties kasdien, statistiškai patikimai ir kliniškai reikšmingai sumažėjo naujų slankstelių lūžių dažnis.</w:t>
      </w:r>
      <w:r>
        <w:rPr>
          <w:rFonts w:ascii="Times New Roman" w:hAnsi="Times New Roman"/>
          <w:sz w:val="22"/>
          <w:szCs w:val="22"/>
          <w:lang w:val="lt-LT"/>
        </w:rPr>
        <w:t xml:space="preserve"> </w:t>
      </w:r>
      <w:r>
        <w:rPr>
          <w:rFonts w:ascii="Times New Roman" w:hAnsi="Times New Roman"/>
          <w:spacing w:val="-3"/>
          <w:sz w:val="22"/>
          <w:szCs w:val="22"/>
          <w:lang w:val="lt-LT"/>
        </w:rPr>
        <w:t>Per trejus tyrimo metus gydant 62 % (p=0,0001 ) sumažėjo naujų radiografinių slankstelinių lūžių dažnis.</w:t>
      </w:r>
      <w:r>
        <w:rPr>
          <w:rFonts w:ascii="Times New Roman" w:hAnsi="Times New Roman"/>
          <w:sz w:val="22"/>
          <w:szCs w:val="22"/>
          <w:lang w:val="lt-LT"/>
        </w:rPr>
        <w:t xml:space="preserve"> </w:t>
      </w:r>
      <w:r>
        <w:rPr>
          <w:rFonts w:ascii="Times New Roman" w:hAnsi="Times New Roman"/>
          <w:spacing w:val="-3"/>
          <w:sz w:val="22"/>
          <w:szCs w:val="22"/>
          <w:lang w:val="lt-LT"/>
        </w:rPr>
        <w:t>Po 2 metų reliatyvi rizika sumažėjo 61 % (p=0,0006). Po vienerių gydymo metų statistiškai patikimo skirtumo nebuvo nustatyta (p=0,056). Lūžių dažnį mažinantis poveikis nekito per visą tyrimą, ilgainiui nesumažėjo ir efektyvumas.</w:t>
      </w:r>
      <w:r>
        <w:rPr>
          <w:rFonts w:ascii="Times New Roman" w:hAnsi="Times New Roman"/>
          <w:i/>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Simptominių stuburo slankstelių lūžių dažnis taip pat sumažėjo reikšmingai – 49 % (p=0,011). Stiprų vaisto poveikį slankstelių lūžiams atspindi ir statistiškai patikimai sulėtėjęs ūgio mažėjimas </w:t>
      </w:r>
      <w:r>
        <w:rPr>
          <w:rFonts w:ascii="Times New Roman" w:hAnsi="Times New Roman"/>
          <w:spacing w:val="-4"/>
          <w:sz w:val="22"/>
          <w:szCs w:val="22"/>
          <w:lang w:val="lt-LT"/>
        </w:rPr>
        <w:t>pacientėms lyginant su placebo gavusiųjų grupe (p&lt;0,0001).</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3 lentelė: Trejų metų trukmės lūžių tyrimo MF 4411 rezultatai (%, 95 % PI)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520"/>
        <w:gridCol w:w="2880"/>
      </w:tblGrid>
      <w:tr w:rsidR="00F72832" w:rsidTr="00F72832">
        <w:tc>
          <w:tcPr>
            <w:tcW w:w="360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rPr>
                <w:color w:val="auto"/>
                <w:sz w:val="22"/>
                <w:szCs w:val="22"/>
                <w:lang w:val="lt-LT" w:eastAsia="lt-LT"/>
              </w:rPr>
            </w:pPr>
            <w:r>
              <w:rPr>
                <w:color w:val="auto"/>
                <w:sz w:val="22"/>
                <w:szCs w:val="22"/>
                <w:lang w:val="lt-LT" w:eastAsia="lt-LT"/>
              </w:rPr>
              <w:t xml:space="preserve">Placebas </w:t>
            </w:r>
          </w:p>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(N=974)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pStyle w:val="Debesliotekstas"/>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Ibandrono rūgštis 2,5 mg kartą per parą </w:t>
            </w:r>
          </w:p>
          <w:p w:rsidR="00F72832" w:rsidRDefault="00F72832">
            <w:pPr>
              <w:pStyle w:val="Debesliotekstas"/>
              <w:tabs>
                <w:tab w:val="left" w:pos="567"/>
              </w:tabs>
              <w:autoSpaceDE w:val="0"/>
              <w:autoSpaceDN w:val="0"/>
              <w:adjustRightInd w:val="0"/>
              <w:rPr>
                <w:rFonts w:ascii="Times New Roman" w:eastAsia="Calibri" w:hAnsi="Times New Roman"/>
                <w:sz w:val="22"/>
                <w:szCs w:val="22"/>
                <w:lang w:val="lt-LT" w:eastAsia="lt-LT"/>
              </w:rPr>
            </w:pPr>
            <w:r>
              <w:rPr>
                <w:rFonts w:ascii="Times New Roman" w:hAnsi="Times New Roman"/>
                <w:sz w:val="22"/>
                <w:szCs w:val="22"/>
                <w:lang w:val="lt-LT" w:eastAsia="lt-LT"/>
              </w:rPr>
              <w:t>(N=977)</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cs="Times New Roman"/>
                <w:sz w:val="22"/>
                <w:szCs w:val="22"/>
                <w:lang w:val="lt-LT" w:eastAsia="lt-LT"/>
              </w:rPr>
            </w:pPr>
            <w:r>
              <w:rPr>
                <w:rFonts w:ascii="Times New Roman" w:hAnsi="Times New Roman"/>
                <w:spacing w:val="-3"/>
                <w:sz w:val="22"/>
                <w:szCs w:val="22"/>
                <w:lang w:val="lt-LT" w:eastAsia="lt-LT"/>
              </w:rPr>
              <w:t>Sumažėjusi santykinė rizika</w:t>
            </w:r>
            <w:r>
              <w:rPr>
                <w:rFonts w:ascii="Times New Roman" w:hAnsi="Times New Roman"/>
                <w:sz w:val="22"/>
                <w:szCs w:val="22"/>
                <w:lang w:val="lt-LT" w:eastAsia="lt-LT"/>
              </w:rPr>
              <w:t xml:space="preserve"> </w:t>
            </w:r>
          </w:p>
          <w:p w:rsidR="00F72832" w:rsidRDefault="00F72832">
            <w:pPr>
              <w:tabs>
                <w:tab w:val="left" w:pos="567"/>
              </w:tabs>
              <w:rPr>
                <w:rFonts w:ascii="Times New Roman" w:hAnsi="Times New Roman"/>
                <w:sz w:val="22"/>
                <w:szCs w:val="22"/>
                <w:lang w:val="lt-LT" w:eastAsia="lt-LT"/>
              </w:rPr>
            </w:pPr>
            <w:r>
              <w:rPr>
                <w:rFonts w:ascii="Times New Roman" w:hAnsi="Times New Roman"/>
                <w:spacing w:val="-3"/>
                <w:sz w:val="22"/>
                <w:szCs w:val="22"/>
                <w:lang w:val="lt-LT" w:eastAsia="lt-LT"/>
              </w:rPr>
              <w:t>Nauji morfometriniai slankstelių lūžiai</w:t>
            </w:r>
          </w:p>
        </w:tc>
        <w:tc>
          <w:tcPr>
            <w:tcW w:w="252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62 % (40,9, 75,1)</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Naujų morfometrinių slankstelių lūžių dažnis</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9,56 % (7,5, 11,7)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4,68 % (3,2, 6,2) </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3"/>
                <w:sz w:val="22"/>
                <w:szCs w:val="22"/>
                <w:lang w:val="lt-LT" w:eastAsia="lt-LT"/>
              </w:rPr>
              <w:t>Sumažėjusi simptominių slankstelių lūžių santykinė rizika</w:t>
            </w:r>
          </w:p>
        </w:tc>
        <w:tc>
          <w:tcPr>
            <w:tcW w:w="252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49 % (14,03, 69,49)</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3"/>
                <w:sz w:val="22"/>
                <w:szCs w:val="22"/>
                <w:lang w:val="lt-LT" w:eastAsia="lt-LT"/>
              </w:rPr>
              <w:t>Simptominių slankstelinių lūžių dažnis</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5,33 % (3,73, 6,92)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2,75 % (1,61, 3,89) </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1"/>
                <w:sz w:val="22"/>
                <w:szCs w:val="22"/>
                <w:lang w:val="lt-LT" w:eastAsia="lt-LT"/>
              </w:rPr>
              <w:t xml:space="preserve">KMT – vidutinis juosmeninių </w:t>
            </w:r>
            <w:r>
              <w:rPr>
                <w:rFonts w:ascii="Times New Roman" w:hAnsi="Times New Roman"/>
                <w:spacing w:val="-3"/>
                <w:sz w:val="22"/>
                <w:szCs w:val="22"/>
                <w:lang w:val="lt-LT" w:eastAsia="lt-LT"/>
              </w:rPr>
              <w:t>slankstelių pokytis per 3 metus lyginant su pradine verte</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1,26 % (0,8, 1,7)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6,54 % (6,1, 7) </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pacing w:val="-2"/>
                <w:sz w:val="22"/>
                <w:szCs w:val="22"/>
                <w:lang w:val="lt-LT" w:eastAsia="lt-LT"/>
              </w:rPr>
              <w:t xml:space="preserve">KMT – vidutinis bendras klubo kaulų </w:t>
            </w:r>
            <w:r>
              <w:rPr>
                <w:rFonts w:ascii="Times New Roman" w:hAnsi="Times New Roman"/>
                <w:spacing w:val="-3"/>
                <w:sz w:val="22"/>
                <w:szCs w:val="22"/>
                <w:lang w:val="lt-LT" w:eastAsia="lt-LT"/>
              </w:rPr>
              <w:t>pokytis per 3 metus lyginant su pradine verte</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rPr>
                <w:color w:val="auto"/>
                <w:sz w:val="22"/>
                <w:szCs w:val="22"/>
                <w:lang w:val="lt-LT" w:eastAsia="lt-LT"/>
              </w:rPr>
            </w:pPr>
            <w:r>
              <w:rPr>
                <w:color w:val="auto"/>
                <w:sz w:val="22"/>
                <w:szCs w:val="22"/>
                <w:lang w:val="lt-LT" w:eastAsia="lt-LT"/>
              </w:rPr>
              <w:t xml:space="preserve">-0,69 % (-1, -0,4)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rPr>
                <w:color w:val="auto"/>
                <w:sz w:val="22"/>
                <w:szCs w:val="22"/>
                <w:lang w:val="lt-LT" w:eastAsia="lt-LT"/>
              </w:rPr>
            </w:pPr>
            <w:r>
              <w:rPr>
                <w:color w:val="auto"/>
                <w:sz w:val="22"/>
                <w:szCs w:val="22"/>
                <w:lang w:val="lt-LT" w:eastAsia="lt-LT"/>
              </w:rPr>
              <w:t xml:space="preserve">3,36 % (3, 3,7) </w:t>
            </w:r>
          </w:p>
        </w:tc>
      </w:tr>
    </w:tbl>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Toliau gydymo ibandrono rūgštimi efektas buvo vertinamas analizuojant pogrupį pacienčių, kurių pradinis juosmeninių slankstelių KMT T lygmuo buvo mažesnis kaip -2,5. Slankstelių lūžių rizikos </w:t>
      </w:r>
      <w:r>
        <w:rPr>
          <w:rFonts w:ascii="Times New Roman" w:hAnsi="Times New Roman"/>
          <w:spacing w:val="-4"/>
          <w:sz w:val="22"/>
          <w:szCs w:val="22"/>
          <w:lang w:val="lt-LT"/>
        </w:rPr>
        <w:t>sumažėjimas buvo panašus į visos grupės vertę.</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4 lentelė: Trejų metų trukmės lūžių tyrimo MF 4411 rezultatai (%, 95 % PI) pacienčių, kurių </w:t>
      </w:r>
      <w:r>
        <w:rPr>
          <w:rFonts w:ascii="Times New Roman" w:hAnsi="Times New Roman"/>
          <w:spacing w:val="-4"/>
          <w:sz w:val="22"/>
          <w:szCs w:val="22"/>
          <w:lang w:val="lt-LT"/>
        </w:rPr>
        <w:t>pradinis juosmeninių slankstelių KMT T lygmuo buvo mažesnis kaip –2,5</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520"/>
        <w:gridCol w:w="2880"/>
      </w:tblGrid>
      <w:tr w:rsidR="00F72832" w:rsidTr="00F72832">
        <w:tc>
          <w:tcPr>
            <w:tcW w:w="360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jc w:val="both"/>
              <w:rPr>
                <w:color w:val="auto"/>
                <w:sz w:val="22"/>
                <w:szCs w:val="22"/>
                <w:lang w:val="lt-LT" w:eastAsia="lt-LT"/>
              </w:rPr>
            </w:pPr>
            <w:r>
              <w:rPr>
                <w:color w:val="auto"/>
                <w:sz w:val="22"/>
                <w:szCs w:val="22"/>
                <w:lang w:val="lt-LT" w:eastAsia="lt-LT"/>
              </w:rPr>
              <w:t xml:space="preserve">Placebas </w:t>
            </w:r>
          </w:p>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(N=587)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pStyle w:val="Debesliotekstas"/>
              <w:tabs>
                <w:tab w:val="left" w:pos="567"/>
              </w:tabs>
              <w:jc w:val="both"/>
              <w:rPr>
                <w:rFonts w:ascii="Times New Roman" w:hAnsi="Times New Roman"/>
                <w:sz w:val="22"/>
                <w:szCs w:val="22"/>
                <w:lang w:val="lt-LT" w:eastAsia="lt-LT"/>
              </w:rPr>
            </w:pPr>
            <w:r>
              <w:rPr>
                <w:rFonts w:ascii="Times New Roman" w:hAnsi="Times New Roman"/>
                <w:sz w:val="22"/>
                <w:szCs w:val="22"/>
                <w:lang w:val="lt-LT" w:eastAsia="lt-LT"/>
              </w:rPr>
              <w:t xml:space="preserve">Ibandrono rūgštis 2,5 mg kartą per parą </w:t>
            </w:r>
          </w:p>
          <w:p w:rsidR="00F72832" w:rsidRDefault="00F72832">
            <w:pPr>
              <w:tabs>
                <w:tab w:val="left" w:pos="567"/>
              </w:tabs>
              <w:rPr>
                <w:rFonts w:ascii="Times New Roman" w:hAnsi="Times New Roman" w:cs="Times New Roman"/>
                <w:sz w:val="22"/>
                <w:szCs w:val="22"/>
                <w:lang w:val="lt-LT" w:eastAsia="lt-LT"/>
              </w:rPr>
            </w:pPr>
            <w:r>
              <w:rPr>
                <w:rFonts w:ascii="Times New Roman" w:hAnsi="Times New Roman"/>
                <w:sz w:val="22"/>
                <w:szCs w:val="22"/>
                <w:lang w:val="lt-LT" w:eastAsia="lt-LT"/>
              </w:rPr>
              <w:lastRenderedPageBreak/>
              <w:t>(N=575)</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pStyle w:val="Default"/>
              <w:tabs>
                <w:tab w:val="left" w:pos="567"/>
              </w:tabs>
              <w:rPr>
                <w:color w:val="auto"/>
                <w:sz w:val="22"/>
                <w:szCs w:val="22"/>
                <w:lang w:val="lt-LT" w:eastAsia="lt-LT"/>
              </w:rPr>
            </w:pPr>
            <w:r>
              <w:rPr>
                <w:color w:val="auto"/>
                <w:sz w:val="22"/>
                <w:szCs w:val="22"/>
                <w:lang w:val="lt-LT" w:eastAsia="lt-LT"/>
              </w:rPr>
              <w:lastRenderedPageBreak/>
              <w:t xml:space="preserve">Sumažėjusi santykinė rizika </w:t>
            </w:r>
          </w:p>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Nauji morfometriniai slankstelių lūžiai</w:t>
            </w:r>
          </w:p>
        </w:tc>
        <w:tc>
          <w:tcPr>
            <w:tcW w:w="252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59 % (34,5, 74,3)</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Naujų morfometrinių slankstelių lūžių dažnis</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12,54 % (9,53, 15,55)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5,36 % (3,31, 7,41) </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Sumažėjusi simptominių slankstelių lūžių santykinė rizika</w:t>
            </w:r>
          </w:p>
        </w:tc>
        <w:tc>
          <w:tcPr>
            <w:tcW w:w="2520" w:type="dxa"/>
            <w:tcBorders>
              <w:top w:val="single" w:sz="4" w:space="0" w:color="auto"/>
              <w:left w:val="single" w:sz="4" w:space="0" w:color="auto"/>
              <w:bottom w:val="single" w:sz="4" w:space="0" w:color="auto"/>
              <w:right w:val="single" w:sz="4" w:space="0" w:color="auto"/>
            </w:tcBorders>
          </w:tcPr>
          <w:p w:rsidR="00F72832" w:rsidRDefault="00F72832">
            <w:pPr>
              <w:tabs>
                <w:tab w:val="left" w:pos="567"/>
              </w:tabs>
              <w:rPr>
                <w:rFonts w:ascii="Times New Roman" w:hAnsi="Times New Roman"/>
                <w:sz w:val="22"/>
                <w:szCs w:val="22"/>
                <w:lang w:val="lt-LT" w:eastAsia="lt-LT"/>
              </w:rPr>
            </w:pP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50 % (9.49, 71.91)</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Simptominių slankstelinių lūžių dažnis</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6,97 % (4,67, 9,27)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3,57 % (1,89, 5,24) </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KMT – vidutinis juosmeninių slankstelių pokytis per 3 metus lyginant su pradine verte</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1,13 % (0,6, 1,7)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7,01 % (6,5, 7,6) </w:t>
            </w:r>
          </w:p>
        </w:tc>
      </w:tr>
      <w:tr w:rsidR="00F72832" w:rsidTr="00F72832">
        <w:tc>
          <w:tcPr>
            <w:tcW w:w="360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KMT – vidutinis bendras klubo kaulų pokytis per 3 metus lyginant su pradine verte</w:t>
            </w:r>
          </w:p>
        </w:tc>
        <w:tc>
          <w:tcPr>
            <w:tcW w:w="252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-0,70 % (-1,1, -0,2) </w:t>
            </w:r>
          </w:p>
        </w:tc>
        <w:tc>
          <w:tcPr>
            <w:tcW w:w="2880" w:type="dxa"/>
            <w:tcBorders>
              <w:top w:val="single" w:sz="4" w:space="0" w:color="auto"/>
              <w:left w:val="single" w:sz="4" w:space="0" w:color="auto"/>
              <w:bottom w:val="single" w:sz="4" w:space="0" w:color="auto"/>
              <w:right w:val="single" w:sz="4" w:space="0" w:color="auto"/>
            </w:tcBorders>
            <w:hideMark/>
          </w:tcPr>
          <w:p w:rsidR="00F72832" w:rsidRDefault="00F72832">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3,59 % (3,1, 4,1) </w:t>
            </w:r>
          </w:p>
        </w:tc>
      </w:tr>
    </w:tbl>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Visoje MF4411 tyrimo pacientų populiacijoje neslankstelinių lūžių dažnis nesumažėjo, tačiau kasdien vartojamas ibandronatas buvo efektyvus didelės rizikos subpopuliacijoje (šlaunikaulio kaklelio KMT T lygmuo mažesnis kaip -3), kurioje neslankstelinių lūžių rizika sumažėjo 69 %.</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Kasdien vartojant 2,5 mg vaisto, nuolat didėjo stuburo slankstelių ir kitų kaulų KMT.</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Per trejus metus juosmeninių slankstelių KMT padidėjo 5,3 % lyginant su placebo gavusiųjų grupe ir 6,5 % lyginant su pradine verte.</w:t>
      </w:r>
      <w:r>
        <w:rPr>
          <w:rFonts w:ascii="Times New Roman" w:hAnsi="Times New Roman"/>
          <w:sz w:val="22"/>
          <w:szCs w:val="22"/>
          <w:lang w:val="lt-LT"/>
        </w:rPr>
        <w:t xml:space="preserve"> </w:t>
      </w:r>
      <w:r>
        <w:rPr>
          <w:rFonts w:ascii="Times New Roman" w:hAnsi="Times New Roman"/>
          <w:spacing w:val="-3"/>
          <w:sz w:val="22"/>
          <w:szCs w:val="22"/>
          <w:lang w:val="lt-LT"/>
        </w:rPr>
        <w:t>Klubo kaulų pokytis, lyginant su pradine verte, buvo toks: 2,8 % –šlaunikaulio kaklelio, 3,4 % – bendras klubo kaulų ir 5,5 % – gumburo srities.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Kaip tikėtasi, biocheminiai kaulų apykaitos žymenys (pavyzdžiui, šlapimo CTX ir serumo osteokalcinas) rodė sulėtėjusią apykaitą iki lygio, buvusio prieš menopauzę, ir stipriausias veikimas </w:t>
      </w:r>
      <w:r>
        <w:rPr>
          <w:rFonts w:ascii="Times New Roman" w:hAnsi="Times New Roman"/>
          <w:spacing w:val="-4"/>
          <w:sz w:val="22"/>
          <w:szCs w:val="22"/>
          <w:lang w:val="lt-LT"/>
        </w:rPr>
        <w:t>pasiektas per 3–6 mėnesius.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Kliniškai reikšmingai 50 % sumažėjo biocheminių kaulų rezorbcijos žymenų praėjus vienam mėnesiui </w:t>
      </w:r>
      <w:r>
        <w:rPr>
          <w:rFonts w:ascii="Times New Roman" w:hAnsi="Times New Roman"/>
          <w:spacing w:val="-4"/>
          <w:sz w:val="22"/>
          <w:szCs w:val="22"/>
          <w:lang w:val="lt-LT"/>
        </w:rPr>
        <w:t>nuo gydymo ibandrono rūgštimi 2,5 mg pradžios.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Nutraukus gydymą, kaulų reabsorbcija vėl padidėjo iki prieš gydymą buvusio patologiškai </w:t>
      </w:r>
      <w:r>
        <w:rPr>
          <w:rFonts w:ascii="Times New Roman" w:hAnsi="Times New Roman"/>
          <w:spacing w:val="-4"/>
          <w:sz w:val="22"/>
          <w:szCs w:val="22"/>
          <w:lang w:val="lt-LT"/>
        </w:rPr>
        <w:t>suintensyvėjusio lygio, susijusio su osteoporoze po menopauzės.</w:t>
      </w:r>
      <w:r>
        <w:rPr>
          <w:rFonts w:ascii="Times New Roman" w:hAnsi="Times New Roman"/>
          <w:sz w:val="22"/>
          <w:szCs w:val="22"/>
          <w:lang w:val="lt-LT"/>
        </w:rPr>
        <w:t xml:space="preserve"> </w:t>
      </w:r>
    </w:p>
    <w:p w:rsidR="00F72832" w:rsidRDefault="00F72832" w:rsidP="00F72832">
      <w:pPr>
        <w:numPr>
          <w:ilvl w:val="12"/>
          <w:numId w:val="0"/>
        </w:numPr>
        <w:tabs>
          <w:tab w:val="left" w:pos="567"/>
        </w:tabs>
        <w:ind w:right="-2"/>
        <w:rPr>
          <w:rFonts w:ascii="Times New Roman" w:hAnsi="Times New Roman"/>
          <w:sz w:val="22"/>
          <w:szCs w:val="22"/>
          <w:lang w:val="lt-LT"/>
        </w:rPr>
      </w:pPr>
      <w:r>
        <w:rPr>
          <w:rFonts w:ascii="Times New Roman" w:hAnsi="Times New Roman"/>
          <w:spacing w:val="-3"/>
          <w:sz w:val="22"/>
          <w:szCs w:val="22"/>
          <w:lang w:val="lt-LT"/>
        </w:rPr>
        <w:t>Atliekant histologinius moterų po menopauzės, kurios buvo gydytos dvejus ir trejus metus, kaulų biopsijų tyrimus, nustatyta, kad kaulinis audinys yra normalus, be mineralizacijos defektų.</w:t>
      </w:r>
    </w:p>
    <w:p w:rsidR="00F72832" w:rsidRDefault="00F72832" w:rsidP="00F72832">
      <w:pPr>
        <w:numPr>
          <w:ilvl w:val="12"/>
          <w:numId w:val="0"/>
        </w:numPr>
        <w:tabs>
          <w:tab w:val="left" w:pos="567"/>
        </w:tabs>
        <w:ind w:right="-2"/>
        <w:rPr>
          <w:rFonts w:ascii="Times New Roman" w:hAnsi="Times New Roman"/>
          <w:sz w:val="22"/>
          <w:szCs w:val="22"/>
          <w:lang w:val="lt-LT"/>
        </w:rPr>
      </w:pPr>
    </w:p>
    <w:p w:rsidR="00F72832" w:rsidRDefault="00F72832" w:rsidP="00F72832">
      <w:pPr>
        <w:numPr>
          <w:ilvl w:val="12"/>
          <w:numId w:val="0"/>
        </w:numPr>
        <w:tabs>
          <w:tab w:val="left" w:pos="567"/>
        </w:tabs>
        <w:ind w:right="-2"/>
        <w:rPr>
          <w:rFonts w:ascii="Times New Roman" w:hAnsi="Times New Roman"/>
          <w:sz w:val="22"/>
          <w:szCs w:val="22"/>
          <w:u w:val="single"/>
          <w:lang w:val="lt-LT"/>
        </w:rPr>
      </w:pPr>
      <w:r>
        <w:rPr>
          <w:rFonts w:ascii="Times New Roman" w:hAnsi="Times New Roman"/>
          <w:sz w:val="22"/>
          <w:szCs w:val="22"/>
          <w:u w:val="single"/>
          <w:lang w:val="lt-LT"/>
        </w:rPr>
        <w:t>Vaikų populiacija (žr. 4.2 ir 5.2 skyrius)</w:t>
      </w: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z w:val="22"/>
          <w:szCs w:val="22"/>
          <w:lang w:val="lt-LT"/>
        </w:rPr>
        <w:t>Ibandrono rūgšties vartojimo saugumas ir veiksmingumas vaikams netirtas, duomenų nėra.</w:t>
      </w:r>
    </w:p>
    <w:p w:rsidR="00F72832" w:rsidRDefault="00F72832" w:rsidP="00F72832">
      <w:pPr>
        <w:numPr>
          <w:ilvl w:val="12"/>
          <w:numId w:val="0"/>
        </w:numPr>
        <w:tabs>
          <w:tab w:val="left" w:pos="567"/>
        </w:tabs>
        <w:ind w:right="-2"/>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5.2</w:t>
      </w:r>
      <w:r>
        <w:rPr>
          <w:rFonts w:ascii="Times New Roman" w:hAnsi="Times New Roman"/>
          <w:b/>
          <w:sz w:val="22"/>
          <w:szCs w:val="22"/>
          <w:lang w:val="lt-LT"/>
        </w:rPr>
        <w:tab/>
        <w:t>Farmakokinetinės savybės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Įvairių gyvūnų ir žmonių tyrimų duomenimis, pirminis farmakologinis ibandrono rūgšties poveikis kauliniam audiniui nėra tiesiogiai proporcingas koncentracijai plazmoje.</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 xml:space="preserve">Absorbcija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Išgerta ibandrono rūgštis greitai absorbuojama viršutinėje virškinimo trakto dalyje ir koncentracija plazmoje didėja proporcingai dozei, jei ši yra iki 50 mg, jei dozė didesnė – koncentracija padidėja labiau, nei būtų proporcinga dozei.</w:t>
      </w:r>
      <w:r>
        <w:rPr>
          <w:rFonts w:ascii="Times New Roman" w:hAnsi="Times New Roman"/>
          <w:sz w:val="22"/>
          <w:szCs w:val="22"/>
          <w:lang w:val="lt-LT"/>
        </w:rPr>
        <w:t xml:space="preserve"> </w:t>
      </w:r>
      <w:r>
        <w:rPr>
          <w:rFonts w:ascii="Times New Roman" w:hAnsi="Times New Roman"/>
          <w:spacing w:val="-3"/>
          <w:sz w:val="22"/>
          <w:szCs w:val="22"/>
          <w:lang w:val="lt-LT"/>
        </w:rPr>
        <w:t xml:space="preserve">Didžiausia koncentracija </w:t>
      </w:r>
      <w:r>
        <w:rPr>
          <w:rFonts w:ascii="Times New Roman" w:hAnsi="Times New Roman"/>
          <w:spacing w:val="-3"/>
          <w:sz w:val="22"/>
          <w:szCs w:val="22"/>
          <w:lang w:val="lt-LT"/>
        </w:rPr>
        <w:lastRenderedPageBreak/>
        <w:t>plazmoje pasiekiama per 0,5–2 valandas (vidutiniškai per 1 valandą), jei pacientas nevalgęs, absoliutus biologinis prieinamumas yra maždaug 0,6 %.</w:t>
      </w:r>
      <w:r>
        <w:rPr>
          <w:rFonts w:ascii="Times New Roman" w:hAnsi="Times New Roman"/>
          <w:sz w:val="22"/>
          <w:szCs w:val="22"/>
          <w:lang w:val="lt-LT"/>
        </w:rPr>
        <w:t xml:space="preserve"> </w:t>
      </w:r>
      <w:r>
        <w:rPr>
          <w:rFonts w:ascii="Times New Roman" w:hAnsi="Times New Roman"/>
          <w:spacing w:val="-3"/>
          <w:sz w:val="22"/>
          <w:szCs w:val="22"/>
          <w:lang w:val="lt-LT"/>
        </w:rPr>
        <w:t>Absorbcija blogėja, jei vaisto vartojama kartu su maistu ar gėrimais (išskyrus vandenį).</w:t>
      </w:r>
      <w:r>
        <w:rPr>
          <w:rFonts w:ascii="Times New Roman" w:hAnsi="Times New Roman"/>
          <w:sz w:val="22"/>
          <w:szCs w:val="22"/>
          <w:lang w:val="lt-LT"/>
        </w:rPr>
        <w:t xml:space="preserve"> </w:t>
      </w:r>
      <w:r>
        <w:rPr>
          <w:rFonts w:ascii="Times New Roman" w:hAnsi="Times New Roman"/>
          <w:spacing w:val="-3"/>
          <w:sz w:val="22"/>
          <w:szCs w:val="22"/>
          <w:lang w:val="lt-LT"/>
        </w:rPr>
        <w:t>Ibandrono rūgšties, išgertos standartinių pusryčių metu, biologinis prieinamumas sumažėja beveik 90 % lyginant su biologiniu prieinamumu, kai vaisto vartojama nevalgius.</w:t>
      </w:r>
      <w:r>
        <w:rPr>
          <w:rFonts w:ascii="Times New Roman" w:hAnsi="Times New Roman"/>
          <w:sz w:val="22"/>
          <w:szCs w:val="22"/>
          <w:lang w:val="lt-LT"/>
        </w:rPr>
        <w:t xml:space="preserve"> </w:t>
      </w:r>
      <w:r>
        <w:rPr>
          <w:rFonts w:ascii="Times New Roman" w:hAnsi="Times New Roman"/>
          <w:spacing w:val="-3"/>
          <w:sz w:val="22"/>
          <w:szCs w:val="22"/>
          <w:lang w:val="lt-LT"/>
        </w:rPr>
        <w:t>Biologinis prieinamumas reikšmingai nesumažėja, jei ibandrono rūgšties geriama 60 minučių prieš pirmąjį dienos valgį.</w:t>
      </w:r>
      <w:r>
        <w:rPr>
          <w:rFonts w:ascii="Times New Roman" w:hAnsi="Times New Roman"/>
          <w:sz w:val="22"/>
          <w:szCs w:val="22"/>
          <w:lang w:val="lt-LT"/>
        </w:rPr>
        <w:t xml:space="preserve"> </w:t>
      </w:r>
      <w:r>
        <w:rPr>
          <w:rFonts w:ascii="Times New Roman" w:hAnsi="Times New Roman"/>
          <w:spacing w:val="-3"/>
          <w:sz w:val="22"/>
          <w:szCs w:val="22"/>
          <w:lang w:val="lt-LT"/>
        </w:rPr>
        <w:t xml:space="preserve">Biologinis prieinamumas mažėja, KMT didėja lėčiau, jeigu valgoma ar geriama nepraėjus </w:t>
      </w:r>
      <w:r>
        <w:rPr>
          <w:rFonts w:ascii="Times New Roman" w:hAnsi="Times New Roman"/>
          <w:spacing w:val="-4"/>
          <w:sz w:val="22"/>
          <w:szCs w:val="22"/>
          <w:lang w:val="lt-LT"/>
        </w:rPr>
        <w:t>60 minučių po ibandrono rūgšties vartojimo.</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Pasiskirstymas</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Iš pradžių patekusi į sisteminę kraujotaką ibandrono rūgštis greitai jungiasi su kauliniu audiniu arba išsiskiria su šlapimu.</w:t>
      </w:r>
      <w:r>
        <w:rPr>
          <w:rFonts w:ascii="Times New Roman" w:hAnsi="Times New Roman"/>
          <w:sz w:val="22"/>
          <w:szCs w:val="22"/>
          <w:lang w:val="lt-LT"/>
        </w:rPr>
        <w:t xml:space="preserve"> </w:t>
      </w:r>
      <w:r>
        <w:rPr>
          <w:rFonts w:ascii="Times New Roman" w:hAnsi="Times New Roman"/>
          <w:spacing w:val="-3"/>
          <w:sz w:val="22"/>
          <w:szCs w:val="22"/>
          <w:lang w:val="lt-LT"/>
        </w:rPr>
        <w:t>Žmonėms nustatytas galutinis pasiskirstymo tūris yra mažiausiai 90 l, o į kaulus patenka 40–50% cirkuliuojančios vaisto dozės.</w:t>
      </w:r>
      <w:r>
        <w:rPr>
          <w:rFonts w:ascii="Times New Roman" w:hAnsi="Times New Roman"/>
          <w:sz w:val="22"/>
          <w:szCs w:val="22"/>
          <w:lang w:val="lt-LT"/>
        </w:rPr>
        <w:t xml:space="preserve"> </w:t>
      </w:r>
      <w:r>
        <w:rPr>
          <w:rFonts w:ascii="Times New Roman" w:hAnsi="Times New Roman"/>
          <w:spacing w:val="-3"/>
          <w:sz w:val="22"/>
          <w:szCs w:val="22"/>
          <w:lang w:val="lt-LT"/>
        </w:rPr>
        <w:t xml:space="preserve">Su žmogaus plazmos baltymais susijungia maždaug 85–87 % vaisto(nustatyta </w:t>
      </w:r>
      <w:r>
        <w:rPr>
          <w:rFonts w:ascii="Times New Roman" w:hAnsi="Times New Roman"/>
          <w:i/>
          <w:spacing w:val="-3"/>
          <w:sz w:val="22"/>
          <w:szCs w:val="22"/>
          <w:lang w:val="lt-LT"/>
        </w:rPr>
        <w:t>in vitro</w:t>
      </w:r>
      <w:r>
        <w:rPr>
          <w:rFonts w:ascii="Times New Roman" w:hAnsi="Times New Roman"/>
          <w:spacing w:val="-3"/>
          <w:sz w:val="22"/>
          <w:szCs w:val="22"/>
          <w:lang w:val="lt-LT"/>
        </w:rPr>
        <w:t xml:space="preserve">, kai susidaro gydomoji koncentracija), todėl sąveika su kitais </w:t>
      </w:r>
      <w:r>
        <w:rPr>
          <w:rFonts w:ascii="Times New Roman" w:hAnsi="Times New Roman"/>
          <w:spacing w:val="-4"/>
          <w:sz w:val="22"/>
          <w:szCs w:val="22"/>
          <w:lang w:val="lt-LT"/>
        </w:rPr>
        <w:t>vaistiniais preparatais dėl išstūmimo mažai tikėtina.</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pacing w:val="-3"/>
          <w:sz w:val="22"/>
          <w:szCs w:val="22"/>
          <w:u w:val="single"/>
          <w:lang w:val="lt-LT"/>
        </w:rPr>
      </w:pPr>
      <w:r>
        <w:rPr>
          <w:rFonts w:ascii="Times New Roman" w:hAnsi="Times New Roman"/>
          <w:spacing w:val="-3"/>
          <w:sz w:val="22"/>
          <w:szCs w:val="22"/>
          <w:u w:val="single"/>
          <w:lang w:val="lt-LT"/>
        </w:rPr>
        <w:t>Biotransformacija</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Nėra duomenų, kad ibandrono rūgštis būtų metabolizuojama gyvūnų ar žmonių organizme.</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Eliminacija</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Dalis absorbuotos ibandrono rūgšties pasišalina iš kraujotakos ir pateka į kaulus (moterų po menopauzės organizme maždaug 40–50 %), kita dalis nepakitusi pasišalina pro inkstus.</w:t>
      </w:r>
      <w:r>
        <w:rPr>
          <w:rFonts w:ascii="Times New Roman" w:hAnsi="Times New Roman"/>
          <w:sz w:val="22"/>
          <w:szCs w:val="22"/>
          <w:lang w:val="lt-LT"/>
        </w:rPr>
        <w:t xml:space="preserve"> </w:t>
      </w:r>
      <w:r>
        <w:rPr>
          <w:rFonts w:ascii="Times New Roman" w:hAnsi="Times New Roman"/>
          <w:spacing w:val="-3"/>
          <w:sz w:val="22"/>
          <w:szCs w:val="22"/>
          <w:lang w:val="lt-LT"/>
        </w:rPr>
        <w:t xml:space="preserve">Neabsorbuota </w:t>
      </w:r>
      <w:r>
        <w:rPr>
          <w:rFonts w:ascii="Times New Roman" w:hAnsi="Times New Roman"/>
          <w:spacing w:val="-4"/>
          <w:sz w:val="22"/>
          <w:szCs w:val="22"/>
          <w:lang w:val="lt-LT"/>
        </w:rPr>
        <w:t>ibandrono rūgštis nepakitusi pasišalina su išmatomis.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Nustatytų pusinės eliminacijos periodų reikšmių amplitudė buvo plati, dažniausiai nustatytas galutinis pusinės eliminacijos periodas truko 10–72 valandas.</w:t>
      </w:r>
      <w:r>
        <w:rPr>
          <w:rFonts w:ascii="Times New Roman" w:hAnsi="Times New Roman"/>
          <w:sz w:val="22"/>
          <w:szCs w:val="22"/>
          <w:lang w:val="lt-LT"/>
        </w:rPr>
        <w:t xml:space="preserve"> </w:t>
      </w:r>
      <w:r>
        <w:rPr>
          <w:rFonts w:ascii="Times New Roman" w:hAnsi="Times New Roman"/>
          <w:spacing w:val="-3"/>
          <w:sz w:val="22"/>
          <w:szCs w:val="22"/>
          <w:lang w:val="lt-LT"/>
        </w:rPr>
        <w:t>Kadangi apskaičiuotos reikšmės dažniausiai yra tyrimo trukmės, vartotos dozės ir tyrimo metodo jautrumo funkcija, manoma, kad tikrasis galutinis pusinės eliminacijos periodas yra gerokai ilgesnis, taip pat, kaip ir kitų bisfosfonatų.</w:t>
      </w:r>
      <w:r>
        <w:rPr>
          <w:rFonts w:ascii="Times New Roman" w:hAnsi="Times New Roman"/>
          <w:sz w:val="22"/>
          <w:szCs w:val="22"/>
          <w:lang w:val="lt-LT"/>
        </w:rPr>
        <w:t xml:space="preserve"> </w:t>
      </w:r>
      <w:r>
        <w:rPr>
          <w:rFonts w:ascii="Times New Roman" w:hAnsi="Times New Roman"/>
          <w:spacing w:val="-3"/>
          <w:sz w:val="22"/>
          <w:szCs w:val="22"/>
          <w:lang w:val="lt-LT"/>
        </w:rPr>
        <w:t xml:space="preserve">Ankstyvoji plazmos koncentracija mažėja greitai, vaisto suleidus į veną ar išgėrus iki 10 % didžiausios vertės </w:t>
      </w:r>
      <w:r>
        <w:rPr>
          <w:rFonts w:ascii="Times New Roman" w:hAnsi="Times New Roman"/>
          <w:spacing w:val="-4"/>
          <w:sz w:val="22"/>
          <w:szCs w:val="22"/>
          <w:lang w:val="lt-LT"/>
        </w:rPr>
        <w:t>sumažėja atitinkamai per 3 ir per 8 valandas.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Bendrasis ibandrono rūgšties klirensas yra mažas, vidutinė vertė svyruoja tarp 84–160 ml/min.</w:t>
      </w:r>
      <w:r>
        <w:rPr>
          <w:rFonts w:ascii="Times New Roman" w:hAnsi="Times New Roman"/>
          <w:sz w:val="22"/>
          <w:szCs w:val="22"/>
          <w:lang w:val="lt-LT"/>
        </w:rPr>
        <w:t xml:space="preserve"> </w:t>
      </w:r>
      <w:r>
        <w:rPr>
          <w:rFonts w:ascii="Times New Roman" w:hAnsi="Times New Roman"/>
          <w:spacing w:val="-3"/>
          <w:sz w:val="22"/>
          <w:szCs w:val="22"/>
          <w:lang w:val="lt-LT"/>
        </w:rPr>
        <w:t>Inkstų klirensas (sveikų moterų po menopauzės apie 60 ml/min.) sudaro 50–60 % bendrojo klirenso ir yra susijęs su kreatinino klirensu.</w:t>
      </w:r>
      <w:r>
        <w:rPr>
          <w:rFonts w:ascii="Times New Roman" w:hAnsi="Times New Roman"/>
          <w:sz w:val="22"/>
          <w:szCs w:val="22"/>
          <w:lang w:val="lt-LT"/>
        </w:rPr>
        <w:t xml:space="preserve"> </w:t>
      </w:r>
      <w:r>
        <w:rPr>
          <w:rFonts w:ascii="Times New Roman" w:hAnsi="Times New Roman"/>
          <w:spacing w:val="-3"/>
          <w:sz w:val="22"/>
          <w:szCs w:val="22"/>
          <w:lang w:val="lt-LT"/>
        </w:rPr>
        <w:t xml:space="preserve">Manoma, kad skirtumas tarp bendrojo ir inkstų klirenso atspindi vaisto </w:t>
      </w:r>
      <w:r>
        <w:rPr>
          <w:rFonts w:ascii="Times New Roman" w:hAnsi="Times New Roman"/>
          <w:spacing w:val="-4"/>
          <w:sz w:val="22"/>
          <w:szCs w:val="22"/>
          <w:lang w:val="lt-LT"/>
        </w:rPr>
        <w:t>patekimą į kaulus.</w:t>
      </w:r>
      <w:r>
        <w:rPr>
          <w:rFonts w:ascii="Times New Roman" w:hAnsi="Times New Roman"/>
          <w:sz w:val="22"/>
          <w:szCs w:val="22"/>
          <w:lang w:val="lt-LT"/>
        </w:rPr>
        <w:t xml:space="preserve"> </w:t>
      </w:r>
    </w:p>
    <w:p w:rsidR="00F72832" w:rsidRDefault="00F72832" w:rsidP="00F72832">
      <w:p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Atrodo, kad sekrecijoje nedalyvauja žinomos rūgščių ar šarmų transporto sistemos, dalyvaujančios šalinant kitas veikliąsias medžiagas. Be to, ibandrono rūgštis neslopina daugumos žmogaus kepenų P450 izofermentų bei neindukuoja žiurkių kepenų citochromų P450. </w:t>
      </w:r>
    </w:p>
    <w:p w:rsidR="00F72832" w:rsidRDefault="00F72832" w:rsidP="00F72832">
      <w:pPr>
        <w:tabs>
          <w:tab w:val="left" w:pos="567"/>
        </w:tabs>
        <w:rPr>
          <w:rFonts w:ascii="Times New Roman" w:hAnsi="Times New Roman"/>
          <w:spacing w:val="-4"/>
          <w:sz w:val="22"/>
          <w:szCs w:val="22"/>
          <w:u w:val="single"/>
          <w:lang w:val="lt-LT"/>
        </w:rPr>
      </w:pPr>
    </w:p>
    <w:p w:rsidR="00F72832" w:rsidRDefault="00F72832" w:rsidP="00F72832">
      <w:pPr>
        <w:tabs>
          <w:tab w:val="left" w:pos="567"/>
        </w:tabs>
        <w:rPr>
          <w:rFonts w:ascii="Times New Roman" w:hAnsi="Times New Roman"/>
          <w:i/>
          <w:sz w:val="22"/>
          <w:szCs w:val="22"/>
          <w:u w:val="single"/>
          <w:lang w:val="lt-LT"/>
        </w:rPr>
      </w:pPr>
      <w:r>
        <w:rPr>
          <w:rFonts w:ascii="Times New Roman" w:hAnsi="Times New Roman"/>
          <w:spacing w:val="-4"/>
          <w:sz w:val="22"/>
          <w:szCs w:val="22"/>
          <w:u w:val="single"/>
          <w:lang w:val="lt-LT"/>
        </w:rPr>
        <w:t>Specialiųjų klinikinių situacijų farmakokinetika</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i/>
          <w:sz w:val="22"/>
          <w:szCs w:val="22"/>
          <w:u w:val="single"/>
          <w:lang w:val="lt-LT"/>
        </w:rPr>
        <w:t>Lytis</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Moterų ir vyrų biologinis ibandrono rūgšties prieinamumas ir farmakokinetika yra panašūs.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i/>
          <w:sz w:val="22"/>
          <w:szCs w:val="22"/>
          <w:u w:val="single"/>
          <w:lang w:val="lt-LT"/>
        </w:rPr>
        <w:t>Rasė</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Nėra duomenų apie kliniškai svarbius etninius mongolidų ir europidų rasės ibandrono rūgšties kinetikos skirtumus.</w:t>
      </w:r>
      <w:r>
        <w:rPr>
          <w:rFonts w:ascii="Times New Roman" w:hAnsi="Times New Roman"/>
          <w:sz w:val="22"/>
          <w:szCs w:val="22"/>
          <w:lang w:val="lt-LT"/>
        </w:rPr>
        <w:t xml:space="preserve"> </w:t>
      </w:r>
      <w:r>
        <w:rPr>
          <w:rFonts w:ascii="Times New Roman" w:hAnsi="Times New Roman"/>
          <w:spacing w:val="-3"/>
          <w:sz w:val="22"/>
          <w:szCs w:val="22"/>
          <w:lang w:val="lt-LT"/>
        </w:rPr>
        <w:t>Apie negridų rasės pacientus turima labai nedaug duomenų.</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i/>
          <w:sz w:val="22"/>
          <w:szCs w:val="22"/>
          <w:u w:val="single"/>
          <w:lang w:val="lt-LT"/>
        </w:rPr>
        <w:lastRenderedPageBreak/>
        <w:t>Sutrikusi inkstų funkcija</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 xml:space="preserve">Ibandrono rūgšties inkstų klirensas pacientams, kuriems yra įvairaus laipsnio inkstų pažeidimas, yra </w:t>
      </w:r>
      <w:r>
        <w:rPr>
          <w:rFonts w:ascii="Times New Roman" w:hAnsi="Times New Roman"/>
          <w:spacing w:val="-4"/>
          <w:sz w:val="22"/>
          <w:szCs w:val="22"/>
          <w:lang w:val="lt-LT"/>
        </w:rPr>
        <w:t>tiesiogiai proporcingas kreatinino klirensui (KK).</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Dozės koreguoti nereikia, kai inkstų pažeidimas nedidelio ar vidutinio laipsnio (kreatinino klirensas yra lygus ar didesnis kaip 30 ml/min.), tai nustatyta BM 16549 tyrime, kuriame dalyvavo pacientės, kurioms buvo nedidelio ar vidutinio laipsnio inkstų pažeidimas.</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Tiriamiesiems, kuriems buvo sunkus inkstų pažeidimas (kreatinino klirensas mažesnis kaip 30 ml/min.), 21 dieną geriant po 10 mg ibandrono rūgšties, buvo nustatyta 2–3 kartus didesnė preparato koncentracija plazmoje negu tiriamiesiems, kurių inkstų funkcija normali, o bendrasis ibandrono rūgšties klirensas buvo 44 ml/min.</w:t>
      </w:r>
      <w:r>
        <w:rPr>
          <w:rFonts w:ascii="Times New Roman" w:hAnsi="Times New Roman"/>
          <w:sz w:val="22"/>
          <w:szCs w:val="22"/>
          <w:lang w:val="lt-LT"/>
        </w:rPr>
        <w:t xml:space="preserve"> </w:t>
      </w:r>
      <w:r>
        <w:rPr>
          <w:rFonts w:ascii="Times New Roman" w:hAnsi="Times New Roman"/>
          <w:spacing w:val="-3"/>
          <w:sz w:val="22"/>
          <w:szCs w:val="22"/>
          <w:lang w:val="lt-LT"/>
        </w:rPr>
        <w:t>Tiriamųjų, kuriems buvo sunkus inkstų pažeidimas ir kurie gavo 0,5 mg vaisto į veną, bendrasis, inkstų ir neinkstinis klirensas sumažėjo atitinkamai 67%, 77 % ir 50%, tačiau nebuvo nustatyta sumažėjusios tolerancijos, susijusios su padidėjusia ekspozicija.</w:t>
      </w:r>
      <w:r>
        <w:rPr>
          <w:rFonts w:ascii="Times New Roman" w:hAnsi="Times New Roman"/>
          <w:sz w:val="22"/>
          <w:szCs w:val="22"/>
          <w:lang w:val="lt-LT"/>
        </w:rPr>
        <w:t xml:space="preserve"> </w:t>
      </w:r>
      <w:r>
        <w:rPr>
          <w:rFonts w:ascii="Times New Roman" w:hAnsi="Times New Roman"/>
          <w:spacing w:val="-3"/>
          <w:sz w:val="22"/>
          <w:szCs w:val="22"/>
          <w:lang w:val="lt-LT"/>
        </w:rPr>
        <w:t>Kadangi nepakanka klinikinės patirties, OSSICA 150 mg plėvele dengtos tabletės nerekomenduojamos pacientėms, kurioms yra sunkus inkstų pažeidimas (žr. 4.2 ir 4.4 skyrius). Ibandrono rūgšties farmakokinetika nevertinta pacientams, kuriems yra paskutiniosios stadijos inkstų pažeidimas, koreguojamas kitu būdu negu hemodializė.</w:t>
      </w:r>
      <w:r>
        <w:rPr>
          <w:rFonts w:ascii="Times New Roman" w:hAnsi="Times New Roman"/>
          <w:sz w:val="22"/>
          <w:szCs w:val="22"/>
          <w:lang w:val="lt-LT"/>
        </w:rPr>
        <w:t xml:space="preserve"> </w:t>
      </w:r>
      <w:r>
        <w:rPr>
          <w:rFonts w:ascii="Times New Roman" w:hAnsi="Times New Roman"/>
          <w:spacing w:val="-3"/>
          <w:sz w:val="22"/>
          <w:szCs w:val="22"/>
          <w:lang w:val="lt-LT"/>
        </w:rPr>
        <w:t>Tokių pacientų ibandrono rūgšties farmakokinetika nežinoma, todėl ibandrono rūgšties jiems nereikėtų skirti.</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i/>
          <w:sz w:val="22"/>
          <w:szCs w:val="22"/>
          <w:u w:val="single"/>
          <w:lang w:val="lt-LT"/>
        </w:rPr>
        <w:t>Sutrikusi kepenų funkcija (žr. 4.2 skyrių)</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Nėra informacijos apie pacientų, kurių pažeistos kepenys, ibandrono rūgšties farmakokinetiką.</w:t>
      </w:r>
      <w:r>
        <w:rPr>
          <w:rFonts w:ascii="Times New Roman" w:hAnsi="Times New Roman"/>
          <w:sz w:val="22"/>
          <w:szCs w:val="22"/>
          <w:lang w:val="lt-LT"/>
        </w:rPr>
        <w:t xml:space="preserve"> </w:t>
      </w:r>
      <w:r>
        <w:rPr>
          <w:rFonts w:ascii="Times New Roman" w:hAnsi="Times New Roman"/>
          <w:spacing w:val="-3"/>
          <w:sz w:val="22"/>
          <w:szCs w:val="22"/>
          <w:lang w:val="lt-LT"/>
        </w:rPr>
        <w:t>Kepenys neturi įtakos ibandrono rūgšties klirensui, nes preparatas nemetabolizuojamas, o išsiskiria per inkstus ekskrecijos būdu arba patenka į kaulus.</w:t>
      </w:r>
      <w:r>
        <w:rPr>
          <w:rFonts w:ascii="Times New Roman" w:hAnsi="Times New Roman"/>
          <w:sz w:val="22"/>
          <w:szCs w:val="22"/>
          <w:lang w:val="lt-LT"/>
        </w:rPr>
        <w:t xml:space="preserve"> </w:t>
      </w:r>
      <w:r>
        <w:rPr>
          <w:rFonts w:ascii="Times New Roman" w:hAnsi="Times New Roman"/>
          <w:spacing w:val="-3"/>
          <w:sz w:val="22"/>
          <w:szCs w:val="22"/>
          <w:lang w:val="lt-LT"/>
        </w:rPr>
        <w:t xml:space="preserve">Todėl pacientams, kuriems pažeistos kepenys, dozės </w:t>
      </w:r>
      <w:r>
        <w:rPr>
          <w:rFonts w:ascii="Times New Roman" w:hAnsi="Times New Roman"/>
          <w:spacing w:val="-4"/>
          <w:sz w:val="22"/>
          <w:szCs w:val="22"/>
          <w:lang w:val="lt-LT"/>
        </w:rPr>
        <w:t>koreguoti nereikia.</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i/>
          <w:sz w:val="22"/>
          <w:szCs w:val="22"/>
          <w:u w:val="single"/>
          <w:lang w:val="lt-LT"/>
        </w:rPr>
        <w:t>Senyvi pacientai (žr. 4.2 skyrių)</w:t>
      </w:r>
    </w:p>
    <w:p w:rsidR="00F72832" w:rsidRDefault="00F72832" w:rsidP="00F72832">
      <w:pPr>
        <w:tabs>
          <w:tab w:val="left" w:pos="567"/>
        </w:tabs>
        <w:rPr>
          <w:rFonts w:ascii="Times New Roman" w:hAnsi="Times New Roman"/>
          <w:sz w:val="22"/>
          <w:szCs w:val="22"/>
          <w:lang w:val="lt-LT"/>
        </w:rPr>
      </w:pPr>
      <w:r>
        <w:rPr>
          <w:rFonts w:ascii="Times New Roman" w:hAnsi="Times New Roman"/>
          <w:spacing w:val="-3"/>
          <w:sz w:val="22"/>
          <w:szCs w:val="22"/>
          <w:lang w:val="lt-LT"/>
        </w:rPr>
        <w:t>Dispersinės analizės duomenimis, nenustatyta, kad amžius, kaip nepriklausomas faktorius, būtų susijęs su bet kurio iš tirtų farmakokinetikos rodmenų.</w:t>
      </w:r>
      <w:r>
        <w:rPr>
          <w:rFonts w:ascii="Times New Roman" w:hAnsi="Times New Roman"/>
          <w:sz w:val="22"/>
          <w:szCs w:val="22"/>
          <w:lang w:val="lt-LT"/>
        </w:rPr>
        <w:t xml:space="preserve"> </w:t>
      </w:r>
      <w:r>
        <w:rPr>
          <w:rFonts w:ascii="Times New Roman" w:hAnsi="Times New Roman"/>
          <w:spacing w:val="-3"/>
          <w:sz w:val="22"/>
          <w:szCs w:val="22"/>
          <w:lang w:val="lt-LT"/>
        </w:rPr>
        <w:t>Senstant inkstų funkcija blogėja. Tai ir yra vienintelis veiksnys, į kurį reikėtų atkreipti dėmesį (žr. skyrių apie inkstų pažeidimą).</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u w:val="single"/>
          <w:lang w:val="lt-LT"/>
        </w:rPr>
      </w:pPr>
      <w:r>
        <w:rPr>
          <w:rFonts w:ascii="Times New Roman" w:hAnsi="Times New Roman"/>
          <w:i/>
          <w:sz w:val="22"/>
          <w:szCs w:val="22"/>
          <w:u w:val="single"/>
          <w:lang w:val="lt-LT"/>
        </w:rPr>
        <w:t>Vaikų populiacija (žr. 4.2 ir 5.1 skyrius)</w:t>
      </w:r>
    </w:p>
    <w:p w:rsidR="00F72832" w:rsidRDefault="00F72832" w:rsidP="00F72832">
      <w:pPr>
        <w:numPr>
          <w:ilvl w:val="12"/>
          <w:numId w:val="0"/>
        </w:numPr>
        <w:tabs>
          <w:tab w:val="left" w:pos="567"/>
        </w:tabs>
        <w:ind w:right="-2"/>
        <w:rPr>
          <w:rFonts w:ascii="Times New Roman" w:hAnsi="Times New Roman"/>
          <w:sz w:val="22"/>
          <w:szCs w:val="22"/>
          <w:lang w:val="lt-LT"/>
        </w:rPr>
      </w:pPr>
      <w:r>
        <w:rPr>
          <w:rFonts w:ascii="Times New Roman" w:hAnsi="Times New Roman"/>
          <w:spacing w:val="-4"/>
          <w:sz w:val="22"/>
          <w:szCs w:val="22"/>
          <w:lang w:val="lt-LT"/>
        </w:rPr>
        <w:t>Nėra informacijos apie ibandrono rūgšties skyrimą šių amžiaus grupių pacientams.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5.3</w:t>
      </w:r>
      <w:r>
        <w:rPr>
          <w:rFonts w:ascii="Times New Roman" w:hAnsi="Times New Roman"/>
          <w:b/>
          <w:sz w:val="22"/>
          <w:szCs w:val="22"/>
          <w:lang w:val="lt-LT"/>
        </w:rPr>
        <w:tab/>
        <w:t>Ikiklinikinių saugumo tyrimų duomenys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hanging="27"/>
        <w:outlineLvl w:val="0"/>
        <w:rPr>
          <w:rFonts w:ascii="Times New Roman" w:hAnsi="Times New Roman"/>
          <w:sz w:val="22"/>
          <w:szCs w:val="22"/>
          <w:lang w:val="lt-LT"/>
        </w:rPr>
      </w:pPr>
      <w:r>
        <w:rPr>
          <w:rFonts w:ascii="Times New Roman" w:hAnsi="Times New Roman"/>
          <w:sz w:val="22"/>
          <w:szCs w:val="22"/>
          <w:lang w:val="lt-LT"/>
        </w:rPr>
        <w:t xml:space="preserve">Ikiklinikinių tyrimų metu poveikis pastebėtas tik kai ekspozicija buvo tokia, kuri laikoma pakankamai viršijančia maksimalią žmogui, todėl jo klinikinė reikšmė yra maža. </w:t>
      </w:r>
    </w:p>
    <w:p w:rsidR="00F72832" w:rsidRDefault="00F72832" w:rsidP="00F72832">
      <w:pPr>
        <w:tabs>
          <w:tab w:val="left" w:pos="567"/>
        </w:tabs>
        <w:ind w:hanging="27"/>
        <w:outlineLvl w:val="0"/>
        <w:rPr>
          <w:rFonts w:ascii="Times New Roman" w:hAnsi="Times New Roman"/>
          <w:i/>
          <w:sz w:val="22"/>
          <w:szCs w:val="22"/>
          <w:lang w:val="lt-LT"/>
        </w:rPr>
      </w:pPr>
    </w:p>
    <w:p w:rsidR="00F72832" w:rsidRDefault="00F72832" w:rsidP="00F72832">
      <w:pPr>
        <w:tabs>
          <w:tab w:val="left" w:pos="567"/>
        </w:tabs>
        <w:ind w:hanging="27"/>
        <w:outlineLvl w:val="0"/>
        <w:rPr>
          <w:rFonts w:ascii="Times New Roman" w:hAnsi="Times New Roman"/>
          <w:sz w:val="22"/>
          <w:szCs w:val="22"/>
          <w:u w:val="single"/>
          <w:lang w:val="lt-LT"/>
        </w:rPr>
      </w:pPr>
      <w:r>
        <w:rPr>
          <w:rFonts w:ascii="Times New Roman" w:hAnsi="Times New Roman"/>
          <w:spacing w:val="-4"/>
          <w:sz w:val="22"/>
          <w:szCs w:val="22"/>
          <w:u w:val="single"/>
          <w:lang w:val="lt-LT"/>
        </w:rPr>
        <w:t>Mutageniškumas / kancerogeniškumas:</w:t>
      </w:r>
    </w:p>
    <w:p w:rsidR="00F72832" w:rsidRDefault="00F72832" w:rsidP="00F72832">
      <w:pPr>
        <w:tabs>
          <w:tab w:val="left" w:pos="567"/>
        </w:tabs>
        <w:ind w:hanging="27"/>
        <w:outlineLvl w:val="0"/>
        <w:rPr>
          <w:rFonts w:ascii="Times New Roman" w:hAnsi="Times New Roman"/>
          <w:sz w:val="22"/>
          <w:szCs w:val="22"/>
          <w:lang w:val="lt-LT"/>
        </w:rPr>
      </w:pPr>
      <w:r>
        <w:rPr>
          <w:rFonts w:ascii="Times New Roman" w:hAnsi="Times New Roman"/>
          <w:spacing w:val="-3"/>
          <w:sz w:val="22"/>
          <w:szCs w:val="22"/>
          <w:lang w:val="lt-LT"/>
        </w:rPr>
        <w:t>Galimo kancerogeniškumo pavojaus nenustatyta.</w:t>
      </w:r>
      <w:r>
        <w:rPr>
          <w:rFonts w:ascii="Times New Roman" w:hAnsi="Times New Roman"/>
          <w:sz w:val="22"/>
          <w:szCs w:val="22"/>
          <w:lang w:val="lt-LT"/>
        </w:rPr>
        <w:t xml:space="preserve"> </w:t>
      </w:r>
      <w:r>
        <w:rPr>
          <w:rFonts w:ascii="Times New Roman" w:hAnsi="Times New Roman"/>
          <w:spacing w:val="-3"/>
          <w:sz w:val="22"/>
          <w:szCs w:val="22"/>
          <w:lang w:val="lt-LT"/>
        </w:rPr>
        <w:t xml:space="preserve">Genotoksiškumo tyrimų metu nenustatyta ibandrono </w:t>
      </w:r>
      <w:r>
        <w:rPr>
          <w:rFonts w:ascii="Times New Roman" w:hAnsi="Times New Roman"/>
          <w:spacing w:val="-4"/>
          <w:sz w:val="22"/>
          <w:szCs w:val="22"/>
          <w:lang w:val="lt-LT"/>
        </w:rPr>
        <w:t>rūgšties poveikio genų aktyvumui.</w:t>
      </w:r>
      <w:r>
        <w:rPr>
          <w:rFonts w:ascii="Times New Roman" w:hAnsi="Times New Roman"/>
          <w:sz w:val="22"/>
          <w:szCs w:val="22"/>
          <w:lang w:val="lt-LT"/>
        </w:rPr>
        <w:t xml:space="preserve"> </w:t>
      </w:r>
    </w:p>
    <w:p w:rsidR="00F72832" w:rsidRDefault="00F72832" w:rsidP="00F72832">
      <w:pPr>
        <w:tabs>
          <w:tab w:val="left" w:pos="567"/>
        </w:tabs>
        <w:ind w:hanging="27"/>
        <w:outlineLvl w:val="0"/>
        <w:rPr>
          <w:rFonts w:ascii="Times New Roman" w:hAnsi="Times New Roman"/>
          <w:i/>
          <w:sz w:val="22"/>
          <w:szCs w:val="22"/>
          <w:lang w:val="lt-LT"/>
        </w:rPr>
      </w:pPr>
    </w:p>
    <w:p w:rsidR="00F72832" w:rsidRDefault="00F72832" w:rsidP="00F72832">
      <w:pPr>
        <w:tabs>
          <w:tab w:val="left" w:pos="567"/>
        </w:tabs>
        <w:ind w:hanging="27"/>
        <w:outlineLvl w:val="0"/>
        <w:rPr>
          <w:rFonts w:ascii="Times New Roman" w:hAnsi="Times New Roman"/>
          <w:sz w:val="22"/>
          <w:szCs w:val="22"/>
          <w:u w:val="single"/>
          <w:lang w:val="lt-LT"/>
        </w:rPr>
      </w:pPr>
      <w:r>
        <w:rPr>
          <w:rFonts w:ascii="Times New Roman" w:hAnsi="Times New Roman"/>
          <w:spacing w:val="-4"/>
          <w:sz w:val="22"/>
          <w:szCs w:val="22"/>
          <w:u w:val="single"/>
          <w:lang w:val="lt-LT"/>
        </w:rPr>
        <w:t>Toksinis poveikis reprodukcijai:</w:t>
      </w:r>
    </w:p>
    <w:p w:rsidR="00F72832" w:rsidRDefault="00F72832" w:rsidP="00F72832">
      <w:pPr>
        <w:tabs>
          <w:tab w:val="left" w:pos="567"/>
        </w:tabs>
        <w:ind w:hanging="27"/>
        <w:outlineLvl w:val="0"/>
        <w:rPr>
          <w:rFonts w:ascii="Times New Roman" w:hAnsi="Times New Roman"/>
          <w:b/>
          <w:sz w:val="22"/>
          <w:szCs w:val="22"/>
          <w:lang w:val="lt-LT"/>
        </w:rPr>
      </w:pPr>
      <w:r>
        <w:rPr>
          <w:rFonts w:ascii="Times New Roman" w:hAnsi="Times New Roman"/>
          <w:spacing w:val="-3"/>
          <w:sz w:val="22"/>
          <w:szCs w:val="22"/>
          <w:lang w:val="lt-LT"/>
        </w:rPr>
        <w:t>Tiriant žiurkes ir triušius, kuriems buvo skirta ibandrono rūgšties per burną, tiesioginio toksinio ar teratogeninio poveikio vaisiui nenustatyta, taip pat nepastebėta nepageidaujamų reiškinių F</w:t>
      </w:r>
      <w:r>
        <w:rPr>
          <w:rFonts w:ascii="Times New Roman" w:hAnsi="Times New Roman"/>
          <w:spacing w:val="-3"/>
          <w:sz w:val="22"/>
          <w:szCs w:val="22"/>
          <w:vertAlign w:val="subscript"/>
          <w:lang w:val="lt-LT"/>
        </w:rPr>
        <w:t xml:space="preserve">1 </w:t>
      </w:r>
      <w:r>
        <w:rPr>
          <w:rFonts w:ascii="Times New Roman" w:hAnsi="Times New Roman"/>
          <w:spacing w:val="-3"/>
          <w:sz w:val="22"/>
          <w:szCs w:val="22"/>
          <w:lang w:val="lt-LT"/>
        </w:rPr>
        <w:t>kartos žiurkių palikuonių raidai, kai numanoma vaisto koncentracija buvo bent 35 kartus didesnė negu žmogaus organizme.</w:t>
      </w:r>
      <w:r>
        <w:rPr>
          <w:rFonts w:ascii="Times New Roman" w:hAnsi="Times New Roman"/>
          <w:sz w:val="22"/>
          <w:szCs w:val="22"/>
          <w:lang w:val="lt-LT"/>
        </w:rPr>
        <w:t xml:space="preserve"> </w:t>
      </w:r>
      <w:r>
        <w:rPr>
          <w:rFonts w:ascii="Times New Roman" w:hAnsi="Times New Roman"/>
          <w:spacing w:val="-3"/>
          <w:sz w:val="22"/>
          <w:szCs w:val="22"/>
          <w:lang w:val="lt-LT"/>
        </w:rPr>
        <w:t xml:space="preserve">Tiriant toksinį poveikį  reprodukcijai, žiurkėms sugirdžius 1 mg/kg kūno svorio ir didesnes paros dozes, poveikis vaikingumui pasireiškė padidėjusia embrionų žūtimi prieš </w:t>
      </w:r>
      <w:r>
        <w:rPr>
          <w:rFonts w:ascii="Times New Roman" w:hAnsi="Times New Roman"/>
          <w:spacing w:val="-3"/>
          <w:sz w:val="22"/>
          <w:szCs w:val="22"/>
          <w:lang w:val="lt-LT"/>
        </w:rPr>
        <w:lastRenderedPageBreak/>
        <w:t>implantaciją. Tiriant toksinį poveikį reprodukcijai, žiurkių patinams į veną sušvirkštus 0,3 mg/kg kūno svorio per parą, sumažėjo spermos kiekis, o patinų ir patelių vaikingumas sumažėjo sušvirkštus atitinkamai 1 mg/kg kūno svorio ir 1,2 mg/kg kūno svorio per parą. Tiriant toksinį poveikį žiurkių reprodukcijai, nustatyta nepageidaujamų reiškinių, būdingų bisfosfonatų klasės vaistams.</w:t>
      </w:r>
      <w:r>
        <w:rPr>
          <w:rFonts w:ascii="Times New Roman" w:hAnsi="Times New Roman"/>
          <w:sz w:val="22"/>
          <w:szCs w:val="22"/>
          <w:lang w:val="lt-LT"/>
        </w:rPr>
        <w:t xml:space="preserve"> </w:t>
      </w:r>
      <w:r>
        <w:rPr>
          <w:rFonts w:ascii="Times New Roman" w:hAnsi="Times New Roman"/>
          <w:spacing w:val="-3"/>
          <w:sz w:val="22"/>
          <w:szCs w:val="22"/>
          <w:lang w:val="lt-LT"/>
        </w:rPr>
        <w:t xml:space="preserve">Tai sumažėjęs implantacijos vietų skaičius, pasunkėjęs natūralus jauniklių atsivedimas (distocija) ir padažnėję vidaus organų pokyčiai (inkstų geldelių ir </w:t>
      </w:r>
      <w:r>
        <w:rPr>
          <w:rFonts w:ascii="Times New Roman" w:hAnsi="Times New Roman"/>
          <w:spacing w:val="-4"/>
          <w:sz w:val="22"/>
          <w:szCs w:val="22"/>
          <w:lang w:val="lt-LT"/>
        </w:rPr>
        <w:t>šlapimtakių sindromas).</w:t>
      </w:r>
    </w:p>
    <w:p w:rsidR="00F72832" w:rsidRDefault="00F72832" w:rsidP="00F72832">
      <w:pPr>
        <w:tabs>
          <w:tab w:val="left" w:pos="567"/>
        </w:tabs>
        <w:ind w:left="567" w:hanging="567"/>
        <w:outlineLvl w:val="0"/>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b/>
          <w:sz w:val="22"/>
          <w:szCs w:val="22"/>
          <w:lang w:val="lt-LT"/>
        </w:rPr>
      </w:pPr>
      <w:r>
        <w:rPr>
          <w:rFonts w:ascii="Times New Roman" w:hAnsi="Times New Roman"/>
          <w:b/>
          <w:sz w:val="22"/>
          <w:szCs w:val="22"/>
          <w:lang w:val="lt-LT"/>
        </w:rPr>
        <w:t>6.</w:t>
      </w:r>
      <w:r>
        <w:rPr>
          <w:rFonts w:ascii="Times New Roman" w:hAnsi="Times New Roman"/>
          <w:b/>
          <w:sz w:val="22"/>
          <w:szCs w:val="22"/>
          <w:lang w:val="lt-LT"/>
        </w:rPr>
        <w:tab/>
        <w:t>FARMACINĖ INFORMACIJA</w:t>
      </w:r>
    </w:p>
    <w:p w:rsidR="00F72832" w:rsidRDefault="00F72832" w:rsidP="00F72832">
      <w:pPr>
        <w:tabs>
          <w:tab w:val="left" w:pos="567"/>
        </w:tabs>
        <w:rPr>
          <w:rFonts w:ascii="Times New Roman" w:hAnsi="Times New Roman"/>
          <w:sz w:val="22"/>
          <w:szCs w:val="22"/>
          <w:lang w:val="lt-LT"/>
        </w:rPr>
      </w:pPr>
    </w:p>
    <w:p w:rsidR="00F72832" w:rsidRDefault="00F72832" w:rsidP="00F72832">
      <w:pPr>
        <w:numPr>
          <w:ilvl w:val="1"/>
          <w:numId w:val="8"/>
        </w:numPr>
        <w:tabs>
          <w:tab w:val="clear" w:pos="570"/>
          <w:tab w:val="left" w:pos="567"/>
        </w:tabs>
        <w:outlineLvl w:val="0"/>
        <w:rPr>
          <w:rFonts w:ascii="Times New Roman" w:hAnsi="Times New Roman"/>
          <w:b/>
          <w:sz w:val="22"/>
          <w:szCs w:val="22"/>
          <w:lang w:val="lt-LT"/>
        </w:rPr>
      </w:pPr>
      <w:r>
        <w:rPr>
          <w:rFonts w:ascii="Times New Roman" w:hAnsi="Times New Roman"/>
          <w:b/>
          <w:sz w:val="22"/>
          <w:szCs w:val="22"/>
          <w:lang w:val="lt-LT"/>
        </w:rPr>
        <w:t>Pagalbinių medžiagų sąrašas</w:t>
      </w:r>
    </w:p>
    <w:p w:rsidR="00F72832" w:rsidRDefault="00F72832" w:rsidP="00F72832">
      <w:pPr>
        <w:tabs>
          <w:tab w:val="left" w:pos="567"/>
        </w:tabs>
        <w:outlineLvl w:val="0"/>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i/>
          <w:sz w:val="22"/>
          <w:szCs w:val="22"/>
          <w:lang w:val="lt-LT"/>
        </w:rPr>
        <w:t>Tabletės branduolys</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Laktozė monohidratas</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Povidonas (K30)</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Mikrokristalinė celiuliozė (12 ir 101)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Krospovidonas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Magnio stearatas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Bevandenis koloidinis silicio dioksidas </w:t>
      </w:r>
    </w:p>
    <w:p w:rsidR="00F72832" w:rsidRDefault="00F72832" w:rsidP="00F72832">
      <w:pPr>
        <w:tabs>
          <w:tab w:val="left" w:pos="567"/>
        </w:tabs>
        <w:rPr>
          <w:rFonts w:ascii="Times New Roman" w:hAnsi="Times New Roman"/>
          <w:i/>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i/>
          <w:sz w:val="22"/>
          <w:szCs w:val="22"/>
          <w:lang w:val="lt-LT"/>
        </w:rPr>
        <w:t>Tabletės plėvelė</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Opadry II baltasis 85F18422:</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Polivinilo alkoholis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Titano dioksidas (E171)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Talkas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Makrogolis (3350)</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6.2</w:t>
      </w:r>
      <w:r>
        <w:rPr>
          <w:rFonts w:ascii="Times New Roman" w:hAnsi="Times New Roman"/>
          <w:b/>
          <w:sz w:val="22"/>
          <w:szCs w:val="22"/>
          <w:lang w:val="lt-LT"/>
        </w:rPr>
        <w:tab/>
        <w:t>Nesuderinamumas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Duomenys nebūtini.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6.3</w:t>
      </w:r>
      <w:r>
        <w:rPr>
          <w:rFonts w:ascii="Times New Roman" w:hAnsi="Times New Roman"/>
          <w:b/>
          <w:sz w:val="22"/>
          <w:szCs w:val="22"/>
          <w:lang w:val="lt-LT"/>
        </w:rPr>
        <w:tab/>
        <w:t>Tinkamumo laikas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b/>
          <w:sz w:val="22"/>
          <w:szCs w:val="22"/>
          <w:lang w:val="lt-LT"/>
        </w:rPr>
      </w:pPr>
      <w:r>
        <w:rPr>
          <w:rFonts w:ascii="Times New Roman" w:hAnsi="Times New Roman"/>
          <w:sz w:val="22"/>
          <w:szCs w:val="22"/>
          <w:lang w:val="lt-LT"/>
        </w:rPr>
        <w:t>2 metai.</w:t>
      </w:r>
      <w:r>
        <w:rPr>
          <w:rFonts w:ascii="Times New Roman" w:hAnsi="Times New Roman"/>
          <w:b/>
          <w:sz w:val="22"/>
          <w:szCs w:val="22"/>
          <w:lang w:val="lt-LT"/>
        </w:rPr>
        <w:t xml:space="preserve"> </w:t>
      </w:r>
    </w:p>
    <w:p w:rsidR="00F72832" w:rsidRDefault="00F72832" w:rsidP="00F72832">
      <w:pPr>
        <w:tabs>
          <w:tab w:val="left" w:pos="567"/>
        </w:tabs>
        <w:rPr>
          <w:rFonts w:ascii="Times New Roman" w:hAnsi="Times New Roman"/>
          <w:sz w:val="22"/>
          <w:szCs w:val="22"/>
          <w:lang w:val="lt-LT"/>
        </w:rPr>
      </w:pPr>
    </w:p>
    <w:p w:rsidR="00F72832" w:rsidRDefault="00F72832" w:rsidP="00F72832">
      <w:pPr>
        <w:numPr>
          <w:ilvl w:val="1"/>
          <w:numId w:val="10"/>
        </w:numPr>
        <w:tabs>
          <w:tab w:val="clear" w:pos="570"/>
          <w:tab w:val="left" w:pos="567"/>
        </w:tabs>
        <w:outlineLvl w:val="0"/>
        <w:rPr>
          <w:rFonts w:ascii="Times New Roman" w:hAnsi="Times New Roman"/>
          <w:b/>
          <w:sz w:val="22"/>
          <w:szCs w:val="22"/>
          <w:lang w:val="lt-LT"/>
        </w:rPr>
      </w:pPr>
      <w:r>
        <w:rPr>
          <w:rFonts w:ascii="Times New Roman" w:hAnsi="Times New Roman"/>
          <w:b/>
          <w:sz w:val="22"/>
          <w:szCs w:val="22"/>
          <w:lang w:val="lt-LT"/>
        </w:rPr>
        <w:t>Specialios laikymo sąlygos</w:t>
      </w:r>
    </w:p>
    <w:p w:rsidR="00F72832" w:rsidRDefault="00F72832" w:rsidP="00F72832">
      <w:pPr>
        <w:tabs>
          <w:tab w:val="left" w:pos="567"/>
        </w:tabs>
        <w:outlineLvl w:val="0"/>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Šiam vaistiniam preparatui specialių laikymo sąlygų nereikia.</w:t>
      </w:r>
    </w:p>
    <w:p w:rsidR="00F72832" w:rsidRDefault="00F72832" w:rsidP="00F72832">
      <w:pPr>
        <w:tabs>
          <w:tab w:val="left" w:pos="567"/>
        </w:tabs>
        <w:rPr>
          <w:rFonts w:ascii="Times New Roman" w:hAnsi="Times New Roman"/>
          <w:sz w:val="22"/>
          <w:szCs w:val="22"/>
          <w:lang w:val="lt-LT"/>
        </w:rPr>
      </w:pPr>
    </w:p>
    <w:p w:rsidR="00F72832" w:rsidRDefault="00F72832" w:rsidP="00F72832">
      <w:pPr>
        <w:numPr>
          <w:ilvl w:val="1"/>
          <w:numId w:val="12"/>
        </w:numPr>
        <w:tabs>
          <w:tab w:val="clear" w:pos="570"/>
          <w:tab w:val="left" w:pos="567"/>
        </w:tabs>
        <w:outlineLvl w:val="0"/>
        <w:rPr>
          <w:rFonts w:ascii="Times New Roman" w:hAnsi="Times New Roman"/>
          <w:b/>
          <w:sz w:val="22"/>
          <w:szCs w:val="22"/>
          <w:lang w:val="lt-LT"/>
        </w:rPr>
      </w:pPr>
      <w:r>
        <w:rPr>
          <w:rFonts w:ascii="Times New Roman" w:hAnsi="Times New Roman"/>
          <w:b/>
          <w:sz w:val="22"/>
          <w:szCs w:val="22"/>
          <w:lang w:val="lt-LT"/>
        </w:rPr>
        <w:t>Talpyklės pobūdisir jos turinys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PVC/PE/PVDC/Al baltos lizdinės plokštelės, kuriose yra 1 tabletė. Pakuotėje yra 1 arba 3 tabletės.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Gali būti tiekiamos ne visų dydžių pakuotės.</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outlineLvl w:val="0"/>
        <w:rPr>
          <w:rFonts w:ascii="Times New Roman" w:hAnsi="Times New Roman"/>
          <w:sz w:val="22"/>
          <w:szCs w:val="22"/>
          <w:lang w:val="lt-LT"/>
        </w:rPr>
      </w:pPr>
      <w:r>
        <w:rPr>
          <w:rFonts w:ascii="Times New Roman" w:hAnsi="Times New Roman"/>
          <w:b/>
          <w:sz w:val="22"/>
          <w:szCs w:val="22"/>
          <w:lang w:val="lt-LT"/>
        </w:rPr>
        <w:t>6.6</w:t>
      </w:r>
      <w:r>
        <w:rPr>
          <w:rFonts w:ascii="Times New Roman" w:hAnsi="Times New Roman"/>
          <w:b/>
          <w:sz w:val="22"/>
          <w:szCs w:val="22"/>
          <w:lang w:val="lt-LT"/>
        </w:rPr>
        <w:tab/>
        <w:t xml:space="preserve">Specialūs reikalavimai atliekoms tvarkyti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Specialių reikalavimų nėra.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sz w:val="22"/>
          <w:szCs w:val="22"/>
          <w:lang w:val="lt-LT"/>
        </w:rPr>
      </w:pPr>
      <w:r>
        <w:rPr>
          <w:rFonts w:ascii="Times New Roman" w:hAnsi="Times New Roman"/>
          <w:b/>
          <w:sz w:val="22"/>
          <w:szCs w:val="22"/>
          <w:lang w:val="lt-LT"/>
        </w:rPr>
        <w:t>7.</w:t>
      </w:r>
      <w:r>
        <w:rPr>
          <w:rFonts w:ascii="Times New Roman" w:hAnsi="Times New Roman"/>
          <w:b/>
          <w:sz w:val="22"/>
          <w:szCs w:val="22"/>
          <w:lang w:val="lt-LT"/>
        </w:rPr>
        <w:tab/>
        <w:t xml:space="preserve">REGISTRUOTOJAS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pacing w:val="-1"/>
          <w:sz w:val="22"/>
          <w:szCs w:val="22"/>
          <w:lang w:val="lt-LT"/>
        </w:rPr>
      </w:pPr>
      <w:r>
        <w:rPr>
          <w:rFonts w:ascii="Times New Roman" w:hAnsi="Times New Roman"/>
          <w:spacing w:val="-1"/>
          <w:sz w:val="22"/>
          <w:szCs w:val="22"/>
          <w:lang w:val="lt-LT"/>
        </w:rPr>
        <w:lastRenderedPageBreak/>
        <w:t>Gedeon Richter Plc.</w:t>
      </w:r>
    </w:p>
    <w:p w:rsidR="00F72832" w:rsidRDefault="00F72832" w:rsidP="00F72832">
      <w:pPr>
        <w:tabs>
          <w:tab w:val="left" w:pos="567"/>
        </w:tabs>
        <w:rPr>
          <w:rFonts w:ascii="Times New Roman" w:hAnsi="Times New Roman"/>
          <w:spacing w:val="-1"/>
          <w:sz w:val="22"/>
          <w:szCs w:val="22"/>
          <w:lang w:val="lt-LT"/>
        </w:rPr>
      </w:pPr>
      <w:r>
        <w:rPr>
          <w:rFonts w:ascii="Times New Roman" w:hAnsi="Times New Roman"/>
          <w:spacing w:val="-1"/>
          <w:sz w:val="22"/>
          <w:szCs w:val="22"/>
          <w:lang w:val="lt-LT"/>
        </w:rPr>
        <w:t>Gyömrői út 19-21</w:t>
      </w:r>
    </w:p>
    <w:p w:rsidR="00F72832" w:rsidRDefault="00F72832" w:rsidP="00F72832">
      <w:pPr>
        <w:tabs>
          <w:tab w:val="left" w:pos="567"/>
        </w:tabs>
        <w:rPr>
          <w:rFonts w:ascii="Times New Roman" w:hAnsi="Times New Roman"/>
          <w:spacing w:val="-1"/>
          <w:sz w:val="22"/>
          <w:szCs w:val="22"/>
          <w:lang w:val="lt-LT"/>
        </w:rPr>
      </w:pPr>
      <w:r>
        <w:rPr>
          <w:rFonts w:ascii="Times New Roman" w:hAnsi="Times New Roman"/>
          <w:spacing w:val="-1"/>
          <w:sz w:val="22"/>
          <w:szCs w:val="22"/>
          <w:lang w:val="lt-LT"/>
        </w:rPr>
        <w:t xml:space="preserve">1103 Budapest </w:t>
      </w:r>
    </w:p>
    <w:p w:rsidR="00F72832" w:rsidRDefault="00F72832" w:rsidP="00F72832">
      <w:pPr>
        <w:tabs>
          <w:tab w:val="left" w:pos="567"/>
        </w:tabs>
        <w:rPr>
          <w:rFonts w:ascii="Times New Roman" w:hAnsi="Times New Roman"/>
          <w:spacing w:val="-1"/>
          <w:sz w:val="22"/>
          <w:szCs w:val="22"/>
          <w:lang w:val="lt-LT"/>
        </w:rPr>
      </w:pPr>
      <w:r>
        <w:rPr>
          <w:rFonts w:ascii="Times New Roman" w:hAnsi="Times New Roman"/>
          <w:spacing w:val="-1"/>
          <w:sz w:val="22"/>
          <w:szCs w:val="22"/>
          <w:lang w:val="lt-LT"/>
        </w:rPr>
        <w:t>Vengrija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ind w:left="567" w:hanging="567"/>
        <w:rPr>
          <w:rFonts w:ascii="Times New Roman" w:hAnsi="Times New Roman"/>
          <w:b/>
          <w:sz w:val="22"/>
          <w:szCs w:val="22"/>
          <w:lang w:val="lt-LT"/>
        </w:rPr>
      </w:pPr>
      <w:r>
        <w:rPr>
          <w:rFonts w:ascii="Times New Roman" w:hAnsi="Times New Roman"/>
          <w:b/>
          <w:sz w:val="22"/>
          <w:szCs w:val="22"/>
          <w:lang w:val="lt-LT"/>
        </w:rPr>
        <w:t>8.</w:t>
      </w:r>
      <w:r>
        <w:rPr>
          <w:rFonts w:ascii="Times New Roman" w:hAnsi="Times New Roman"/>
          <w:b/>
          <w:sz w:val="22"/>
          <w:szCs w:val="22"/>
          <w:lang w:val="lt-LT"/>
        </w:rPr>
        <w:tab/>
        <w:t xml:space="preserve">REGISTRACIJOS PAŽYMĖJIMO NUMERIS (-IAI) </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z w:val="22"/>
          <w:szCs w:val="22"/>
          <w:lang w:val="lt-LT"/>
        </w:rPr>
        <w:t>N1 – LT/1/10/1902/003</w:t>
      </w: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z w:val="22"/>
          <w:szCs w:val="22"/>
          <w:lang w:val="lt-LT"/>
        </w:rPr>
        <w:t>N3 – LT/1/10/1902/004</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Antrat3"/>
        <w:spacing w:before="0" w:after="0"/>
        <w:rPr>
          <w:rFonts w:ascii="Times New Roman" w:hAnsi="Times New Roman"/>
          <w:snapToGrid w:val="0"/>
          <w:sz w:val="22"/>
          <w:szCs w:val="22"/>
          <w:lang w:val="lt-LT"/>
        </w:rPr>
      </w:pPr>
      <w:r>
        <w:rPr>
          <w:rFonts w:ascii="Times New Roman" w:hAnsi="Times New Roman"/>
          <w:b w:val="0"/>
          <w:sz w:val="22"/>
          <w:szCs w:val="22"/>
          <w:lang w:val="lt-LT"/>
        </w:rPr>
        <w:t xml:space="preserve">9.       </w:t>
      </w:r>
      <w:r>
        <w:rPr>
          <w:rFonts w:ascii="Times New Roman" w:hAnsi="Times New Roman"/>
          <w:snapToGrid w:val="0"/>
          <w:sz w:val="22"/>
          <w:szCs w:val="22"/>
          <w:lang w:val="lt-LT"/>
        </w:rPr>
        <w:t>REGISTRAVIMO / PERREGISTRAVIMO DATA</w:t>
      </w:r>
    </w:p>
    <w:p w:rsidR="00F72832" w:rsidRDefault="00F72832" w:rsidP="00F72832">
      <w:pPr>
        <w:rPr>
          <w:rFonts w:ascii="Times New Roman" w:hAnsi="Times New Roman" w:cs="Times New Roman"/>
          <w:snapToGrid w:val="0"/>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noProof/>
          <w:snapToGrid w:val="0"/>
          <w:sz w:val="22"/>
          <w:szCs w:val="22"/>
          <w:lang w:val="lt-LT"/>
        </w:rPr>
        <w:t xml:space="preserve">Registravimo data </w:t>
      </w:r>
      <w:r>
        <w:rPr>
          <w:rFonts w:ascii="Times New Roman" w:hAnsi="Times New Roman"/>
          <w:noProof/>
          <w:sz w:val="22"/>
          <w:szCs w:val="22"/>
          <w:lang w:val="lt-LT"/>
        </w:rPr>
        <w:t xml:space="preserve">2010 m. kovo 5 d. </w:t>
      </w:r>
    </w:p>
    <w:p w:rsidR="00F72832" w:rsidRDefault="00F72832" w:rsidP="00F72832">
      <w:pPr>
        <w:rPr>
          <w:rFonts w:ascii="Times New Roman" w:hAnsi="Times New Roman"/>
          <w:noProof/>
          <w:sz w:val="22"/>
          <w:szCs w:val="22"/>
          <w:lang w:val="lt-LT"/>
        </w:rPr>
      </w:pPr>
      <w:r>
        <w:rPr>
          <w:rFonts w:ascii="Times New Roman" w:hAnsi="Times New Roman"/>
          <w:noProof/>
          <w:snapToGrid w:val="0"/>
          <w:sz w:val="22"/>
          <w:szCs w:val="22"/>
          <w:lang w:val="lt-LT"/>
        </w:rPr>
        <w:t xml:space="preserve">Paskutinio perregistravimo data </w:t>
      </w:r>
      <w:r>
        <w:rPr>
          <w:rFonts w:ascii="Times New Roman" w:hAnsi="Times New Roman"/>
          <w:noProof/>
          <w:sz w:val="22"/>
          <w:szCs w:val="22"/>
          <w:lang w:val="lt-LT"/>
        </w:rPr>
        <w:t>2015 m. gegužės 26 d.</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b/>
          <w:sz w:val="22"/>
          <w:szCs w:val="22"/>
          <w:lang w:val="lt-LT"/>
        </w:rPr>
      </w:pPr>
      <w:r>
        <w:rPr>
          <w:rFonts w:ascii="Times New Roman" w:hAnsi="Times New Roman"/>
          <w:b/>
          <w:sz w:val="22"/>
          <w:szCs w:val="22"/>
          <w:lang w:val="lt-LT"/>
        </w:rPr>
        <w:t>10.</w:t>
      </w:r>
      <w:r>
        <w:rPr>
          <w:rFonts w:ascii="Times New Roman" w:hAnsi="Times New Roman"/>
          <w:b/>
          <w:sz w:val="22"/>
          <w:szCs w:val="22"/>
          <w:lang w:val="lt-LT"/>
        </w:rPr>
        <w:tab/>
        <w:t xml:space="preserve"> TEKSTO PERŽIŪROS DATA</w:t>
      </w:r>
    </w:p>
    <w:p w:rsidR="00F72832" w:rsidRDefault="00F72832" w:rsidP="00F72832">
      <w:pPr>
        <w:tabs>
          <w:tab w:val="left" w:pos="567"/>
        </w:tabs>
        <w:rPr>
          <w:rFonts w:ascii="Times New Roman" w:hAnsi="Times New Roman"/>
          <w:sz w:val="22"/>
          <w:szCs w:val="22"/>
          <w:lang w:val="lt-LT"/>
        </w:rPr>
      </w:pPr>
    </w:p>
    <w:p w:rsidR="004D1435" w:rsidRDefault="004D1435" w:rsidP="00F72832">
      <w:pPr>
        <w:tabs>
          <w:tab w:val="left" w:pos="567"/>
        </w:tabs>
        <w:rPr>
          <w:rFonts w:ascii="Times New Roman" w:hAnsi="Times New Roman"/>
          <w:sz w:val="22"/>
          <w:szCs w:val="22"/>
          <w:lang w:val="lt-LT"/>
        </w:rPr>
      </w:pPr>
      <w:r>
        <w:rPr>
          <w:rFonts w:ascii="Times New Roman" w:hAnsi="Times New Roman"/>
          <w:sz w:val="22"/>
          <w:szCs w:val="22"/>
          <w:lang w:val="lt-LT"/>
        </w:rPr>
        <w:t>2017 m. vasario 6 d.</w:t>
      </w:r>
    </w:p>
    <w:p w:rsidR="004D1435" w:rsidRDefault="004D1435" w:rsidP="00F72832">
      <w:pPr>
        <w:tabs>
          <w:tab w:val="left" w:pos="567"/>
        </w:tabs>
        <w:rPr>
          <w:rFonts w:ascii="Times New Roman" w:hAnsi="Times New Roman"/>
          <w:sz w:val="22"/>
          <w:szCs w:val="22"/>
          <w:lang w:val="lt-LT"/>
        </w:rPr>
      </w:pPr>
    </w:p>
    <w:p w:rsidR="00F72832" w:rsidRDefault="00F72832" w:rsidP="00F72832">
      <w:pPr>
        <w:tabs>
          <w:tab w:val="left" w:pos="5954"/>
          <w:tab w:val="left" w:pos="6237"/>
          <w:tab w:val="left" w:pos="6663"/>
          <w:tab w:val="left" w:pos="6946"/>
        </w:tabs>
        <w:rPr>
          <w:rFonts w:ascii="Times New Roman" w:eastAsia="SimSun" w:hAnsi="Times New Roman"/>
          <w:sz w:val="22"/>
          <w:szCs w:val="22"/>
          <w:lang w:val="lt-LT"/>
        </w:rPr>
      </w:pPr>
      <w:r>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eastAsia="SimSun" w:hAnsi="Times New Roman"/>
          <w:i/>
          <w:noProof/>
          <w:sz w:val="22"/>
          <w:szCs w:val="22"/>
          <w:lang w:val="lt-LT"/>
        </w:rPr>
        <w:t xml:space="preserve"> </w:t>
      </w:r>
      <w:hyperlink r:id="rId8" w:history="1">
        <w:r>
          <w:rPr>
            <w:rStyle w:val="Hipersaitas"/>
            <w:rFonts w:ascii="Times New Roman" w:eastAsia="SimSun" w:hAnsi="Times New Roman"/>
            <w:noProof/>
            <w:sz w:val="22"/>
            <w:szCs w:val="22"/>
            <w:lang w:val="lt-LT"/>
          </w:rPr>
          <w:t>http://www.</w:t>
        </w:r>
        <w:r>
          <w:rPr>
            <w:rStyle w:val="Hipersaitas"/>
            <w:rFonts w:ascii="Times New Roman" w:eastAsia="SimSun" w:hAnsi="Times New Roman"/>
            <w:sz w:val="22"/>
            <w:szCs w:val="22"/>
            <w:lang w:val="lt-LT"/>
          </w:rPr>
          <w:t>vvkt.lt</w:t>
        </w:r>
      </w:hyperlink>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br w:type="page"/>
      </w: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bookmarkStart w:id="0" w:name="_Toc129243128"/>
      <w:bookmarkStart w:id="1" w:name="_Toc129243253"/>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TTEMEASMCA"/>
        <w:rPr>
          <w:sz w:val="22"/>
          <w:szCs w:val="22"/>
          <w:lang w:val="lt-LT"/>
        </w:rPr>
      </w:pPr>
      <w:r>
        <w:rPr>
          <w:sz w:val="22"/>
          <w:szCs w:val="22"/>
        </w:rPr>
        <w:t>II PRIEDAS</w:t>
      </w:r>
      <w:bookmarkEnd w:id="0"/>
      <w:bookmarkEnd w:id="1"/>
    </w:p>
    <w:p w:rsidR="00F72832" w:rsidRDefault="00F72832" w:rsidP="00F72832">
      <w:pPr>
        <w:pStyle w:val="TTEMEASMCA"/>
        <w:rPr>
          <w:sz w:val="22"/>
          <w:szCs w:val="22"/>
        </w:rPr>
      </w:pPr>
    </w:p>
    <w:p w:rsidR="00F72832" w:rsidRDefault="00F72832" w:rsidP="00F72832">
      <w:pPr>
        <w:pStyle w:val="TTEMEASMCA"/>
        <w:rPr>
          <w:sz w:val="22"/>
          <w:szCs w:val="22"/>
        </w:rPr>
      </w:pPr>
      <w:r>
        <w:rPr>
          <w:sz w:val="22"/>
          <w:szCs w:val="22"/>
        </w:rPr>
        <w:t>REGISTRACIJOS SĄLYGOS</w:t>
      </w:r>
    </w:p>
    <w:p w:rsidR="00F72832" w:rsidRDefault="00F72832" w:rsidP="00F72832">
      <w:pPr>
        <w:pStyle w:val="BTEMEASMCA"/>
        <w:rPr>
          <w:rFonts w:ascii="Times New Roman" w:hAnsi="Times New Roman"/>
          <w:sz w:val="22"/>
          <w:szCs w:val="22"/>
          <w:lang w:val="lt-LT"/>
        </w:rPr>
      </w:pPr>
    </w:p>
    <w:p w:rsidR="00F72832" w:rsidRDefault="00F72832" w:rsidP="00F72832">
      <w:pPr>
        <w:pStyle w:val="BTAnIIEMEASMCA"/>
        <w:rPr>
          <w:highlight w:val="yellow"/>
          <w:lang w:val="lt-LT"/>
        </w:rPr>
      </w:pPr>
      <w:r>
        <w:rPr>
          <w:lang w:val="lt-LT"/>
        </w:rPr>
        <w:t>A.</w:t>
      </w:r>
      <w:r>
        <w:rPr>
          <w:lang w:val="lt-LT"/>
        </w:rPr>
        <w:tab/>
        <w:t>GAMINTOJAS (-AI), ATSAKINGAS (-I) UŽ SERIJŲ IŠLEIDIMĄ</w:t>
      </w:r>
    </w:p>
    <w:p w:rsidR="00F72832" w:rsidRDefault="00F72832" w:rsidP="00F72832">
      <w:pPr>
        <w:pStyle w:val="BTEMEASMCA"/>
        <w:rPr>
          <w:rFonts w:ascii="Times New Roman" w:hAnsi="Times New Roman"/>
          <w:sz w:val="22"/>
          <w:szCs w:val="22"/>
          <w:highlight w:val="yellow"/>
          <w:lang w:val="lt-LT"/>
        </w:rPr>
      </w:pPr>
    </w:p>
    <w:p w:rsidR="00F72832" w:rsidRDefault="00F72832" w:rsidP="00F72832">
      <w:pPr>
        <w:pStyle w:val="BTAnIIEMEASMCA"/>
        <w:rPr>
          <w:lang w:val="lt-LT"/>
        </w:rPr>
      </w:pPr>
      <w:r>
        <w:rPr>
          <w:lang w:val="lt-LT"/>
        </w:rPr>
        <w:t>B.</w:t>
      </w:r>
      <w:r>
        <w:rPr>
          <w:lang w:val="lt-LT"/>
        </w:rPr>
        <w:tab/>
        <w:t>TIEKIMO IR VARTOJIMO SĄLYGOS IR ARPIBOJIMAI</w:t>
      </w:r>
    </w:p>
    <w:p w:rsidR="00F72832" w:rsidRDefault="00F72832" w:rsidP="00F72832">
      <w:pPr>
        <w:pStyle w:val="BTEMEASMCA"/>
        <w:rPr>
          <w:rFonts w:ascii="Times New Roman" w:hAnsi="Times New Roman"/>
          <w:sz w:val="22"/>
          <w:szCs w:val="22"/>
          <w:highlight w:val="yellow"/>
          <w:lang w:val="lt-LT"/>
        </w:rPr>
      </w:pPr>
    </w:p>
    <w:p w:rsidR="00F72832" w:rsidRDefault="00F72832" w:rsidP="00F72832">
      <w:pPr>
        <w:pStyle w:val="PI-1EMEASMCA"/>
        <w:rPr>
          <w:lang w:val="lt-LT"/>
        </w:rPr>
      </w:pPr>
      <w:r>
        <w:rPr>
          <w:lang w:val="lt-LT"/>
        </w:rPr>
        <w:br w:type="page"/>
      </w:r>
      <w:r>
        <w:rPr>
          <w:lang w:val="lt-LT"/>
        </w:rPr>
        <w:lastRenderedPageBreak/>
        <w:t>A.</w:t>
      </w:r>
      <w:r>
        <w:rPr>
          <w:lang w:val="lt-LT"/>
        </w:rPr>
        <w:tab/>
        <w:t>GAM INTOJAS (-AI), ATSAKINGAS (-I) UŽ SERIJŲ IŠLEIDIMĄ</w:t>
      </w:r>
    </w:p>
    <w:p w:rsidR="00F72832" w:rsidRDefault="00F72832" w:rsidP="00F72832">
      <w:pPr>
        <w:pStyle w:val="BTuEMEASMCA"/>
        <w:rPr>
          <w:rFonts w:ascii="Times New Roman" w:hAnsi="Times New Roman"/>
          <w:sz w:val="22"/>
          <w:szCs w:val="22"/>
          <w:lang w:val="lt-LT"/>
        </w:rPr>
      </w:pPr>
    </w:p>
    <w:p w:rsidR="00F72832" w:rsidRDefault="00F72832" w:rsidP="00F72832">
      <w:pPr>
        <w:pStyle w:val="BTuEMEASMCA"/>
        <w:rPr>
          <w:rFonts w:ascii="Times New Roman" w:hAnsi="Times New Roman"/>
          <w:sz w:val="22"/>
          <w:szCs w:val="22"/>
          <w:lang w:val="lt-LT"/>
        </w:rPr>
      </w:pPr>
      <w:r>
        <w:rPr>
          <w:rFonts w:ascii="Times New Roman" w:hAnsi="Times New Roman"/>
          <w:sz w:val="22"/>
          <w:szCs w:val="22"/>
          <w:lang w:val="lt-LT"/>
        </w:rPr>
        <w:t xml:space="preserve">Gamintojo, atsakingo už serijų išleidimą, pavadinimas ir adresas </w:t>
      </w:r>
    </w:p>
    <w:p w:rsidR="00F72832" w:rsidRDefault="00F72832" w:rsidP="00F72832">
      <w:pPr>
        <w:pStyle w:val="BTEMEASMCA"/>
        <w:rPr>
          <w:rFonts w:ascii="Times New Roman" w:hAnsi="Times New Roman"/>
          <w:sz w:val="22"/>
          <w:szCs w:val="22"/>
          <w:highlight w:val="yellow"/>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Gedeon Richter Plc.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Gyömrői út. 19–21</w:t>
      </w:r>
    </w:p>
    <w:p w:rsidR="00F72832" w:rsidRDefault="00F72832" w:rsidP="00F72832">
      <w:pPr>
        <w:tabs>
          <w:tab w:val="left" w:pos="567"/>
        </w:tabs>
        <w:jc w:val="both"/>
        <w:rPr>
          <w:rFonts w:ascii="Times New Roman" w:hAnsi="Times New Roman"/>
          <w:sz w:val="22"/>
          <w:szCs w:val="22"/>
          <w:lang w:val="lt-LT"/>
        </w:rPr>
      </w:pPr>
      <w:r>
        <w:rPr>
          <w:rFonts w:ascii="Times New Roman" w:hAnsi="Times New Roman"/>
          <w:sz w:val="22"/>
          <w:szCs w:val="22"/>
          <w:lang w:val="lt-LT"/>
        </w:rPr>
        <w:t>1103 Budapest</w:t>
      </w:r>
    </w:p>
    <w:p w:rsidR="00F72832" w:rsidRDefault="00F72832" w:rsidP="00F72832">
      <w:pPr>
        <w:tabs>
          <w:tab w:val="left" w:pos="567"/>
        </w:tabs>
        <w:jc w:val="both"/>
        <w:rPr>
          <w:rFonts w:ascii="Times New Roman" w:hAnsi="Times New Roman"/>
          <w:sz w:val="22"/>
          <w:szCs w:val="22"/>
          <w:lang w:val="lt-LT"/>
        </w:rPr>
      </w:pPr>
      <w:r>
        <w:rPr>
          <w:rFonts w:ascii="Times New Roman" w:hAnsi="Times New Roman"/>
          <w:sz w:val="22"/>
          <w:szCs w:val="22"/>
          <w:lang w:val="lt-LT"/>
        </w:rPr>
        <w:t>Vengrija</w:t>
      </w:r>
    </w:p>
    <w:p w:rsidR="00F72832" w:rsidRDefault="00F72832" w:rsidP="00F72832">
      <w:pPr>
        <w:pStyle w:val="BTEMEASMCA"/>
        <w:rPr>
          <w:rFonts w:ascii="Times New Roman" w:hAnsi="Times New Roman"/>
          <w:sz w:val="22"/>
          <w:szCs w:val="22"/>
          <w:highlight w:val="yellow"/>
          <w:lang w:val="lt-LT"/>
        </w:rPr>
      </w:pPr>
    </w:p>
    <w:p w:rsidR="00F72832" w:rsidRDefault="00F72832" w:rsidP="00F72832">
      <w:pPr>
        <w:pStyle w:val="BTEMEASMCA"/>
        <w:rPr>
          <w:rFonts w:ascii="Times New Roman" w:hAnsi="Times New Roman"/>
          <w:sz w:val="22"/>
          <w:szCs w:val="22"/>
          <w:highlight w:val="yellow"/>
          <w:lang w:val="lt-LT"/>
        </w:rPr>
      </w:pPr>
    </w:p>
    <w:p w:rsidR="00F72832" w:rsidRDefault="00F72832" w:rsidP="00F72832">
      <w:pPr>
        <w:pStyle w:val="PI-1EMEASMCA"/>
        <w:rPr>
          <w:lang w:val="lt-LT"/>
        </w:rPr>
      </w:pPr>
      <w:bookmarkStart w:id="2" w:name="_Toc129243129"/>
      <w:bookmarkStart w:id="3" w:name="_Toc129243254"/>
      <w:r>
        <w:rPr>
          <w:lang w:val="lt-LT"/>
        </w:rPr>
        <w:t>B.</w:t>
      </w:r>
      <w:r>
        <w:rPr>
          <w:lang w:val="lt-LT"/>
        </w:rPr>
        <w:tab/>
        <w:t xml:space="preserve">TIEKIMO IR VARTOJIMO SĄLYGOS AR APRIBOJIMAI </w:t>
      </w:r>
      <w:bookmarkEnd w:id="2"/>
      <w:bookmarkEnd w:id="3"/>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Receptinis vaistinis preparatas.</w:t>
      </w:r>
    </w:p>
    <w:p w:rsidR="00F72832" w:rsidRDefault="00F72832" w:rsidP="00F72832">
      <w:pPr>
        <w:pStyle w:val="Pagrindinistekstas"/>
        <w:tabs>
          <w:tab w:val="left" w:pos="567"/>
        </w:tabs>
        <w:rPr>
          <w:sz w:val="20"/>
          <w:szCs w:val="22"/>
        </w:rPr>
      </w:pP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br w:type="page"/>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TTEMEASMCA"/>
        <w:rPr>
          <w:sz w:val="22"/>
          <w:szCs w:val="22"/>
          <w:lang w:val="lt-LT"/>
        </w:rPr>
      </w:pPr>
      <w:bookmarkStart w:id="4" w:name="_Toc129243134"/>
      <w:bookmarkStart w:id="5" w:name="_Toc129243259"/>
    </w:p>
    <w:p w:rsidR="00F72832" w:rsidRDefault="00F72832" w:rsidP="00F72832">
      <w:pPr>
        <w:pStyle w:val="TTEMEASMCA"/>
        <w:rPr>
          <w:sz w:val="22"/>
          <w:szCs w:val="22"/>
        </w:rPr>
      </w:pPr>
      <w:r>
        <w:rPr>
          <w:sz w:val="22"/>
          <w:szCs w:val="22"/>
        </w:rPr>
        <w:t>III PRIEDAS</w:t>
      </w:r>
      <w:bookmarkEnd w:id="4"/>
      <w:bookmarkEnd w:id="5"/>
    </w:p>
    <w:p w:rsidR="00F72832" w:rsidRDefault="00F72832" w:rsidP="00F72832">
      <w:pPr>
        <w:pStyle w:val="BTEMEASMCA"/>
        <w:rPr>
          <w:rFonts w:ascii="Times New Roman" w:hAnsi="Times New Roman"/>
          <w:sz w:val="22"/>
          <w:szCs w:val="22"/>
          <w:lang w:val="lt-LT"/>
        </w:rPr>
      </w:pPr>
    </w:p>
    <w:p w:rsidR="00F72832" w:rsidRDefault="00F72832" w:rsidP="00F72832">
      <w:pPr>
        <w:pStyle w:val="TTEMEASMCA"/>
        <w:rPr>
          <w:sz w:val="22"/>
          <w:szCs w:val="22"/>
          <w:lang w:val="lt-LT"/>
        </w:rPr>
      </w:pPr>
      <w:r>
        <w:rPr>
          <w:sz w:val="22"/>
          <w:szCs w:val="22"/>
        </w:rPr>
        <w:t>ŽENKLINIMAS IR PAKUOTĖS LAPELIS</w:t>
      </w:r>
    </w:p>
    <w:p w:rsidR="00F72832" w:rsidRDefault="00F72832" w:rsidP="00F72832">
      <w:pPr>
        <w:pStyle w:val="BTEMEASMCA"/>
        <w:rPr>
          <w:rFonts w:ascii="Times New Roman" w:hAnsi="Times New Roman"/>
          <w:sz w:val="22"/>
          <w:szCs w:val="22"/>
          <w:lang w:val="lt-LT"/>
        </w:rPr>
      </w:pPr>
      <w:r>
        <w:rPr>
          <w:rFonts w:ascii="Times New Roman" w:eastAsia="Calibri" w:hAnsi="Times New Roman"/>
          <w:sz w:val="22"/>
          <w:szCs w:val="22"/>
          <w:lang w:val="lt-LT" w:eastAsia="lt-LT"/>
        </w:rPr>
        <w:br w:type="page"/>
      </w: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TTEMEASMCA"/>
        <w:rPr>
          <w:sz w:val="22"/>
          <w:szCs w:val="22"/>
          <w:lang w:val="lt-LT"/>
        </w:rPr>
      </w:pPr>
      <w:bookmarkStart w:id="6" w:name="_Toc129243135"/>
      <w:bookmarkStart w:id="7" w:name="_Toc129243260"/>
    </w:p>
    <w:p w:rsidR="00F72832" w:rsidRDefault="00F72832" w:rsidP="00F72832">
      <w:pPr>
        <w:pStyle w:val="TTEMEASMCA"/>
        <w:rPr>
          <w:sz w:val="22"/>
          <w:szCs w:val="22"/>
        </w:rPr>
      </w:pPr>
      <w:r>
        <w:rPr>
          <w:sz w:val="22"/>
          <w:szCs w:val="22"/>
        </w:rPr>
        <w:t xml:space="preserve">A. ŽENKLINIMAS </w:t>
      </w:r>
      <w:bookmarkEnd w:id="6"/>
      <w:bookmarkEnd w:id="7"/>
    </w:p>
    <w:p w:rsidR="00F72832" w:rsidRDefault="00F72832" w:rsidP="00F72832">
      <w:pPr>
        <w:pStyle w:val="BTEMEASMCA"/>
        <w:rPr>
          <w:rFonts w:ascii="Times New Roman" w:hAnsi="Times New Roman"/>
          <w:sz w:val="22"/>
          <w:szCs w:val="22"/>
          <w:lang w:val="lt-LT"/>
        </w:rPr>
      </w:pPr>
      <w:r>
        <w:rPr>
          <w:rFonts w:ascii="Times New Roman" w:eastAsia="Calibri" w:hAnsi="Times New Roman"/>
          <w:sz w:val="22"/>
          <w:szCs w:val="22"/>
          <w:lang w:val="lt-LT" w:eastAsia="lt-LT"/>
        </w:rPr>
        <w:br w:type="page"/>
      </w: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lastRenderedPageBreak/>
        <w:t>INFORMACIJA ANT IŠORINĖS PAKUOTĖS</w:t>
      </w:r>
    </w:p>
    <w:p w:rsidR="00F72832" w:rsidRDefault="00F72832" w:rsidP="00F72832">
      <w:pPr>
        <w:pStyle w:val="PI-1labEMEASMCA"/>
        <w:tabs>
          <w:tab w:val="left" w:pos="567"/>
        </w:tabs>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bCs/>
          <w:caps/>
          <w:sz w:val="22"/>
          <w:szCs w:val="22"/>
          <w:lang w:val="lt-LT"/>
        </w:rPr>
      </w:pPr>
      <w:r>
        <w:rPr>
          <w:rFonts w:ascii="Times New Roman" w:hAnsi="Times New Roman"/>
          <w:bCs/>
          <w:caps/>
          <w:sz w:val="22"/>
          <w:szCs w:val="22"/>
          <w:lang w:val="lt-LT"/>
        </w:rPr>
        <w:t>Kartono dėžutė</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VAISTINIO PREPARATO PAVADINIMAS</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 w:val="left" w:pos="1800"/>
        </w:tabs>
        <w:rPr>
          <w:rFonts w:ascii="Times New Roman" w:hAnsi="Times New Roman"/>
          <w:sz w:val="22"/>
          <w:szCs w:val="22"/>
          <w:lang w:val="lt-LT"/>
        </w:rPr>
      </w:pPr>
      <w:r>
        <w:rPr>
          <w:rFonts w:ascii="Times New Roman" w:hAnsi="Times New Roman"/>
          <w:sz w:val="22"/>
          <w:szCs w:val="22"/>
          <w:lang w:val="lt-LT"/>
        </w:rPr>
        <w:t>O</w:t>
      </w:r>
      <w:r>
        <w:rPr>
          <w:rFonts w:ascii="Times New Roman" w:hAnsi="Times New Roman"/>
          <w:caps/>
          <w:sz w:val="22"/>
          <w:szCs w:val="22"/>
          <w:lang w:val="lt-LT"/>
        </w:rPr>
        <w:t>ssica</w:t>
      </w:r>
      <w:r>
        <w:rPr>
          <w:rFonts w:ascii="Times New Roman" w:hAnsi="Times New Roman"/>
          <w:sz w:val="22"/>
          <w:szCs w:val="22"/>
          <w:lang w:val="lt-LT"/>
        </w:rPr>
        <w:t xml:space="preserve"> 150 mg </w:t>
      </w:r>
      <w:r>
        <w:rPr>
          <w:rFonts w:ascii="Times New Roman" w:hAnsi="Times New Roman"/>
          <w:noProof/>
          <w:sz w:val="22"/>
          <w:szCs w:val="22"/>
          <w:lang w:val="lt-LT"/>
        </w:rPr>
        <w:t>plėvele</w:t>
      </w:r>
      <w:r>
        <w:rPr>
          <w:rFonts w:ascii="Times New Roman" w:hAnsi="Times New Roman"/>
          <w:sz w:val="22"/>
          <w:szCs w:val="22"/>
          <w:lang w:val="lt-LT"/>
        </w:rPr>
        <w:t xml:space="preserve"> dengtos tabletės</w:t>
      </w:r>
    </w:p>
    <w:p w:rsidR="00F72832" w:rsidRDefault="00F72832" w:rsidP="00F72832">
      <w:pPr>
        <w:tabs>
          <w:tab w:val="left" w:pos="425"/>
          <w:tab w:val="left" w:pos="567"/>
        </w:tabs>
        <w:rPr>
          <w:rFonts w:ascii="Times New Roman" w:hAnsi="Times New Roman"/>
          <w:bCs/>
          <w:noProof/>
          <w:color w:val="000000"/>
          <w:spacing w:val="2"/>
          <w:sz w:val="22"/>
          <w:szCs w:val="22"/>
          <w:lang w:val="lt-LT"/>
        </w:rPr>
      </w:pPr>
      <w:r>
        <w:rPr>
          <w:rFonts w:ascii="Times New Roman" w:hAnsi="Times New Roman"/>
          <w:bCs/>
          <w:noProof/>
          <w:color w:val="000000"/>
          <w:spacing w:val="2"/>
          <w:sz w:val="22"/>
          <w:szCs w:val="22"/>
          <w:lang w:val="lt-LT"/>
        </w:rPr>
        <w:t>Acidum ibandronicum</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VEIKLIOJI (-IOS) MEDŽIAGA (-OS) IR JOS (-Ų) KIEKIS (-IAI)</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autoSpaceDE w:val="0"/>
        <w:autoSpaceDN w:val="0"/>
        <w:adjustRightInd w:val="0"/>
        <w:rPr>
          <w:rFonts w:ascii="Times New Roman" w:hAnsi="Times New Roman"/>
          <w:sz w:val="22"/>
          <w:szCs w:val="22"/>
          <w:lang w:val="lt-LT" w:eastAsia="hu-HU"/>
        </w:rPr>
      </w:pPr>
      <w:r>
        <w:rPr>
          <w:rFonts w:ascii="Times New Roman" w:hAnsi="Times New Roman"/>
          <w:sz w:val="22"/>
          <w:szCs w:val="22"/>
          <w:lang w:val="lt-LT" w:eastAsia="hu-HU"/>
        </w:rPr>
        <w:t>Kiekvienoje plėvele dengtoje tabletėje yra 150 mg ibandrono rūgšties (natrio ibandronato monohidrato pavidalu).</w:t>
      </w:r>
    </w:p>
    <w:p w:rsidR="00F72832" w:rsidRDefault="00F72832" w:rsidP="00F72832">
      <w:pPr>
        <w:pStyle w:val="BTEMEASMCA"/>
        <w:rPr>
          <w:rFonts w:ascii="Times New Roman" w:hAnsi="Times New Roman"/>
          <w:sz w:val="22"/>
          <w:szCs w:val="22"/>
          <w:lang w:val="lt-LT" w:eastAsia="lt-LT"/>
        </w:rPr>
      </w:pPr>
    </w:p>
    <w:p w:rsidR="00F72832" w:rsidRDefault="00F72832" w:rsidP="00F72832">
      <w:pPr>
        <w:pStyle w:val="BTEMEASMCA"/>
        <w:rPr>
          <w:rFonts w:ascii="Times New Roman" w:hAnsi="Times New Roman"/>
          <w:sz w:val="22"/>
          <w:szCs w:val="22"/>
          <w:lang w:val="lt-LT"/>
        </w:rPr>
      </w:pPr>
    </w:p>
    <w:p w:rsidR="00F72832" w:rsidRPr="00F72832" w:rsidRDefault="00F72832" w:rsidP="00F72832">
      <w:pPr>
        <w:pStyle w:val="PI-1labEMEASMCA"/>
        <w:tabs>
          <w:tab w:val="left" w:pos="567"/>
        </w:tabs>
        <w:rPr>
          <w:rFonts w:ascii="Times New Roman" w:hAnsi="Times New Roman"/>
          <w:sz w:val="22"/>
          <w:szCs w:val="22"/>
          <w:highlight w:val="lightGray"/>
          <w:lang w:val="lt-LT"/>
        </w:rPr>
      </w:pPr>
      <w:r>
        <w:rPr>
          <w:rFonts w:ascii="Times New Roman" w:hAnsi="Times New Roman"/>
          <w:sz w:val="22"/>
          <w:szCs w:val="22"/>
          <w:lang w:val="lt-LT"/>
        </w:rPr>
        <w:t>3.</w:t>
      </w:r>
      <w:r>
        <w:rPr>
          <w:rFonts w:ascii="Times New Roman" w:hAnsi="Times New Roman"/>
          <w:sz w:val="22"/>
          <w:szCs w:val="22"/>
          <w:lang w:val="lt-LT"/>
        </w:rPr>
        <w:tab/>
        <w:t>PAGALBINIŲ MEDŽIAGŲ SĄRAŠAS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Sudėtyje yra laktozės monohidrato. Daugiau informacijos pateikta pakuotės lapelyje.</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FARMACINĖ FORMA IR KIEKIS PAKUOTĖJE</w:t>
      </w:r>
    </w:p>
    <w:p w:rsidR="00F72832" w:rsidRDefault="00F72832" w:rsidP="00F72832">
      <w:pPr>
        <w:pStyle w:val="BTEMEASMCA"/>
        <w:rPr>
          <w:rFonts w:ascii="Times New Roman" w:hAnsi="Times New Roman"/>
          <w:sz w:val="22"/>
          <w:szCs w:val="22"/>
          <w:lang w:val="lt-LT"/>
        </w:rPr>
      </w:pPr>
    </w:p>
    <w:p w:rsidR="00F10808" w:rsidRDefault="00F10808" w:rsidP="00F72832">
      <w:pPr>
        <w:pStyle w:val="BTEMEASMCA"/>
        <w:rPr>
          <w:rFonts w:ascii="Times New Roman" w:hAnsi="Times New Roman"/>
          <w:sz w:val="22"/>
          <w:szCs w:val="22"/>
          <w:lang w:val="lt-LT"/>
        </w:rPr>
      </w:pPr>
      <w:r>
        <w:rPr>
          <w:rFonts w:ascii="Times New Roman" w:hAnsi="Times New Roman"/>
          <w:sz w:val="22"/>
          <w:szCs w:val="22"/>
          <w:lang w:val="lt-LT"/>
        </w:rPr>
        <w:t>Vartoti vieną kartą per mėnesį</w:t>
      </w: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1 plėvele dengta tabletė</w:t>
      </w:r>
    </w:p>
    <w:p w:rsidR="00F72832" w:rsidRDefault="00F72832" w:rsidP="00F72832">
      <w:pPr>
        <w:pStyle w:val="BTEMEASMCA"/>
        <w:rPr>
          <w:rFonts w:ascii="Times New Roman" w:hAnsi="Times New Roman"/>
          <w:sz w:val="22"/>
          <w:szCs w:val="22"/>
          <w:lang w:val="lt-LT"/>
        </w:rPr>
      </w:pPr>
      <w:r w:rsidRPr="00F72832">
        <w:rPr>
          <w:rFonts w:ascii="Times New Roman" w:hAnsi="Times New Roman"/>
          <w:sz w:val="22"/>
          <w:szCs w:val="22"/>
          <w:highlight w:val="lightGray"/>
          <w:lang w:val="lt-LT"/>
        </w:rPr>
        <w:t>3 plėvele dengtos tabletės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Pr="00F72832" w:rsidRDefault="00F72832" w:rsidP="00F72832">
      <w:pPr>
        <w:pStyle w:val="PI-1labEMEASMCA"/>
        <w:tabs>
          <w:tab w:val="left" w:pos="567"/>
        </w:tabs>
        <w:rPr>
          <w:rFonts w:ascii="Times New Roman" w:hAnsi="Times New Roman"/>
          <w:sz w:val="22"/>
          <w:szCs w:val="22"/>
          <w:highlight w:val="lightGray"/>
          <w:lang w:val="lt-LT"/>
        </w:rPr>
      </w:pPr>
      <w:r>
        <w:rPr>
          <w:rFonts w:ascii="Times New Roman" w:hAnsi="Times New Roman"/>
          <w:sz w:val="22"/>
          <w:szCs w:val="22"/>
          <w:lang w:val="lt-LT"/>
        </w:rPr>
        <w:t>5.</w:t>
      </w:r>
      <w:r>
        <w:rPr>
          <w:rFonts w:ascii="Times New Roman" w:hAnsi="Times New Roman"/>
          <w:sz w:val="22"/>
          <w:szCs w:val="22"/>
          <w:lang w:val="lt-LT"/>
        </w:rPr>
        <w:tab/>
        <w:t>VARTOJIMO METODAS IR BŪDAS (-AI)</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Vartoti per burną.</w:t>
      </w: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Prieš vartojimą perskaitykite pakuotės lapelį.</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SPECIALUS ĮSPĖJIMAS, KAD VAISTINĮ PREPARATĄ BŪTINA LAIKYTI VAIKAMS NEPASTEBIMOJE IR NEPASIEKIAMOJE VIETOJE</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Laikyti vaikams nepastebimoje ir nepasiekiamoje vietoje.</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Pr="00F72832" w:rsidRDefault="00F72832" w:rsidP="00F72832">
      <w:pPr>
        <w:pStyle w:val="PI-1labEMEASMCA"/>
        <w:tabs>
          <w:tab w:val="left" w:pos="567"/>
        </w:tabs>
        <w:rPr>
          <w:rFonts w:ascii="Times New Roman" w:hAnsi="Times New Roman"/>
          <w:sz w:val="22"/>
          <w:szCs w:val="22"/>
          <w:highlight w:val="lightGray"/>
          <w:lang w:val="lt-LT"/>
        </w:rPr>
      </w:pPr>
      <w:r>
        <w:rPr>
          <w:rFonts w:ascii="Times New Roman" w:hAnsi="Times New Roman"/>
          <w:sz w:val="22"/>
          <w:szCs w:val="22"/>
          <w:lang w:val="lt-LT"/>
        </w:rPr>
        <w:t>7.</w:t>
      </w:r>
      <w:r>
        <w:rPr>
          <w:rFonts w:ascii="Times New Roman" w:hAnsi="Times New Roman"/>
          <w:sz w:val="22"/>
          <w:szCs w:val="22"/>
          <w:lang w:val="lt-LT"/>
        </w:rPr>
        <w:tab/>
        <w:t>KITAS (-I) SPECIALUS (-ŪS) ĮSPĖJIMAS (-AI) (JEI REIKIA)</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Pr="00F72832" w:rsidRDefault="00F72832" w:rsidP="00F72832">
      <w:pPr>
        <w:pStyle w:val="PI-1labEMEASMCA"/>
        <w:tabs>
          <w:tab w:val="left" w:pos="567"/>
        </w:tabs>
        <w:rPr>
          <w:rFonts w:ascii="Times New Roman" w:hAnsi="Times New Roman"/>
          <w:sz w:val="22"/>
          <w:szCs w:val="22"/>
          <w:highlight w:val="lightGray"/>
          <w:lang w:val="lt-LT"/>
        </w:rPr>
      </w:pPr>
      <w:r>
        <w:rPr>
          <w:rFonts w:ascii="Times New Roman" w:hAnsi="Times New Roman"/>
          <w:sz w:val="22"/>
          <w:szCs w:val="22"/>
          <w:lang w:val="lt-LT"/>
        </w:rPr>
        <w:t>8.</w:t>
      </w:r>
      <w:r>
        <w:rPr>
          <w:rFonts w:ascii="Times New Roman" w:hAnsi="Times New Roman"/>
          <w:sz w:val="22"/>
          <w:szCs w:val="22"/>
          <w:lang w:val="lt-LT"/>
        </w:rPr>
        <w:tab/>
        <w:t>TINKAMUMO LAIKAS</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Tinka iki </w:t>
      </w:r>
      <w:r w:rsidRPr="002B7661">
        <w:rPr>
          <w:rFonts w:ascii="Times New Roman" w:hAnsi="Times New Roman"/>
          <w:i/>
          <w:sz w:val="22"/>
          <w:szCs w:val="22"/>
          <w:lang w:val="lt-LT"/>
        </w:rPr>
        <w:t>{mm/MMMM}</w:t>
      </w: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SPECIALIOS LAIKYMO SĄLYGOS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 xml:space="preserve">SPECIALIOS ATSARGUMO PRIEMONĖS DĖL NESUVARTOTO </w:t>
      </w:r>
      <w:r>
        <w:rPr>
          <w:rFonts w:ascii="Times New Roman" w:hAnsi="Times New Roman"/>
          <w:bCs/>
          <w:sz w:val="22"/>
          <w:szCs w:val="22"/>
          <w:lang w:val="lt-LT"/>
        </w:rPr>
        <w:t xml:space="preserve">VAISTINIO PREPARATO AR JO ATLIEKŲ </w:t>
      </w:r>
      <w:r>
        <w:rPr>
          <w:rFonts w:ascii="Times New Roman" w:hAnsi="Times New Roman"/>
          <w:sz w:val="22"/>
          <w:szCs w:val="22"/>
          <w:lang w:val="lt-LT"/>
        </w:rPr>
        <w:t>TVARKYMO (JEI REIKIA)</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11.</w:t>
      </w:r>
      <w:r>
        <w:rPr>
          <w:rFonts w:ascii="Times New Roman" w:hAnsi="Times New Roman"/>
          <w:sz w:val="22"/>
          <w:szCs w:val="22"/>
          <w:lang w:val="lt-LT"/>
        </w:rPr>
        <w:tab/>
        <w:t>REGISTRUOTOJO PAVADINIMAS IR ADRESAS</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Gyömrői út 19-21.</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1103 Budapest</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Vengrija</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((RG logo))</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12.</w:t>
      </w:r>
      <w:r>
        <w:rPr>
          <w:rFonts w:ascii="Times New Roman" w:hAnsi="Times New Roman"/>
          <w:sz w:val="22"/>
          <w:szCs w:val="22"/>
          <w:lang w:val="lt-LT"/>
        </w:rPr>
        <w:tab/>
        <w:t>REGISTRACIJOS PAŽYMĖJIMO NUMERIS (_IAI)</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z w:val="22"/>
          <w:szCs w:val="22"/>
          <w:lang w:val="lt-LT"/>
        </w:rPr>
        <w:t>N1 – LT/1/10/1902/003</w:t>
      </w:r>
    </w:p>
    <w:p w:rsidR="00F72832" w:rsidRDefault="00F72832" w:rsidP="00F72832">
      <w:pPr>
        <w:tabs>
          <w:tab w:val="left" w:pos="567"/>
        </w:tabs>
        <w:spacing w:line="260" w:lineRule="exact"/>
        <w:rPr>
          <w:rFonts w:ascii="Times New Roman" w:hAnsi="Times New Roman"/>
          <w:sz w:val="22"/>
          <w:szCs w:val="22"/>
          <w:lang w:val="lt-LT"/>
        </w:rPr>
      </w:pPr>
      <w:r>
        <w:rPr>
          <w:rFonts w:ascii="Times New Roman" w:hAnsi="Times New Roman"/>
          <w:sz w:val="22"/>
          <w:szCs w:val="22"/>
          <w:lang w:val="lt-LT"/>
        </w:rPr>
        <w:t>N3 – LT/1/10/1902/004</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13.</w:t>
      </w:r>
      <w:r>
        <w:rPr>
          <w:rFonts w:ascii="Times New Roman" w:hAnsi="Times New Roman"/>
          <w:sz w:val="22"/>
          <w:szCs w:val="22"/>
          <w:lang w:val="lt-LT"/>
        </w:rPr>
        <w:tab/>
        <w:t>SERIJOS NUMERIS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Serija</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14.</w:t>
      </w:r>
      <w:r>
        <w:rPr>
          <w:rFonts w:ascii="Times New Roman" w:hAnsi="Times New Roman"/>
          <w:sz w:val="22"/>
          <w:szCs w:val="22"/>
          <w:lang w:val="lt-LT"/>
        </w:rPr>
        <w:tab/>
        <w:t>PARDAVIMO (IŠDAVIMO) TVARKA</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Receptinis vaistas.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15.</w:t>
      </w:r>
      <w:r>
        <w:rPr>
          <w:rFonts w:ascii="Times New Roman" w:hAnsi="Times New Roman"/>
          <w:sz w:val="22"/>
          <w:szCs w:val="22"/>
          <w:lang w:val="lt-LT"/>
        </w:rPr>
        <w:tab/>
        <w:t>VARTOJIMO INSTRUKCIJA</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pBdr>
          <w:top w:val="single" w:sz="4" w:space="3" w:color="auto"/>
        </w:pBdr>
        <w:tabs>
          <w:tab w:val="left" w:pos="567"/>
        </w:tabs>
        <w:rPr>
          <w:rFonts w:ascii="Times New Roman" w:hAnsi="Times New Roman"/>
          <w:sz w:val="22"/>
          <w:szCs w:val="22"/>
          <w:lang w:val="lt-LT"/>
        </w:rPr>
      </w:pPr>
      <w:r>
        <w:rPr>
          <w:rFonts w:ascii="Times New Roman" w:hAnsi="Times New Roman"/>
          <w:sz w:val="22"/>
          <w:szCs w:val="22"/>
          <w:lang w:val="lt-LT"/>
        </w:rPr>
        <w:t>16.</w:t>
      </w:r>
      <w:r>
        <w:rPr>
          <w:rFonts w:ascii="Times New Roman" w:hAnsi="Times New Roman"/>
          <w:sz w:val="22"/>
          <w:szCs w:val="22"/>
          <w:lang w:val="lt-LT"/>
        </w:rPr>
        <w:tab/>
        <w:t>INFORMACIJA BRAILIO RAŠTU</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hAnsi="Times New Roman"/>
          <w:sz w:val="22"/>
          <w:szCs w:val="22"/>
          <w:lang w:val="lt-LT"/>
        </w:rPr>
        <w:t>ossica 150 mg</w:t>
      </w:r>
    </w:p>
    <w:p w:rsidR="00F72832" w:rsidRDefault="00F72832" w:rsidP="00F72832">
      <w:pPr>
        <w:pStyle w:val="BTEMEASMCA"/>
        <w:rPr>
          <w:rFonts w:ascii="Times New Roman" w:hAnsi="Times New Roman"/>
          <w:sz w:val="22"/>
          <w:szCs w:val="22"/>
          <w:lang w:val="lt-LT"/>
        </w:rPr>
      </w:pPr>
    </w:p>
    <w:p w:rsidR="00111FF2" w:rsidRDefault="00111FF2" w:rsidP="00111FF2">
      <w:pPr>
        <w:pStyle w:val="BTEMEASMCA"/>
        <w:rPr>
          <w:rFonts w:ascii="Times New Roman" w:hAnsi="Times New Roman"/>
          <w:sz w:val="22"/>
          <w:szCs w:val="22"/>
          <w:lang w:val="lt-LT"/>
        </w:rPr>
      </w:pPr>
    </w:p>
    <w:p w:rsidR="00111FF2" w:rsidRPr="002B7661" w:rsidRDefault="00111FF2" w:rsidP="00111FF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b/>
          <w:noProof/>
          <w:sz w:val="22"/>
          <w:szCs w:val="22"/>
          <w:lang w:val="lt-LT"/>
        </w:rPr>
      </w:pPr>
      <w:r w:rsidRPr="002B7661">
        <w:rPr>
          <w:rFonts w:ascii="Times New Roman" w:hAnsi="Times New Roman" w:cs="Times New Roman"/>
          <w:b/>
          <w:noProof/>
          <w:sz w:val="22"/>
          <w:szCs w:val="22"/>
          <w:lang w:val="lt-LT"/>
        </w:rPr>
        <w:t>17.</w:t>
      </w:r>
      <w:r w:rsidRPr="002B7661">
        <w:rPr>
          <w:rFonts w:ascii="Times New Roman" w:hAnsi="Times New Roman" w:cs="Times New Roman"/>
          <w:b/>
          <w:noProof/>
          <w:sz w:val="22"/>
          <w:szCs w:val="22"/>
          <w:lang w:val="lt-LT"/>
        </w:rPr>
        <w:tab/>
        <w:t>UNIKALUS IDENTIFIKATORIUS – 2D BRŪKŠNINIS KODAS</w:t>
      </w:r>
    </w:p>
    <w:p w:rsidR="00111FF2" w:rsidRDefault="00111FF2" w:rsidP="00F72832">
      <w:pPr>
        <w:pStyle w:val="BTEMEASMCA"/>
        <w:rPr>
          <w:rFonts w:ascii="Times New Roman" w:hAnsi="Times New Roman"/>
          <w:sz w:val="22"/>
          <w:szCs w:val="22"/>
          <w:lang w:val="lt-LT"/>
        </w:rPr>
      </w:pPr>
    </w:p>
    <w:p w:rsidR="00111FF2" w:rsidRPr="000F47F8" w:rsidRDefault="00111FF2" w:rsidP="00111FF2">
      <w:pPr>
        <w:rPr>
          <w:noProof/>
          <w:sz w:val="22"/>
          <w:szCs w:val="22"/>
          <w:shd w:val="clear" w:color="auto" w:fill="CCCCCC"/>
        </w:rPr>
      </w:pPr>
      <w:r w:rsidRPr="002B7661">
        <w:rPr>
          <w:rFonts w:ascii="Times New Roman" w:hAnsi="Times New Roman" w:cs="Times New Roman"/>
          <w:noProof/>
          <w:sz w:val="22"/>
          <w:szCs w:val="22"/>
          <w:highlight w:val="lightGray"/>
          <w:lang w:val="lt-LT"/>
        </w:rPr>
        <w:t>2D brūkšninis kodas su nurodytu unikaliu identifikatoriumi.</w:t>
      </w:r>
    </w:p>
    <w:p w:rsidR="00111FF2" w:rsidRDefault="00111FF2" w:rsidP="00111FF2">
      <w:pPr>
        <w:pStyle w:val="BTEMEASMCA"/>
      </w:pPr>
    </w:p>
    <w:p w:rsidR="00111FF2" w:rsidRPr="002B7661" w:rsidRDefault="00111FF2" w:rsidP="00111FF2">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b/>
          <w:noProof/>
          <w:sz w:val="22"/>
          <w:szCs w:val="22"/>
          <w:lang w:val="lt-LT"/>
        </w:rPr>
      </w:pPr>
      <w:r w:rsidRPr="002B7661">
        <w:rPr>
          <w:rFonts w:ascii="Times New Roman" w:hAnsi="Times New Roman" w:cs="Times New Roman"/>
          <w:b/>
          <w:noProof/>
          <w:sz w:val="22"/>
          <w:szCs w:val="22"/>
          <w:lang w:val="lt-LT"/>
        </w:rPr>
        <w:t>18.</w:t>
      </w:r>
      <w:r w:rsidRPr="002B7661">
        <w:rPr>
          <w:rFonts w:ascii="Times New Roman" w:hAnsi="Times New Roman" w:cs="Times New Roman"/>
          <w:b/>
          <w:noProof/>
          <w:sz w:val="22"/>
          <w:szCs w:val="22"/>
          <w:lang w:val="lt-LT"/>
        </w:rPr>
        <w:tab/>
        <w:t>UNIKALUS IDENTIFIKATORIUS – ŽMONĖMS SUPRANTAMI DUOMENYS</w:t>
      </w:r>
    </w:p>
    <w:p w:rsidR="00111FF2" w:rsidRPr="002B7661" w:rsidRDefault="00111FF2" w:rsidP="00111FF2">
      <w:pPr>
        <w:rPr>
          <w:rFonts w:ascii="Times New Roman" w:hAnsi="Times New Roman" w:cs="Times New Roman"/>
          <w:sz w:val="22"/>
          <w:szCs w:val="22"/>
          <w:lang w:val="lt-LT"/>
        </w:rPr>
      </w:pPr>
    </w:p>
    <w:p w:rsidR="00111FF2" w:rsidRPr="002B7661" w:rsidRDefault="00111FF2" w:rsidP="00111FF2">
      <w:pPr>
        <w:rPr>
          <w:rFonts w:ascii="Times New Roman" w:hAnsi="Times New Roman" w:cs="Times New Roman"/>
          <w:sz w:val="22"/>
          <w:szCs w:val="22"/>
          <w:lang w:val="lt-LT"/>
        </w:rPr>
      </w:pPr>
      <w:r w:rsidRPr="002B7661">
        <w:rPr>
          <w:rFonts w:ascii="Times New Roman" w:hAnsi="Times New Roman" w:cs="Times New Roman"/>
          <w:sz w:val="22"/>
          <w:szCs w:val="22"/>
          <w:lang w:val="lt-LT"/>
        </w:rPr>
        <w:t>PC: {numeris}</w:t>
      </w:r>
    </w:p>
    <w:p w:rsidR="00111FF2" w:rsidRPr="002B7661" w:rsidRDefault="00111FF2" w:rsidP="00111FF2">
      <w:pPr>
        <w:rPr>
          <w:rFonts w:ascii="Times New Roman" w:hAnsi="Times New Roman" w:cs="Times New Roman"/>
          <w:sz w:val="22"/>
          <w:szCs w:val="22"/>
          <w:lang w:val="lt-LT"/>
        </w:rPr>
      </w:pPr>
      <w:r w:rsidRPr="002B7661">
        <w:rPr>
          <w:rFonts w:ascii="Times New Roman" w:hAnsi="Times New Roman" w:cs="Times New Roman"/>
          <w:sz w:val="22"/>
          <w:szCs w:val="22"/>
          <w:lang w:val="lt-LT"/>
        </w:rPr>
        <w:t>SN: {numeris}</w:t>
      </w:r>
    </w:p>
    <w:p w:rsidR="00111FF2" w:rsidRPr="002B7661" w:rsidRDefault="00111FF2" w:rsidP="00111FF2">
      <w:pPr>
        <w:rPr>
          <w:rFonts w:ascii="Times New Roman" w:hAnsi="Times New Roman" w:cs="Times New Roman"/>
          <w:sz w:val="22"/>
          <w:szCs w:val="22"/>
          <w:lang w:val="lt-LT"/>
        </w:rPr>
      </w:pPr>
      <w:r w:rsidRPr="002B7661">
        <w:rPr>
          <w:rFonts w:ascii="Times New Roman" w:hAnsi="Times New Roman" w:cs="Times New Roman"/>
          <w:sz w:val="22"/>
          <w:szCs w:val="22"/>
          <w:lang w:val="lt-LT"/>
        </w:rPr>
        <w:t>NN: {numeris}</w:t>
      </w:r>
    </w:p>
    <w:p w:rsidR="00111FF2" w:rsidRDefault="00111FF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Pr>
          <w:rFonts w:ascii="Times New Roman" w:eastAsia="Calibri" w:hAnsi="Times New Roman"/>
          <w:sz w:val="22"/>
          <w:szCs w:val="22"/>
          <w:lang w:val="lt-LT" w:eastAsia="lt-LT"/>
        </w:rPr>
        <w:lastRenderedPageBreak/>
        <w:br w:type="page"/>
      </w:r>
    </w:p>
    <w:p w:rsidR="00F72832" w:rsidRDefault="00F72832" w:rsidP="00F72832">
      <w:pPr>
        <w:pStyle w:val="PI-1labEMEASMCA"/>
        <w:tabs>
          <w:tab w:val="left" w:pos="567"/>
        </w:tabs>
        <w:rPr>
          <w:rFonts w:ascii="Times New Roman" w:hAnsi="Times New Roman"/>
          <w:bCs/>
          <w:caps/>
          <w:sz w:val="22"/>
          <w:szCs w:val="22"/>
          <w:lang w:val="lt-LT"/>
        </w:rPr>
      </w:pPr>
      <w:r>
        <w:rPr>
          <w:rFonts w:ascii="Times New Roman" w:hAnsi="Times New Roman"/>
          <w:bCs/>
          <w:caps/>
          <w:sz w:val="22"/>
          <w:szCs w:val="22"/>
          <w:lang w:val="lt-LT"/>
        </w:rPr>
        <w:lastRenderedPageBreak/>
        <w:t>MINIMALI informacija ant LIZDINIŲ PLOKŠTELIŲ ARBA DVISLUOKSNIŲ JUOSTELIŲ</w:t>
      </w:r>
    </w:p>
    <w:p w:rsidR="00F72832" w:rsidRDefault="00F72832" w:rsidP="00F72832">
      <w:pPr>
        <w:pStyle w:val="PI-1labEMEASMCA"/>
        <w:tabs>
          <w:tab w:val="left" w:pos="567"/>
        </w:tabs>
        <w:rPr>
          <w:rFonts w:ascii="Times New Roman" w:hAnsi="Times New Roman"/>
          <w:bCs/>
          <w:caps/>
          <w:sz w:val="22"/>
          <w:szCs w:val="22"/>
          <w:lang w:val="lt-LT"/>
        </w:rPr>
      </w:pPr>
    </w:p>
    <w:p w:rsidR="00F72832" w:rsidRDefault="00F72832" w:rsidP="00F72832">
      <w:pPr>
        <w:pStyle w:val="PI-1labEMEASMCA"/>
        <w:tabs>
          <w:tab w:val="left" w:pos="567"/>
        </w:tabs>
        <w:rPr>
          <w:rFonts w:ascii="Times New Roman" w:hAnsi="Times New Roman"/>
          <w:bCs/>
          <w:caps/>
          <w:sz w:val="22"/>
          <w:szCs w:val="22"/>
          <w:lang w:val="lt-LT"/>
        </w:rPr>
      </w:pPr>
      <w:r>
        <w:rPr>
          <w:rFonts w:ascii="Times New Roman" w:hAnsi="Times New Roman"/>
          <w:bCs/>
          <w:caps/>
          <w:sz w:val="22"/>
          <w:szCs w:val="22"/>
          <w:lang w:val="lt-LT"/>
        </w:rPr>
        <w:t>Lizdinė plokštelė</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VAISTINIO PREPARATO PAVADINIMAS</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 w:val="left" w:pos="1800"/>
        </w:tabs>
        <w:rPr>
          <w:rFonts w:ascii="Times New Roman" w:hAnsi="Times New Roman"/>
          <w:sz w:val="22"/>
          <w:szCs w:val="22"/>
          <w:lang w:val="lt-LT"/>
        </w:rPr>
      </w:pPr>
      <w:r>
        <w:rPr>
          <w:rFonts w:ascii="Times New Roman" w:hAnsi="Times New Roman"/>
          <w:sz w:val="22"/>
          <w:szCs w:val="22"/>
          <w:lang w:val="lt-LT"/>
        </w:rPr>
        <w:t>O</w:t>
      </w:r>
      <w:r>
        <w:rPr>
          <w:rFonts w:ascii="Times New Roman" w:hAnsi="Times New Roman"/>
          <w:caps/>
          <w:sz w:val="22"/>
          <w:szCs w:val="22"/>
          <w:lang w:val="lt-LT"/>
        </w:rPr>
        <w:t>ssica</w:t>
      </w:r>
      <w:r>
        <w:rPr>
          <w:rFonts w:ascii="Times New Roman" w:hAnsi="Times New Roman"/>
          <w:sz w:val="22"/>
          <w:szCs w:val="22"/>
          <w:lang w:val="lt-LT"/>
        </w:rPr>
        <w:t xml:space="preserve"> 150 mg </w:t>
      </w:r>
      <w:r>
        <w:rPr>
          <w:rFonts w:ascii="Times New Roman" w:hAnsi="Times New Roman"/>
          <w:noProof/>
          <w:sz w:val="22"/>
          <w:szCs w:val="22"/>
          <w:lang w:val="lt-LT"/>
        </w:rPr>
        <w:t>plėvele</w:t>
      </w:r>
      <w:r>
        <w:rPr>
          <w:rFonts w:ascii="Times New Roman" w:hAnsi="Times New Roman"/>
          <w:sz w:val="22"/>
          <w:szCs w:val="22"/>
          <w:lang w:val="lt-LT"/>
        </w:rPr>
        <w:t xml:space="preserve"> dengtos tabletės</w:t>
      </w:r>
    </w:p>
    <w:p w:rsidR="00F72832" w:rsidRDefault="00F72832" w:rsidP="00F72832">
      <w:pPr>
        <w:tabs>
          <w:tab w:val="left" w:pos="425"/>
          <w:tab w:val="left" w:pos="567"/>
        </w:tabs>
        <w:rPr>
          <w:rFonts w:ascii="Times New Roman" w:hAnsi="Times New Roman"/>
          <w:bCs/>
          <w:noProof/>
          <w:color w:val="000000"/>
          <w:spacing w:val="2"/>
          <w:sz w:val="22"/>
          <w:szCs w:val="22"/>
          <w:lang w:val="lt-LT"/>
        </w:rPr>
      </w:pPr>
      <w:r>
        <w:rPr>
          <w:rFonts w:ascii="Times New Roman" w:hAnsi="Times New Roman"/>
          <w:bCs/>
          <w:noProof/>
          <w:color w:val="000000"/>
          <w:spacing w:val="2"/>
          <w:sz w:val="22"/>
          <w:szCs w:val="22"/>
          <w:lang w:val="lt-LT"/>
        </w:rPr>
        <w:t>Acidum ibandronicum</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REGISTRUOTOJO PAVADINIMAS</w:t>
      </w:r>
    </w:p>
    <w:p w:rsidR="00F72832" w:rsidRDefault="00F72832" w:rsidP="00F72832">
      <w:pPr>
        <w:pStyle w:val="BTEMEASMCA"/>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 xml:space="preserve">((RG-emblem)) </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TINKAMUMO LAIKAS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sidRPr="00F72832">
        <w:rPr>
          <w:rFonts w:ascii="Times New Roman" w:hAnsi="Times New Roman"/>
          <w:sz w:val="22"/>
          <w:szCs w:val="22"/>
          <w:highlight w:val="lightGray"/>
          <w:lang w:val="lt-LT"/>
        </w:rPr>
        <w:t>Tinka iki</w:t>
      </w:r>
      <w:r>
        <w:rPr>
          <w:rFonts w:ascii="Times New Roman" w:hAnsi="Times New Roman"/>
          <w:sz w:val="22"/>
          <w:szCs w:val="22"/>
          <w:lang w:val="lt-LT"/>
        </w:rPr>
        <w:t xml:space="preserve"> {mm/MMMM}</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SERIJOS NUMERIS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r w:rsidRPr="00F72832">
        <w:rPr>
          <w:rFonts w:ascii="Times New Roman" w:hAnsi="Times New Roman"/>
          <w:sz w:val="22"/>
          <w:szCs w:val="22"/>
          <w:highlight w:val="lightGray"/>
          <w:lang w:val="lt-LT"/>
        </w:rPr>
        <w:t>Serija</w:t>
      </w:r>
      <w:r w:rsidR="00B40C29">
        <w:rPr>
          <w:rFonts w:ascii="Times New Roman" w:hAnsi="Times New Roman"/>
          <w:sz w:val="22"/>
          <w:szCs w:val="22"/>
          <w:lang w:val="lt-LT"/>
        </w:rPr>
        <w:t xml:space="preserve"> {numeris}</w:t>
      </w:r>
    </w:p>
    <w:p w:rsidR="00F72832" w:rsidRDefault="00F72832" w:rsidP="00F72832">
      <w:pPr>
        <w:pStyle w:val="BTEMEASMCA"/>
        <w:rPr>
          <w:rFonts w:ascii="Times New Roman" w:hAnsi="Times New Roman"/>
          <w:sz w:val="22"/>
          <w:szCs w:val="22"/>
          <w:lang w:val="lt-LT"/>
        </w:rPr>
      </w:pPr>
    </w:p>
    <w:p w:rsidR="00F72832" w:rsidRDefault="00F72832" w:rsidP="00F72832">
      <w:pPr>
        <w:pStyle w:val="BTEMEASMCA"/>
        <w:rPr>
          <w:rFonts w:ascii="Times New Roman" w:hAnsi="Times New Roman"/>
          <w:sz w:val="22"/>
          <w:szCs w:val="22"/>
          <w:lang w:val="lt-LT"/>
        </w:rPr>
      </w:pPr>
    </w:p>
    <w:p w:rsidR="00F72832" w:rsidRDefault="00F72832" w:rsidP="00F72832">
      <w:pPr>
        <w:pStyle w:val="PI-1labEMEASMCA"/>
        <w:tabs>
          <w:tab w:val="left" w:pos="567"/>
        </w:tabs>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KITA</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r>
        <w:rPr>
          <w:rFonts w:ascii="Times New Roman" w:hAnsi="Times New Roman"/>
          <w:sz w:val="22"/>
          <w:szCs w:val="22"/>
          <w:lang w:val="lt-LT"/>
        </w:rPr>
        <w:br w:type="page"/>
      </w: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jc w:val="center"/>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pStyle w:val="TTEMEASMCA"/>
        <w:rPr>
          <w:sz w:val="22"/>
          <w:szCs w:val="22"/>
          <w:lang w:val="lt-LT"/>
        </w:rPr>
      </w:pPr>
      <w:bookmarkStart w:id="8" w:name="_Toc129243137"/>
      <w:bookmarkStart w:id="9" w:name="_Toc129243262"/>
    </w:p>
    <w:p w:rsidR="00F72832" w:rsidRDefault="00F72832" w:rsidP="00F72832">
      <w:pPr>
        <w:pStyle w:val="TTEMEASMCA"/>
        <w:rPr>
          <w:sz w:val="22"/>
          <w:szCs w:val="22"/>
        </w:rPr>
      </w:pPr>
      <w:r>
        <w:rPr>
          <w:sz w:val="22"/>
          <w:szCs w:val="22"/>
        </w:rPr>
        <w:t>B. PAKUOTĖS LAPELIS</w:t>
      </w:r>
      <w:bookmarkEnd w:id="8"/>
      <w:bookmarkEnd w:id="9"/>
    </w:p>
    <w:p w:rsidR="00F72832" w:rsidRDefault="00F72832" w:rsidP="00F72832">
      <w:pPr>
        <w:widowControl w:val="0"/>
        <w:tabs>
          <w:tab w:val="left" w:pos="567"/>
        </w:tabs>
        <w:autoSpaceDE w:val="0"/>
        <w:autoSpaceDN w:val="0"/>
        <w:adjustRightInd w:val="0"/>
        <w:jc w:val="center"/>
        <w:rPr>
          <w:rFonts w:ascii="Times New Roman" w:hAnsi="Times New Roman"/>
          <w:sz w:val="22"/>
          <w:szCs w:val="22"/>
          <w:lang w:val="lt-LT"/>
        </w:rPr>
      </w:pPr>
      <w:r>
        <w:rPr>
          <w:rFonts w:ascii="Times New Roman" w:hAnsi="Times New Roman"/>
          <w:sz w:val="22"/>
          <w:szCs w:val="22"/>
          <w:lang w:val="lt-LT"/>
        </w:rPr>
        <w:br w:type="page"/>
      </w:r>
      <w:r>
        <w:rPr>
          <w:rFonts w:ascii="Times New Roman" w:hAnsi="Times New Roman"/>
          <w:b/>
          <w:sz w:val="22"/>
          <w:szCs w:val="22"/>
          <w:lang w:val="lt-LT"/>
        </w:rPr>
        <w:lastRenderedPageBreak/>
        <w:t xml:space="preserve"> Pakuotės lapelis: informacija vartotojui</w:t>
      </w:r>
    </w:p>
    <w:p w:rsidR="00F72832" w:rsidRDefault="00F72832" w:rsidP="00F72832">
      <w:pPr>
        <w:widowControl w:val="0"/>
        <w:tabs>
          <w:tab w:val="left" w:pos="567"/>
        </w:tabs>
        <w:autoSpaceDE w:val="0"/>
        <w:autoSpaceDN w:val="0"/>
        <w:adjustRightInd w:val="0"/>
        <w:jc w:val="center"/>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jc w:val="center"/>
        <w:rPr>
          <w:rFonts w:ascii="Times New Roman" w:hAnsi="Times New Roman"/>
          <w:sz w:val="22"/>
          <w:szCs w:val="22"/>
          <w:lang w:val="lt-LT"/>
        </w:rPr>
      </w:pPr>
      <w:r>
        <w:rPr>
          <w:rFonts w:ascii="Times New Roman" w:hAnsi="Times New Roman"/>
          <w:b/>
          <w:sz w:val="22"/>
          <w:szCs w:val="22"/>
          <w:lang w:val="lt-LT"/>
        </w:rPr>
        <w:t>OSSICA 150 mg plėvele dengtos tabletės</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jc w:val="center"/>
        <w:rPr>
          <w:rFonts w:ascii="Times New Roman" w:hAnsi="Times New Roman"/>
          <w:sz w:val="22"/>
          <w:szCs w:val="22"/>
          <w:lang w:val="lt-LT"/>
        </w:rPr>
      </w:pPr>
      <w:r>
        <w:rPr>
          <w:rFonts w:ascii="Times New Roman" w:hAnsi="Times New Roman"/>
          <w:sz w:val="22"/>
          <w:szCs w:val="22"/>
          <w:lang w:val="lt-LT"/>
        </w:rPr>
        <w:t xml:space="preserve">Ibandrono rūgštis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Atidžiai perskaitykite visą šį lapelį, prieš pradėdami vartoti vaistą, nes jame pateikiama Jums svarbi informacija.</w:t>
      </w:r>
      <w:r>
        <w:rPr>
          <w:rFonts w:ascii="Times New Roman" w:hAnsi="Times New Roman"/>
          <w:sz w:val="22"/>
          <w:szCs w:val="22"/>
          <w:lang w:val="lt-LT"/>
        </w:rPr>
        <w:t xml:space="preserve"> </w:t>
      </w:r>
    </w:p>
    <w:p w:rsidR="00F72832" w:rsidRDefault="00F72832" w:rsidP="00F72832">
      <w:pPr>
        <w:widowControl w:val="0"/>
        <w:numPr>
          <w:ilvl w:val="0"/>
          <w:numId w:val="14"/>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 xml:space="preserve">Neišmeskite šio lapelio, nes vėl gali prireikti jį perskaityti. </w:t>
      </w:r>
    </w:p>
    <w:p w:rsidR="00F72832" w:rsidRDefault="00F72832" w:rsidP="00F72832">
      <w:pPr>
        <w:widowControl w:val="0"/>
        <w:numPr>
          <w:ilvl w:val="0"/>
          <w:numId w:val="14"/>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 xml:space="preserve">Jeigu kiltų daugiau klausimų, kreipkitės į gydytoją arba vaistininką. </w:t>
      </w:r>
    </w:p>
    <w:p w:rsidR="00F72832" w:rsidRDefault="00F72832" w:rsidP="00F72832">
      <w:pPr>
        <w:widowControl w:val="0"/>
        <w:numPr>
          <w:ilvl w:val="0"/>
          <w:numId w:val="14"/>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 xml:space="preserve">Šis vaistas skirtas tik Jums, todėl kitiems žmonėms jo duoti negalima. Vaistas gali jiems pakenkti (net tiems, kurių ligos požymiai yra tokie patys kaip Jūsų). </w:t>
      </w:r>
    </w:p>
    <w:p w:rsidR="00F72832" w:rsidRDefault="00F72832" w:rsidP="00F72832">
      <w:pPr>
        <w:widowControl w:val="0"/>
        <w:numPr>
          <w:ilvl w:val="0"/>
          <w:numId w:val="14"/>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Jeigu pasireiškė šalutinis poveikis (net jeigu jis šiame lapelyje nenurodytas), kreipkitės į gydytoją arba vaistininką.Žr. 4 skyrių.</w:t>
      </w: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r>
        <w:rPr>
          <w:rFonts w:ascii="Times New Roman" w:hAnsi="Times New Roman"/>
          <w:b/>
          <w:sz w:val="22"/>
          <w:szCs w:val="22"/>
          <w:lang w:val="lt-LT"/>
        </w:rPr>
        <w:t xml:space="preserve">Apie ką rašoma šiame lapelyje? </w:t>
      </w:r>
    </w:p>
    <w:p w:rsidR="00F72832" w:rsidRDefault="00F72832" w:rsidP="00F72832">
      <w:pPr>
        <w:widowControl w:val="0"/>
        <w:numPr>
          <w:ilvl w:val="0"/>
          <w:numId w:val="16"/>
        </w:numPr>
        <w:tabs>
          <w:tab w:val="clear" w:pos="360"/>
          <w:tab w:val="left" w:pos="567"/>
        </w:tabs>
        <w:autoSpaceDE w:val="0"/>
        <w:autoSpaceDN w:val="0"/>
        <w:adjustRightInd w:val="0"/>
        <w:ind w:left="540" w:right="-20" w:hanging="540"/>
        <w:rPr>
          <w:rFonts w:ascii="Times New Roman" w:hAnsi="Times New Roman"/>
          <w:sz w:val="22"/>
          <w:szCs w:val="22"/>
          <w:lang w:val="lt-LT"/>
        </w:rPr>
      </w:pPr>
      <w:r>
        <w:rPr>
          <w:rFonts w:ascii="Times New Roman" w:hAnsi="Times New Roman"/>
          <w:sz w:val="22"/>
          <w:szCs w:val="22"/>
          <w:lang w:val="lt-LT"/>
        </w:rPr>
        <w:t xml:space="preserve">Kas yra OSSICA ir kam jis vartojamos </w:t>
      </w:r>
    </w:p>
    <w:p w:rsidR="00F72832" w:rsidRDefault="00F72832" w:rsidP="00F72832">
      <w:pPr>
        <w:widowControl w:val="0"/>
        <w:numPr>
          <w:ilvl w:val="0"/>
          <w:numId w:val="16"/>
        </w:numPr>
        <w:tabs>
          <w:tab w:val="clear" w:pos="360"/>
          <w:tab w:val="left" w:pos="567"/>
        </w:tabs>
        <w:autoSpaceDE w:val="0"/>
        <w:autoSpaceDN w:val="0"/>
        <w:adjustRightInd w:val="0"/>
        <w:ind w:left="540" w:right="-20" w:hanging="540"/>
        <w:rPr>
          <w:rFonts w:ascii="Times New Roman" w:hAnsi="Times New Roman"/>
          <w:sz w:val="22"/>
          <w:szCs w:val="22"/>
          <w:lang w:val="lt-LT"/>
        </w:rPr>
      </w:pPr>
      <w:r>
        <w:rPr>
          <w:rFonts w:ascii="Times New Roman" w:hAnsi="Times New Roman"/>
          <w:sz w:val="22"/>
          <w:szCs w:val="22"/>
          <w:lang w:val="lt-LT"/>
        </w:rPr>
        <w:t xml:space="preserve">Kas žinotina prieš vartojant OSSICA </w:t>
      </w:r>
    </w:p>
    <w:p w:rsidR="00F72832" w:rsidRDefault="00F72832" w:rsidP="00F72832">
      <w:pPr>
        <w:widowControl w:val="0"/>
        <w:numPr>
          <w:ilvl w:val="0"/>
          <w:numId w:val="16"/>
        </w:numPr>
        <w:tabs>
          <w:tab w:val="clear" w:pos="360"/>
          <w:tab w:val="left" w:pos="567"/>
        </w:tabs>
        <w:autoSpaceDE w:val="0"/>
        <w:autoSpaceDN w:val="0"/>
        <w:adjustRightInd w:val="0"/>
        <w:ind w:left="540" w:right="-20" w:hanging="540"/>
        <w:rPr>
          <w:rFonts w:ascii="Times New Roman" w:hAnsi="Times New Roman"/>
          <w:sz w:val="22"/>
          <w:szCs w:val="22"/>
          <w:lang w:val="lt-LT"/>
        </w:rPr>
      </w:pPr>
      <w:r>
        <w:rPr>
          <w:rFonts w:ascii="Times New Roman" w:hAnsi="Times New Roman"/>
          <w:sz w:val="22"/>
          <w:szCs w:val="22"/>
          <w:lang w:val="lt-LT"/>
        </w:rPr>
        <w:t xml:space="preserve">Kaip vartoti OSSICA </w:t>
      </w:r>
    </w:p>
    <w:p w:rsidR="00F72832" w:rsidRDefault="00F72832" w:rsidP="00F72832">
      <w:pPr>
        <w:widowControl w:val="0"/>
        <w:numPr>
          <w:ilvl w:val="0"/>
          <w:numId w:val="16"/>
        </w:numPr>
        <w:tabs>
          <w:tab w:val="clear" w:pos="360"/>
          <w:tab w:val="left" w:pos="567"/>
        </w:tabs>
        <w:autoSpaceDE w:val="0"/>
        <w:autoSpaceDN w:val="0"/>
        <w:adjustRightInd w:val="0"/>
        <w:ind w:left="540" w:right="-20" w:hanging="540"/>
        <w:rPr>
          <w:rFonts w:ascii="Times New Roman" w:hAnsi="Times New Roman"/>
          <w:sz w:val="22"/>
          <w:szCs w:val="22"/>
          <w:lang w:val="lt-LT"/>
        </w:rPr>
      </w:pPr>
      <w:r>
        <w:rPr>
          <w:rFonts w:ascii="Times New Roman" w:hAnsi="Times New Roman"/>
          <w:sz w:val="22"/>
          <w:szCs w:val="22"/>
          <w:lang w:val="lt-LT"/>
        </w:rPr>
        <w:t xml:space="preserve">Galimas šalutinis poveikis </w:t>
      </w:r>
    </w:p>
    <w:p w:rsidR="00F72832" w:rsidRDefault="00F72832" w:rsidP="00F72832">
      <w:pPr>
        <w:widowControl w:val="0"/>
        <w:numPr>
          <w:ilvl w:val="0"/>
          <w:numId w:val="16"/>
        </w:numPr>
        <w:tabs>
          <w:tab w:val="clear" w:pos="360"/>
          <w:tab w:val="left" w:pos="567"/>
        </w:tabs>
        <w:autoSpaceDE w:val="0"/>
        <w:autoSpaceDN w:val="0"/>
        <w:adjustRightInd w:val="0"/>
        <w:ind w:left="540" w:right="-20" w:hanging="540"/>
        <w:rPr>
          <w:rFonts w:ascii="Times New Roman" w:hAnsi="Times New Roman"/>
          <w:sz w:val="22"/>
          <w:szCs w:val="22"/>
          <w:lang w:val="lt-LT"/>
        </w:rPr>
      </w:pPr>
      <w:r>
        <w:rPr>
          <w:rFonts w:ascii="Times New Roman" w:hAnsi="Times New Roman"/>
          <w:sz w:val="22"/>
          <w:szCs w:val="22"/>
          <w:lang w:val="lt-LT"/>
        </w:rPr>
        <w:t xml:space="preserve">Kaip laikyti OSSICA </w:t>
      </w:r>
    </w:p>
    <w:p w:rsidR="00F72832" w:rsidRDefault="00F72832" w:rsidP="00F72832">
      <w:pPr>
        <w:widowControl w:val="0"/>
        <w:numPr>
          <w:ilvl w:val="0"/>
          <w:numId w:val="16"/>
        </w:numPr>
        <w:tabs>
          <w:tab w:val="clear" w:pos="360"/>
          <w:tab w:val="left" w:pos="567"/>
        </w:tabs>
        <w:autoSpaceDE w:val="0"/>
        <w:autoSpaceDN w:val="0"/>
        <w:adjustRightInd w:val="0"/>
        <w:ind w:left="540" w:right="-20" w:hanging="540"/>
        <w:rPr>
          <w:rFonts w:ascii="Times New Roman" w:hAnsi="Times New Roman"/>
          <w:sz w:val="22"/>
          <w:szCs w:val="22"/>
          <w:lang w:val="lt-LT"/>
        </w:rPr>
      </w:pPr>
      <w:r>
        <w:rPr>
          <w:rFonts w:ascii="Times New Roman" w:hAnsi="Times New Roman"/>
          <w:sz w:val="22"/>
          <w:szCs w:val="22"/>
          <w:lang w:val="lt-LT"/>
        </w:rPr>
        <w:t xml:space="preserve">Pakuotės turinys ir kita informacija </w:t>
      </w:r>
    </w:p>
    <w:p w:rsidR="00F72832" w:rsidRDefault="00F72832" w:rsidP="00F72832">
      <w:pPr>
        <w:tabs>
          <w:tab w:val="left" w:pos="567"/>
          <w:tab w:val="left" w:pos="708"/>
        </w:tabs>
        <w:rPr>
          <w:rFonts w:ascii="Times New Roman" w:hAnsi="Times New Roman"/>
          <w:sz w:val="22"/>
          <w:szCs w:val="22"/>
          <w:lang w:val="lt-LT"/>
        </w:rPr>
      </w:pPr>
    </w:p>
    <w:p w:rsidR="00F72832" w:rsidRDefault="00F72832" w:rsidP="00F72832">
      <w:pPr>
        <w:numPr>
          <w:ilvl w:val="12"/>
          <w:numId w:val="0"/>
        </w:numPr>
        <w:tabs>
          <w:tab w:val="left" w:pos="567"/>
          <w:tab w:val="left" w:pos="708"/>
        </w:tabs>
        <w:rPr>
          <w:rFonts w:ascii="Times New Roman" w:hAnsi="Times New Roman"/>
          <w:sz w:val="22"/>
          <w:szCs w:val="22"/>
          <w:lang w:val="lt-LT"/>
        </w:rPr>
      </w:pPr>
    </w:p>
    <w:p w:rsidR="00F72832" w:rsidRDefault="00F72832" w:rsidP="00F72832">
      <w:pPr>
        <w:widowControl w:val="0"/>
        <w:numPr>
          <w:ilvl w:val="0"/>
          <w:numId w:val="18"/>
        </w:numPr>
        <w:tabs>
          <w:tab w:val="clear" w:pos="360"/>
          <w:tab w:val="num" w:pos="540"/>
          <w:tab w:val="left" w:pos="567"/>
        </w:tabs>
        <w:autoSpaceDE w:val="0"/>
        <w:autoSpaceDN w:val="0"/>
        <w:adjustRightInd w:val="0"/>
        <w:ind w:left="540" w:hanging="540"/>
        <w:rPr>
          <w:rFonts w:ascii="Times New Roman" w:hAnsi="Times New Roman"/>
          <w:b/>
          <w:sz w:val="22"/>
          <w:szCs w:val="22"/>
          <w:lang w:val="lt-LT"/>
        </w:rPr>
      </w:pPr>
      <w:r>
        <w:rPr>
          <w:rFonts w:ascii="Times New Roman" w:hAnsi="Times New Roman"/>
          <w:b/>
          <w:sz w:val="22"/>
          <w:szCs w:val="22"/>
          <w:lang w:val="lt-LT"/>
        </w:rPr>
        <w:t xml:space="preserve">Kas yra OSSICA ir kam jis vartojamas </w:t>
      </w:r>
    </w:p>
    <w:p w:rsidR="00F72832" w:rsidRDefault="00F72832" w:rsidP="00F72832">
      <w:pPr>
        <w:widowControl w:val="0"/>
        <w:tabs>
          <w:tab w:val="left" w:pos="567"/>
        </w:tabs>
        <w:autoSpaceDE w:val="0"/>
        <w:autoSpaceDN w:val="0"/>
        <w:adjustRightInd w:val="0"/>
        <w:ind w:left="560"/>
        <w:rPr>
          <w:rFonts w:ascii="Times New Roman" w:hAnsi="Times New Roman"/>
          <w:sz w:val="22"/>
          <w:szCs w:val="22"/>
          <w:lang w:val="lt-LT"/>
        </w:rPr>
      </w:pPr>
    </w:p>
    <w:p w:rsidR="00F72832" w:rsidRDefault="00F72832" w:rsidP="00F72832">
      <w:pPr>
        <w:pStyle w:val="Default"/>
        <w:tabs>
          <w:tab w:val="left" w:pos="567"/>
        </w:tabs>
        <w:rPr>
          <w:color w:val="auto"/>
          <w:sz w:val="22"/>
          <w:szCs w:val="22"/>
          <w:lang w:val="lt-LT"/>
        </w:rPr>
      </w:pPr>
      <w:r>
        <w:rPr>
          <w:color w:val="auto"/>
          <w:spacing w:val="-3"/>
          <w:sz w:val="22"/>
          <w:szCs w:val="22"/>
          <w:lang w:val="lt-LT"/>
        </w:rPr>
        <w:t xml:space="preserve">OSSICA priklauso vaistų grupei, vadinamai </w:t>
      </w:r>
      <w:r>
        <w:rPr>
          <w:b/>
          <w:color w:val="auto"/>
          <w:spacing w:val="-3"/>
          <w:sz w:val="22"/>
          <w:szCs w:val="22"/>
          <w:lang w:val="lt-LT"/>
        </w:rPr>
        <w:t>bisfosfonatais</w:t>
      </w:r>
      <w:r>
        <w:rPr>
          <w:color w:val="auto"/>
          <w:spacing w:val="-3"/>
          <w:sz w:val="22"/>
          <w:szCs w:val="22"/>
          <w:lang w:val="lt-LT"/>
        </w:rPr>
        <w:t>.</w:t>
      </w:r>
      <w:r>
        <w:rPr>
          <w:color w:val="auto"/>
          <w:sz w:val="22"/>
          <w:szCs w:val="22"/>
          <w:lang w:val="lt-LT"/>
        </w:rPr>
        <w:t xml:space="preserve"> </w:t>
      </w:r>
      <w:r>
        <w:rPr>
          <w:color w:val="auto"/>
          <w:spacing w:val="-3"/>
          <w:sz w:val="22"/>
          <w:szCs w:val="22"/>
          <w:lang w:val="lt-LT"/>
        </w:rPr>
        <w:t>Jo sudėtyje yra veikliosios medžiagos - ibandrono rūgšties.</w:t>
      </w:r>
      <w:r>
        <w:rPr>
          <w:color w:val="auto"/>
          <w:sz w:val="22"/>
          <w:szCs w:val="22"/>
          <w:lang w:val="lt-LT"/>
        </w:rPr>
        <w:t xml:space="preserve"> </w:t>
      </w:r>
    </w:p>
    <w:p w:rsidR="00F72832" w:rsidRDefault="00F72832" w:rsidP="00F72832">
      <w:pPr>
        <w:pStyle w:val="Default"/>
        <w:tabs>
          <w:tab w:val="left" w:pos="567"/>
        </w:tabs>
        <w:rPr>
          <w:color w:val="auto"/>
          <w:sz w:val="22"/>
          <w:szCs w:val="22"/>
          <w:lang w:val="lt-LT"/>
        </w:rPr>
      </w:pPr>
      <w:r>
        <w:rPr>
          <w:color w:val="auto"/>
          <w:spacing w:val="-3"/>
          <w:sz w:val="22"/>
          <w:szCs w:val="22"/>
          <w:lang w:val="lt-LT"/>
        </w:rPr>
        <w:t>OSSICA gali panaikinti kaulų retėjimą sustabdydama kaulinio audinio nykimą ir didindama kaulų masę moterims, kurios vartoja šį preparatą, nors jos ir negalės pastebėti ar pajusti skirtumo.</w:t>
      </w:r>
      <w:r>
        <w:rPr>
          <w:color w:val="auto"/>
          <w:sz w:val="22"/>
          <w:szCs w:val="22"/>
          <w:lang w:val="lt-LT"/>
        </w:rPr>
        <w:t xml:space="preserve"> OSSICA </w:t>
      </w:r>
      <w:r>
        <w:rPr>
          <w:color w:val="auto"/>
          <w:spacing w:val="-3"/>
          <w:sz w:val="22"/>
          <w:szCs w:val="22"/>
          <w:lang w:val="lt-LT"/>
        </w:rPr>
        <w:t>gali sumažinti kaulų lūžių tikimybę.</w:t>
      </w:r>
      <w:r>
        <w:rPr>
          <w:color w:val="auto"/>
          <w:sz w:val="22"/>
          <w:szCs w:val="22"/>
          <w:lang w:val="lt-LT"/>
        </w:rPr>
        <w:t xml:space="preserve"> </w:t>
      </w:r>
      <w:r>
        <w:rPr>
          <w:color w:val="auto"/>
          <w:spacing w:val="-3"/>
          <w:sz w:val="22"/>
          <w:szCs w:val="22"/>
          <w:lang w:val="lt-LT"/>
        </w:rPr>
        <w:t xml:space="preserve">Įrodyta, kad vaistas sumažina stuburo slankstelių, bet ne klubo </w:t>
      </w:r>
      <w:r>
        <w:rPr>
          <w:color w:val="auto"/>
          <w:spacing w:val="-4"/>
          <w:sz w:val="22"/>
          <w:szCs w:val="22"/>
          <w:lang w:val="lt-LT"/>
        </w:rPr>
        <w:t>kaulų, lūžių riziką.</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pStyle w:val="Default"/>
        <w:tabs>
          <w:tab w:val="left" w:pos="567"/>
        </w:tabs>
        <w:rPr>
          <w:color w:val="auto"/>
          <w:sz w:val="22"/>
          <w:szCs w:val="22"/>
          <w:lang w:val="lt-LT"/>
        </w:rPr>
      </w:pPr>
      <w:r>
        <w:rPr>
          <w:color w:val="auto"/>
          <w:spacing w:val="-3"/>
          <w:sz w:val="22"/>
          <w:szCs w:val="22"/>
          <w:lang w:val="lt-LT"/>
        </w:rPr>
        <w:t>OSSICA skiriamas osteoporozės gydymui moterims po menopauzės, kai kaulų lūžių rizika yra padidėjusi.</w:t>
      </w:r>
      <w:r>
        <w:rPr>
          <w:color w:val="auto"/>
          <w:sz w:val="22"/>
          <w:szCs w:val="22"/>
          <w:lang w:val="lt-LT"/>
        </w:rPr>
        <w:t xml:space="preserve"> </w:t>
      </w:r>
      <w:r>
        <w:rPr>
          <w:color w:val="auto"/>
          <w:spacing w:val="-3"/>
          <w:sz w:val="22"/>
          <w:szCs w:val="22"/>
          <w:lang w:val="lt-LT"/>
        </w:rPr>
        <w:t>Osteoporozė – tai kaulų išretėjimas ir susilpnėjimas. Ji būdinga moterims po menopauzės.</w:t>
      </w:r>
      <w:r>
        <w:rPr>
          <w:color w:val="auto"/>
          <w:sz w:val="22"/>
          <w:szCs w:val="22"/>
          <w:lang w:val="lt-LT"/>
        </w:rPr>
        <w:t xml:space="preserve"> </w:t>
      </w:r>
      <w:r>
        <w:rPr>
          <w:color w:val="auto"/>
          <w:spacing w:val="-3"/>
          <w:sz w:val="22"/>
          <w:szCs w:val="22"/>
          <w:lang w:val="lt-LT"/>
        </w:rPr>
        <w:t>Menopauzės metu moters kiaušidės nustoja gaminti estrogeną, moteriškąjį lytinį hormoną, kuris padeda išsaugoti sveikus kaulus.</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pStyle w:val="Default"/>
        <w:tabs>
          <w:tab w:val="left" w:pos="567"/>
        </w:tabs>
        <w:rPr>
          <w:color w:val="auto"/>
          <w:sz w:val="22"/>
          <w:szCs w:val="22"/>
          <w:lang w:val="lt-LT"/>
        </w:rPr>
      </w:pPr>
      <w:r>
        <w:rPr>
          <w:color w:val="auto"/>
          <w:spacing w:val="-3"/>
          <w:sz w:val="22"/>
          <w:szCs w:val="22"/>
          <w:lang w:val="lt-LT"/>
        </w:rPr>
        <w:t>Kuo anksčiau moteriai prasideda menopauzė, tuo didesnė osteoporozės sąlygotų kaulų lūžių rizika.</w:t>
      </w:r>
      <w:r>
        <w:rPr>
          <w:color w:val="auto"/>
          <w:sz w:val="22"/>
          <w:szCs w:val="22"/>
          <w:lang w:val="lt-LT"/>
        </w:rPr>
        <w:t xml:space="preserve"> </w:t>
      </w:r>
      <w:r>
        <w:rPr>
          <w:color w:val="auto"/>
          <w:spacing w:val="-4"/>
          <w:sz w:val="22"/>
          <w:szCs w:val="22"/>
          <w:lang w:val="lt-LT"/>
        </w:rPr>
        <w:t>Kiti kaulų lūžių riziką didinantys veiksniai:</w:t>
      </w:r>
      <w:r>
        <w:rPr>
          <w:color w:val="auto"/>
          <w:sz w:val="22"/>
          <w:szCs w:val="22"/>
          <w:lang w:val="lt-LT"/>
        </w:rPr>
        <w:t xml:space="preserve"> </w:t>
      </w:r>
    </w:p>
    <w:p w:rsidR="00F72832" w:rsidRDefault="00F72832" w:rsidP="00F72832">
      <w:pPr>
        <w:pStyle w:val="Default"/>
        <w:widowControl w:val="0"/>
        <w:numPr>
          <w:ilvl w:val="0"/>
          <w:numId w:val="20"/>
        </w:numPr>
        <w:tabs>
          <w:tab w:val="clear" w:pos="360"/>
          <w:tab w:val="left" w:pos="567"/>
        </w:tabs>
        <w:ind w:left="540" w:hanging="540"/>
        <w:rPr>
          <w:color w:val="auto"/>
          <w:sz w:val="22"/>
          <w:szCs w:val="22"/>
          <w:lang w:val="lt-LT"/>
        </w:rPr>
      </w:pPr>
      <w:r>
        <w:rPr>
          <w:color w:val="auto"/>
          <w:spacing w:val="-3"/>
          <w:sz w:val="22"/>
          <w:szCs w:val="22"/>
          <w:lang w:val="lt-LT"/>
        </w:rPr>
        <w:t>nepakankamas kalcio ir vitamino D kiekis maiste;</w:t>
      </w:r>
      <w:r>
        <w:rPr>
          <w:color w:val="auto"/>
          <w:sz w:val="22"/>
          <w:szCs w:val="22"/>
          <w:lang w:val="lt-LT"/>
        </w:rPr>
        <w:t xml:space="preserve"> </w:t>
      </w:r>
    </w:p>
    <w:p w:rsidR="00F72832" w:rsidRDefault="00F72832" w:rsidP="00F72832">
      <w:pPr>
        <w:pStyle w:val="Default"/>
        <w:widowControl w:val="0"/>
        <w:numPr>
          <w:ilvl w:val="0"/>
          <w:numId w:val="20"/>
        </w:numPr>
        <w:tabs>
          <w:tab w:val="clear" w:pos="360"/>
          <w:tab w:val="left" w:pos="567"/>
        </w:tabs>
        <w:ind w:left="540" w:hanging="540"/>
        <w:rPr>
          <w:color w:val="auto"/>
          <w:sz w:val="22"/>
          <w:szCs w:val="22"/>
          <w:lang w:val="lt-LT"/>
        </w:rPr>
      </w:pPr>
      <w:r>
        <w:rPr>
          <w:color w:val="auto"/>
          <w:spacing w:val="-3"/>
          <w:sz w:val="22"/>
          <w:szCs w:val="22"/>
          <w:lang w:val="lt-LT"/>
        </w:rPr>
        <w:t>rūkymas ar per gausus alkoholio vartojimas;</w:t>
      </w:r>
      <w:r>
        <w:rPr>
          <w:color w:val="auto"/>
          <w:sz w:val="22"/>
          <w:szCs w:val="22"/>
          <w:lang w:val="lt-LT"/>
        </w:rPr>
        <w:t xml:space="preserve"> </w:t>
      </w:r>
    </w:p>
    <w:p w:rsidR="00F72832" w:rsidRDefault="00F72832" w:rsidP="00F72832">
      <w:pPr>
        <w:pStyle w:val="Default"/>
        <w:widowControl w:val="0"/>
        <w:numPr>
          <w:ilvl w:val="0"/>
          <w:numId w:val="20"/>
        </w:numPr>
        <w:tabs>
          <w:tab w:val="clear" w:pos="360"/>
          <w:tab w:val="left" w:pos="567"/>
        </w:tabs>
        <w:ind w:left="540" w:hanging="540"/>
        <w:rPr>
          <w:color w:val="auto"/>
          <w:sz w:val="22"/>
          <w:szCs w:val="22"/>
          <w:lang w:val="lt-LT"/>
        </w:rPr>
      </w:pPr>
      <w:r>
        <w:rPr>
          <w:color w:val="auto"/>
          <w:spacing w:val="-3"/>
          <w:sz w:val="22"/>
          <w:szCs w:val="22"/>
          <w:lang w:val="lt-LT"/>
        </w:rPr>
        <w:t>vaikščiojimo ar kitų kūno svorį reguliuojančių pratimų trūkumas;</w:t>
      </w:r>
      <w:r>
        <w:rPr>
          <w:color w:val="auto"/>
          <w:sz w:val="22"/>
          <w:szCs w:val="22"/>
          <w:lang w:val="lt-LT"/>
        </w:rPr>
        <w:t xml:space="preserve"> </w:t>
      </w:r>
    </w:p>
    <w:p w:rsidR="00F72832" w:rsidRDefault="00F72832" w:rsidP="00F72832">
      <w:pPr>
        <w:pStyle w:val="Default"/>
        <w:widowControl w:val="0"/>
        <w:numPr>
          <w:ilvl w:val="0"/>
          <w:numId w:val="20"/>
        </w:numPr>
        <w:tabs>
          <w:tab w:val="clear" w:pos="360"/>
          <w:tab w:val="left" w:pos="567"/>
        </w:tabs>
        <w:ind w:left="540" w:hanging="540"/>
        <w:rPr>
          <w:color w:val="auto"/>
          <w:sz w:val="22"/>
          <w:szCs w:val="22"/>
          <w:lang w:val="lt-LT"/>
        </w:rPr>
      </w:pPr>
      <w:r>
        <w:rPr>
          <w:color w:val="auto"/>
          <w:spacing w:val="-3"/>
          <w:sz w:val="22"/>
          <w:szCs w:val="22"/>
          <w:lang w:val="lt-LT"/>
        </w:rPr>
        <w:t>osteoporozės atvejai šeimoje.</w:t>
      </w:r>
      <w:r>
        <w:rPr>
          <w:color w:val="auto"/>
          <w:sz w:val="22"/>
          <w:szCs w:val="22"/>
          <w:lang w:val="lt-LT"/>
        </w:rPr>
        <w:t xml:space="preserve"> </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pStyle w:val="Default"/>
        <w:tabs>
          <w:tab w:val="left" w:pos="567"/>
        </w:tabs>
        <w:rPr>
          <w:color w:val="auto"/>
          <w:sz w:val="22"/>
          <w:szCs w:val="22"/>
          <w:lang w:val="lt-LT"/>
        </w:rPr>
      </w:pPr>
      <w:r>
        <w:rPr>
          <w:b/>
          <w:color w:val="auto"/>
          <w:spacing w:val="-3"/>
          <w:sz w:val="22"/>
          <w:szCs w:val="22"/>
          <w:lang w:val="lt-LT"/>
        </w:rPr>
        <w:t>Sveikas gyvenimo būdas</w:t>
      </w:r>
      <w:r>
        <w:rPr>
          <w:color w:val="auto"/>
          <w:spacing w:val="-3"/>
          <w:sz w:val="22"/>
          <w:szCs w:val="22"/>
          <w:lang w:val="lt-LT"/>
        </w:rPr>
        <w:t xml:space="preserve"> padidins gydymo naudą.</w:t>
      </w:r>
      <w:r>
        <w:rPr>
          <w:color w:val="auto"/>
          <w:sz w:val="22"/>
          <w:szCs w:val="22"/>
          <w:lang w:val="lt-LT"/>
        </w:rPr>
        <w:t xml:space="preserve"> </w:t>
      </w:r>
      <w:r>
        <w:rPr>
          <w:color w:val="auto"/>
          <w:spacing w:val="-3"/>
          <w:sz w:val="22"/>
          <w:szCs w:val="22"/>
          <w:lang w:val="lt-LT"/>
        </w:rPr>
        <w:t xml:space="preserve">Vadinasi, reikia vartoti įvairų maistą, kuriame gausu kalcio ir vitamino D, vaikščioti ar daryti kitus kūno svorį reguliuojančius pratimus, nerūkyti ir </w:t>
      </w:r>
      <w:r>
        <w:rPr>
          <w:color w:val="auto"/>
          <w:spacing w:val="-4"/>
          <w:sz w:val="22"/>
          <w:szCs w:val="22"/>
          <w:lang w:val="lt-LT"/>
        </w:rPr>
        <w:t>negerti per daug alkoholio.</w:t>
      </w:r>
      <w:r>
        <w:rPr>
          <w:color w:val="auto"/>
          <w:sz w:val="22"/>
          <w:szCs w:val="22"/>
          <w:lang w:val="lt-LT"/>
        </w:rPr>
        <w:t xml:space="preserve"> </w:t>
      </w:r>
    </w:p>
    <w:p w:rsidR="00F72832" w:rsidRDefault="00F72832" w:rsidP="00F72832">
      <w:pPr>
        <w:tabs>
          <w:tab w:val="left" w:pos="567"/>
          <w:tab w:val="left" w:pos="1290"/>
        </w:tabs>
        <w:ind w:right="-2"/>
        <w:rPr>
          <w:rFonts w:ascii="Times New Roman" w:hAnsi="Times New Roman"/>
          <w:sz w:val="22"/>
          <w:szCs w:val="22"/>
          <w:lang w:val="lt-LT"/>
        </w:rPr>
      </w:pPr>
    </w:p>
    <w:p w:rsidR="00F72832" w:rsidRDefault="00F72832" w:rsidP="00F72832">
      <w:pPr>
        <w:tabs>
          <w:tab w:val="left" w:pos="567"/>
          <w:tab w:val="left" w:pos="1290"/>
        </w:tabs>
        <w:ind w:right="-2"/>
        <w:rPr>
          <w:rFonts w:ascii="Times New Roman" w:hAnsi="Times New Roman"/>
          <w:sz w:val="22"/>
          <w:szCs w:val="22"/>
          <w:lang w:val="lt-LT"/>
        </w:rPr>
      </w:pPr>
    </w:p>
    <w:p w:rsidR="00F72832" w:rsidRDefault="00F72832" w:rsidP="00F72832">
      <w:pPr>
        <w:widowControl w:val="0"/>
        <w:numPr>
          <w:ilvl w:val="0"/>
          <w:numId w:val="18"/>
        </w:numPr>
        <w:tabs>
          <w:tab w:val="clear" w:pos="360"/>
          <w:tab w:val="num" w:pos="540"/>
          <w:tab w:val="left" w:pos="567"/>
        </w:tabs>
        <w:autoSpaceDE w:val="0"/>
        <w:autoSpaceDN w:val="0"/>
        <w:adjustRightInd w:val="0"/>
        <w:ind w:left="540" w:hanging="540"/>
        <w:rPr>
          <w:rFonts w:ascii="Times New Roman" w:hAnsi="Times New Roman"/>
          <w:b/>
          <w:sz w:val="22"/>
          <w:szCs w:val="22"/>
          <w:lang w:val="lt-LT"/>
        </w:rPr>
      </w:pPr>
      <w:r>
        <w:rPr>
          <w:rFonts w:ascii="Times New Roman" w:hAnsi="Times New Roman"/>
          <w:b/>
          <w:sz w:val="22"/>
          <w:szCs w:val="22"/>
          <w:lang w:val="lt-LT"/>
        </w:rPr>
        <w:t xml:space="preserve">Kas žinotina prieš vartojant OSSICA </w:t>
      </w: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b/>
          <w:sz w:val="22"/>
          <w:szCs w:val="22"/>
          <w:lang w:val="lt-LT"/>
        </w:rPr>
        <w:t>OSSICA vartoti negalima:</w:t>
      </w:r>
    </w:p>
    <w:p w:rsidR="00F72832" w:rsidRPr="00D61502" w:rsidRDefault="00F72832" w:rsidP="00F72832">
      <w:pPr>
        <w:widowControl w:val="0"/>
        <w:numPr>
          <w:ilvl w:val="0"/>
          <w:numId w:val="22"/>
        </w:numPr>
        <w:tabs>
          <w:tab w:val="clear" w:pos="360"/>
          <w:tab w:val="left" w:pos="567"/>
        </w:tabs>
        <w:autoSpaceDE w:val="0"/>
        <w:autoSpaceDN w:val="0"/>
        <w:adjustRightInd w:val="0"/>
        <w:ind w:left="540" w:hanging="540"/>
        <w:rPr>
          <w:rFonts w:ascii="Times New Roman" w:hAnsi="Times New Roman"/>
          <w:sz w:val="22"/>
          <w:szCs w:val="22"/>
          <w:lang w:val="lt-LT"/>
        </w:rPr>
      </w:pPr>
      <w:r w:rsidRPr="00145D01">
        <w:rPr>
          <w:rFonts w:ascii="Times New Roman" w:hAnsi="Times New Roman"/>
          <w:sz w:val="22"/>
          <w:szCs w:val="22"/>
          <w:lang w:val="lt-LT"/>
        </w:rPr>
        <w:lastRenderedPageBreak/>
        <w:t>jeigu yra alergija ibandrono rūgščiai arba bet kuriai pagalbinei šio vaisto medžiagai (jos išvardytos 6 skyriu</w:t>
      </w:r>
      <w:r w:rsidRPr="00D61502">
        <w:rPr>
          <w:rFonts w:ascii="Times New Roman" w:hAnsi="Times New Roman"/>
          <w:sz w:val="22"/>
          <w:szCs w:val="22"/>
          <w:lang w:val="lt-LT"/>
        </w:rPr>
        <w:t xml:space="preserve">je). </w:t>
      </w:r>
    </w:p>
    <w:p w:rsidR="00F72832" w:rsidRPr="002B7661" w:rsidRDefault="00F72832" w:rsidP="00F72832">
      <w:pPr>
        <w:widowControl w:val="0"/>
        <w:numPr>
          <w:ilvl w:val="0"/>
          <w:numId w:val="22"/>
        </w:numPr>
        <w:tabs>
          <w:tab w:val="clear" w:pos="360"/>
          <w:tab w:val="left" w:pos="567"/>
        </w:tabs>
        <w:autoSpaceDE w:val="0"/>
        <w:autoSpaceDN w:val="0"/>
        <w:adjustRightInd w:val="0"/>
        <w:ind w:left="540" w:hanging="540"/>
        <w:rPr>
          <w:rFonts w:ascii="Times New Roman" w:hAnsi="Times New Roman"/>
          <w:sz w:val="22"/>
          <w:szCs w:val="22"/>
          <w:lang w:val="lt-LT"/>
        </w:rPr>
      </w:pPr>
      <w:r w:rsidRPr="002B7661">
        <w:rPr>
          <w:rFonts w:ascii="Times New Roman" w:hAnsi="Times New Roman"/>
          <w:sz w:val="22"/>
          <w:szCs w:val="22"/>
          <w:lang w:val="lt-LT"/>
        </w:rPr>
        <w:t>Jeigu Jums yra tam tikrų stemplės (burną su skrandžiu jungiančio organo) veiklos sutrikimų, tokių kaip jos susiaurėjimas ar sunkus r</w:t>
      </w:r>
      <w:r w:rsidR="00193DD8" w:rsidRPr="002B7661">
        <w:rPr>
          <w:rFonts w:ascii="Times New Roman" w:hAnsi="Times New Roman"/>
          <w:sz w:val="22"/>
          <w:szCs w:val="22"/>
          <w:lang w:val="lt-LT"/>
        </w:rPr>
        <w:t>i</w:t>
      </w:r>
      <w:r w:rsidRPr="002B7661">
        <w:rPr>
          <w:rFonts w:ascii="Times New Roman" w:hAnsi="Times New Roman"/>
          <w:sz w:val="22"/>
          <w:szCs w:val="22"/>
          <w:lang w:val="lt-LT"/>
        </w:rPr>
        <w:t xml:space="preserve">jimas. </w:t>
      </w:r>
    </w:p>
    <w:p w:rsidR="00F72832" w:rsidRPr="002B7661" w:rsidRDefault="00F72832" w:rsidP="00F72832">
      <w:pPr>
        <w:widowControl w:val="0"/>
        <w:numPr>
          <w:ilvl w:val="0"/>
          <w:numId w:val="22"/>
        </w:numPr>
        <w:tabs>
          <w:tab w:val="clear" w:pos="360"/>
          <w:tab w:val="left" w:pos="567"/>
        </w:tabs>
        <w:autoSpaceDE w:val="0"/>
        <w:autoSpaceDN w:val="0"/>
        <w:adjustRightInd w:val="0"/>
        <w:ind w:left="540" w:hanging="540"/>
        <w:rPr>
          <w:rFonts w:ascii="Times New Roman" w:hAnsi="Times New Roman"/>
          <w:sz w:val="22"/>
          <w:szCs w:val="22"/>
          <w:lang w:val="lt-LT"/>
        </w:rPr>
      </w:pPr>
      <w:r w:rsidRPr="002B7661">
        <w:rPr>
          <w:rFonts w:ascii="Times New Roman" w:hAnsi="Times New Roman"/>
          <w:sz w:val="22"/>
          <w:szCs w:val="22"/>
          <w:lang w:val="lt-LT"/>
        </w:rPr>
        <w:t xml:space="preserve">Jeigu Jūs negalite bent vieną valandą (60 minučių) pastovėti ar tiesiai pasėdėti. </w:t>
      </w:r>
    </w:p>
    <w:p w:rsidR="00F72832" w:rsidRPr="002B7661" w:rsidRDefault="00F72832" w:rsidP="00F72832">
      <w:pPr>
        <w:widowControl w:val="0"/>
        <w:numPr>
          <w:ilvl w:val="0"/>
          <w:numId w:val="22"/>
        </w:numPr>
        <w:tabs>
          <w:tab w:val="clear" w:pos="360"/>
          <w:tab w:val="left" w:pos="567"/>
        </w:tabs>
        <w:autoSpaceDE w:val="0"/>
        <w:autoSpaceDN w:val="0"/>
        <w:adjustRightInd w:val="0"/>
        <w:ind w:left="540" w:hanging="540"/>
        <w:rPr>
          <w:rFonts w:ascii="Times New Roman" w:hAnsi="Times New Roman"/>
          <w:sz w:val="22"/>
          <w:szCs w:val="22"/>
          <w:lang w:val="lt-LT"/>
        </w:rPr>
      </w:pPr>
      <w:r w:rsidRPr="002B7661">
        <w:rPr>
          <w:rFonts w:ascii="Times New Roman" w:hAnsi="Times New Roman"/>
          <w:spacing w:val="-2"/>
          <w:sz w:val="22"/>
          <w:szCs w:val="22"/>
          <w:lang w:val="lt-LT"/>
        </w:rPr>
        <w:t>Jei Jūsų kraujyje yra ar anksčiau buvo maža kalcio koncentracija.</w:t>
      </w:r>
      <w:r w:rsidRPr="002B7661">
        <w:rPr>
          <w:rFonts w:ascii="Times New Roman" w:hAnsi="Times New Roman"/>
          <w:sz w:val="22"/>
          <w:szCs w:val="22"/>
          <w:lang w:val="lt-LT"/>
        </w:rPr>
        <w:t xml:space="preserve"> </w:t>
      </w:r>
      <w:r w:rsidRPr="002B7661">
        <w:rPr>
          <w:rFonts w:ascii="Times New Roman" w:hAnsi="Times New Roman"/>
          <w:spacing w:val="-2"/>
          <w:sz w:val="22"/>
          <w:szCs w:val="22"/>
          <w:lang w:val="lt-LT"/>
        </w:rPr>
        <w:t>Pasitarkite su gydytoju.</w:t>
      </w:r>
      <w:r w:rsidRPr="002B7661">
        <w:rPr>
          <w:rFonts w:ascii="Times New Roman" w:hAnsi="Times New Roman"/>
          <w:sz w:val="22"/>
          <w:szCs w:val="22"/>
          <w:lang w:val="lt-LT"/>
        </w:rPr>
        <w:t xml:space="preserve"> </w:t>
      </w:r>
    </w:p>
    <w:p w:rsidR="00F72832" w:rsidRPr="002B7661"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p>
    <w:p w:rsidR="00F72832" w:rsidRPr="002B7661"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r w:rsidRPr="002B7661">
        <w:rPr>
          <w:rFonts w:ascii="Times New Roman" w:hAnsi="Times New Roman"/>
          <w:b/>
          <w:sz w:val="22"/>
          <w:szCs w:val="22"/>
          <w:lang w:val="lt-LT"/>
        </w:rPr>
        <w:t>Įspėjimai ir atsargumo priemonės</w:t>
      </w:r>
    </w:p>
    <w:p w:rsidR="006E7F3A" w:rsidRPr="002B7661" w:rsidRDefault="006E7F3A" w:rsidP="006E7F3A">
      <w:pPr>
        <w:autoSpaceDE w:val="0"/>
        <w:autoSpaceDN w:val="0"/>
        <w:adjustRightInd w:val="0"/>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Ibandrono </w:t>
      </w:r>
      <w:r w:rsidRPr="002238D1">
        <w:rPr>
          <w:rFonts w:ascii="Times New Roman" w:hAnsi="Times New Roman" w:cs="Times New Roman"/>
          <w:sz w:val="22"/>
          <w:szCs w:val="22"/>
          <w:lang w:val="lt-LT"/>
        </w:rPr>
        <w:t>rūgšties</w:t>
      </w:r>
      <w:r w:rsidRPr="002B7661">
        <w:rPr>
          <w:rFonts w:ascii="Times New Roman" w:hAnsi="Times New Roman" w:cs="Times New Roman"/>
          <w:sz w:val="22"/>
          <w:szCs w:val="22"/>
          <w:lang w:val="hu-HU" w:eastAsia="hu-HU"/>
        </w:rPr>
        <w:t xml:space="preserve"> nuo osteoporozės vartojantiems pacientams yra pastebėtas labai retas šalutinis poveikis, vadinamas žandikaulio osteonekroze (ŽON) (kaulo pažaida žandikaulyje) jau vaistui esant rinkoje. ŽON taip pat gali pasireikšti po gydymo nutraukimo. </w:t>
      </w:r>
    </w:p>
    <w:p w:rsidR="006E7F3A" w:rsidRPr="002B7661" w:rsidRDefault="006E7F3A" w:rsidP="006E7F3A">
      <w:pPr>
        <w:autoSpaceDE w:val="0"/>
        <w:autoSpaceDN w:val="0"/>
        <w:adjustRightInd w:val="0"/>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Svarbu stengtis išvengti ŽON atsiradimo, nes tai yra skausminga būklė, kurią gali būti sunku gydyti. Norint sumažinti žandikaulio osteonekrozės atsiradimo pavojų, yra keletas atsargumo priemonių, kurių Jums reikia imtis. </w:t>
      </w:r>
    </w:p>
    <w:p w:rsidR="006E7F3A" w:rsidRPr="002B7661" w:rsidRDefault="006E7F3A" w:rsidP="006E7F3A">
      <w:pPr>
        <w:autoSpaceDE w:val="0"/>
        <w:autoSpaceDN w:val="0"/>
        <w:adjustRightInd w:val="0"/>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Prieš pradėdami gydytis pasakykite gydytojui ar slaugytojui (sveikatos priežiūros specialistui), jeigu: </w:t>
      </w:r>
    </w:p>
    <w:p w:rsidR="006E7F3A" w:rsidRPr="002B7661" w:rsidRDefault="006E7F3A" w:rsidP="002B7661">
      <w:pPr>
        <w:autoSpaceDE w:val="0"/>
        <w:autoSpaceDN w:val="0"/>
        <w:adjustRightInd w:val="0"/>
        <w:ind w:left="426" w:hanging="426"/>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 </w:t>
      </w:r>
      <w:r w:rsidR="00145D01" w:rsidRPr="002B7661">
        <w:rPr>
          <w:rFonts w:ascii="Times New Roman" w:hAnsi="Times New Roman" w:cs="Times New Roman"/>
          <w:sz w:val="22"/>
          <w:szCs w:val="22"/>
          <w:lang w:val="hu-HU" w:eastAsia="hu-HU"/>
        </w:rPr>
        <w:tab/>
      </w:r>
      <w:r w:rsidRPr="002B7661">
        <w:rPr>
          <w:rFonts w:ascii="Times New Roman" w:hAnsi="Times New Roman" w:cs="Times New Roman"/>
          <w:sz w:val="22"/>
          <w:szCs w:val="22"/>
          <w:lang w:val="hu-HU" w:eastAsia="hu-HU"/>
        </w:rPr>
        <w:t xml:space="preserve">turite kokių nors burnos ar dantų problemų, tokių kaip prasta dantų būklė, dantenų liga ar planuojamas danties ištraukimas; </w:t>
      </w:r>
    </w:p>
    <w:p w:rsidR="006E7F3A" w:rsidRPr="002B7661" w:rsidRDefault="006E7F3A" w:rsidP="002B7661">
      <w:pPr>
        <w:autoSpaceDE w:val="0"/>
        <w:autoSpaceDN w:val="0"/>
        <w:adjustRightInd w:val="0"/>
        <w:ind w:left="426" w:hanging="426"/>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 </w:t>
      </w:r>
      <w:r w:rsidR="00145D01" w:rsidRPr="002B7661">
        <w:rPr>
          <w:rFonts w:ascii="Times New Roman" w:hAnsi="Times New Roman" w:cs="Times New Roman"/>
          <w:sz w:val="22"/>
          <w:szCs w:val="22"/>
          <w:lang w:val="hu-HU" w:eastAsia="hu-HU"/>
        </w:rPr>
        <w:tab/>
      </w:r>
      <w:r w:rsidRPr="002B7661">
        <w:rPr>
          <w:rFonts w:ascii="Times New Roman" w:hAnsi="Times New Roman" w:cs="Times New Roman"/>
          <w:sz w:val="22"/>
          <w:szCs w:val="22"/>
          <w:lang w:val="hu-HU" w:eastAsia="hu-HU"/>
        </w:rPr>
        <w:t xml:space="preserve">kasdien nevalote dantų arba senai buvote pas odontologą; </w:t>
      </w:r>
    </w:p>
    <w:p w:rsidR="006E7F3A" w:rsidRPr="002B7661" w:rsidRDefault="006E7F3A" w:rsidP="002B7661">
      <w:pPr>
        <w:autoSpaceDE w:val="0"/>
        <w:autoSpaceDN w:val="0"/>
        <w:adjustRightInd w:val="0"/>
        <w:ind w:left="426" w:hanging="426"/>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 </w:t>
      </w:r>
      <w:r w:rsidR="00145D01" w:rsidRPr="002B7661">
        <w:rPr>
          <w:rFonts w:ascii="Times New Roman" w:hAnsi="Times New Roman" w:cs="Times New Roman"/>
          <w:sz w:val="22"/>
          <w:szCs w:val="22"/>
          <w:lang w:val="hu-HU" w:eastAsia="hu-HU"/>
        </w:rPr>
        <w:tab/>
      </w:r>
      <w:r w:rsidRPr="002B7661">
        <w:rPr>
          <w:rFonts w:ascii="Times New Roman" w:hAnsi="Times New Roman" w:cs="Times New Roman"/>
          <w:sz w:val="22"/>
          <w:szCs w:val="22"/>
          <w:lang w:val="hu-HU" w:eastAsia="hu-HU"/>
        </w:rPr>
        <w:t xml:space="preserve">esate rūkalius (rūkymas gali padidinti dantų ligų pavojų); </w:t>
      </w:r>
    </w:p>
    <w:p w:rsidR="006E7F3A" w:rsidRPr="002B7661" w:rsidRDefault="006E7F3A" w:rsidP="002B7661">
      <w:pPr>
        <w:numPr>
          <w:ilvl w:val="0"/>
          <w:numId w:val="29"/>
        </w:numPr>
        <w:autoSpaceDE w:val="0"/>
        <w:autoSpaceDN w:val="0"/>
        <w:adjustRightInd w:val="0"/>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 anksčiau buvote gydomas bisfosfonatais (jie vartojami gydyti arba užkirsti kelią kaulų ligoms); </w:t>
      </w:r>
    </w:p>
    <w:p w:rsidR="006E7F3A" w:rsidRPr="002B7661" w:rsidRDefault="006E7F3A" w:rsidP="002B7661">
      <w:pPr>
        <w:tabs>
          <w:tab w:val="left" w:pos="426"/>
        </w:tabs>
        <w:autoSpaceDE w:val="0"/>
        <w:autoSpaceDN w:val="0"/>
        <w:adjustRightInd w:val="0"/>
        <w:ind w:left="567" w:hanging="560"/>
        <w:rPr>
          <w:rFonts w:ascii="Times New Roman" w:hAnsi="Times New Roman" w:cs="Times New Roman"/>
          <w:sz w:val="22"/>
          <w:szCs w:val="22"/>
          <w:lang w:val="hu-HU" w:eastAsia="hu-HU"/>
        </w:rPr>
      </w:pPr>
      <w:r w:rsidRPr="002B7661">
        <w:rPr>
          <w:rFonts w:ascii="Times New Roman" w:hAnsi="Times New Roman" w:cs="Times New Roman"/>
          <w:sz w:val="22"/>
          <w:szCs w:val="22"/>
          <w:lang w:val="hu-HU" w:eastAsia="hu-HU"/>
        </w:rPr>
        <w:t xml:space="preserve">• </w:t>
      </w:r>
      <w:r w:rsidR="00145D01" w:rsidRPr="002B7661">
        <w:rPr>
          <w:rFonts w:ascii="Times New Roman" w:hAnsi="Times New Roman" w:cs="Times New Roman"/>
          <w:sz w:val="22"/>
          <w:szCs w:val="22"/>
          <w:lang w:val="hu-HU" w:eastAsia="hu-HU"/>
        </w:rPr>
        <w:tab/>
      </w:r>
      <w:r w:rsidRPr="002B7661">
        <w:rPr>
          <w:rFonts w:ascii="Times New Roman" w:hAnsi="Times New Roman" w:cs="Times New Roman"/>
          <w:sz w:val="22"/>
          <w:szCs w:val="22"/>
          <w:lang w:val="hu-HU" w:eastAsia="hu-HU"/>
        </w:rPr>
        <w:t xml:space="preserve">vartojate vaistus, vadinamus kortikosteroidais (pavyzdžiui, prednizolono arba deksametazono); </w:t>
      </w:r>
    </w:p>
    <w:p w:rsidR="00193DD8" w:rsidRPr="002B7661" w:rsidRDefault="006E7F3A" w:rsidP="002B7661">
      <w:pPr>
        <w:widowControl w:val="0"/>
        <w:numPr>
          <w:ilvl w:val="0"/>
          <w:numId w:val="29"/>
        </w:numPr>
        <w:autoSpaceDE w:val="0"/>
        <w:autoSpaceDN w:val="0"/>
        <w:adjustRightInd w:val="0"/>
        <w:rPr>
          <w:rFonts w:ascii="Times New Roman" w:hAnsi="Times New Roman" w:cs="Times New Roman"/>
          <w:sz w:val="22"/>
          <w:szCs w:val="22"/>
        </w:rPr>
      </w:pPr>
      <w:r w:rsidRPr="002B7661">
        <w:rPr>
          <w:rFonts w:ascii="Times New Roman" w:hAnsi="Times New Roman" w:cs="Times New Roman"/>
          <w:sz w:val="22"/>
          <w:szCs w:val="22"/>
          <w:lang w:val="hu-HU" w:eastAsia="hu-HU"/>
        </w:rPr>
        <w:t xml:space="preserve"> sergate vėžiu. </w:t>
      </w:r>
    </w:p>
    <w:p w:rsidR="006E7F3A" w:rsidRPr="002B7661" w:rsidRDefault="006E7F3A" w:rsidP="00F90984">
      <w:pPr>
        <w:autoSpaceDE w:val="0"/>
        <w:autoSpaceDN w:val="0"/>
        <w:adjustRightInd w:val="0"/>
        <w:rPr>
          <w:rFonts w:ascii="Times New Roman" w:hAnsi="Times New Roman" w:cs="Times New Roman"/>
          <w:sz w:val="22"/>
          <w:szCs w:val="22"/>
        </w:rPr>
      </w:pPr>
    </w:p>
    <w:p w:rsidR="00F90984" w:rsidRPr="002B7661" w:rsidRDefault="00F90984" w:rsidP="00F90984">
      <w:pPr>
        <w:autoSpaceDE w:val="0"/>
        <w:autoSpaceDN w:val="0"/>
        <w:adjustRightInd w:val="0"/>
        <w:rPr>
          <w:rFonts w:ascii="Times New Roman" w:hAnsi="Times New Roman" w:cs="Times New Roman"/>
          <w:sz w:val="22"/>
          <w:szCs w:val="22"/>
        </w:rPr>
      </w:pPr>
      <w:r w:rsidRPr="002B7661">
        <w:rPr>
          <w:rFonts w:ascii="Times New Roman" w:hAnsi="Times New Roman" w:cs="Times New Roman"/>
          <w:sz w:val="22"/>
          <w:szCs w:val="22"/>
        </w:rPr>
        <w:t xml:space="preserve">Prieš paskirdamas gydymą OSSICA gydytojas gali Jūsų paprašyti pasitikrinti dantis. </w:t>
      </w:r>
    </w:p>
    <w:p w:rsidR="00F90984" w:rsidRDefault="00F90984" w:rsidP="00F90984">
      <w:pPr>
        <w:autoSpaceDE w:val="0"/>
        <w:autoSpaceDN w:val="0"/>
        <w:adjustRightInd w:val="0"/>
        <w:rPr>
          <w:rFonts w:ascii="Times New Roman" w:hAnsi="Times New Roman" w:cs="Times New Roman"/>
          <w:color w:val="000000"/>
          <w:sz w:val="22"/>
          <w:szCs w:val="22"/>
        </w:rPr>
      </w:pPr>
    </w:p>
    <w:p w:rsidR="00F90984" w:rsidRPr="00F90984" w:rsidRDefault="00F90984" w:rsidP="00F90984">
      <w:pPr>
        <w:autoSpaceDE w:val="0"/>
        <w:autoSpaceDN w:val="0"/>
        <w:adjustRightInd w:val="0"/>
        <w:rPr>
          <w:rFonts w:ascii="Times New Roman" w:hAnsi="Times New Roman" w:cs="Times New Roman"/>
          <w:color w:val="000000"/>
          <w:sz w:val="22"/>
          <w:szCs w:val="22"/>
        </w:rPr>
      </w:pPr>
      <w:r w:rsidRPr="00F90984">
        <w:rPr>
          <w:rFonts w:ascii="Times New Roman" w:hAnsi="Times New Roman" w:cs="Times New Roman"/>
          <w:color w:val="000000"/>
          <w:sz w:val="22"/>
          <w:szCs w:val="22"/>
        </w:rPr>
        <w:t xml:space="preserve">Gydymo metu Jūs turite palaikyti gerą burnos higieną (įskaitant ir reguliarų dantų valymą) ir reguliariai tikrintis dantis. Jeigu naudojate dantų protezus, </w:t>
      </w:r>
      <w:r w:rsidR="00B9709D">
        <w:rPr>
          <w:rFonts w:ascii="Times New Roman" w:hAnsi="Times New Roman" w:cs="Times New Roman"/>
          <w:color w:val="000000"/>
          <w:sz w:val="22"/>
          <w:szCs w:val="22"/>
        </w:rPr>
        <w:t xml:space="preserve">įsitikinkite, kad jie </w:t>
      </w:r>
      <w:r w:rsidRPr="00F90984">
        <w:rPr>
          <w:rFonts w:ascii="Times New Roman" w:hAnsi="Times New Roman" w:cs="Times New Roman"/>
          <w:color w:val="000000"/>
          <w:sz w:val="22"/>
          <w:szCs w:val="22"/>
        </w:rPr>
        <w:t>tinkamai pritaikyti. Jeigu gydotės dantis arba rengiatės odontologinei operacijai (pvz.,dantų traukimui), apie tai praneškite savo gydytojui ir pasakykite odontologui, kad esate gydomi</w:t>
      </w:r>
      <w:r>
        <w:rPr>
          <w:rFonts w:ascii="Times New Roman" w:hAnsi="Times New Roman" w:cs="Times New Roman"/>
          <w:color w:val="000000"/>
          <w:sz w:val="22"/>
          <w:szCs w:val="22"/>
        </w:rPr>
        <w:t xml:space="preserve"> OSSICA</w:t>
      </w:r>
      <w:r w:rsidRPr="00F90984">
        <w:rPr>
          <w:rFonts w:ascii="Times New Roman" w:hAnsi="Times New Roman" w:cs="Times New Roman"/>
          <w:color w:val="000000"/>
          <w:sz w:val="22"/>
          <w:szCs w:val="22"/>
        </w:rPr>
        <w:t xml:space="preserve">. </w:t>
      </w:r>
    </w:p>
    <w:p w:rsidR="00F90984" w:rsidRDefault="00F90984" w:rsidP="00F90984">
      <w:pPr>
        <w:autoSpaceDE w:val="0"/>
        <w:autoSpaceDN w:val="0"/>
        <w:adjustRightInd w:val="0"/>
        <w:rPr>
          <w:rFonts w:ascii="Times New Roman" w:hAnsi="Times New Roman" w:cs="Times New Roman"/>
          <w:color w:val="000000"/>
          <w:sz w:val="22"/>
          <w:szCs w:val="22"/>
        </w:rPr>
      </w:pPr>
    </w:p>
    <w:p w:rsidR="00F90984" w:rsidRPr="00F90984" w:rsidRDefault="00F90984" w:rsidP="00F90984">
      <w:pPr>
        <w:autoSpaceDE w:val="0"/>
        <w:autoSpaceDN w:val="0"/>
        <w:adjustRightInd w:val="0"/>
        <w:rPr>
          <w:rFonts w:ascii="Times New Roman" w:hAnsi="Times New Roman" w:cs="Times New Roman"/>
          <w:color w:val="000000"/>
          <w:sz w:val="22"/>
          <w:szCs w:val="22"/>
        </w:rPr>
      </w:pPr>
      <w:r w:rsidRPr="00F90984">
        <w:rPr>
          <w:rFonts w:ascii="Times New Roman" w:hAnsi="Times New Roman" w:cs="Times New Roman"/>
          <w:color w:val="000000"/>
          <w:sz w:val="22"/>
          <w:szCs w:val="22"/>
        </w:rPr>
        <w:t>Pajutę kokių nors burnos ar dantų negalavimų, tokių kaip skausmas ar patinimas, negyjančios opelės arba išskyros,</w:t>
      </w:r>
      <w:r w:rsidR="00942440">
        <w:rPr>
          <w:rFonts w:ascii="Times New Roman" w:hAnsi="Times New Roman" w:cs="Times New Roman"/>
          <w:color w:val="000000"/>
          <w:sz w:val="22"/>
          <w:szCs w:val="22"/>
        </w:rPr>
        <w:t xml:space="preserve"> arba krenta dantys,</w:t>
      </w:r>
      <w:r w:rsidRPr="00F90984">
        <w:rPr>
          <w:rFonts w:ascii="Times New Roman" w:hAnsi="Times New Roman" w:cs="Times New Roman"/>
          <w:color w:val="000000"/>
          <w:sz w:val="22"/>
          <w:szCs w:val="22"/>
        </w:rPr>
        <w:t xml:space="preserve"> nedelsdami kreipkitės į gydytoją ir odontologą, nes tai galėtų būti žandikaulio osteonekrozės požymiai. </w:t>
      </w:r>
    </w:p>
    <w:p w:rsidR="00F90984" w:rsidRDefault="00F90984" w:rsidP="00193DD8">
      <w:pPr>
        <w:widowControl w:val="0"/>
        <w:tabs>
          <w:tab w:val="left" w:pos="567"/>
        </w:tabs>
        <w:autoSpaceDE w:val="0"/>
        <w:autoSpaceDN w:val="0"/>
        <w:adjustRightInd w:val="0"/>
        <w:rPr>
          <w:rFonts w:ascii="Times New Roman" w:hAnsi="Times New Roman"/>
          <w:spacing w:val="-2"/>
          <w:sz w:val="22"/>
          <w:szCs w:val="22"/>
          <w:lang w:val="lt-LT"/>
        </w:rPr>
      </w:pPr>
    </w:p>
    <w:p w:rsidR="00F72832" w:rsidRDefault="00F72832" w:rsidP="00193DD8">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2"/>
          <w:sz w:val="22"/>
          <w:szCs w:val="22"/>
          <w:lang w:val="lt-LT"/>
        </w:rPr>
        <w:t>Kai kurie žmonės turi labai atsargiai vartoti OSSICA.</w:t>
      </w:r>
      <w:r>
        <w:rPr>
          <w:rFonts w:ascii="Times New Roman" w:hAnsi="Times New Roman"/>
          <w:sz w:val="22"/>
          <w:szCs w:val="22"/>
          <w:lang w:val="lt-LT"/>
        </w:rPr>
        <w:t xml:space="preserve"> </w:t>
      </w:r>
      <w:r>
        <w:rPr>
          <w:rFonts w:ascii="Times New Roman" w:hAnsi="Times New Roman"/>
          <w:spacing w:val="-2"/>
          <w:sz w:val="22"/>
          <w:szCs w:val="22"/>
          <w:lang w:val="lt-LT"/>
        </w:rPr>
        <w:t>Pasitarkite su gydytoju, prieš pradėdami vartoti OSSICA:</w:t>
      </w:r>
      <w:r>
        <w:rPr>
          <w:rFonts w:ascii="Times New Roman" w:hAnsi="Times New Roman"/>
          <w:b/>
          <w:sz w:val="22"/>
          <w:szCs w:val="22"/>
          <w:lang w:val="lt-LT"/>
        </w:rPr>
        <w:t xml:space="preserve"> </w:t>
      </w:r>
    </w:p>
    <w:p w:rsidR="00F72832" w:rsidRDefault="00F72832" w:rsidP="00F72832">
      <w:pPr>
        <w:widowControl w:val="0"/>
        <w:numPr>
          <w:ilvl w:val="0"/>
          <w:numId w:val="24"/>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jei Jums yra kitų mineralinių medžiagų metabolizmo sutrikimų (pvz., vitamino D trūkumas);</w:t>
      </w:r>
      <w:r>
        <w:rPr>
          <w:rFonts w:ascii="Times New Roman" w:hAnsi="Times New Roman"/>
          <w:b/>
          <w:sz w:val="22"/>
          <w:szCs w:val="22"/>
          <w:lang w:val="lt-LT"/>
        </w:rPr>
        <w:t xml:space="preserve"> </w:t>
      </w:r>
    </w:p>
    <w:p w:rsidR="00F72832" w:rsidRDefault="00F72832" w:rsidP="00F72832">
      <w:pPr>
        <w:widowControl w:val="0"/>
        <w:numPr>
          <w:ilvl w:val="0"/>
          <w:numId w:val="24"/>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pacing w:val="-3"/>
          <w:sz w:val="22"/>
          <w:szCs w:val="22"/>
          <w:lang w:val="lt-LT"/>
        </w:rPr>
        <w:t>jei sutrikusi Jūsų inkstų funkcija;</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 yra rijimo ar virškinimo sutrikimų</w:t>
      </w:r>
      <w:r w:rsidR="00F90984">
        <w:rPr>
          <w:rFonts w:ascii="Times New Roman" w:hAnsi="Times New Roman"/>
          <w:sz w:val="22"/>
          <w:szCs w:val="22"/>
          <w:lang w:val="lt-LT"/>
        </w:rPr>
        <w:t>.</w:t>
      </w:r>
      <w:r>
        <w:rPr>
          <w:rFonts w:ascii="Times New Roman" w:hAnsi="Times New Roman"/>
          <w:sz w:val="22"/>
          <w:szCs w:val="22"/>
          <w:lang w:val="lt-LT"/>
        </w:rPr>
        <w:t xml:space="preserve"> </w:t>
      </w:r>
    </w:p>
    <w:p w:rsidR="00F72832" w:rsidRDefault="00F72832" w:rsidP="00F72832">
      <w:pPr>
        <w:pStyle w:val="Default"/>
        <w:rPr>
          <w:sz w:val="22"/>
          <w:szCs w:val="22"/>
          <w:lang w:val="lt-LT"/>
        </w:rPr>
      </w:pPr>
    </w:p>
    <w:p w:rsidR="00F72832" w:rsidRDefault="00F72832" w:rsidP="00F72832">
      <w:pPr>
        <w:pStyle w:val="Default"/>
        <w:rPr>
          <w:sz w:val="22"/>
          <w:szCs w:val="22"/>
          <w:lang w:val="lt-LT"/>
        </w:rPr>
      </w:pPr>
      <w:r>
        <w:rPr>
          <w:sz w:val="22"/>
          <w:szCs w:val="22"/>
          <w:lang w:val="lt-LT"/>
        </w:rPr>
        <w:t xml:space="preserve">Gali pasireikšti stemplės dirginimas, uždegimas ar išopėjimas, dažnai pasižymintys tokiais simptomais kaip stiprus skausmas krūtinėje, stiprus skausmas ryjant maistą ir (arba) geriant, stiprus pykinimas ar vėmimas, ypač jeigu Jūs neužgeriate tabletės pilna stikline vandens ir (arba) jeigu Jūs atsigulate nepraėjus vienai valandai po ibandronato pavartojimo. Jei pajusite šiuos simptomus, nebevartokite OSSICA ir nedelsdami kreipkitės į gydytoją (žr. 3 skyrių). </w:t>
      </w:r>
    </w:p>
    <w:p w:rsidR="00F72832" w:rsidRDefault="00F72832" w:rsidP="00F72832">
      <w:pPr>
        <w:widowControl w:val="0"/>
        <w:tabs>
          <w:tab w:val="left" w:pos="567"/>
        </w:tabs>
        <w:autoSpaceDE w:val="0"/>
        <w:autoSpaceDN w:val="0"/>
        <w:adjustRightInd w:val="0"/>
        <w:ind w:left="560" w:hanging="560"/>
        <w:rPr>
          <w:rFonts w:ascii="Times New Roman" w:hAnsi="Times New Roman"/>
          <w:b/>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b/>
          <w:sz w:val="22"/>
          <w:szCs w:val="22"/>
          <w:lang w:val="lt-LT"/>
        </w:rPr>
      </w:pPr>
      <w:r>
        <w:rPr>
          <w:rFonts w:ascii="Times New Roman" w:hAnsi="Times New Roman"/>
          <w:b/>
          <w:sz w:val="22"/>
          <w:szCs w:val="22"/>
          <w:lang w:val="lt-LT"/>
        </w:rPr>
        <w:t>Vaikams ir paaugliams</w:t>
      </w: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spacing w:val="-3"/>
          <w:sz w:val="22"/>
          <w:szCs w:val="22"/>
          <w:lang w:val="lt-LT"/>
        </w:rPr>
        <w:t>OSSICA negalima vartoti jaunesniems nei 18 metų vaikams ir paaugliams.</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 xml:space="preserve">Kiti vaistai ir OSSICA </w:t>
      </w:r>
    </w:p>
    <w:p w:rsidR="00F72832" w:rsidRDefault="00F72832" w:rsidP="00F72832">
      <w:pPr>
        <w:numPr>
          <w:ilvl w:val="12"/>
          <w:numId w:val="0"/>
        </w:numPr>
        <w:ind w:right="-2"/>
        <w:rPr>
          <w:rFonts w:ascii="Times New Roman" w:hAnsi="Times New Roman"/>
          <w:snapToGrid w:val="0"/>
          <w:sz w:val="22"/>
          <w:szCs w:val="22"/>
          <w:lang w:val="lt-LT"/>
        </w:rPr>
      </w:pPr>
      <w:r>
        <w:rPr>
          <w:rFonts w:ascii="Times New Roman" w:hAnsi="Times New Roman"/>
          <w:noProof/>
          <w:snapToGrid w:val="0"/>
          <w:sz w:val="22"/>
          <w:szCs w:val="22"/>
          <w:lang w:val="lt-LT"/>
        </w:rPr>
        <w:t>Jeigu vartojate ar neseniai vartojote kitų vaistų arba dėl to nesate tikri, apie tai pasakykite gydytojui arba vaistininkui.</w:t>
      </w:r>
    </w:p>
    <w:p w:rsidR="00F72832" w:rsidRDefault="00F72832" w:rsidP="00F72832">
      <w:pPr>
        <w:pStyle w:val="Default"/>
        <w:tabs>
          <w:tab w:val="left" w:pos="567"/>
        </w:tabs>
        <w:rPr>
          <w:color w:val="auto"/>
          <w:sz w:val="22"/>
          <w:szCs w:val="22"/>
          <w:lang w:val="lt-LT"/>
        </w:rPr>
      </w:pPr>
      <w:r>
        <w:rPr>
          <w:color w:val="auto"/>
          <w:spacing w:val="-4"/>
          <w:sz w:val="22"/>
          <w:szCs w:val="22"/>
          <w:lang w:val="lt-LT"/>
        </w:rPr>
        <w:t>Ypač svarbu pasakyti apie:</w:t>
      </w:r>
      <w:r>
        <w:rPr>
          <w:color w:val="auto"/>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3"/>
          <w:sz w:val="22"/>
          <w:szCs w:val="22"/>
          <w:lang w:val="lt-LT"/>
        </w:rPr>
        <w:t xml:space="preserve">papildus, kuriuose yra kalcio, magnio, geležies arba aliuminio, nes jie gali pakeisti OSSICA </w:t>
      </w:r>
      <w:r>
        <w:rPr>
          <w:rFonts w:ascii="Times New Roman" w:hAnsi="Times New Roman"/>
          <w:spacing w:val="-4"/>
          <w:sz w:val="22"/>
          <w:szCs w:val="22"/>
          <w:lang w:val="lt-LT"/>
        </w:rPr>
        <w:t>poveikį;</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3"/>
          <w:sz w:val="22"/>
          <w:szCs w:val="22"/>
          <w:lang w:val="lt-LT"/>
        </w:rPr>
        <w:t>a</w:t>
      </w:r>
      <w:r>
        <w:rPr>
          <w:rFonts w:ascii="Times New Roman" w:hAnsi="Times New Roman"/>
          <w:sz w:val="22"/>
          <w:szCs w:val="22"/>
          <w:lang w:val="lt-LT"/>
        </w:rPr>
        <w:t xml:space="preserve">cetilsalicilo rūgštį </w:t>
      </w:r>
      <w:r>
        <w:rPr>
          <w:rFonts w:ascii="Times New Roman" w:hAnsi="Times New Roman"/>
          <w:spacing w:val="-3"/>
          <w:sz w:val="22"/>
          <w:szCs w:val="22"/>
          <w:lang w:val="lt-LT"/>
        </w:rPr>
        <w:t>ir kitus nesteroidinius vaistus nuo uždegimo (NVNU) (įskaitant ibuprofeną, diklofenaką ir naprokseną), kurie gali dirginti skrandį ir žarnyną.</w:t>
      </w:r>
      <w:r>
        <w:rPr>
          <w:rFonts w:ascii="Times New Roman" w:hAnsi="Times New Roman"/>
          <w:sz w:val="22"/>
          <w:szCs w:val="22"/>
          <w:lang w:val="lt-LT"/>
        </w:rPr>
        <w:t xml:space="preserve"> OSSICA </w:t>
      </w:r>
      <w:r>
        <w:rPr>
          <w:rFonts w:ascii="Times New Roman" w:hAnsi="Times New Roman"/>
          <w:spacing w:val="-3"/>
          <w:sz w:val="22"/>
          <w:szCs w:val="22"/>
          <w:lang w:val="lt-LT"/>
        </w:rPr>
        <w:t>taip pat gali sukelti šiuos reiškinius.</w:t>
      </w:r>
      <w:r>
        <w:rPr>
          <w:rFonts w:ascii="Times New Roman" w:hAnsi="Times New Roman"/>
          <w:sz w:val="22"/>
          <w:szCs w:val="22"/>
          <w:lang w:val="lt-LT"/>
        </w:rPr>
        <w:t xml:space="preserve"> </w:t>
      </w:r>
      <w:r>
        <w:rPr>
          <w:rFonts w:ascii="Times New Roman" w:hAnsi="Times New Roman"/>
          <w:spacing w:val="-3"/>
          <w:sz w:val="22"/>
          <w:szCs w:val="22"/>
          <w:lang w:val="lt-LT"/>
        </w:rPr>
        <w:t xml:space="preserve">Taigi ypač atsargiai vartokite skausmą </w:t>
      </w:r>
      <w:r>
        <w:rPr>
          <w:rFonts w:ascii="Times New Roman" w:hAnsi="Times New Roman"/>
          <w:spacing w:val="-4"/>
          <w:sz w:val="22"/>
          <w:szCs w:val="22"/>
          <w:lang w:val="lt-LT"/>
        </w:rPr>
        <w:t xml:space="preserve">malšinančius vaistus ar vaistus nuo uždegimo kartu su </w:t>
      </w:r>
      <w:r>
        <w:rPr>
          <w:rFonts w:ascii="Times New Roman" w:hAnsi="Times New Roman"/>
          <w:sz w:val="22"/>
          <w:szCs w:val="22"/>
          <w:lang w:val="lt-LT"/>
        </w:rPr>
        <w:t xml:space="preserve">OSSICA. </w:t>
      </w: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 xml:space="preserve">Išgėrę </w:t>
      </w:r>
      <w:r>
        <w:rPr>
          <w:rFonts w:ascii="Times New Roman" w:hAnsi="Times New Roman"/>
          <w:sz w:val="22"/>
          <w:szCs w:val="22"/>
          <w:lang w:val="lt-LT"/>
        </w:rPr>
        <w:t>OSSICA</w:t>
      </w:r>
      <w:r>
        <w:rPr>
          <w:rFonts w:ascii="Times New Roman" w:hAnsi="Times New Roman"/>
          <w:spacing w:val="-3"/>
          <w:sz w:val="22"/>
          <w:szCs w:val="22"/>
          <w:lang w:val="lt-LT"/>
        </w:rPr>
        <w:t xml:space="preserve">150 mg </w:t>
      </w:r>
      <w:r>
        <w:rPr>
          <w:rFonts w:ascii="Times New Roman" w:hAnsi="Times New Roman"/>
          <w:sz w:val="22"/>
          <w:szCs w:val="22"/>
          <w:lang w:val="lt-LT"/>
        </w:rPr>
        <w:t>plėvele dengtą tabletę</w:t>
      </w:r>
      <w:r>
        <w:rPr>
          <w:rFonts w:ascii="Times New Roman" w:hAnsi="Times New Roman"/>
          <w:spacing w:val="-3"/>
          <w:sz w:val="22"/>
          <w:szCs w:val="22"/>
          <w:lang w:val="lt-LT"/>
        </w:rPr>
        <w:t xml:space="preserve">, palaukite bent 1 valandą ir tik tada gerkite kitus vaistus, įskaitant </w:t>
      </w:r>
      <w:r>
        <w:rPr>
          <w:rFonts w:ascii="Times New Roman" w:hAnsi="Times New Roman"/>
          <w:spacing w:val="-4"/>
          <w:sz w:val="22"/>
          <w:szCs w:val="22"/>
          <w:lang w:val="lt-LT"/>
        </w:rPr>
        <w:t>virškinimą gerinančius preparatus, kalcio papildus ar vitaminus.</w:t>
      </w:r>
      <w:r>
        <w:rPr>
          <w:rFonts w:ascii="Times New Roman" w:hAnsi="Times New Roman"/>
          <w:b/>
          <w:sz w:val="22"/>
          <w:szCs w:val="22"/>
          <w:lang w:val="lt-LT"/>
        </w:rPr>
        <w:t xml:space="preserve"> </w:t>
      </w:r>
    </w:p>
    <w:p w:rsidR="00F72832" w:rsidRDefault="00F72832" w:rsidP="00F72832">
      <w:pPr>
        <w:pStyle w:val="Default"/>
        <w:tabs>
          <w:tab w:val="left" w:pos="567"/>
        </w:tabs>
        <w:ind w:left="560" w:hanging="560"/>
        <w:rPr>
          <w:b/>
          <w:color w:val="auto"/>
          <w:sz w:val="22"/>
          <w:szCs w:val="22"/>
          <w:lang w:val="lt-LT"/>
        </w:rPr>
      </w:pPr>
    </w:p>
    <w:p w:rsidR="00F72832" w:rsidRDefault="00F72832" w:rsidP="00F72832">
      <w:pPr>
        <w:pStyle w:val="Default"/>
        <w:tabs>
          <w:tab w:val="left" w:pos="567"/>
        </w:tabs>
        <w:ind w:left="560" w:hanging="560"/>
        <w:rPr>
          <w:color w:val="auto"/>
          <w:sz w:val="22"/>
          <w:szCs w:val="22"/>
          <w:lang w:val="lt-LT"/>
        </w:rPr>
      </w:pPr>
      <w:r>
        <w:rPr>
          <w:b/>
          <w:color w:val="auto"/>
          <w:sz w:val="22"/>
          <w:szCs w:val="22"/>
          <w:lang w:val="lt-LT"/>
        </w:rPr>
        <w:t xml:space="preserve">OSSICA vartojimas su maistu ir gėrimais </w:t>
      </w:r>
    </w:p>
    <w:p w:rsidR="00F72832" w:rsidRDefault="00F72832" w:rsidP="00F72832">
      <w:pPr>
        <w:pStyle w:val="Default"/>
        <w:tabs>
          <w:tab w:val="left" w:pos="0"/>
        </w:tabs>
        <w:rPr>
          <w:color w:val="auto"/>
          <w:sz w:val="22"/>
          <w:szCs w:val="22"/>
          <w:lang w:val="lt-LT"/>
        </w:rPr>
      </w:pPr>
      <w:r>
        <w:rPr>
          <w:color w:val="auto"/>
          <w:spacing w:val="-3"/>
          <w:sz w:val="22"/>
          <w:szCs w:val="22"/>
          <w:lang w:val="lt-LT"/>
        </w:rPr>
        <w:t xml:space="preserve">Nevartokite </w:t>
      </w:r>
      <w:r>
        <w:rPr>
          <w:color w:val="auto"/>
          <w:sz w:val="22"/>
          <w:szCs w:val="22"/>
          <w:lang w:val="lt-LT"/>
        </w:rPr>
        <w:t xml:space="preserve">OSSICA tablečių </w:t>
      </w:r>
      <w:r>
        <w:rPr>
          <w:color w:val="auto"/>
          <w:spacing w:val="-3"/>
          <w:sz w:val="22"/>
          <w:szCs w:val="22"/>
          <w:lang w:val="lt-LT"/>
        </w:rPr>
        <w:t>kartu su maistu.</w:t>
      </w:r>
      <w:r>
        <w:rPr>
          <w:b/>
          <w:color w:val="auto"/>
          <w:spacing w:val="-3"/>
          <w:sz w:val="22"/>
          <w:szCs w:val="22"/>
          <w:lang w:val="lt-LT"/>
        </w:rPr>
        <w:t xml:space="preserve"> </w:t>
      </w:r>
      <w:r>
        <w:rPr>
          <w:color w:val="auto"/>
          <w:sz w:val="22"/>
          <w:szCs w:val="22"/>
          <w:lang w:val="lt-LT"/>
        </w:rPr>
        <w:t>OSSICA</w:t>
      </w:r>
      <w:r>
        <w:rPr>
          <w:color w:val="auto"/>
          <w:spacing w:val="-3"/>
          <w:sz w:val="22"/>
          <w:szCs w:val="22"/>
          <w:lang w:val="lt-LT"/>
        </w:rPr>
        <w:t>, vartojamos kartu su maistu, yra mažiau veiksmingos.</w:t>
      </w:r>
      <w:r>
        <w:rPr>
          <w:color w:val="auto"/>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 xml:space="preserve">Galima gerti vandenį, bet ne kitus gėrimus. Išgėrę </w:t>
      </w:r>
      <w:r>
        <w:rPr>
          <w:rFonts w:ascii="Times New Roman" w:hAnsi="Times New Roman"/>
          <w:sz w:val="22"/>
          <w:szCs w:val="22"/>
          <w:lang w:val="lt-LT"/>
        </w:rPr>
        <w:t>OSSICA</w:t>
      </w:r>
      <w:r>
        <w:rPr>
          <w:rFonts w:ascii="Times New Roman" w:hAnsi="Times New Roman"/>
          <w:spacing w:val="-3"/>
          <w:sz w:val="22"/>
          <w:szCs w:val="22"/>
          <w:lang w:val="lt-LT"/>
        </w:rPr>
        <w:t>, palaukite bent 1 valandą ir tik tada valgykite arba gerkite (žr. 3. Kaip vartoti OSSICA).</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 xml:space="preserve">Nėštumas ir žindymo laikotarpis </w:t>
      </w:r>
    </w:p>
    <w:p w:rsidR="00F72832" w:rsidRDefault="00F72832" w:rsidP="00F72832">
      <w:pPr>
        <w:widowControl w:val="0"/>
        <w:tabs>
          <w:tab w:val="left" w:pos="567"/>
        </w:tabs>
        <w:autoSpaceDE w:val="0"/>
        <w:autoSpaceDN w:val="0"/>
        <w:adjustRightInd w:val="0"/>
        <w:rPr>
          <w:rFonts w:ascii="Times New Roman" w:hAnsi="Times New Roman"/>
          <w:spacing w:val="-3"/>
          <w:sz w:val="22"/>
          <w:szCs w:val="22"/>
          <w:lang w:val="lt-LT"/>
        </w:rPr>
      </w:pPr>
      <w:r>
        <w:rPr>
          <w:rFonts w:ascii="Times New Roman" w:hAnsi="Times New Roman"/>
          <w:spacing w:val="-3"/>
          <w:sz w:val="22"/>
          <w:szCs w:val="22"/>
          <w:lang w:val="lt-LT"/>
        </w:rPr>
        <w:t xml:space="preserve">OSSICA skiriamos tik moterims po menopauzės, vaisingo amžiaus moterims </w:t>
      </w:r>
    </w:p>
    <w:p w:rsidR="00F72832" w:rsidRDefault="00F72832" w:rsidP="00F72832">
      <w:pPr>
        <w:widowControl w:val="0"/>
        <w:tabs>
          <w:tab w:val="left" w:pos="567"/>
        </w:tabs>
        <w:autoSpaceDE w:val="0"/>
        <w:autoSpaceDN w:val="0"/>
        <w:adjustRightInd w:val="0"/>
        <w:rPr>
          <w:rFonts w:ascii="Times New Roman" w:hAnsi="Times New Roman"/>
          <w:spacing w:val="-3"/>
          <w:sz w:val="22"/>
          <w:szCs w:val="22"/>
          <w:lang w:val="lt-LT"/>
        </w:rPr>
      </w:pPr>
      <w:r>
        <w:rPr>
          <w:rFonts w:ascii="Times New Roman" w:hAnsi="Times New Roman"/>
          <w:spacing w:val="-3"/>
          <w:sz w:val="22"/>
          <w:szCs w:val="22"/>
          <w:lang w:val="lt-LT"/>
        </w:rPr>
        <w:t xml:space="preserve">šio vaisto negalima vartoti,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Nevartokite OSSICA, jei esate nėščia ar žindote kūdikį.</w:t>
      </w:r>
      <w:r>
        <w:rPr>
          <w:rFonts w:ascii="Times New Roman" w:hAnsi="Times New Roman"/>
          <w:sz w:val="22"/>
          <w:szCs w:val="22"/>
          <w:lang w:val="lt-LT"/>
        </w:rPr>
        <w:t xml:space="preserve"> </w:t>
      </w: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t>Prieš vartojant šį vaistą, būtina pasitarti su gydytoju arba vaistininku.</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b/>
          <w:sz w:val="22"/>
          <w:szCs w:val="22"/>
          <w:lang w:val="lt-LT"/>
        </w:rPr>
        <w:t xml:space="preserve">Vairavimas ir mechanizmų valdymas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 xml:space="preserve">Jūs galite vairuoti ir valdyti mechanizmus, kadangi manoma, kad </w:t>
      </w:r>
      <w:r>
        <w:rPr>
          <w:rFonts w:ascii="Times New Roman" w:hAnsi="Times New Roman"/>
          <w:sz w:val="22"/>
          <w:szCs w:val="22"/>
          <w:lang w:val="lt-LT"/>
        </w:rPr>
        <w:t xml:space="preserve">OSSICA </w:t>
      </w:r>
      <w:r>
        <w:rPr>
          <w:rFonts w:ascii="Times New Roman" w:hAnsi="Times New Roman"/>
          <w:spacing w:val="-3"/>
          <w:sz w:val="22"/>
          <w:szCs w:val="22"/>
          <w:lang w:val="lt-LT"/>
        </w:rPr>
        <w:t xml:space="preserve">Jūsų </w:t>
      </w:r>
      <w:r>
        <w:rPr>
          <w:rFonts w:ascii="Times New Roman" w:hAnsi="Times New Roman"/>
          <w:spacing w:val="-4"/>
          <w:sz w:val="22"/>
          <w:szCs w:val="22"/>
          <w:lang w:val="lt-LT"/>
        </w:rPr>
        <w:t>gebėjimo vairuoti ir valdyti mechanizmus</w:t>
      </w:r>
      <w:r>
        <w:rPr>
          <w:rFonts w:ascii="Times New Roman" w:hAnsi="Times New Roman"/>
          <w:spacing w:val="-3"/>
          <w:sz w:val="22"/>
          <w:szCs w:val="22"/>
          <w:lang w:val="lt-LT"/>
        </w:rPr>
        <w:t xml:space="preserve"> neveikia arba veikia nereikšmingai.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 xml:space="preserve">OSSICA </w:t>
      </w:r>
      <w:r>
        <w:rPr>
          <w:rFonts w:ascii="Times New Roman" w:hAnsi="Times New Roman"/>
          <w:b/>
          <w:spacing w:val="-3"/>
          <w:sz w:val="22"/>
          <w:szCs w:val="22"/>
          <w:lang w:val="lt-LT"/>
        </w:rPr>
        <w:t>sudėtyje yra laktozės.</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Jeigu gydytojas Jums yra sakęs, kad netoleruojate ar nevirškinate kokių nors rūšių cukraus (pvz., jeigu Jums yra galaktozės netolerancija, Lapp laktazės stoka arba gliukozės-galaktozės absorbcijos sutrikimas), prieš pradėdami vartoti šį vaistą pasitarkite su savo gydytoju.</w:t>
      </w:r>
    </w:p>
    <w:p w:rsidR="00F72832" w:rsidRDefault="00F72832" w:rsidP="00F72832">
      <w:pPr>
        <w:tabs>
          <w:tab w:val="left" w:pos="567"/>
        </w:tabs>
        <w:rPr>
          <w:rFonts w:ascii="Times New Roman" w:hAnsi="Times New Roman"/>
          <w:sz w:val="22"/>
          <w:szCs w:val="22"/>
          <w:lang w:val="lt-LT"/>
        </w:rPr>
      </w:pPr>
    </w:p>
    <w:p w:rsidR="00F72832" w:rsidRDefault="00F72832" w:rsidP="00F72832">
      <w:pPr>
        <w:tabs>
          <w:tab w:val="left" w:pos="567"/>
        </w:tabs>
        <w:rPr>
          <w:rFonts w:ascii="Times New Roman" w:hAnsi="Times New Roman"/>
          <w:sz w:val="22"/>
          <w:szCs w:val="22"/>
          <w:lang w:val="lt-LT"/>
        </w:rPr>
      </w:pPr>
    </w:p>
    <w:p w:rsidR="00F72832" w:rsidRDefault="00F72832" w:rsidP="00F72832">
      <w:pPr>
        <w:widowControl w:val="0"/>
        <w:numPr>
          <w:ilvl w:val="0"/>
          <w:numId w:val="18"/>
        </w:numPr>
        <w:tabs>
          <w:tab w:val="clear" w:pos="360"/>
          <w:tab w:val="num" w:pos="540"/>
          <w:tab w:val="left" w:pos="567"/>
        </w:tabs>
        <w:autoSpaceDE w:val="0"/>
        <w:autoSpaceDN w:val="0"/>
        <w:adjustRightInd w:val="0"/>
        <w:ind w:left="540" w:hanging="540"/>
        <w:rPr>
          <w:rFonts w:ascii="Times New Roman" w:hAnsi="Times New Roman"/>
          <w:b/>
          <w:sz w:val="22"/>
          <w:szCs w:val="22"/>
          <w:lang w:val="lt-LT"/>
        </w:rPr>
      </w:pPr>
      <w:r>
        <w:rPr>
          <w:rFonts w:ascii="Times New Roman" w:hAnsi="Times New Roman"/>
          <w:b/>
          <w:sz w:val="22"/>
          <w:szCs w:val="22"/>
          <w:lang w:val="lt-LT"/>
        </w:rPr>
        <w:t xml:space="preserve">Kaip vartoti OSSICA </w:t>
      </w: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 xml:space="preserve">Visada vartokite šį vaistą  tiksliai kaip nurodė gydytojas. </w:t>
      </w:r>
      <w:r>
        <w:rPr>
          <w:rFonts w:ascii="Times New Roman" w:hAnsi="Times New Roman"/>
          <w:spacing w:val="-3"/>
          <w:sz w:val="22"/>
          <w:szCs w:val="22"/>
          <w:lang w:val="lt-LT"/>
        </w:rPr>
        <w:t xml:space="preserve">Jeigu abejojate, kreipkitės į gydytoją </w:t>
      </w:r>
      <w:r>
        <w:rPr>
          <w:rFonts w:ascii="Times New Roman" w:hAnsi="Times New Roman"/>
          <w:spacing w:val="-4"/>
          <w:sz w:val="22"/>
          <w:szCs w:val="22"/>
          <w:lang w:val="lt-LT"/>
        </w:rPr>
        <w:t>arba vaistininką.</w:t>
      </w:r>
      <w:r>
        <w:rPr>
          <w:rFonts w:ascii="Times New Roman" w:hAnsi="Times New Roman"/>
          <w:sz w:val="22"/>
          <w:szCs w:val="22"/>
          <w:lang w:val="lt-LT"/>
        </w:rPr>
        <w:t xml:space="preserve"> </w:t>
      </w:r>
    </w:p>
    <w:p w:rsidR="00F72832" w:rsidRDefault="00F90984" w:rsidP="00F72832">
      <w:pPr>
        <w:widowControl w:val="0"/>
        <w:tabs>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spacing w:val="-4"/>
          <w:sz w:val="22"/>
          <w:szCs w:val="22"/>
          <w:lang w:val="lt-LT"/>
        </w:rPr>
        <w:t xml:space="preserve">Rekomenduojama </w:t>
      </w:r>
      <w:r w:rsidR="00F72832">
        <w:rPr>
          <w:rFonts w:ascii="Times New Roman" w:hAnsi="Times New Roman"/>
          <w:sz w:val="22"/>
          <w:szCs w:val="22"/>
          <w:lang w:val="lt-LT"/>
        </w:rPr>
        <w:t xml:space="preserve">OSSICA 150 mg plėvele dengtų tablečių </w:t>
      </w:r>
      <w:r w:rsidR="00F72832">
        <w:rPr>
          <w:rFonts w:ascii="Times New Roman" w:hAnsi="Times New Roman"/>
          <w:spacing w:val="-4"/>
          <w:sz w:val="22"/>
          <w:szCs w:val="22"/>
          <w:lang w:val="lt-LT"/>
        </w:rPr>
        <w:t>dozė yra viena tabletė per mėnesį.</w:t>
      </w:r>
      <w:r w:rsidR="00F72832">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b/>
          <w:sz w:val="22"/>
          <w:szCs w:val="22"/>
          <w:lang w:val="lt-LT"/>
        </w:rPr>
      </w:pPr>
      <w:r>
        <w:rPr>
          <w:rFonts w:ascii="Times New Roman" w:hAnsi="Times New Roman"/>
          <w:b/>
          <w:spacing w:val="-4"/>
          <w:sz w:val="22"/>
          <w:szCs w:val="22"/>
          <w:lang w:val="lt-LT"/>
        </w:rPr>
        <w:t>Kaip kas mėnesį išgerti tabletę</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Svarbu kruopščiai laikytis šių nurodymų.</w:t>
      </w:r>
      <w:r>
        <w:rPr>
          <w:rFonts w:ascii="Times New Roman" w:hAnsi="Times New Roman"/>
          <w:sz w:val="22"/>
          <w:szCs w:val="22"/>
          <w:lang w:val="lt-LT"/>
        </w:rPr>
        <w:t xml:space="preserve"> </w:t>
      </w:r>
      <w:r>
        <w:rPr>
          <w:rFonts w:ascii="Times New Roman" w:hAnsi="Times New Roman"/>
          <w:spacing w:val="-3"/>
          <w:sz w:val="22"/>
          <w:szCs w:val="22"/>
          <w:lang w:val="lt-LT"/>
        </w:rPr>
        <w:t xml:space="preserve">Jie skirti tam, kad OSSICA greitai patektų į skrandį, </w:t>
      </w:r>
      <w:r>
        <w:rPr>
          <w:rFonts w:ascii="Times New Roman" w:hAnsi="Times New Roman"/>
          <w:spacing w:val="-4"/>
          <w:sz w:val="22"/>
          <w:szCs w:val="22"/>
          <w:lang w:val="lt-LT"/>
        </w:rPr>
        <w:t>taigi mažiau dirgintų.</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lastRenderedPageBreak/>
        <w:t>-</w:t>
      </w:r>
      <w:r>
        <w:rPr>
          <w:rFonts w:ascii="Times New Roman" w:hAnsi="Times New Roman"/>
          <w:sz w:val="22"/>
          <w:szCs w:val="22"/>
          <w:lang w:val="lt-LT"/>
        </w:rPr>
        <w:tab/>
      </w:r>
      <w:r>
        <w:rPr>
          <w:rFonts w:ascii="Times New Roman" w:hAnsi="Times New Roman"/>
          <w:spacing w:val="-3"/>
          <w:sz w:val="22"/>
          <w:szCs w:val="22"/>
          <w:lang w:val="lt-LT"/>
        </w:rPr>
        <w:t>Gerkite po vieną OSSICA kartą per mėnesį.</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2"/>
          <w:sz w:val="22"/>
          <w:szCs w:val="22"/>
          <w:lang w:val="lt-LT"/>
        </w:rPr>
        <w:t>Pasirinkite tokią mėnesio dieną, kurią būtų lengva prisiminti.</w:t>
      </w:r>
      <w:r>
        <w:rPr>
          <w:rFonts w:ascii="Times New Roman" w:hAnsi="Times New Roman"/>
          <w:sz w:val="22"/>
          <w:szCs w:val="22"/>
          <w:lang w:val="lt-LT"/>
        </w:rPr>
        <w:t xml:space="preserve"> </w:t>
      </w:r>
      <w:r>
        <w:rPr>
          <w:rFonts w:ascii="Times New Roman" w:hAnsi="Times New Roman"/>
          <w:spacing w:val="-2"/>
          <w:sz w:val="22"/>
          <w:szCs w:val="22"/>
          <w:lang w:val="lt-LT"/>
        </w:rPr>
        <w:t>OSSICA išgerti pasirinkite arba tą pačią datą (pvz., kiekvieno mėnesio 1-ąją dieną) arba tą pačią mėnesio dieną (pvz., pirmąjį kiekvieno mėnesio sekmadienį).</w:t>
      </w:r>
      <w:r>
        <w:rPr>
          <w:rFonts w:ascii="Times New Roman" w:hAnsi="Times New Roman"/>
          <w:sz w:val="22"/>
          <w:szCs w:val="22"/>
          <w:lang w:val="lt-LT"/>
        </w:rPr>
        <w:t xml:space="preserve"> </w:t>
      </w:r>
      <w:r>
        <w:rPr>
          <w:rFonts w:ascii="Times New Roman" w:hAnsi="Times New Roman"/>
          <w:spacing w:val="-2"/>
          <w:sz w:val="22"/>
          <w:szCs w:val="22"/>
          <w:lang w:val="lt-LT"/>
        </w:rPr>
        <w:t>Pasirinkite pagal Jūsų režimą tinkamiausią dieną.</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2"/>
          <w:sz w:val="22"/>
          <w:szCs w:val="22"/>
          <w:lang w:val="lt-LT"/>
        </w:rPr>
        <w:t xml:space="preserve">OSSICA vartokite praėjus bent 6 valandoms, kai Jūs paskutinį kartą ką nors valgėte </w:t>
      </w:r>
      <w:r>
        <w:rPr>
          <w:rFonts w:ascii="Times New Roman" w:hAnsi="Times New Roman"/>
          <w:spacing w:val="-3"/>
          <w:sz w:val="22"/>
          <w:szCs w:val="22"/>
          <w:lang w:val="lt-LT"/>
        </w:rPr>
        <w:t>ar gėrėte, išskyrus vandenį.</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3"/>
          <w:sz w:val="22"/>
          <w:szCs w:val="22"/>
          <w:lang w:val="lt-LT"/>
        </w:rPr>
        <w:t>Gerkite OSSICA tabletę</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896" w:hanging="357"/>
        <w:rPr>
          <w:rFonts w:ascii="Times New Roman" w:hAnsi="Times New Roman"/>
          <w:sz w:val="22"/>
          <w:szCs w:val="22"/>
          <w:lang w:val="lt-LT"/>
        </w:rPr>
      </w:pPr>
      <w:r>
        <w:rPr>
          <w:rFonts w:ascii="Times New Roman" w:hAnsi="Times New Roman"/>
          <w:b/>
          <w:sz w:val="22"/>
          <w:szCs w:val="22"/>
          <w:lang w:val="lt-LT"/>
        </w:rPr>
        <w:t>-</w:t>
      </w:r>
      <w:r>
        <w:rPr>
          <w:rFonts w:ascii="Times New Roman" w:hAnsi="Times New Roman"/>
          <w:b/>
          <w:sz w:val="22"/>
          <w:szCs w:val="22"/>
          <w:lang w:val="lt-LT"/>
        </w:rPr>
        <w:tab/>
      </w:r>
      <w:r>
        <w:rPr>
          <w:rFonts w:ascii="Times New Roman" w:hAnsi="Times New Roman"/>
          <w:spacing w:val="-3"/>
          <w:sz w:val="22"/>
          <w:szCs w:val="22"/>
          <w:lang w:val="lt-LT"/>
        </w:rPr>
        <w:t>ryte tik atsikėlę ir</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896" w:hanging="35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3"/>
          <w:sz w:val="22"/>
          <w:szCs w:val="22"/>
          <w:lang w:val="lt-LT"/>
        </w:rPr>
        <w:t>nieko nevalgę ir negėrę (skrandis turi būti tuščias).</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2"/>
          <w:sz w:val="22"/>
          <w:szCs w:val="22"/>
          <w:lang w:val="lt-LT"/>
        </w:rPr>
        <w:t>Nurykite tabletę užgerdami pilna stikline vandens (bent 180 ml).</w:t>
      </w:r>
      <w:r>
        <w:rPr>
          <w:rFonts w:ascii="Times New Roman" w:hAnsi="Times New Roman"/>
          <w:sz w:val="22"/>
          <w:szCs w:val="22"/>
          <w:lang w:val="lt-LT"/>
        </w:rPr>
        <w:t xml:space="preserve"> </w:t>
      </w:r>
      <w:r>
        <w:rPr>
          <w:rFonts w:ascii="Times New Roman" w:hAnsi="Times New Roman"/>
          <w:spacing w:val="-2"/>
          <w:sz w:val="22"/>
          <w:szCs w:val="22"/>
          <w:lang w:val="lt-LT"/>
        </w:rPr>
        <w:t xml:space="preserve">Tabletės neužgerkite vandeniu, </w:t>
      </w:r>
      <w:r>
        <w:rPr>
          <w:rFonts w:ascii="Times New Roman" w:hAnsi="Times New Roman"/>
          <w:sz w:val="22"/>
          <w:szCs w:val="22"/>
          <w:lang w:val="lt-LT"/>
        </w:rPr>
        <w:t>kuriame yra daug kalcio,</w:t>
      </w:r>
      <w:r>
        <w:rPr>
          <w:rFonts w:ascii="Times New Roman" w:hAnsi="Times New Roman"/>
          <w:spacing w:val="-2"/>
          <w:sz w:val="22"/>
          <w:szCs w:val="22"/>
          <w:lang w:val="lt-LT"/>
        </w:rPr>
        <w:t xml:space="preserve"> vaisių sultimis ar kitu gėrimu.</w:t>
      </w:r>
      <w:r>
        <w:rPr>
          <w:rFonts w:ascii="Times New Roman" w:hAnsi="Times New Roman"/>
          <w:sz w:val="22"/>
          <w:szCs w:val="22"/>
          <w:lang w:val="lt-LT"/>
        </w:rPr>
        <w:t xml:space="preserve"> Jeigu manote, kad vandentiekio vandenyje yra daug kalcio (kietas vanduo), patartina užsigerti mažos mineralizacijos buteliuose išpilstytu vandeniu.</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2"/>
          <w:sz w:val="22"/>
          <w:szCs w:val="22"/>
          <w:lang w:val="lt-LT"/>
        </w:rPr>
        <w:t>Nurykite visą tabletę – nekramtykite, nesmulkinkite ir neleiskite jai ištirpti burnoje.</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3"/>
          <w:sz w:val="22"/>
          <w:szCs w:val="22"/>
          <w:lang w:val="lt-LT"/>
        </w:rPr>
        <w:t>Išgėrę tabletę dar vieną valandą (60 minučių)</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540" w:firstLine="20"/>
        <w:rPr>
          <w:rFonts w:ascii="Times New Roman" w:hAnsi="Times New Roman"/>
          <w:sz w:val="22"/>
          <w:szCs w:val="22"/>
          <w:lang w:val="lt-LT"/>
        </w:rPr>
      </w:pPr>
      <w:r>
        <w:rPr>
          <w:rFonts w:ascii="Times New Roman" w:hAnsi="Times New Roman"/>
          <w:b/>
          <w:sz w:val="22"/>
          <w:szCs w:val="22"/>
          <w:lang w:val="lt-LT"/>
        </w:rPr>
        <w:t xml:space="preserve">- </w:t>
      </w:r>
      <w:r>
        <w:rPr>
          <w:rFonts w:ascii="Times New Roman" w:hAnsi="Times New Roman"/>
          <w:spacing w:val="-2"/>
          <w:sz w:val="22"/>
          <w:szCs w:val="22"/>
          <w:lang w:val="lt-LT"/>
        </w:rPr>
        <w:t xml:space="preserve">nesigulkite; turite būti vertikalioje padėtyje (stovėti ar sėdėti), kad dalis vaisto nepatektų </w:t>
      </w:r>
      <w:r>
        <w:rPr>
          <w:rFonts w:ascii="Times New Roman" w:hAnsi="Times New Roman"/>
          <w:spacing w:val="-3"/>
          <w:sz w:val="22"/>
          <w:szCs w:val="22"/>
          <w:lang w:val="lt-LT"/>
        </w:rPr>
        <w:t>atgal į stemplę;</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1120" w:hanging="56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b/>
          <w:sz w:val="22"/>
          <w:szCs w:val="22"/>
          <w:lang w:val="lt-LT"/>
        </w:rPr>
        <w:t xml:space="preserve"> </w:t>
      </w:r>
      <w:r>
        <w:rPr>
          <w:rFonts w:ascii="Times New Roman" w:hAnsi="Times New Roman"/>
          <w:spacing w:val="-3"/>
          <w:sz w:val="22"/>
          <w:szCs w:val="22"/>
          <w:lang w:val="lt-LT"/>
        </w:rPr>
        <w:t>nieko nevalgykite;</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ind w:left="1120" w:hanging="56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b/>
          <w:sz w:val="22"/>
          <w:szCs w:val="22"/>
          <w:lang w:val="lt-LT"/>
        </w:rPr>
        <w:t xml:space="preserve"> </w:t>
      </w:r>
      <w:r>
        <w:rPr>
          <w:rFonts w:ascii="Times New Roman" w:hAnsi="Times New Roman"/>
          <w:spacing w:val="-3"/>
          <w:sz w:val="22"/>
          <w:szCs w:val="22"/>
          <w:lang w:val="lt-LT"/>
        </w:rPr>
        <w:t>nieko negerkite (išskyrus vandenį, jei reikia);</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ind w:left="1120" w:hanging="56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b/>
          <w:sz w:val="22"/>
          <w:szCs w:val="22"/>
          <w:lang w:val="lt-LT"/>
        </w:rPr>
        <w:t xml:space="preserve"> </w:t>
      </w:r>
      <w:r>
        <w:rPr>
          <w:rFonts w:ascii="Times New Roman" w:hAnsi="Times New Roman"/>
          <w:spacing w:val="-3"/>
          <w:sz w:val="22"/>
          <w:szCs w:val="22"/>
          <w:lang w:val="lt-LT"/>
        </w:rPr>
        <w:t>nevartokite jokių kitų vaistų.</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spacing w:val="-2"/>
          <w:sz w:val="22"/>
          <w:szCs w:val="22"/>
          <w:lang w:val="lt-LT"/>
        </w:rPr>
        <w:t>Po valandos Jūs galite pirmą kartą tą dieną pavalgyti ir atsigerti.</w:t>
      </w:r>
      <w:r>
        <w:rPr>
          <w:rFonts w:ascii="Times New Roman" w:hAnsi="Times New Roman"/>
          <w:sz w:val="22"/>
          <w:szCs w:val="22"/>
          <w:lang w:val="lt-LT"/>
        </w:rPr>
        <w:t xml:space="preserve"> </w:t>
      </w:r>
      <w:r>
        <w:rPr>
          <w:rFonts w:ascii="Times New Roman" w:hAnsi="Times New Roman"/>
          <w:spacing w:val="-2"/>
          <w:sz w:val="22"/>
          <w:szCs w:val="22"/>
          <w:lang w:val="lt-LT"/>
        </w:rPr>
        <w:t xml:space="preserve">Pavalgę galite atsigulti, jei </w:t>
      </w:r>
      <w:r>
        <w:rPr>
          <w:rFonts w:ascii="Times New Roman" w:hAnsi="Times New Roman"/>
          <w:spacing w:val="-4"/>
          <w:sz w:val="22"/>
          <w:szCs w:val="22"/>
          <w:lang w:val="lt-LT"/>
        </w:rPr>
        <w:t>norite, ar vartoti kitus būtinus vaistus.</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b/>
          <w:spacing w:val="-4"/>
          <w:sz w:val="22"/>
          <w:szCs w:val="22"/>
          <w:lang w:val="lt-LT"/>
        </w:rPr>
        <w:t>OSSICA vartojimo trukmė</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pacing w:val="-4"/>
          <w:sz w:val="22"/>
          <w:szCs w:val="22"/>
          <w:lang w:val="lt-LT"/>
        </w:rPr>
        <w:t>Svarbu vartoti OSSICA 150 mg plėvele dengtas tabletes kas mėnesį tiek laiko, kiek paskiria gydytojas.</w:t>
      </w:r>
      <w:r>
        <w:rPr>
          <w:rFonts w:ascii="Times New Roman" w:hAnsi="Times New Roman"/>
          <w:b/>
          <w:sz w:val="22"/>
          <w:szCs w:val="22"/>
          <w:lang w:val="lt-LT"/>
        </w:rPr>
        <w:t xml:space="preserve"> </w:t>
      </w:r>
    </w:p>
    <w:p w:rsidR="00F72832" w:rsidRDefault="00F72832" w:rsidP="00F72832">
      <w:pPr>
        <w:pStyle w:val="Default"/>
        <w:rPr>
          <w:color w:val="auto"/>
          <w:sz w:val="22"/>
          <w:szCs w:val="22"/>
          <w:lang w:val="lt-LT"/>
        </w:rPr>
      </w:pPr>
      <w:r>
        <w:rPr>
          <w:sz w:val="22"/>
          <w:szCs w:val="22"/>
          <w:lang w:val="lt-LT"/>
        </w:rPr>
        <w:t xml:space="preserve"> </w:t>
      </w:r>
      <w:r>
        <w:rPr>
          <w:color w:val="auto"/>
          <w:sz w:val="22"/>
          <w:szCs w:val="22"/>
          <w:lang w:val="lt-LT"/>
        </w:rPr>
        <w:t>Po 5 metų gydymo OSSICA, pasitarkite su gydytoju, ar Jums tęsti gydymą OSSICA.</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Ką daryti pavartojus per didelę OSSICA dozę?</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 xml:space="preserve">Jei netyčia išgėrėte daugiau nei vieną tabletę, išgerkite pilną stiklinę pieno ir nedelsdami kreipkitės </w:t>
      </w:r>
      <w:r>
        <w:rPr>
          <w:rFonts w:ascii="Times New Roman" w:hAnsi="Times New Roman"/>
          <w:spacing w:val="-4"/>
          <w:sz w:val="22"/>
          <w:szCs w:val="22"/>
          <w:lang w:val="lt-LT"/>
        </w:rPr>
        <w:t>į gydytoją.</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pacing w:val="-3"/>
          <w:sz w:val="22"/>
          <w:szCs w:val="22"/>
          <w:lang w:val="lt-LT"/>
        </w:rPr>
        <w:t>Nemėginkite sukelti vėmimo ir negulkite</w:t>
      </w:r>
      <w:r>
        <w:rPr>
          <w:rFonts w:ascii="Times New Roman" w:hAnsi="Times New Roman"/>
          <w:spacing w:val="-3"/>
          <w:sz w:val="22"/>
          <w:szCs w:val="22"/>
          <w:lang w:val="lt-LT"/>
        </w:rPr>
        <w:t xml:space="preserve"> – OSSICA gali dirginti stemplę.</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b/>
          <w:spacing w:val="-4"/>
          <w:sz w:val="22"/>
          <w:szCs w:val="22"/>
          <w:lang w:val="lt-LT"/>
        </w:rPr>
        <w:t>Pamiršus pavartoti dozę</w:t>
      </w:r>
      <w:r>
        <w:rPr>
          <w:rFonts w:ascii="Times New Roman" w:hAnsi="Times New Roman"/>
          <w:b/>
          <w:sz w:val="22"/>
          <w:szCs w:val="22"/>
          <w:lang w:val="lt-LT"/>
        </w:rPr>
        <w:t xml:space="preserve"> </w:t>
      </w:r>
    </w:p>
    <w:p w:rsidR="00F72832" w:rsidRDefault="00663BB1" w:rsidP="00F72832">
      <w:pPr>
        <w:widowControl w:val="0"/>
        <w:tabs>
          <w:tab w:val="left" w:pos="567"/>
        </w:tabs>
        <w:autoSpaceDE w:val="0"/>
        <w:autoSpaceDN w:val="0"/>
        <w:adjustRightInd w:val="0"/>
        <w:rPr>
          <w:rFonts w:ascii="Times New Roman" w:hAnsi="Times New Roman"/>
          <w:sz w:val="22"/>
          <w:szCs w:val="22"/>
          <w:lang w:val="lt-LT"/>
        </w:rPr>
      </w:pPr>
      <w:r w:rsidRPr="002238D1">
        <w:rPr>
          <w:rFonts w:ascii="Times New Roman" w:hAnsi="Times New Roman" w:cs="Times New Roman"/>
          <w:color w:val="FF0000"/>
          <w:sz w:val="22"/>
          <w:szCs w:val="22"/>
          <w:lang w:val="lt-LT"/>
        </w:rPr>
        <w:t>•</w:t>
      </w:r>
      <w:r w:rsidR="00F72832">
        <w:rPr>
          <w:rFonts w:ascii="Times New Roman" w:hAnsi="Times New Roman"/>
          <w:spacing w:val="-3"/>
          <w:sz w:val="22"/>
          <w:szCs w:val="22"/>
          <w:lang w:val="lt-LT"/>
        </w:rPr>
        <w:t>Pamiršus išgerti tabletę pasirinktos dienos rytą, negalima gerti tabletės tą dieną vėliau.</w:t>
      </w:r>
      <w:r w:rsidR="00F72832">
        <w:rPr>
          <w:rFonts w:ascii="Times New Roman" w:hAnsi="Times New Roman"/>
          <w:sz w:val="22"/>
          <w:szCs w:val="22"/>
          <w:lang w:val="lt-LT"/>
        </w:rPr>
        <w:t xml:space="preserve"> </w:t>
      </w:r>
      <w:r w:rsidR="00F72832">
        <w:rPr>
          <w:rFonts w:ascii="Times New Roman" w:hAnsi="Times New Roman"/>
          <w:spacing w:val="-3"/>
          <w:sz w:val="22"/>
          <w:szCs w:val="22"/>
          <w:lang w:val="lt-LT"/>
        </w:rPr>
        <w:t xml:space="preserve">Vietoj to, </w:t>
      </w:r>
      <w:r w:rsidR="00F72832">
        <w:rPr>
          <w:rFonts w:ascii="Times New Roman" w:hAnsi="Times New Roman"/>
          <w:spacing w:val="-4"/>
          <w:sz w:val="22"/>
          <w:szCs w:val="22"/>
          <w:lang w:val="lt-LT"/>
        </w:rPr>
        <w:t>pažiūrėkite į kalendorių,kada pagal planą reikės gerti kitą dozę:</w:t>
      </w:r>
      <w:r w:rsidR="00F72832">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663BB1" w:rsidP="00F72832">
      <w:pPr>
        <w:widowControl w:val="0"/>
        <w:tabs>
          <w:tab w:val="left" w:pos="567"/>
        </w:tabs>
        <w:autoSpaceDE w:val="0"/>
        <w:autoSpaceDN w:val="0"/>
        <w:adjustRightInd w:val="0"/>
        <w:rPr>
          <w:rFonts w:ascii="Times New Roman" w:hAnsi="Times New Roman"/>
          <w:sz w:val="22"/>
          <w:szCs w:val="22"/>
          <w:lang w:val="lt-LT"/>
        </w:rPr>
      </w:pPr>
      <w:r w:rsidRPr="002238D1">
        <w:rPr>
          <w:rFonts w:ascii="Times New Roman" w:hAnsi="Times New Roman" w:cs="Times New Roman"/>
          <w:color w:val="FF0000"/>
          <w:sz w:val="22"/>
          <w:szCs w:val="22"/>
          <w:lang w:val="lt-LT"/>
        </w:rPr>
        <w:t>•</w:t>
      </w:r>
      <w:r w:rsidR="00F72832">
        <w:rPr>
          <w:rFonts w:ascii="Times New Roman" w:hAnsi="Times New Roman"/>
          <w:b/>
          <w:spacing w:val="-4"/>
          <w:sz w:val="22"/>
          <w:szCs w:val="22"/>
          <w:lang w:val="lt-LT"/>
        </w:rPr>
        <w:t xml:space="preserve">Jeigu pamiršote išgerti </w:t>
      </w:r>
      <w:r w:rsidR="00F72832">
        <w:rPr>
          <w:rFonts w:ascii="Times New Roman" w:hAnsi="Times New Roman"/>
          <w:b/>
          <w:spacing w:val="-3"/>
          <w:sz w:val="22"/>
          <w:szCs w:val="22"/>
          <w:lang w:val="lt-LT"/>
        </w:rPr>
        <w:t>tabletę pasirinktą dieną</w:t>
      </w:r>
      <w:r w:rsidR="00F72832">
        <w:rPr>
          <w:rFonts w:ascii="Times New Roman" w:hAnsi="Times New Roman"/>
          <w:spacing w:val="-3"/>
          <w:sz w:val="22"/>
          <w:szCs w:val="22"/>
          <w:lang w:val="lt-LT"/>
        </w:rPr>
        <w:t xml:space="preserve"> </w:t>
      </w:r>
      <w:r w:rsidR="00F72832">
        <w:rPr>
          <w:rFonts w:ascii="Times New Roman" w:hAnsi="Times New Roman"/>
          <w:b/>
          <w:spacing w:val="-3"/>
          <w:sz w:val="22"/>
          <w:szCs w:val="22"/>
          <w:lang w:val="lt-LT"/>
        </w:rPr>
        <w:t>ir</w:t>
      </w:r>
      <w:r w:rsidR="00F72832">
        <w:rPr>
          <w:rFonts w:ascii="Times New Roman" w:hAnsi="Times New Roman"/>
          <w:spacing w:val="-3"/>
          <w:sz w:val="22"/>
          <w:szCs w:val="22"/>
          <w:lang w:val="lt-LT"/>
        </w:rPr>
        <w:t xml:space="preserve"> </w:t>
      </w:r>
      <w:r w:rsidR="00F72832">
        <w:rPr>
          <w:rFonts w:ascii="Times New Roman" w:hAnsi="Times New Roman"/>
          <w:b/>
          <w:spacing w:val="-4"/>
          <w:sz w:val="22"/>
          <w:szCs w:val="22"/>
          <w:lang w:val="lt-LT"/>
        </w:rPr>
        <w:t>iki kitos dozės pagal planą liko tik nuo 1 iki 7 dienų</w:t>
      </w: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r>
        <w:rPr>
          <w:rFonts w:ascii="Times New Roman" w:hAnsi="Times New Roman"/>
          <w:b/>
          <w:spacing w:val="-4"/>
          <w:sz w:val="22"/>
          <w:szCs w:val="22"/>
          <w:lang w:val="lt-LT"/>
        </w:rPr>
        <w:t>Niekada negerkite dviejų OSSICA tą pačią savaitę</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 xml:space="preserve">Palaukite, kol ateis laikas gerti tabletę ir išgerkite ją kaip įprasta; vėliau vėl vartokite po vieną tabletę </w:t>
      </w:r>
      <w:r>
        <w:rPr>
          <w:rFonts w:ascii="Times New Roman" w:hAnsi="Times New Roman"/>
          <w:spacing w:val="-4"/>
          <w:sz w:val="22"/>
          <w:szCs w:val="22"/>
          <w:lang w:val="lt-LT"/>
        </w:rPr>
        <w:t>per mėnesį Jūsų kalendoriuje pagal planą pažymėtomis dienomis.</w:t>
      </w:r>
      <w:r>
        <w:rPr>
          <w:rFonts w:ascii="Times New Roman" w:hAnsi="Times New Roman"/>
          <w:b/>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p>
    <w:p w:rsidR="00F72832" w:rsidRDefault="00663BB1" w:rsidP="00F72832">
      <w:pPr>
        <w:widowControl w:val="0"/>
        <w:tabs>
          <w:tab w:val="left" w:pos="567"/>
        </w:tabs>
        <w:autoSpaceDE w:val="0"/>
        <w:autoSpaceDN w:val="0"/>
        <w:adjustRightInd w:val="0"/>
        <w:rPr>
          <w:rFonts w:ascii="Times New Roman" w:hAnsi="Times New Roman"/>
          <w:b/>
          <w:sz w:val="22"/>
          <w:szCs w:val="22"/>
          <w:lang w:val="lt-LT"/>
        </w:rPr>
      </w:pPr>
      <w:r w:rsidRPr="002238D1">
        <w:rPr>
          <w:rFonts w:ascii="Times New Roman" w:hAnsi="Times New Roman" w:cs="Times New Roman"/>
          <w:color w:val="FF0000"/>
          <w:sz w:val="22"/>
          <w:szCs w:val="22"/>
          <w:lang w:val="lt-LT"/>
        </w:rPr>
        <w:t>•</w:t>
      </w:r>
      <w:r w:rsidR="00F72832">
        <w:rPr>
          <w:rFonts w:ascii="Times New Roman" w:hAnsi="Times New Roman"/>
          <w:b/>
          <w:sz w:val="22"/>
          <w:szCs w:val="22"/>
          <w:lang w:val="lt-LT"/>
        </w:rPr>
        <w:t xml:space="preserve">Jeigu </w:t>
      </w:r>
      <w:r w:rsidR="00F72832">
        <w:rPr>
          <w:rFonts w:ascii="Times New Roman" w:hAnsi="Times New Roman"/>
          <w:b/>
          <w:spacing w:val="-4"/>
          <w:sz w:val="22"/>
          <w:szCs w:val="22"/>
          <w:lang w:val="lt-LT"/>
        </w:rPr>
        <w:t xml:space="preserve">pamiršote išgerti </w:t>
      </w:r>
      <w:r w:rsidR="00F72832">
        <w:rPr>
          <w:rFonts w:ascii="Times New Roman" w:hAnsi="Times New Roman"/>
          <w:b/>
          <w:spacing w:val="-3"/>
          <w:sz w:val="22"/>
          <w:szCs w:val="22"/>
          <w:lang w:val="lt-LT"/>
        </w:rPr>
        <w:t>tabletę pasirinktą dieną</w:t>
      </w:r>
      <w:r w:rsidR="00F72832">
        <w:rPr>
          <w:rFonts w:ascii="Times New Roman" w:hAnsi="Times New Roman"/>
          <w:spacing w:val="-3"/>
          <w:sz w:val="22"/>
          <w:szCs w:val="22"/>
          <w:lang w:val="lt-LT"/>
        </w:rPr>
        <w:t xml:space="preserve"> </w:t>
      </w:r>
      <w:r w:rsidR="00F72832">
        <w:rPr>
          <w:rFonts w:ascii="Times New Roman" w:hAnsi="Times New Roman"/>
          <w:b/>
          <w:spacing w:val="-3"/>
          <w:sz w:val="22"/>
          <w:szCs w:val="22"/>
          <w:lang w:val="lt-LT"/>
        </w:rPr>
        <w:t xml:space="preserve">ir </w:t>
      </w:r>
      <w:r w:rsidR="00F72832">
        <w:rPr>
          <w:rFonts w:ascii="Times New Roman" w:hAnsi="Times New Roman"/>
          <w:b/>
          <w:sz w:val="22"/>
          <w:szCs w:val="22"/>
          <w:lang w:val="lt-LT"/>
        </w:rPr>
        <w:t>iki kitos dozės pagal planą liko daugiau kaip 7 dienos</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pacing w:val="-3"/>
          <w:sz w:val="22"/>
          <w:szCs w:val="22"/>
          <w:lang w:val="lt-LT"/>
        </w:rPr>
        <w:t xml:space="preserve">Išgerkite tabletę kitos dienos ryte po to, kai prisiminėte; vėliau vėl vartokite po vieną tabletę per </w:t>
      </w:r>
      <w:r>
        <w:rPr>
          <w:rFonts w:ascii="Times New Roman" w:hAnsi="Times New Roman"/>
          <w:spacing w:val="-4"/>
          <w:sz w:val="22"/>
          <w:szCs w:val="22"/>
          <w:lang w:val="lt-LT"/>
        </w:rPr>
        <w:t>mėnesį Jūsų kalendoriuje pagal planą pažymėtomis dienomis.</w:t>
      </w:r>
    </w:p>
    <w:p w:rsidR="00F72832" w:rsidRDefault="00F72832" w:rsidP="00F72832">
      <w:pPr>
        <w:widowControl w:val="0"/>
        <w:tabs>
          <w:tab w:val="left" w:pos="567"/>
        </w:tabs>
        <w:autoSpaceDE w:val="0"/>
        <w:autoSpaceDN w:val="0"/>
        <w:adjustRightInd w:val="0"/>
        <w:rPr>
          <w:rFonts w:ascii="Times New Roman" w:hAnsi="Times New Roman"/>
          <w:b/>
          <w:sz w:val="22"/>
          <w:szCs w:val="22"/>
          <w:lang w:val="lt-LT"/>
        </w:rPr>
      </w:pPr>
    </w:p>
    <w:p w:rsidR="00F72832" w:rsidRDefault="00F72832" w:rsidP="00F72832">
      <w:pPr>
        <w:numPr>
          <w:ilvl w:val="12"/>
          <w:numId w:val="0"/>
        </w:numPr>
        <w:tabs>
          <w:tab w:val="left" w:pos="567"/>
          <w:tab w:val="left" w:pos="708"/>
        </w:tabs>
        <w:ind w:right="-2"/>
        <w:rPr>
          <w:rFonts w:ascii="Times New Roman" w:hAnsi="Times New Roman"/>
          <w:sz w:val="22"/>
          <w:szCs w:val="22"/>
          <w:lang w:val="lt-LT"/>
        </w:rPr>
      </w:pPr>
    </w:p>
    <w:p w:rsidR="00F72832" w:rsidRDefault="00F72832" w:rsidP="00F72832">
      <w:pPr>
        <w:widowControl w:val="0"/>
        <w:numPr>
          <w:ilvl w:val="0"/>
          <w:numId w:val="18"/>
        </w:numPr>
        <w:tabs>
          <w:tab w:val="clear" w:pos="360"/>
          <w:tab w:val="num" w:pos="540"/>
          <w:tab w:val="left" w:pos="567"/>
        </w:tabs>
        <w:autoSpaceDE w:val="0"/>
        <w:autoSpaceDN w:val="0"/>
        <w:adjustRightInd w:val="0"/>
        <w:ind w:left="540" w:hanging="540"/>
        <w:rPr>
          <w:rFonts w:ascii="Times New Roman" w:hAnsi="Times New Roman"/>
          <w:b/>
          <w:sz w:val="22"/>
          <w:szCs w:val="22"/>
          <w:lang w:val="lt-LT"/>
        </w:rPr>
      </w:pPr>
      <w:r>
        <w:rPr>
          <w:rFonts w:ascii="Times New Roman" w:hAnsi="Times New Roman"/>
          <w:b/>
          <w:sz w:val="22"/>
          <w:szCs w:val="22"/>
          <w:lang w:val="lt-LT"/>
        </w:rPr>
        <w:t xml:space="preserve">Galimas šalutinis poveikis </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pStyle w:val="Default"/>
        <w:tabs>
          <w:tab w:val="left" w:pos="567"/>
        </w:tabs>
        <w:rPr>
          <w:color w:val="auto"/>
          <w:sz w:val="22"/>
          <w:szCs w:val="22"/>
          <w:lang w:val="lt-LT"/>
        </w:rPr>
      </w:pPr>
      <w:r>
        <w:rPr>
          <w:color w:val="auto"/>
          <w:sz w:val="22"/>
          <w:szCs w:val="22"/>
          <w:lang w:val="lt-LT"/>
        </w:rPr>
        <w:t>Šis vaistas, kaip ir visi kiti, gali sukelti šalutinį poveikį, nors jis pasireiškia ne visiems žmonėms.</w:t>
      </w:r>
    </w:p>
    <w:p w:rsidR="00F72832" w:rsidRDefault="00F72832" w:rsidP="00F72832">
      <w:pPr>
        <w:pStyle w:val="Default"/>
        <w:tabs>
          <w:tab w:val="left" w:pos="567"/>
        </w:tabs>
        <w:rPr>
          <w:color w:val="auto"/>
          <w:sz w:val="22"/>
          <w:szCs w:val="22"/>
          <w:lang w:val="lt-LT"/>
        </w:rPr>
      </w:pPr>
    </w:p>
    <w:p w:rsidR="00F72832" w:rsidRDefault="00F72832" w:rsidP="00F72832">
      <w:pPr>
        <w:autoSpaceDE w:val="0"/>
        <w:autoSpaceDN w:val="0"/>
        <w:adjustRightInd w:val="0"/>
        <w:ind w:right="-20"/>
        <w:rPr>
          <w:rFonts w:ascii="Times New Roman" w:hAnsi="Times New Roman"/>
          <w:b/>
          <w:color w:val="000000"/>
          <w:sz w:val="22"/>
          <w:szCs w:val="22"/>
          <w:lang w:val="lt-LT"/>
        </w:rPr>
      </w:pPr>
      <w:r>
        <w:rPr>
          <w:rFonts w:ascii="Times New Roman" w:hAnsi="Times New Roman"/>
          <w:b/>
          <w:bCs/>
          <w:color w:val="000000"/>
          <w:sz w:val="22"/>
          <w:szCs w:val="22"/>
          <w:lang w:val="lt-LT"/>
        </w:rPr>
        <w:t xml:space="preserve">Jeigu pastebėjote bet kurį iš šių šalutinių poveikių, vaisto nebevartokite ir nedelsdami kreipkitės į gydytoją arba slaugytoją, nes Jums gali reikėti skubios medicininės pagalbos: </w:t>
      </w:r>
    </w:p>
    <w:p w:rsidR="00F72832" w:rsidRDefault="00F72832" w:rsidP="00F72832">
      <w:pPr>
        <w:tabs>
          <w:tab w:val="left" w:pos="567"/>
        </w:tabs>
        <w:autoSpaceDE w:val="0"/>
        <w:autoSpaceDN w:val="0"/>
        <w:adjustRightInd w:val="0"/>
        <w:rPr>
          <w:rFonts w:ascii="Times New Roman" w:hAnsi="Times New Roman"/>
          <w:b/>
          <w:bCs/>
          <w:color w:val="000000"/>
          <w:sz w:val="22"/>
          <w:szCs w:val="22"/>
          <w:lang w:val="lt-LT"/>
        </w:rPr>
      </w:pPr>
      <w:r>
        <w:rPr>
          <w:rFonts w:ascii="Times New Roman" w:hAnsi="Times New Roman"/>
          <w:color w:val="000000"/>
          <w:sz w:val="22"/>
          <w:szCs w:val="22"/>
          <w:lang w:val="lt-LT"/>
        </w:rPr>
        <w:tab/>
      </w:r>
    </w:p>
    <w:p w:rsidR="00F72832" w:rsidRDefault="00F72832" w:rsidP="00F72832">
      <w:pPr>
        <w:tabs>
          <w:tab w:val="left" w:pos="567"/>
        </w:tabs>
        <w:autoSpaceDE w:val="0"/>
        <w:autoSpaceDN w:val="0"/>
        <w:adjustRightInd w:val="0"/>
        <w:rPr>
          <w:rFonts w:ascii="Times New Roman" w:hAnsi="Times New Roman"/>
          <w:b/>
          <w:bCs/>
          <w:color w:val="000000"/>
          <w:sz w:val="22"/>
          <w:szCs w:val="22"/>
          <w:lang w:val="lt-LT"/>
        </w:rPr>
      </w:pPr>
      <w:r>
        <w:rPr>
          <w:rFonts w:ascii="Times New Roman" w:hAnsi="Times New Roman"/>
          <w:b/>
          <w:bCs/>
          <w:color w:val="000000"/>
          <w:sz w:val="22"/>
          <w:szCs w:val="22"/>
          <w:lang w:val="lt-LT"/>
        </w:rPr>
        <w:t xml:space="preserve">Nedažni </w:t>
      </w:r>
      <w:r>
        <w:rPr>
          <w:rFonts w:ascii="Times New Roman" w:hAnsi="Times New Roman"/>
          <w:color w:val="000000"/>
          <w:sz w:val="22"/>
          <w:szCs w:val="22"/>
          <w:lang w:val="lt-LT"/>
        </w:rPr>
        <w:t xml:space="preserve">(gali pasireikšti ne dažniau kaip 1 iš 100 pacientų):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stiprus skausmas krūtinėje, stiprus skausmas nurijus maistą ar gėrimą, stiprus pykinimas ar vėmimas, sunkumas ryti. Gali būti, kad Jums prasidėjo sunkus stemplės uždegimas, galimai su opomis ar stemplės susiaurėjimu. </w:t>
      </w:r>
    </w:p>
    <w:p w:rsidR="00F72832" w:rsidRDefault="00F72832" w:rsidP="00F72832">
      <w:pPr>
        <w:autoSpaceDE w:val="0"/>
        <w:autoSpaceDN w:val="0"/>
        <w:adjustRightInd w:val="0"/>
        <w:ind w:hanging="540"/>
        <w:rPr>
          <w:rFonts w:ascii="Times New Roman" w:hAnsi="Times New Roman"/>
          <w:color w:val="000000"/>
          <w:sz w:val="22"/>
          <w:szCs w:val="22"/>
          <w:lang w:val="lt-LT"/>
        </w:rPr>
      </w:pPr>
    </w:p>
    <w:p w:rsidR="00F72832" w:rsidRDefault="00F72832" w:rsidP="00F72832">
      <w:pPr>
        <w:autoSpaceDE w:val="0"/>
        <w:autoSpaceDN w:val="0"/>
        <w:adjustRightInd w:val="0"/>
        <w:ind w:right="-20"/>
        <w:rPr>
          <w:rFonts w:ascii="Times New Roman" w:hAnsi="Times New Roman"/>
          <w:color w:val="000000"/>
          <w:sz w:val="22"/>
          <w:szCs w:val="22"/>
          <w:lang w:val="lt-LT"/>
        </w:rPr>
      </w:pPr>
      <w:r>
        <w:rPr>
          <w:rFonts w:ascii="Times New Roman" w:hAnsi="Times New Roman"/>
          <w:b/>
          <w:bCs/>
          <w:color w:val="000000"/>
          <w:sz w:val="22"/>
          <w:szCs w:val="22"/>
          <w:lang w:val="lt-LT"/>
        </w:rPr>
        <w:t xml:space="preserve">Reti </w:t>
      </w:r>
      <w:r>
        <w:rPr>
          <w:rFonts w:ascii="Times New Roman" w:hAnsi="Times New Roman"/>
          <w:color w:val="000000"/>
          <w:sz w:val="22"/>
          <w:szCs w:val="22"/>
          <w:lang w:val="lt-LT"/>
        </w:rPr>
        <w:t xml:space="preserve">(gali pasireikšti ne dažniau kaip 1 iš 1000 pacientų):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niežėjimas, veido, lūpų, liežuvio ar gerklės patinimas, sunkinantis kvėpavimą. </w:t>
      </w:r>
    </w:p>
    <w:p w:rsidR="00F72832" w:rsidRDefault="00F72832" w:rsidP="00F72832">
      <w:pPr>
        <w:pStyle w:val="Sraopastraipa"/>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užsitęsęs akių skausmas ir uždegimas, </w:t>
      </w:r>
    </w:p>
    <w:p w:rsidR="004D1435" w:rsidRDefault="00F72832" w:rsidP="004D1435">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naujai atsiradęs skausmas, silpnumas ar nemalonus pojūtis šlaunies, klubo ar kirkšnies srityje. Tai gali būti ankstyvieji galimo neįprasto šlaunikaulio lūžio požymiai. </w:t>
      </w:r>
    </w:p>
    <w:p w:rsidR="004D1435" w:rsidRDefault="004D1435" w:rsidP="004D1435">
      <w:pPr>
        <w:rPr>
          <w:rFonts w:ascii="Times New Roman" w:hAnsi="Times New Roman"/>
          <w:sz w:val="22"/>
          <w:szCs w:val="22"/>
          <w:lang w:val="lt-LT"/>
        </w:rPr>
      </w:pPr>
    </w:p>
    <w:p w:rsidR="00F72832" w:rsidRPr="004D1435" w:rsidRDefault="00F72832" w:rsidP="004D1435">
      <w:pPr>
        <w:pageBreakBefore/>
        <w:numPr>
          <w:ilvl w:val="0"/>
          <w:numId w:val="24"/>
        </w:numPr>
        <w:autoSpaceDE w:val="0"/>
        <w:autoSpaceDN w:val="0"/>
        <w:adjustRightInd w:val="0"/>
        <w:ind w:right="-20"/>
        <w:rPr>
          <w:rFonts w:ascii="Times New Roman" w:hAnsi="Times New Roman"/>
          <w:sz w:val="22"/>
          <w:szCs w:val="22"/>
          <w:lang w:val="lt-LT"/>
        </w:rPr>
      </w:pPr>
      <w:r w:rsidRPr="004D1435">
        <w:rPr>
          <w:rFonts w:ascii="Times New Roman" w:hAnsi="Times New Roman"/>
          <w:b/>
          <w:bCs/>
          <w:sz w:val="22"/>
          <w:szCs w:val="22"/>
          <w:lang w:val="lt-LT"/>
        </w:rPr>
        <w:lastRenderedPageBreak/>
        <w:t xml:space="preserve">Labai reti </w:t>
      </w:r>
      <w:r w:rsidRPr="004D1435">
        <w:rPr>
          <w:rFonts w:ascii="Times New Roman" w:hAnsi="Times New Roman"/>
          <w:sz w:val="22"/>
          <w:szCs w:val="22"/>
          <w:lang w:val="lt-LT"/>
        </w:rPr>
        <w:t xml:space="preserve">(gali pasireikšti ne dažniau kaip 1 iš 10000 pacientų): </w:t>
      </w:r>
    </w:p>
    <w:p w:rsidR="00F72832" w:rsidRDefault="00F72832" w:rsidP="00F72832">
      <w:pPr>
        <w:numPr>
          <w:ilvl w:val="0"/>
          <w:numId w:val="24"/>
        </w:numPr>
        <w:autoSpaceDE w:val="0"/>
        <w:autoSpaceDN w:val="0"/>
        <w:adjustRightInd w:val="0"/>
        <w:rPr>
          <w:rFonts w:ascii="Times New Roman" w:hAnsi="Times New Roman"/>
          <w:sz w:val="22"/>
          <w:szCs w:val="22"/>
          <w:lang w:val="lt-LT"/>
        </w:rPr>
      </w:pPr>
      <w:r>
        <w:rPr>
          <w:rFonts w:ascii="Times New Roman" w:hAnsi="Times New Roman"/>
          <w:sz w:val="22"/>
          <w:szCs w:val="22"/>
          <w:lang w:val="lt-LT"/>
        </w:rPr>
        <w:t xml:space="preserve">skausmas ar žaizda burnoje ar žandikaulyje. Tai gali būti ankstyvieji sunkios žandikaulio ligos (nekrozės (žuvusio kaulinio audinio) žandikaulyje požymiai); </w:t>
      </w:r>
    </w:p>
    <w:p w:rsidR="00F72832" w:rsidRDefault="00F72832" w:rsidP="00F72832">
      <w:pPr>
        <w:numPr>
          <w:ilvl w:val="0"/>
          <w:numId w:val="24"/>
        </w:numPr>
        <w:autoSpaceDE w:val="0"/>
        <w:autoSpaceDN w:val="0"/>
        <w:adjustRightInd w:val="0"/>
        <w:rPr>
          <w:rFonts w:ascii="Times New Roman" w:hAnsi="Times New Roman"/>
          <w:sz w:val="22"/>
          <w:szCs w:val="22"/>
          <w:lang w:val="lt-LT"/>
        </w:rPr>
      </w:pPr>
      <w:r>
        <w:rPr>
          <w:rFonts w:ascii="Times New Roman" w:hAnsi="Times New Roman"/>
          <w:sz w:val="22"/>
          <w:szCs w:val="22"/>
          <w:lang w:val="lt-LT"/>
        </w:rPr>
        <w:t>sunkios, galinčios sukelti grėsmę gyvybei alerginės reakcijos.</w:t>
      </w:r>
    </w:p>
    <w:p w:rsidR="00F72832" w:rsidRDefault="00F72832" w:rsidP="00F72832">
      <w:pPr>
        <w:numPr>
          <w:ilvl w:val="0"/>
          <w:numId w:val="24"/>
        </w:numPr>
        <w:autoSpaceDE w:val="0"/>
        <w:autoSpaceDN w:val="0"/>
        <w:adjustRightInd w:val="0"/>
        <w:rPr>
          <w:rFonts w:ascii="Times New Roman" w:hAnsi="Times New Roman"/>
          <w:sz w:val="22"/>
          <w:szCs w:val="22"/>
          <w:lang w:val="lt-LT"/>
        </w:rPr>
      </w:pPr>
      <w:r>
        <w:rPr>
          <w:rFonts w:ascii="Times New Roman" w:hAnsi="Times New Roman"/>
          <w:sz w:val="22"/>
          <w:szCs w:val="22"/>
          <w:lang w:val="lt-LT"/>
        </w:rPr>
        <w:t>Sunkios šalutinės odos reakcijos.</w:t>
      </w:r>
    </w:p>
    <w:p w:rsidR="00F72832" w:rsidRDefault="00F72832" w:rsidP="00F72832">
      <w:pPr>
        <w:numPr>
          <w:ilvl w:val="0"/>
          <w:numId w:val="26"/>
        </w:numPr>
        <w:shd w:val="clear" w:color="auto" w:fill="FFFFFF"/>
        <w:autoSpaceDE w:val="0"/>
        <w:autoSpaceDN w:val="0"/>
        <w:adjustRightInd w:val="0"/>
        <w:ind w:left="567" w:right="-20" w:hanging="562"/>
        <w:jc w:val="both"/>
        <w:rPr>
          <w:rFonts w:ascii="Times New Roman" w:hAnsi="Times New Roman"/>
          <w:bCs/>
          <w:color w:val="000000"/>
          <w:sz w:val="22"/>
          <w:szCs w:val="22"/>
          <w:lang w:val="lt-LT"/>
        </w:rPr>
      </w:pPr>
      <w:r>
        <w:rPr>
          <w:rFonts w:ascii="Times New Roman" w:hAnsi="Times New Roman"/>
          <w:bCs/>
          <w:color w:val="000000"/>
          <w:sz w:val="22"/>
          <w:szCs w:val="22"/>
          <w:lang w:val="lt-LT"/>
        </w:rPr>
        <w:t>Ausies skausmas, išskyros iš ausies ir (arba) ausies infekcija. Tai gali būtų ausyje esančio kaulo pažeidimo požymiai.</w:t>
      </w:r>
      <w:r>
        <w:rPr>
          <w:rFonts w:ascii="Times New Roman" w:hAnsi="Times New Roman"/>
          <w:sz w:val="22"/>
          <w:szCs w:val="22"/>
          <w:lang w:val="lt-LT" w:eastAsia="hu-HU"/>
        </w:rPr>
        <w:t xml:space="preserve"> </w:t>
      </w:r>
    </w:p>
    <w:p w:rsidR="00F72832" w:rsidRDefault="00F72832" w:rsidP="00F72832">
      <w:pPr>
        <w:autoSpaceDE w:val="0"/>
        <w:autoSpaceDN w:val="0"/>
        <w:adjustRightInd w:val="0"/>
        <w:ind w:right="-20"/>
        <w:rPr>
          <w:rFonts w:ascii="Times New Roman" w:hAnsi="Times New Roman"/>
          <w:b/>
          <w:bCs/>
          <w:color w:val="000000"/>
          <w:sz w:val="22"/>
          <w:szCs w:val="22"/>
          <w:lang w:val="lt-LT"/>
        </w:rPr>
      </w:pPr>
    </w:p>
    <w:p w:rsidR="00F72832" w:rsidRDefault="00F72832" w:rsidP="00F72832">
      <w:pPr>
        <w:autoSpaceDE w:val="0"/>
        <w:autoSpaceDN w:val="0"/>
        <w:adjustRightInd w:val="0"/>
        <w:ind w:right="-20"/>
        <w:rPr>
          <w:rFonts w:ascii="Times New Roman" w:hAnsi="Times New Roman"/>
          <w:b/>
          <w:bCs/>
          <w:color w:val="000000"/>
          <w:sz w:val="22"/>
          <w:szCs w:val="22"/>
          <w:lang w:val="lt-LT"/>
        </w:rPr>
      </w:pPr>
      <w:r>
        <w:rPr>
          <w:rFonts w:ascii="Times New Roman" w:hAnsi="Times New Roman"/>
          <w:b/>
          <w:bCs/>
          <w:color w:val="000000"/>
          <w:sz w:val="22"/>
          <w:szCs w:val="22"/>
          <w:lang w:val="lt-LT"/>
        </w:rPr>
        <w:t xml:space="preserve">Kiti galimi šalutiniai poveikiai </w:t>
      </w:r>
    </w:p>
    <w:p w:rsidR="00F72832" w:rsidRDefault="00F72832" w:rsidP="00F72832">
      <w:pPr>
        <w:autoSpaceDE w:val="0"/>
        <w:autoSpaceDN w:val="0"/>
        <w:adjustRightInd w:val="0"/>
        <w:ind w:right="-20"/>
        <w:rPr>
          <w:rFonts w:ascii="Times New Roman" w:hAnsi="Times New Roman"/>
          <w:color w:val="000000"/>
          <w:sz w:val="22"/>
          <w:szCs w:val="22"/>
          <w:lang w:val="lt-LT"/>
        </w:rPr>
      </w:pPr>
    </w:p>
    <w:p w:rsidR="00F72832" w:rsidRDefault="00F72832" w:rsidP="00F72832">
      <w:pPr>
        <w:autoSpaceDE w:val="0"/>
        <w:autoSpaceDN w:val="0"/>
        <w:adjustRightInd w:val="0"/>
        <w:ind w:right="-20"/>
        <w:rPr>
          <w:rFonts w:ascii="Times New Roman" w:hAnsi="Times New Roman"/>
          <w:color w:val="000000"/>
          <w:sz w:val="22"/>
          <w:szCs w:val="22"/>
          <w:lang w:val="lt-LT"/>
        </w:rPr>
      </w:pPr>
      <w:r>
        <w:rPr>
          <w:rFonts w:ascii="Times New Roman" w:hAnsi="Times New Roman"/>
          <w:b/>
          <w:bCs/>
          <w:color w:val="000000"/>
          <w:sz w:val="22"/>
          <w:szCs w:val="22"/>
          <w:lang w:val="lt-LT"/>
        </w:rPr>
        <w:t xml:space="preserve">Dažni </w:t>
      </w:r>
      <w:r>
        <w:rPr>
          <w:rFonts w:ascii="Times New Roman" w:hAnsi="Times New Roman"/>
          <w:color w:val="000000"/>
          <w:sz w:val="22"/>
          <w:szCs w:val="22"/>
          <w:lang w:val="lt-LT"/>
        </w:rPr>
        <w:t xml:space="preserve">(gali pasireikšti ne dažniau kaip 1 iš 10 pacientų): </w:t>
      </w:r>
    </w:p>
    <w:p w:rsidR="00F72832" w:rsidRDefault="00F72832" w:rsidP="00F72832">
      <w:pPr>
        <w:numPr>
          <w:ilvl w:val="0"/>
          <w:numId w:val="24"/>
        </w:numPr>
        <w:autoSpaceDE w:val="0"/>
        <w:autoSpaceDN w:val="0"/>
        <w:adjustRightInd w:val="0"/>
        <w:ind w:right="-20"/>
        <w:rPr>
          <w:rFonts w:ascii="Times New Roman" w:hAnsi="Times New Roman"/>
          <w:color w:val="000000"/>
          <w:sz w:val="22"/>
          <w:szCs w:val="22"/>
          <w:lang w:val="lt-LT"/>
        </w:rPr>
      </w:pPr>
      <w:r>
        <w:rPr>
          <w:rFonts w:ascii="Times New Roman" w:hAnsi="Times New Roman"/>
          <w:color w:val="000000"/>
          <w:sz w:val="22"/>
          <w:szCs w:val="22"/>
          <w:lang w:val="lt-LT"/>
        </w:rPr>
        <w:t xml:space="preserve">galvos skausmas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rėmuo, diskomfortas ryjant, skrandžio ar pilvo skausmas (gali būti dėl skrandžio uždegimo), nevirškinimas, pykinimas, viduriavimas (laisvi viduriai) </w:t>
      </w:r>
    </w:p>
    <w:p w:rsidR="00F72832" w:rsidRDefault="00F72832" w:rsidP="00F72832">
      <w:pPr>
        <w:numPr>
          <w:ilvl w:val="0"/>
          <w:numId w:val="24"/>
        </w:numPr>
        <w:autoSpaceDE w:val="0"/>
        <w:autoSpaceDN w:val="0"/>
        <w:adjustRightInd w:val="0"/>
        <w:ind w:right="-20"/>
        <w:rPr>
          <w:rFonts w:ascii="Times New Roman" w:hAnsi="Times New Roman"/>
          <w:color w:val="000000"/>
          <w:sz w:val="22"/>
          <w:szCs w:val="22"/>
          <w:lang w:val="lt-LT"/>
        </w:rPr>
      </w:pPr>
      <w:r>
        <w:rPr>
          <w:rFonts w:ascii="Times New Roman" w:hAnsi="Times New Roman"/>
          <w:color w:val="000000"/>
          <w:sz w:val="22"/>
          <w:szCs w:val="22"/>
          <w:lang w:val="lt-LT"/>
        </w:rPr>
        <w:t xml:space="preserve">mėšlungis, sąnarių ar galūnių sustingimas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į gripą panašūs simptomai, tokie kaip karščiavimas, drebulys ir šaltkrėtis, diskomforto jausmas, kaulų skausmas bei raumenų ir sąnarių diegliai. Jeigu bet kuris iš poveikių tampa varginantis arba tęsiasi ilgiau negu keletą parų, pasitarite su slaugytoju ar gydytoju; </w:t>
      </w:r>
    </w:p>
    <w:p w:rsidR="00F72832" w:rsidRDefault="00F72832" w:rsidP="00F72832">
      <w:pPr>
        <w:numPr>
          <w:ilvl w:val="0"/>
          <w:numId w:val="24"/>
        </w:numPr>
        <w:autoSpaceDE w:val="0"/>
        <w:autoSpaceDN w:val="0"/>
        <w:adjustRightInd w:val="0"/>
        <w:ind w:right="-20"/>
        <w:rPr>
          <w:rFonts w:ascii="Times New Roman" w:hAnsi="Times New Roman"/>
          <w:b/>
          <w:bCs/>
          <w:color w:val="000000"/>
          <w:sz w:val="22"/>
          <w:szCs w:val="22"/>
          <w:lang w:val="lt-LT"/>
        </w:rPr>
      </w:pPr>
      <w:r>
        <w:rPr>
          <w:rFonts w:ascii="Times New Roman" w:hAnsi="Times New Roman"/>
          <w:color w:val="000000"/>
          <w:sz w:val="22"/>
          <w:szCs w:val="22"/>
          <w:lang w:val="lt-LT"/>
        </w:rPr>
        <w:t>išbėrimas.</w:t>
      </w:r>
    </w:p>
    <w:p w:rsidR="00F72832" w:rsidRDefault="00F72832" w:rsidP="00F72832">
      <w:pPr>
        <w:autoSpaceDE w:val="0"/>
        <w:autoSpaceDN w:val="0"/>
        <w:adjustRightInd w:val="0"/>
        <w:ind w:left="360" w:right="-20"/>
        <w:rPr>
          <w:rFonts w:ascii="Times New Roman" w:hAnsi="Times New Roman"/>
          <w:b/>
          <w:bCs/>
          <w:color w:val="000000"/>
          <w:sz w:val="22"/>
          <w:szCs w:val="22"/>
          <w:lang w:val="lt-LT"/>
        </w:rPr>
      </w:pPr>
    </w:p>
    <w:p w:rsidR="00F72832" w:rsidRDefault="00F72832" w:rsidP="00F72832">
      <w:pPr>
        <w:autoSpaceDE w:val="0"/>
        <w:autoSpaceDN w:val="0"/>
        <w:adjustRightInd w:val="0"/>
        <w:ind w:left="520" w:right="-20" w:hanging="520"/>
        <w:rPr>
          <w:rFonts w:ascii="Times New Roman" w:hAnsi="Times New Roman"/>
          <w:color w:val="000000"/>
          <w:sz w:val="22"/>
          <w:szCs w:val="22"/>
          <w:lang w:val="lt-LT"/>
        </w:rPr>
      </w:pPr>
      <w:r>
        <w:rPr>
          <w:rFonts w:ascii="Times New Roman" w:hAnsi="Times New Roman"/>
          <w:b/>
          <w:bCs/>
          <w:color w:val="000000"/>
          <w:sz w:val="22"/>
          <w:szCs w:val="22"/>
          <w:lang w:val="lt-LT"/>
        </w:rPr>
        <w:t xml:space="preserve">Nedažni </w:t>
      </w:r>
      <w:r>
        <w:rPr>
          <w:rFonts w:ascii="Times New Roman" w:hAnsi="Times New Roman"/>
          <w:color w:val="000000"/>
          <w:sz w:val="22"/>
          <w:szCs w:val="22"/>
          <w:lang w:val="lt-LT"/>
        </w:rPr>
        <w:t xml:space="preserve">(gali pasireikšti ne dažniau kaip 1 iš 100 pacientų):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galvos svaigimas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vidurių pūtimas (dujų kaupimasis, išsipūtimo jausmas)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nugaros skausmas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nuovargio ir išsekimo jausmas </w:t>
      </w:r>
    </w:p>
    <w:p w:rsidR="00F72832" w:rsidRDefault="00F72832" w:rsidP="00F72832">
      <w:pPr>
        <w:numPr>
          <w:ilvl w:val="0"/>
          <w:numId w:val="24"/>
        </w:numPr>
        <w:autoSpaceDE w:val="0"/>
        <w:autoSpaceDN w:val="0"/>
        <w:adjustRightInd w:val="0"/>
        <w:ind w:right="-20"/>
        <w:rPr>
          <w:rFonts w:ascii="Times New Roman" w:hAnsi="Times New Roman"/>
          <w:bCs/>
          <w:color w:val="000000"/>
          <w:sz w:val="22"/>
          <w:szCs w:val="22"/>
          <w:lang w:val="lt-LT"/>
        </w:rPr>
      </w:pPr>
      <w:r>
        <w:rPr>
          <w:rFonts w:ascii="Times New Roman" w:hAnsi="Times New Roman"/>
          <w:bCs/>
          <w:color w:val="000000"/>
          <w:sz w:val="22"/>
          <w:szCs w:val="22"/>
          <w:lang w:val="lt-LT"/>
        </w:rPr>
        <w:t>astmos priepuolis</w:t>
      </w:r>
    </w:p>
    <w:p w:rsidR="00F72832" w:rsidRDefault="00F72832" w:rsidP="00F72832">
      <w:pPr>
        <w:autoSpaceDE w:val="0"/>
        <w:autoSpaceDN w:val="0"/>
        <w:adjustRightInd w:val="0"/>
        <w:ind w:left="360" w:right="-20"/>
        <w:rPr>
          <w:rFonts w:ascii="Times New Roman" w:hAnsi="Times New Roman"/>
          <w:b/>
          <w:bCs/>
          <w:color w:val="000000"/>
          <w:sz w:val="22"/>
          <w:szCs w:val="22"/>
          <w:lang w:val="lt-LT"/>
        </w:rPr>
      </w:pPr>
    </w:p>
    <w:p w:rsidR="00F72832" w:rsidRDefault="00F72832" w:rsidP="00F72832">
      <w:pPr>
        <w:autoSpaceDE w:val="0"/>
        <w:autoSpaceDN w:val="0"/>
        <w:adjustRightInd w:val="0"/>
        <w:ind w:right="-20"/>
        <w:rPr>
          <w:rFonts w:ascii="Times New Roman" w:hAnsi="Times New Roman"/>
          <w:color w:val="000000"/>
          <w:sz w:val="22"/>
          <w:szCs w:val="22"/>
          <w:lang w:val="lt-LT"/>
        </w:rPr>
      </w:pPr>
      <w:r>
        <w:rPr>
          <w:rFonts w:ascii="Times New Roman" w:hAnsi="Times New Roman"/>
          <w:b/>
          <w:bCs/>
          <w:color w:val="000000"/>
          <w:sz w:val="22"/>
          <w:szCs w:val="22"/>
          <w:lang w:val="lt-LT"/>
        </w:rPr>
        <w:t xml:space="preserve">Reti </w:t>
      </w:r>
      <w:r>
        <w:rPr>
          <w:rFonts w:ascii="Times New Roman" w:hAnsi="Times New Roman"/>
          <w:color w:val="000000"/>
          <w:sz w:val="22"/>
          <w:szCs w:val="22"/>
          <w:lang w:val="lt-LT"/>
        </w:rPr>
        <w:t xml:space="preserve">(gali pasireikšti ne dažniau kaip 1 iš 1000 pacientų):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dvylikapirštės žarnos (pirmosios žarnyno dalies) uždegimas, sukeliantis pilvo skausmą </w:t>
      </w:r>
    </w:p>
    <w:p w:rsidR="00F72832" w:rsidRDefault="00F72832" w:rsidP="00F72832">
      <w:pPr>
        <w:numPr>
          <w:ilvl w:val="0"/>
          <w:numId w:val="24"/>
        </w:numPr>
        <w:autoSpaceDE w:val="0"/>
        <w:autoSpaceDN w:val="0"/>
        <w:adjustRightInd w:val="0"/>
        <w:rPr>
          <w:rFonts w:ascii="Times New Roman" w:hAnsi="Times New Roman"/>
          <w:color w:val="000000"/>
          <w:sz w:val="22"/>
          <w:szCs w:val="22"/>
          <w:lang w:val="lt-LT"/>
        </w:rPr>
      </w:pPr>
      <w:r>
        <w:rPr>
          <w:rFonts w:ascii="Times New Roman" w:hAnsi="Times New Roman"/>
          <w:color w:val="000000"/>
          <w:sz w:val="22"/>
          <w:szCs w:val="22"/>
          <w:lang w:val="lt-LT"/>
        </w:rPr>
        <w:t xml:space="preserve">dilgėlinė </w:t>
      </w:r>
    </w:p>
    <w:p w:rsidR="00F72832" w:rsidRDefault="00F72832" w:rsidP="00F72832">
      <w:pPr>
        <w:autoSpaceDE w:val="0"/>
        <w:autoSpaceDN w:val="0"/>
        <w:adjustRightInd w:val="0"/>
        <w:ind w:left="360"/>
        <w:rPr>
          <w:rFonts w:ascii="Times New Roman" w:hAnsi="Times New Roman"/>
          <w:color w:val="000000"/>
          <w:sz w:val="22"/>
          <w:szCs w:val="22"/>
          <w:lang w:val="lt-LT"/>
        </w:rPr>
      </w:pPr>
    </w:p>
    <w:p w:rsidR="00F72832" w:rsidRDefault="00F72832" w:rsidP="00F72832">
      <w:pPr>
        <w:tabs>
          <w:tab w:val="left" w:pos="567"/>
        </w:tabs>
        <w:rPr>
          <w:rFonts w:ascii="Times New Roman" w:hAnsi="Times New Roman"/>
          <w:b/>
          <w:snapToGrid w:val="0"/>
          <w:sz w:val="22"/>
          <w:szCs w:val="22"/>
          <w:lang w:val="lt-LT"/>
        </w:rPr>
      </w:pPr>
      <w:r>
        <w:rPr>
          <w:rFonts w:ascii="Times New Roman" w:hAnsi="Times New Roman"/>
          <w:b/>
          <w:noProof/>
          <w:snapToGrid w:val="0"/>
          <w:sz w:val="22"/>
          <w:szCs w:val="22"/>
          <w:lang w:val="lt-LT"/>
        </w:rPr>
        <w:t>Pranešimas apie šalutinį poveikį</w:t>
      </w:r>
    </w:p>
    <w:p w:rsidR="00F72832" w:rsidRDefault="00F72832" w:rsidP="00F72832">
      <w:pPr>
        <w:ind w:right="-449"/>
        <w:rPr>
          <w:rFonts w:ascii="Times New Roman" w:hAnsi="Times New Roman"/>
          <w:noProof/>
          <w:snapToGrid w:val="0"/>
          <w:sz w:val="22"/>
          <w:szCs w:val="22"/>
          <w:lang w:val="lt-LT"/>
        </w:rPr>
      </w:pPr>
      <w:r>
        <w:rPr>
          <w:rFonts w:ascii="Times New Roman" w:hAnsi="Times New Roman"/>
          <w:noProof/>
          <w:snapToGrid w:val="0"/>
          <w:sz w:val="22"/>
          <w:szCs w:val="22"/>
          <w:lang w:val="lt-LT"/>
        </w:rPr>
        <w:t>Jeigu pasireiškė šalutinis poveikis, įskaitant šiame lapelyje nenurodytą, pasakykite gydytojui arba vaistininkui</w:t>
      </w:r>
      <w:r>
        <w:rPr>
          <w:rFonts w:ascii="Times New Roman" w:hAnsi="Times New Roman"/>
          <w:snapToGrid w:val="0"/>
          <w:sz w:val="22"/>
          <w:szCs w:val="22"/>
          <w:lang w:val="lt-LT"/>
        </w:rPr>
        <w:t>.</w:t>
      </w:r>
      <w:r>
        <w:rPr>
          <w:rFonts w:ascii="Times New Roman" w:hAnsi="Times New Roman"/>
          <w:noProof/>
          <w:snapToGrid w:val="0"/>
          <w:sz w:val="22"/>
          <w:szCs w:val="22"/>
          <w:lang w:val="lt-LT"/>
        </w:rPr>
        <w:t xml:space="preserve"> </w:t>
      </w:r>
      <w:r>
        <w:rPr>
          <w:rFonts w:ascii="Times New Roman" w:hAnsi="Times New Roman"/>
          <w:snapToGrid w:val="0"/>
          <w:sz w:val="22"/>
          <w:szCs w:val="22"/>
          <w:lang w:val="lt-LT"/>
        </w:rPr>
        <w:t>Apie šalutinį poveikį taip pat galite pranešti Valstybinei vaistų kontrolės tarnybai prie Lietuvos Respublikos sveikatos apsaugos ministerijos nemokamu t</w:t>
      </w:r>
      <w:r>
        <w:rPr>
          <w:rFonts w:ascii="Times New Roman" w:hAnsi="Times New Roman"/>
          <w:snapToGrid w:val="0"/>
          <w:sz w:val="22"/>
          <w:szCs w:val="22"/>
          <w:lang w:val="lt-LT" w:eastAsia="zh-CN"/>
        </w:rPr>
        <w:t>elefonu 8 800 73568</w:t>
      </w:r>
      <w:r>
        <w:rPr>
          <w:rFonts w:ascii="Times New Roman" w:hAnsi="Times New Roman"/>
          <w:snapToGrid w:val="0"/>
          <w:sz w:val="22"/>
          <w:szCs w:val="22"/>
          <w:lang w:val="lt-LT"/>
        </w:rPr>
        <w:t xml:space="preserve"> arba užpildyti interneto svetainėje </w:t>
      </w:r>
      <w:hyperlink r:id="rId9" w:history="1">
        <w:r>
          <w:rPr>
            <w:rStyle w:val="Hipersaitas"/>
            <w:rFonts w:ascii="Times New Roman" w:eastAsia="SimSun" w:hAnsi="Times New Roman"/>
            <w:snapToGrid w:val="0"/>
            <w:sz w:val="22"/>
            <w:szCs w:val="22"/>
            <w:lang w:val="lt-LT"/>
          </w:rPr>
          <w:t>www.vvkt.lt</w:t>
        </w:r>
      </w:hyperlink>
      <w:r>
        <w:rPr>
          <w:rFonts w:ascii="Times New Roman" w:hAnsi="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snapToGrid w:val="0"/>
          <w:sz w:val="22"/>
          <w:szCs w:val="22"/>
          <w:lang w:val="lt-LT" w:eastAsia="zh-CN"/>
        </w:rPr>
        <w:t xml:space="preserve">nemokamu </w:t>
      </w:r>
      <w:r>
        <w:rPr>
          <w:rFonts w:ascii="Times New Roman" w:hAnsi="Times New Roman"/>
          <w:snapToGrid w:val="0"/>
          <w:sz w:val="22"/>
          <w:szCs w:val="22"/>
          <w:lang w:val="lt-LT"/>
        </w:rPr>
        <w:t>fakso numeriu 8 800 20131</w:t>
      </w:r>
      <w:r>
        <w:rPr>
          <w:rFonts w:ascii="Times New Roman" w:hAnsi="Times New Roman"/>
          <w:snapToGrid w:val="0"/>
          <w:sz w:val="22"/>
          <w:szCs w:val="22"/>
          <w:lang w:val="lt-LT" w:eastAsia="zh-CN"/>
        </w:rPr>
        <w:t xml:space="preserve">, </w:t>
      </w:r>
      <w:r>
        <w:rPr>
          <w:rFonts w:ascii="Times New Roman" w:hAnsi="Times New Roman"/>
          <w:snapToGrid w:val="0"/>
          <w:sz w:val="22"/>
          <w:szCs w:val="22"/>
          <w:lang w:val="lt-LT"/>
        </w:rPr>
        <w:t xml:space="preserve">el. paštu </w:t>
      </w:r>
      <w:hyperlink r:id="rId10" w:history="1">
        <w:r>
          <w:rPr>
            <w:rStyle w:val="Hipersaitas"/>
            <w:rFonts w:ascii="Times New Roman" w:eastAsia="SimSun" w:hAnsi="Times New Roman"/>
            <w:snapToGrid w:val="0"/>
            <w:sz w:val="22"/>
            <w:szCs w:val="22"/>
            <w:lang w:val="lt-LT"/>
          </w:rPr>
          <w:t>NepageidaujamaR@vvkt.lt</w:t>
        </w:r>
      </w:hyperlink>
      <w:r>
        <w:rPr>
          <w:rFonts w:ascii="Times New Roman" w:hAnsi="Times New Roman"/>
          <w:snapToGrid w:val="0"/>
          <w:sz w:val="22"/>
          <w:szCs w:val="22"/>
          <w:lang w:val="lt-LT"/>
        </w:rPr>
        <w:t xml:space="preserve">, taip pat per Valstybinės vaistų kontrolės tarnybos prie Lietuvos Respublikos sveikatos apsaugos ministerijos interneto svetainę (adresu </w:t>
      </w:r>
      <w:hyperlink r:id="rId11" w:history="1">
        <w:r>
          <w:rPr>
            <w:rStyle w:val="Hipersaitas"/>
            <w:rFonts w:ascii="Times New Roman" w:eastAsia="SimSun" w:hAnsi="Times New Roman"/>
            <w:snapToGrid w:val="0"/>
            <w:sz w:val="22"/>
            <w:szCs w:val="22"/>
            <w:lang w:val="lt-LT"/>
          </w:rPr>
          <w:t>http://www.vvkt.lt</w:t>
        </w:r>
      </w:hyperlink>
      <w:r>
        <w:rPr>
          <w:rFonts w:ascii="Times New Roman" w:hAnsi="Times New Roman"/>
          <w:snapToGrid w:val="0"/>
          <w:sz w:val="22"/>
          <w:szCs w:val="22"/>
          <w:lang w:val="lt-LT"/>
        </w:rPr>
        <w:t>). Pranešdami apie šalutinį poveikį galite mums padėti gauti daugiau informacijos apie šio vaisto saugumą.</w:t>
      </w:r>
    </w:p>
    <w:p w:rsidR="00F72832" w:rsidRDefault="00F72832" w:rsidP="00F72832">
      <w:pPr>
        <w:pStyle w:val="Default"/>
        <w:tabs>
          <w:tab w:val="left" w:pos="567"/>
        </w:tabs>
        <w:rPr>
          <w:b/>
          <w:color w:val="auto"/>
          <w:sz w:val="22"/>
          <w:szCs w:val="22"/>
          <w:lang w:val="lt-LT"/>
        </w:rPr>
      </w:pPr>
    </w:p>
    <w:p w:rsidR="00F72832" w:rsidRDefault="00F72832" w:rsidP="00F72832">
      <w:pPr>
        <w:shd w:val="clear" w:color="auto" w:fill="FFFFFF"/>
        <w:tabs>
          <w:tab w:val="left" w:pos="567"/>
        </w:tabs>
        <w:ind w:left="5"/>
        <w:jc w:val="both"/>
        <w:rPr>
          <w:rFonts w:ascii="Times New Roman" w:hAnsi="Times New Roman"/>
          <w:sz w:val="22"/>
          <w:szCs w:val="22"/>
          <w:lang w:val="lt-LT"/>
        </w:rPr>
      </w:pPr>
    </w:p>
    <w:p w:rsidR="00F72832" w:rsidRDefault="00F72832" w:rsidP="00F72832">
      <w:pPr>
        <w:widowControl w:val="0"/>
        <w:numPr>
          <w:ilvl w:val="0"/>
          <w:numId w:val="18"/>
        </w:numPr>
        <w:tabs>
          <w:tab w:val="clear" w:pos="360"/>
          <w:tab w:val="num" w:pos="540"/>
          <w:tab w:val="left" w:pos="567"/>
        </w:tabs>
        <w:autoSpaceDE w:val="0"/>
        <w:autoSpaceDN w:val="0"/>
        <w:adjustRightInd w:val="0"/>
        <w:ind w:left="560" w:hanging="560"/>
        <w:rPr>
          <w:rFonts w:ascii="Times New Roman" w:hAnsi="Times New Roman"/>
          <w:sz w:val="22"/>
          <w:szCs w:val="22"/>
          <w:lang w:val="lt-LT"/>
        </w:rPr>
      </w:pPr>
      <w:r>
        <w:rPr>
          <w:rFonts w:ascii="Times New Roman" w:hAnsi="Times New Roman"/>
          <w:b/>
          <w:sz w:val="22"/>
          <w:szCs w:val="22"/>
          <w:lang w:val="lt-LT"/>
        </w:rPr>
        <w:t xml:space="preserve">Kaip laikyti OSSICA </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pStyle w:val="Default"/>
        <w:tabs>
          <w:tab w:val="left" w:pos="567"/>
        </w:tabs>
        <w:ind w:left="560" w:hanging="560"/>
        <w:rPr>
          <w:color w:val="auto"/>
          <w:sz w:val="22"/>
          <w:szCs w:val="22"/>
          <w:lang w:val="lt-LT"/>
        </w:rPr>
      </w:pPr>
      <w:r>
        <w:rPr>
          <w:color w:val="auto"/>
          <w:sz w:val="22"/>
          <w:szCs w:val="22"/>
          <w:lang w:val="lt-LT"/>
        </w:rPr>
        <w:t xml:space="preserve">Šį vaistą laikykite vaikams nepastebimoje ir nepasiekiamoje vietoje. </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pStyle w:val="Default"/>
        <w:tabs>
          <w:tab w:val="left" w:pos="567"/>
        </w:tabs>
        <w:ind w:left="560" w:hanging="560"/>
        <w:rPr>
          <w:color w:val="auto"/>
          <w:sz w:val="22"/>
          <w:szCs w:val="22"/>
          <w:lang w:val="lt-LT"/>
        </w:rPr>
      </w:pPr>
      <w:r>
        <w:rPr>
          <w:color w:val="auto"/>
          <w:sz w:val="22"/>
          <w:szCs w:val="22"/>
          <w:lang w:val="lt-LT"/>
        </w:rPr>
        <w:t>Šiam vaistiniam preparatui specialių laikymo sąlygų nereikia.</w:t>
      </w:r>
    </w:p>
    <w:p w:rsidR="00F72832" w:rsidRDefault="00F72832" w:rsidP="00F72832">
      <w:pPr>
        <w:pStyle w:val="Default"/>
        <w:tabs>
          <w:tab w:val="left" w:pos="567"/>
        </w:tabs>
        <w:ind w:left="560" w:hanging="560"/>
        <w:rPr>
          <w:color w:val="auto"/>
          <w:sz w:val="22"/>
          <w:szCs w:val="22"/>
          <w:lang w:val="lt-LT"/>
        </w:rPr>
      </w:pPr>
    </w:p>
    <w:p w:rsidR="00F72832" w:rsidRDefault="00F72832" w:rsidP="00F72832">
      <w:pPr>
        <w:tabs>
          <w:tab w:val="left" w:pos="567"/>
        </w:tabs>
        <w:rPr>
          <w:rFonts w:ascii="Times New Roman" w:hAnsi="Times New Roman"/>
          <w:sz w:val="22"/>
          <w:szCs w:val="22"/>
          <w:lang w:val="lt-LT"/>
        </w:rPr>
      </w:pPr>
      <w:r>
        <w:rPr>
          <w:rFonts w:ascii="Times New Roman" w:hAnsi="Times New Roman"/>
          <w:sz w:val="22"/>
          <w:szCs w:val="22"/>
          <w:lang w:val="lt-LT"/>
        </w:rPr>
        <w:lastRenderedPageBreak/>
        <w:t>Ant lizdinių plokštelių ir dėžutės po „Tinka iki“ nurodytam tinkamumo laikui pasibaigus, šio vaisto vartoti negalima. Vaistas tinkamas vartoti iki paskutinės nurodyto mėnesio dienos.</w:t>
      </w:r>
    </w:p>
    <w:p w:rsidR="00F72832" w:rsidRDefault="00F72832" w:rsidP="00F72832">
      <w:pPr>
        <w:tabs>
          <w:tab w:val="left" w:pos="567"/>
        </w:tabs>
        <w:rPr>
          <w:rFonts w:ascii="Times New Roman" w:hAnsi="Times New Roman"/>
          <w:sz w:val="22"/>
          <w:szCs w:val="22"/>
          <w:lang w:val="lt-LT"/>
        </w:rPr>
      </w:pPr>
    </w:p>
    <w:p w:rsidR="00F72832" w:rsidRDefault="00F72832" w:rsidP="00F72832">
      <w:pPr>
        <w:numPr>
          <w:ilvl w:val="12"/>
          <w:numId w:val="0"/>
        </w:numPr>
        <w:tabs>
          <w:tab w:val="left" w:pos="567"/>
          <w:tab w:val="left" w:pos="708"/>
        </w:tabs>
        <w:ind w:right="-2"/>
        <w:rPr>
          <w:rFonts w:ascii="Times New Roman" w:hAnsi="Times New Roman"/>
          <w:sz w:val="22"/>
          <w:szCs w:val="22"/>
          <w:lang w:val="lt-LT"/>
        </w:rPr>
      </w:pPr>
      <w:r>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F72832" w:rsidRDefault="00F72832" w:rsidP="00F72832">
      <w:pPr>
        <w:numPr>
          <w:ilvl w:val="12"/>
          <w:numId w:val="0"/>
        </w:numPr>
        <w:tabs>
          <w:tab w:val="left" w:pos="567"/>
          <w:tab w:val="left" w:pos="708"/>
        </w:tabs>
        <w:ind w:right="-2"/>
        <w:rPr>
          <w:rFonts w:ascii="Times New Roman" w:hAnsi="Times New Roman"/>
          <w:sz w:val="22"/>
          <w:szCs w:val="22"/>
          <w:lang w:val="lt-LT"/>
        </w:rPr>
      </w:pPr>
    </w:p>
    <w:p w:rsidR="00F72832" w:rsidRDefault="00F72832" w:rsidP="00F72832">
      <w:pPr>
        <w:numPr>
          <w:ilvl w:val="12"/>
          <w:numId w:val="0"/>
        </w:numPr>
        <w:tabs>
          <w:tab w:val="left" w:pos="567"/>
          <w:tab w:val="left" w:pos="708"/>
        </w:tabs>
        <w:ind w:right="-2"/>
        <w:rPr>
          <w:rFonts w:ascii="Times New Roman" w:hAnsi="Times New Roman"/>
          <w:sz w:val="22"/>
          <w:szCs w:val="22"/>
          <w:lang w:val="lt-LT"/>
        </w:rPr>
      </w:pPr>
    </w:p>
    <w:p w:rsidR="00F72832" w:rsidRDefault="00F72832" w:rsidP="00F72832">
      <w:pPr>
        <w:widowControl w:val="0"/>
        <w:numPr>
          <w:ilvl w:val="0"/>
          <w:numId w:val="18"/>
        </w:numPr>
        <w:tabs>
          <w:tab w:val="clear" w:pos="360"/>
          <w:tab w:val="num" w:pos="540"/>
          <w:tab w:val="left" w:pos="567"/>
        </w:tabs>
        <w:autoSpaceDE w:val="0"/>
        <w:autoSpaceDN w:val="0"/>
        <w:adjustRightInd w:val="0"/>
        <w:ind w:left="540" w:hanging="540"/>
        <w:rPr>
          <w:rFonts w:ascii="Times New Roman" w:hAnsi="Times New Roman"/>
          <w:b/>
          <w:sz w:val="22"/>
          <w:szCs w:val="22"/>
          <w:lang w:val="lt-LT"/>
        </w:rPr>
      </w:pPr>
      <w:r>
        <w:rPr>
          <w:rFonts w:ascii="Times New Roman" w:hAnsi="Times New Roman"/>
          <w:b/>
          <w:sz w:val="22"/>
          <w:szCs w:val="22"/>
          <w:lang w:val="lt-LT"/>
        </w:rPr>
        <w:t xml:space="preserve">Pakuotės turinys ir kita informacija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OSSICA sudėtis</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tabs>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Kiekvienoje plėvele dengtoje tabletėje yra 168,81 mg natrio ibandronato monohidrato, atitinkančio 150 mg ibandrono rūgšties.</w:t>
      </w:r>
    </w:p>
    <w:p w:rsidR="00F72832" w:rsidRDefault="00F72832" w:rsidP="00F72832">
      <w:pPr>
        <w:widowControl w:val="0"/>
        <w:numPr>
          <w:ilvl w:val="0"/>
          <w:numId w:val="28"/>
        </w:numPr>
        <w:tabs>
          <w:tab w:val="clear" w:pos="360"/>
          <w:tab w:val="left" w:pos="567"/>
        </w:tabs>
        <w:autoSpaceDE w:val="0"/>
        <w:autoSpaceDN w:val="0"/>
        <w:adjustRightInd w:val="0"/>
        <w:ind w:left="540" w:hanging="540"/>
        <w:rPr>
          <w:rFonts w:ascii="Times New Roman" w:hAnsi="Times New Roman"/>
          <w:sz w:val="22"/>
          <w:szCs w:val="22"/>
          <w:lang w:val="lt-LT"/>
        </w:rPr>
      </w:pPr>
      <w:r>
        <w:rPr>
          <w:rFonts w:ascii="Times New Roman" w:hAnsi="Times New Roman"/>
          <w:sz w:val="22"/>
          <w:szCs w:val="22"/>
          <w:lang w:val="lt-LT"/>
        </w:rPr>
        <w:t xml:space="preserve">Pagalbinės medžiagos. </w:t>
      </w:r>
    </w:p>
    <w:p w:rsidR="00F72832" w:rsidRDefault="00F72832" w:rsidP="00F72832">
      <w:pPr>
        <w:widowControl w:val="0"/>
        <w:tabs>
          <w:tab w:val="left" w:pos="567"/>
        </w:tabs>
        <w:autoSpaceDE w:val="0"/>
        <w:autoSpaceDN w:val="0"/>
        <w:adjustRightInd w:val="0"/>
        <w:ind w:left="540"/>
        <w:rPr>
          <w:rFonts w:ascii="Times New Roman" w:hAnsi="Times New Roman"/>
          <w:sz w:val="22"/>
          <w:szCs w:val="22"/>
          <w:lang w:val="lt-LT"/>
        </w:rPr>
      </w:pPr>
      <w:r>
        <w:rPr>
          <w:rFonts w:ascii="Times New Roman" w:hAnsi="Times New Roman"/>
          <w:i/>
          <w:sz w:val="22"/>
          <w:szCs w:val="22"/>
          <w:lang w:val="lt-LT"/>
        </w:rPr>
        <w:t>Tabletės branduolys</w:t>
      </w:r>
      <w:r>
        <w:rPr>
          <w:rFonts w:ascii="Times New Roman" w:hAnsi="Times New Roman"/>
          <w:sz w:val="22"/>
          <w:szCs w:val="22"/>
          <w:lang w:val="lt-LT"/>
        </w:rPr>
        <w:t>: laktozė monohidratas, povidonas (K30), mikrokristalinė celiuliozė (12 ir 101), krospovidonas, magnio stearatas, bevandenis koloidinis silicio dioksidas.</w:t>
      </w:r>
    </w:p>
    <w:p w:rsidR="00F72832" w:rsidRDefault="00F72832" w:rsidP="00F72832">
      <w:pPr>
        <w:widowControl w:val="0"/>
        <w:tabs>
          <w:tab w:val="left" w:pos="567"/>
        </w:tabs>
        <w:autoSpaceDE w:val="0"/>
        <w:autoSpaceDN w:val="0"/>
        <w:adjustRightInd w:val="0"/>
        <w:ind w:left="540"/>
        <w:rPr>
          <w:rFonts w:ascii="Times New Roman" w:hAnsi="Times New Roman"/>
          <w:sz w:val="22"/>
          <w:szCs w:val="22"/>
          <w:lang w:val="lt-LT"/>
        </w:rPr>
      </w:pPr>
      <w:r>
        <w:rPr>
          <w:rFonts w:ascii="Times New Roman" w:hAnsi="Times New Roman"/>
          <w:i/>
          <w:sz w:val="22"/>
          <w:szCs w:val="22"/>
          <w:lang w:val="lt-LT"/>
        </w:rPr>
        <w:t>Tabletės plėvelė:</w:t>
      </w:r>
      <w:r>
        <w:rPr>
          <w:rFonts w:ascii="Times New Roman" w:hAnsi="Times New Roman"/>
          <w:b/>
          <w:sz w:val="22"/>
          <w:szCs w:val="22"/>
          <w:lang w:val="lt-LT"/>
        </w:rPr>
        <w:t xml:space="preserve"> </w:t>
      </w:r>
      <w:r>
        <w:rPr>
          <w:rFonts w:ascii="Times New Roman" w:hAnsi="Times New Roman"/>
          <w:sz w:val="22"/>
          <w:szCs w:val="22"/>
          <w:lang w:val="lt-LT"/>
        </w:rPr>
        <w:t xml:space="preserve">Opadry II baltasis 85F18422, kurio sudėtyje yra polivinilo alkoholio, titano dioksido (E171), talko, makrogolio (3350).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b/>
          <w:sz w:val="22"/>
          <w:szCs w:val="22"/>
          <w:lang w:val="lt-LT"/>
        </w:rPr>
        <w:t>OSSICA išvaizda ir kiekis pakuotėje</w:t>
      </w:r>
      <w:r>
        <w:rPr>
          <w:rFonts w:ascii="Times New Roman" w:hAnsi="Times New Roman"/>
          <w:sz w:val="22"/>
          <w:szCs w:val="22"/>
          <w:lang w:val="lt-LT"/>
        </w:rPr>
        <w:t xml:space="preserve">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 xml:space="preserve">OSSICA 150 mg plėvele dengtos tabletės yra baltos ar balkšvos spalvos, ovalios, abipus išgaubtos, plėvele dengtos tabletės, kurių vienoje jų pusėje įspausta „M24“, kitoje pusėje įspaudo nėra.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 xml:space="preserve">Tabletės tiekiamos baltomis PVC/PE/PVDC/Al lizdinėmis plokštelėmis po 1 ar 3 tabletes. </w:t>
      </w:r>
    </w:p>
    <w:p w:rsidR="00F72832" w:rsidRDefault="00F72832" w:rsidP="00F72832">
      <w:pPr>
        <w:widowControl w:val="0"/>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Gali būti tiekiamos ne visų dydžių pakuotės.</w:t>
      </w:r>
    </w:p>
    <w:p w:rsidR="00F72832" w:rsidRDefault="00F72832" w:rsidP="00F72832">
      <w:pPr>
        <w:widowControl w:val="0"/>
        <w:tabs>
          <w:tab w:val="left" w:pos="567"/>
        </w:tabs>
        <w:autoSpaceDE w:val="0"/>
        <w:autoSpaceDN w:val="0"/>
        <w:adjustRightInd w:val="0"/>
        <w:ind w:right="-440"/>
        <w:rPr>
          <w:rFonts w:ascii="Times New Roman" w:hAnsi="Times New Roman"/>
          <w:sz w:val="22"/>
          <w:szCs w:val="22"/>
          <w:lang w:val="lt-LT"/>
        </w:rPr>
      </w:pPr>
    </w:p>
    <w:p w:rsidR="00F72832" w:rsidRPr="008F6CBA" w:rsidRDefault="00F72832" w:rsidP="00F72832">
      <w:pPr>
        <w:numPr>
          <w:ilvl w:val="12"/>
          <w:numId w:val="0"/>
        </w:numPr>
        <w:tabs>
          <w:tab w:val="left" w:pos="567"/>
        </w:tabs>
        <w:ind w:right="-2"/>
        <w:rPr>
          <w:rFonts w:ascii="Times New Roman" w:hAnsi="Times New Roman"/>
          <w:b/>
          <w:sz w:val="22"/>
          <w:szCs w:val="22"/>
          <w:lang w:val="lt-LT"/>
        </w:rPr>
      </w:pPr>
      <w:r w:rsidRPr="008F6CBA">
        <w:rPr>
          <w:rFonts w:ascii="Times New Roman" w:hAnsi="Times New Roman"/>
          <w:b/>
          <w:sz w:val="22"/>
          <w:szCs w:val="22"/>
          <w:lang w:val="lt-LT"/>
        </w:rPr>
        <w:t xml:space="preserve">Registruotojas ir gamintojas </w:t>
      </w:r>
    </w:p>
    <w:p w:rsidR="00F72832" w:rsidRPr="008F6CBA" w:rsidRDefault="00F72832" w:rsidP="00F72832">
      <w:pPr>
        <w:tabs>
          <w:tab w:val="left" w:pos="567"/>
        </w:tabs>
        <w:rPr>
          <w:rFonts w:ascii="Times New Roman" w:hAnsi="Times New Roman"/>
          <w:spacing w:val="-1"/>
          <w:sz w:val="22"/>
          <w:szCs w:val="22"/>
          <w:lang w:val="lt-LT"/>
        </w:rPr>
      </w:pPr>
      <w:r w:rsidRPr="008F6CBA">
        <w:rPr>
          <w:rFonts w:ascii="Times New Roman" w:hAnsi="Times New Roman"/>
          <w:spacing w:val="-1"/>
          <w:sz w:val="22"/>
          <w:szCs w:val="22"/>
          <w:lang w:val="lt-LT"/>
        </w:rPr>
        <w:t>Gedeon Richter Plc.</w:t>
      </w:r>
    </w:p>
    <w:p w:rsidR="00F72832" w:rsidRPr="008F6CBA" w:rsidRDefault="00F72832" w:rsidP="00F72832">
      <w:pPr>
        <w:tabs>
          <w:tab w:val="left" w:pos="567"/>
        </w:tabs>
        <w:rPr>
          <w:rFonts w:ascii="Times New Roman" w:hAnsi="Times New Roman"/>
          <w:spacing w:val="-1"/>
          <w:sz w:val="22"/>
          <w:szCs w:val="22"/>
          <w:lang w:val="lt-LT"/>
        </w:rPr>
      </w:pPr>
      <w:r w:rsidRPr="008F6CBA">
        <w:rPr>
          <w:rFonts w:ascii="Times New Roman" w:hAnsi="Times New Roman"/>
          <w:spacing w:val="-1"/>
          <w:sz w:val="22"/>
          <w:szCs w:val="22"/>
          <w:lang w:val="lt-LT"/>
        </w:rPr>
        <w:t>Gyömrői út 19-21</w:t>
      </w:r>
    </w:p>
    <w:p w:rsidR="00F72832" w:rsidRPr="008F6CBA" w:rsidRDefault="00F72832" w:rsidP="00F72832">
      <w:pPr>
        <w:tabs>
          <w:tab w:val="left" w:pos="567"/>
        </w:tabs>
        <w:rPr>
          <w:rFonts w:ascii="Times New Roman" w:hAnsi="Times New Roman"/>
          <w:spacing w:val="-1"/>
          <w:sz w:val="22"/>
          <w:szCs w:val="22"/>
          <w:lang w:val="lt-LT"/>
        </w:rPr>
      </w:pPr>
      <w:r w:rsidRPr="008F6CBA">
        <w:rPr>
          <w:rFonts w:ascii="Times New Roman" w:hAnsi="Times New Roman"/>
          <w:spacing w:val="-1"/>
          <w:sz w:val="22"/>
          <w:szCs w:val="22"/>
          <w:lang w:val="lt-LT"/>
        </w:rPr>
        <w:t>1103 Budapest</w:t>
      </w:r>
    </w:p>
    <w:p w:rsidR="00F72832" w:rsidRPr="008F6CBA" w:rsidRDefault="00F72832" w:rsidP="00F72832">
      <w:pPr>
        <w:tabs>
          <w:tab w:val="left" w:pos="567"/>
        </w:tabs>
        <w:rPr>
          <w:rFonts w:ascii="Times New Roman" w:hAnsi="Times New Roman"/>
          <w:spacing w:val="-1"/>
          <w:sz w:val="22"/>
          <w:szCs w:val="22"/>
          <w:lang w:val="lt-LT"/>
        </w:rPr>
      </w:pPr>
      <w:r w:rsidRPr="008F6CBA">
        <w:rPr>
          <w:rFonts w:ascii="Times New Roman" w:hAnsi="Times New Roman"/>
          <w:spacing w:val="-1"/>
          <w:sz w:val="22"/>
          <w:szCs w:val="22"/>
          <w:lang w:val="lt-LT"/>
        </w:rPr>
        <w:t>Vengrija</w:t>
      </w:r>
    </w:p>
    <w:p w:rsidR="00F72832" w:rsidRPr="008F6CBA" w:rsidRDefault="00F72832" w:rsidP="00F72832">
      <w:pPr>
        <w:tabs>
          <w:tab w:val="left" w:pos="567"/>
        </w:tabs>
        <w:rPr>
          <w:rFonts w:ascii="Times New Roman" w:hAnsi="Times New Roman"/>
          <w:spacing w:val="-1"/>
          <w:sz w:val="22"/>
          <w:szCs w:val="22"/>
          <w:lang w:val="lt-LT"/>
        </w:rPr>
      </w:pPr>
    </w:p>
    <w:p w:rsidR="00F72832" w:rsidRPr="008F6CBA" w:rsidRDefault="00F72832" w:rsidP="00F72832">
      <w:pPr>
        <w:pStyle w:val="BTEMEASMCA"/>
        <w:rPr>
          <w:rFonts w:ascii="Times New Roman" w:hAnsi="Times New Roman"/>
          <w:sz w:val="22"/>
          <w:szCs w:val="22"/>
          <w:lang w:val="lt-LT"/>
        </w:rPr>
      </w:pPr>
      <w:r w:rsidRPr="008F6CBA">
        <w:rPr>
          <w:rFonts w:ascii="Times New Roman" w:hAnsi="Times New Roman"/>
          <w:sz w:val="22"/>
          <w:szCs w:val="22"/>
          <w:lang w:val="lt-LT"/>
        </w:rPr>
        <w:t>Jeigu apie šį vaistą norite sužinoti daugiau, kreipkitės į vietinį registruotojo atstovą.</w:t>
      </w:r>
    </w:p>
    <w:p w:rsidR="00F72832" w:rsidRPr="008F6CBA" w:rsidRDefault="00F72832" w:rsidP="00F72832">
      <w:pPr>
        <w:tabs>
          <w:tab w:val="left" w:pos="567"/>
        </w:tabs>
        <w:rPr>
          <w:rFonts w:ascii="Times New Roman" w:hAnsi="Times New Roman"/>
          <w:sz w:val="22"/>
          <w:szCs w:val="22"/>
          <w:lang w:val="lt-LT"/>
        </w:rPr>
      </w:pPr>
    </w:p>
    <w:p w:rsidR="00F72832" w:rsidRPr="008F6CBA" w:rsidRDefault="00F72832" w:rsidP="00F72832">
      <w:pPr>
        <w:tabs>
          <w:tab w:val="left" w:pos="567"/>
        </w:tabs>
        <w:jc w:val="both"/>
        <w:rPr>
          <w:rFonts w:ascii="Times New Roman" w:hAnsi="Times New Roman"/>
          <w:sz w:val="22"/>
          <w:szCs w:val="22"/>
          <w:lang w:val="lt-LT"/>
        </w:rPr>
      </w:pPr>
      <w:r w:rsidRPr="008F6CBA">
        <w:rPr>
          <w:rFonts w:ascii="Times New Roman" w:hAnsi="Times New Roman"/>
          <w:sz w:val="22"/>
          <w:szCs w:val="22"/>
          <w:lang w:val="lt-LT"/>
        </w:rPr>
        <w:t>Gedeon Richter atstovybė</w:t>
      </w:r>
    </w:p>
    <w:p w:rsidR="00F72832" w:rsidRPr="008F6CBA" w:rsidRDefault="00F72832" w:rsidP="00F72832">
      <w:pPr>
        <w:tabs>
          <w:tab w:val="left" w:pos="567"/>
        </w:tabs>
        <w:jc w:val="both"/>
        <w:rPr>
          <w:rFonts w:ascii="Times New Roman" w:hAnsi="Times New Roman"/>
          <w:sz w:val="22"/>
          <w:szCs w:val="22"/>
          <w:lang w:val="lt-LT"/>
        </w:rPr>
      </w:pPr>
      <w:r w:rsidRPr="008F6CBA">
        <w:rPr>
          <w:rFonts w:ascii="Times New Roman" w:hAnsi="Times New Roman"/>
          <w:sz w:val="22"/>
          <w:szCs w:val="22"/>
          <w:lang w:val="lt-LT"/>
        </w:rPr>
        <w:t>Maironio 23-3</w:t>
      </w:r>
    </w:p>
    <w:p w:rsidR="00F72832" w:rsidRPr="008F6CBA" w:rsidRDefault="00F72832" w:rsidP="00F72832">
      <w:pPr>
        <w:tabs>
          <w:tab w:val="left" w:pos="567"/>
        </w:tabs>
        <w:jc w:val="both"/>
        <w:rPr>
          <w:rFonts w:ascii="Times New Roman" w:hAnsi="Times New Roman"/>
          <w:sz w:val="22"/>
          <w:szCs w:val="22"/>
          <w:lang w:val="lt-LT"/>
        </w:rPr>
      </w:pPr>
      <w:r w:rsidRPr="008F6CBA">
        <w:rPr>
          <w:rFonts w:ascii="Times New Roman" w:hAnsi="Times New Roman"/>
          <w:sz w:val="22"/>
          <w:szCs w:val="22"/>
          <w:lang w:val="lt-LT"/>
        </w:rPr>
        <w:t xml:space="preserve">Vilnius </w:t>
      </w:r>
    </w:p>
    <w:p w:rsidR="00F72832" w:rsidRPr="008F6CBA" w:rsidRDefault="00F72832" w:rsidP="00F72832">
      <w:pPr>
        <w:tabs>
          <w:tab w:val="left" w:pos="567"/>
        </w:tabs>
        <w:jc w:val="both"/>
        <w:rPr>
          <w:rFonts w:ascii="Times New Roman" w:hAnsi="Times New Roman"/>
          <w:sz w:val="22"/>
          <w:szCs w:val="22"/>
          <w:lang w:val="lt-LT"/>
        </w:rPr>
      </w:pPr>
      <w:r w:rsidRPr="008F6CBA">
        <w:rPr>
          <w:rFonts w:ascii="Times New Roman" w:hAnsi="Times New Roman"/>
          <w:sz w:val="22"/>
          <w:szCs w:val="22"/>
          <w:lang w:val="lt-LT"/>
        </w:rPr>
        <w:t>Tel. +370 5 268 53 92</w:t>
      </w:r>
    </w:p>
    <w:p w:rsidR="00F72832" w:rsidRPr="008F6CBA" w:rsidRDefault="00F72832" w:rsidP="00F72832">
      <w:pPr>
        <w:numPr>
          <w:ilvl w:val="12"/>
          <w:numId w:val="0"/>
        </w:numPr>
        <w:tabs>
          <w:tab w:val="left" w:pos="567"/>
        </w:tabs>
        <w:ind w:right="-2"/>
        <w:rPr>
          <w:rFonts w:ascii="Times New Roman" w:hAnsi="Times New Roman"/>
          <w:sz w:val="22"/>
          <w:szCs w:val="22"/>
          <w:lang w:val="lt-LT"/>
        </w:rPr>
      </w:pPr>
    </w:p>
    <w:p w:rsidR="00F72832" w:rsidRPr="008F6CBA" w:rsidRDefault="00F72832" w:rsidP="00F72832">
      <w:pPr>
        <w:tabs>
          <w:tab w:val="left" w:pos="567"/>
        </w:tabs>
        <w:rPr>
          <w:rFonts w:ascii="Times New Roman" w:hAnsi="Times New Roman"/>
          <w:i/>
          <w:sz w:val="22"/>
          <w:szCs w:val="22"/>
          <w:lang w:val="lt-LT"/>
        </w:rPr>
      </w:pPr>
      <w:r w:rsidRPr="008F6CBA">
        <w:rPr>
          <w:rFonts w:ascii="Times New Roman" w:hAnsi="Times New Roman"/>
          <w:b/>
          <w:sz w:val="22"/>
          <w:szCs w:val="22"/>
          <w:lang w:val="lt-LT"/>
        </w:rPr>
        <w:t xml:space="preserve">Šis vaistas EEE valstybėse narėse registruotas tokiais pavadinimais: </w:t>
      </w:r>
    </w:p>
    <w:p w:rsidR="00F72832" w:rsidRPr="008F6CBA" w:rsidRDefault="00F72832" w:rsidP="00F72832">
      <w:pPr>
        <w:tabs>
          <w:tab w:val="left" w:pos="567"/>
        </w:tabs>
        <w:rPr>
          <w:rFonts w:ascii="Times New Roman" w:hAnsi="Times New Roman"/>
          <w:b/>
          <w:sz w:val="22"/>
          <w:szCs w:val="22"/>
          <w:lang w:val="lt-LT"/>
        </w:rPr>
      </w:pPr>
      <w:r w:rsidRPr="008F6CBA">
        <w:rPr>
          <w:rFonts w:ascii="Times New Roman" w:hAnsi="Times New Roman"/>
          <w:sz w:val="22"/>
          <w:szCs w:val="22"/>
          <w:lang w:val="lt-LT"/>
        </w:rPr>
        <w:t>Bulgarija – Ossica</w:t>
      </w:r>
    </w:p>
    <w:p w:rsidR="00F72832" w:rsidRPr="008F6CBA" w:rsidRDefault="00F72832" w:rsidP="00F72832">
      <w:pPr>
        <w:tabs>
          <w:tab w:val="left" w:pos="567"/>
          <w:tab w:val="left" w:pos="3600"/>
        </w:tabs>
        <w:rPr>
          <w:rFonts w:ascii="Times New Roman" w:hAnsi="Times New Roman"/>
          <w:b/>
          <w:sz w:val="22"/>
          <w:szCs w:val="22"/>
          <w:lang w:val="lt-LT"/>
        </w:rPr>
      </w:pPr>
      <w:r w:rsidRPr="008F6CBA">
        <w:rPr>
          <w:rFonts w:ascii="Times New Roman" w:hAnsi="Times New Roman"/>
          <w:sz w:val="22"/>
          <w:szCs w:val="22"/>
          <w:lang w:val="lt-LT"/>
        </w:rPr>
        <w:t>Vengrija – Ossica</w:t>
      </w:r>
    </w:p>
    <w:p w:rsidR="00F72832" w:rsidRPr="008F6CBA" w:rsidRDefault="00F72832" w:rsidP="00F72832">
      <w:pPr>
        <w:tabs>
          <w:tab w:val="left" w:pos="567"/>
          <w:tab w:val="left" w:pos="3600"/>
        </w:tabs>
        <w:rPr>
          <w:rFonts w:ascii="Times New Roman" w:hAnsi="Times New Roman"/>
          <w:sz w:val="22"/>
          <w:szCs w:val="22"/>
          <w:lang w:val="lt-LT"/>
        </w:rPr>
      </w:pPr>
      <w:r w:rsidRPr="008F6CBA">
        <w:rPr>
          <w:rFonts w:ascii="Times New Roman" w:hAnsi="Times New Roman"/>
          <w:sz w:val="22"/>
          <w:szCs w:val="22"/>
          <w:lang w:val="lt-LT"/>
        </w:rPr>
        <w:t xml:space="preserve">Latvija – </w:t>
      </w:r>
      <w:r w:rsidRPr="008F6CBA">
        <w:rPr>
          <w:rFonts w:ascii="Times New Roman" w:hAnsi="Times New Roman"/>
          <w:caps/>
          <w:sz w:val="22"/>
          <w:szCs w:val="22"/>
          <w:lang w:val="lt-LT"/>
        </w:rPr>
        <w:t>Ossica</w:t>
      </w:r>
      <w:r w:rsidRPr="008F6CBA">
        <w:rPr>
          <w:rFonts w:ascii="Times New Roman" w:hAnsi="Times New Roman"/>
          <w:sz w:val="22"/>
          <w:szCs w:val="22"/>
          <w:lang w:val="lt-LT"/>
        </w:rPr>
        <w:t xml:space="preserve"> </w:t>
      </w:r>
    </w:p>
    <w:p w:rsidR="00F72832" w:rsidRPr="008F6CBA" w:rsidRDefault="00F72832" w:rsidP="00F72832">
      <w:pPr>
        <w:tabs>
          <w:tab w:val="left" w:pos="567"/>
          <w:tab w:val="left" w:pos="3600"/>
        </w:tabs>
        <w:rPr>
          <w:rFonts w:ascii="Times New Roman" w:hAnsi="Times New Roman"/>
          <w:sz w:val="22"/>
          <w:szCs w:val="22"/>
          <w:lang w:val="lt-LT"/>
        </w:rPr>
      </w:pPr>
      <w:r w:rsidRPr="008F6CBA">
        <w:rPr>
          <w:rFonts w:ascii="Times New Roman" w:hAnsi="Times New Roman"/>
          <w:sz w:val="22"/>
          <w:szCs w:val="22"/>
          <w:lang w:val="lt-LT"/>
        </w:rPr>
        <w:t xml:space="preserve">Lietuva – </w:t>
      </w:r>
      <w:r w:rsidRPr="008F6CBA">
        <w:rPr>
          <w:rFonts w:ascii="Times New Roman" w:hAnsi="Times New Roman"/>
          <w:caps/>
          <w:sz w:val="22"/>
          <w:szCs w:val="22"/>
          <w:lang w:val="lt-LT"/>
        </w:rPr>
        <w:t>Ossica</w:t>
      </w:r>
    </w:p>
    <w:p w:rsidR="00F72832" w:rsidRPr="008F6CBA" w:rsidRDefault="00F72832" w:rsidP="00F72832">
      <w:pPr>
        <w:tabs>
          <w:tab w:val="left" w:pos="567"/>
          <w:tab w:val="left" w:pos="3600"/>
        </w:tabs>
        <w:rPr>
          <w:rFonts w:ascii="Times New Roman" w:hAnsi="Times New Roman"/>
          <w:sz w:val="22"/>
          <w:szCs w:val="22"/>
          <w:lang w:val="lt-LT"/>
        </w:rPr>
      </w:pPr>
      <w:r w:rsidRPr="008F6CBA">
        <w:rPr>
          <w:rFonts w:ascii="Times New Roman" w:hAnsi="Times New Roman"/>
          <w:sz w:val="22"/>
          <w:szCs w:val="22"/>
          <w:lang w:val="lt-LT"/>
        </w:rPr>
        <w:t>Lenkija – Ossica</w:t>
      </w:r>
    </w:p>
    <w:p w:rsidR="00F72832" w:rsidRPr="008F6CBA" w:rsidRDefault="00F72832" w:rsidP="00F72832">
      <w:pPr>
        <w:tabs>
          <w:tab w:val="left" w:pos="567"/>
          <w:tab w:val="left" w:pos="3600"/>
        </w:tabs>
        <w:rPr>
          <w:rFonts w:ascii="Times New Roman" w:hAnsi="Times New Roman"/>
          <w:sz w:val="22"/>
          <w:szCs w:val="22"/>
          <w:lang w:val="lt-LT"/>
        </w:rPr>
      </w:pPr>
      <w:r w:rsidRPr="008F6CBA">
        <w:rPr>
          <w:rFonts w:ascii="Times New Roman" w:hAnsi="Times New Roman"/>
          <w:sz w:val="22"/>
          <w:szCs w:val="22"/>
          <w:lang w:val="lt-LT"/>
        </w:rPr>
        <w:t>Rumunija – Ossica</w:t>
      </w:r>
    </w:p>
    <w:p w:rsidR="00F72832" w:rsidRPr="008F6CBA" w:rsidRDefault="00F72832" w:rsidP="00F72832">
      <w:pPr>
        <w:tabs>
          <w:tab w:val="left" w:pos="567"/>
          <w:tab w:val="left" w:pos="3600"/>
        </w:tabs>
        <w:rPr>
          <w:rFonts w:ascii="Times New Roman" w:hAnsi="Times New Roman"/>
          <w:sz w:val="22"/>
          <w:szCs w:val="22"/>
          <w:lang w:val="lt-LT"/>
        </w:rPr>
      </w:pPr>
      <w:r w:rsidRPr="008F6CBA">
        <w:rPr>
          <w:rFonts w:ascii="Times New Roman" w:hAnsi="Times New Roman"/>
          <w:sz w:val="22"/>
          <w:szCs w:val="22"/>
          <w:lang w:val="lt-LT"/>
        </w:rPr>
        <w:t>Slovakija – Ossica</w:t>
      </w:r>
    </w:p>
    <w:p w:rsidR="00F72832" w:rsidRPr="008F6CBA" w:rsidRDefault="00F72832" w:rsidP="00F72832">
      <w:pPr>
        <w:pStyle w:val="BTEMEASMCA"/>
        <w:rPr>
          <w:rFonts w:ascii="Times New Roman" w:hAnsi="Times New Roman"/>
          <w:sz w:val="22"/>
          <w:szCs w:val="22"/>
          <w:lang w:val="lt-LT"/>
        </w:rPr>
      </w:pPr>
    </w:p>
    <w:p w:rsidR="00F72832" w:rsidRPr="008F6CBA" w:rsidRDefault="00F72832" w:rsidP="00F72832">
      <w:pPr>
        <w:pStyle w:val="BTEMEASMCA"/>
        <w:rPr>
          <w:rFonts w:ascii="Times New Roman" w:hAnsi="Times New Roman"/>
          <w:sz w:val="22"/>
          <w:szCs w:val="22"/>
          <w:lang w:val="lt-LT"/>
        </w:rPr>
      </w:pPr>
    </w:p>
    <w:p w:rsidR="00F72832" w:rsidRPr="008F6CBA" w:rsidRDefault="00F72832" w:rsidP="00F72832">
      <w:pPr>
        <w:numPr>
          <w:ilvl w:val="12"/>
          <w:numId w:val="0"/>
        </w:numPr>
        <w:tabs>
          <w:tab w:val="left" w:pos="567"/>
        </w:tabs>
        <w:ind w:right="-2"/>
        <w:outlineLvl w:val="0"/>
        <w:rPr>
          <w:rFonts w:ascii="Times New Roman" w:hAnsi="Times New Roman"/>
          <w:b/>
          <w:sz w:val="22"/>
          <w:szCs w:val="22"/>
          <w:lang w:val="lt-LT"/>
        </w:rPr>
      </w:pPr>
      <w:r w:rsidRPr="008F6CBA">
        <w:rPr>
          <w:rFonts w:ascii="Times New Roman" w:hAnsi="Times New Roman"/>
          <w:b/>
          <w:sz w:val="22"/>
          <w:szCs w:val="22"/>
          <w:lang w:val="lt-LT"/>
        </w:rPr>
        <w:lastRenderedPageBreak/>
        <w:t xml:space="preserve">Šis pakuotės lapelis paskutinį kartą peržiūrėtas </w:t>
      </w:r>
      <w:r w:rsidR="004D1435" w:rsidRPr="008F6CBA">
        <w:rPr>
          <w:rFonts w:ascii="Times New Roman" w:hAnsi="Times New Roman"/>
          <w:b/>
          <w:sz w:val="22"/>
          <w:szCs w:val="22"/>
          <w:lang w:val="lt-LT"/>
        </w:rPr>
        <w:t>2017-02-06.</w:t>
      </w:r>
    </w:p>
    <w:p w:rsidR="009D6123" w:rsidRPr="008F6CBA" w:rsidRDefault="009D6123" w:rsidP="00F72832">
      <w:pPr>
        <w:numPr>
          <w:ilvl w:val="12"/>
          <w:numId w:val="0"/>
        </w:numPr>
        <w:tabs>
          <w:tab w:val="left" w:pos="567"/>
        </w:tabs>
        <w:ind w:right="-2"/>
        <w:outlineLvl w:val="0"/>
        <w:rPr>
          <w:rFonts w:ascii="Times New Roman" w:hAnsi="Times New Roman"/>
          <w:b/>
          <w:sz w:val="22"/>
          <w:szCs w:val="22"/>
          <w:lang w:val="lt-LT"/>
        </w:rPr>
      </w:pPr>
    </w:p>
    <w:p w:rsidR="00F72832" w:rsidRPr="008F6CBA" w:rsidRDefault="00F72832" w:rsidP="00F72832">
      <w:pPr>
        <w:numPr>
          <w:ilvl w:val="12"/>
          <w:numId w:val="0"/>
        </w:numPr>
        <w:ind w:right="-2"/>
        <w:rPr>
          <w:rFonts w:ascii="Times New Roman" w:hAnsi="Times New Roman"/>
          <w:snapToGrid w:val="0"/>
          <w:sz w:val="22"/>
          <w:szCs w:val="22"/>
          <w:lang w:val="lt-LT"/>
        </w:rPr>
      </w:pPr>
      <w:r w:rsidRPr="008F6CBA">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sidRPr="008F6CBA">
        <w:rPr>
          <w:rFonts w:ascii="Times New Roman" w:hAnsi="Times New Roman"/>
          <w:i/>
          <w:snapToGrid w:val="0"/>
          <w:sz w:val="22"/>
          <w:szCs w:val="22"/>
          <w:lang w:val="lt-LT"/>
        </w:rPr>
        <w:t xml:space="preserve"> </w:t>
      </w:r>
      <w:hyperlink r:id="rId12" w:history="1">
        <w:r w:rsidRPr="008F6CBA">
          <w:rPr>
            <w:rStyle w:val="Hipersaitas"/>
            <w:rFonts w:ascii="Times New Roman" w:eastAsia="SimSun" w:hAnsi="Times New Roman"/>
            <w:snapToGrid w:val="0"/>
            <w:sz w:val="22"/>
            <w:szCs w:val="22"/>
            <w:lang w:val="lt-LT"/>
          </w:rPr>
          <w:t>http://www.vvkt.lt/</w:t>
        </w:r>
      </w:hyperlink>
      <w:r w:rsidRPr="008F6CBA">
        <w:rPr>
          <w:rFonts w:ascii="Times New Roman" w:hAnsi="Times New Roman"/>
          <w:snapToGrid w:val="0"/>
          <w:sz w:val="22"/>
          <w:szCs w:val="22"/>
          <w:lang w:val="lt-LT"/>
        </w:rPr>
        <w:t>.</w:t>
      </w:r>
    </w:p>
    <w:p w:rsidR="00C802A8" w:rsidRPr="008F6CBA" w:rsidRDefault="00C802A8">
      <w:pPr>
        <w:rPr>
          <w:rFonts w:ascii="Times New Roman" w:hAnsi="Times New Roman" w:cs="Times New Roman"/>
          <w:sz w:val="22"/>
          <w:szCs w:val="22"/>
          <w:lang w:val="lt-LT"/>
        </w:rPr>
      </w:pPr>
    </w:p>
    <w:p w:rsidR="00C802A8" w:rsidRPr="008F6CBA" w:rsidRDefault="00C802A8">
      <w:pPr>
        <w:rPr>
          <w:rFonts w:ascii="Times New Roman" w:hAnsi="Times New Roman" w:cs="Times New Roman"/>
          <w:sz w:val="22"/>
          <w:szCs w:val="22"/>
          <w:lang w:val="lt-LT"/>
        </w:rPr>
      </w:pPr>
      <w:bookmarkStart w:id="10" w:name="_GoBack"/>
      <w:bookmarkEnd w:id="10"/>
      <w:permStart w:id="1876497628" w:edGrp="everyone"/>
      <w:permEnd w:id="1876497628"/>
    </w:p>
    <w:p w:rsidR="00C802A8" w:rsidRPr="008F6CBA" w:rsidRDefault="00C802A8">
      <w:pPr>
        <w:rPr>
          <w:rFonts w:ascii="Times New Roman" w:hAnsi="Times New Roman" w:cs="Times New Roman"/>
          <w:sz w:val="22"/>
          <w:szCs w:val="22"/>
          <w:lang w:val="lt-LT"/>
        </w:rPr>
      </w:pPr>
    </w:p>
    <w:p w:rsidR="00C802A8" w:rsidRDefault="00C802A8">
      <w:pPr>
        <w:rPr>
          <w:rFonts w:ascii="Times New Roman" w:hAnsi="Times New Roman" w:cs="Times New Roman"/>
          <w:sz w:val="28"/>
          <w:lang w:val="lt-LT"/>
        </w:rPr>
      </w:pPr>
    </w:p>
    <w:sectPr w:rsidR="00C802A8" w:rsidSect="002238D1">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548E"/>
    <w:multiLevelType w:val="hybridMultilevel"/>
    <w:tmpl w:val="C3169B08"/>
    <w:lvl w:ilvl="0" w:tplc="33ACB67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8F784A"/>
    <w:multiLevelType w:val="hybridMultilevel"/>
    <w:tmpl w:val="E1E0F9E6"/>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F8C5D68"/>
    <w:multiLevelType w:val="hybridMultilevel"/>
    <w:tmpl w:val="504A916E"/>
    <w:lvl w:ilvl="0" w:tplc="CB622A0A">
      <w:numFmt w:val="bullet"/>
      <w:lvlText w:val="•"/>
      <w:lvlJc w:val="left"/>
      <w:pPr>
        <w:ind w:left="367" w:hanging="360"/>
      </w:pPr>
      <w:rPr>
        <w:rFonts w:ascii="Times New Roman" w:eastAsia="Times New Roman" w:hAnsi="Times New Roman" w:cs="Times New Roman" w:hint="default"/>
      </w:rPr>
    </w:lvl>
    <w:lvl w:ilvl="1" w:tplc="040E0003" w:tentative="1">
      <w:start w:val="1"/>
      <w:numFmt w:val="bullet"/>
      <w:lvlText w:val="o"/>
      <w:lvlJc w:val="left"/>
      <w:pPr>
        <w:ind w:left="1087" w:hanging="360"/>
      </w:pPr>
      <w:rPr>
        <w:rFonts w:ascii="Courier New" w:hAnsi="Courier New" w:cs="Courier New" w:hint="default"/>
      </w:rPr>
    </w:lvl>
    <w:lvl w:ilvl="2" w:tplc="040E0005" w:tentative="1">
      <w:start w:val="1"/>
      <w:numFmt w:val="bullet"/>
      <w:lvlText w:val=""/>
      <w:lvlJc w:val="left"/>
      <w:pPr>
        <w:ind w:left="1807" w:hanging="360"/>
      </w:pPr>
      <w:rPr>
        <w:rFonts w:ascii="Wingdings" w:hAnsi="Wingdings" w:hint="default"/>
      </w:rPr>
    </w:lvl>
    <w:lvl w:ilvl="3" w:tplc="040E0001" w:tentative="1">
      <w:start w:val="1"/>
      <w:numFmt w:val="bullet"/>
      <w:lvlText w:val=""/>
      <w:lvlJc w:val="left"/>
      <w:pPr>
        <w:ind w:left="2527" w:hanging="360"/>
      </w:pPr>
      <w:rPr>
        <w:rFonts w:ascii="Symbol" w:hAnsi="Symbol" w:hint="default"/>
      </w:rPr>
    </w:lvl>
    <w:lvl w:ilvl="4" w:tplc="040E0003" w:tentative="1">
      <w:start w:val="1"/>
      <w:numFmt w:val="bullet"/>
      <w:lvlText w:val="o"/>
      <w:lvlJc w:val="left"/>
      <w:pPr>
        <w:ind w:left="3247" w:hanging="360"/>
      </w:pPr>
      <w:rPr>
        <w:rFonts w:ascii="Courier New" w:hAnsi="Courier New" w:cs="Courier New" w:hint="default"/>
      </w:rPr>
    </w:lvl>
    <w:lvl w:ilvl="5" w:tplc="040E0005" w:tentative="1">
      <w:start w:val="1"/>
      <w:numFmt w:val="bullet"/>
      <w:lvlText w:val=""/>
      <w:lvlJc w:val="left"/>
      <w:pPr>
        <w:ind w:left="3967" w:hanging="360"/>
      </w:pPr>
      <w:rPr>
        <w:rFonts w:ascii="Wingdings" w:hAnsi="Wingdings" w:hint="default"/>
      </w:rPr>
    </w:lvl>
    <w:lvl w:ilvl="6" w:tplc="040E0001" w:tentative="1">
      <w:start w:val="1"/>
      <w:numFmt w:val="bullet"/>
      <w:lvlText w:val=""/>
      <w:lvlJc w:val="left"/>
      <w:pPr>
        <w:ind w:left="4687" w:hanging="360"/>
      </w:pPr>
      <w:rPr>
        <w:rFonts w:ascii="Symbol" w:hAnsi="Symbol" w:hint="default"/>
      </w:rPr>
    </w:lvl>
    <w:lvl w:ilvl="7" w:tplc="040E0003" w:tentative="1">
      <w:start w:val="1"/>
      <w:numFmt w:val="bullet"/>
      <w:lvlText w:val="o"/>
      <w:lvlJc w:val="left"/>
      <w:pPr>
        <w:ind w:left="5407" w:hanging="360"/>
      </w:pPr>
      <w:rPr>
        <w:rFonts w:ascii="Courier New" w:hAnsi="Courier New" w:cs="Courier New" w:hint="default"/>
      </w:rPr>
    </w:lvl>
    <w:lvl w:ilvl="8" w:tplc="040E0005" w:tentative="1">
      <w:start w:val="1"/>
      <w:numFmt w:val="bullet"/>
      <w:lvlText w:val=""/>
      <w:lvlJc w:val="left"/>
      <w:pPr>
        <w:ind w:left="6127"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D13C2"/>
    <w:multiLevelType w:val="hybridMultilevel"/>
    <w:tmpl w:val="C7C69054"/>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5E4047F"/>
    <w:multiLevelType w:val="hybridMultilevel"/>
    <w:tmpl w:val="537C3D4E"/>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A94E99"/>
    <w:multiLevelType w:val="hybridMultilevel"/>
    <w:tmpl w:val="0232A826"/>
    <w:lvl w:ilvl="0" w:tplc="8C68ECC4">
      <w:start w:val="1"/>
      <w:numFmt w:val="bullet"/>
      <w:lvlText w:val="-"/>
      <w:lvlJc w:val="left"/>
      <w:pPr>
        <w:ind w:left="365" w:hanging="360"/>
      </w:pPr>
      <w:rPr>
        <w:rFonts w:ascii="Times New Roman" w:hAnsi="Times New Roman" w:cs="Times New Roman" w:hint="default"/>
      </w:rPr>
    </w:lvl>
    <w:lvl w:ilvl="1" w:tplc="040E0003">
      <w:start w:val="1"/>
      <w:numFmt w:val="bullet"/>
      <w:lvlText w:val="o"/>
      <w:lvlJc w:val="left"/>
      <w:pPr>
        <w:ind w:left="1085" w:hanging="360"/>
      </w:pPr>
      <w:rPr>
        <w:rFonts w:ascii="Courier New" w:hAnsi="Courier New" w:cs="Courier New" w:hint="default"/>
      </w:rPr>
    </w:lvl>
    <w:lvl w:ilvl="2" w:tplc="040E0005">
      <w:start w:val="1"/>
      <w:numFmt w:val="bullet"/>
      <w:lvlText w:val=""/>
      <w:lvlJc w:val="left"/>
      <w:pPr>
        <w:ind w:left="1805" w:hanging="360"/>
      </w:pPr>
      <w:rPr>
        <w:rFonts w:ascii="Wingdings" w:hAnsi="Wingdings" w:hint="default"/>
      </w:rPr>
    </w:lvl>
    <w:lvl w:ilvl="3" w:tplc="040E0001">
      <w:start w:val="1"/>
      <w:numFmt w:val="bullet"/>
      <w:lvlText w:val=""/>
      <w:lvlJc w:val="left"/>
      <w:pPr>
        <w:ind w:left="2525" w:hanging="360"/>
      </w:pPr>
      <w:rPr>
        <w:rFonts w:ascii="Symbol" w:hAnsi="Symbol" w:hint="default"/>
      </w:rPr>
    </w:lvl>
    <w:lvl w:ilvl="4" w:tplc="040E0003">
      <w:start w:val="1"/>
      <w:numFmt w:val="bullet"/>
      <w:lvlText w:val="o"/>
      <w:lvlJc w:val="left"/>
      <w:pPr>
        <w:ind w:left="3245" w:hanging="360"/>
      </w:pPr>
      <w:rPr>
        <w:rFonts w:ascii="Courier New" w:hAnsi="Courier New" w:cs="Courier New" w:hint="default"/>
      </w:rPr>
    </w:lvl>
    <w:lvl w:ilvl="5" w:tplc="040E0005">
      <w:start w:val="1"/>
      <w:numFmt w:val="bullet"/>
      <w:lvlText w:val=""/>
      <w:lvlJc w:val="left"/>
      <w:pPr>
        <w:ind w:left="3965" w:hanging="360"/>
      </w:pPr>
      <w:rPr>
        <w:rFonts w:ascii="Wingdings" w:hAnsi="Wingdings" w:hint="default"/>
      </w:rPr>
    </w:lvl>
    <w:lvl w:ilvl="6" w:tplc="040E0001">
      <w:start w:val="1"/>
      <w:numFmt w:val="bullet"/>
      <w:lvlText w:val=""/>
      <w:lvlJc w:val="left"/>
      <w:pPr>
        <w:ind w:left="4685" w:hanging="360"/>
      </w:pPr>
      <w:rPr>
        <w:rFonts w:ascii="Symbol" w:hAnsi="Symbol" w:hint="default"/>
      </w:rPr>
    </w:lvl>
    <w:lvl w:ilvl="7" w:tplc="040E0003">
      <w:start w:val="1"/>
      <w:numFmt w:val="bullet"/>
      <w:lvlText w:val="o"/>
      <w:lvlJc w:val="left"/>
      <w:pPr>
        <w:ind w:left="5405" w:hanging="360"/>
      </w:pPr>
      <w:rPr>
        <w:rFonts w:ascii="Courier New" w:hAnsi="Courier New" w:cs="Courier New" w:hint="default"/>
      </w:rPr>
    </w:lvl>
    <w:lvl w:ilvl="8" w:tplc="040E0005">
      <w:start w:val="1"/>
      <w:numFmt w:val="bullet"/>
      <w:lvlText w:val=""/>
      <w:lvlJc w:val="left"/>
      <w:pPr>
        <w:ind w:left="6125" w:hanging="360"/>
      </w:pPr>
      <w:rPr>
        <w:rFonts w:ascii="Wingdings" w:hAnsi="Wingdings" w:hint="default"/>
      </w:rPr>
    </w:lvl>
  </w:abstractNum>
  <w:abstractNum w:abstractNumId="9" w15:restartNumberingAfterBreak="0">
    <w:nsid w:val="56D73E6A"/>
    <w:multiLevelType w:val="multilevel"/>
    <w:tmpl w:val="52BA085A"/>
    <w:lvl w:ilvl="0">
      <w:start w:val="6"/>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E90E17"/>
    <w:multiLevelType w:val="hybridMultilevel"/>
    <w:tmpl w:val="522A6C4E"/>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
      <w:lvlJc w:val="left"/>
      <w:pPr>
        <w:tabs>
          <w:tab w:val="num" w:pos="1080"/>
        </w:tabs>
        <w:ind w:left="1080" w:hanging="360"/>
      </w:pPr>
      <w:rPr>
        <w:rFonts w:ascii="Times New Roman" w:hAnsi="Times New Roman" w:cs="Times New Roman"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6F532253"/>
    <w:multiLevelType w:val="hybridMultilevel"/>
    <w:tmpl w:val="2590493C"/>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
      <w:lvlJc w:val="left"/>
      <w:pPr>
        <w:tabs>
          <w:tab w:val="num" w:pos="1080"/>
        </w:tabs>
        <w:ind w:left="1080" w:hanging="360"/>
      </w:pPr>
      <w:rPr>
        <w:rFonts w:ascii="Times New Roman" w:hAnsi="Times New Roman" w:cs="Times New Roman"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7C8728AC"/>
    <w:multiLevelType w:val="hybridMultilevel"/>
    <w:tmpl w:val="905CA1FC"/>
    <w:lvl w:ilvl="0" w:tplc="DB447012">
      <w:start w:val="1"/>
      <w:numFmt w:val="decimal"/>
      <w:lvlText w:val="%1."/>
      <w:lvlJc w:val="left"/>
      <w:pPr>
        <w:tabs>
          <w:tab w:val="num" w:pos="360"/>
        </w:tabs>
        <w:ind w:left="360" w:hanging="360"/>
      </w:pPr>
      <w:rPr>
        <w:rFonts w:ascii="Times New Roman" w:hAnsi="Times New Roman" w:cs="Times New Roman" w:hint="default"/>
        <w:b/>
      </w:rPr>
    </w:lvl>
    <w:lvl w:ilvl="1" w:tplc="FFFFFFFF">
      <w:start w:val="1"/>
      <w:numFmt w:val="bullet"/>
      <w:lvlText w:val="-"/>
      <w:lvlJc w:val="left"/>
      <w:pPr>
        <w:tabs>
          <w:tab w:val="num" w:pos="1080"/>
        </w:tabs>
        <w:ind w:left="1080" w:hanging="360"/>
      </w:pPr>
      <w:rPr>
        <w:rFonts w:ascii="Times New Roman" w:hAnsi="Times New Roman" w:cs="Times New Roman"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7DC11D5C"/>
    <w:multiLevelType w:val="hybridMultilevel"/>
    <w:tmpl w:val="71F4070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4" w15:restartNumberingAfterBreak="0">
    <w:nsid w:val="7E4D2AAB"/>
    <w:multiLevelType w:val="multilevel"/>
    <w:tmpl w:val="33908F84"/>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num>
  <w:num w:numId="2">
    <w:abstractNumId w:val="4"/>
  </w:num>
  <w:num w:numId="3">
    <w:abstractNumId w:val="2"/>
  </w:num>
  <w:num w:numId="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14"/>
  </w:num>
  <w:num w:numId="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lvlOverride w:ilvl="3"/>
    <w:lvlOverride w:ilvl="4"/>
    <w:lvlOverride w:ilvl="5"/>
    <w:lvlOverride w:ilvl="6"/>
    <w:lvlOverride w:ilvl="7"/>
    <w:lvlOverride w:ilvl="8"/>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0"/>
  </w:num>
  <w:num w:numId="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8"/>
  </w:num>
  <w:num w:numId="26">
    <w:abstractNumId w:val="8"/>
  </w:num>
  <w:num w:numId="27">
    <w:abstractNumId w:val="11"/>
  </w:num>
  <w:num w:numId="2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B9IzMXU8VlHKNMqdazKhQeElWwdPqQoA0pt09idOuEAjqT223Iob4nBXXLT8u+tpR298hepmihtxgAxXnSlRg==" w:salt="a5PbPVK2hb5+ppf0TfmDdw=="/>
  <w:defaultTabStop w:val="720"/>
  <w:hyphenationZone w:val="396"/>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ECB"/>
    <w:rsid w:val="00054B02"/>
    <w:rsid w:val="00087049"/>
    <w:rsid w:val="000C7595"/>
    <w:rsid w:val="00111FF2"/>
    <w:rsid w:val="00112998"/>
    <w:rsid w:val="00145D01"/>
    <w:rsid w:val="00193DD8"/>
    <w:rsid w:val="002238D1"/>
    <w:rsid w:val="002554FD"/>
    <w:rsid w:val="002B6995"/>
    <w:rsid w:val="002B7661"/>
    <w:rsid w:val="00340DAB"/>
    <w:rsid w:val="00360B56"/>
    <w:rsid w:val="003763AB"/>
    <w:rsid w:val="00447FF4"/>
    <w:rsid w:val="004D1435"/>
    <w:rsid w:val="004E26C8"/>
    <w:rsid w:val="00571B9B"/>
    <w:rsid w:val="00663BB1"/>
    <w:rsid w:val="0068178D"/>
    <w:rsid w:val="006C4D79"/>
    <w:rsid w:val="006E7F3A"/>
    <w:rsid w:val="00782375"/>
    <w:rsid w:val="00801C32"/>
    <w:rsid w:val="008C76CD"/>
    <w:rsid w:val="008F6CBA"/>
    <w:rsid w:val="0090382C"/>
    <w:rsid w:val="00915B01"/>
    <w:rsid w:val="00926189"/>
    <w:rsid w:val="00942440"/>
    <w:rsid w:val="009703A6"/>
    <w:rsid w:val="009706C7"/>
    <w:rsid w:val="009D6123"/>
    <w:rsid w:val="00A141BE"/>
    <w:rsid w:val="00AD7CA9"/>
    <w:rsid w:val="00B313C0"/>
    <w:rsid w:val="00B40C29"/>
    <w:rsid w:val="00B518C7"/>
    <w:rsid w:val="00B75D68"/>
    <w:rsid w:val="00B9709D"/>
    <w:rsid w:val="00BD5CEA"/>
    <w:rsid w:val="00BF4608"/>
    <w:rsid w:val="00C71D14"/>
    <w:rsid w:val="00C802A8"/>
    <w:rsid w:val="00C83087"/>
    <w:rsid w:val="00C94F32"/>
    <w:rsid w:val="00CC536F"/>
    <w:rsid w:val="00D61502"/>
    <w:rsid w:val="00D64245"/>
    <w:rsid w:val="00E078DC"/>
    <w:rsid w:val="00E90F4C"/>
    <w:rsid w:val="00EF581C"/>
    <w:rsid w:val="00F10808"/>
    <w:rsid w:val="00F71A45"/>
    <w:rsid w:val="00F72832"/>
    <w:rsid w:val="00F90984"/>
    <w:rsid w:val="00F94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A23B2-38DA-4266-B416-E30D8E2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Monotype Corsiva" w:hAnsi="Monotype Corsiva" w:cs="Courier New"/>
      <w:sz w:val="24"/>
      <w:lang w:val="en-US" w:eastAsia="en-US"/>
    </w:rPr>
  </w:style>
  <w:style w:type="paragraph" w:styleId="Antrat1">
    <w:name w:val="heading 1"/>
    <w:basedOn w:val="prastasis"/>
    <w:next w:val="prastasis"/>
    <w:link w:val="Antrat1Diagrama"/>
    <w:qFormat/>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qFormat/>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semiHidden/>
    <w:unhideWhenUsed/>
    <w:qFormat/>
    <w:rsid w:val="00F72832"/>
    <w:pPr>
      <w:keepNext/>
      <w:spacing w:before="240" w:after="60"/>
      <w:outlineLvl w:val="2"/>
    </w:pPr>
    <w:rPr>
      <w:rFonts w:ascii="Calibri Light" w:hAnsi="Calibri Light" w:cs="Times New Roman"/>
      <w:b/>
      <w:bCs/>
      <w:sz w:val="26"/>
      <w:szCs w:val="26"/>
      <w:lang w:val="x-none" w:eastAsia="x-none"/>
    </w:rPr>
  </w:style>
  <w:style w:type="paragraph" w:styleId="Antrat4">
    <w:name w:val="heading 4"/>
    <w:basedOn w:val="prastasis"/>
    <w:next w:val="prastasis"/>
    <w:link w:val="Antrat4Diagrama"/>
    <w:semiHidden/>
    <w:unhideWhenUsed/>
    <w:qFormat/>
    <w:rsid w:val="00F72832"/>
    <w:pPr>
      <w:keepNext/>
      <w:spacing w:before="240" w:after="60"/>
      <w:outlineLvl w:val="3"/>
    </w:pPr>
    <w:rPr>
      <w:rFonts w:ascii="Times New Roman" w:hAnsi="Times New Roman" w:cs="Times New Roman"/>
      <w:b/>
      <w:bCs/>
      <w:sz w:val="28"/>
      <w:szCs w:val="28"/>
      <w:lang w:val="en-GB" w:eastAsia="x-none"/>
    </w:rPr>
  </w:style>
  <w:style w:type="paragraph" w:styleId="Antrat5">
    <w:name w:val="heading 5"/>
    <w:basedOn w:val="prastasis"/>
    <w:next w:val="prastasis"/>
    <w:link w:val="Antrat5Diagrama"/>
    <w:semiHidden/>
    <w:unhideWhenUsed/>
    <w:qFormat/>
    <w:rsid w:val="00F72832"/>
    <w:pPr>
      <w:keepNext/>
      <w:jc w:val="both"/>
      <w:outlineLvl w:val="4"/>
    </w:pPr>
    <w:rPr>
      <w:rFonts w:ascii="Times New Roman" w:hAnsi="Times New Roman" w:cs="Times New Roman"/>
      <w:b/>
      <w:bCs/>
      <w:sz w:val="22"/>
      <w:szCs w:val="24"/>
      <w:lang w:val="lt-LT" w:eastAsia="x-none"/>
    </w:rPr>
  </w:style>
  <w:style w:type="paragraph" w:styleId="Antrat6">
    <w:name w:val="heading 6"/>
    <w:basedOn w:val="prastasis"/>
    <w:next w:val="prastasis"/>
    <w:link w:val="Antrat6Diagrama"/>
    <w:semiHidden/>
    <w:unhideWhenUsed/>
    <w:qFormat/>
    <w:rsid w:val="00F72832"/>
    <w:pPr>
      <w:keepNext/>
      <w:jc w:val="both"/>
      <w:outlineLvl w:val="5"/>
    </w:pPr>
    <w:rPr>
      <w:rFonts w:ascii="Times New Roman" w:hAnsi="Times New Roman" w:cs="Times New Roman"/>
      <w:b/>
      <w:bCs/>
      <w:szCs w:val="22"/>
      <w:lang w:val="en-GB" w:eastAsia="x-none"/>
    </w:rPr>
  </w:style>
  <w:style w:type="paragraph" w:styleId="Antrat7">
    <w:name w:val="heading 7"/>
    <w:basedOn w:val="prastasis"/>
    <w:next w:val="prastasis"/>
    <w:link w:val="Antrat7Diagrama"/>
    <w:semiHidden/>
    <w:unhideWhenUsed/>
    <w:qFormat/>
    <w:rsid w:val="00F72832"/>
    <w:pPr>
      <w:spacing w:before="240" w:after="60"/>
      <w:outlineLvl w:val="6"/>
    </w:pPr>
    <w:rPr>
      <w:rFonts w:ascii="Times New Roman" w:hAnsi="Times New Roman" w:cs="Times New Roman"/>
      <w:szCs w:val="24"/>
      <w:lang w:val="en-GB" w:eastAsia="x-none"/>
    </w:rPr>
  </w:style>
  <w:style w:type="paragraph" w:styleId="Antrat8">
    <w:name w:val="heading 8"/>
    <w:basedOn w:val="prastasis"/>
    <w:next w:val="prastasis"/>
    <w:link w:val="Antrat8Diagrama"/>
    <w:semiHidden/>
    <w:unhideWhenUsed/>
    <w:qFormat/>
    <w:rsid w:val="00F72832"/>
    <w:pPr>
      <w:spacing w:before="240" w:after="60"/>
      <w:outlineLvl w:val="7"/>
    </w:pPr>
    <w:rPr>
      <w:rFonts w:ascii="Times New Roman" w:hAnsi="Times New Roman" w:cs="Times New Roman"/>
      <w:i/>
      <w:iCs/>
      <w:szCs w:val="24"/>
      <w:lang w:val="en-GB" w:eastAsia="x-none"/>
    </w:rPr>
  </w:style>
  <w:style w:type="paragraph" w:styleId="Antrat9">
    <w:name w:val="heading 9"/>
    <w:basedOn w:val="prastasis"/>
    <w:next w:val="prastasis"/>
    <w:link w:val="Antrat9Diagrama"/>
    <w:semiHidden/>
    <w:unhideWhenUsed/>
    <w:qFormat/>
    <w:rsid w:val="00F72832"/>
    <w:pPr>
      <w:spacing w:before="240" w:after="60"/>
      <w:outlineLvl w:val="8"/>
    </w:pPr>
    <w:rPr>
      <w:rFonts w:ascii="Arial" w:hAnsi="Arial" w:cs="Times New Roman"/>
      <w:sz w:val="22"/>
      <w:szCs w:val="22"/>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
    <w:basedOn w:val="prastasis"/>
    <w:link w:val="PagrindinistekstasDiagrama"/>
    <w:semiHidden/>
    <w:rPr>
      <w:rFonts w:ascii="Times New Roman" w:hAnsi="Times New Roman" w:cs="Times New Roman"/>
      <w:sz w:val="28"/>
      <w:lang w:val="lt-LT" w:eastAsia="x-none"/>
    </w:rPr>
  </w:style>
  <w:style w:type="character" w:customStyle="1" w:styleId="Antrat3Diagrama">
    <w:name w:val="Antraštė 3 Diagrama"/>
    <w:link w:val="Antrat3"/>
    <w:semiHidden/>
    <w:rsid w:val="00F72832"/>
    <w:rPr>
      <w:rFonts w:ascii="Calibri Light" w:eastAsia="Times New Roman" w:hAnsi="Calibri Light" w:cs="Times New Roman"/>
      <w:b/>
      <w:bCs/>
      <w:sz w:val="26"/>
      <w:szCs w:val="26"/>
    </w:rPr>
  </w:style>
  <w:style w:type="character" w:customStyle="1" w:styleId="Antrat4Diagrama">
    <w:name w:val="Antraštė 4 Diagrama"/>
    <w:link w:val="Antrat4"/>
    <w:semiHidden/>
    <w:rsid w:val="00F72832"/>
    <w:rPr>
      <w:b/>
      <w:bCs/>
      <w:sz w:val="28"/>
      <w:szCs w:val="28"/>
      <w:lang w:val="en-GB"/>
    </w:rPr>
  </w:style>
  <w:style w:type="character" w:customStyle="1" w:styleId="Antrat5Diagrama">
    <w:name w:val="Antraštė 5 Diagrama"/>
    <w:link w:val="Antrat5"/>
    <w:semiHidden/>
    <w:rsid w:val="00F72832"/>
    <w:rPr>
      <w:b/>
      <w:bCs/>
      <w:sz w:val="22"/>
      <w:szCs w:val="24"/>
      <w:lang w:val="lt-LT"/>
    </w:rPr>
  </w:style>
  <w:style w:type="character" w:customStyle="1" w:styleId="Antrat6Diagrama">
    <w:name w:val="Antraštė 6 Diagrama"/>
    <w:link w:val="Antrat6"/>
    <w:semiHidden/>
    <w:rsid w:val="00F72832"/>
    <w:rPr>
      <w:b/>
      <w:bCs/>
      <w:sz w:val="24"/>
      <w:szCs w:val="22"/>
      <w:lang w:val="en-GB"/>
    </w:rPr>
  </w:style>
  <w:style w:type="character" w:customStyle="1" w:styleId="Antrat7Diagrama">
    <w:name w:val="Antraštė 7 Diagrama"/>
    <w:link w:val="Antrat7"/>
    <w:semiHidden/>
    <w:rsid w:val="00F72832"/>
    <w:rPr>
      <w:sz w:val="24"/>
      <w:szCs w:val="24"/>
      <w:lang w:val="en-GB"/>
    </w:rPr>
  </w:style>
  <w:style w:type="character" w:customStyle="1" w:styleId="Antrat8Diagrama">
    <w:name w:val="Antraštė 8 Diagrama"/>
    <w:link w:val="Antrat8"/>
    <w:semiHidden/>
    <w:rsid w:val="00F72832"/>
    <w:rPr>
      <w:i/>
      <w:iCs/>
      <w:sz w:val="24"/>
      <w:szCs w:val="24"/>
      <w:lang w:val="en-GB"/>
    </w:rPr>
  </w:style>
  <w:style w:type="character" w:customStyle="1" w:styleId="Antrat9Diagrama">
    <w:name w:val="Antraštė 9 Diagrama"/>
    <w:link w:val="Antrat9"/>
    <w:semiHidden/>
    <w:rsid w:val="00F72832"/>
    <w:rPr>
      <w:rFonts w:ascii="Arial" w:hAnsi="Arial" w:cs="Arial"/>
      <w:sz w:val="22"/>
      <w:szCs w:val="22"/>
      <w:lang w:val="en-GB"/>
    </w:rPr>
  </w:style>
  <w:style w:type="character" w:customStyle="1" w:styleId="Antrat1Diagrama">
    <w:name w:val="Antraštė 1 Diagrama"/>
    <w:link w:val="Antrat1"/>
    <w:rsid w:val="00F72832"/>
    <w:rPr>
      <w:sz w:val="28"/>
      <w:lang w:val="lt-LT"/>
    </w:rPr>
  </w:style>
  <w:style w:type="character" w:customStyle="1" w:styleId="Antrat2Diagrama">
    <w:name w:val="Antraštė 2 Diagrama"/>
    <w:link w:val="Antrat2"/>
    <w:rsid w:val="00F72832"/>
    <w:rPr>
      <w:sz w:val="28"/>
      <w:lang w:val="lt-LT"/>
    </w:rPr>
  </w:style>
  <w:style w:type="character" w:styleId="Hipersaitas">
    <w:name w:val="Hyperlink"/>
    <w:semiHidden/>
    <w:unhideWhenUsed/>
    <w:rsid w:val="00F72832"/>
    <w:rPr>
      <w:color w:val="0000FF"/>
      <w:u w:val="single"/>
    </w:rPr>
  </w:style>
  <w:style w:type="character" w:styleId="Perirtashipersaitas">
    <w:name w:val="FollowedHyperlink"/>
    <w:uiPriority w:val="99"/>
    <w:semiHidden/>
    <w:unhideWhenUsed/>
    <w:rsid w:val="00F72832"/>
    <w:rPr>
      <w:color w:val="954F72"/>
      <w:u w:val="single"/>
    </w:rPr>
  </w:style>
  <w:style w:type="paragraph" w:styleId="Komentarotekstas">
    <w:name w:val="annotation text"/>
    <w:basedOn w:val="prastasis"/>
    <w:link w:val="KomentarotekstasDiagrama"/>
    <w:semiHidden/>
    <w:unhideWhenUsed/>
    <w:rsid w:val="00F72832"/>
    <w:rPr>
      <w:rFonts w:ascii="Times New Roman" w:hAnsi="Times New Roman" w:cs="Times New Roman"/>
      <w:sz w:val="20"/>
      <w:lang w:val="lt-LT" w:eastAsia="lt-LT"/>
    </w:rPr>
  </w:style>
  <w:style w:type="character" w:customStyle="1" w:styleId="KomentarotekstasDiagrama">
    <w:name w:val="Komentaro tekstas Diagrama"/>
    <w:link w:val="Komentarotekstas"/>
    <w:semiHidden/>
    <w:rsid w:val="00F72832"/>
    <w:rPr>
      <w:lang w:val="lt-LT" w:eastAsia="lt-LT"/>
    </w:rPr>
  </w:style>
  <w:style w:type="paragraph" w:styleId="Antrats">
    <w:name w:val="header"/>
    <w:basedOn w:val="prastasis"/>
    <w:link w:val="AntratsDiagrama"/>
    <w:semiHidden/>
    <w:unhideWhenUsed/>
    <w:rsid w:val="00F72832"/>
    <w:pPr>
      <w:tabs>
        <w:tab w:val="center" w:pos="4819"/>
        <w:tab w:val="right" w:pos="9638"/>
      </w:tabs>
    </w:pPr>
    <w:rPr>
      <w:rFonts w:ascii="Verdana" w:hAnsi="Verdana" w:cs="Times New Roman"/>
      <w:sz w:val="20"/>
      <w:szCs w:val="24"/>
      <w:lang w:val="en-GB" w:eastAsia="lt-LT"/>
    </w:rPr>
  </w:style>
  <w:style w:type="character" w:customStyle="1" w:styleId="AntratsDiagrama">
    <w:name w:val="Antraštės Diagrama"/>
    <w:link w:val="Antrats"/>
    <w:semiHidden/>
    <w:rsid w:val="00F72832"/>
    <w:rPr>
      <w:rFonts w:ascii="Verdana" w:hAnsi="Verdana"/>
      <w:szCs w:val="24"/>
      <w:lang w:val="en-GB" w:eastAsia="lt-LT"/>
    </w:rPr>
  </w:style>
  <w:style w:type="paragraph" w:styleId="Porat">
    <w:name w:val="footer"/>
    <w:basedOn w:val="prastasis"/>
    <w:link w:val="PoratDiagrama"/>
    <w:uiPriority w:val="99"/>
    <w:semiHidden/>
    <w:unhideWhenUsed/>
    <w:rsid w:val="00F72832"/>
    <w:pPr>
      <w:tabs>
        <w:tab w:val="center" w:pos="4819"/>
        <w:tab w:val="right" w:pos="9638"/>
      </w:tabs>
    </w:pPr>
    <w:rPr>
      <w:rFonts w:ascii="Verdana" w:hAnsi="Verdana" w:cs="Times New Roman"/>
      <w:sz w:val="20"/>
      <w:szCs w:val="24"/>
      <w:lang w:val="en-GB" w:eastAsia="lt-LT"/>
    </w:rPr>
  </w:style>
  <w:style w:type="character" w:customStyle="1" w:styleId="PoratDiagrama">
    <w:name w:val="Poraštė Diagrama"/>
    <w:link w:val="Porat"/>
    <w:uiPriority w:val="99"/>
    <w:semiHidden/>
    <w:rsid w:val="00F72832"/>
    <w:rPr>
      <w:rFonts w:ascii="Verdana" w:hAnsi="Verdana"/>
      <w:szCs w:val="24"/>
      <w:lang w:val="en-GB" w:eastAsia="lt-LT"/>
    </w:rPr>
  </w:style>
  <w:style w:type="paragraph" w:styleId="Dokumentoinaostekstas">
    <w:name w:val="endnote text"/>
    <w:basedOn w:val="prastasis"/>
    <w:link w:val="DokumentoinaostekstasDiagrama"/>
    <w:semiHidden/>
    <w:unhideWhenUsed/>
    <w:rsid w:val="00F72832"/>
    <w:pPr>
      <w:tabs>
        <w:tab w:val="left" w:pos="567"/>
      </w:tabs>
    </w:pPr>
    <w:rPr>
      <w:rFonts w:ascii="Times New Roman" w:hAnsi="Times New Roman" w:cs="Times New Roman"/>
      <w:sz w:val="20"/>
      <w:lang w:val="en-GB" w:eastAsia="lt-LT"/>
    </w:rPr>
  </w:style>
  <w:style w:type="character" w:customStyle="1" w:styleId="DokumentoinaostekstasDiagrama">
    <w:name w:val="Dokumento išnašos tekstas Diagrama"/>
    <w:link w:val="Dokumentoinaostekstas"/>
    <w:semiHidden/>
    <w:rsid w:val="00F72832"/>
    <w:rPr>
      <w:lang w:val="en-GB" w:eastAsia="lt-LT"/>
    </w:rPr>
  </w:style>
  <w:style w:type="paragraph" w:styleId="Pavadinimas">
    <w:name w:val="Title"/>
    <w:basedOn w:val="prastasis"/>
    <w:link w:val="PavadinimasDiagrama"/>
    <w:qFormat/>
    <w:rsid w:val="00F72832"/>
    <w:pPr>
      <w:jc w:val="center"/>
    </w:pPr>
    <w:rPr>
      <w:rFonts w:ascii="Verdana" w:hAnsi="Verdana" w:cs="Times New Roman"/>
      <w:sz w:val="28"/>
      <w:lang w:val="en-GB" w:eastAsia="x-none"/>
    </w:rPr>
  </w:style>
  <w:style w:type="character" w:customStyle="1" w:styleId="PavadinimasDiagrama">
    <w:name w:val="Pavadinimas Diagrama"/>
    <w:link w:val="Pavadinimas"/>
    <w:rsid w:val="00F72832"/>
    <w:rPr>
      <w:rFonts w:ascii="Verdana" w:hAnsi="Verdana"/>
      <w:sz w:val="28"/>
      <w:lang w:val="en-GB"/>
    </w:rPr>
  </w:style>
  <w:style w:type="character" w:customStyle="1" w:styleId="PagrindinistekstasDiagrama">
    <w:name w:val="Pagrindinis tekstas Diagrama"/>
    <w:aliases w:val="Body Text Char Char Char Diagrama"/>
    <w:link w:val="Pagrindinistekstas"/>
    <w:semiHidden/>
    <w:locked/>
    <w:rsid w:val="00F72832"/>
    <w:rPr>
      <w:sz w:val="28"/>
      <w:lang w:val="lt-LT"/>
    </w:rPr>
  </w:style>
  <w:style w:type="character" w:customStyle="1" w:styleId="BodyTextChar1">
    <w:name w:val="Body Text Char1"/>
    <w:aliases w:val="Body Text Char Char Char Char"/>
    <w:semiHidden/>
    <w:rsid w:val="00F72832"/>
    <w:rPr>
      <w:rFonts w:ascii="Verdana" w:hAnsi="Verdana"/>
      <w:szCs w:val="24"/>
      <w:lang w:val="en-GB"/>
    </w:rPr>
  </w:style>
  <w:style w:type="paragraph" w:styleId="Pagrindinistekstas2">
    <w:name w:val="Body Text 2"/>
    <w:basedOn w:val="prastasis"/>
    <w:link w:val="Pagrindinistekstas2Diagrama"/>
    <w:semiHidden/>
    <w:unhideWhenUsed/>
    <w:rsid w:val="00F72832"/>
    <w:pPr>
      <w:spacing w:after="120" w:line="480" w:lineRule="auto"/>
    </w:pPr>
    <w:rPr>
      <w:rFonts w:ascii="Verdana" w:hAnsi="Verdana" w:cs="Times New Roman"/>
      <w:sz w:val="20"/>
      <w:szCs w:val="24"/>
      <w:lang w:val="en-GB" w:eastAsia="lt-LT"/>
    </w:rPr>
  </w:style>
  <w:style w:type="character" w:customStyle="1" w:styleId="Pagrindinistekstas2Diagrama">
    <w:name w:val="Pagrindinis tekstas 2 Diagrama"/>
    <w:link w:val="Pagrindinistekstas2"/>
    <w:semiHidden/>
    <w:rsid w:val="00F72832"/>
    <w:rPr>
      <w:rFonts w:ascii="Verdana" w:hAnsi="Verdana"/>
      <w:szCs w:val="24"/>
      <w:lang w:val="en-GB" w:eastAsia="lt-LT"/>
    </w:rPr>
  </w:style>
  <w:style w:type="paragraph" w:styleId="Pagrindinistekstas3">
    <w:name w:val="Body Text 3"/>
    <w:basedOn w:val="prastasis"/>
    <w:link w:val="Pagrindinistekstas3Diagrama"/>
    <w:semiHidden/>
    <w:unhideWhenUsed/>
    <w:rsid w:val="00F72832"/>
    <w:pPr>
      <w:tabs>
        <w:tab w:val="left" w:pos="720"/>
      </w:tabs>
    </w:pPr>
    <w:rPr>
      <w:rFonts w:ascii="Times New Roman" w:hAnsi="Times New Roman" w:cs="Times New Roman"/>
      <w:b/>
      <w:bCs/>
      <w:i/>
      <w:iCs/>
      <w:szCs w:val="24"/>
      <w:lang w:val="en-GB" w:eastAsia="lt-LT"/>
    </w:rPr>
  </w:style>
  <w:style w:type="character" w:customStyle="1" w:styleId="Pagrindinistekstas3Diagrama">
    <w:name w:val="Pagrindinis tekstas 3 Diagrama"/>
    <w:link w:val="Pagrindinistekstas3"/>
    <w:semiHidden/>
    <w:rsid w:val="00F72832"/>
    <w:rPr>
      <w:b/>
      <w:bCs/>
      <w:i/>
      <w:iCs/>
      <w:sz w:val="24"/>
      <w:szCs w:val="24"/>
      <w:lang w:val="en-GB" w:eastAsia="lt-LT"/>
    </w:rPr>
  </w:style>
  <w:style w:type="paragraph" w:styleId="Paprastasistekstas">
    <w:name w:val="Plain Text"/>
    <w:basedOn w:val="prastasis"/>
    <w:link w:val="PaprastasistekstasDiagrama"/>
    <w:semiHidden/>
    <w:unhideWhenUsed/>
    <w:rsid w:val="00F72832"/>
    <w:rPr>
      <w:rFonts w:ascii="Courier New" w:hAnsi="Courier New" w:cs="Times New Roman"/>
      <w:sz w:val="20"/>
      <w:lang w:val="de-DE" w:eastAsia="de-DE"/>
    </w:rPr>
  </w:style>
  <w:style w:type="character" w:customStyle="1" w:styleId="PaprastasistekstasDiagrama">
    <w:name w:val="Paprastasis tekstas Diagrama"/>
    <w:link w:val="Paprastasistekstas"/>
    <w:semiHidden/>
    <w:rsid w:val="00F72832"/>
    <w:rPr>
      <w:rFonts w:ascii="Courier New" w:hAnsi="Courier New"/>
      <w:lang w:val="de-DE" w:eastAsia="de-DE"/>
    </w:rPr>
  </w:style>
  <w:style w:type="paragraph" w:styleId="Komentarotema">
    <w:name w:val="annotation subject"/>
    <w:basedOn w:val="Komentarotekstas"/>
    <w:next w:val="Komentarotekstas"/>
    <w:link w:val="KomentarotemaDiagrama"/>
    <w:semiHidden/>
    <w:unhideWhenUsed/>
    <w:rsid w:val="00F72832"/>
    <w:rPr>
      <w:b/>
      <w:bCs/>
    </w:rPr>
  </w:style>
  <w:style w:type="character" w:customStyle="1" w:styleId="KomentarotemaDiagrama">
    <w:name w:val="Komentaro tema Diagrama"/>
    <w:link w:val="Komentarotema"/>
    <w:semiHidden/>
    <w:rsid w:val="00F72832"/>
    <w:rPr>
      <w:b/>
      <w:bCs/>
      <w:lang w:val="lt-LT" w:eastAsia="lt-LT"/>
    </w:rPr>
  </w:style>
  <w:style w:type="paragraph" w:styleId="Debesliotekstas">
    <w:name w:val="Balloon Text"/>
    <w:basedOn w:val="prastasis"/>
    <w:link w:val="DebesliotekstasDiagrama"/>
    <w:semiHidden/>
    <w:unhideWhenUsed/>
    <w:rsid w:val="00F72832"/>
    <w:rPr>
      <w:rFonts w:ascii="Tahoma" w:hAnsi="Tahoma" w:cs="Times New Roman"/>
      <w:sz w:val="16"/>
      <w:szCs w:val="16"/>
      <w:lang w:val="en-GB" w:eastAsia="x-none"/>
    </w:rPr>
  </w:style>
  <w:style w:type="character" w:customStyle="1" w:styleId="DebesliotekstasDiagrama">
    <w:name w:val="Debesėlio tekstas Diagrama"/>
    <w:link w:val="Debesliotekstas"/>
    <w:semiHidden/>
    <w:rsid w:val="00F72832"/>
    <w:rPr>
      <w:rFonts w:ascii="Tahoma" w:hAnsi="Tahoma" w:cs="Tahoma"/>
      <w:sz w:val="16"/>
      <w:szCs w:val="16"/>
      <w:lang w:val="en-GB"/>
    </w:rPr>
  </w:style>
  <w:style w:type="paragraph" w:styleId="Sraopastraipa">
    <w:name w:val="List Paragraph"/>
    <w:basedOn w:val="prastasis"/>
    <w:uiPriority w:val="34"/>
    <w:qFormat/>
    <w:rsid w:val="00F72832"/>
    <w:pPr>
      <w:ind w:left="720"/>
      <w:contextualSpacing/>
    </w:pPr>
    <w:rPr>
      <w:rFonts w:ascii="Verdana" w:hAnsi="Verdana" w:cs="Times New Roman"/>
      <w:sz w:val="20"/>
      <w:szCs w:val="24"/>
      <w:lang w:val="en-GB"/>
    </w:rPr>
  </w:style>
  <w:style w:type="paragraph" w:customStyle="1" w:styleId="PI-1EMEASMCA">
    <w:name w:val="PI-1 EMEA_SMCA"/>
    <w:basedOn w:val="Antrat2"/>
    <w:autoRedefine/>
    <w:rsid w:val="00F72832"/>
    <w:pPr>
      <w:tabs>
        <w:tab w:val="left" w:pos="567"/>
      </w:tabs>
      <w:ind w:left="567" w:hanging="567"/>
      <w:jc w:val="left"/>
    </w:pPr>
    <w:rPr>
      <w:b/>
      <w:sz w:val="22"/>
      <w:szCs w:val="22"/>
      <w:lang w:val="en-GB"/>
    </w:rPr>
  </w:style>
  <w:style w:type="character" w:customStyle="1" w:styleId="PI-1labEMEASMCAChar">
    <w:name w:val="PI-1_lab EMEA_SMCA Char"/>
    <w:link w:val="PI-1labEMEASMCA"/>
    <w:locked/>
    <w:rsid w:val="00F72832"/>
    <w:rPr>
      <w:rFonts w:ascii="Verdana" w:hAnsi="Verdana"/>
      <w:b/>
      <w:noProof/>
      <w:lang w:val="en-GB"/>
    </w:rPr>
  </w:style>
  <w:style w:type="paragraph" w:customStyle="1" w:styleId="PI-1labEMEASMCA">
    <w:name w:val="PI-1_lab EMEA_SMCA"/>
    <w:basedOn w:val="prastasis"/>
    <w:link w:val="PI-1labEMEASMCAChar"/>
    <w:autoRedefine/>
    <w:rsid w:val="00F72832"/>
    <w:pPr>
      <w:pBdr>
        <w:top w:val="single" w:sz="4" w:space="1" w:color="auto"/>
        <w:left w:val="single" w:sz="4" w:space="4" w:color="auto"/>
        <w:bottom w:val="single" w:sz="4" w:space="1" w:color="auto"/>
        <w:right w:val="single" w:sz="4" w:space="4" w:color="auto"/>
      </w:pBdr>
      <w:tabs>
        <w:tab w:val="left" w:pos="540"/>
      </w:tabs>
    </w:pPr>
    <w:rPr>
      <w:rFonts w:ascii="Verdana" w:hAnsi="Verdana" w:cs="Times New Roman"/>
      <w:b/>
      <w:noProof/>
      <w:sz w:val="20"/>
      <w:lang w:val="en-GB" w:eastAsia="x-none"/>
    </w:rPr>
  </w:style>
  <w:style w:type="paragraph" w:customStyle="1" w:styleId="PI-2EMEASMCA">
    <w:name w:val="PI-2 EMEA_SMCA"/>
    <w:basedOn w:val="Antrat3"/>
    <w:autoRedefine/>
    <w:rsid w:val="00F72832"/>
    <w:pPr>
      <w:keepLines/>
      <w:tabs>
        <w:tab w:val="left" w:pos="567"/>
      </w:tabs>
      <w:spacing w:before="0" w:after="0"/>
      <w:ind w:left="567" w:hanging="567"/>
    </w:pPr>
    <w:rPr>
      <w:rFonts w:ascii="Times New Roman" w:hAnsi="Times New Roman"/>
      <w:b w:val="0"/>
      <w:bCs w:val="0"/>
      <w:kern w:val="28"/>
      <w:sz w:val="22"/>
      <w:szCs w:val="22"/>
      <w:lang w:val="en-GB"/>
    </w:rPr>
  </w:style>
  <w:style w:type="character" w:customStyle="1" w:styleId="BTEMEASMCAChar">
    <w:name w:val="BT EMEA_SMCA Char"/>
    <w:link w:val="BTEMEASMCA"/>
    <w:locked/>
    <w:rsid w:val="00F72832"/>
    <w:rPr>
      <w:rFonts w:ascii="Verdana" w:hAnsi="Verdana"/>
      <w:lang w:val="en-GB"/>
    </w:rPr>
  </w:style>
  <w:style w:type="paragraph" w:customStyle="1" w:styleId="BTEMEASMCA">
    <w:name w:val="BT EMEA_SMCA"/>
    <w:basedOn w:val="prastasis"/>
    <w:link w:val="BTEMEASMCAChar"/>
    <w:autoRedefine/>
    <w:rsid w:val="00F72832"/>
    <w:rPr>
      <w:rFonts w:ascii="Verdana" w:hAnsi="Verdana" w:cs="Times New Roman"/>
      <w:sz w:val="20"/>
      <w:lang w:val="en-GB" w:eastAsia="x-none"/>
    </w:rPr>
  </w:style>
  <w:style w:type="character" w:customStyle="1" w:styleId="TTEMEASMCAChar">
    <w:name w:val="TT EMEA_SMCA Char"/>
    <w:link w:val="TTEMEASMCA"/>
    <w:locked/>
    <w:rsid w:val="00F72832"/>
    <w:rPr>
      <w:b/>
      <w:caps/>
    </w:rPr>
  </w:style>
  <w:style w:type="paragraph" w:customStyle="1" w:styleId="TTEMEASMCA">
    <w:name w:val="TT EMEA_SMCA"/>
    <w:basedOn w:val="Antrat1"/>
    <w:link w:val="TTEMEASMCAChar"/>
    <w:autoRedefine/>
    <w:rsid w:val="00F72832"/>
    <w:pPr>
      <w:keepNext w:val="0"/>
      <w:tabs>
        <w:tab w:val="left" w:pos="567"/>
      </w:tabs>
      <w:jc w:val="center"/>
    </w:pPr>
    <w:rPr>
      <w:b/>
      <w:caps/>
      <w:sz w:val="20"/>
      <w:lang w:val="x-none"/>
    </w:rPr>
  </w:style>
  <w:style w:type="paragraph" w:customStyle="1" w:styleId="BTAnIIEMEASMCA">
    <w:name w:val="BT(AnII) EMEA_SMCA"/>
    <w:basedOn w:val="Debesliotekstas"/>
    <w:autoRedefine/>
    <w:rsid w:val="00F72832"/>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rsid w:val="00F72832"/>
    <w:pPr>
      <w:numPr>
        <w:numId w:val="1"/>
      </w:numPr>
      <w:tabs>
        <w:tab w:val="clear" w:pos="720"/>
        <w:tab w:val="num" w:pos="360"/>
      </w:tabs>
      <w:ind w:left="0" w:firstLine="0"/>
    </w:pPr>
  </w:style>
  <w:style w:type="paragraph" w:customStyle="1" w:styleId="PI-3EMEASMCA">
    <w:name w:val="PI-3 EMEA_SMCA"/>
    <w:basedOn w:val="prastasis"/>
    <w:autoRedefine/>
    <w:rsid w:val="00F72832"/>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F72832"/>
    <w:rPr>
      <w:b/>
    </w:rPr>
  </w:style>
  <w:style w:type="paragraph" w:customStyle="1" w:styleId="BTbeEMEASMCA">
    <w:name w:val="BT(be) EMEA_SMCA"/>
    <w:basedOn w:val="BTEMEASMCA"/>
    <w:autoRedefine/>
    <w:rsid w:val="00F72832"/>
    <w:pPr>
      <w:jc w:val="center"/>
    </w:pPr>
    <w:rPr>
      <w:b/>
    </w:rPr>
  </w:style>
  <w:style w:type="paragraph" w:customStyle="1" w:styleId="BTeEMEASMCA">
    <w:name w:val="BT(e) EMEA_SMCA"/>
    <w:basedOn w:val="BTEMEASMCA"/>
    <w:autoRedefine/>
    <w:rsid w:val="00F72832"/>
    <w:pPr>
      <w:jc w:val="center"/>
    </w:pPr>
  </w:style>
  <w:style w:type="character" w:customStyle="1" w:styleId="BTgEMEASMCAChar">
    <w:name w:val="BT(g) EMEA_SMCA Char"/>
    <w:link w:val="BTgEMEASMCA"/>
    <w:locked/>
    <w:rsid w:val="00F72832"/>
    <w:rPr>
      <w:rFonts w:ascii="Verdana" w:hAnsi="Verdana"/>
      <w:i/>
      <w:color w:val="008000"/>
      <w:lang w:val="en-GB"/>
    </w:rPr>
  </w:style>
  <w:style w:type="paragraph" w:customStyle="1" w:styleId="BTgEMEASMCA">
    <w:name w:val="BT(g) EMEA_SMCA"/>
    <w:basedOn w:val="BTEMEASMCA"/>
    <w:link w:val="BTgEMEASMCAChar"/>
    <w:autoRedefine/>
    <w:rsid w:val="00F72832"/>
    <w:rPr>
      <w:i/>
      <w:color w:val="008000"/>
    </w:rPr>
  </w:style>
  <w:style w:type="paragraph" w:customStyle="1" w:styleId="BTuEMEASMCA">
    <w:name w:val="BT(u) EMEA_SMCA"/>
    <w:basedOn w:val="BTEMEASMCA"/>
    <w:autoRedefine/>
    <w:rsid w:val="00F72832"/>
    <w:rPr>
      <w:u w:val="single"/>
    </w:rPr>
  </w:style>
  <w:style w:type="paragraph" w:customStyle="1" w:styleId="SPCNormal">
    <w:name w:val="SPC Normal"/>
    <w:basedOn w:val="prastasis"/>
    <w:rsid w:val="00F72832"/>
    <w:pPr>
      <w:tabs>
        <w:tab w:val="left" w:pos="562"/>
      </w:tabs>
    </w:pPr>
    <w:rPr>
      <w:rFonts w:ascii="Times New Roman" w:hAnsi="Times New Roman" w:cs="Times New Roman"/>
      <w:sz w:val="22"/>
      <w:lang w:val="en-GB"/>
    </w:rPr>
  </w:style>
  <w:style w:type="paragraph" w:customStyle="1" w:styleId="SPC1">
    <w:name w:val="SPC1"/>
    <w:basedOn w:val="SPCNormal"/>
    <w:next w:val="SPCNormal"/>
    <w:rsid w:val="00F72832"/>
    <w:pPr>
      <w:keepNext/>
      <w:tabs>
        <w:tab w:val="clear" w:pos="562"/>
      </w:tabs>
      <w:spacing w:before="480"/>
      <w:ind w:left="562" w:hanging="562"/>
    </w:pPr>
    <w:rPr>
      <w:b/>
      <w:caps/>
    </w:rPr>
  </w:style>
  <w:style w:type="paragraph" w:customStyle="1" w:styleId="SPC2">
    <w:name w:val="SPC2"/>
    <w:basedOn w:val="SPCNormal"/>
    <w:next w:val="SPCNormal"/>
    <w:rsid w:val="00F72832"/>
    <w:pPr>
      <w:keepNext/>
      <w:tabs>
        <w:tab w:val="clear" w:pos="562"/>
      </w:tabs>
      <w:ind w:left="562" w:hanging="562"/>
    </w:pPr>
    <w:rPr>
      <w:b/>
    </w:rPr>
  </w:style>
  <w:style w:type="paragraph" w:customStyle="1" w:styleId="EMEAEnBodyText">
    <w:name w:val="EMEA En Body Text"/>
    <w:basedOn w:val="prastasis"/>
    <w:rsid w:val="00F72832"/>
    <w:pPr>
      <w:spacing w:before="120" w:after="120"/>
      <w:jc w:val="both"/>
    </w:pPr>
    <w:rPr>
      <w:rFonts w:ascii="Times New Roman" w:hAnsi="Times New Roman" w:cs="Times New Roman"/>
      <w:sz w:val="22"/>
    </w:rPr>
  </w:style>
  <w:style w:type="paragraph" w:customStyle="1" w:styleId="Default">
    <w:name w:val="Default"/>
    <w:rsid w:val="00F72832"/>
    <w:pPr>
      <w:autoSpaceDE w:val="0"/>
      <w:autoSpaceDN w:val="0"/>
      <w:adjustRightInd w:val="0"/>
    </w:pPr>
    <w:rPr>
      <w:rFonts w:eastAsia="Calibri"/>
      <w:color w:val="000000"/>
      <w:sz w:val="24"/>
      <w:szCs w:val="24"/>
      <w:lang w:val="hu-HU" w:eastAsia="en-US"/>
    </w:rPr>
  </w:style>
  <w:style w:type="paragraph" w:customStyle="1" w:styleId="Response">
    <w:name w:val="Response"/>
    <w:basedOn w:val="prastasis"/>
    <w:rsid w:val="00F72832"/>
    <w:pPr>
      <w:snapToGrid w:val="0"/>
      <w:spacing w:before="240" w:after="120"/>
      <w:ind w:left="1440"/>
      <w:jc w:val="both"/>
    </w:pPr>
    <w:rPr>
      <w:rFonts w:ascii="Times New Roman" w:hAnsi="Times New Roman" w:cs="Times New Roman"/>
      <w:sz w:val="20"/>
      <w:lang w:eastAsia="lt-LT"/>
    </w:rPr>
  </w:style>
  <w:style w:type="character" w:customStyle="1" w:styleId="CommentTextChar1">
    <w:name w:val="Comment Text Char1"/>
    <w:uiPriority w:val="99"/>
    <w:semiHidden/>
    <w:rsid w:val="00F72832"/>
    <w:rPr>
      <w:rFonts w:ascii="Verdana" w:eastAsia="Times New Roman" w:hAnsi="Verdana" w:hint="default"/>
      <w:lang w:val="en-GB" w:eastAsia="en-US"/>
    </w:rPr>
  </w:style>
  <w:style w:type="character" w:customStyle="1" w:styleId="JegyzetszvegChar1">
    <w:name w:val="Jegyzetszöveg Char1"/>
    <w:uiPriority w:val="99"/>
    <w:semiHidden/>
    <w:rsid w:val="00F72832"/>
    <w:rPr>
      <w:rFonts w:ascii="Verdana" w:eastAsia="Times New Roman" w:hAnsi="Verdana" w:cs="Times New Roman" w:hint="default"/>
      <w:sz w:val="20"/>
      <w:szCs w:val="20"/>
      <w:lang w:val="en-GB"/>
    </w:rPr>
  </w:style>
  <w:style w:type="character" w:customStyle="1" w:styleId="HeaderChar1">
    <w:name w:val="Header Char1"/>
    <w:uiPriority w:val="99"/>
    <w:semiHidden/>
    <w:rsid w:val="00F72832"/>
    <w:rPr>
      <w:rFonts w:ascii="Verdana" w:eastAsia="Times New Roman" w:hAnsi="Verdana" w:hint="default"/>
      <w:szCs w:val="24"/>
      <w:lang w:val="en-GB" w:eastAsia="en-US"/>
    </w:rPr>
  </w:style>
  <w:style w:type="character" w:customStyle="1" w:styleId="lfejChar1">
    <w:name w:val="Élőfej Char1"/>
    <w:uiPriority w:val="99"/>
    <w:semiHidden/>
    <w:rsid w:val="00F72832"/>
    <w:rPr>
      <w:rFonts w:ascii="Verdana" w:eastAsia="Times New Roman" w:hAnsi="Verdana" w:cs="Times New Roman" w:hint="default"/>
      <w:sz w:val="20"/>
      <w:szCs w:val="24"/>
      <w:lang w:val="en-GB"/>
    </w:rPr>
  </w:style>
  <w:style w:type="character" w:customStyle="1" w:styleId="FooterChar1">
    <w:name w:val="Footer Char1"/>
    <w:uiPriority w:val="99"/>
    <w:semiHidden/>
    <w:rsid w:val="00F72832"/>
    <w:rPr>
      <w:rFonts w:ascii="Verdana" w:eastAsia="Times New Roman" w:hAnsi="Verdana" w:hint="default"/>
      <w:szCs w:val="24"/>
      <w:lang w:val="en-GB" w:eastAsia="en-US"/>
    </w:rPr>
  </w:style>
  <w:style w:type="character" w:customStyle="1" w:styleId="llbChar1">
    <w:name w:val="Élőláb Char1"/>
    <w:uiPriority w:val="99"/>
    <w:semiHidden/>
    <w:rsid w:val="00F72832"/>
    <w:rPr>
      <w:rFonts w:ascii="Verdana" w:eastAsia="Times New Roman" w:hAnsi="Verdana" w:cs="Times New Roman" w:hint="default"/>
      <w:sz w:val="20"/>
      <w:szCs w:val="24"/>
      <w:lang w:val="en-GB"/>
    </w:rPr>
  </w:style>
  <w:style w:type="character" w:customStyle="1" w:styleId="EndnoteTextChar1">
    <w:name w:val="Endnote Text Char1"/>
    <w:uiPriority w:val="99"/>
    <w:semiHidden/>
    <w:rsid w:val="00F72832"/>
    <w:rPr>
      <w:rFonts w:ascii="Verdana" w:eastAsia="Times New Roman" w:hAnsi="Verdana" w:hint="default"/>
      <w:lang w:val="en-GB" w:eastAsia="en-US"/>
    </w:rPr>
  </w:style>
  <w:style w:type="character" w:customStyle="1" w:styleId="VgjegyzetszvegeChar1">
    <w:name w:val="Végjegyzet szövege Char1"/>
    <w:uiPriority w:val="99"/>
    <w:semiHidden/>
    <w:rsid w:val="00F72832"/>
    <w:rPr>
      <w:rFonts w:ascii="Verdana" w:eastAsia="Times New Roman" w:hAnsi="Verdana" w:cs="Times New Roman" w:hint="default"/>
      <w:sz w:val="20"/>
      <w:szCs w:val="20"/>
      <w:lang w:val="en-GB"/>
    </w:rPr>
  </w:style>
  <w:style w:type="character" w:customStyle="1" w:styleId="SzvegtrzsChar1">
    <w:name w:val="Szövegtörzs Char1"/>
    <w:uiPriority w:val="99"/>
    <w:semiHidden/>
    <w:rsid w:val="00F72832"/>
    <w:rPr>
      <w:rFonts w:ascii="Verdana" w:eastAsia="Times New Roman" w:hAnsi="Verdana" w:cs="Times New Roman" w:hint="default"/>
      <w:sz w:val="20"/>
      <w:szCs w:val="24"/>
      <w:lang w:val="en-GB"/>
    </w:rPr>
  </w:style>
  <w:style w:type="character" w:customStyle="1" w:styleId="BodyText2Char1">
    <w:name w:val="Body Text 2 Char1"/>
    <w:uiPriority w:val="99"/>
    <w:semiHidden/>
    <w:rsid w:val="00F72832"/>
    <w:rPr>
      <w:rFonts w:ascii="Verdana" w:eastAsia="Times New Roman" w:hAnsi="Verdana" w:hint="default"/>
      <w:szCs w:val="24"/>
      <w:lang w:val="en-GB" w:eastAsia="en-US"/>
    </w:rPr>
  </w:style>
  <w:style w:type="character" w:customStyle="1" w:styleId="Szvegtrzs2Char1">
    <w:name w:val="Szövegtörzs 2 Char1"/>
    <w:uiPriority w:val="99"/>
    <w:semiHidden/>
    <w:rsid w:val="00F72832"/>
    <w:rPr>
      <w:rFonts w:ascii="Verdana" w:eastAsia="Times New Roman" w:hAnsi="Verdana" w:cs="Times New Roman" w:hint="default"/>
      <w:sz w:val="20"/>
      <w:szCs w:val="24"/>
      <w:lang w:val="en-GB"/>
    </w:rPr>
  </w:style>
  <w:style w:type="character" w:customStyle="1" w:styleId="BodyText3Char1">
    <w:name w:val="Body Text 3 Char1"/>
    <w:uiPriority w:val="99"/>
    <w:semiHidden/>
    <w:rsid w:val="00F72832"/>
    <w:rPr>
      <w:rFonts w:ascii="Verdana" w:eastAsia="Times New Roman" w:hAnsi="Verdana" w:hint="default"/>
      <w:sz w:val="16"/>
      <w:szCs w:val="16"/>
      <w:lang w:val="en-GB" w:eastAsia="en-US"/>
    </w:rPr>
  </w:style>
  <w:style w:type="character" w:customStyle="1" w:styleId="Szvegtrzs3Char1">
    <w:name w:val="Szövegtörzs 3 Char1"/>
    <w:uiPriority w:val="99"/>
    <w:semiHidden/>
    <w:rsid w:val="00F72832"/>
    <w:rPr>
      <w:rFonts w:ascii="Verdana" w:eastAsia="Times New Roman" w:hAnsi="Verdana" w:cs="Times New Roman" w:hint="default"/>
      <w:sz w:val="16"/>
      <w:szCs w:val="16"/>
      <w:lang w:val="en-GB"/>
    </w:rPr>
  </w:style>
  <w:style w:type="character" w:customStyle="1" w:styleId="PlainTextChar1">
    <w:name w:val="Plain Text Char1"/>
    <w:uiPriority w:val="99"/>
    <w:semiHidden/>
    <w:rsid w:val="00F72832"/>
    <w:rPr>
      <w:rFonts w:ascii="Consolas" w:eastAsia="Times New Roman" w:hAnsi="Consolas" w:cs="Consolas" w:hint="default"/>
      <w:sz w:val="21"/>
      <w:szCs w:val="21"/>
      <w:lang w:val="en-GB" w:eastAsia="en-US"/>
    </w:rPr>
  </w:style>
  <w:style w:type="character" w:customStyle="1" w:styleId="CsakszvegChar1">
    <w:name w:val="Csak szöveg Char1"/>
    <w:uiPriority w:val="99"/>
    <w:semiHidden/>
    <w:rsid w:val="00F72832"/>
    <w:rPr>
      <w:rFonts w:ascii="Consolas" w:eastAsia="Times New Roman" w:hAnsi="Consolas" w:cs="Consolas" w:hint="default"/>
      <w:sz w:val="21"/>
      <w:szCs w:val="21"/>
      <w:lang w:val="en-GB"/>
    </w:rPr>
  </w:style>
  <w:style w:type="character" w:customStyle="1" w:styleId="CommentSubjectChar1">
    <w:name w:val="Comment Subject Char1"/>
    <w:uiPriority w:val="99"/>
    <w:semiHidden/>
    <w:rsid w:val="00F72832"/>
    <w:rPr>
      <w:rFonts w:ascii="Verdana" w:eastAsia="Times New Roman" w:hAnsi="Verdana" w:hint="default"/>
      <w:b/>
      <w:bCs/>
      <w:lang w:val="en-GB" w:eastAsia="en-US"/>
    </w:rPr>
  </w:style>
  <w:style w:type="character" w:customStyle="1" w:styleId="MegjegyzstrgyaChar1">
    <w:name w:val="Megjegyzés tárgya Char1"/>
    <w:uiPriority w:val="99"/>
    <w:semiHidden/>
    <w:rsid w:val="00F72832"/>
    <w:rPr>
      <w:rFonts w:ascii="Verdana" w:eastAsia="Times New Roman" w:hAnsi="Verdana" w:cs="Times New Roman" w:hint="defaul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0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224C-63E3-487E-8BB9-0551AE70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7815</Words>
  <Characters>52089</Characters>
  <Application>Microsoft Office Word</Application>
  <DocSecurity>8</DocSecurity>
  <Lines>434</Lines>
  <Paragraphs>119</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Gedeon Richter Ltd  atstovybės</vt:lpstr>
      <vt:lpstr>Gedeon Richter Ltd  atstovybės</vt:lpstr>
      <vt:lpstr>Gedeon Richter Ltd  atstovybės</vt:lpstr>
    </vt:vector>
  </TitlesOfParts>
  <Company>.</Company>
  <LinksUpToDate>false</LinksUpToDate>
  <CharactersWithSpaces>59785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cp:lastModifiedBy>Albina Burkauskaitė</cp:lastModifiedBy>
  <cp:revision>3</cp:revision>
  <cp:lastPrinted>2013-08-07T13:54:00Z</cp:lastPrinted>
  <dcterms:created xsi:type="dcterms:W3CDTF">2017-12-20T09:07:00Z</dcterms:created>
  <dcterms:modified xsi:type="dcterms:W3CDTF">2017-12-20T09:08:00Z</dcterms:modified>
</cp:coreProperties>
</file>