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B27" w:rsidRPr="00866BC1" w:rsidRDefault="00BF3B27" w:rsidP="00BF3B27">
      <w:pPr>
        <w:pStyle w:val="Pagrindinistekstas"/>
        <w:pageBreakBefore/>
        <w:spacing w:after="0"/>
        <w:jc w:val="center"/>
        <w:rPr>
          <w:b/>
          <w:szCs w:val="22"/>
        </w:rPr>
      </w:pPr>
      <w:bookmarkStart w:id="0" w:name="_Toc129243138"/>
      <w:bookmarkStart w:id="1" w:name="_Toc129243263"/>
      <w:r w:rsidRPr="00866BC1">
        <w:rPr>
          <w:b/>
          <w:iCs/>
          <w:szCs w:val="22"/>
        </w:rPr>
        <w:t>Pakuotės lapelis: informacija vartotojui</w:t>
      </w:r>
      <w:r w:rsidRPr="00866BC1" w:rsidDel="0039404E">
        <w:rPr>
          <w:b/>
          <w:szCs w:val="22"/>
        </w:rPr>
        <w:t xml:space="preserve"> </w:t>
      </w:r>
    </w:p>
    <w:p w:rsidR="00BF3B27" w:rsidRPr="00866BC1" w:rsidRDefault="00BF3B27" w:rsidP="00BF3B27">
      <w:pPr>
        <w:pStyle w:val="Pagrindinistekstas"/>
        <w:spacing w:after="0"/>
        <w:jc w:val="center"/>
        <w:rPr>
          <w:b/>
          <w:szCs w:val="22"/>
        </w:rPr>
      </w:pPr>
    </w:p>
    <w:bookmarkEnd w:id="0"/>
    <w:bookmarkEnd w:id="1"/>
    <w:p w:rsidR="00BF3B27" w:rsidRPr="00866BC1" w:rsidRDefault="00BF3B27" w:rsidP="00BF3B27">
      <w:pPr>
        <w:pStyle w:val="Pagrindinistekstas"/>
        <w:spacing w:after="0"/>
        <w:jc w:val="center"/>
        <w:rPr>
          <w:b/>
          <w:szCs w:val="22"/>
        </w:rPr>
      </w:pPr>
      <w:r w:rsidRPr="00866BC1">
        <w:rPr>
          <w:b/>
          <w:szCs w:val="22"/>
        </w:rPr>
        <w:t>DOXYCYCLIN TC 100</w:t>
      </w:r>
      <w:r>
        <w:rPr>
          <w:b/>
          <w:szCs w:val="22"/>
        </w:rPr>
        <w:t> mg</w:t>
      </w:r>
      <w:r w:rsidRPr="00866BC1">
        <w:rPr>
          <w:b/>
          <w:szCs w:val="22"/>
        </w:rPr>
        <w:t xml:space="preserve"> kietosios kapsulės</w:t>
      </w:r>
    </w:p>
    <w:p w:rsidR="00BF3B27" w:rsidRPr="00866BC1" w:rsidRDefault="00BF3B27" w:rsidP="00BF3B27">
      <w:pPr>
        <w:pStyle w:val="Pagrindinistekstas"/>
        <w:spacing w:after="0"/>
        <w:jc w:val="center"/>
        <w:rPr>
          <w:szCs w:val="22"/>
        </w:rPr>
      </w:pPr>
      <w:r>
        <w:rPr>
          <w:szCs w:val="22"/>
        </w:rPr>
        <w:t>d</w:t>
      </w:r>
      <w:r w:rsidRPr="00866BC1">
        <w:rPr>
          <w:szCs w:val="22"/>
        </w:rPr>
        <w:t>oksiciklinas</w:t>
      </w:r>
    </w:p>
    <w:p w:rsidR="00BF3B27" w:rsidRPr="00866BC1" w:rsidRDefault="00BF3B27" w:rsidP="00BF3B27">
      <w:pPr>
        <w:pStyle w:val="Pagrindinistekstas"/>
        <w:spacing w:after="0"/>
        <w:rPr>
          <w:szCs w:val="22"/>
        </w:rPr>
      </w:pPr>
    </w:p>
    <w:p w:rsidR="00BF3B27" w:rsidRPr="00866BC1" w:rsidRDefault="00BF3B27" w:rsidP="00BF3B27">
      <w:pPr>
        <w:pStyle w:val="BTbEMEASMCA"/>
      </w:pPr>
      <w:r w:rsidRPr="00866BC1">
        <w:t>Atidžiai perskaitykite visą šį lapelį, prieš pradėdami vartoti vaistą.</w:t>
      </w:r>
    </w:p>
    <w:p w:rsidR="00BF3B27" w:rsidRPr="00866BC1" w:rsidRDefault="00BF3B27" w:rsidP="00BF3B27">
      <w:pPr>
        <w:pStyle w:val="BT-EMEASMCA"/>
      </w:pPr>
      <w:r w:rsidRPr="00866BC1">
        <w:t>Neišmeskite šio lapelio, nes vėl gali prireikti jį perskaityti.</w:t>
      </w:r>
    </w:p>
    <w:p w:rsidR="00BF3B27" w:rsidRPr="00866BC1" w:rsidRDefault="00BF3B27" w:rsidP="00BF3B27">
      <w:pPr>
        <w:pStyle w:val="BT-EMEASMCA"/>
      </w:pPr>
      <w:r w:rsidRPr="00866BC1">
        <w:t>Jeigu kiltų daugiau klausimų, kreipkitės į gydytoją arba vaistininką.</w:t>
      </w:r>
    </w:p>
    <w:p w:rsidR="00BF3B27" w:rsidRPr="00866BC1" w:rsidRDefault="00BF3B27" w:rsidP="00BF3B27">
      <w:pPr>
        <w:pStyle w:val="BT-EMEASMCA"/>
      </w:pPr>
      <w:r w:rsidRPr="00866BC1">
        <w:t>Šis vaistas skirtas Jums, todėl kitiems žmonėms jo duoti negalima. Vaistas gali jiems pakenkti (net tiems, kurių ligos simptomai yra tokie patys kaip Jūsų).</w:t>
      </w:r>
    </w:p>
    <w:p w:rsidR="00BF3B27" w:rsidRPr="00866BC1" w:rsidRDefault="00BF3B27" w:rsidP="00BF3B27">
      <w:pPr>
        <w:pStyle w:val="BT-EMEASMCA"/>
      </w:pPr>
      <w:r w:rsidRPr="00866BC1">
        <w:t>Jeigu pasireiškė sunkus šalutinis poveikis (net jeigu jis šiame lapelyje nenurodytas), kreipkitės į gydytoją arba vaistininką. Žr. 4 skyrių.</w:t>
      </w:r>
    </w:p>
    <w:p w:rsidR="00BF3B27" w:rsidRPr="00866BC1" w:rsidRDefault="00BF3B27" w:rsidP="00BF3B27">
      <w:pPr>
        <w:pStyle w:val="Pagrindinistekstas"/>
        <w:spacing w:after="0"/>
        <w:rPr>
          <w:szCs w:val="22"/>
        </w:rPr>
      </w:pPr>
    </w:p>
    <w:p w:rsidR="00BF3B27" w:rsidRPr="00866BC1" w:rsidRDefault="00BF3B27" w:rsidP="00BF3B27">
      <w:pPr>
        <w:pStyle w:val="Pagrindinistekstas"/>
        <w:spacing w:after="0"/>
        <w:rPr>
          <w:b/>
          <w:szCs w:val="22"/>
        </w:rPr>
      </w:pPr>
      <w:r w:rsidRPr="00866BC1">
        <w:rPr>
          <w:b/>
          <w:szCs w:val="22"/>
        </w:rPr>
        <w:t>Apie ką rašoma šiame lapelyje?</w:t>
      </w:r>
    </w:p>
    <w:p w:rsidR="00BF3B27" w:rsidRPr="00866BC1" w:rsidRDefault="00BF3B27" w:rsidP="00BF3B27">
      <w:pPr>
        <w:pStyle w:val="Pagrindinistekstas"/>
        <w:spacing w:after="0"/>
        <w:rPr>
          <w:b/>
          <w:szCs w:val="22"/>
        </w:rPr>
      </w:pPr>
    </w:p>
    <w:p w:rsidR="00BF3B27" w:rsidRPr="00866BC1" w:rsidRDefault="00BF3B27" w:rsidP="00BF3B27">
      <w:pPr>
        <w:pStyle w:val="Pagrindinistekstas"/>
        <w:spacing w:after="0"/>
        <w:rPr>
          <w:szCs w:val="22"/>
        </w:rPr>
      </w:pPr>
      <w:r w:rsidRPr="00866BC1">
        <w:rPr>
          <w:szCs w:val="22"/>
        </w:rPr>
        <w:t>1.</w:t>
      </w:r>
      <w:r w:rsidRPr="00866BC1">
        <w:rPr>
          <w:szCs w:val="22"/>
        </w:rPr>
        <w:tab/>
        <w:t>Kas yra DOXYCYCLIN TC ir nuo ko jis vartojamas</w:t>
      </w:r>
    </w:p>
    <w:p w:rsidR="00BF3B27" w:rsidRPr="00866BC1" w:rsidRDefault="00BF3B27" w:rsidP="00BF3B27">
      <w:pPr>
        <w:pStyle w:val="Pagrindinistekstas"/>
        <w:spacing w:after="0"/>
        <w:rPr>
          <w:szCs w:val="22"/>
        </w:rPr>
      </w:pPr>
      <w:r w:rsidRPr="00866BC1">
        <w:rPr>
          <w:szCs w:val="22"/>
        </w:rPr>
        <w:t>2.</w:t>
      </w:r>
      <w:r w:rsidRPr="00866BC1">
        <w:rPr>
          <w:szCs w:val="22"/>
        </w:rPr>
        <w:tab/>
        <w:t>Kas žinotina prieš vartojant DOXYCYCLIN TC</w:t>
      </w:r>
    </w:p>
    <w:p w:rsidR="00BF3B27" w:rsidRPr="00866BC1" w:rsidRDefault="00BF3B27" w:rsidP="00BF3B27">
      <w:pPr>
        <w:pStyle w:val="Pagrindinistekstas"/>
        <w:spacing w:after="0"/>
        <w:rPr>
          <w:szCs w:val="22"/>
        </w:rPr>
      </w:pPr>
      <w:r w:rsidRPr="00866BC1">
        <w:rPr>
          <w:szCs w:val="22"/>
        </w:rPr>
        <w:t>3.</w:t>
      </w:r>
      <w:r w:rsidRPr="00866BC1">
        <w:rPr>
          <w:szCs w:val="22"/>
        </w:rPr>
        <w:tab/>
        <w:t>Kaip vartoti DOXYCYCLIN TC</w:t>
      </w:r>
    </w:p>
    <w:p w:rsidR="00BF3B27" w:rsidRPr="00866BC1" w:rsidRDefault="00BF3B27" w:rsidP="00BF3B27">
      <w:pPr>
        <w:pStyle w:val="Pagrindinistekstas"/>
        <w:spacing w:after="0"/>
        <w:rPr>
          <w:szCs w:val="22"/>
        </w:rPr>
      </w:pPr>
      <w:r w:rsidRPr="00866BC1">
        <w:rPr>
          <w:szCs w:val="22"/>
        </w:rPr>
        <w:t>4.</w:t>
      </w:r>
      <w:r w:rsidRPr="00866BC1">
        <w:rPr>
          <w:szCs w:val="22"/>
        </w:rPr>
        <w:tab/>
        <w:t>Galimas šalutinis poveikis</w:t>
      </w:r>
    </w:p>
    <w:p w:rsidR="00BF3B27" w:rsidRPr="00866BC1" w:rsidRDefault="00BF3B27" w:rsidP="00BF3B27">
      <w:pPr>
        <w:pStyle w:val="Pagrindinistekstas"/>
        <w:spacing w:after="0"/>
        <w:rPr>
          <w:szCs w:val="22"/>
        </w:rPr>
      </w:pPr>
      <w:r w:rsidRPr="00866BC1">
        <w:rPr>
          <w:szCs w:val="22"/>
        </w:rPr>
        <w:t>5.</w:t>
      </w:r>
      <w:r w:rsidRPr="00866BC1">
        <w:rPr>
          <w:szCs w:val="22"/>
        </w:rPr>
        <w:tab/>
        <w:t>DOXYCYCLIN TC laikymo sąlygos</w:t>
      </w:r>
    </w:p>
    <w:p w:rsidR="00BF3B27" w:rsidRPr="00866BC1" w:rsidRDefault="00BF3B27" w:rsidP="00BF3B27">
      <w:pPr>
        <w:pStyle w:val="Pagrindinistekstas"/>
        <w:spacing w:after="0"/>
        <w:rPr>
          <w:szCs w:val="22"/>
        </w:rPr>
      </w:pPr>
      <w:r w:rsidRPr="00866BC1">
        <w:rPr>
          <w:szCs w:val="22"/>
        </w:rPr>
        <w:t>6.</w:t>
      </w:r>
      <w:r w:rsidRPr="00866BC1">
        <w:rPr>
          <w:szCs w:val="22"/>
        </w:rPr>
        <w:tab/>
      </w:r>
      <w:r w:rsidRPr="00866BC1">
        <w:rPr>
          <w:noProof/>
          <w:szCs w:val="22"/>
        </w:rPr>
        <w:t>Pakuotės turinys ir kita informacija</w:t>
      </w:r>
    </w:p>
    <w:p w:rsidR="00BF3B27" w:rsidRPr="00866BC1" w:rsidRDefault="00BF3B27" w:rsidP="00BF3B27">
      <w:pPr>
        <w:pStyle w:val="Pagrindinistekstas"/>
        <w:spacing w:after="0"/>
        <w:rPr>
          <w:szCs w:val="22"/>
        </w:rPr>
      </w:pPr>
    </w:p>
    <w:p w:rsidR="00BF3B27" w:rsidRPr="00866BC1" w:rsidRDefault="00BF3B27" w:rsidP="00BF3B27">
      <w:pPr>
        <w:pStyle w:val="Pagrindinistekstas"/>
        <w:spacing w:after="0"/>
        <w:rPr>
          <w:szCs w:val="22"/>
        </w:rPr>
      </w:pPr>
    </w:p>
    <w:p w:rsidR="00BF3B27" w:rsidRPr="00866BC1" w:rsidRDefault="00BF3B27" w:rsidP="00BF3B27">
      <w:pPr>
        <w:pStyle w:val="Antrat2"/>
        <w:rPr>
          <w:szCs w:val="22"/>
        </w:rPr>
      </w:pPr>
      <w:r w:rsidRPr="00866BC1">
        <w:rPr>
          <w:szCs w:val="22"/>
        </w:rPr>
        <w:t>1.</w:t>
      </w:r>
      <w:r w:rsidRPr="00866BC1">
        <w:rPr>
          <w:szCs w:val="22"/>
        </w:rPr>
        <w:tab/>
        <w:t>Kas yra DOXYCYCLIN TC ir kam jis vartojamas</w:t>
      </w:r>
    </w:p>
    <w:p w:rsidR="00BF3B27" w:rsidRPr="00866BC1" w:rsidRDefault="00BF3B27" w:rsidP="00BF3B27">
      <w:pPr>
        <w:pStyle w:val="Pagrindinistekstas"/>
        <w:spacing w:after="0"/>
        <w:rPr>
          <w:szCs w:val="22"/>
        </w:rPr>
      </w:pPr>
    </w:p>
    <w:p w:rsidR="00BF3B27" w:rsidRPr="00866BC1" w:rsidRDefault="00BF3B27" w:rsidP="00BF3B27">
      <w:r w:rsidRPr="00866BC1">
        <w:rPr>
          <w:szCs w:val="22"/>
        </w:rPr>
        <w:t>DOXYCYCLIN TC veiklioji medžiaga yra doksiciklinas. Doksiciklinas priklauso vaistų, vadinamų tetraciklinų antibiotikais, grupei.</w:t>
      </w:r>
    </w:p>
    <w:p w:rsidR="00BF3B27" w:rsidRPr="00866BC1" w:rsidRDefault="00BF3B27" w:rsidP="00BF3B27">
      <w:pPr>
        <w:pStyle w:val="Pagrindinistekstas"/>
        <w:spacing w:after="0"/>
        <w:rPr>
          <w:bCs/>
          <w:szCs w:val="22"/>
          <w:u w:val="single"/>
        </w:rPr>
      </w:pPr>
    </w:p>
    <w:p w:rsidR="00BF3B27" w:rsidRPr="00866BC1" w:rsidRDefault="00BF3B27" w:rsidP="00BF3B27">
      <w:pPr>
        <w:pStyle w:val="Komentarotekstas"/>
        <w:tabs>
          <w:tab w:val="left" w:pos="284"/>
        </w:tabs>
        <w:rPr>
          <w:sz w:val="22"/>
          <w:szCs w:val="22"/>
        </w:rPr>
      </w:pPr>
      <w:r w:rsidRPr="00866BC1">
        <w:rPr>
          <w:sz w:val="22"/>
          <w:szCs w:val="22"/>
        </w:rPr>
        <w:t xml:space="preserve">DOXYCYCLIN TC yra vartojamas gydyti jautrių bakterijų sukeltoms infekcinėms ligoms: </w:t>
      </w:r>
    </w:p>
    <w:p w:rsidR="00BF3B27" w:rsidRPr="00866BC1" w:rsidRDefault="00BF3B27" w:rsidP="00BF3B27">
      <w:pPr>
        <w:pStyle w:val="Komentarotekstas"/>
        <w:numPr>
          <w:ilvl w:val="0"/>
          <w:numId w:val="2"/>
        </w:numPr>
        <w:suppressAutoHyphens/>
        <w:ind w:left="851" w:hanging="851"/>
        <w:rPr>
          <w:sz w:val="22"/>
          <w:szCs w:val="22"/>
        </w:rPr>
      </w:pPr>
      <w:r w:rsidRPr="00866BC1">
        <w:rPr>
          <w:sz w:val="22"/>
          <w:szCs w:val="22"/>
        </w:rPr>
        <w:t>kvėpavimo organų infekcijoms, pvz., plaučių uždegimui;</w:t>
      </w:r>
    </w:p>
    <w:p w:rsidR="00BF3B27" w:rsidRPr="00866BC1" w:rsidRDefault="00BF3B27" w:rsidP="00BF3B27">
      <w:pPr>
        <w:pStyle w:val="Komentarotekstas"/>
        <w:numPr>
          <w:ilvl w:val="0"/>
          <w:numId w:val="2"/>
        </w:numPr>
        <w:suppressAutoHyphens/>
        <w:rPr>
          <w:sz w:val="22"/>
          <w:szCs w:val="22"/>
        </w:rPr>
      </w:pPr>
      <w:r w:rsidRPr="00866BC1">
        <w:rPr>
          <w:sz w:val="22"/>
          <w:szCs w:val="22"/>
        </w:rPr>
        <w:t xml:space="preserve">šlapimo ir lyties organų infekcijoms, pvz., pielonefritui (inkstų uždegimui), uretritui (šlaplės uždegimui), prostatitui (priešinės liaukos uždegimui), urocistitui (šlapimo pūslės uždegimui); </w:t>
      </w:r>
    </w:p>
    <w:p w:rsidR="00BF3B27" w:rsidRPr="00866BC1" w:rsidRDefault="00BF3B27" w:rsidP="00BF3B27">
      <w:pPr>
        <w:pStyle w:val="Komentarotekstas"/>
        <w:numPr>
          <w:ilvl w:val="0"/>
          <w:numId w:val="2"/>
        </w:numPr>
        <w:suppressAutoHyphens/>
        <w:ind w:left="851" w:hanging="851"/>
        <w:rPr>
          <w:sz w:val="22"/>
          <w:szCs w:val="22"/>
        </w:rPr>
      </w:pPr>
      <w:r w:rsidRPr="00866BC1">
        <w:rPr>
          <w:sz w:val="22"/>
          <w:szCs w:val="22"/>
        </w:rPr>
        <w:t xml:space="preserve">konjunktyvitui (akies junginės – plono akies priekinę dalį dengiančio audinio – uždegimui); </w:t>
      </w:r>
    </w:p>
    <w:p w:rsidR="00BF3B27" w:rsidRPr="00866BC1" w:rsidRDefault="00BF3B27" w:rsidP="00BF3B27">
      <w:pPr>
        <w:pStyle w:val="Komentarotekstas"/>
        <w:numPr>
          <w:ilvl w:val="0"/>
          <w:numId w:val="2"/>
        </w:numPr>
        <w:suppressAutoHyphens/>
        <w:rPr>
          <w:sz w:val="22"/>
          <w:szCs w:val="22"/>
        </w:rPr>
      </w:pPr>
      <w:r w:rsidRPr="00866BC1">
        <w:rPr>
          <w:sz w:val="22"/>
          <w:szCs w:val="22"/>
        </w:rPr>
        <w:t xml:space="preserve">infekcijoms, kurias sukelia bakterija, vadinama </w:t>
      </w:r>
      <w:r w:rsidRPr="00866BC1">
        <w:rPr>
          <w:i/>
          <w:sz w:val="22"/>
          <w:szCs w:val="22"/>
        </w:rPr>
        <w:t>Rickettsia</w:t>
      </w:r>
      <w:r w:rsidRPr="00866BC1">
        <w:rPr>
          <w:sz w:val="22"/>
          <w:szCs w:val="22"/>
        </w:rPr>
        <w:t>: dėmėt</w:t>
      </w:r>
      <w:r>
        <w:rPr>
          <w:sz w:val="22"/>
          <w:szCs w:val="22"/>
        </w:rPr>
        <w:t>a</w:t>
      </w:r>
      <w:r w:rsidRPr="00866BC1">
        <w:rPr>
          <w:sz w:val="22"/>
          <w:szCs w:val="22"/>
        </w:rPr>
        <w:t>jai šiltinei, uolinių kalnų dėmėtąjai šiltinei, ku-karštligei, epideminei šiltinei, erlichiozei;</w:t>
      </w:r>
    </w:p>
    <w:p w:rsidR="00BF3B27" w:rsidRPr="00866BC1" w:rsidRDefault="00BF3B27" w:rsidP="00BF3B27">
      <w:pPr>
        <w:pStyle w:val="Komentarotekstas"/>
        <w:numPr>
          <w:ilvl w:val="0"/>
          <w:numId w:val="2"/>
        </w:numPr>
        <w:suppressAutoHyphens/>
        <w:rPr>
          <w:sz w:val="22"/>
          <w:szCs w:val="22"/>
        </w:rPr>
      </w:pPr>
      <w:r w:rsidRPr="00866BC1">
        <w:rPr>
          <w:sz w:val="22"/>
          <w:szCs w:val="22"/>
        </w:rPr>
        <w:t>lytiniu keliu plintančioms ligoms: gonorėjai, sifiliui, kirkšninei granulomai, minkšt</w:t>
      </w:r>
      <w:r>
        <w:rPr>
          <w:sz w:val="22"/>
          <w:szCs w:val="22"/>
        </w:rPr>
        <w:t>a</w:t>
      </w:r>
      <w:r w:rsidRPr="00866BC1">
        <w:rPr>
          <w:sz w:val="22"/>
          <w:szCs w:val="22"/>
        </w:rPr>
        <w:t xml:space="preserve">jam šankeriui; </w:t>
      </w:r>
    </w:p>
    <w:p w:rsidR="00BF3B27" w:rsidRPr="00866BC1" w:rsidRDefault="00BF3B27" w:rsidP="00BF3B27">
      <w:pPr>
        <w:pStyle w:val="Komentarotekstas"/>
        <w:numPr>
          <w:ilvl w:val="0"/>
          <w:numId w:val="2"/>
        </w:numPr>
        <w:suppressAutoHyphens/>
        <w:rPr>
          <w:sz w:val="22"/>
          <w:szCs w:val="22"/>
        </w:rPr>
      </w:pPr>
      <w:r w:rsidRPr="00866BC1">
        <w:rPr>
          <w:sz w:val="22"/>
          <w:szCs w:val="22"/>
        </w:rPr>
        <w:t>cholerai infekcinei ligai, kuria būdingas sunkus vėmimas ir gausus viduriavimas vandeningomis išmatomis);</w:t>
      </w:r>
    </w:p>
    <w:p w:rsidR="00BF3B27" w:rsidRPr="00866BC1" w:rsidRDefault="00BF3B27" w:rsidP="00BF3B27">
      <w:pPr>
        <w:pStyle w:val="Komentarotekstas"/>
        <w:numPr>
          <w:ilvl w:val="0"/>
          <w:numId w:val="2"/>
        </w:numPr>
        <w:suppressAutoHyphens/>
        <w:ind w:left="851" w:hanging="851"/>
        <w:rPr>
          <w:sz w:val="22"/>
          <w:szCs w:val="22"/>
        </w:rPr>
      </w:pPr>
      <w:r w:rsidRPr="00866BC1">
        <w:rPr>
          <w:sz w:val="22"/>
          <w:szCs w:val="22"/>
        </w:rPr>
        <w:t>Laimo ligos ankstyvajai stadijai;</w:t>
      </w:r>
    </w:p>
    <w:p w:rsidR="00BF3B27" w:rsidRPr="00866BC1" w:rsidRDefault="00BF3B27" w:rsidP="00BF3B27">
      <w:pPr>
        <w:pStyle w:val="Komentarotekstas"/>
        <w:numPr>
          <w:ilvl w:val="0"/>
          <w:numId w:val="2"/>
        </w:numPr>
        <w:suppressAutoHyphens/>
        <w:rPr>
          <w:sz w:val="22"/>
          <w:szCs w:val="22"/>
        </w:rPr>
      </w:pPr>
      <w:r w:rsidRPr="00866BC1">
        <w:rPr>
          <w:sz w:val="22"/>
          <w:szCs w:val="22"/>
        </w:rPr>
        <w:t>kitoms infekcijoms, pvz., bruceliozei, psitakozei, bartoneliozei, buboniniam marui, tuliaremijai, kampilobakteriozei.</w:t>
      </w:r>
    </w:p>
    <w:p w:rsidR="00BF3B27" w:rsidRPr="00866BC1" w:rsidRDefault="00BF3B27" w:rsidP="00BF3B27">
      <w:pPr>
        <w:pStyle w:val="Komentarotekstas"/>
        <w:tabs>
          <w:tab w:val="left" w:pos="284"/>
        </w:tabs>
        <w:rPr>
          <w:sz w:val="22"/>
          <w:szCs w:val="22"/>
        </w:rPr>
      </w:pPr>
    </w:p>
    <w:p w:rsidR="00BF3B27" w:rsidRPr="00866BC1" w:rsidRDefault="00BF3B27" w:rsidP="00BF3B27">
      <w:pPr>
        <w:pStyle w:val="Komentarotekstas"/>
        <w:tabs>
          <w:tab w:val="left" w:pos="284"/>
        </w:tabs>
        <w:rPr>
          <w:sz w:val="22"/>
          <w:szCs w:val="22"/>
        </w:rPr>
      </w:pPr>
      <w:r w:rsidRPr="00866BC1">
        <w:rPr>
          <w:sz w:val="22"/>
          <w:szCs w:val="22"/>
        </w:rPr>
        <w:t>DOXYCYCLIN TC taip pat skiriamas maliarijos profilaktikai.</w:t>
      </w:r>
    </w:p>
    <w:p w:rsidR="00BF3B27" w:rsidRPr="00866BC1" w:rsidRDefault="00BF3B27" w:rsidP="00BF3B27">
      <w:pPr>
        <w:pStyle w:val="Pagrindinistekstas"/>
        <w:spacing w:after="0"/>
        <w:rPr>
          <w:szCs w:val="22"/>
        </w:rPr>
      </w:pPr>
    </w:p>
    <w:p w:rsidR="00BF3B27" w:rsidRPr="00866BC1" w:rsidRDefault="00BF3B27" w:rsidP="00BF3B27">
      <w:pPr>
        <w:pStyle w:val="Pagrindinistekstas"/>
        <w:spacing w:after="0"/>
        <w:rPr>
          <w:szCs w:val="22"/>
        </w:rPr>
      </w:pPr>
    </w:p>
    <w:p w:rsidR="00BF3B27" w:rsidRPr="00866BC1" w:rsidRDefault="00BF3B27" w:rsidP="00BF3B27">
      <w:pPr>
        <w:pStyle w:val="Antrat2"/>
        <w:rPr>
          <w:szCs w:val="22"/>
        </w:rPr>
      </w:pPr>
      <w:r w:rsidRPr="00866BC1">
        <w:rPr>
          <w:szCs w:val="22"/>
        </w:rPr>
        <w:t>2.</w:t>
      </w:r>
      <w:r w:rsidRPr="00866BC1">
        <w:rPr>
          <w:szCs w:val="22"/>
        </w:rPr>
        <w:tab/>
        <w:t>Kas žinotina</w:t>
      </w:r>
      <w:r w:rsidRPr="00866BC1">
        <w:t xml:space="preserve"> prieš vartojant </w:t>
      </w:r>
      <w:r w:rsidRPr="00866BC1">
        <w:rPr>
          <w:szCs w:val="22"/>
        </w:rPr>
        <w:t>DOXYCYCLIN TC</w:t>
      </w:r>
    </w:p>
    <w:p w:rsidR="00BF3B27" w:rsidRPr="00866BC1" w:rsidRDefault="00BF3B27" w:rsidP="00BF3B27">
      <w:pPr>
        <w:pStyle w:val="Pagrindinistekstas"/>
        <w:spacing w:after="0"/>
        <w:rPr>
          <w:szCs w:val="22"/>
        </w:rPr>
      </w:pPr>
    </w:p>
    <w:p w:rsidR="00BF3B27" w:rsidRPr="00866BC1" w:rsidRDefault="00BF3B27" w:rsidP="00BF3B27">
      <w:pPr>
        <w:rPr>
          <w:szCs w:val="22"/>
        </w:rPr>
      </w:pPr>
      <w:r w:rsidRPr="00866BC1">
        <w:rPr>
          <w:szCs w:val="22"/>
        </w:rPr>
        <w:t>Jūsų gydytojas atliks keletą tyrimų, kad įsitinkintų, jog DOXYCYCLIN TC tinka Jūsų ligai gydyti.</w:t>
      </w:r>
    </w:p>
    <w:p w:rsidR="00BF3B27" w:rsidRPr="00866BC1" w:rsidRDefault="00BF3B27" w:rsidP="00BF3B27">
      <w:pPr>
        <w:rPr>
          <w:szCs w:val="22"/>
        </w:rPr>
      </w:pPr>
    </w:p>
    <w:p w:rsidR="00BF3B27" w:rsidRPr="00866BC1" w:rsidRDefault="00BF3B27" w:rsidP="00BF3B27">
      <w:pPr>
        <w:rPr>
          <w:b/>
          <w:szCs w:val="22"/>
        </w:rPr>
      </w:pPr>
      <w:r w:rsidRPr="00866BC1">
        <w:rPr>
          <w:b/>
          <w:szCs w:val="22"/>
        </w:rPr>
        <w:t>DOXYCYCLIN TC</w:t>
      </w:r>
      <w:r w:rsidRPr="00866BC1">
        <w:rPr>
          <w:b/>
        </w:rPr>
        <w:t xml:space="preserve"> vartoti</w:t>
      </w:r>
      <w:r w:rsidRPr="00866BC1">
        <w:rPr>
          <w:b/>
          <w:szCs w:val="22"/>
        </w:rPr>
        <w:t xml:space="preserve"> </w:t>
      </w:r>
      <w:r>
        <w:rPr>
          <w:b/>
          <w:szCs w:val="22"/>
        </w:rPr>
        <w:t>draudžiama</w:t>
      </w:r>
    </w:p>
    <w:p w:rsidR="00BF3B27" w:rsidRPr="00866BC1" w:rsidRDefault="00BF3B27" w:rsidP="00BF3B27">
      <w:pPr>
        <w:numPr>
          <w:ilvl w:val="0"/>
          <w:numId w:val="4"/>
        </w:numPr>
        <w:tabs>
          <w:tab w:val="clear" w:pos="0"/>
          <w:tab w:val="num" w:pos="567"/>
        </w:tabs>
        <w:suppressAutoHyphens/>
        <w:ind w:left="567" w:hanging="567"/>
        <w:rPr>
          <w:szCs w:val="22"/>
        </w:rPr>
      </w:pPr>
      <w:r w:rsidRPr="00866BC1">
        <w:rPr>
          <w:szCs w:val="22"/>
        </w:rPr>
        <w:t xml:space="preserve">jei yra alergija doksiciklinui, bet kuriam kitam tetraciklinų grupės antibiotikui, arba bet kuriai pagalbinei šio vaisto medžiagai (jos išvardytos 6 skyriuje); </w:t>
      </w:r>
    </w:p>
    <w:p w:rsidR="00BF3B27" w:rsidRPr="00866BC1" w:rsidRDefault="00BF3B27" w:rsidP="00BF3B27">
      <w:pPr>
        <w:numPr>
          <w:ilvl w:val="0"/>
          <w:numId w:val="4"/>
        </w:numPr>
        <w:tabs>
          <w:tab w:val="clear" w:pos="0"/>
          <w:tab w:val="num" w:pos="567"/>
        </w:tabs>
        <w:suppressAutoHyphens/>
        <w:ind w:firstLine="0"/>
        <w:rPr>
          <w:szCs w:val="22"/>
        </w:rPr>
      </w:pPr>
      <w:r w:rsidRPr="00866BC1">
        <w:rPr>
          <w:szCs w:val="22"/>
        </w:rPr>
        <w:t xml:space="preserve">jei sergate sunkia porfirija (reta genetine kraujo liga); </w:t>
      </w:r>
    </w:p>
    <w:p w:rsidR="00BF3B27" w:rsidRPr="00866BC1" w:rsidRDefault="00BF3B27" w:rsidP="00BF3B27">
      <w:pPr>
        <w:numPr>
          <w:ilvl w:val="0"/>
          <w:numId w:val="4"/>
        </w:numPr>
        <w:tabs>
          <w:tab w:val="clear" w:pos="0"/>
          <w:tab w:val="num" w:pos="567"/>
        </w:tabs>
        <w:suppressAutoHyphens/>
        <w:ind w:left="567" w:hanging="567"/>
        <w:rPr>
          <w:szCs w:val="22"/>
        </w:rPr>
      </w:pPr>
      <w:r w:rsidRPr="00866BC1">
        <w:rPr>
          <w:szCs w:val="22"/>
        </w:rPr>
        <w:t xml:space="preserve">jei sergate sistemine raudonąja vilklige (autoimunine liga, kuriai būdingas bėrimas, plaukų slinkimas, karščiavimas, nuovargis ir sąnarių skausmas); </w:t>
      </w:r>
    </w:p>
    <w:p w:rsidR="00BF3B27" w:rsidRPr="00866BC1" w:rsidRDefault="00BF3B27" w:rsidP="00BF3B27">
      <w:pPr>
        <w:numPr>
          <w:ilvl w:val="0"/>
          <w:numId w:val="4"/>
        </w:numPr>
        <w:tabs>
          <w:tab w:val="clear" w:pos="0"/>
          <w:tab w:val="num" w:pos="567"/>
        </w:tabs>
        <w:suppressAutoHyphens/>
        <w:ind w:firstLine="0"/>
        <w:rPr>
          <w:szCs w:val="22"/>
        </w:rPr>
      </w:pPr>
      <w:r w:rsidRPr="00866BC1">
        <w:rPr>
          <w:szCs w:val="22"/>
        </w:rPr>
        <w:lastRenderedPageBreak/>
        <w:t>nėščioms moterims ir žindyvėms.</w:t>
      </w:r>
    </w:p>
    <w:p w:rsidR="00BF3B27" w:rsidRDefault="00BF3B27" w:rsidP="00BF3B27">
      <w:pPr>
        <w:ind w:left="-360"/>
        <w:rPr>
          <w:szCs w:val="22"/>
        </w:rPr>
      </w:pPr>
    </w:p>
    <w:p w:rsidR="00BF3B27" w:rsidRDefault="00BF3B27" w:rsidP="00BF3B27">
      <w:pPr>
        <w:rPr>
          <w:szCs w:val="22"/>
        </w:rPr>
      </w:pPr>
      <w:r>
        <w:rPr>
          <w:szCs w:val="22"/>
        </w:rPr>
        <w:t>Nevartokite doksiciklino dantų vystymosi metu (nėštumo laikotarpiu, kūdikystės metu ar vaikams iki 8 metų amžiaus), nes dantų spalva gali pakisti negrįžtamai (jie tampa geltonai pilki ar rudi), arba gali sutrikti dantų vystymasis.</w:t>
      </w:r>
    </w:p>
    <w:p w:rsidR="00BF3B27" w:rsidRDefault="00BF3B27" w:rsidP="00BF3B27">
      <w:pPr>
        <w:rPr>
          <w:szCs w:val="22"/>
        </w:rPr>
      </w:pPr>
      <w:r>
        <w:rPr>
          <w:szCs w:val="22"/>
        </w:rPr>
        <w:t>Gali būti atvejų (pvz., sunkios ar gyvybei pavojingos būklės), kuomet Jūsų gydytojas nuspręs, kad nauda yra didesnė už galimą riziką ir jaunesniam nei 8 metų vaikui skirs doksicikliną.</w:t>
      </w:r>
    </w:p>
    <w:p w:rsidR="00BF3B27" w:rsidRPr="00866BC1" w:rsidRDefault="00BF3B27" w:rsidP="00BF3B27">
      <w:pPr>
        <w:ind w:left="-360"/>
        <w:rPr>
          <w:szCs w:val="22"/>
        </w:rPr>
      </w:pPr>
      <w:r>
        <w:rPr>
          <w:szCs w:val="22"/>
        </w:rPr>
        <w:t xml:space="preserve"> </w:t>
      </w:r>
    </w:p>
    <w:p w:rsidR="00BF3B27" w:rsidRPr="00866BC1" w:rsidRDefault="00BF3B27" w:rsidP="00BF3B27">
      <w:pPr>
        <w:pStyle w:val="Antrat5"/>
        <w:numPr>
          <w:ilvl w:val="4"/>
          <w:numId w:val="3"/>
        </w:numPr>
        <w:suppressAutoHyphens/>
        <w:ind w:left="567" w:hanging="567"/>
        <w:rPr>
          <w:szCs w:val="22"/>
        </w:rPr>
      </w:pPr>
      <w:r w:rsidRPr="00866BC1">
        <w:rPr>
          <w:szCs w:val="22"/>
        </w:rPr>
        <w:t>Įspėjimai ir atsargumo priemonės</w:t>
      </w:r>
    </w:p>
    <w:p w:rsidR="00BF3B27" w:rsidRPr="00866BC1" w:rsidRDefault="00BF3B27" w:rsidP="00BF3B27">
      <w:pPr>
        <w:pStyle w:val="Antrat5"/>
        <w:numPr>
          <w:ilvl w:val="4"/>
          <w:numId w:val="3"/>
        </w:numPr>
        <w:suppressAutoHyphens/>
        <w:ind w:left="567" w:hanging="567"/>
        <w:rPr>
          <w:b w:val="0"/>
          <w:szCs w:val="22"/>
        </w:rPr>
      </w:pPr>
      <w:r w:rsidRPr="00866BC1">
        <w:rPr>
          <w:b w:val="0"/>
          <w:szCs w:val="22"/>
        </w:rPr>
        <w:t>Pasitarkite su gydytoju arba vaistininku prieš pradėdami vartoti DOXYCYCLIN TC.</w:t>
      </w:r>
    </w:p>
    <w:p w:rsidR="00BF3B27" w:rsidRPr="00866BC1" w:rsidRDefault="00BF3B27" w:rsidP="00BF3B27">
      <w:pPr>
        <w:rPr>
          <w:szCs w:val="22"/>
        </w:rPr>
      </w:pPr>
    </w:p>
    <w:p w:rsidR="00BF3B27" w:rsidRPr="00866BC1" w:rsidRDefault="00BF3B27" w:rsidP="00BF3B27">
      <w:pPr>
        <w:rPr>
          <w:szCs w:val="22"/>
        </w:rPr>
      </w:pPr>
      <w:r w:rsidRPr="00866BC1">
        <w:rPr>
          <w:szCs w:val="22"/>
        </w:rPr>
        <w:t>Ligoniai, sergantys lengvu ar vidutinio sunkumo kepenų nepakankamumu, DOXYCYCLIN TC turi vartoti atsargiai.</w:t>
      </w:r>
    </w:p>
    <w:p w:rsidR="00BF3B27" w:rsidRPr="00866BC1" w:rsidRDefault="00BF3B27" w:rsidP="00BF3B27">
      <w:pPr>
        <w:rPr>
          <w:szCs w:val="22"/>
        </w:rPr>
      </w:pPr>
    </w:p>
    <w:p w:rsidR="00BF3B27" w:rsidRPr="00866BC1" w:rsidRDefault="00BF3B27" w:rsidP="00BF3B27">
      <w:pPr>
        <w:rPr>
          <w:szCs w:val="22"/>
        </w:rPr>
      </w:pPr>
      <w:r w:rsidRPr="00866BC1">
        <w:rPr>
          <w:szCs w:val="22"/>
        </w:rPr>
        <w:t>Vartodami DOXYCYCLIN TC, venkite tiesioginių saulės spindulių ar dirbtinių ultravioletinių spindulių (pvz., kaitinimosi soliariume). Vartokite apsauginio kremo nuo saulės, kad sumažintumėte odos nudegimo riziką. Atsiradus odos nudegimo saulėje požymių, nutraukite vaisto vartojimą.</w:t>
      </w:r>
    </w:p>
    <w:p w:rsidR="00BF3B27" w:rsidRPr="00866BC1" w:rsidRDefault="00BF3B27" w:rsidP="00BF3B27">
      <w:pPr>
        <w:rPr>
          <w:szCs w:val="22"/>
        </w:rPr>
      </w:pPr>
    </w:p>
    <w:p w:rsidR="00BF3B27" w:rsidRPr="00866BC1" w:rsidRDefault="00BF3B27" w:rsidP="00BF3B27">
      <w:pPr>
        <w:rPr>
          <w:szCs w:val="22"/>
        </w:rPr>
      </w:pPr>
      <w:r w:rsidRPr="00866BC1">
        <w:rPr>
          <w:szCs w:val="22"/>
        </w:rPr>
        <w:t xml:space="preserve">DOXYCYCLIN TC kauliniame audinyje sudaro sunkiai skaidomus junginius su kalciu. Šis procesas labai sustiprėja kaulinio audinio formavimosi metu, todėl gali netaisyklingai vystytis kaulai ir dantys, pakisti dantų spalva. Todėl vaikams, jaunesniems negu 8 metų, nėščioms moterims ir žindyvėms DOXYCYCLIN TC vartoti negalima (žr. skyrių “DOXYCYCLIN TC vartoti negalima”). </w:t>
      </w:r>
    </w:p>
    <w:p w:rsidR="00BF3B27" w:rsidRPr="00866BC1" w:rsidRDefault="00BF3B27" w:rsidP="00BF3B27">
      <w:pPr>
        <w:pStyle w:val="Pagrindinistekstas"/>
        <w:spacing w:after="0"/>
        <w:rPr>
          <w:szCs w:val="22"/>
        </w:rPr>
      </w:pPr>
    </w:p>
    <w:p w:rsidR="00BF3B27" w:rsidRPr="00866BC1" w:rsidRDefault="00BF3B27" w:rsidP="00BF3B27">
      <w:pPr>
        <w:pStyle w:val="Pagrindinistekstas"/>
        <w:spacing w:after="0"/>
        <w:rPr>
          <w:b/>
          <w:szCs w:val="22"/>
        </w:rPr>
      </w:pPr>
      <w:r w:rsidRPr="00866BC1">
        <w:rPr>
          <w:b/>
        </w:rPr>
        <w:t xml:space="preserve">Kiti </w:t>
      </w:r>
      <w:r w:rsidRPr="00866BC1">
        <w:rPr>
          <w:b/>
          <w:szCs w:val="22"/>
        </w:rPr>
        <w:t>vaistai ir DOXYCYCLIN TC</w:t>
      </w:r>
      <w:r w:rsidRPr="00866BC1" w:rsidDel="008520E5">
        <w:rPr>
          <w:b/>
          <w:szCs w:val="22"/>
        </w:rPr>
        <w:t xml:space="preserve"> </w:t>
      </w:r>
    </w:p>
    <w:p w:rsidR="00BF3B27" w:rsidRPr="00866BC1" w:rsidRDefault="00BF3B27" w:rsidP="00BF3B27">
      <w:pPr>
        <w:pStyle w:val="Pagrindinistekstas"/>
        <w:spacing w:after="0"/>
        <w:rPr>
          <w:szCs w:val="22"/>
        </w:rPr>
      </w:pPr>
      <w:r w:rsidRPr="00866BC1">
        <w:rPr>
          <w:szCs w:val="22"/>
        </w:rPr>
        <w:t>Jeigu vartojate arba neseniai vartojote kitų vaistų arba dėl to nesate tikri, apie tai, pasakykite gydytojui arba vaistininkui.</w:t>
      </w:r>
    </w:p>
    <w:p w:rsidR="00BF3B27" w:rsidRPr="00866BC1" w:rsidRDefault="00BF3B27" w:rsidP="00BF3B27">
      <w:pPr>
        <w:pStyle w:val="Pagrindinistekstas"/>
        <w:spacing w:after="0"/>
        <w:ind w:left="567" w:hanging="567"/>
        <w:rPr>
          <w:szCs w:val="22"/>
        </w:rPr>
      </w:pPr>
    </w:p>
    <w:p w:rsidR="00BF3B27" w:rsidRPr="00866BC1" w:rsidRDefault="00BF3B27" w:rsidP="00BF3B27">
      <w:pPr>
        <w:tabs>
          <w:tab w:val="left" w:pos="567"/>
        </w:tabs>
        <w:rPr>
          <w:szCs w:val="22"/>
        </w:rPr>
      </w:pPr>
      <w:r w:rsidRPr="00866BC1">
        <w:rPr>
          <w:szCs w:val="22"/>
        </w:rPr>
        <w:t>Labai svarbu pasakyti gydytojui arba vaistininkui, jei vartojate bet kurio iš šių vaistų:</w:t>
      </w:r>
    </w:p>
    <w:p w:rsidR="00BF3B27" w:rsidRPr="00866BC1" w:rsidRDefault="00BF3B27" w:rsidP="00BF3B27">
      <w:pPr>
        <w:numPr>
          <w:ilvl w:val="0"/>
          <w:numId w:val="5"/>
        </w:numPr>
        <w:suppressAutoHyphens/>
        <w:ind w:left="567" w:hanging="567"/>
        <w:rPr>
          <w:szCs w:val="22"/>
        </w:rPr>
      </w:pPr>
      <w:r w:rsidRPr="00866BC1">
        <w:rPr>
          <w:szCs w:val="22"/>
        </w:rPr>
        <w:t>antibiotikų, kurie priklauso penicilinų arba cefalosporinų grupei,</w:t>
      </w:r>
    </w:p>
    <w:p w:rsidR="00BF3B27" w:rsidRPr="00866BC1" w:rsidRDefault="00BF3B27" w:rsidP="00BF3B27">
      <w:pPr>
        <w:numPr>
          <w:ilvl w:val="0"/>
          <w:numId w:val="5"/>
        </w:numPr>
        <w:suppressAutoHyphens/>
        <w:ind w:left="567" w:hanging="567"/>
        <w:rPr>
          <w:szCs w:val="22"/>
        </w:rPr>
      </w:pPr>
      <w:r w:rsidRPr="00866BC1">
        <w:rPr>
          <w:szCs w:val="22"/>
        </w:rPr>
        <w:t>rifampicino (vartojamo tuberkuliozės gydymui),</w:t>
      </w:r>
    </w:p>
    <w:p w:rsidR="00BF3B27" w:rsidRPr="00866BC1" w:rsidRDefault="00BF3B27" w:rsidP="00BF3B27">
      <w:pPr>
        <w:numPr>
          <w:ilvl w:val="0"/>
          <w:numId w:val="5"/>
        </w:numPr>
        <w:suppressAutoHyphens/>
        <w:ind w:left="567" w:hanging="567"/>
        <w:rPr>
          <w:szCs w:val="22"/>
        </w:rPr>
      </w:pPr>
      <w:r w:rsidRPr="00866BC1">
        <w:rPr>
          <w:szCs w:val="22"/>
        </w:rPr>
        <w:t>barbitūratų (stiprių migdomųjų vaistų),</w:t>
      </w:r>
    </w:p>
    <w:p w:rsidR="00BF3B27" w:rsidRPr="00866BC1" w:rsidRDefault="00BF3B27" w:rsidP="00BF3B27">
      <w:pPr>
        <w:numPr>
          <w:ilvl w:val="0"/>
          <w:numId w:val="5"/>
        </w:numPr>
        <w:suppressAutoHyphens/>
        <w:ind w:left="567" w:hanging="567"/>
        <w:rPr>
          <w:szCs w:val="22"/>
        </w:rPr>
      </w:pPr>
      <w:r w:rsidRPr="00866BC1">
        <w:rPr>
          <w:szCs w:val="22"/>
        </w:rPr>
        <w:t xml:space="preserve">vaistų nuo epilepsijos (pvz., karbamazepino, primidono, fenitoino), </w:t>
      </w:r>
    </w:p>
    <w:p w:rsidR="00BF3B27" w:rsidRPr="00866BC1" w:rsidRDefault="00BF3B27" w:rsidP="00BF3B27">
      <w:pPr>
        <w:numPr>
          <w:ilvl w:val="0"/>
          <w:numId w:val="5"/>
        </w:numPr>
        <w:suppressAutoHyphens/>
        <w:ind w:left="567" w:hanging="567"/>
        <w:rPr>
          <w:szCs w:val="22"/>
        </w:rPr>
      </w:pPr>
      <w:r w:rsidRPr="00866BC1">
        <w:rPr>
          <w:szCs w:val="22"/>
        </w:rPr>
        <w:t>geriamųjų vaistų nuo diabeto (pvz., sulfanilkarbamidų),</w:t>
      </w:r>
    </w:p>
    <w:p w:rsidR="00BF3B27" w:rsidRPr="00866BC1" w:rsidRDefault="00BF3B27" w:rsidP="00BF3B27">
      <w:pPr>
        <w:numPr>
          <w:ilvl w:val="0"/>
          <w:numId w:val="5"/>
        </w:numPr>
        <w:suppressAutoHyphens/>
        <w:ind w:left="567" w:hanging="567"/>
        <w:rPr>
          <w:szCs w:val="22"/>
        </w:rPr>
      </w:pPr>
      <w:r w:rsidRPr="00866BC1">
        <w:rPr>
          <w:szCs w:val="22"/>
        </w:rPr>
        <w:t>vaistų, mažinančių kraujo krešumą,</w:t>
      </w:r>
    </w:p>
    <w:p w:rsidR="00BF3B27" w:rsidRPr="00866BC1" w:rsidRDefault="00BF3B27" w:rsidP="00BF3B27">
      <w:pPr>
        <w:numPr>
          <w:ilvl w:val="0"/>
          <w:numId w:val="5"/>
        </w:numPr>
        <w:suppressAutoHyphens/>
        <w:ind w:left="567" w:hanging="567"/>
        <w:rPr>
          <w:szCs w:val="22"/>
        </w:rPr>
      </w:pPr>
      <w:r w:rsidRPr="00866BC1">
        <w:rPr>
          <w:szCs w:val="22"/>
        </w:rPr>
        <w:t>ciklosporino (vartojamo organizmo imuninei sistemai slopinti po organų persodinimo),</w:t>
      </w:r>
    </w:p>
    <w:p w:rsidR="00BF3B27" w:rsidRPr="00866BC1" w:rsidRDefault="00BF3B27" w:rsidP="00BF3B27">
      <w:pPr>
        <w:numPr>
          <w:ilvl w:val="0"/>
          <w:numId w:val="5"/>
        </w:numPr>
        <w:suppressAutoHyphens/>
        <w:ind w:left="567" w:hanging="567"/>
        <w:rPr>
          <w:szCs w:val="22"/>
        </w:rPr>
      </w:pPr>
      <w:r w:rsidRPr="00866BC1">
        <w:rPr>
          <w:szCs w:val="22"/>
        </w:rPr>
        <w:t>metoksiflurano (vartojamo anestezijai),</w:t>
      </w:r>
    </w:p>
    <w:p w:rsidR="00BF3B27" w:rsidRPr="00866BC1" w:rsidRDefault="00BF3B27" w:rsidP="00BF3B27">
      <w:pPr>
        <w:numPr>
          <w:ilvl w:val="0"/>
          <w:numId w:val="5"/>
        </w:numPr>
        <w:suppressAutoHyphens/>
        <w:ind w:left="567" w:hanging="567"/>
        <w:rPr>
          <w:szCs w:val="22"/>
        </w:rPr>
      </w:pPr>
      <w:r w:rsidRPr="00866BC1">
        <w:rPr>
          <w:szCs w:val="22"/>
        </w:rPr>
        <w:t>izotretinoino (var</w:t>
      </w:r>
      <w:r>
        <w:rPr>
          <w:szCs w:val="22"/>
        </w:rPr>
        <w:t>t</w:t>
      </w:r>
      <w:r w:rsidRPr="00866BC1">
        <w:rPr>
          <w:szCs w:val="22"/>
        </w:rPr>
        <w:t>ojamo sunkiai aknei gydyti),</w:t>
      </w:r>
    </w:p>
    <w:p w:rsidR="00BF3B27" w:rsidRPr="00866BC1" w:rsidRDefault="00BF3B27" w:rsidP="00BF3B27">
      <w:pPr>
        <w:numPr>
          <w:ilvl w:val="0"/>
          <w:numId w:val="5"/>
        </w:numPr>
        <w:suppressAutoHyphens/>
        <w:ind w:left="567" w:hanging="567"/>
        <w:rPr>
          <w:szCs w:val="22"/>
        </w:rPr>
      </w:pPr>
      <w:r w:rsidRPr="00866BC1">
        <w:rPr>
          <w:szCs w:val="22"/>
        </w:rPr>
        <w:t>teofilino (nuo astmos),</w:t>
      </w:r>
    </w:p>
    <w:p w:rsidR="00BF3B27" w:rsidRPr="00866BC1" w:rsidRDefault="00BF3B27" w:rsidP="00BF3B27">
      <w:pPr>
        <w:numPr>
          <w:ilvl w:val="0"/>
          <w:numId w:val="5"/>
        </w:numPr>
        <w:suppressAutoHyphens/>
        <w:ind w:left="567" w:hanging="567"/>
        <w:rPr>
          <w:szCs w:val="22"/>
        </w:rPr>
      </w:pPr>
      <w:r w:rsidRPr="00866BC1">
        <w:rPr>
          <w:szCs w:val="22"/>
        </w:rPr>
        <w:t xml:space="preserve">antacidinių vaistų (vaistų, kurie mažina skrandžio gaminamos rūgšties kiekį), </w:t>
      </w:r>
    </w:p>
    <w:p w:rsidR="00BF3B27" w:rsidRPr="00866BC1" w:rsidRDefault="00BF3B27" w:rsidP="00BF3B27">
      <w:pPr>
        <w:numPr>
          <w:ilvl w:val="0"/>
          <w:numId w:val="5"/>
        </w:numPr>
        <w:suppressAutoHyphens/>
        <w:ind w:left="567" w:hanging="567"/>
        <w:rPr>
          <w:szCs w:val="22"/>
        </w:rPr>
      </w:pPr>
      <w:r w:rsidRPr="00866BC1">
        <w:rPr>
          <w:szCs w:val="22"/>
        </w:rPr>
        <w:t>vaistų ar maisto papildų, kurių sudėtyje yra geležies,</w:t>
      </w:r>
    </w:p>
    <w:p w:rsidR="00BF3B27" w:rsidRPr="00866BC1" w:rsidRDefault="00BF3B27" w:rsidP="00BF3B27">
      <w:pPr>
        <w:numPr>
          <w:ilvl w:val="0"/>
          <w:numId w:val="5"/>
        </w:numPr>
        <w:suppressAutoHyphens/>
        <w:ind w:left="567" w:hanging="567"/>
        <w:rPr>
          <w:szCs w:val="22"/>
        </w:rPr>
      </w:pPr>
      <w:r w:rsidRPr="00866BC1">
        <w:rPr>
          <w:szCs w:val="22"/>
        </w:rPr>
        <w:t>aktyvintosios anglies</w:t>
      </w:r>
    </w:p>
    <w:p w:rsidR="00BF3B27" w:rsidRPr="00866BC1" w:rsidRDefault="00BF3B27" w:rsidP="00BF3B27">
      <w:pPr>
        <w:numPr>
          <w:ilvl w:val="0"/>
          <w:numId w:val="5"/>
        </w:numPr>
        <w:tabs>
          <w:tab w:val="left" w:pos="567"/>
        </w:tabs>
        <w:ind w:left="567" w:hanging="567"/>
        <w:rPr>
          <w:szCs w:val="22"/>
        </w:rPr>
      </w:pPr>
      <w:r w:rsidRPr="00866BC1">
        <w:rPr>
          <w:szCs w:val="22"/>
        </w:rPr>
        <w:t>cholestiramino ar kolestipolio (vartojamų mažinti cholest</w:t>
      </w:r>
      <w:r>
        <w:rPr>
          <w:szCs w:val="22"/>
        </w:rPr>
        <w:t>e</w:t>
      </w:r>
      <w:r w:rsidRPr="00866BC1">
        <w:rPr>
          <w:szCs w:val="22"/>
        </w:rPr>
        <w:t>r</w:t>
      </w:r>
      <w:r>
        <w:rPr>
          <w:szCs w:val="22"/>
        </w:rPr>
        <w:t>o</w:t>
      </w:r>
      <w:r w:rsidRPr="00866BC1">
        <w:rPr>
          <w:szCs w:val="22"/>
        </w:rPr>
        <w:t xml:space="preserve">lio kiekį kraujyje), </w:t>
      </w:r>
    </w:p>
    <w:p w:rsidR="00BF3B27" w:rsidRPr="00866BC1" w:rsidRDefault="00BF3B27" w:rsidP="00BF3B27">
      <w:pPr>
        <w:numPr>
          <w:ilvl w:val="0"/>
          <w:numId w:val="5"/>
        </w:numPr>
        <w:tabs>
          <w:tab w:val="left" w:pos="567"/>
        </w:tabs>
        <w:ind w:left="567" w:hanging="567"/>
        <w:rPr>
          <w:szCs w:val="22"/>
        </w:rPr>
      </w:pPr>
      <w:r w:rsidRPr="00866BC1">
        <w:rPr>
          <w:szCs w:val="22"/>
        </w:rPr>
        <w:t xml:space="preserve">kaolino (vartojamo viduriavimui gydyti), </w:t>
      </w:r>
    </w:p>
    <w:p w:rsidR="00BF3B27" w:rsidRPr="00866BC1" w:rsidRDefault="00BF3B27" w:rsidP="00BF3B27">
      <w:pPr>
        <w:numPr>
          <w:ilvl w:val="0"/>
          <w:numId w:val="5"/>
        </w:numPr>
        <w:tabs>
          <w:tab w:val="left" w:pos="567"/>
        </w:tabs>
        <w:ind w:left="567" w:hanging="567"/>
        <w:rPr>
          <w:szCs w:val="22"/>
        </w:rPr>
      </w:pPr>
      <w:r w:rsidRPr="00866BC1">
        <w:rPr>
          <w:szCs w:val="22"/>
        </w:rPr>
        <w:t xml:space="preserve">bismuto subsalicilato (vartojamo nuo rėmens ar viduriavimo), </w:t>
      </w:r>
    </w:p>
    <w:p w:rsidR="00BF3B27" w:rsidRPr="00866BC1" w:rsidRDefault="00BF3B27" w:rsidP="00BF3B27">
      <w:pPr>
        <w:numPr>
          <w:ilvl w:val="0"/>
          <w:numId w:val="5"/>
        </w:numPr>
        <w:tabs>
          <w:tab w:val="left" w:pos="567"/>
        </w:tabs>
        <w:ind w:left="567" w:hanging="567"/>
        <w:rPr>
          <w:szCs w:val="22"/>
        </w:rPr>
      </w:pPr>
      <w:r w:rsidRPr="00866BC1">
        <w:rPr>
          <w:szCs w:val="22"/>
        </w:rPr>
        <w:t xml:space="preserve">stroncio ranelato (vartojamo gydyti osteoporozei – būklei, kuri veikia kaulus, sukeldama jų silpnumą ir trapumą), </w:t>
      </w:r>
    </w:p>
    <w:p w:rsidR="00BF3B27" w:rsidRPr="00866BC1" w:rsidRDefault="00BF3B27" w:rsidP="00BF3B27">
      <w:pPr>
        <w:numPr>
          <w:ilvl w:val="0"/>
          <w:numId w:val="5"/>
        </w:numPr>
        <w:tabs>
          <w:tab w:val="left" w:pos="567"/>
        </w:tabs>
        <w:ind w:left="567" w:hanging="567"/>
        <w:rPr>
          <w:szCs w:val="22"/>
        </w:rPr>
      </w:pPr>
      <w:r w:rsidRPr="00866BC1">
        <w:rPr>
          <w:szCs w:val="22"/>
        </w:rPr>
        <w:t xml:space="preserve">kvinaprilio (vartojamo kraujo spaudimo mažinimui), </w:t>
      </w:r>
    </w:p>
    <w:p w:rsidR="00BF3B27" w:rsidRPr="00866BC1" w:rsidRDefault="00BF3B27" w:rsidP="00BF3B27">
      <w:pPr>
        <w:numPr>
          <w:ilvl w:val="0"/>
          <w:numId w:val="5"/>
        </w:numPr>
        <w:tabs>
          <w:tab w:val="left" w:pos="567"/>
        </w:tabs>
        <w:ind w:left="567" w:hanging="567"/>
        <w:rPr>
          <w:szCs w:val="22"/>
        </w:rPr>
      </w:pPr>
      <w:r w:rsidRPr="00866BC1">
        <w:rPr>
          <w:szCs w:val="22"/>
        </w:rPr>
        <w:t xml:space="preserve">sukralfato (vartojamo siekiant išvengti skrandžio opų ir jas gydyti), </w:t>
      </w:r>
    </w:p>
    <w:p w:rsidR="00BF3B27" w:rsidRPr="00866BC1" w:rsidRDefault="00BF3B27" w:rsidP="00BF3B27">
      <w:pPr>
        <w:numPr>
          <w:ilvl w:val="0"/>
          <w:numId w:val="5"/>
        </w:numPr>
        <w:tabs>
          <w:tab w:val="left" w:pos="567"/>
        </w:tabs>
        <w:ind w:left="567" w:hanging="567"/>
        <w:rPr>
          <w:szCs w:val="22"/>
        </w:rPr>
      </w:pPr>
      <w:r w:rsidRPr="00866BC1">
        <w:rPr>
          <w:szCs w:val="22"/>
        </w:rPr>
        <w:t xml:space="preserve">geriamųjų kontraceptikų. Kol vartojate DOXYCYCLIN TC, </w:t>
      </w:r>
      <w:bookmarkStart w:id="2" w:name="result_box13"/>
      <w:bookmarkEnd w:id="2"/>
      <w:r w:rsidRPr="00866BC1">
        <w:rPr>
          <w:szCs w:val="22"/>
        </w:rPr>
        <w:t>turite naudoti papildomas nehormonines apsaugos nuo nėštumo priemones.</w:t>
      </w:r>
    </w:p>
    <w:p w:rsidR="00BF3B27" w:rsidRPr="00866BC1" w:rsidRDefault="00BF3B27" w:rsidP="00BF3B27">
      <w:pPr>
        <w:pStyle w:val="Pagrindinistekstas"/>
        <w:spacing w:after="0"/>
        <w:ind w:left="567" w:hanging="567"/>
        <w:rPr>
          <w:szCs w:val="22"/>
        </w:rPr>
      </w:pPr>
    </w:p>
    <w:p w:rsidR="00BF3B27" w:rsidRPr="00866BC1" w:rsidRDefault="00BF3B27" w:rsidP="00BF3B27">
      <w:pPr>
        <w:tabs>
          <w:tab w:val="left" w:pos="567"/>
        </w:tabs>
        <w:rPr>
          <w:i/>
        </w:rPr>
      </w:pPr>
      <w:r w:rsidRPr="00866BC1">
        <w:rPr>
          <w:i/>
        </w:rPr>
        <w:t>Įtaka laboratorinių tyrimų rezultatams</w:t>
      </w:r>
    </w:p>
    <w:p w:rsidR="00BF3B27" w:rsidRPr="00866BC1" w:rsidRDefault="00BF3B27" w:rsidP="00BF3B27">
      <w:pPr>
        <w:tabs>
          <w:tab w:val="left" w:pos="567"/>
        </w:tabs>
        <w:rPr>
          <w:szCs w:val="22"/>
        </w:rPr>
      </w:pPr>
      <w:r w:rsidRPr="00866BC1">
        <w:rPr>
          <w:szCs w:val="22"/>
        </w:rPr>
        <w:t>DOXYCYCLIN TC vartojimas gali iškreipti kai kurių laboratorinių tyrimų rezultatus, ypač gliukozės, baltymų, urobilinogeno ar katecholaminų šlapime rezultatus. Jei Jums bus atliekamas šlapimo tyrimas, labai svarbu įspėti gydytoją, jog vartojate DOXYCYCLIN TC.</w:t>
      </w:r>
    </w:p>
    <w:p w:rsidR="00BF3B27" w:rsidRPr="00866BC1" w:rsidRDefault="00BF3B27" w:rsidP="00BF3B27">
      <w:pPr>
        <w:pStyle w:val="Pagrindinistekstas"/>
        <w:spacing w:after="0"/>
        <w:rPr>
          <w:bCs/>
          <w:iCs/>
          <w:szCs w:val="22"/>
        </w:rPr>
      </w:pPr>
    </w:p>
    <w:p w:rsidR="00BF3B27" w:rsidRPr="00866BC1" w:rsidRDefault="00BF3B27" w:rsidP="00BF3B27">
      <w:pPr>
        <w:pStyle w:val="Antrat3"/>
        <w:numPr>
          <w:ilvl w:val="2"/>
          <w:numId w:val="3"/>
        </w:numPr>
        <w:suppressAutoHyphens/>
        <w:rPr>
          <w:szCs w:val="22"/>
        </w:rPr>
      </w:pPr>
      <w:r w:rsidRPr="00866BC1">
        <w:rPr>
          <w:szCs w:val="22"/>
        </w:rPr>
        <w:t>DOXYCYCLIN TC vartojimas su maistu ir gėrimais</w:t>
      </w:r>
    </w:p>
    <w:p w:rsidR="00BF3B27" w:rsidRPr="00866BC1" w:rsidRDefault="00BF3B27" w:rsidP="00BF3B27">
      <w:pPr>
        <w:widowControl w:val="0"/>
        <w:ind w:right="278"/>
        <w:jc w:val="both"/>
        <w:rPr>
          <w:szCs w:val="22"/>
        </w:rPr>
      </w:pPr>
      <w:r w:rsidRPr="00866BC1">
        <w:rPr>
          <w:szCs w:val="22"/>
        </w:rPr>
        <w:t>Nevartokite pieno ar pieno produktų kartu su DOXYCYCLIN TC, nes šiuose produktuose yra kalcio, kuris gali sumažinti vaisto veiksmingumą. Po DOXYCYCLIN TC pavartojimo palaukite 2 – 3 valandas ir tik tada vartokite pieno produktus.</w:t>
      </w:r>
    </w:p>
    <w:p w:rsidR="00BF3B27" w:rsidRPr="00866BC1" w:rsidRDefault="00BF3B27" w:rsidP="00BF3B27">
      <w:pPr>
        <w:widowControl w:val="0"/>
        <w:ind w:right="278"/>
        <w:jc w:val="both"/>
        <w:rPr>
          <w:szCs w:val="22"/>
        </w:rPr>
      </w:pPr>
      <w:r w:rsidRPr="00866BC1">
        <w:rPr>
          <w:szCs w:val="22"/>
        </w:rPr>
        <w:t xml:space="preserve"> </w:t>
      </w:r>
    </w:p>
    <w:p w:rsidR="00BF3B27" w:rsidRPr="00866BC1" w:rsidRDefault="00BF3B27" w:rsidP="00BF3B27">
      <w:pPr>
        <w:pStyle w:val="Antrat3"/>
        <w:numPr>
          <w:ilvl w:val="2"/>
          <w:numId w:val="3"/>
        </w:numPr>
        <w:suppressAutoHyphens/>
        <w:rPr>
          <w:szCs w:val="22"/>
        </w:rPr>
      </w:pPr>
      <w:r w:rsidRPr="00866BC1">
        <w:rPr>
          <w:szCs w:val="22"/>
        </w:rPr>
        <w:t>Nėštumas ir žindymo laikotarpis</w:t>
      </w:r>
    </w:p>
    <w:p w:rsidR="00BF3B27" w:rsidRPr="00866BC1" w:rsidRDefault="00BF3B27" w:rsidP="00BF3B27">
      <w:pPr>
        <w:rPr>
          <w:szCs w:val="22"/>
        </w:rPr>
      </w:pPr>
      <w:r w:rsidRPr="00866BC1">
        <w:rPr>
          <w:szCs w:val="22"/>
        </w:rPr>
        <w:t xml:space="preserve">Jeigu esate nėščia, žindote kūdikį, manote, kad galbūt esate nėščia arba planuojate pastoti, tai prieš vartodama šį vaistą pasitarkite su gydytoju arba vaistininku. </w:t>
      </w:r>
    </w:p>
    <w:p w:rsidR="00BF3B27" w:rsidRPr="00866BC1" w:rsidRDefault="00BF3B27" w:rsidP="00BF3B27">
      <w:pPr>
        <w:rPr>
          <w:szCs w:val="22"/>
        </w:rPr>
      </w:pPr>
      <w:r w:rsidRPr="00866BC1">
        <w:rPr>
          <w:szCs w:val="22"/>
        </w:rPr>
        <w:t>DOXYCYCLIN TC negalima vartoti nėščioms moterims ir žindyvėms.</w:t>
      </w:r>
    </w:p>
    <w:p w:rsidR="00BF3B27" w:rsidRPr="00866BC1" w:rsidRDefault="00BF3B27" w:rsidP="00BF3B27">
      <w:pPr>
        <w:widowControl w:val="0"/>
        <w:ind w:right="278"/>
        <w:jc w:val="both"/>
        <w:rPr>
          <w:szCs w:val="22"/>
        </w:rPr>
      </w:pPr>
    </w:p>
    <w:p w:rsidR="00BF3B27" w:rsidRPr="00866BC1" w:rsidRDefault="00BF3B27" w:rsidP="00BF3B27">
      <w:pPr>
        <w:pStyle w:val="Antrat3"/>
        <w:numPr>
          <w:ilvl w:val="2"/>
          <w:numId w:val="3"/>
        </w:numPr>
        <w:suppressAutoHyphens/>
        <w:rPr>
          <w:szCs w:val="22"/>
        </w:rPr>
      </w:pPr>
      <w:r w:rsidRPr="00866BC1">
        <w:rPr>
          <w:szCs w:val="22"/>
        </w:rPr>
        <w:t>Vairavimas ir mechanizmų valdymas</w:t>
      </w:r>
    </w:p>
    <w:p w:rsidR="00BF3B27" w:rsidRPr="00866BC1" w:rsidRDefault="00BF3B27" w:rsidP="00BF3B27">
      <w:pPr>
        <w:numPr>
          <w:ilvl w:val="2"/>
          <w:numId w:val="3"/>
        </w:numPr>
        <w:suppressAutoHyphens/>
        <w:rPr>
          <w:szCs w:val="22"/>
        </w:rPr>
      </w:pPr>
      <w:r w:rsidRPr="00866BC1">
        <w:rPr>
          <w:szCs w:val="22"/>
        </w:rPr>
        <w:t>Nėra žinoma, ar DOXYCYCLIN TC veikia gebėjimą vairuoti automobilį ir valdyti mechanizmus.</w:t>
      </w:r>
    </w:p>
    <w:p w:rsidR="00BF3B27" w:rsidRPr="00866BC1" w:rsidRDefault="00BF3B27" w:rsidP="00BF3B27">
      <w:pPr>
        <w:pStyle w:val="Pagrindinistekstas"/>
        <w:spacing w:after="0"/>
        <w:rPr>
          <w:szCs w:val="22"/>
        </w:rPr>
      </w:pPr>
    </w:p>
    <w:p w:rsidR="00BF3B27" w:rsidRPr="00866BC1" w:rsidRDefault="00BF3B27" w:rsidP="00BF3B27">
      <w:pPr>
        <w:pStyle w:val="Pagrindinistekstas"/>
        <w:spacing w:after="0"/>
        <w:rPr>
          <w:b/>
          <w:szCs w:val="22"/>
        </w:rPr>
      </w:pPr>
      <w:bookmarkStart w:id="3" w:name="_Hlk166221555"/>
      <w:r w:rsidRPr="00866BC1">
        <w:rPr>
          <w:b/>
        </w:rPr>
        <w:t xml:space="preserve">DOXYCYCLIN TC </w:t>
      </w:r>
      <w:r w:rsidRPr="00866BC1">
        <w:rPr>
          <w:b/>
          <w:szCs w:val="22"/>
        </w:rPr>
        <w:t>sudėtyje</w:t>
      </w:r>
      <w:r w:rsidRPr="00866BC1">
        <w:rPr>
          <w:b/>
        </w:rPr>
        <w:t xml:space="preserve"> yra laktozės </w:t>
      </w:r>
    </w:p>
    <w:bookmarkEnd w:id="3"/>
    <w:p w:rsidR="00BF3B27" w:rsidRDefault="00BF3B27" w:rsidP="00BF3B27">
      <w:pPr>
        <w:pStyle w:val="Pagrindinistekstas"/>
        <w:spacing w:after="0"/>
      </w:pPr>
      <w:r w:rsidRPr="00866BC1">
        <w:rPr>
          <w:szCs w:val="22"/>
        </w:rPr>
        <w:t>Jeigu gydytojas Jums yra sakęs, kad netoleruojate kokių nors angliavandenių, kreipkitės į jį prieš pradėdami vartoti šį vaistą</w:t>
      </w:r>
      <w:r w:rsidRPr="00866BC1">
        <w:t>.</w:t>
      </w:r>
    </w:p>
    <w:p w:rsidR="00BF3B27" w:rsidRDefault="00BF3B27" w:rsidP="00BF3B27">
      <w:pPr>
        <w:pStyle w:val="Pagrindinistekstas"/>
        <w:spacing w:after="0"/>
      </w:pPr>
    </w:p>
    <w:p w:rsidR="00BF3B27" w:rsidRPr="00983775" w:rsidRDefault="00BF3B27" w:rsidP="00BF3B27">
      <w:pPr>
        <w:pStyle w:val="Pagrindinistekstas"/>
        <w:spacing w:after="0"/>
        <w:rPr>
          <w:b/>
        </w:rPr>
      </w:pPr>
      <w:r w:rsidRPr="00983775">
        <w:rPr>
          <w:b/>
        </w:rPr>
        <w:t xml:space="preserve">DOXYCYCLIN TC sudėtyje yra </w:t>
      </w:r>
      <w:r>
        <w:rPr>
          <w:b/>
        </w:rPr>
        <w:t>natrio</w:t>
      </w:r>
      <w:r w:rsidRPr="00983775">
        <w:rPr>
          <w:b/>
        </w:rPr>
        <w:t xml:space="preserve"> </w:t>
      </w:r>
    </w:p>
    <w:p w:rsidR="00BF3B27" w:rsidRPr="00866BC1" w:rsidRDefault="00BF3B27" w:rsidP="00BF3B27">
      <w:pPr>
        <w:pStyle w:val="Pagrindinistekstas"/>
        <w:spacing w:after="0"/>
        <w:rPr>
          <w:szCs w:val="22"/>
        </w:rPr>
      </w:pPr>
      <w:r w:rsidRPr="00983775">
        <w:rPr>
          <w:rFonts w:eastAsia="TimesNewRoman"/>
          <w:szCs w:val="22"/>
          <w:lang w:eastAsia="en-US"/>
        </w:rPr>
        <w:t xml:space="preserve">Šio vaisto </w:t>
      </w:r>
      <w:r>
        <w:rPr>
          <w:rFonts w:eastAsia="TimesNewRoman"/>
          <w:szCs w:val="22"/>
          <w:lang w:eastAsia="en-US"/>
        </w:rPr>
        <w:t>kapsulėje</w:t>
      </w:r>
      <w:r w:rsidRPr="00983775">
        <w:rPr>
          <w:rFonts w:eastAsia="TimesNewRoman"/>
          <w:szCs w:val="22"/>
          <w:lang w:eastAsia="en-US"/>
        </w:rPr>
        <w:t xml:space="preserve"> yra mažiau kaip 1</w:t>
      </w:r>
      <w:r w:rsidRPr="00983775">
        <w:rPr>
          <w:szCs w:val="24"/>
          <w:lang w:eastAsia="en-US"/>
        </w:rPr>
        <w:t> </w:t>
      </w:r>
      <w:r w:rsidRPr="00983775">
        <w:rPr>
          <w:rFonts w:eastAsia="TimesNewRoman"/>
          <w:szCs w:val="22"/>
          <w:lang w:eastAsia="en-US"/>
        </w:rPr>
        <w:t>mmol</w:t>
      </w:r>
      <w:r w:rsidRPr="00983775">
        <w:rPr>
          <w:szCs w:val="24"/>
          <w:lang w:eastAsia="en-US"/>
        </w:rPr>
        <w:t> </w:t>
      </w:r>
      <w:r w:rsidRPr="00983775">
        <w:rPr>
          <w:rFonts w:eastAsia="TimesNewRoman"/>
          <w:szCs w:val="22"/>
          <w:lang w:eastAsia="en-US"/>
        </w:rPr>
        <w:t>(23</w:t>
      </w:r>
      <w:r>
        <w:rPr>
          <w:szCs w:val="24"/>
          <w:lang w:eastAsia="en-US"/>
        </w:rPr>
        <w:t> mg</w:t>
      </w:r>
      <w:r w:rsidRPr="00983775">
        <w:rPr>
          <w:rFonts w:eastAsia="TimesNewRoman"/>
          <w:szCs w:val="22"/>
          <w:lang w:eastAsia="en-US"/>
        </w:rPr>
        <w:t>) natrio, t.</w:t>
      </w:r>
      <w:r w:rsidRPr="00983775">
        <w:rPr>
          <w:szCs w:val="24"/>
          <w:lang w:eastAsia="en-US"/>
        </w:rPr>
        <w:t> </w:t>
      </w:r>
      <w:r w:rsidRPr="00983775">
        <w:rPr>
          <w:rFonts w:eastAsia="TimesNewRoman"/>
          <w:szCs w:val="22"/>
          <w:lang w:eastAsia="en-US"/>
        </w:rPr>
        <w:t>y. jis beveik neturi reikšmės.</w:t>
      </w:r>
    </w:p>
    <w:p w:rsidR="00BF3B27" w:rsidRDefault="00BF3B27" w:rsidP="00BF3B27">
      <w:pPr>
        <w:pStyle w:val="Pagrindinistekstas"/>
        <w:spacing w:after="0"/>
        <w:rPr>
          <w:szCs w:val="22"/>
        </w:rPr>
      </w:pPr>
    </w:p>
    <w:p w:rsidR="00BF3B27" w:rsidRPr="00866BC1" w:rsidRDefault="00BF3B27" w:rsidP="00BF3B27">
      <w:pPr>
        <w:pStyle w:val="Pagrindinistekstas"/>
        <w:spacing w:after="0"/>
        <w:rPr>
          <w:szCs w:val="22"/>
        </w:rPr>
      </w:pPr>
    </w:p>
    <w:p w:rsidR="00BF3B27" w:rsidRPr="00866BC1" w:rsidRDefault="00BF3B27" w:rsidP="00BF3B27">
      <w:pPr>
        <w:pStyle w:val="Antrat2"/>
        <w:rPr>
          <w:szCs w:val="22"/>
        </w:rPr>
      </w:pPr>
      <w:r w:rsidRPr="00866BC1">
        <w:rPr>
          <w:szCs w:val="22"/>
        </w:rPr>
        <w:t>3.</w:t>
      </w:r>
      <w:r w:rsidRPr="00866BC1">
        <w:rPr>
          <w:szCs w:val="22"/>
        </w:rPr>
        <w:tab/>
        <w:t>Kaip vartoti DOXYCYCLIN TC</w:t>
      </w:r>
    </w:p>
    <w:p w:rsidR="00BF3B27" w:rsidRPr="00866BC1" w:rsidRDefault="00BF3B27" w:rsidP="00BF3B27">
      <w:pPr>
        <w:pStyle w:val="Pagrindinistekstas"/>
        <w:spacing w:after="0"/>
        <w:rPr>
          <w:szCs w:val="22"/>
        </w:rPr>
      </w:pPr>
    </w:p>
    <w:p w:rsidR="00BF3B27" w:rsidRDefault="00BF3B27" w:rsidP="00BF3B27">
      <w:pPr>
        <w:pStyle w:val="Pagrindinistekstas"/>
        <w:spacing w:after="0"/>
        <w:rPr>
          <w:szCs w:val="22"/>
        </w:rPr>
      </w:pPr>
      <w:r w:rsidRPr="00866BC1">
        <w:rPr>
          <w:szCs w:val="22"/>
        </w:rPr>
        <w:t>Visada vartokite šį vaistą tiksliai kaip nurodė gydytojas. Jeigu abejojate, kreipkitės į gydytoją arba vaistininką.</w:t>
      </w:r>
    </w:p>
    <w:p w:rsidR="00BF3B27" w:rsidRDefault="00BF3B27" w:rsidP="00BF3B27">
      <w:pPr>
        <w:pStyle w:val="Pagrindinistekstas"/>
        <w:spacing w:after="0"/>
        <w:rPr>
          <w:szCs w:val="22"/>
        </w:rPr>
      </w:pPr>
    </w:p>
    <w:p w:rsidR="00BF3B27" w:rsidRDefault="00BF3B27" w:rsidP="00BF3B27">
      <w:pPr>
        <w:pStyle w:val="Pagrindinistekstas"/>
        <w:spacing w:after="0"/>
        <w:rPr>
          <w:szCs w:val="22"/>
        </w:rPr>
      </w:pPr>
      <w:r>
        <w:rPr>
          <w:szCs w:val="22"/>
        </w:rPr>
        <w:t xml:space="preserve">Rekomenduojamos dozės yra nurodytos žemiau pateikiamame sąraše. Tai yra skirtingos vaisto dozės, kurias gali skirti Jūsų gydytojas, priklausomai nuo to, kokia infekcija yra gydoma. </w:t>
      </w:r>
    </w:p>
    <w:p w:rsidR="00BF3B27" w:rsidRDefault="00BF3B27" w:rsidP="00BF3B27">
      <w:pPr>
        <w:pStyle w:val="Pagrindinistekstas"/>
        <w:spacing w:after="0"/>
        <w:rPr>
          <w:szCs w:val="22"/>
        </w:rPr>
      </w:pPr>
    </w:p>
    <w:p w:rsidR="00BF3B27" w:rsidRPr="00866BC1" w:rsidRDefault="00BF3B27" w:rsidP="00BF3B27">
      <w:pPr>
        <w:pStyle w:val="Pagrindinistekstas"/>
        <w:spacing w:after="0"/>
        <w:rPr>
          <w:szCs w:val="22"/>
        </w:rPr>
      </w:pPr>
      <w:r>
        <w:rPr>
          <w:szCs w:val="22"/>
        </w:rPr>
        <w:t>Įprastinė dozė (krūtinės, plaučių ar nosies, šlapimo trakto, akių ir kitų infekcijų atvejais)</w:t>
      </w:r>
    </w:p>
    <w:p w:rsidR="00BF3B27" w:rsidRDefault="00BF3B27" w:rsidP="00BF3B27">
      <w:pPr>
        <w:pStyle w:val="Pagrindinistekstas"/>
        <w:spacing w:after="0"/>
        <w:rPr>
          <w:b/>
          <w:bCs/>
          <w:szCs w:val="22"/>
        </w:rPr>
      </w:pPr>
    </w:p>
    <w:p w:rsidR="00BF3B27" w:rsidRDefault="00BF3B27" w:rsidP="00BF3B27">
      <w:pPr>
        <w:pStyle w:val="Pagrindinistekstas"/>
        <w:spacing w:after="0"/>
        <w:rPr>
          <w:b/>
          <w:bCs/>
          <w:szCs w:val="22"/>
        </w:rPr>
      </w:pPr>
      <w:r w:rsidRPr="00EB7A60">
        <w:rPr>
          <w:b/>
          <w:bCs/>
          <w:szCs w:val="22"/>
        </w:rPr>
        <w:t>Vaikams nuo 8 iki 12 metų amžiaus:</w:t>
      </w:r>
    </w:p>
    <w:p w:rsidR="00BF3B27" w:rsidRDefault="00BF3B27" w:rsidP="00BF3B27">
      <w:pPr>
        <w:pStyle w:val="Pagrindinistekstas"/>
        <w:spacing w:after="0"/>
        <w:rPr>
          <w:szCs w:val="22"/>
          <w:highlight w:val="yellow"/>
        </w:rPr>
      </w:pPr>
      <w:r>
        <w:t>Doksiciklino vartojimas ūmių infekcijų gydymui vaikams nuo 8 metų iki 12 metų amžiaus galimas tik tais atvejais, kai nėra kitų vaistų arba jie gali būti neefektyvūs.</w:t>
      </w:r>
    </w:p>
    <w:p w:rsidR="00BF3B27" w:rsidRPr="00EB7A60" w:rsidRDefault="00BF3B27" w:rsidP="00BF3B27">
      <w:pPr>
        <w:autoSpaceDE w:val="0"/>
        <w:autoSpaceDN w:val="0"/>
        <w:adjustRightInd w:val="0"/>
        <w:rPr>
          <w:szCs w:val="22"/>
          <w:highlight w:val="yellow"/>
        </w:rPr>
      </w:pPr>
      <w:r>
        <w:t>Tokiais atvejais ūmių infekcijų gydymui yra skiriamos sekančios dozės:</w:t>
      </w:r>
    </w:p>
    <w:p w:rsidR="00BF3B27" w:rsidRDefault="00BF3B27" w:rsidP="00BF3B27">
      <w:pPr>
        <w:autoSpaceDE w:val="0"/>
        <w:autoSpaceDN w:val="0"/>
        <w:adjustRightInd w:val="0"/>
        <w:rPr>
          <w:i/>
          <w:szCs w:val="22"/>
        </w:rPr>
      </w:pPr>
    </w:p>
    <w:p w:rsidR="00BF3B27" w:rsidRDefault="00BF3B27" w:rsidP="00BF3B27">
      <w:pPr>
        <w:autoSpaceDE w:val="0"/>
        <w:autoSpaceDN w:val="0"/>
        <w:adjustRightInd w:val="0"/>
        <w:rPr>
          <w:i/>
          <w:szCs w:val="22"/>
        </w:rPr>
      </w:pPr>
      <w:r w:rsidRPr="007E4C60">
        <w:rPr>
          <w:i/>
          <w:szCs w:val="22"/>
        </w:rPr>
        <w:t xml:space="preserve">Vaikams, sveriantiems </w:t>
      </w:r>
      <w:r>
        <w:rPr>
          <w:i/>
          <w:szCs w:val="22"/>
        </w:rPr>
        <w:t>iki</w:t>
      </w:r>
      <w:r w:rsidRPr="007E4C60">
        <w:rPr>
          <w:i/>
          <w:szCs w:val="22"/>
        </w:rPr>
        <w:t xml:space="preserve"> 45 kg</w:t>
      </w:r>
    </w:p>
    <w:p w:rsidR="00BF3B27" w:rsidRDefault="00BF3B27" w:rsidP="00BF3B27">
      <w:pPr>
        <w:autoSpaceDE w:val="0"/>
        <w:autoSpaceDN w:val="0"/>
        <w:adjustRightInd w:val="0"/>
      </w:pPr>
      <w:r>
        <w:rPr>
          <w:szCs w:val="22"/>
        </w:rPr>
        <w:t>Pirma parą: 4,4 mg kiekvienam kūno masės kilogramui (viena dozė vartojama iš karto arba padalinta į dvi dalis per du kartus), o toliau nuo antros paros vartojama 2,2 mg kiekvienam kūno masės kilogramui (viena dozė vartojama iš karto arba padalinta į dvi dalis per du kartus).</w:t>
      </w:r>
      <w:r w:rsidRPr="00CB1A09">
        <w:t xml:space="preserve"> </w:t>
      </w:r>
    </w:p>
    <w:p w:rsidR="00BF3B27" w:rsidRDefault="00BF3B27" w:rsidP="00BF3B27">
      <w:pPr>
        <w:autoSpaceDE w:val="0"/>
        <w:autoSpaceDN w:val="0"/>
        <w:adjustRightInd w:val="0"/>
      </w:pPr>
      <w:r>
        <w:t xml:space="preserve">Gydant sunkesnes infekcijas, reikia skirti iki 4,4 mg </w:t>
      </w:r>
      <w:r>
        <w:rPr>
          <w:szCs w:val="22"/>
        </w:rPr>
        <w:t xml:space="preserve">kiekvienam kūno masės kilogramui </w:t>
      </w:r>
      <w:r>
        <w:t>dozę.</w:t>
      </w:r>
    </w:p>
    <w:p w:rsidR="00BF3B27" w:rsidRPr="00EB7A60" w:rsidRDefault="00BF3B27" w:rsidP="00BF3B27">
      <w:pPr>
        <w:autoSpaceDE w:val="0"/>
        <w:autoSpaceDN w:val="0"/>
        <w:adjustRightInd w:val="0"/>
        <w:rPr>
          <w:szCs w:val="22"/>
        </w:rPr>
      </w:pPr>
      <w:r>
        <w:t>Gydymo trukmė priklauso nuo infekcijos, kuri yra gydoma.</w:t>
      </w:r>
    </w:p>
    <w:p w:rsidR="00BF3B27" w:rsidRDefault="00BF3B27" w:rsidP="00BF3B27">
      <w:pPr>
        <w:autoSpaceDE w:val="0"/>
        <w:autoSpaceDN w:val="0"/>
        <w:adjustRightInd w:val="0"/>
        <w:rPr>
          <w:i/>
          <w:szCs w:val="22"/>
        </w:rPr>
      </w:pPr>
    </w:p>
    <w:p w:rsidR="00BF3B27" w:rsidRPr="001A0BE3" w:rsidRDefault="00BF3B27" w:rsidP="00BF3B27">
      <w:pPr>
        <w:autoSpaceDE w:val="0"/>
        <w:autoSpaceDN w:val="0"/>
        <w:adjustRightInd w:val="0"/>
        <w:rPr>
          <w:i/>
          <w:szCs w:val="22"/>
        </w:rPr>
      </w:pPr>
      <w:r w:rsidRPr="001A0BE3">
        <w:rPr>
          <w:i/>
          <w:szCs w:val="22"/>
        </w:rPr>
        <w:t>Vaikams, sveriantiems daugiau kaip 45 kg</w:t>
      </w:r>
    </w:p>
    <w:p w:rsidR="00BF3B27" w:rsidRPr="00475036" w:rsidRDefault="00BF3B27" w:rsidP="00BF3B27">
      <w:pPr>
        <w:autoSpaceDE w:val="0"/>
        <w:autoSpaceDN w:val="0"/>
        <w:adjustRightInd w:val="0"/>
        <w:rPr>
          <w:szCs w:val="22"/>
        </w:rPr>
      </w:pPr>
      <w:r>
        <w:rPr>
          <w:szCs w:val="22"/>
        </w:rPr>
        <w:t>Skiriama suaugusiųjų dozė; 200 mg pirmąją parą, toliau 100 mg per parą.</w:t>
      </w:r>
    </w:p>
    <w:p w:rsidR="00BF3B27" w:rsidRPr="0073072E" w:rsidRDefault="00BF3B27" w:rsidP="00BF3B27">
      <w:pPr>
        <w:autoSpaceDE w:val="0"/>
        <w:autoSpaceDN w:val="0"/>
        <w:adjustRightInd w:val="0"/>
        <w:rPr>
          <w:szCs w:val="22"/>
        </w:rPr>
      </w:pPr>
      <w:r>
        <w:t>Gydymo trukmė priklauso nuo infekcijos, kuri yra gydoma.</w:t>
      </w:r>
    </w:p>
    <w:p w:rsidR="00BF3B27" w:rsidRDefault="00BF3B27" w:rsidP="00BF3B27">
      <w:pPr>
        <w:pStyle w:val="Pagrindinistekstas"/>
        <w:spacing w:after="0"/>
        <w:rPr>
          <w:bCs/>
          <w:szCs w:val="22"/>
        </w:rPr>
      </w:pPr>
    </w:p>
    <w:p w:rsidR="00BF3B27" w:rsidRDefault="00BF3B27" w:rsidP="00BF3B27">
      <w:pPr>
        <w:pStyle w:val="Pagrindinistekstas"/>
        <w:spacing w:after="0"/>
        <w:rPr>
          <w:b/>
          <w:bCs/>
          <w:szCs w:val="22"/>
        </w:rPr>
      </w:pPr>
      <w:r w:rsidRPr="0073072E">
        <w:rPr>
          <w:b/>
          <w:bCs/>
          <w:szCs w:val="22"/>
        </w:rPr>
        <w:t>Suaugusiesiems ir vaikams nuo 12 iki 18 metų</w:t>
      </w:r>
    </w:p>
    <w:p w:rsidR="00BF3B27" w:rsidRPr="00475036" w:rsidRDefault="00BF3B27" w:rsidP="00BF3B27">
      <w:pPr>
        <w:autoSpaceDE w:val="0"/>
        <w:autoSpaceDN w:val="0"/>
        <w:adjustRightInd w:val="0"/>
        <w:rPr>
          <w:szCs w:val="22"/>
        </w:rPr>
      </w:pPr>
      <w:r>
        <w:rPr>
          <w:szCs w:val="22"/>
        </w:rPr>
        <w:t>200 mg pirmąją parą, toliau 100 mg per parą.</w:t>
      </w:r>
    </w:p>
    <w:p w:rsidR="00BF3B27" w:rsidRPr="0073072E" w:rsidRDefault="00BF3B27" w:rsidP="00BF3B27">
      <w:pPr>
        <w:pStyle w:val="Pagrindinistekstas"/>
        <w:spacing w:after="0"/>
        <w:rPr>
          <w:bCs/>
          <w:szCs w:val="22"/>
        </w:rPr>
      </w:pPr>
    </w:p>
    <w:p w:rsidR="00BF3B27" w:rsidRPr="00866BC1" w:rsidRDefault="00BF3B27" w:rsidP="00BF3B27">
      <w:pPr>
        <w:rPr>
          <w:szCs w:val="22"/>
        </w:rPr>
      </w:pPr>
      <w:r w:rsidRPr="00866BC1">
        <w:rPr>
          <w:szCs w:val="22"/>
        </w:rPr>
        <w:t>Jei infekcinė liga sunkesnė, visą gydymo laikotarpį reikia gerti po 200</w:t>
      </w:r>
      <w:r>
        <w:rPr>
          <w:szCs w:val="22"/>
        </w:rPr>
        <w:t> mg</w:t>
      </w:r>
      <w:r w:rsidRPr="00866BC1">
        <w:rPr>
          <w:szCs w:val="22"/>
        </w:rPr>
        <w:t xml:space="preserve"> per parą. </w:t>
      </w:r>
    </w:p>
    <w:p w:rsidR="00BF3B27" w:rsidRPr="00866BC1" w:rsidRDefault="00BF3B27" w:rsidP="00BF3B27">
      <w:pPr>
        <w:pStyle w:val="Pagrindinistekstas"/>
        <w:spacing w:after="0"/>
        <w:rPr>
          <w:szCs w:val="22"/>
          <w:u w:val="single"/>
        </w:rPr>
      </w:pPr>
    </w:p>
    <w:p w:rsidR="00BF3B27" w:rsidRPr="00866BC1" w:rsidRDefault="00BF3B27" w:rsidP="00BF3B27">
      <w:pPr>
        <w:pStyle w:val="Pagrindinistekstas"/>
        <w:numPr>
          <w:ilvl w:val="0"/>
          <w:numId w:val="6"/>
        </w:numPr>
        <w:suppressAutoHyphens/>
        <w:spacing w:after="0"/>
        <w:rPr>
          <w:szCs w:val="22"/>
        </w:rPr>
      </w:pPr>
      <w:r w:rsidRPr="00866BC1">
        <w:rPr>
          <w:szCs w:val="22"/>
        </w:rPr>
        <w:t>Gonorėjos gydymas</w:t>
      </w:r>
    </w:p>
    <w:p w:rsidR="00BF3B27" w:rsidRPr="00866BC1" w:rsidRDefault="00BF3B27" w:rsidP="00BF3B27">
      <w:pPr>
        <w:rPr>
          <w:szCs w:val="22"/>
        </w:rPr>
      </w:pPr>
      <w:r w:rsidRPr="00866BC1">
        <w:t>1 paros gydymo kursas</w:t>
      </w:r>
      <w:r w:rsidRPr="00866BC1">
        <w:rPr>
          <w:iCs/>
          <w:szCs w:val="22"/>
        </w:rPr>
        <w:t>:</w:t>
      </w:r>
      <w:r w:rsidRPr="00866BC1">
        <w:rPr>
          <w:szCs w:val="22"/>
        </w:rPr>
        <w:t xml:space="preserve"> paros dozė yra 600</w:t>
      </w:r>
      <w:r>
        <w:rPr>
          <w:szCs w:val="22"/>
        </w:rPr>
        <w:t> mg</w:t>
      </w:r>
      <w:r w:rsidRPr="00866BC1">
        <w:rPr>
          <w:szCs w:val="22"/>
        </w:rPr>
        <w:t>, išgeriama lygiomis dalimis per du kartus, kas valandą (t.y. reikia išgerti 300</w:t>
      </w:r>
      <w:r>
        <w:rPr>
          <w:szCs w:val="22"/>
        </w:rPr>
        <w:t> mg</w:t>
      </w:r>
      <w:r w:rsidRPr="00866BC1">
        <w:rPr>
          <w:szCs w:val="22"/>
        </w:rPr>
        <w:t xml:space="preserve"> vaisto ir po valandos išgerti antrą 300</w:t>
      </w:r>
      <w:r>
        <w:rPr>
          <w:szCs w:val="22"/>
        </w:rPr>
        <w:t> mg</w:t>
      </w:r>
      <w:r w:rsidRPr="00866BC1">
        <w:rPr>
          <w:szCs w:val="22"/>
        </w:rPr>
        <w:t xml:space="preserve"> dozę).</w:t>
      </w:r>
    </w:p>
    <w:p w:rsidR="00BF3B27" w:rsidRPr="00866BC1" w:rsidRDefault="00BF3B27" w:rsidP="00BF3B27">
      <w:pPr>
        <w:rPr>
          <w:szCs w:val="22"/>
        </w:rPr>
      </w:pPr>
      <w:r w:rsidRPr="00866BC1">
        <w:t>7 parų gydymo kursas</w:t>
      </w:r>
      <w:r w:rsidRPr="00866BC1">
        <w:rPr>
          <w:iCs/>
          <w:szCs w:val="22"/>
        </w:rPr>
        <w:t>:</w:t>
      </w:r>
      <w:r w:rsidRPr="00866BC1">
        <w:rPr>
          <w:szCs w:val="22"/>
        </w:rPr>
        <w:t xml:space="preserve"> paros dozė yra 200</w:t>
      </w:r>
      <w:r>
        <w:rPr>
          <w:szCs w:val="22"/>
        </w:rPr>
        <w:t> mg</w:t>
      </w:r>
      <w:r w:rsidRPr="00866BC1">
        <w:rPr>
          <w:szCs w:val="22"/>
        </w:rPr>
        <w:t>, išgeriama lygiomis dalimis, per du kartus.</w:t>
      </w:r>
    </w:p>
    <w:p w:rsidR="00BF3B27" w:rsidRPr="00866BC1" w:rsidRDefault="00BF3B27" w:rsidP="00BF3B27">
      <w:pPr>
        <w:pStyle w:val="Pagrindinistekstas"/>
        <w:spacing w:after="0"/>
        <w:rPr>
          <w:i/>
          <w:iCs/>
          <w:szCs w:val="22"/>
          <w:u w:val="single"/>
        </w:rPr>
      </w:pPr>
    </w:p>
    <w:p w:rsidR="00BF3B27" w:rsidRPr="00866BC1" w:rsidRDefault="00BF3B27" w:rsidP="00BF3B27">
      <w:pPr>
        <w:pStyle w:val="Pagrindinistekstas"/>
        <w:numPr>
          <w:ilvl w:val="0"/>
          <w:numId w:val="6"/>
        </w:numPr>
        <w:suppressAutoHyphens/>
        <w:spacing w:after="0"/>
      </w:pPr>
      <w:r w:rsidRPr="00866BC1">
        <w:rPr>
          <w:szCs w:val="22"/>
        </w:rPr>
        <w:t xml:space="preserve">Šlapimo ir lyties organų ligos, sukeltos </w:t>
      </w:r>
      <w:r w:rsidRPr="00866BC1">
        <w:rPr>
          <w:i/>
        </w:rPr>
        <w:t>Chlamydia trachomatis, Ureaplasma urealyticum</w:t>
      </w:r>
      <w:r w:rsidRPr="00866BC1">
        <w:rPr>
          <w:i/>
          <w:iCs/>
          <w:szCs w:val="22"/>
        </w:rPr>
        <w:t xml:space="preserve">, </w:t>
      </w:r>
      <w:r w:rsidRPr="00866BC1">
        <w:rPr>
          <w:szCs w:val="22"/>
        </w:rPr>
        <w:t>gydymas</w:t>
      </w:r>
    </w:p>
    <w:p w:rsidR="00BF3B27" w:rsidRPr="00866BC1" w:rsidRDefault="00BF3B27" w:rsidP="00BF3B27">
      <w:pPr>
        <w:rPr>
          <w:szCs w:val="22"/>
        </w:rPr>
      </w:pPr>
      <w:r w:rsidRPr="00866BC1">
        <w:rPr>
          <w:szCs w:val="22"/>
        </w:rPr>
        <w:t>Rekomenduojama dozė yra po 100</w:t>
      </w:r>
      <w:r>
        <w:rPr>
          <w:szCs w:val="22"/>
        </w:rPr>
        <w:t> mg</w:t>
      </w:r>
      <w:r w:rsidRPr="00866BC1">
        <w:rPr>
          <w:szCs w:val="22"/>
        </w:rPr>
        <w:t xml:space="preserve"> du kartus per parą, 7 – 10 parų.</w:t>
      </w:r>
    </w:p>
    <w:p w:rsidR="00BF3B27" w:rsidRPr="00866BC1" w:rsidRDefault="00BF3B27" w:rsidP="00BF3B27">
      <w:pPr>
        <w:rPr>
          <w:szCs w:val="22"/>
        </w:rPr>
      </w:pPr>
    </w:p>
    <w:p w:rsidR="00BF3B27" w:rsidRPr="00866BC1" w:rsidRDefault="00BF3B27" w:rsidP="00BF3B27">
      <w:pPr>
        <w:numPr>
          <w:ilvl w:val="0"/>
          <w:numId w:val="6"/>
        </w:numPr>
        <w:suppressAutoHyphens/>
        <w:rPr>
          <w:szCs w:val="22"/>
        </w:rPr>
      </w:pPr>
      <w:r w:rsidRPr="00866BC1">
        <w:rPr>
          <w:szCs w:val="22"/>
        </w:rPr>
        <w:t>Sifilio gydymas</w:t>
      </w:r>
    </w:p>
    <w:p w:rsidR="00BF3B27" w:rsidRPr="00866BC1" w:rsidRDefault="00BF3B27" w:rsidP="00BF3B27">
      <w:pPr>
        <w:rPr>
          <w:szCs w:val="22"/>
        </w:rPr>
      </w:pPr>
      <w:r w:rsidRPr="00866BC1">
        <w:rPr>
          <w:szCs w:val="22"/>
        </w:rPr>
        <w:t>Rekomenduojama dozė yra po 100</w:t>
      </w:r>
      <w:r>
        <w:rPr>
          <w:szCs w:val="22"/>
        </w:rPr>
        <w:t> mg</w:t>
      </w:r>
      <w:r w:rsidRPr="00866BC1">
        <w:rPr>
          <w:szCs w:val="22"/>
        </w:rPr>
        <w:t xml:space="preserve"> du kartus per parą, 2 savaites.</w:t>
      </w:r>
    </w:p>
    <w:p w:rsidR="00BF3B27" w:rsidRPr="00866BC1" w:rsidRDefault="00BF3B27" w:rsidP="00BF3B27">
      <w:pPr>
        <w:pStyle w:val="Pagrindinistekstas"/>
        <w:spacing w:after="0"/>
        <w:rPr>
          <w:b/>
          <w:bCs/>
          <w:szCs w:val="22"/>
        </w:rPr>
      </w:pPr>
    </w:p>
    <w:p w:rsidR="00BF3B27" w:rsidRDefault="00BF3B27" w:rsidP="00BF3B27">
      <w:pPr>
        <w:pStyle w:val="Pagrindinistekstas"/>
        <w:numPr>
          <w:ilvl w:val="0"/>
          <w:numId w:val="6"/>
        </w:numPr>
        <w:suppressAutoHyphens/>
        <w:spacing w:after="0"/>
      </w:pPr>
      <w:r w:rsidRPr="00866BC1">
        <w:t>Maliarijos profilaktika</w:t>
      </w:r>
    </w:p>
    <w:p w:rsidR="00BF3B27" w:rsidRPr="000F7576" w:rsidRDefault="00BF3B27" w:rsidP="00BF3B27">
      <w:pPr>
        <w:pStyle w:val="Pagrindinistekstas"/>
        <w:suppressAutoHyphens/>
        <w:spacing w:after="0"/>
        <w:rPr>
          <w:u w:val="single"/>
        </w:rPr>
      </w:pPr>
      <w:r w:rsidRPr="000F7576">
        <w:rPr>
          <w:u w:val="single"/>
        </w:rPr>
        <w:t xml:space="preserve">Suaugusiesiems ir </w:t>
      </w:r>
      <w:r>
        <w:rPr>
          <w:u w:val="single"/>
        </w:rPr>
        <w:t xml:space="preserve">vaikams nuo </w:t>
      </w:r>
      <w:r w:rsidRPr="000F7576">
        <w:rPr>
          <w:u w:val="single"/>
        </w:rPr>
        <w:t>12 iki 18 metų</w:t>
      </w:r>
    </w:p>
    <w:p w:rsidR="00BF3B27" w:rsidRPr="00866BC1" w:rsidRDefault="00BF3B27" w:rsidP="00BF3B27">
      <w:pPr>
        <w:rPr>
          <w:szCs w:val="22"/>
        </w:rPr>
      </w:pPr>
      <w:r w:rsidRPr="00866BC1">
        <w:rPr>
          <w:szCs w:val="22"/>
        </w:rPr>
        <w:t>Rekomenduojama paros dozė yra 100</w:t>
      </w:r>
      <w:r>
        <w:rPr>
          <w:szCs w:val="22"/>
        </w:rPr>
        <w:t> mg</w:t>
      </w:r>
      <w:r w:rsidRPr="00866BC1">
        <w:rPr>
          <w:szCs w:val="22"/>
        </w:rPr>
        <w:t>, ją reikia gerti iš karto.</w:t>
      </w:r>
    </w:p>
    <w:p w:rsidR="00BF3B27" w:rsidRDefault="00BF3B27" w:rsidP="00BF3B27">
      <w:pPr>
        <w:rPr>
          <w:szCs w:val="22"/>
        </w:rPr>
      </w:pPr>
      <w:r w:rsidRPr="00866BC1">
        <w:rPr>
          <w:szCs w:val="22"/>
        </w:rPr>
        <w:t>Profilaktiką reikia pradėti likus 2 dienoms iki kelionės į maliarijos regioną, tęsti kelionės metu bei dar 4 savaites sugrįžus.</w:t>
      </w:r>
    </w:p>
    <w:p w:rsidR="00BF3B27" w:rsidRDefault="00BF3B27" w:rsidP="00BF3B27">
      <w:pPr>
        <w:rPr>
          <w:szCs w:val="22"/>
        </w:rPr>
      </w:pPr>
    </w:p>
    <w:p w:rsidR="00BF3B27" w:rsidRPr="00797A72" w:rsidRDefault="00BF3B27" w:rsidP="00BF3B27">
      <w:pPr>
        <w:rPr>
          <w:szCs w:val="22"/>
          <w:u w:val="single"/>
        </w:rPr>
      </w:pPr>
      <w:r w:rsidRPr="00797A72">
        <w:rPr>
          <w:szCs w:val="22"/>
          <w:u w:val="single"/>
        </w:rPr>
        <w:t>Vaikams nuo 8 i</w:t>
      </w:r>
      <w:r>
        <w:rPr>
          <w:szCs w:val="22"/>
          <w:u w:val="single"/>
        </w:rPr>
        <w:t>k</w:t>
      </w:r>
      <w:r w:rsidRPr="00797A72">
        <w:rPr>
          <w:szCs w:val="22"/>
          <w:u w:val="single"/>
        </w:rPr>
        <w:t>i 12 metų</w:t>
      </w:r>
    </w:p>
    <w:p w:rsidR="00BF3B27" w:rsidRDefault="00BF3B27" w:rsidP="00BF3B27">
      <w:pPr>
        <w:pStyle w:val="Pagrindinistekstas"/>
        <w:spacing w:after="0"/>
        <w:rPr>
          <w:szCs w:val="22"/>
        </w:rPr>
      </w:pPr>
      <w:r>
        <w:rPr>
          <w:szCs w:val="22"/>
        </w:rPr>
        <w:t>Rekomenduojama paros dozė yra 2 mg/kg, kurią reikia išgerti iš karto.</w:t>
      </w:r>
    </w:p>
    <w:p w:rsidR="00BF3B27" w:rsidRDefault="00BF3B27" w:rsidP="00BF3B27">
      <w:pPr>
        <w:pStyle w:val="Pagrindinistekstas"/>
        <w:spacing w:after="0"/>
        <w:rPr>
          <w:szCs w:val="22"/>
        </w:rPr>
      </w:pPr>
      <w:r>
        <w:rPr>
          <w:szCs w:val="22"/>
        </w:rPr>
        <w:t>Profilaktiką reikia pradėti likus 2 dienoms iki kelionės į maliarijos regioną, tęsti vartojimą kelionės metu ir dar 4 savaites sugrįžus.</w:t>
      </w:r>
    </w:p>
    <w:p w:rsidR="00BF3B27" w:rsidRPr="00866BC1" w:rsidRDefault="00BF3B27" w:rsidP="00BF3B27">
      <w:pPr>
        <w:pStyle w:val="Pagrindinistekstas"/>
        <w:spacing w:after="0"/>
        <w:rPr>
          <w:szCs w:val="22"/>
        </w:rPr>
      </w:pPr>
    </w:p>
    <w:p w:rsidR="00BF3B27" w:rsidRPr="00866BC1" w:rsidRDefault="00BF3B27" w:rsidP="00BF3B27">
      <w:pPr>
        <w:pStyle w:val="Pagrindinistekstas"/>
        <w:spacing w:after="0"/>
        <w:rPr>
          <w:i/>
        </w:rPr>
      </w:pPr>
      <w:r w:rsidRPr="00866BC1">
        <w:rPr>
          <w:i/>
        </w:rPr>
        <w:t>Pacientams, kurių kepenų veikla sutrikusi</w:t>
      </w:r>
    </w:p>
    <w:p w:rsidR="00BF3B27" w:rsidRPr="00866BC1" w:rsidRDefault="00BF3B27" w:rsidP="00BF3B27">
      <w:pPr>
        <w:pStyle w:val="Pagrindinistekstas"/>
        <w:spacing w:after="0"/>
        <w:rPr>
          <w:szCs w:val="22"/>
        </w:rPr>
      </w:pPr>
      <w:r w:rsidRPr="00866BC1">
        <w:rPr>
          <w:szCs w:val="22"/>
        </w:rPr>
        <w:t>Pacientus, kurių kepenų veikla sutrikusi, gydyti reikia atsargiai.</w:t>
      </w:r>
    </w:p>
    <w:p w:rsidR="00BF3B27" w:rsidRPr="00866BC1" w:rsidRDefault="00BF3B27" w:rsidP="00BF3B27">
      <w:pPr>
        <w:pStyle w:val="Pagrindinistekstas"/>
        <w:spacing w:after="0"/>
        <w:rPr>
          <w:szCs w:val="22"/>
        </w:rPr>
      </w:pPr>
    </w:p>
    <w:p w:rsidR="00BF3B27" w:rsidRPr="00866BC1" w:rsidRDefault="00BF3B27" w:rsidP="00BF3B27">
      <w:pPr>
        <w:pStyle w:val="Pagrindinistekstas"/>
        <w:spacing w:after="0"/>
        <w:rPr>
          <w:i/>
        </w:rPr>
      </w:pPr>
      <w:r w:rsidRPr="00866BC1">
        <w:rPr>
          <w:i/>
        </w:rPr>
        <w:t>Pacientams, kurių inkstų veikla sutrikusi</w:t>
      </w:r>
    </w:p>
    <w:p w:rsidR="00BF3B27" w:rsidRPr="00866BC1" w:rsidRDefault="00BF3B27" w:rsidP="00BF3B27">
      <w:pPr>
        <w:pStyle w:val="Pagrindinistekstas"/>
        <w:spacing w:after="0"/>
        <w:rPr>
          <w:szCs w:val="22"/>
        </w:rPr>
      </w:pPr>
      <w:r w:rsidRPr="00866BC1">
        <w:rPr>
          <w:szCs w:val="22"/>
        </w:rPr>
        <w:t>Pacientai, kurių inkstų veikla sutrikusi, gali vartoti įprastinę vaisto dozę.</w:t>
      </w:r>
    </w:p>
    <w:p w:rsidR="00BF3B27" w:rsidRPr="00866BC1" w:rsidRDefault="00BF3B27" w:rsidP="00BF3B27">
      <w:pPr>
        <w:pStyle w:val="Pagrindinistekstas"/>
        <w:spacing w:after="0"/>
        <w:rPr>
          <w:szCs w:val="22"/>
        </w:rPr>
      </w:pPr>
    </w:p>
    <w:p w:rsidR="00BF3B27" w:rsidRPr="00866BC1" w:rsidRDefault="00BF3B27" w:rsidP="00BF3B27">
      <w:pPr>
        <w:pStyle w:val="Pagrindinistekstas"/>
        <w:spacing w:after="0"/>
        <w:rPr>
          <w:i/>
        </w:rPr>
      </w:pPr>
      <w:r w:rsidRPr="00866BC1">
        <w:rPr>
          <w:i/>
        </w:rPr>
        <w:t xml:space="preserve">Senyviems </w:t>
      </w:r>
      <w:r w:rsidRPr="00866BC1">
        <w:rPr>
          <w:i/>
          <w:szCs w:val="22"/>
        </w:rPr>
        <w:t>žmonėms</w:t>
      </w:r>
    </w:p>
    <w:p w:rsidR="00BF3B27" w:rsidRPr="00866BC1" w:rsidRDefault="00BF3B27" w:rsidP="00BF3B27">
      <w:pPr>
        <w:pStyle w:val="Pagrindinistekstas"/>
        <w:spacing w:after="0"/>
        <w:rPr>
          <w:szCs w:val="22"/>
        </w:rPr>
      </w:pPr>
      <w:r w:rsidRPr="00866BC1">
        <w:rPr>
          <w:szCs w:val="22"/>
        </w:rPr>
        <w:t>Senyvi žmonės gali vartoti įprastinę vaisto dozė.</w:t>
      </w:r>
    </w:p>
    <w:p w:rsidR="00BF3B27" w:rsidRPr="00866BC1" w:rsidRDefault="00BF3B27" w:rsidP="00BF3B27">
      <w:pPr>
        <w:pStyle w:val="Pagrindinistekstas"/>
        <w:spacing w:after="0"/>
        <w:rPr>
          <w:szCs w:val="22"/>
        </w:rPr>
      </w:pPr>
    </w:p>
    <w:p w:rsidR="00BF3B27" w:rsidRPr="00866BC1" w:rsidRDefault="00BF3B27" w:rsidP="00BF3B27">
      <w:pPr>
        <w:tabs>
          <w:tab w:val="left" w:pos="567"/>
        </w:tabs>
        <w:rPr>
          <w:szCs w:val="22"/>
        </w:rPr>
      </w:pPr>
      <w:r w:rsidRPr="00866BC1">
        <w:rPr>
          <w:b/>
          <w:szCs w:val="22"/>
        </w:rPr>
        <w:t>Kaip vartoti kapsules</w:t>
      </w:r>
    </w:p>
    <w:p w:rsidR="00BF3B27" w:rsidRPr="00866BC1" w:rsidRDefault="00BF3B27" w:rsidP="00BF3B27">
      <w:pPr>
        <w:numPr>
          <w:ilvl w:val="0"/>
          <w:numId w:val="9"/>
        </w:numPr>
        <w:suppressAutoHyphens/>
        <w:ind w:left="567" w:hanging="567"/>
        <w:rPr>
          <w:szCs w:val="22"/>
        </w:rPr>
      </w:pPr>
      <w:r w:rsidRPr="00866BC1">
        <w:rPr>
          <w:szCs w:val="22"/>
        </w:rPr>
        <w:t>Nurykite kapsules, užsigerdami dideliu vandens kiekiu.</w:t>
      </w:r>
    </w:p>
    <w:p w:rsidR="00BF3B27" w:rsidRPr="00866BC1" w:rsidRDefault="00BF3B27" w:rsidP="00BF3B27">
      <w:pPr>
        <w:numPr>
          <w:ilvl w:val="0"/>
          <w:numId w:val="9"/>
        </w:numPr>
        <w:tabs>
          <w:tab w:val="left" w:pos="567"/>
        </w:tabs>
        <w:suppressAutoHyphens/>
        <w:ind w:left="567" w:hanging="567"/>
        <w:rPr>
          <w:szCs w:val="22"/>
        </w:rPr>
      </w:pPr>
      <w:r w:rsidRPr="00866BC1">
        <w:rPr>
          <w:szCs w:val="22"/>
        </w:rPr>
        <w:t xml:space="preserve">Kapsules vartokite reguliariai, pusryčių, arba kito valgio metu. Kapsules vartojant valgio metu, virškinimo trakto sutrikimų pavojus yra mažesnis. </w:t>
      </w:r>
    </w:p>
    <w:p w:rsidR="00BF3B27" w:rsidRPr="00866BC1" w:rsidRDefault="00BF3B27" w:rsidP="00BF3B27">
      <w:pPr>
        <w:numPr>
          <w:ilvl w:val="0"/>
          <w:numId w:val="9"/>
        </w:numPr>
        <w:tabs>
          <w:tab w:val="left" w:pos="567"/>
        </w:tabs>
        <w:suppressAutoHyphens/>
        <w:ind w:left="567" w:hanging="567"/>
        <w:rPr>
          <w:szCs w:val="22"/>
        </w:rPr>
      </w:pPr>
      <w:r w:rsidRPr="00866BC1">
        <w:rPr>
          <w:szCs w:val="22"/>
        </w:rPr>
        <w:t xml:space="preserve">Kapsules nurykite sėdėdami arba stovėdami, gerokai prieš einant miegoti, stovint arba sėdint. Tai padės sumažinti </w:t>
      </w:r>
      <w:r>
        <w:rPr>
          <w:szCs w:val="22"/>
        </w:rPr>
        <w:t>s</w:t>
      </w:r>
      <w:r w:rsidRPr="00866BC1">
        <w:rPr>
          <w:szCs w:val="22"/>
        </w:rPr>
        <w:t xml:space="preserve">templės dirginimo ir išopėjimo riziką. </w:t>
      </w:r>
    </w:p>
    <w:p w:rsidR="00BF3B27" w:rsidRPr="00866BC1" w:rsidRDefault="00BF3B27" w:rsidP="00BF3B27">
      <w:pPr>
        <w:pStyle w:val="Pagrindinistekstas"/>
        <w:spacing w:after="0"/>
        <w:rPr>
          <w:szCs w:val="22"/>
        </w:rPr>
      </w:pPr>
    </w:p>
    <w:p w:rsidR="00BF3B27" w:rsidRPr="00866BC1" w:rsidRDefault="00BF3B27" w:rsidP="00BF3B27">
      <w:pPr>
        <w:pStyle w:val="Pagrindinistekstas"/>
        <w:spacing w:after="0"/>
        <w:rPr>
          <w:b/>
          <w:bCs/>
          <w:szCs w:val="22"/>
        </w:rPr>
      </w:pPr>
      <w:r w:rsidRPr="00866BC1">
        <w:rPr>
          <w:b/>
          <w:szCs w:val="22"/>
        </w:rPr>
        <w:t>Ką daryti</w:t>
      </w:r>
      <w:r w:rsidRPr="00866BC1">
        <w:rPr>
          <w:szCs w:val="22"/>
        </w:rPr>
        <w:t xml:space="preserve"> </w:t>
      </w:r>
      <w:r w:rsidRPr="00866BC1">
        <w:rPr>
          <w:b/>
          <w:bCs/>
          <w:szCs w:val="22"/>
        </w:rPr>
        <w:t>pavartojus per didelę</w:t>
      </w:r>
      <w:r w:rsidRPr="00866BC1">
        <w:rPr>
          <w:b/>
        </w:rPr>
        <w:t xml:space="preserve"> DOXYCYCLIN TC </w:t>
      </w:r>
      <w:r w:rsidRPr="00866BC1">
        <w:rPr>
          <w:b/>
          <w:bCs/>
          <w:szCs w:val="22"/>
        </w:rPr>
        <w:t>dozę</w:t>
      </w:r>
    </w:p>
    <w:p w:rsidR="00BF3B27" w:rsidRPr="00866BC1" w:rsidRDefault="00BF3B27" w:rsidP="00BF3B27">
      <w:pPr>
        <w:rPr>
          <w:szCs w:val="22"/>
        </w:rPr>
      </w:pPr>
      <w:r w:rsidRPr="00866BC1">
        <w:rPr>
          <w:szCs w:val="22"/>
        </w:rPr>
        <w:t>Jeigu Jūs (ar kas nors kitas) pavartojote per daug šio vaisto kapsulių, nedelsiant kreipkitės į gydytoją arba vykite į artimiausios ligoninės skubios pagalbos skyrių</w:t>
      </w:r>
      <w:r w:rsidRPr="00866BC1">
        <w:t>.</w:t>
      </w:r>
    </w:p>
    <w:p w:rsidR="00BF3B27" w:rsidRPr="00866BC1" w:rsidRDefault="00BF3B27" w:rsidP="00BF3B27">
      <w:pPr>
        <w:pStyle w:val="Pagrindinistekstas"/>
        <w:spacing w:after="0"/>
        <w:rPr>
          <w:szCs w:val="22"/>
        </w:rPr>
      </w:pPr>
    </w:p>
    <w:p w:rsidR="00BF3B27" w:rsidRPr="00866BC1" w:rsidRDefault="00BF3B27" w:rsidP="00BF3B27">
      <w:pPr>
        <w:pStyle w:val="Pagrindinistekstas"/>
        <w:spacing w:after="0"/>
        <w:rPr>
          <w:b/>
          <w:bCs/>
          <w:szCs w:val="22"/>
        </w:rPr>
      </w:pPr>
      <w:r w:rsidRPr="00866BC1">
        <w:rPr>
          <w:b/>
          <w:bCs/>
          <w:szCs w:val="22"/>
        </w:rPr>
        <w:t>Pamiršus pavartoti DOXYCYCLIN TC</w:t>
      </w:r>
    </w:p>
    <w:p w:rsidR="00BF3B27" w:rsidRPr="00866BC1" w:rsidRDefault="00BF3B27" w:rsidP="00BF3B27">
      <w:pPr>
        <w:numPr>
          <w:ilvl w:val="12"/>
          <w:numId w:val="0"/>
        </w:numPr>
        <w:ind w:right="-2"/>
        <w:rPr>
          <w:szCs w:val="22"/>
        </w:rPr>
      </w:pPr>
      <w:r w:rsidRPr="00866BC1">
        <w:rPr>
          <w:szCs w:val="22"/>
        </w:rPr>
        <w:t>Jeigu pamiršote laiku išgerti vieną DOXYCYCLIN TC dozę, išgerkite ją kai tik prisiminsite. Kitą dozę išgerkite reikiamu laiku</w:t>
      </w:r>
      <w:r w:rsidRPr="00866BC1">
        <w:rPr>
          <w:b/>
          <w:bCs/>
          <w:i/>
          <w:iCs/>
          <w:szCs w:val="22"/>
        </w:rPr>
        <w:t xml:space="preserve">. </w:t>
      </w:r>
      <w:r w:rsidRPr="00866BC1">
        <w:rPr>
          <w:szCs w:val="22"/>
        </w:rPr>
        <w:t>Negalima vartoti dvigubos dozės norint kompensuoti praleistą dozę.</w:t>
      </w:r>
      <w:r w:rsidRPr="00866BC1">
        <w:rPr>
          <w:b/>
          <w:bCs/>
          <w:i/>
          <w:iCs/>
          <w:szCs w:val="22"/>
        </w:rPr>
        <w:t xml:space="preserve"> </w:t>
      </w:r>
    </w:p>
    <w:p w:rsidR="00BF3B27" w:rsidRPr="00866BC1" w:rsidRDefault="00BF3B27" w:rsidP="00BF3B27">
      <w:pPr>
        <w:pStyle w:val="Pagrindinistekstas"/>
        <w:spacing w:after="0"/>
        <w:rPr>
          <w:szCs w:val="22"/>
        </w:rPr>
      </w:pPr>
    </w:p>
    <w:p w:rsidR="00BF3B27" w:rsidRPr="00866BC1" w:rsidRDefault="00BF3B27" w:rsidP="00BF3B27">
      <w:pPr>
        <w:pStyle w:val="Pagrindinistekstas"/>
        <w:spacing w:after="0"/>
        <w:rPr>
          <w:b/>
          <w:bCs/>
          <w:szCs w:val="22"/>
        </w:rPr>
      </w:pPr>
      <w:r w:rsidRPr="00866BC1">
        <w:rPr>
          <w:b/>
          <w:szCs w:val="22"/>
        </w:rPr>
        <w:t xml:space="preserve">Nustojus vartoti </w:t>
      </w:r>
      <w:r w:rsidRPr="00866BC1">
        <w:rPr>
          <w:b/>
          <w:bCs/>
          <w:szCs w:val="22"/>
        </w:rPr>
        <w:t>DOXYCYCLIN TC</w:t>
      </w:r>
    </w:p>
    <w:p w:rsidR="00BF3B27" w:rsidRPr="00866BC1" w:rsidRDefault="00BF3B27" w:rsidP="00BF3B27">
      <w:pPr>
        <w:pStyle w:val="Pagrindinistekstas"/>
        <w:spacing w:after="0"/>
        <w:rPr>
          <w:szCs w:val="22"/>
        </w:rPr>
      </w:pPr>
      <w:r w:rsidRPr="00866BC1">
        <w:rPr>
          <w:szCs w:val="22"/>
        </w:rPr>
        <w:t>Nenutraukite vaisto vartojimo anksčiau laiko, nes, nebaigus viso gydymo kurso, liga gali pasikartoti.</w:t>
      </w:r>
    </w:p>
    <w:p w:rsidR="00BF3B27" w:rsidRPr="00866BC1" w:rsidRDefault="00BF3B27" w:rsidP="00BF3B27">
      <w:pPr>
        <w:numPr>
          <w:ilvl w:val="12"/>
          <w:numId w:val="0"/>
        </w:numPr>
        <w:ind w:right="-29"/>
        <w:rPr>
          <w:szCs w:val="22"/>
        </w:rPr>
      </w:pPr>
    </w:p>
    <w:p w:rsidR="00BF3B27" w:rsidRPr="00866BC1" w:rsidRDefault="00BF3B27" w:rsidP="00BF3B27">
      <w:pPr>
        <w:pStyle w:val="Pagrindinistekstas"/>
        <w:spacing w:after="0"/>
        <w:rPr>
          <w:szCs w:val="22"/>
        </w:rPr>
      </w:pPr>
      <w:r w:rsidRPr="00866BC1">
        <w:rPr>
          <w:szCs w:val="22"/>
        </w:rPr>
        <w:t>Jeigu kiltų daugiau klausimų dėl šio vaisto vartojimo, kreipkitės į gydytoją arba vaistininką.</w:t>
      </w:r>
    </w:p>
    <w:p w:rsidR="00BF3B27" w:rsidRPr="00866BC1" w:rsidRDefault="00BF3B27" w:rsidP="00BF3B27">
      <w:pPr>
        <w:pStyle w:val="Pagrindinistekstas"/>
        <w:spacing w:after="0"/>
        <w:rPr>
          <w:szCs w:val="22"/>
        </w:rPr>
      </w:pPr>
    </w:p>
    <w:p w:rsidR="00BF3B27" w:rsidRPr="00866BC1" w:rsidRDefault="00BF3B27" w:rsidP="00BF3B27">
      <w:pPr>
        <w:pStyle w:val="Pagrindinistekstas"/>
        <w:spacing w:after="0"/>
        <w:rPr>
          <w:szCs w:val="22"/>
        </w:rPr>
      </w:pPr>
    </w:p>
    <w:p w:rsidR="00BF3B27" w:rsidRPr="00866BC1" w:rsidRDefault="00BF3B27" w:rsidP="00BF3B27">
      <w:pPr>
        <w:pStyle w:val="Antrat2"/>
        <w:rPr>
          <w:szCs w:val="22"/>
        </w:rPr>
      </w:pPr>
      <w:r w:rsidRPr="00866BC1">
        <w:rPr>
          <w:szCs w:val="22"/>
        </w:rPr>
        <w:t>4.</w:t>
      </w:r>
      <w:r w:rsidRPr="00866BC1">
        <w:rPr>
          <w:szCs w:val="22"/>
        </w:rPr>
        <w:tab/>
        <w:t>Galimas šalutinis poveikis</w:t>
      </w:r>
    </w:p>
    <w:p w:rsidR="00BF3B27" w:rsidRPr="00866BC1" w:rsidRDefault="00BF3B27" w:rsidP="00BF3B27">
      <w:pPr>
        <w:pStyle w:val="Pagrindinistekstas"/>
        <w:spacing w:after="0"/>
        <w:rPr>
          <w:szCs w:val="22"/>
        </w:rPr>
      </w:pPr>
    </w:p>
    <w:p w:rsidR="00BF3B27" w:rsidRPr="00866BC1" w:rsidRDefault="00BF3B27" w:rsidP="00BF3B27">
      <w:pPr>
        <w:numPr>
          <w:ilvl w:val="12"/>
          <w:numId w:val="0"/>
        </w:numPr>
        <w:ind w:right="-29"/>
        <w:rPr>
          <w:szCs w:val="24"/>
        </w:rPr>
      </w:pPr>
      <w:r w:rsidRPr="00866BC1">
        <w:rPr>
          <w:noProof/>
          <w:szCs w:val="24"/>
        </w:rPr>
        <w:t>Šis vaistas, kaip ir visi kiti, gali sukelti šalutinį poveikį, nors jis pasireiškia ne visiems žmonėms.</w:t>
      </w:r>
    </w:p>
    <w:p w:rsidR="00BF3B27" w:rsidRPr="00866BC1" w:rsidRDefault="00BF3B27" w:rsidP="00BF3B27">
      <w:pPr>
        <w:tabs>
          <w:tab w:val="left" w:pos="567"/>
        </w:tabs>
        <w:rPr>
          <w:color w:val="3B4642"/>
          <w:szCs w:val="22"/>
        </w:rPr>
      </w:pPr>
    </w:p>
    <w:p w:rsidR="00BF3B27" w:rsidRPr="00866BC1" w:rsidRDefault="00BF3B27" w:rsidP="00BF3B27">
      <w:pPr>
        <w:tabs>
          <w:tab w:val="left" w:pos="567"/>
        </w:tabs>
        <w:rPr>
          <w:color w:val="3B4642"/>
          <w:szCs w:val="22"/>
          <w:u w:val="single"/>
        </w:rPr>
      </w:pPr>
      <w:r w:rsidRPr="00866BC1">
        <w:rPr>
          <w:color w:val="000000" w:themeColor="text1"/>
          <w:szCs w:val="22"/>
          <w:u w:val="single"/>
        </w:rPr>
        <w:t xml:space="preserve">Nedelsiant nutraukite šio vaisto vartojimą ir kreipkitės į medicinos pagalbos, </w:t>
      </w:r>
      <w:r w:rsidRPr="00866BC1">
        <w:rPr>
          <w:szCs w:val="22"/>
          <w:u w:val="single"/>
        </w:rPr>
        <w:t>jeigu Jums atsirado bet kuris iš šių požymių</w:t>
      </w:r>
      <w:r w:rsidRPr="00866BC1">
        <w:rPr>
          <w:color w:val="3B4642"/>
          <w:szCs w:val="22"/>
          <w:u w:val="single"/>
        </w:rPr>
        <w:t>:</w:t>
      </w:r>
    </w:p>
    <w:p w:rsidR="00BF3B27" w:rsidRPr="00866BC1" w:rsidRDefault="00BF3B27" w:rsidP="00BF3B27">
      <w:pPr>
        <w:numPr>
          <w:ilvl w:val="0"/>
          <w:numId w:val="7"/>
        </w:numPr>
        <w:suppressAutoHyphens/>
        <w:rPr>
          <w:szCs w:val="22"/>
        </w:rPr>
      </w:pPr>
      <w:r w:rsidRPr="00866BC1">
        <w:rPr>
          <w:szCs w:val="22"/>
        </w:rPr>
        <w:t>švokštimas, pasunkėjęs kvėpavimas, karščiavimas, staigus veido, lūpų, ryklės, liežuvio, rankų ar kojų patinimas, greitas širdies plakimas, žemas kraujo spaudimas, odos bėrimas ar niežėjimas (ypač viso kūno);</w:t>
      </w:r>
      <w:r>
        <w:rPr>
          <w:szCs w:val="22"/>
        </w:rPr>
        <w:t xml:space="preserve"> </w:t>
      </w:r>
      <w:r w:rsidRPr="00866BC1">
        <w:rPr>
          <w:szCs w:val="22"/>
        </w:rPr>
        <w:t>liežuvio patinimas, viduriavimas vandeningomis išmatomis, karščiavimas ir pilvo diegliai (pseudomembraninis kolitas), skausmas ir niežulys aplink išangę ir/ar lytinius organus, makšties uždegimas, makšties ar burnos pienligė.</w:t>
      </w:r>
    </w:p>
    <w:p w:rsidR="00BF3B27" w:rsidRPr="00866BC1" w:rsidRDefault="00BF3B27" w:rsidP="00BF3B27">
      <w:pPr>
        <w:rPr>
          <w:szCs w:val="22"/>
        </w:rPr>
      </w:pPr>
    </w:p>
    <w:p w:rsidR="00BF3B27" w:rsidRPr="00866BC1" w:rsidRDefault="00BF3B27" w:rsidP="00BF3B27">
      <w:pPr>
        <w:rPr>
          <w:szCs w:val="22"/>
          <w:u w:val="single"/>
        </w:rPr>
      </w:pPr>
      <w:r w:rsidRPr="00866BC1">
        <w:rPr>
          <w:szCs w:val="22"/>
          <w:u w:val="single"/>
        </w:rPr>
        <w:t>Nutraukite vaisto vartojimą ir kreipkitės į savo gydytoją, jeigu Jums atsirado bet kuris iš šių požymių:</w:t>
      </w:r>
    </w:p>
    <w:p w:rsidR="00BF3B27" w:rsidRPr="00866BC1" w:rsidRDefault="00BF3B27" w:rsidP="00BF3B27">
      <w:pPr>
        <w:numPr>
          <w:ilvl w:val="0"/>
          <w:numId w:val="8"/>
        </w:numPr>
        <w:suppressAutoHyphens/>
        <w:rPr>
          <w:szCs w:val="22"/>
        </w:rPr>
      </w:pPr>
      <w:r w:rsidRPr="00866BC1">
        <w:rPr>
          <w:szCs w:val="22"/>
        </w:rPr>
        <w:t>jautrumas šviesai (atsirado odos bėrimas, niežulys, paraudimas ar stiprus odos nudegimas pabuvus saulėje ar pasikaitinus soliariume);</w:t>
      </w:r>
    </w:p>
    <w:p w:rsidR="00BF3B27" w:rsidRPr="00866BC1" w:rsidRDefault="00BF3B27" w:rsidP="00BF3B27">
      <w:pPr>
        <w:numPr>
          <w:ilvl w:val="0"/>
          <w:numId w:val="8"/>
        </w:numPr>
        <w:suppressAutoHyphens/>
        <w:rPr>
          <w:szCs w:val="22"/>
        </w:rPr>
      </w:pPr>
      <w:r w:rsidRPr="00866BC1">
        <w:rPr>
          <w:szCs w:val="22"/>
        </w:rPr>
        <w:t>krūtinės skausmas (tai gali būti širdį gaubiančio dangalo uždegimo – perikardito – požymis);</w:t>
      </w:r>
    </w:p>
    <w:p w:rsidR="00BF3B27" w:rsidRPr="00866BC1" w:rsidRDefault="00BF3B27" w:rsidP="00BF3B27">
      <w:pPr>
        <w:numPr>
          <w:ilvl w:val="0"/>
          <w:numId w:val="8"/>
        </w:numPr>
        <w:suppressAutoHyphens/>
        <w:rPr>
          <w:szCs w:val="22"/>
        </w:rPr>
      </w:pPr>
      <w:r w:rsidRPr="00866BC1">
        <w:rPr>
          <w:szCs w:val="22"/>
        </w:rPr>
        <w:t>sisteminės raudonosios vilkligės (autoimuninės ligos) paūmėjimas;</w:t>
      </w:r>
    </w:p>
    <w:p w:rsidR="00BF3B27" w:rsidRPr="00866BC1" w:rsidRDefault="00BF3B27" w:rsidP="00BF3B27">
      <w:pPr>
        <w:numPr>
          <w:ilvl w:val="0"/>
          <w:numId w:val="8"/>
        </w:numPr>
        <w:suppressAutoHyphens/>
        <w:rPr>
          <w:szCs w:val="22"/>
        </w:rPr>
      </w:pPr>
      <w:r w:rsidRPr="00866BC1">
        <w:rPr>
          <w:szCs w:val="22"/>
        </w:rPr>
        <w:t>Jarišo–Herksheimerio reakcija, sukelianti karščiavimą, šaltkrėtį, galvos skausmą, raumenų skausmą ir odos išbėrimą, kuri paprastai praeina savaime. Ji pasireiškia vos pradėjus spirochetų sukeliamų infekcijų, kaip antai Laimo ligos, gydymą doksiciklinu.</w:t>
      </w:r>
    </w:p>
    <w:p w:rsidR="00BF3B27" w:rsidRPr="00866BC1" w:rsidRDefault="00BF3B27" w:rsidP="00BF3B27">
      <w:pPr>
        <w:rPr>
          <w:szCs w:val="22"/>
        </w:rPr>
      </w:pPr>
    </w:p>
    <w:p w:rsidR="00BF3B27" w:rsidRPr="00866BC1" w:rsidRDefault="00BF3B27" w:rsidP="00BF3B27">
      <w:pPr>
        <w:rPr>
          <w:szCs w:val="22"/>
        </w:rPr>
      </w:pPr>
      <w:r w:rsidRPr="00866BC1">
        <w:rPr>
          <w:szCs w:val="22"/>
        </w:rPr>
        <w:t>Kiti šalutiniai poveikiai</w:t>
      </w:r>
    </w:p>
    <w:p w:rsidR="00BF3B27" w:rsidRPr="00866BC1" w:rsidRDefault="00BF3B27" w:rsidP="00BF3B27">
      <w:pPr>
        <w:rPr>
          <w:szCs w:val="22"/>
        </w:rPr>
      </w:pPr>
    </w:p>
    <w:p w:rsidR="00BF3B27" w:rsidRPr="0073037B" w:rsidRDefault="00BF3B27" w:rsidP="00BF3B27">
      <w:pPr>
        <w:pStyle w:val="Pagrindinistekstas"/>
        <w:suppressAutoHyphens/>
        <w:spacing w:after="0"/>
        <w:rPr>
          <w:iCs/>
          <w:szCs w:val="22"/>
        </w:rPr>
      </w:pPr>
      <w:r w:rsidRPr="001A6BE4">
        <w:rPr>
          <w:b/>
          <w:bCs/>
          <w:iCs/>
          <w:szCs w:val="22"/>
        </w:rPr>
        <w:t>Dažni šalutinio poveikio reiškiniai (gali pasireikšti rečiau kaip 1 iš 10 asmenų):</w:t>
      </w:r>
    </w:p>
    <w:p w:rsidR="00BF3B27" w:rsidRPr="00866BC1" w:rsidRDefault="00BF3B27" w:rsidP="00BF3B27">
      <w:pPr>
        <w:pStyle w:val="Pagrindinistekstas"/>
        <w:numPr>
          <w:ilvl w:val="0"/>
          <w:numId w:val="10"/>
        </w:numPr>
        <w:suppressAutoHyphens/>
        <w:spacing w:after="0"/>
        <w:ind w:left="567" w:hanging="567"/>
        <w:rPr>
          <w:szCs w:val="22"/>
        </w:rPr>
      </w:pPr>
      <w:r w:rsidRPr="00866BC1">
        <w:rPr>
          <w:szCs w:val="22"/>
        </w:rPr>
        <w:t>pilvo skausmas, apetito netekimas, pykinimas, vėmimas, viduriavimas, nevirškinimas, pasunkėjęs rijimas, pakitusi dantų spalva.</w:t>
      </w:r>
    </w:p>
    <w:p w:rsidR="00BF3B27" w:rsidRPr="00866BC1" w:rsidRDefault="00BF3B27" w:rsidP="00BF3B27">
      <w:pPr>
        <w:widowControl w:val="0"/>
        <w:autoSpaceDE w:val="0"/>
        <w:autoSpaceDN w:val="0"/>
        <w:adjustRightInd w:val="0"/>
        <w:rPr>
          <w:i/>
          <w:szCs w:val="22"/>
        </w:rPr>
      </w:pPr>
    </w:p>
    <w:p w:rsidR="00BF3B27" w:rsidRPr="0073037B" w:rsidRDefault="00BF3B27" w:rsidP="00BF3B27">
      <w:pPr>
        <w:widowControl w:val="0"/>
        <w:autoSpaceDE w:val="0"/>
        <w:autoSpaceDN w:val="0"/>
        <w:adjustRightInd w:val="0"/>
        <w:rPr>
          <w:rFonts w:eastAsiaTheme="minorEastAsia"/>
          <w:szCs w:val="22"/>
        </w:rPr>
      </w:pPr>
      <w:r w:rsidRPr="001A6BE4">
        <w:rPr>
          <w:b/>
          <w:bCs/>
          <w:noProof/>
          <w:szCs w:val="22"/>
        </w:rPr>
        <w:t>Nedažni šalutinio poveikio reiškiniai (gali pasireikšti rečiau kaip 1 iš 100 asmenų):</w:t>
      </w:r>
    </w:p>
    <w:p w:rsidR="00BF3B27" w:rsidRPr="00866BC1" w:rsidRDefault="00BF3B27" w:rsidP="00BF3B27">
      <w:pPr>
        <w:pStyle w:val="Sraopastraipa"/>
        <w:widowControl w:val="0"/>
        <w:numPr>
          <w:ilvl w:val="0"/>
          <w:numId w:val="10"/>
        </w:numPr>
        <w:autoSpaceDE w:val="0"/>
        <w:autoSpaceDN w:val="0"/>
        <w:adjustRightInd w:val="0"/>
        <w:ind w:left="567" w:hanging="567"/>
        <w:rPr>
          <w:i/>
          <w:szCs w:val="22"/>
        </w:rPr>
      </w:pPr>
      <w:r w:rsidRPr="00866BC1">
        <w:rPr>
          <w:szCs w:val="22"/>
        </w:rPr>
        <w:t>tam tikrų kraujo ląstelių kiekio pakitimas, dėl kurio dažniau atsiranda kraujosr</w:t>
      </w:r>
      <w:r>
        <w:rPr>
          <w:szCs w:val="22"/>
        </w:rPr>
        <w:t>u</w:t>
      </w:r>
      <w:r w:rsidRPr="00866BC1">
        <w:rPr>
          <w:szCs w:val="22"/>
        </w:rPr>
        <w:t>vų (mėlynių) odoje ar kraujuoja iš nosies;</w:t>
      </w:r>
    </w:p>
    <w:p w:rsidR="00BF3B27" w:rsidRPr="00866BC1" w:rsidRDefault="00BF3B27" w:rsidP="00BF3B27">
      <w:pPr>
        <w:pStyle w:val="Pagrindinistekstas"/>
        <w:numPr>
          <w:ilvl w:val="0"/>
          <w:numId w:val="10"/>
        </w:numPr>
        <w:suppressAutoHyphens/>
        <w:spacing w:after="0"/>
        <w:ind w:left="567" w:hanging="567"/>
        <w:rPr>
          <w:szCs w:val="22"/>
        </w:rPr>
      </w:pPr>
      <w:r w:rsidRPr="00866BC1">
        <w:rPr>
          <w:szCs w:val="22"/>
        </w:rPr>
        <w:t xml:space="preserve">raudonos dėmės ar sritys su nedideliu iškilimu centre, odos paraudimas ir pleiskanojimas (eksfoliacinis dermatitas); </w:t>
      </w:r>
    </w:p>
    <w:p w:rsidR="00BF3B27" w:rsidRPr="00866BC1" w:rsidRDefault="00BF3B27" w:rsidP="00BF3B27">
      <w:pPr>
        <w:pStyle w:val="Pagrindinistekstas"/>
        <w:numPr>
          <w:ilvl w:val="0"/>
          <w:numId w:val="10"/>
        </w:numPr>
        <w:suppressAutoHyphens/>
        <w:spacing w:after="0"/>
        <w:ind w:left="567" w:hanging="567"/>
        <w:rPr>
          <w:szCs w:val="22"/>
        </w:rPr>
      </w:pPr>
      <w:r w:rsidRPr="00866BC1">
        <w:rPr>
          <w:szCs w:val="22"/>
        </w:rPr>
        <w:t>apvalios, netaisyklingų formų raudonos dėmės (daugiaformė eritema).</w:t>
      </w:r>
    </w:p>
    <w:p w:rsidR="00BF3B27" w:rsidRPr="00866BC1" w:rsidRDefault="00BF3B27" w:rsidP="00BF3B27">
      <w:pPr>
        <w:pStyle w:val="Pagrindinistekstas"/>
        <w:suppressAutoHyphens/>
        <w:spacing w:after="0"/>
        <w:rPr>
          <w:szCs w:val="22"/>
        </w:rPr>
      </w:pPr>
    </w:p>
    <w:p w:rsidR="00BF3B27" w:rsidRPr="001A6BE4" w:rsidRDefault="00BF3B27" w:rsidP="00BF3B27">
      <w:pPr>
        <w:widowControl w:val="0"/>
        <w:shd w:val="clear" w:color="auto" w:fill="FFFFFF"/>
        <w:autoSpaceDE w:val="0"/>
        <w:autoSpaceDN w:val="0"/>
        <w:adjustRightInd w:val="0"/>
        <w:rPr>
          <w:b/>
          <w:bCs/>
          <w:noProof/>
          <w:szCs w:val="22"/>
        </w:rPr>
      </w:pPr>
      <w:r w:rsidRPr="001A6BE4">
        <w:rPr>
          <w:b/>
          <w:bCs/>
          <w:noProof/>
          <w:szCs w:val="22"/>
        </w:rPr>
        <w:t>Reti šalutinio poveikio reiškiniai (gali pasireikšti rečiau kaip 1 iš 1 000 asmenų):</w:t>
      </w:r>
    </w:p>
    <w:p w:rsidR="00BF3B27" w:rsidRPr="00866BC1" w:rsidRDefault="00BF3B27" w:rsidP="00BF3B27">
      <w:pPr>
        <w:pStyle w:val="Sraopastraipa"/>
        <w:widowControl w:val="0"/>
        <w:numPr>
          <w:ilvl w:val="0"/>
          <w:numId w:val="11"/>
        </w:numPr>
        <w:autoSpaceDE w:val="0"/>
        <w:autoSpaceDN w:val="0"/>
        <w:adjustRightInd w:val="0"/>
        <w:ind w:left="567" w:hanging="567"/>
        <w:rPr>
          <w:i/>
          <w:szCs w:val="22"/>
        </w:rPr>
      </w:pPr>
      <w:r w:rsidRPr="00866BC1">
        <w:rPr>
          <w:szCs w:val="22"/>
        </w:rPr>
        <w:t>galvos skausmas;</w:t>
      </w:r>
    </w:p>
    <w:p w:rsidR="00BF3B27" w:rsidRPr="00866BC1" w:rsidRDefault="00BF3B27" w:rsidP="00BF3B27">
      <w:pPr>
        <w:pStyle w:val="Sraopastraipa"/>
        <w:widowControl w:val="0"/>
        <w:numPr>
          <w:ilvl w:val="0"/>
          <w:numId w:val="11"/>
        </w:numPr>
        <w:autoSpaceDE w:val="0"/>
        <w:autoSpaceDN w:val="0"/>
        <w:adjustRightInd w:val="0"/>
        <w:ind w:left="567" w:hanging="567"/>
        <w:rPr>
          <w:i/>
          <w:szCs w:val="22"/>
        </w:rPr>
      </w:pPr>
      <w:r w:rsidRPr="00866BC1">
        <w:rPr>
          <w:szCs w:val="22"/>
        </w:rPr>
        <w:t>neryškus vaizdas ar/ir vaizdo dvejinimasis, vaizdo suprastėjimas ar išnykimas tam tikrose vietose (dėl padidėjusio spaudimo kaukolėje), regėjimo netekimas;</w:t>
      </w:r>
    </w:p>
    <w:p w:rsidR="00BF3B27" w:rsidRPr="00866BC1" w:rsidRDefault="00BF3B27" w:rsidP="00BF3B27">
      <w:pPr>
        <w:pStyle w:val="Sraopastraipa"/>
        <w:widowControl w:val="0"/>
        <w:numPr>
          <w:ilvl w:val="0"/>
          <w:numId w:val="11"/>
        </w:numPr>
        <w:autoSpaceDE w:val="0"/>
        <w:autoSpaceDN w:val="0"/>
        <w:adjustRightInd w:val="0"/>
        <w:ind w:left="567" w:hanging="567"/>
        <w:rPr>
          <w:i/>
          <w:szCs w:val="22"/>
        </w:rPr>
      </w:pPr>
      <w:r w:rsidRPr="00866BC1">
        <w:rPr>
          <w:szCs w:val="22"/>
        </w:rPr>
        <w:t xml:space="preserve">momenėlio išsipūtimas kūdikiams; </w:t>
      </w:r>
    </w:p>
    <w:p w:rsidR="00BF3B27" w:rsidRPr="00866BC1" w:rsidRDefault="00BF3B27" w:rsidP="00BF3B27">
      <w:pPr>
        <w:pStyle w:val="Sraopastraipa"/>
        <w:widowControl w:val="0"/>
        <w:numPr>
          <w:ilvl w:val="0"/>
          <w:numId w:val="11"/>
        </w:numPr>
        <w:autoSpaceDE w:val="0"/>
        <w:autoSpaceDN w:val="0"/>
        <w:adjustRightInd w:val="0"/>
        <w:ind w:left="567" w:hanging="567"/>
        <w:rPr>
          <w:i/>
          <w:szCs w:val="22"/>
        </w:rPr>
      </w:pPr>
      <w:r w:rsidRPr="00866BC1">
        <w:rPr>
          <w:szCs w:val="22"/>
        </w:rPr>
        <w:t>kepenų veiklos tyrimų pakitimai, kepenų uždegimas (hepatitas), odos ar akių baltymų pageltimas, kepenų nepakankamumas ir kasos uždegimas (pankreatitas).</w:t>
      </w:r>
    </w:p>
    <w:p w:rsidR="00BF3B27" w:rsidRPr="00866BC1" w:rsidRDefault="00BF3B27" w:rsidP="00BF3B27">
      <w:pPr>
        <w:pStyle w:val="Pagrindinistekstas"/>
        <w:suppressAutoHyphens/>
        <w:spacing w:after="0"/>
        <w:rPr>
          <w:szCs w:val="22"/>
        </w:rPr>
      </w:pPr>
    </w:p>
    <w:p w:rsidR="00BF3B27" w:rsidRPr="001A6BE4" w:rsidRDefault="00BF3B27" w:rsidP="00BF3B27">
      <w:pPr>
        <w:widowControl w:val="0"/>
        <w:autoSpaceDE w:val="0"/>
        <w:autoSpaceDN w:val="0"/>
        <w:adjustRightInd w:val="0"/>
        <w:rPr>
          <w:b/>
          <w:bCs/>
          <w:iCs/>
          <w:szCs w:val="22"/>
        </w:rPr>
      </w:pPr>
      <w:r>
        <w:rPr>
          <w:b/>
          <w:bCs/>
          <w:iCs/>
          <w:szCs w:val="22"/>
        </w:rPr>
        <w:t xml:space="preserve">Labai reti </w:t>
      </w:r>
      <w:r w:rsidRPr="009A5DE5">
        <w:rPr>
          <w:b/>
          <w:bCs/>
          <w:noProof/>
          <w:snapToGrid w:val="0"/>
          <w:szCs w:val="22"/>
          <w:lang w:eastAsia="en-US"/>
        </w:rPr>
        <w:t>šalutinio poveikio reiškiniai (gali pasireikšti rečiau kaip 1 iš 10 000 asmenų</w:t>
      </w:r>
      <w:r>
        <w:rPr>
          <w:b/>
          <w:bCs/>
          <w:noProof/>
          <w:snapToGrid w:val="0"/>
          <w:szCs w:val="22"/>
          <w:lang w:eastAsia="en-US"/>
        </w:rPr>
        <w:t>):</w:t>
      </w:r>
    </w:p>
    <w:p w:rsidR="00BF3B27" w:rsidRPr="00866BC1" w:rsidRDefault="00BF3B27" w:rsidP="00BF3B27">
      <w:pPr>
        <w:pStyle w:val="Pagrindinistekstas"/>
        <w:numPr>
          <w:ilvl w:val="0"/>
          <w:numId w:val="12"/>
        </w:numPr>
        <w:spacing w:after="0"/>
        <w:ind w:left="567" w:hanging="567"/>
        <w:rPr>
          <w:szCs w:val="22"/>
        </w:rPr>
      </w:pPr>
      <w:r w:rsidRPr="00866BC1">
        <w:rPr>
          <w:szCs w:val="22"/>
        </w:rPr>
        <w:t>skydliaukės audinio spalvos pakitimas (pastebimas mikroskopu).</w:t>
      </w:r>
    </w:p>
    <w:p w:rsidR="00BF3B27" w:rsidRPr="00866BC1" w:rsidRDefault="00BF3B27" w:rsidP="00BF3B27">
      <w:pPr>
        <w:pStyle w:val="Pagrindinistekstas"/>
        <w:spacing w:after="0"/>
        <w:rPr>
          <w:szCs w:val="22"/>
        </w:rPr>
      </w:pPr>
    </w:p>
    <w:p w:rsidR="00BF3B27" w:rsidRPr="00866BC1" w:rsidRDefault="00BF3B27" w:rsidP="00BF3B27">
      <w:pPr>
        <w:widowControl w:val="0"/>
        <w:autoSpaceDE w:val="0"/>
        <w:autoSpaceDN w:val="0"/>
        <w:adjustRightInd w:val="0"/>
        <w:rPr>
          <w:szCs w:val="22"/>
        </w:rPr>
      </w:pPr>
      <w:r w:rsidRPr="005D554B">
        <w:rPr>
          <w:b/>
          <w:bCs/>
          <w:noProof/>
          <w:snapToGrid w:val="0"/>
          <w:szCs w:val="22"/>
        </w:rPr>
        <w:t>Šalutinio poveikio reiškiniai, kurių dažnis nežinomas (negali būti apskaičiuotas pagal turimus duomenis):</w:t>
      </w:r>
    </w:p>
    <w:p w:rsidR="00BF3B27" w:rsidRPr="00866BC1" w:rsidRDefault="00BF3B27" w:rsidP="00BF3B27">
      <w:pPr>
        <w:pStyle w:val="Pagrindinistekstas"/>
        <w:numPr>
          <w:ilvl w:val="0"/>
          <w:numId w:val="13"/>
        </w:numPr>
        <w:suppressAutoHyphens/>
        <w:spacing w:after="0"/>
        <w:ind w:left="567" w:hanging="567"/>
        <w:rPr>
          <w:szCs w:val="22"/>
        </w:rPr>
      </w:pPr>
      <w:r w:rsidRPr="00866BC1">
        <w:rPr>
          <w:szCs w:val="22"/>
        </w:rPr>
        <w:t>spengimas ar zvimbimas ausyse;</w:t>
      </w:r>
    </w:p>
    <w:p w:rsidR="00BF3B27" w:rsidRDefault="00BF3B27" w:rsidP="00BF3B27">
      <w:pPr>
        <w:pStyle w:val="Pagrindinistekstas"/>
        <w:numPr>
          <w:ilvl w:val="0"/>
          <w:numId w:val="12"/>
        </w:numPr>
        <w:spacing w:after="0"/>
        <w:ind w:left="567" w:hanging="567"/>
        <w:rPr>
          <w:szCs w:val="22"/>
        </w:rPr>
      </w:pPr>
      <w:r w:rsidRPr="00866BC1">
        <w:rPr>
          <w:szCs w:val="22"/>
        </w:rPr>
        <w:t>stemplės uždegimas ar opos;</w:t>
      </w:r>
    </w:p>
    <w:p w:rsidR="00BF3B27" w:rsidRPr="00866BC1" w:rsidRDefault="00BF3B27" w:rsidP="00BF3B27">
      <w:pPr>
        <w:pStyle w:val="Pagrindinistekstas"/>
        <w:numPr>
          <w:ilvl w:val="0"/>
          <w:numId w:val="12"/>
        </w:numPr>
        <w:spacing w:after="0"/>
        <w:ind w:left="567" w:hanging="567"/>
        <w:rPr>
          <w:szCs w:val="22"/>
        </w:rPr>
      </w:pPr>
      <w:r>
        <w:rPr>
          <w:szCs w:val="22"/>
        </w:rPr>
        <w:t>dantų spalvos pakitimas arba augimo sutrikimas;</w:t>
      </w:r>
    </w:p>
    <w:p w:rsidR="00BF3B27" w:rsidRPr="00866BC1" w:rsidRDefault="00BF3B27" w:rsidP="00BF3B27">
      <w:pPr>
        <w:pStyle w:val="Pagrindinistekstas"/>
        <w:numPr>
          <w:ilvl w:val="0"/>
          <w:numId w:val="12"/>
        </w:numPr>
        <w:suppressAutoHyphens/>
        <w:spacing w:after="0"/>
        <w:ind w:left="567" w:hanging="567"/>
        <w:rPr>
          <w:szCs w:val="22"/>
        </w:rPr>
      </w:pPr>
      <w:r w:rsidRPr="00866BC1">
        <w:rPr>
          <w:szCs w:val="22"/>
        </w:rPr>
        <w:t xml:space="preserve">raudonis, karščiavimas, pūslės ar opos (Stivenso-Džonsono sindromas); </w:t>
      </w:r>
    </w:p>
    <w:p w:rsidR="00BF3B27" w:rsidRPr="00866BC1" w:rsidRDefault="00BF3B27" w:rsidP="00BF3B27">
      <w:pPr>
        <w:pStyle w:val="Pagrindinistekstas"/>
        <w:numPr>
          <w:ilvl w:val="0"/>
          <w:numId w:val="12"/>
        </w:numPr>
        <w:spacing w:after="0"/>
        <w:ind w:left="567" w:hanging="567"/>
        <w:rPr>
          <w:szCs w:val="22"/>
        </w:rPr>
      </w:pPr>
      <w:r w:rsidRPr="00866BC1">
        <w:rPr>
          <w:szCs w:val="22"/>
        </w:rPr>
        <w:t>odos paraudimas, lupimasis ir patinimas, panašus į nudegimą (toksinė epidermio nekrolizė);</w:t>
      </w:r>
    </w:p>
    <w:p w:rsidR="00BF3B27" w:rsidRPr="00866BC1" w:rsidRDefault="00BF3B27" w:rsidP="00BF3B27">
      <w:pPr>
        <w:pStyle w:val="Pagrindinistekstas"/>
        <w:numPr>
          <w:ilvl w:val="0"/>
          <w:numId w:val="12"/>
        </w:numPr>
        <w:spacing w:after="0"/>
        <w:ind w:left="567" w:hanging="567"/>
        <w:rPr>
          <w:szCs w:val="22"/>
        </w:rPr>
      </w:pPr>
      <w:r w:rsidRPr="00866BC1">
        <w:rPr>
          <w:szCs w:val="22"/>
        </w:rPr>
        <w:t>nagų atsidalijimas nuo nago guolio (onicholizė);</w:t>
      </w:r>
    </w:p>
    <w:p w:rsidR="00BF3B27" w:rsidRPr="00866BC1" w:rsidRDefault="00BF3B27" w:rsidP="00BF3B27">
      <w:pPr>
        <w:pStyle w:val="Pagrindinistekstas"/>
        <w:numPr>
          <w:ilvl w:val="0"/>
          <w:numId w:val="12"/>
        </w:numPr>
        <w:suppressAutoHyphens/>
        <w:spacing w:after="0"/>
        <w:ind w:left="567" w:hanging="567"/>
      </w:pPr>
      <w:r w:rsidRPr="00866BC1">
        <w:t xml:space="preserve">raumenų </w:t>
      </w:r>
      <w:r w:rsidRPr="00866BC1">
        <w:rPr>
          <w:szCs w:val="22"/>
        </w:rPr>
        <w:t>ar sąnarių</w:t>
      </w:r>
      <w:r w:rsidRPr="00866BC1">
        <w:t xml:space="preserve"> skausmas;</w:t>
      </w:r>
    </w:p>
    <w:p w:rsidR="00BF3B27" w:rsidRPr="00866BC1" w:rsidRDefault="00BF3B27" w:rsidP="00BF3B27">
      <w:pPr>
        <w:pStyle w:val="Pagrindinistekstas"/>
        <w:numPr>
          <w:ilvl w:val="0"/>
          <w:numId w:val="12"/>
        </w:numPr>
        <w:suppressAutoHyphens/>
        <w:spacing w:after="0"/>
        <w:ind w:left="567" w:hanging="567"/>
      </w:pPr>
      <w:r w:rsidRPr="00866BC1">
        <w:rPr>
          <w:szCs w:val="22"/>
        </w:rPr>
        <w:t>padidėjęs šlapalo kiekis kraujyje.</w:t>
      </w:r>
    </w:p>
    <w:p w:rsidR="00BF3B27" w:rsidRPr="00866BC1" w:rsidRDefault="00BF3B27" w:rsidP="00BF3B27">
      <w:pPr>
        <w:pStyle w:val="Pagrindinistekstas"/>
        <w:spacing w:after="0"/>
        <w:rPr>
          <w:szCs w:val="22"/>
        </w:rPr>
      </w:pPr>
    </w:p>
    <w:p w:rsidR="00BF3B27" w:rsidRPr="00866BC1" w:rsidRDefault="00BF3B27" w:rsidP="00BF3B27">
      <w:pPr>
        <w:rPr>
          <w:b/>
          <w:szCs w:val="22"/>
        </w:rPr>
      </w:pPr>
      <w:r w:rsidRPr="00866BC1">
        <w:rPr>
          <w:b/>
          <w:noProof/>
          <w:szCs w:val="22"/>
        </w:rPr>
        <w:t>Pranešimas apie šalutinį poveikį</w:t>
      </w:r>
    </w:p>
    <w:p w:rsidR="00BF3B27" w:rsidRPr="00866BC1" w:rsidRDefault="00BF3B27" w:rsidP="00BF3B27">
      <w:pPr>
        <w:pStyle w:val="Pagrindinistekstas"/>
        <w:spacing w:after="0"/>
        <w:rPr>
          <w:szCs w:val="22"/>
        </w:rPr>
      </w:pPr>
      <w:r w:rsidRPr="00BF2EC4">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BF2EC4">
          <w:rPr>
            <w:color w:val="0000FF"/>
            <w:u w:val="single"/>
          </w:rPr>
          <w:t>https://vvkt.lrv.lt/lt/</w:t>
        </w:r>
      </w:hyperlink>
      <w:r w:rsidRPr="00BF2EC4">
        <w:t xml:space="preserve"> nurodytais būdais arba paskambinti nemokamu telefonu 8 800 73 568. Pranešdami apie šalutinį poveikį galite mums padėti gauti daugiau informacijos apie šio vaisto saugumą.</w:t>
      </w:r>
    </w:p>
    <w:p w:rsidR="00BF3B27" w:rsidRDefault="00BF3B27" w:rsidP="00BF3B27">
      <w:pPr>
        <w:pStyle w:val="BTEMEASMCA"/>
      </w:pPr>
    </w:p>
    <w:p w:rsidR="00BF3B27" w:rsidRPr="00866BC1" w:rsidRDefault="00BF3B27" w:rsidP="00BF3B27">
      <w:pPr>
        <w:pStyle w:val="BTEMEASMCA"/>
      </w:pPr>
    </w:p>
    <w:p w:rsidR="00BF3B27" w:rsidRPr="00866BC1" w:rsidRDefault="00BF3B27" w:rsidP="00BF3B27">
      <w:pPr>
        <w:pStyle w:val="PI-1EMEASMCA"/>
      </w:pPr>
      <w:bookmarkStart w:id="4" w:name="_Toc129243143"/>
      <w:bookmarkStart w:id="5" w:name="_Toc129243268"/>
      <w:r w:rsidRPr="00866BC1">
        <w:t>5.</w:t>
      </w:r>
      <w:r w:rsidRPr="00866BC1">
        <w:tab/>
        <w:t>Kaip laikyti DOXYCYCLIN TC</w:t>
      </w:r>
    </w:p>
    <w:bookmarkEnd w:id="4"/>
    <w:bookmarkEnd w:id="5"/>
    <w:p w:rsidR="00BF3B27" w:rsidRPr="00866BC1" w:rsidRDefault="00BF3B27" w:rsidP="00BF3B27">
      <w:pPr>
        <w:pStyle w:val="BTEMEASMCA"/>
      </w:pPr>
    </w:p>
    <w:p w:rsidR="00BF3B27" w:rsidRPr="00866BC1" w:rsidRDefault="00BF3B27" w:rsidP="00BF3B27">
      <w:pPr>
        <w:pStyle w:val="Pagrindinistekstas"/>
        <w:spacing w:after="0"/>
        <w:rPr>
          <w:szCs w:val="22"/>
        </w:rPr>
      </w:pPr>
      <w:r w:rsidRPr="00866BC1">
        <w:rPr>
          <w:szCs w:val="22"/>
        </w:rPr>
        <w:t>Šį vaistą laikykite vaikams nepastebimoje ir nepasiekiamoje vietoje.</w:t>
      </w:r>
    </w:p>
    <w:p w:rsidR="00BF3B27" w:rsidRPr="00866BC1" w:rsidRDefault="00BF3B27" w:rsidP="00BF3B27">
      <w:pPr>
        <w:pStyle w:val="Pagrindinistekstas"/>
        <w:spacing w:after="0"/>
        <w:rPr>
          <w:szCs w:val="22"/>
        </w:rPr>
      </w:pPr>
    </w:p>
    <w:p w:rsidR="00BF3B27" w:rsidRPr="00866BC1" w:rsidRDefault="00BF3B27" w:rsidP="00BF3B27">
      <w:pPr>
        <w:pStyle w:val="Pagrindinistekstas"/>
        <w:spacing w:after="0"/>
        <w:rPr>
          <w:szCs w:val="22"/>
        </w:rPr>
      </w:pPr>
      <w:r w:rsidRPr="00866BC1">
        <w:rPr>
          <w:szCs w:val="22"/>
        </w:rPr>
        <w:t>Ant dėžutės ir lizdinės plokštelės po „EXP“ nurodytam tinkamumo laikui pasibaigus, šio vaisto vartoti negalima. Vaistas tinka vartoti iki paskutinės nurodyto mėnesio dienos.</w:t>
      </w:r>
    </w:p>
    <w:p w:rsidR="00BF3B27" w:rsidRPr="00866BC1" w:rsidRDefault="00BF3B27" w:rsidP="00BF3B27">
      <w:pPr>
        <w:pStyle w:val="Pagrindinistekstas"/>
        <w:spacing w:after="0"/>
        <w:rPr>
          <w:szCs w:val="22"/>
        </w:rPr>
      </w:pPr>
    </w:p>
    <w:p w:rsidR="00BF3B27" w:rsidRPr="00866BC1" w:rsidRDefault="00BF3B27" w:rsidP="00BF3B27">
      <w:pPr>
        <w:pStyle w:val="Pagrindinistekstas"/>
        <w:spacing w:after="0"/>
        <w:rPr>
          <w:szCs w:val="22"/>
        </w:rPr>
      </w:pPr>
      <w:r w:rsidRPr="00866BC1">
        <w:rPr>
          <w:szCs w:val="22"/>
        </w:rPr>
        <w:t>Laikyti ne aukštesnėje kaip 25</w:t>
      </w:r>
      <w:r>
        <w:rPr>
          <w:szCs w:val="22"/>
        </w:rPr>
        <w:t xml:space="preserve"> </w:t>
      </w:r>
      <w:r w:rsidRPr="00866BC1">
        <w:rPr>
          <w:szCs w:val="22"/>
        </w:rPr>
        <w:t>°C temperatūroje.</w:t>
      </w:r>
    </w:p>
    <w:p w:rsidR="00BF3B27" w:rsidRPr="00866BC1" w:rsidRDefault="00BF3B27" w:rsidP="00BF3B27">
      <w:pPr>
        <w:pStyle w:val="Pagrindinistekstas"/>
        <w:spacing w:after="0"/>
        <w:rPr>
          <w:szCs w:val="22"/>
        </w:rPr>
      </w:pPr>
      <w:r w:rsidRPr="00866BC1">
        <w:rPr>
          <w:szCs w:val="22"/>
        </w:rPr>
        <w:t>Lizdinę plokštelę laikyti išorinėje dėžutėje, kad vaistas būtų apsaugotas nuo šviesos ir drėgmės.</w:t>
      </w:r>
    </w:p>
    <w:p w:rsidR="00BF3B27" w:rsidRPr="00866BC1" w:rsidRDefault="00BF3B27" w:rsidP="00BF3B27">
      <w:pPr>
        <w:pStyle w:val="Pagrindinistekstas"/>
        <w:spacing w:after="0"/>
        <w:rPr>
          <w:szCs w:val="22"/>
        </w:rPr>
      </w:pPr>
    </w:p>
    <w:p w:rsidR="00BF3B27" w:rsidRPr="00866BC1" w:rsidRDefault="00BF3B27" w:rsidP="00BF3B27">
      <w:pPr>
        <w:pStyle w:val="Pagrindinistekstas"/>
        <w:spacing w:after="0"/>
        <w:rPr>
          <w:szCs w:val="22"/>
        </w:rPr>
      </w:pPr>
      <w:r w:rsidRPr="00866BC1">
        <w:rPr>
          <w:szCs w:val="22"/>
        </w:rPr>
        <w:t>Vaistų negalima išmesti į kanalizaciją arba su buitinėmis atliekomis. Kaip išmesti nereikalingus vaistus, klauskite vaistininko. Šios priemonės padės apsaugoti aplinką.</w:t>
      </w:r>
    </w:p>
    <w:p w:rsidR="00BF3B27" w:rsidRPr="00866BC1" w:rsidRDefault="00BF3B27" w:rsidP="00BF3B27">
      <w:pPr>
        <w:pStyle w:val="Pagrindinistekstas"/>
        <w:spacing w:after="0"/>
        <w:rPr>
          <w:szCs w:val="22"/>
        </w:rPr>
      </w:pPr>
    </w:p>
    <w:p w:rsidR="00BF3B27" w:rsidRPr="00866BC1" w:rsidRDefault="00BF3B27" w:rsidP="00BF3B27">
      <w:pPr>
        <w:pStyle w:val="BTEMEASMCA"/>
      </w:pPr>
    </w:p>
    <w:p w:rsidR="00BF3B27" w:rsidRPr="00866BC1" w:rsidRDefault="00BF3B27" w:rsidP="00BF3B27">
      <w:pPr>
        <w:pStyle w:val="PI-1EMEASMCA"/>
      </w:pPr>
      <w:bookmarkStart w:id="6" w:name="_Toc129243144"/>
      <w:bookmarkStart w:id="7" w:name="_Toc129243269"/>
      <w:r w:rsidRPr="00866BC1">
        <w:t>6.</w:t>
      </w:r>
      <w:r w:rsidRPr="00866BC1">
        <w:tab/>
        <w:t>Pakuotės turinys ir kita informacija</w:t>
      </w:r>
      <w:bookmarkEnd w:id="6"/>
      <w:bookmarkEnd w:id="7"/>
    </w:p>
    <w:p w:rsidR="00BF3B27" w:rsidRPr="00866BC1" w:rsidRDefault="00BF3B27" w:rsidP="00BF3B27">
      <w:pPr>
        <w:pStyle w:val="BTEMEASMCA"/>
      </w:pPr>
    </w:p>
    <w:p w:rsidR="00BF3B27" w:rsidRPr="00866BC1" w:rsidRDefault="00BF3B27" w:rsidP="00BF3B27">
      <w:pPr>
        <w:pStyle w:val="PI-3EMEASMCA"/>
      </w:pPr>
      <w:r w:rsidRPr="00866BC1">
        <w:t>DOXYCYCLIN TC sudėtis</w:t>
      </w:r>
    </w:p>
    <w:p w:rsidR="00BF3B27" w:rsidRPr="00866BC1" w:rsidRDefault="00BF3B27" w:rsidP="00BF3B27">
      <w:pPr>
        <w:pStyle w:val="Pagrindinistekstas"/>
        <w:spacing w:after="0"/>
        <w:ind w:left="567" w:hanging="567"/>
        <w:rPr>
          <w:szCs w:val="22"/>
        </w:rPr>
      </w:pPr>
      <w:r w:rsidRPr="00866BC1">
        <w:rPr>
          <w:szCs w:val="22"/>
        </w:rPr>
        <w:t>-</w:t>
      </w:r>
      <w:r w:rsidRPr="00866BC1">
        <w:rPr>
          <w:szCs w:val="22"/>
        </w:rPr>
        <w:tab/>
      </w:r>
      <w:r w:rsidRPr="00F320C6">
        <w:rPr>
          <w:lang w:bidi="lt-LT"/>
        </w:rPr>
        <w:t xml:space="preserve">Veiklioji (-sios) medžiaga (-os) </w:t>
      </w:r>
      <w:r w:rsidRPr="00866BC1">
        <w:rPr>
          <w:szCs w:val="22"/>
        </w:rPr>
        <w:t>yra doksiciklinas. Vienoje kapsulėje yra 100</w:t>
      </w:r>
      <w:r>
        <w:rPr>
          <w:szCs w:val="22"/>
        </w:rPr>
        <w:t> mg</w:t>
      </w:r>
      <w:r w:rsidRPr="00866BC1">
        <w:rPr>
          <w:szCs w:val="22"/>
        </w:rPr>
        <w:t xml:space="preserve"> doksiciklino (doksiciklino hiklato pavidalu).</w:t>
      </w:r>
    </w:p>
    <w:p w:rsidR="00BF3B27" w:rsidRPr="00866BC1" w:rsidRDefault="00BF3B27" w:rsidP="00BF3B27">
      <w:pPr>
        <w:ind w:left="567" w:hanging="567"/>
        <w:rPr>
          <w:szCs w:val="22"/>
        </w:rPr>
      </w:pPr>
      <w:r w:rsidRPr="00866BC1">
        <w:rPr>
          <w:szCs w:val="22"/>
        </w:rPr>
        <w:t>-</w:t>
      </w:r>
      <w:r w:rsidRPr="00866BC1">
        <w:rPr>
          <w:szCs w:val="22"/>
        </w:rPr>
        <w:tab/>
      </w:r>
      <w:r w:rsidRPr="00F320C6">
        <w:rPr>
          <w:lang w:bidi="lt-LT"/>
        </w:rPr>
        <w:t>Pagalbinė (-ės) medžiaga (-os)</w:t>
      </w:r>
      <w:r>
        <w:rPr>
          <w:lang w:bidi="lt-LT"/>
        </w:rPr>
        <w:t xml:space="preserve"> </w:t>
      </w:r>
      <w:r w:rsidRPr="00866BC1">
        <w:rPr>
          <w:szCs w:val="22"/>
        </w:rPr>
        <w:t>yra:</w:t>
      </w:r>
    </w:p>
    <w:p w:rsidR="00BF3B27" w:rsidRPr="00866BC1" w:rsidRDefault="00BF3B27" w:rsidP="00BF3B27">
      <w:pPr>
        <w:ind w:left="567"/>
        <w:rPr>
          <w:szCs w:val="22"/>
        </w:rPr>
      </w:pPr>
      <w:r w:rsidRPr="00866BC1">
        <w:rPr>
          <w:i/>
          <w:szCs w:val="22"/>
        </w:rPr>
        <w:t xml:space="preserve">Kapsulės turinys: </w:t>
      </w:r>
      <w:r w:rsidRPr="00866BC1">
        <w:rPr>
          <w:szCs w:val="22"/>
        </w:rPr>
        <w:t>algino rūgštis, magnio stearatas, natrio laurilsulfatas, laktozė monohidratas, kukurūzų krakmolas.</w:t>
      </w:r>
    </w:p>
    <w:p w:rsidR="00BF3B27" w:rsidRPr="00866BC1" w:rsidRDefault="00BF3B27" w:rsidP="00BF3B27">
      <w:pPr>
        <w:ind w:left="567"/>
        <w:rPr>
          <w:szCs w:val="22"/>
        </w:rPr>
      </w:pPr>
      <w:r w:rsidRPr="00866BC1">
        <w:rPr>
          <w:i/>
          <w:szCs w:val="22"/>
        </w:rPr>
        <w:t xml:space="preserve">Kapsulės korpusas: </w:t>
      </w:r>
      <w:r w:rsidRPr="00866BC1">
        <w:rPr>
          <w:szCs w:val="22"/>
        </w:rPr>
        <w:t>indigotinas (E132), titano dioksidas (E171), geltonasis geležies oksidas (E172), želatina.</w:t>
      </w:r>
    </w:p>
    <w:p w:rsidR="00BF3B27" w:rsidRPr="00866BC1" w:rsidRDefault="00BF3B27" w:rsidP="00BF3B27">
      <w:pPr>
        <w:pStyle w:val="Pagrindinistekstas"/>
        <w:spacing w:after="0"/>
        <w:rPr>
          <w:szCs w:val="22"/>
        </w:rPr>
      </w:pPr>
    </w:p>
    <w:p w:rsidR="00BF3B27" w:rsidRPr="00866BC1" w:rsidRDefault="00BF3B27" w:rsidP="00BF3B27">
      <w:pPr>
        <w:pStyle w:val="PI-3EMEASMCA"/>
      </w:pPr>
      <w:r w:rsidRPr="00866BC1">
        <w:t>DOXYCYCLIN TC išvaizda ir kiekis pakuotėje</w:t>
      </w:r>
    </w:p>
    <w:p w:rsidR="00BF3B27" w:rsidRPr="00866BC1" w:rsidRDefault="00BF3B27" w:rsidP="00BF3B27">
      <w:r w:rsidRPr="00866BC1">
        <w:rPr>
          <w:szCs w:val="22"/>
        </w:rPr>
        <w:t>DOXYCYCLIN TC 100</w:t>
      </w:r>
      <w:r>
        <w:rPr>
          <w:szCs w:val="22"/>
        </w:rPr>
        <w:t> mg</w:t>
      </w:r>
      <w:r w:rsidRPr="00866BC1">
        <w:rPr>
          <w:szCs w:val="22"/>
        </w:rPr>
        <w:t xml:space="preserve"> kietosios kapsulės yra cilindro formos, 2 dydžio, nepermatomos, tamsiai žalios spalvos. Kapsulių viduje yra geltoni milteliai.</w:t>
      </w:r>
    </w:p>
    <w:p w:rsidR="00BF3B27" w:rsidRPr="00866BC1" w:rsidRDefault="00BF3B27" w:rsidP="00BF3B27">
      <w:pPr>
        <w:pStyle w:val="Pagrindinistekstas"/>
        <w:spacing w:after="0"/>
        <w:rPr>
          <w:szCs w:val="22"/>
        </w:rPr>
      </w:pPr>
      <w:r w:rsidRPr="00866BC1">
        <w:rPr>
          <w:szCs w:val="22"/>
        </w:rPr>
        <w:t>Pakuotėje yra 10 kietųjų kapsulių.</w:t>
      </w:r>
    </w:p>
    <w:p w:rsidR="00BF3B27" w:rsidRPr="00866BC1" w:rsidRDefault="00BF3B27" w:rsidP="00BF3B27">
      <w:pPr>
        <w:pStyle w:val="Pagrindinistekstas"/>
        <w:spacing w:after="0"/>
        <w:rPr>
          <w:szCs w:val="22"/>
        </w:rPr>
      </w:pPr>
    </w:p>
    <w:p w:rsidR="00BF3B27" w:rsidRPr="00866BC1" w:rsidRDefault="00BF3B27" w:rsidP="00BF3B27">
      <w:pPr>
        <w:pStyle w:val="PI-3EMEASMCA"/>
      </w:pPr>
      <w:r w:rsidRPr="00866BC1">
        <w:t>Registruotojas ir gamintojas</w:t>
      </w:r>
    </w:p>
    <w:p w:rsidR="00BF3B27" w:rsidRPr="00866BC1" w:rsidRDefault="00BF3B27" w:rsidP="00BF3B27">
      <w:pPr>
        <w:rPr>
          <w:szCs w:val="22"/>
        </w:rPr>
      </w:pPr>
      <w:r w:rsidRPr="00866BC1">
        <w:rPr>
          <w:szCs w:val="22"/>
        </w:rPr>
        <w:t>Tarchomińskie Zakłady Farmaceutyczne „Polfa” Spółka Akcyjna</w:t>
      </w:r>
    </w:p>
    <w:p w:rsidR="00BF3B27" w:rsidRPr="00866BC1" w:rsidRDefault="00BF3B27" w:rsidP="00BF3B27">
      <w:pPr>
        <w:pStyle w:val="Pagrindinistekstas"/>
        <w:spacing w:after="0"/>
        <w:rPr>
          <w:szCs w:val="22"/>
        </w:rPr>
      </w:pPr>
      <w:r w:rsidRPr="00866BC1">
        <w:rPr>
          <w:szCs w:val="22"/>
        </w:rPr>
        <w:t xml:space="preserve">ul. A. Fleminga 2 </w:t>
      </w:r>
    </w:p>
    <w:p w:rsidR="00BF3B27" w:rsidRPr="00866BC1" w:rsidRDefault="00BF3B27" w:rsidP="00BF3B27">
      <w:pPr>
        <w:pStyle w:val="Pagrindinistekstas"/>
        <w:spacing w:after="0"/>
        <w:rPr>
          <w:szCs w:val="22"/>
        </w:rPr>
      </w:pPr>
      <w:r w:rsidRPr="00866BC1">
        <w:rPr>
          <w:szCs w:val="22"/>
        </w:rPr>
        <w:t>03–176 Warszawa</w:t>
      </w:r>
    </w:p>
    <w:p w:rsidR="00BF3B27" w:rsidRPr="00866BC1" w:rsidRDefault="00BF3B27" w:rsidP="00BF3B27">
      <w:pPr>
        <w:pStyle w:val="Pagrindinistekstas"/>
        <w:spacing w:after="0"/>
      </w:pPr>
      <w:r w:rsidRPr="00866BC1">
        <w:rPr>
          <w:szCs w:val="22"/>
        </w:rPr>
        <w:t>Lenkija</w:t>
      </w:r>
    </w:p>
    <w:p w:rsidR="00BF3B27" w:rsidRPr="00866BC1" w:rsidRDefault="00BF3B27" w:rsidP="00BF3B27">
      <w:pPr>
        <w:pStyle w:val="BTEMEASMCA"/>
      </w:pPr>
    </w:p>
    <w:p w:rsidR="00BF3B27" w:rsidRPr="00866BC1" w:rsidRDefault="00BF3B27" w:rsidP="00BF3B27">
      <w:pPr>
        <w:pStyle w:val="BTbEMEASMCA"/>
      </w:pPr>
      <w:r w:rsidRPr="00866BC1">
        <w:t>Šis pakuotės lapelis paskutinį kartą peržiūrėtas</w:t>
      </w:r>
      <w:r>
        <w:t xml:space="preserve"> 2024-11-19. </w:t>
      </w:r>
    </w:p>
    <w:p w:rsidR="00BF3B27" w:rsidRPr="00866BC1" w:rsidRDefault="00BF3B27" w:rsidP="00BF3B27">
      <w:pPr>
        <w:rPr>
          <w:szCs w:val="22"/>
        </w:rPr>
      </w:pPr>
    </w:p>
    <w:p w:rsidR="00BF3B27" w:rsidRPr="00866BC1" w:rsidRDefault="00BF3B27" w:rsidP="00BF3B27">
      <w:pPr>
        <w:pStyle w:val="BTEMEASMCA"/>
        <w:rPr>
          <w:b w:val="0"/>
          <w:color w:val="0000FF"/>
        </w:rPr>
      </w:pPr>
      <w:r w:rsidRPr="00866BC1">
        <w:rPr>
          <w:b w:val="0"/>
        </w:rPr>
        <w:t xml:space="preserve">Išsami informacija apie šį vaistą pateikiama Valstybinės vaistų kontrolės tarnybos prie Lietuvos Respublikos sveikatos apsaugos ministerijos interneto tinklalapyje </w:t>
      </w:r>
      <w:hyperlink r:id="rId6" w:history="1">
        <w:r w:rsidRPr="009B3C8C">
          <w:rPr>
            <w:b w:val="0"/>
            <w:iCs/>
            <w:color w:val="0000FF"/>
            <w:szCs w:val="20"/>
            <w:u w:val="single"/>
            <w:lang w:eastAsia="lt-LT"/>
          </w:rPr>
          <w:t>https://vvkt.lrv.lt/lt/</w:t>
        </w:r>
      </w:hyperlink>
      <w:r w:rsidRPr="00866BC1">
        <w:rPr>
          <w:b w:val="0"/>
        </w:rPr>
        <w:t>.</w:t>
      </w:r>
    </w:p>
    <w:p w:rsidR="00BF3B27" w:rsidRPr="00866BC1" w:rsidRDefault="00BF3B27" w:rsidP="00BF3B27">
      <w:pPr>
        <w:rPr>
          <w:szCs w:val="22"/>
        </w:rPr>
      </w:pPr>
    </w:p>
    <w:p w:rsidR="00BF3B27" w:rsidRPr="00866BC1" w:rsidRDefault="00BF3B27" w:rsidP="00BF3B27">
      <w:pPr>
        <w:pStyle w:val="Pagrindinistekstas"/>
        <w:spacing w:after="0"/>
        <w:rPr>
          <w:szCs w:val="22"/>
        </w:rPr>
      </w:pPr>
    </w:p>
    <w:p w:rsidR="00BF3B27" w:rsidRPr="00866BC1" w:rsidRDefault="00BF3B27" w:rsidP="00BF3B27">
      <w:pPr>
        <w:rPr>
          <w:szCs w:val="22"/>
        </w:rPr>
      </w:pPr>
    </w:p>
    <w:p w:rsidR="00BF3B27" w:rsidRPr="00866BC1" w:rsidRDefault="00BF3B27" w:rsidP="00BF3B27"/>
    <w:p w:rsidR="00BF3B27" w:rsidRPr="00866BC1" w:rsidRDefault="00BF3B27" w:rsidP="00BF3B27"/>
    <w:p w:rsidR="00BF3B27" w:rsidRDefault="00BF3B27" w:rsidP="00BF3B27"/>
    <w:p w:rsidR="00BF3B27" w:rsidRDefault="00BF3B27" w:rsidP="00BF3B27"/>
    <w:p w:rsidR="00BA6577" w:rsidRDefault="00BA6577">
      <w:bookmarkStart w:id="8" w:name="_GoBack"/>
      <w:bookmarkEnd w:id="8"/>
    </w:p>
    <w:sectPr w:rsidR="00BA6577">
      <w:headerReference w:type="default" r:id="rId7"/>
      <w:footerReference w:type="even" r:id="rId8"/>
      <w:footerReference w:type="default" r:id="rId9"/>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76E" w:rsidRDefault="00BF3B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0376E" w:rsidRDefault="00BF3B2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76E" w:rsidRDefault="00BF3B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0376E" w:rsidRDefault="00BF3B27">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22" w:rsidRDefault="00BF3B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6"/>
      <w:numFmt w:val="bullet"/>
      <w:lvlText w:val="-"/>
      <w:lvlJc w:val="left"/>
      <w:pPr>
        <w:tabs>
          <w:tab w:val="num" w:pos="567"/>
        </w:tabs>
        <w:ind w:left="567" w:hanging="567"/>
      </w:pPr>
      <w:rPr>
        <w:rFonts w:ascii="Times New Roman" w:hAnsi="Times New Roman" w:cs="Times New Roman"/>
        <w:color w:val="auto"/>
      </w:rPr>
    </w:lvl>
  </w:abstractNum>
  <w:abstractNum w:abstractNumId="2" w15:restartNumberingAfterBreak="0">
    <w:nsid w:val="004869D4"/>
    <w:multiLevelType w:val="hybridMultilevel"/>
    <w:tmpl w:val="8710F960"/>
    <w:lvl w:ilvl="0" w:tplc="4E8EECF0">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707EB"/>
    <w:multiLevelType w:val="hybridMultilevel"/>
    <w:tmpl w:val="D368F38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E7432"/>
    <w:multiLevelType w:val="hybridMultilevel"/>
    <w:tmpl w:val="162E6618"/>
    <w:lvl w:ilvl="0" w:tplc="0474367A">
      <w:start w:val="1"/>
      <w:numFmt w:val="bullet"/>
      <w:lvlText w:val=""/>
      <w:lvlJc w:val="left"/>
      <w:pPr>
        <w:tabs>
          <w:tab w:val="num" w:pos="0"/>
        </w:tabs>
        <w:ind w:left="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7D8E2E7E"/>
    <w:lvl w:ilvl="0" w:tplc="F9E695B0">
      <w:start w:val="1"/>
      <w:numFmt w:val="bullet"/>
      <w:lvlRestart w:val="0"/>
      <w:pStyle w:val="BT-EMEASMCA"/>
      <w:lvlText w:val="-"/>
      <w:lvlJc w:val="left"/>
      <w:pPr>
        <w:tabs>
          <w:tab w:val="num" w:pos="647"/>
        </w:tabs>
        <w:ind w:left="647"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8A5CF9"/>
    <w:multiLevelType w:val="hybridMultilevel"/>
    <w:tmpl w:val="EF38FC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119D8"/>
    <w:multiLevelType w:val="hybridMultilevel"/>
    <w:tmpl w:val="5C9E6CB0"/>
    <w:lvl w:ilvl="0" w:tplc="4E8EECF0">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E32F1E"/>
    <w:multiLevelType w:val="hybridMultilevel"/>
    <w:tmpl w:val="FF4A43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793EAF"/>
    <w:multiLevelType w:val="hybridMultilevel"/>
    <w:tmpl w:val="23D404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D3562"/>
    <w:multiLevelType w:val="hybridMultilevel"/>
    <w:tmpl w:val="55A4E29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6FDC29EF"/>
    <w:multiLevelType w:val="hybridMultilevel"/>
    <w:tmpl w:val="03AE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807B9"/>
    <w:multiLevelType w:val="hybridMultilevel"/>
    <w:tmpl w:val="CDF845E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12"/>
  </w:num>
  <w:num w:numId="6">
    <w:abstractNumId w:val="10"/>
  </w:num>
  <w:num w:numId="7">
    <w:abstractNumId w:val="2"/>
  </w:num>
  <w:num w:numId="8">
    <w:abstractNumId w:val="7"/>
  </w:num>
  <w:num w:numId="9">
    <w:abstractNumId w:val="11"/>
  </w:num>
  <w:num w:numId="10">
    <w:abstractNumId w:val="8"/>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27"/>
    <w:rsid w:val="00072F85"/>
    <w:rsid w:val="000A5E72"/>
    <w:rsid w:val="000A7B60"/>
    <w:rsid w:val="00181364"/>
    <w:rsid w:val="002945D9"/>
    <w:rsid w:val="00305C48"/>
    <w:rsid w:val="003362C6"/>
    <w:rsid w:val="00497D4D"/>
    <w:rsid w:val="00742EBF"/>
    <w:rsid w:val="00B4219F"/>
    <w:rsid w:val="00BA6577"/>
    <w:rsid w:val="00BF3B2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DDF23-D077-46FC-99B0-A6FED019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3B27"/>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qFormat/>
    <w:rsid w:val="00BF3B27"/>
    <w:pPr>
      <w:keepNext/>
      <w:outlineLvl w:val="1"/>
    </w:pPr>
    <w:rPr>
      <w:b/>
    </w:rPr>
  </w:style>
  <w:style w:type="paragraph" w:styleId="Antrat3">
    <w:name w:val="heading 3"/>
    <w:basedOn w:val="prastasis"/>
    <w:next w:val="prastasis"/>
    <w:link w:val="Antrat3Diagrama"/>
    <w:autoRedefine/>
    <w:qFormat/>
    <w:rsid w:val="00BF3B27"/>
    <w:pPr>
      <w:keepNext/>
      <w:outlineLvl w:val="2"/>
    </w:pPr>
    <w:rPr>
      <w:b/>
    </w:rPr>
  </w:style>
  <w:style w:type="paragraph" w:styleId="Antrat5">
    <w:name w:val="heading 5"/>
    <w:basedOn w:val="prastasis"/>
    <w:next w:val="prastasis"/>
    <w:link w:val="Antrat5Diagrama"/>
    <w:qFormat/>
    <w:rsid w:val="00BF3B27"/>
    <w:pPr>
      <w:keepNext/>
      <w:ind w:left="567" w:hanging="567"/>
      <w:outlineLvl w:val="4"/>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F3B27"/>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BF3B27"/>
    <w:rPr>
      <w:rFonts w:ascii="Times New Roman" w:eastAsia="Times New Roman" w:hAnsi="Times New Roman" w:cs="Times New Roman"/>
      <w:b/>
      <w:szCs w:val="20"/>
      <w:lang w:eastAsia="lt-LT"/>
    </w:rPr>
  </w:style>
  <w:style w:type="character" w:customStyle="1" w:styleId="Antrat5Diagrama">
    <w:name w:val="Antraštė 5 Diagrama"/>
    <w:basedOn w:val="Numatytasispastraiposriftas"/>
    <w:link w:val="Antrat5"/>
    <w:rsid w:val="00BF3B27"/>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rsid w:val="00BF3B27"/>
    <w:pPr>
      <w:spacing w:after="120"/>
    </w:pPr>
  </w:style>
  <w:style w:type="character" w:customStyle="1" w:styleId="PagrindinistekstasDiagrama">
    <w:name w:val="Pagrindinis tekstas Diagrama"/>
    <w:basedOn w:val="Numatytasispastraiposriftas"/>
    <w:link w:val="Pagrindinistekstas"/>
    <w:rsid w:val="00BF3B27"/>
    <w:rPr>
      <w:rFonts w:ascii="Times New Roman" w:eastAsia="Times New Roman" w:hAnsi="Times New Roman" w:cs="Times New Roman"/>
      <w:szCs w:val="20"/>
      <w:lang w:eastAsia="lt-LT"/>
    </w:rPr>
  </w:style>
  <w:style w:type="paragraph" w:styleId="Porat">
    <w:name w:val="footer"/>
    <w:basedOn w:val="prastasis"/>
    <w:link w:val="PoratDiagrama"/>
    <w:rsid w:val="00BF3B27"/>
    <w:pPr>
      <w:tabs>
        <w:tab w:val="center" w:pos="4153"/>
        <w:tab w:val="right" w:pos="8306"/>
      </w:tabs>
    </w:pPr>
  </w:style>
  <w:style w:type="character" w:customStyle="1" w:styleId="PoratDiagrama">
    <w:name w:val="Poraštė Diagrama"/>
    <w:basedOn w:val="Numatytasispastraiposriftas"/>
    <w:link w:val="Porat"/>
    <w:rsid w:val="00BF3B27"/>
    <w:rPr>
      <w:rFonts w:ascii="Times New Roman" w:eastAsia="Times New Roman" w:hAnsi="Times New Roman" w:cs="Times New Roman"/>
      <w:szCs w:val="20"/>
      <w:lang w:eastAsia="lt-LT"/>
    </w:rPr>
  </w:style>
  <w:style w:type="character" w:styleId="Puslapionumeris">
    <w:name w:val="page number"/>
    <w:basedOn w:val="Numatytasispastraiposriftas"/>
    <w:rsid w:val="00BF3B27"/>
  </w:style>
  <w:style w:type="paragraph" w:styleId="Komentarotekstas">
    <w:name w:val="annotation text"/>
    <w:basedOn w:val="prastasis"/>
    <w:link w:val="KomentarotekstasDiagrama"/>
    <w:uiPriority w:val="99"/>
    <w:rsid w:val="00BF3B27"/>
    <w:rPr>
      <w:sz w:val="20"/>
    </w:rPr>
  </w:style>
  <w:style w:type="character" w:customStyle="1" w:styleId="KomentarotekstasDiagrama">
    <w:name w:val="Komentaro tekstas Diagrama"/>
    <w:basedOn w:val="Numatytasispastraiposriftas"/>
    <w:link w:val="Komentarotekstas"/>
    <w:uiPriority w:val="99"/>
    <w:rsid w:val="00BF3B27"/>
    <w:rPr>
      <w:rFonts w:ascii="Times New Roman" w:eastAsia="Times New Roman" w:hAnsi="Times New Roman" w:cs="Times New Roman"/>
      <w:sz w:val="20"/>
      <w:szCs w:val="20"/>
      <w:lang w:eastAsia="lt-LT"/>
    </w:rPr>
  </w:style>
  <w:style w:type="paragraph" w:customStyle="1" w:styleId="BTEMEASMCA">
    <w:name w:val="BT EMEA_SMCA"/>
    <w:basedOn w:val="prastasis"/>
    <w:autoRedefine/>
    <w:rsid w:val="00BF3B27"/>
    <w:rPr>
      <w:b/>
      <w:szCs w:val="22"/>
      <w:lang w:eastAsia="en-US"/>
    </w:rPr>
  </w:style>
  <w:style w:type="paragraph" w:customStyle="1" w:styleId="PI-1EMEASMCA">
    <w:name w:val="PI-1 EMEA_SMCA"/>
    <w:basedOn w:val="Antrat2"/>
    <w:autoRedefine/>
    <w:rsid w:val="00BF3B27"/>
    <w:pPr>
      <w:tabs>
        <w:tab w:val="left" w:pos="567"/>
      </w:tabs>
      <w:ind w:left="567" w:hanging="567"/>
    </w:pPr>
    <w:rPr>
      <w:szCs w:val="22"/>
      <w:lang w:eastAsia="en-US"/>
    </w:rPr>
  </w:style>
  <w:style w:type="paragraph" w:customStyle="1" w:styleId="PI-3EMEASMCA">
    <w:name w:val="PI-3 EMEA_SMCA"/>
    <w:basedOn w:val="prastasis"/>
    <w:autoRedefine/>
    <w:rsid w:val="00BF3B27"/>
    <w:pPr>
      <w:spacing w:line="220" w:lineRule="exact"/>
    </w:pPr>
    <w:rPr>
      <w:b/>
      <w:bCs/>
      <w:szCs w:val="22"/>
      <w:lang w:eastAsia="en-US"/>
    </w:rPr>
  </w:style>
  <w:style w:type="paragraph" w:customStyle="1" w:styleId="BT-EMEASMCA">
    <w:name w:val="BT- EMEA_SMCA"/>
    <w:basedOn w:val="BTEMEASMCA"/>
    <w:autoRedefine/>
    <w:rsid w:val="00BF3B27"/>
    <w:pPr>
      <w:numPr>
        <w:numId w:val="1"/>
      </w:numPr>
      <w:ind w:left="646" w:hanging="646"/>
    </w:pPr>
    <w:rPr>
      <w:b w:val="0"/>
      <w:noProof/>
    </w:rPr>
  </w:style>
  <w:style w:type="paragraph" w:customStyle="1" w:styleId="BTbEMEASMCA">
    <w:name w:val="BT(b) EMEA_SMCA"/>
    <w:basedOn w:val="BTEMEASMCA"/>
    <w:autoRedefine/>
    <w:rsid w:val="00BF3B27"/>
    <w:pPr>
      <w:spacing w:before="120"/>
    </w:pPr>
    <w:rPr>
      <w:noProof/>
    </w:rPr>
  </w:style>
  <w:style w:type="paragraph" w:styleId="Antrats">
    <w:name w:val="header"/>
    <w:basedOn w:val="prastasis"/>
    <w:link w:val="AntratsDiagrama"/>
    <w:uiPriority w:val="99"/>
    <w:unhideWhenUsed/>
    <w:rsid w:val="00BF3B27"/>
    <w:pPr>
      <w:tabs>
        <w:tab w:val="center" w:pos="4320"/>
        <w:tab w:val="right" w:pos="8640"/>
      </w:tabs>
    </w:pPr>
  </w:style>
  <w:style w:type="character" w:customStyle="1" w:styleId="AntratsDiagrama">
    <w:name w:val="Antraštės Diagrama"/>
    <w:basedOn w:val="Numatytasispastraiposriftas"/>
    <w:link w:val="Antrats"/>
    <w:uiPriority w:val="99"/>
    <w:rsid w:val="00BF3B27"/>
    <w:rPr>
      <w:rFonts w:ascii="Times New Roman" w:eastAsia="Times New Roman" w:hAnsi="Times New Roman" w:cs="Times New Roman"/>
      <w:szCs w:val="20"/>
      <w:lang w:eastAsia="lt-LT"/>
    </w:rPr>
  </w:style>
  <w:style w:type="paragraph" w:styleId="Sraopastraipa">
    <w:name w:val="List Paragraph"/>
    <w:basedOn w:val="prastasis"/>
    <w:uiPriority w:val="34"/>
    <w:qFormat/>
    <w:rsid w:val="00BF3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10124</Words>
  <Characters>5772</Characters>
  <Application>Microsoft Office Word</Application>
  <DocSecurity>0</DocSecurity>
  <Lines>48</Lines>
  <Paragraphs>31</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1.	Kas yra DOXYCYCLIN TC ir kam jis vartojamas</vt:lpstr>
      <vt:lpstr>    2.	Kas žinotina prieš vartojant DOXYCYCLIN TC</vt:lpstr>
      <vt:lpstr>        DOXYCYCLIN TC vartojimas su maistu ir gėrimais</vt:lpstr>
      <vt:lpstr>        Nėštumas ir žindymo laikotarpis</vt:lpstr>
      <vt:lpstr>        Vairavimas ir mechanizmų valdymas</vt:lpstr>
      <vt:lpstr>    3.	Kaip vartoti DOXYCYCLIN TC</vt:lpstr>
      <vt:lpstr>    4.	Galimas šalutinis poveikis</vt:lpstr>
      <vt:lpstr>    5.	Kaip laikyti DOXYCYCLIN TC</vt:lpstr>
      <vt:lpstr>    6.	Pakuotės turinys ir kita informacija</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2024-11-19T14:10:00Z</dcterms:created>
  <dcterms:modified xsi:type="dcterms:W3CDTF">2024-11-19T14:11:00Z</dcterms:modified>
</cp:coreProperties>
</file>