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6CD20" w14:textId="77777777" w:rsidR="008A7165" w:rsidRPr="00E14DCC" w:rsidRDefault="008A7165" w:rsidP="008A7165">
      <w:pPr>
        <w:spacing w:after="0" w:line="240" w:lineRule="auto"/>
        <w:rPr>
          <w:rFonts w:ascii="Times New Roman" w:eastAsia="Times New Roman" w:hAnsi="Times New Roman" w:cs="Times New Roman"/>
        </w:rPr>
      </w:pPr>
      <w:bookmarkStart w:id="0" w:name="_GoBack"/>
      <w:bookmarkEnd w:id="0"/>
    </w:p>
    <w:p w14:paraId="53E83491" w14:textId="77777777" w:rsidR="008A7165" w:rsidRPr="00E14DCC" w:rsidRDefault="008A7165" w:rsidP="008A7165">
      <w:pPr>
        <w:spacing w:after="0" w:line="240" w:lineRule="auto"/>
        <w:rPr>
          <w:rFonts w:ascii="Times New Roman" w:eastAsia="Times New Roman" w:hAnsi="Times New Roman" w:cs="Times New Roman"/>
        </w:rPr>
      </w:pPr>
    </w:p>
    <w:p w14:paraId="0E3586C1" w14:textId="77777777" w:rsidR="008A7165" w:rsidRPr="00E14DCC" w:rsidRDefault="008A7165" w:rsidP="008A7165">
      <w:pPr>
        <w:spacing w:after="0" w:line="240" w:lineRule="auto"/>
        <w:rPr>
          <w:rFonts w:ascii="Times New Roman" w:eastAsia="Times New Roman" w:hAnsi="Times New Roman" w:cs="Times New Roman"/>
        </w:rPr>
      </w:pPr>
    </w:p>
    <w:p w14:paraId="367F590E" w14:textId="77777777" w:rsidR="008A7165" w:rsidRPr="00E14DCC" w:rsidRDefault="008A7165" w:rsidP="008A7165">
      <w:pPr>
        <w:spacing w:after="0" w:line="240" w:lineRule="auto"/>
        <w:rPr>
          <w:rFonts w:ascii="Times New Roman" w:eastAsia="Times New Roman" w:hAnsi="Times New Roman" w:cs="Times New Roman"/>
        </w:rPr>
      </w:pPr>
    </w:p>
    <w:p w14:paraId="4E8837BD" w14:textId="77777777" w:rsidR="008A7165" w:rsidRPr="00E14DCC" w:rsidRDefault="008A7165" w:rsidP="008A7165">
      <w:pPr>
        <w:spacing w:after="0" w:line="240" w:lineRule="auto"/>
        <w:rPr>
          <w:rFonts w:ascii="Times New Roman" w:eastAsia="Times New Roman" w:hAnsi="Times New Roman" w:cs="Times New Roman"/>
        </w:rPr>
      </w:pPr>
    </w:p>
    <w:p w14:paraId="5ACF3CB4" w14:textId="77777777" w:rsidR="008A7165" w:rsidRPr="00E14DCC" w:rsidRDefault="008A7165" w:rsidP="008A7165">
      <w:pPr>
        <w:spacing w:after="0" w:line="240" w:lineRule="auto"/>
        <w:rPr>
          <w:rFonts w:ascii="Times New Roman" w:eastAsia="Times New Roman" w:hAnsi="Times New Roman" w:cs="Times New Roman"/>
        </w:rPr>
      </w:pPr>
    </w:p>
    <w:p w14:paraId="5B58A692" w14:textId="77777777" w:rsidR="008A7165" w:rsidRPr="00E14DCC" w:rsidRDefault="008A7165" w:rsidP="008A7165">
      <w:pPr>
        <w:spacing w:after="0" w:line="240" w:lineRule="auto"/>
        <w:rPr>
          <w:rFonts w:ascii="Times New Roman" w:eastAsia="Times New Roman" w:hAnsi="Times New Roman" w:cs="Times New Roman"/>
        </w:rPr>
      </w:pPr>
    </w:p>
    <w:p w14:paraId="72FB1F6E" w14:textId="77777777" w:rsidR="008A7165" w:rsidRPr="00E14DCC" w:rsidRDefault="008A7165" w:rsidP="008A7165">
      <w:pPr>
        <w:spacing w:after="0" w:line="240" w:lineRule="auto"/>
        <w:rPr>
          <w:rFonts w:ascii="Times New Roman" w:eastAsia="Times New Roman" w:hAnsi="Times New Roman" w:cs="Times New Roman"/>
        </w:rPr>
      </w:pPr>
    </w:p>
    <w:p w14:paraId="26F1AA7C" w14:textId="77777777" w:rsidR="008A7165" w:rsidRPr="00E14DCC" w:rsidRDefault="008A7165" w:rsidP="008A7165">
      <w:pPr>
        <w:spacing w:after="0" w:line="240" w:lineRule="auto"/>
        <w:rPr>
          <w:rFonts w:ascii="Times New Roman" w:eastAsia="Times New Roman" w:hAnsi="Times New Roman" w:cs="Times New Roman"/>
        </w:rPr>
      </w:pPr>
    </w:p>
    <w:p w14:paraId="202623B3" w14:textId="77777777" w:rsidR="008A7165" w:rsidRPr="00E14DCC" w:rsidRDefault="008A7165" w:rsidP="008A7165">
      <w:pPr>
        <w:spacing w:after="0" w:line="240" w:lineRule="auto"/>
        <w:rPr>
          <w:rFonts w:ascii="Times New Roman" w:eastAsia="Times New Roman" w:hAnsi="Times New Roman" w:cs="Times New Roman"/>
        </w:rPr>
      </w:pPr>
    </w:p>
    <w:p w14:paraId="72345CE5" w14:textId="77777777" w:rsidR="008A7165" w:rsidRPr="00E14DCC" w:rsidRDefault="008A7165" w:rsidP="008A7165">
      <w:pPr>
        <w:spacing w:after="0" w:line="240" w:lineRule="auto"/>
        <w:rPr>
          <w:rFonts w:ascii="Times New Roman" w:eastAsia="Times New Roman" w:hAnsi="Times New Roman" w:cs="Times New Roman"/>
        </w:rPr>
      </w:pPr>
    </w:p>
    <w:p w14:paraId="5DDCB959" w14:textId="77777777" w:rsidR="008A7165" w:rsidRPr="00E14DCC" w:rsidRDefault="008A7165" w:rsidP="008A7165">
      <w:pPr>
        <w:spacing w:after="0" w:line="240" w:lineRule="auto"/>
        <w:rPr>
          <w:rFonts w:ascii="Times New Roman" w:eastAsia="Times New Roman" w:hAnsi="Times New Roman" w:cs="Times New Roman"/>
        </w:rPr>
      </w:pPr>
    </w:p>
    <w:p w14:paraId="77BF646B" w14:textId="77777777" w:rsidR="008A7165" w:rsidRPr="00E14DCC" w:rsidRDefault="008A7165" w:rsidP="008A7165">
      <w:pPr>
        <w:spacing w:after="0" w:line="240" w:lineRule="auto"/>
        <w:rPr>
          <w:rFonts w:ascii="Times New Roman" w:eastAsia="Times New Roman" w:hAnsi="Times New Roman" w:cs="Times New Roman"/>
        </w:rPr>
      </w:pPr>
    </w:p>
    <w:p w14:paraId="047C5BF4" w14:textId="77777777" w:rsidR="008A7165" w:rsidRPr="00E14DCC" w:rsidRDefault="008A7165" w:rsidP="008A7165">
      <w:pPr>
        <w:spacing w:after="0" w:line="240" w:lineRule="auto"/>
        <w:rPr>
          <w:rFonts w:ascii="Times New Roman" w:eastAsia="Times New Roman" w:hAnsi="Times New Roman" w:cs="Times New Roman"/>
        </w:rPr>
      </w:pPr>
    </w:p>
    <w:p w14:paraId="31E05584" w14:textId="77777777" w:rsidR="008A7165" w:rsidRPr="00E14DCC" w:rsidRDefault="008A7165" w:rsidP="008A7165">
      <w:pPr>
        <w:spacing w:after="0" w:line="240" w:lineRule="auto"/>
        <w:rPr>
          <w:rFonts w:ascii="Times New Roman" w:eastAsia="Times New Roman" w:hAnsi="Times New Roman" w:cs="Times New Roman"/>
        </w:rPr>
      </w:pPr>
    </w:p>
    <w:p w14:paraId="063D7370" w14:textId="77777777" w:rsidR="008A7165" w:rsidRPr="00E14DCC" w:rsidRDefault="008A7165" w:rsidP="008A7165">
      <w:pPr>
        <w:spacing w:after="0" w:line="240" w:lineRule="auto"/>
        <w:rPr>
          <w:rFonts w:ascii="Times New Roman" w:eastAsia="Times New Roman" w:hAnsi="Times New Roman" w:cs="Times New Roman"/>
        </w:rPr>
      </w:pPr>
    </w:p>
    <w:p w14:paraId="7E8231ED" w14:textId="77777777" w:rsidR="008A7165" w:rsidRPr="00E14DCC" w:rsidRDefault="008A7165" w:rsidP="008A7165">
      <w:pPr>
        <w:spacing w:after="0" w:line="240" w:lineRule="auto"/>
        <w:rPr>
          <w:rFonts w:ascii="Times New Roman" w:eastAsia="Times New Roman" w:hAnsi="Times New Roman" w:cs="Times New Roman"/>
        </w:rPr>
      </w:pPr>
    </w:p>
    <w:p w14:paraId="63C251AC" w14:textId="77777777" w:rsidR="008A7165" w:rsidRPr="00E14DCC" w:rsidRDefault="008A7165" w:rsidP="008A7165">
      <w:pPr>
        <w:spacing w:after="0" w:line="240" w:lineRule="auto"/>
        <w:rPr>
          <w:rFonts w:ascii="Times New Roman" w:eastAsia="Times New Roman" w:hAnsi="Times New Roman" w:cs="Times New Roman"/>
        </w:rPr>
      </w:pPr>
    </w:p>
    <w:p w14:paraId="30C42800" w14:textId="77777777" w:rsidR="008A7165" w:rsidRPr="00E14DCC" w:rsidRDefault="008A7165" w:rsidP="008A7165">
      <w:pPr>
        <w:spacing w:after="0" w:line="240" w:lineRule="auto"/>
        <w:rPr>
          <w:rFonts w:ascii="Times New Roman" w:eastAsia="Times New Roman" w:hAnsi="Times New Roman" w:cs="Times New Roman"/>
        </w:rPr>
      </w:pPr>
    </w:p>
    <w:p w14:paraId="703F4CC8" w14:textId="77777777" w:rsidR="008A7165" w:rsidRPr="00E14DCC" w:rsidRDefault="008A7165" w:rsidP="008A7165">
      <w:pPr>
        <w:spacing w:after="0" w:line="240" w:lineRule="auto"/>
        <w:rPr>
          <w:rFonts w:ascii="Times New Roman" w:eastAsia="Times New Roman" w:hAnsi="Times New Roman" w:cs="Times New Roman"/>
        </w:rPr>
      </w:pPr>
    </w:p>
    <w:p w14:paraId="47718B1E" w14:textId="77777777" w:rsidR="008A7165" w:rsidRPr="00E14DCC" w:rsidRDefault="008A7165" w:rsidP="008A7165">
      <w:pPr>
        <w:spacing w:after="0" w:line="240" w:lineRule="auto"/>
        <w:rPr>
          <w:rFonts w:ascii="Times New Roman" w:eastAsia="Times New Roman" w:hAnsi="Times New Roman" w:cs="Times New Roman"/>
        </w:rPr>
      </w:pPr>
    </w:p>
    <w:p w14:paraId="69F2DE7B" w14:textId="77777777" w:rsidR="008A7165" w:rsidRPr="00E14DCC" w:rsidRDefault="008A7165" w:rsidP="008A7165">
      <w:pPr>
        <w:spacing w:after="0" w:line="240" w:lineRule="auto"/>
        <w:rPr>
          <w:rFonts w:ascii="Times New Roman" w:eastAsia="Times New Roman" w:hAnsi="Times New Roman" w:cs="Times New Roman"/>
        </w:rPr>
      </w:pPr>
    </w:p>
    <w:p w14:paraId="254DF3B2" w14:textId="77777777" w:rsidR="008A7165" w:rsidRPr="00E14DCC" w:rsidRDefault="008A7165" w:rsidP="008A7165">
      <w:pPr>
        <w:spacing w:after="0" w:line="240" w:lineRule="auto"/>
        <w:rPr>
          <w:rFonts w:ascii="Times New Roman" w:eastAsia="Times New Roman" w:hAnsi="Times New Roman" w:cs="Times New Roman"/>
        </w:rPr>
      </w:pPr>
    </w:p>
    <w:p w14:paraId="3A8AB36E"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1" w:name="_Toc129243096"/>
      <w:bookmarkStart w:id="2" w:name="_Toc129243221"/>
      <w:r w:rsidRPr="00E14DCC">
        <w:rPr>
          <w:rFonts w:ascii="Times New Roman" w:eastAsia="Times New Roman" w:hAnsi="Times New Roman" w:cs="Times New Roman"/>
          <w:b/>
          <w:caps/>
        </w:rPr>
        <w:t>I PRIEDAS</w:t>
      </w:r>
      <w:bookmarkEnd w:id="1"/>
      <w:bookmarkEnd w:id="2"/>
    </w:p>
    <w:p w14:paraId="76124C8A" w14:textId="77777777" w:rsidR="008A7165" w:rsidRPr="00E14DCC" w:rsidRDefault="008A7165" w:rsidP="008A7165">
      <w:pPr>
        <w:spacing w:after="0" w:line="240" w:lineRule="auto"/>
        <w:rPr>
          <w:rFonts w:ascii="Times New Roman" w:eastAsia="Times New Roman" w:hAnsi="Times New Roman" w:cs="Times New Roman"/>
        </w:rPr>
      </w:pPr>
    </w:p>
    <w:p w14:paraId="370F3236"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3" w:name="_Toc129243097"/>
      <w:bookmarkStart w:id="4" w:name="_Toc129243222"/>
      <w:r w:rsidRPr="00E14DCC">
        <w:rPr>
          <w:rFonts w:ascii="Times New Roman" w:eastAsia="Times New Roman" w:hAnsi="Times New Roman" w:cs="Times New Roman"/>
          <w:b/>
          <w:caps/>
        </w:rPr>
        <w:t>PREPARATO CHARAKTERISTIKŲ SANTRAUKA</w:t>
      </w:r>
      <w:bookmarkEnd w:id="3"/>
      <w:bookmarkEnd w:id="4"/>
    </w:p>
    <w:p w14:paraId="5D0600A1" w14:textId="77777777" w:rsidR="008A7165" w:rsidRPr="00E14DCC" w:rsidRDefault="008A7165" w:rsidP="008A7165">
      <w:pPr>
        <w:tabs>
          <w:tab w:val="left" w:pos="567"/>
        </w:tabs>
        <w:spacing w:after="0" w:line="240" w:lineRule="auto"/>
        <w:ind w:right="297"/>
        <w:jc w:val="both"/>
        <w:rPr>
          <w:rFonts w:ascii="Times New Roman" w:eastAsia="Times New Roman" w:hAnsi="Times New Roman" w:cs="Times New Roman"/>
          <w:bCs/>
        </w:rPr>
      </w:pPr>
      <w:r w:rsidRPr="00E14DCC">
        <w:rPr>
          <w:rFonts w:ascii="Times New Roman" w:eastAsia="Times New Roman" w:hAnsi="Times New Roman" w:cs="Times New Roman"/>
          <w:bCs/>
          <w:iCs/>
        </w:rPr>
        <w:br w:type="page"/>
      </w:r>
      <w:r w:rsidRPr="00E14DCC">
        <w:rPr>
          <w:rFonts w:ascii="Times New Roman" w:eastAsia="Times New Roman" w:hAnsi="Times New Roman" w:cs="Times New Roman"/>
          <w:b/>
          <w:bCs/>
        </w:rPr>
        <w:lastRenderedPageBreak/>
        <w:t>1.</w:t>
      </w:r>
      <w:r w:rsidRPr="00E14DCC">
        <w:rPr>
          <w:rFonts w:ascii="Times New Roman" w:eastAsia="Times New Roman" w:hAnsi="Times New Roman" w:cs="Times New Roman"/>
          <w:b/>
          <w:bCs/>
        </w:rPr>
        <w:tab/>
        <w:t>VAISTINIO PREPARATO PAVADINIMAS</w:t>
      </w:r>
    </w:p>
    <w:p w14:paraId="4A531779"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70B867E1" w14:textId="77777777" w:rsidR="008A7165" w:rsidRPr="00E14DCC" w:rsidRDefault="008A7165" w:rsidP="008A7165">
      <w:pPr>
        <w:spacing w:after="0" w:line="240" w:lineRule="auto"/>
        <w:ind w:right="297"/>
        <w:jc w:val="both"/>
        <w:rPr>
          <w:rFonts w:ascii="Times New Roman" w:eastAsia="Times New Roman" w:hAnsi="Times New Roman" w:cs="Times New Roman"/>
        </w:rPr>
      </w:pPr>
      <w:r w:rsidRPr="00E14DCC">
        <w:rPr>
          <w:rFonts w:ascii="Times New Roman" w:eastAsia="Times New Roman" w:hAnsi="Times New Roman" w:cs="Times New Roman"/>
          <w:color w:val="000000"/>
        </w:rPr>
        <w:t>Cytarabine Accord 100 mg/ml injekcinis ar infuzinis tirpalas</w:t>
      </w:r>
    </w:p>
    <w:p w14:paraId="6D76044B" w14:textId="77777777" w:rsidR="008A7165" w:rsidRPr="00E14DCC" w:rsidRDefault="008A7165" w:rsidP="008A7165">
      <w:pPr>
        <w:tabs>
          <w:tab w:val="left" w:pos="1092"/>
        </w:tabs>
        <w:spacing w:after="0" w:line="240" w:lineRule="auto"/>
        <w:jc w:val="both"/>
        <w:rPr>
          <w:rFonts w:ascii="Times New Roman" w:eastAsia="Times New Roman" w:hAnsi="Times New Roman" w:cs="Times New Roman"/>
        </w:rPr>
      </w:pPr>
    </w:p>
    <w:p w14:paraId="638F9E44" w14:textId="77777777" w:rsidR="008A7165" w:rsidRPr="00E14DCC" w:rsidRDefault="008A7165" w:rsidP="008A7165">
      <w:pPr>
        <w:tabs>
          <w:tab w:val="left" w:pos="1092"/>
        </w:tabs>
        <w:spacing w:after="0" w:line="240" w:lineRule="auto"/>
        <w:jc w:val="both"/>
        <w:rPr>
          <w:rFonts w:ascii="Times New Roman" w:eastAsia="Times New Roman" w:hAnsi="Times New Roman" w:cs="Times New Roman"/>
        </w:rPr>
      </w:pPr>
    </w:p>
    <w:p w14:paraId="17B77BA2" w14:textId="77777777" w:rsidR="008A7165" w:rsidRPr="00E14DCC" w:rsidRDefault="008A7165" w:rsidP="008A7165">
      <w:pPr>
        <w:tabs>
          <w:tab w:val="left" w:pos="567"/>
        </w:tabs>
        <w:spacing w:after="0" w:line="240" w:lineRule="auto"/>
        <w:ind w:right="297"/>
        <w:jc w:val="both"/>
        <w:rPr>
          <w:rFonts w:ascii="Times New Roman" w:eastAsia="Times New Roman" w:hAnsi="Times New Roman" w:cs="Times New Roman"/>
          <w:bCs/>
        </w:rPr>
      </w:pPr>
      <w:r w:rsidRPr="00E14DCC">
        <w:rPr>
          <w:rFonts w:ascii="Times New Roman" w:eastAsia="Times New Roman" w:hAnsi="Times New Roman" w:cs="Times New Roman"/>
          <w:b/>
          <w:bCs/>
        </w:rPr>
        <w:t>2.</w:t>
      </w:r>
      <w:r w:rsidRPr="00E14DCC">
        <w:rPr>
          <w:rFonts w:ascii="Times New Roman" w:eastAsia="Times New Roman" w:hAnsi="Times New Roman" w:cs="Times New Roman"/>
          <w:b/>
          <w:bCs/>
        </w:rPr>
        <w:tab/>
        <w:t>KOKYBINĖ IR KIEKYBINĖ SUDĖTIS</w:t>
      </w:r>
    </w:p>
    <w:p w14:paraId="750EC306" w14:textId="77777777" w:rsidR="008A7165" w:rsidRPr="00E14DCC" w:rsidRDefault="008A7165" w:rsidP="008A7165">
      <w:pPr>
        <w:tabs>
          <w:tab w:val="left" w:pos="1092"/>
        </w:tabs>
        <w:spacing w:after="0" w:line="240" w:lineRule="auto"/>
        <w:ind w:right="297"/>
        <w:jc w:val="both"/>
        <w:rPr>
          <w:rFonts w:ascii="Times New Roman" w:eastAsia="Times New Roman" w:hAnsi="Times New Roman" w:cs="Times New Roman"/>
        </w:rPr>
      </w:pPr>
    </w:p>
    <w:p w14:paraId="525CC0D4" w14:textId="77777777" w:rsidR="008A7165" w:rsidRPr="00E14DCC" w:rsidRDefault="008A7165" w:rsidP="008A7165">
      <w:pPr>
        <w:spacing w:after="0" w:line="240" w:lineRule="auto"/>
        <w:ind w:right="297"/>
        <w:jc w:val="both"/>
        <w:rPr>
          <w:rFonts w:ascii="Times New Roman" w:eastAsia="Times New Roman" w:hAnsi="Times New Roman" w:cs="Times New Roman"/>
        </w:rPr>
      </w:pPr>
      <w:r w:rsidRPr="00E14DCC">
        <w:rPr>
          <w:rFonts w:ascii="Times New Roman" w:eastAsia="Times New Roman" w:hAnsi="Times New Roman" w:cs="Times New Roman"/>
        </w:rPr>
        <w:t>1 ml yra 100 mg citarabino.</w:t>
      </w:r>
    </w:p>
    <w:p w14:paraId="4B5E6466"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7F3E7FA8"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rPr>
        <w:t>Kiekviename 1 ml flakone yra 100 mg citarabino.</w:t>
      </w:r>
    </w:p>
    <w:p w14:paraId="1BB451BC"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color w:val="000000"/>
        </w:rPr>
        <w:t>Kiekviename 5 ml flakone yra 500 mg citarabino.</w:t>
      </w:r>
    </w:p>
    <w:p w14:paraId="6FB05CF4"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color w:val="000000"/>
        </w:rPr>
        <w:t>Kiekviename 10 ml flakone yra 1 g citarabino.</w:t>
      </w:r>
    </w:p>
    <w:p w14:paraId="5BEAFDAA"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color w:val="000000"/>
        </w:rPr>
        <w:t>Kiekviename 20 ml flakone yra 2 g citarabino.</w:t>
      </w:r>
    </w:p>
    <w:p w14:paraId="61125ADE"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color w:val="000000"/>
        </w:rPr>
        <w:t>Kiekviename 40 ml flakone yra 4 g citarabino.</w:t>
      </w:r>
    </w:p>
    <w:p w14:paraId="1834D702"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color w:val="000000"/>
        </w:rPr>
        <w:t>Kiekviename 50 ml flakone yra 5 g citarabino.</w:t>
      </w:r>
    </w:p>
    <w:p w14:paraId="3E2931D5"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color w:val="000000"/>
        </w:rPr>
      </w:pPr>
    </w:p>
    <w:p w14:paraId="4D698481"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Visos pagalbinės medžiagos išvardytos 6.1 skyriuje.</w:t>
      </w:r>
    </w:p>
    <w:p w14:paraId="640D37AE"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6A1E00D9"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1C138197" w14:textId="77777777" w:rsidR="008A7165" w:rsidRPr="00E14DCC" w:rsidRDefault="008A7165" w:rsidP="008A7165">
      <w:pPr>
        <w:tabs>
          <w:tab w:val="left" w:pos="567"/>
        </w:tabs>
        <w:spacing w:after="0" w:line="240" w:lineRule="auto"/>
        <w:ind w:right="297"/>
        <w:jc w:val="both"/>
        <w:rPr>
          <w:rFonts w:ascii="Times New Roman" w:eastAsia="Times New Roman" w:hAnsi="Times New Roman" w:cs="Times New Roman"/>
          <w:bCs/>
        </w:rPr>
      </w:pPr>
      <w:r w:rsidRPr="00E14DCC">
        <w:rPr>
          <w:rFonts w:ascii="Times New Roman" w:eastAsia="Times New Roman" w:hAnsi="Times New Roman" w:cs="Times New Roman"/>
          <w:b/>
          <w:bCs/>
        </w:rPr>
        <w:t>3.</w:t>
      </w:r>
      <w:r w:rsidRPr="00E14DCC">
        <w:rPr>
          <w:rFonts w:ascii="Times New Roman" w:eastAsia="Times New Roman" w:hAnsi="Times New Roman" w:cs="Times New Roman"/>
          <w:b/>
          <w:bCs/>
        </w:rPr>
        <w:tab/>
        <w:t>FARMACINĖ FORMA</w:t>
      </w:r>
    </w:p>
    <w:p w14:paraId="335F41E4"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686F9EF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Injekcinis ar infuzinis tirpalas. </w:t>
      </w:r>
    </w:p>
    <w:p w14:paraId="1D327373"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3383D713" w14:textId="77777777" w:rsidR="008A7165" w:rsidRPr="00E14DCC" w:rsidRDefault="008A7165" w:rsidP="008A7165">
      <w:pPr>
        <w:spacing w:after="0" w:line="240" w:lineRule="auto"/>
        <w:ind w:right="297"/>
        <w:jc w:val="both"/>
        <w:rPr>
          <w:rFonts w:ascii="Times New Roman" w:eastAsia="Times New Roman" w:hAnsi="Times New Roman" w:cs="Times New Roman"/>
        </w:rPr>
      </w:pPr>
      <w:r w:rsidRPr="00E14DCC">
        <w:rPr>
          <w:rFonts w:ascii="Times New Roman" w:eastAsia="Times New Roman" w:hAnsi="Times New Roman" w:cs="Times New Roman"/>
        </w:rPr>
        <w:t>Tirpalas yra skaidrus, bespalvis, be dalelių.</w:t>
      </w:r>
    </w:p>
    <w:p w14:paraId="63DEB4A3"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71C4CF04" w14:textId="77777777" w:rsidR="008A7165" w:rsidRPr="00E14DCC" w:rsidRDefault="008A7165" w:rsidP="008A7165">
      <w:pPr>
        <w:spacing w:after="0" w:line="240" w:lineRule="auto"/>
        <w:ind w:right="297"/>
        <w:jc w:val="both"/>
        <w:rPr>
          <w:rFonts w:ascii="Times New Roman" w:eastAsia="Times New Roman" w:hAnsi="Times New Roman" w:cs="Times New Roman"/>
          <w:highlight w:val="yellow"/>
        </w:rPr>
      </w:pPr>
      <w:r w:rsidRPr="00E14DCC">
        <w:rPr>
          <w:rFonts w:ascii="Times New Roman" w:eastAsia="Times New Roman" w:hAnsi="Times New Roman" w:cs="Times New Roman"/>
        </w:rPr>
        <w:t>pH: 7,0 – 9,5</w:t>
      </w:r>
    </w:p>
    <w:p w14:paraId="2646CBAF"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0500BC8A" w14:textId="77777777" w:rsidR="008A7165" w:rsidRPr="00E14DCC" w:rsidRDefault="008A7165" w:rsidP="008A7165">
      <w:pPr>
        <w:spacing w:after="0" w:line="240" w:lineRule="auto"/>
        <w:ind w:right="297"/>
        <w:jc w:val="both"/>
        <w:rPr>
          <w:rFonts w:ascii="Times New Roman" w:eastAsia="Times New Roman" w:hAnsi="Times New Roman" w:cs="Times New Roman"/>
        </w:rPr>
      </w:pPr>
    </w:p>
    <w:p w14:paraId="084DA3F2" w14:textId="77777777" w:rsidR="008A7165" w:rsidRPr="00E14DCC" w:rsidRDefault="008A7165" w:rsidP="008A7165">
      <w:pPr>
        <w:tabs>
          <w:tab w:val="left" w:pos="567"/>
        </w:tabs>
        <w:spacing w:after="0" w:line="240" w:lineRule="auto"/>
        <w:ind w:right="297"/>
        <w:jc w:val="both"/>
        <w:rPr>
          <w:rFonts w:ascii="Times New Roman" w:eastAsia="Times New Roman" w:hAnsi="Times New Roman" w:cs="Times New Roman"/>
          <w:bCs/>
        </w:rPr>
      </w:pPr>
      <w:r w:rsidRPr="00E14DCC">
        <w:rPr>
          <w:rFonts w:ascii="Times New Roman" w:eastAsia="Times New Roman" w:hAnsi="Times New Roman" w:cs="Times New Roman"/>
          <w:b/>
          <w:bCs/>
        </w:rPr>
        <w:t>4.</w:t>
      </w:r>
      <w:r w:rsidRPr="00E14DCC">
        <w:rPr>
          <w:rFonts w:ascii="Times New Roman" w:eastAsia="Times New Roman" w:hAnsi="Times New Roman" w:cs="Times New Roman"/>
        </w:rPr>
        <w:tab/>
      </w:r>
      <w:r w:rsidRPr="00E14DCC">
        <w:rPr>
          <w:rFonts w:ascii="Times New Roman" w:eastAsia="Times New Roman" w:hAnsi="Times New Roman" w:cs="Times New Roman"/>
          <w:b/>
          <w:bCs/>
        </w:rPr>
        <w:t>KLINIKINĖ INFORMACIJA</w:t>
      </w:r>
    </w:p>
    <w:p w14:paraId="25973C07" w14:textId="77777777" w:rsidR="008A7165" w:rsidRPr="00E14DCC" w:rsidRDefault="008A7165" w:rsidP="008A7165">
      <w:pPr>
        <w:tabs>
          <w:tab w:val="left" w:pos="567"/>
        </w:tabs>
        <w:spacing w:after="0" w:line="240" w:lineRule="auto"/>
        <w:ind w:right="297"/>
        <w:jc w:val="both"/>
        <w:rPr>
          <w:rFonts w:ascii="Times New Roman" w:eastAsia="Times New Roman" w:hAnsi="Times New Roman" w:cs="Times New Roman"/>
        </w:rPr>
      </w:pPr>
    </w:p>
    <w:p w14:paraId="35E6AC77"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b/>
          <w:bCs/>
        </w:rPr>
        <w:t>4.1</w:t>
      </w:r>
      <w:r w:rsidRPr="00E14DCC">
        <w:rPr>
          <w:rFonts w:ascii="Times New Roman" w:eastAsia="Times New Roman" w:hAnsi="Times New Roman" w:cs="Times New Roman"/>
          <w:b/>
          <w:bCs/>
        </w:rPr>
        <w:tab/>
        <w:t>Terapinės indikacijos</w:t>
      </w:r>
    </w:p>
    <w:p w14:paraId="6D73157D" w14:textId="77777777" w:rsidR="008A7165" w:rsidRPr="00E14DCC" w:rsidRDefault="008A7165" w:rsidP="008A7165">
      <w:pPr>
        <w:spacing w:after="0" w:line="240" w:lineRule="auto"/>
        <w:jc w:val="both"/>
        <w:rPr>
          <w:rFonts w:ascii="Times New Roman" w:eastAsia="Times New Roman" w:hAnsi="Times New Roman" w:cs="Times New Roman"/>
        </w:rPr>
      </w:pPr>
    </w:p>
    <w:p w14:paraId="730C4874" w14:textId="77777777" w:rsidR="008A7165" w:rsidRPr="00E14DCC" w:rsidRDefault="008A7165" w:rsidP="003077C6">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Remisijai sukelti suaugusiesiems, sergantiems ūmine mieloidine leukemija, bei suaugusiesiems ir vaikams, sergantiems kitomis ūminėmis leukemijomis. </w:t>
      </w:r>
    </w:p>
    <w:p w14:paraId="394487A5" w14:textId="77777777" w:rsidR="008A7165" w:rsidRPr="00E14DCC" w:rsidRDefault="008A7165" w:rsidP="008A7165">
      <w:pPr>
        <w:tabs>
          <w:tab w:val="left" w:pos="988"/>
        </w:tabs>
        <w:spacing w:after="0" w:line="240" w:lineRule="auto"/>
        <w:jc w:val="both"/>
        <w:rPr>
          <w:rFonts w:ascii="Times New Roman" w:eastAsia="Times New Roman" w:hAnsi="Times New Roman" w:cs="Times New Roman"/>
        </w:rPr>
      </w:pPr>
    </w:p>
    <w:p w14:paraId="1514A860" w14:textId="77777777" w:rsidR="008A7165" w:rsidRPr="00E14DCC" w:rsidRDefault="008A7165" w:rsidP="008A7165">
      <w:pPr>
        <w:tabs>
          <w:tab w:val="num" w:pos="567"/>
          <w:tab w:val="left" w:pos="1092"/>
          <w:tab w:val="left" w:pos="1482"/>
        </w:tabs>
        <w:spacing w:after="0" w:line="240" w:lineRule="auto"/>
        <w:ind w:right="297"/>
        <w:jc w:val="both"/>
        <w:rPr>
          <w:rFonts w:ascii="Times New Roman" w:eastAsia="Times New Roman" w:hAnsi="Times New Roman" w:cs="Times New Roman"/>
          <w:bCs/>
        </w:rPr>
      </w:pPr>
      <w:r w:rsidRPr="00E14DCC">
        <w:rPr>
          <w:rFonts w:ascii="Times New Roman" w:eastAsia="Times New Roman" w:hAnsi="Times New Roman" w:cs="Times New Roman"/>
          <w:b/>
          <w:bCs/>
        </w:rPr>
        <w:t>4.2</w:t>
      </w:r>
      <w:r w:rsidRPr="00E14DCC">
        <w:rPr>
          <w:rFonts w:ascii="Times New Roman" w:eastAsia="Times New Roman" w:hAnsi="Times New Roman" w:cs="Times New Roman"/>
          <w:b/>
          <w:bCs/>
        </w:rPr>
        <w:tab/>
        <w:t xml:space="preserve">Dozavimas ir vartojimo metodas </w:t>
      </w:r>
    </w:p>
    <w:p w14:paraId="548C1FC6" w14:textId="77777777" w:rsidR="008A7165" w:rsidRPr="00E14DCC" w:rsidRDefault="008A7165" w:rsidP="008A7165">
      <w:pPr>
        <w:tabs>
          <w:tab w:val="num" w:pos="720"/>
          <w:tab w:val="left" w:pos="1092"/>
          <w:tab w:val="left" w:pos="1482"/>
        </w:tabs>
        <w:spacing w:after="0" w:line="240" w:lineRule="auto"/>
        <w:ind w:right="297"/>
        <w:jc w:val="both"/>
        <w:rPr>
          <w:rFonts w:ascii="Times New Roman" w:eastAsia="Times New Roman" w:hAnsi="Times New Roman" w:cs="Times New Roman"/>
        </w:rPr>
      </w:pPr>
    </w:p>
    <w:p w14:paraId="1EABD1EA"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Dozavimas</w:t>
      </w:r>
    </w:p>
    <w:p w14:paraId="40A0AF76" w14:textId="77777777" w:rsidR="008A7165" w:rsidRPr="00E14DCC" w:rsidRDefault="008A7165" w:rsidP="008A7165">
      <w:pPr>
        <w:spacing w:after="0" w:line="240" w:lineRule="auto"/>
        <w:jc w:val="both"/>
        <w:rPr>
          <w:rFonts w:ascii="Times New Roman" w:eastAsia="Times New Roman" w:hAnsi="Times New Roman" w:cs="Times New Roman"/>
        </w:rPr>
      </w:pPr>
    </w:p>
    <w:p w14:paraId="6F781735" w14:textId="77777777" w:rsidR="008A7165" w:rsidRPr="00E14DCC" w:rsidRDefault="008A7165" w:rsidP="003077C6">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Gydymą citarabinu galima pradėti tik gydytojui, arba tik pasikonsultavus su gydytoju, turinčiu didelės gydymo citostatikais patirties. Galima pateikti tik bendro pobūdžio rekomendacijas, nes ūminė leukemija gydoma beveik vien tik citostatikų deriniu. </w:t>
      </w:r>
    </w:p>
    <w:p w14:paraId="6D1F482F" w14:textId="77777777" w:rsidR="008A7165" w:rsidRPr="00E14DCC" w:rsidRDefault="008A7165" w:rsidP="003077C6">
      <w:pPr>
        <w:spacing w:after="0" w:line="240" w:lineRule="auto"/>
        <w:rPr>
          <w:rFonts w:ascii="Times New Roman" w:eastAsia="Times New Roman" w:hAnsi="Times New Roman" w:cs="Times New Roman"/>
        </w:rPr>
      </w:pPr>
    </w:p>
    <w:p w14:paraId="64211DB2" w14:textId="77777777" w:rsidR="008A7165" w:rsidRPr="00E14DCC" w:rsidRDefault="008A7165" w:rsidP="003077C6">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 xml:space="preserve">Dozės rekomendacijas galima pateikti pagal svorį (mg/kg) arba pagal </w:t>
      </w:r>
      <w:r w:rsidRPr="00E14DCC">
        <w:rPr>
          <w:rFonts w:ascii="Times New Roman" w:eastAsia="Times New Roman" w:hAnsi="Times New Roman" w:cs="Times New Roman"/>
          <w:bCs/>
          <w:color w:val="000000"/>
        </w:rPr>
        <w:t xml:space="preserve">kūno paviršiaus plotą </w:t>
      </w:r>
      <w:r w:rsidRPr="00E14DCC">
        <w:rPr>
          <w:rFonts w:ascii="Times New Roman" w:eastAsia="Times New Roman" w:hAnsi="Times New Roman" w:cs="Times New Roman"/>
        </w:rPr>
        <w:t>(mg/m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 xml:space="preserve">). </w:t>
      </w:r>
      <w:r w:rsidRPr="00E14DCC">
        <w:rPr>
          <w:rFonts w:ascii="Times New Roman" w:eastAsia="Times New Roman" w:hAnsi="Times New Roman" w:cs="Times New Roman"/>
          <w:bCs/>
          <w:color w:val="000000"/>
        </w:rPr>
        <w:t>Naudojant nomogramas, rekomenduojamas dozavimas pagal kūno svorį gali būti konvertuotas į dozavimą pagal kūno paviršiaus plotą.</w:t>
      </w:r>
    </w:p>
    <w:p w14:paraId="657D21C9" w14:textId="77777777" w:rsidR="008A7165" w:rsidRPr="00E14DCC" w:rsidRDefault="008A7165" w:rsidP="008A7165">
      <w:pPr>
        <w:spacing w:after="0" w:line="240" w:lineRule="auto"/>
        <w:jc w:val="both"/>
        <w:rPr>
          <w:rFonts w:ascii="Times New Roman" w:eastAsia="Times New Roman" w:hAnsi="Times New Roman" w:cs="Times New Roman"/>
        </w:rPr>
      </w:pPr>
    </w:p>
    <w:p w14:paraId="0C85F9FC"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p>
    <w:p w14:paraId="0AD3E37C" w14:textId="77777777" w:rsidR="008A7165" w:rsidRPr="00E14DCC" w:rsidRDefault="008A7165" w:rsidP="008A7165">
      <w:pPr>
        <w:spacing w:after="0" w:line="240" w:lineRule="auto"/>
        <w:jc w:val="both"/>
        <w:rPr>
          <w:rFonts w:ascii="Times New Roman" w:eastAsia="Times New Roman" w:hAnsi="Times New Roman" w:cs="Times New Roman"/>
          <w:bCs/>
          <w:color w:val="000000"/>
          <w:u w:val="single"/>
        </w:rPr>
      </w:pPr>
      <w:r w:rsidRPr="00E14DCC">
        <w:rPr>
          <w:rFonts w:ascii="Times New Roman" w:eastAsia="Times New Roman" w:hAnsi="Times New Roman" w:cs="Times New Roman"/>
          <w:bCs/>
          <w:color w:val="000000"/>
          <w:u w:val="single"/>
        </w:rPr>
        <w:t xml:space="preserve">1. Remisijai sukelti </w:t>
      </w:r>
    </w:p>
    <w:p w14:paraId="7DCAC297"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p>
    <w:p w14:paraId="6698240C"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 xml:space="preserve">Indukcinė gydymo dozė ir tolesnis dozavimas kinta priklausomai nuo naudojamo gydymo režimo. </w:t>
      </w:r>
    </w:p>
    <w:p w14:paraId="75ABD0AD"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p>
    <w:p w14:paraId="5B716166"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a) Nepertraukiamas gydymas</w:t>
      </w:r>
    </w:p>
    <w:p w14:paraId="27B27D44"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p>
    <w:p w14:paraId="057C732C"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Sekantys gydymo režimai naudojami nepertraukiamam gydymui remisijai sukelti:</w:t>
      </w:r>
    </w:p>
    <w:p w14:paraId="125B0DD1"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p>
    <w:p w14:paraId="4A2DD28F" w14:textId="5A36B9D4"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lastRenderedPageBreak/>
        <w:t>i) Greita injekcija - tinkamiausia pradinė dozė yra 2 mg/kg per parą. Ją reikia vartoti 10 dienų. Kasdieną atlikti kraujo tyrimus. Jeigu leukemiją gydantis poveikis nepasireiškią ir nėra akivaizdaus toksinio poveikio, dozę padidinti iki 4 mg/kg</w:t>
      </w:r>
      <w:r w:rsidR="00A6660D">
        <w:rPr>
          <w:rFonts w:ascii="Times New Roman" w:eastAsia="Times New Roman" w:hAnsi="Times New Roman" w:cs="Times New Roman"/>
          <w:bCs/>
          <w:color w:val="000000"/>
        </w:rPr>
        <w:t xml:space="preserve"> </w:t>
      </w:r>
      <w:r w:rsidRPr="00E14DCC">
        <w:rPr>
          <w:rFonts w:ascii="Times New Roman" w:eastAsia="Times New Roman" w:hAnsi="Times New Roman" w:cs="Times New Roman"/>
          <w:bCs/>
          <w:color w:val="000000"/>
        </w:rPr>
        <w:t>per parą ir tęsti tol, kol pasireikš gydomasis arba toksinis poveikis. Beveik visiems vartojantiems šias dozes pacientams po kurio laiko atsiranda toksinis poveikis.</w:t>
      </w:r>
    </w:p>
    <w:p w14:paraId="5AF3844D" w14:textId="0083D3A2" w:rsidR="008A7165" w:rsidRPr="00E14DCC" w:rsidRDefault="008A7165" w:rsidP="008A7165">
      <w:pPr>
        <w:tabs>
          <w:tab w:val="num" w:pos="1404"/>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ii) Galima skirti iki 24 val. trukmės 0,5</w:t>
      </w:r>
      <w:r w:rsidRPr="00E14DCC">
        <w:rPr>
          <w:rFonts w:ascii="Times New Roman" w:eastAsia="Times New Roman" w:hAnsi="Times New Roman" w:cs="Times New Roman"/>
        </w:rPr>
        <w:noBreakHyphen/>
        <w:t>1 mg/kg per parą dozės infuziją. Daugumai pacientų vienos valandos infuzijų poveikis buvo pakankamas. Įvertinus toksinį poveikį, pradinė paros dozė po 10 dienų galima padidinti iki 2 mg/kg</w:t>
      </w:r>
      <w:r w:rsidR="00A6660D">
        <w:rPr>
          <w:rFonts w:ascii="Times New Roman" w:eastAsia="Times New Roman" w:hAnsi="Times New Roman" w:cs="Times New Roman"/>
        </w:rPr>
        <w:t xml:space="preserve"> </w:t>
      </w:r>
      <w:r w:rsidRPr="00E14DCC">
        <w:rPr>
          <w:rFonts w:ascii="Times New Roman" w:eastAsia="Times New Roman" w:hAnsi="Times New Roman" w:cs="Times New Roman"/>
        </w:rPr>
        <w:t>per parą. Ją tęsti tol, kol pasireikš toksinis poveikis arba remisija.</w:t>
      </w:r>
    </w:p>
    <w:p w14:paraId="4B275B55" w14:textId="77777777" w:rsidR="008A7165" w:rsidRPr="00E14DCC" w:rsidRDefault="008A7165" w:rsidP="008A7165">
      <w:pPr>
        <w:tabs>
          <w:tab w:val="num" w:pos="1404"/>
        </w:tabs>
        <w:spacing w:after="0" w:line="240" w:lineRule="auto"/>
        <w:rPr>
          <w:rFonts w:ascii="Times New Roman" w:eastAsia="Times New Roman" w:hAnsi="Times New Roman" w:cs="Times New Roman"/>
        </w:rPr>
      </w:pPr>
    </w:p>
    <w:p w14:paraId="3FE7B22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 Pertraukiamas gydymas</w:t>
      </w:r>
    </w:p>
    <w:p w14:paraId="36AA800C" w14:textId="77777777" w:rsidR="008A7165" w:rsidRPr="00E14DCC" w:rsidRDefault="008A7165" w:rsidP="008A7165">
      <w:pPr>
        <w:spacing w:after="0" w:line="240" w:lineRule="auto"/>
        <w:rPr>
          <w:rFonts w:ascii="Times New Roman" w:eastAsia="Times New Roman" w:hAnsi="Times New Roman" w:cs="Times New Roman"/>
        </w:rPr>
      </w:pPr>
    </w:p>
    <w:p w14:paraId="45FF2C31" w14:textId="77777777" w:rsidR="008A7165" w:rsidRPr="00E14DCC" w:rsidRDefault="008A7165" w:rsidP="008A7165">
      <w:pPr>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Sekantys gydymo režimai naudojami pertraukiamam gydymui remisijai sukelti:</w:t>
      </w:r>
    </w:p>
    <w:p w14:paraId="694F39DA" w14:textId="77777777" w:rsidR="008A7165" w:rsidRPr="00E14DCC" w:rsidRDefault="008A7165" w:rsidP="008A7165">
      <w:pPr>
        <w:spacing w:after="0" w:line="240" w:lineRule="auto"/>
        <w:rPr>
          <w:rFonts w:ascii="Times New Roman" w:eastAsia="Times New Roman" w:hAnsi="Times New Roman" w:cs="Times New Roman"/>
        </w:rPr>
      </w:pPr>
    </w:p>
    <w:p w14:paraId="1F6B492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 Penkias dienas iš eilės į veną skiriama 3</w:t>
      </w:r>
      <w:r w:rsidRPr="00E14DCC">
        <w:rPr>
          <w:rFonts w:ascii="Times New Roman" w:eastAsia="Times New Roman" w:hAnsi="Times New Roman" w:cs="Times New Roman"/>
        </w:rPr>
        <w:noBreakHyphen/>
        <w:t xml:space="preserve">5 mg/kg citarabino paros dozė. Daroma dvejų – devynių dienų pertrauka ir pradedamas kitas kursas. Tęsti tol, kol pasireikš atsakas arba toksinis poveikis. </w:t>
      </w:r>
    </w:p>
    <w:p w14:paraId="71E2E2D1" w14:textId="77777777" w:rsidR="008A7165" w:rsidRPr="00E14DCC" w:rsidRDefault="008A7165" w:rsidP="008A7165">
      <w:pPr>
        <w:spacing w:after="0" w:line="240" w:lineRule="auto"/>
        <w:rPr>
          <w:rFonts w:ascii="Times New Roman" w:eastAsia="Times New Roman" w:hAnsi="Times New Roman" w:cs="Times New Roman"/>
        </w:rPr>
      </w:pPr>
    </w:p>
    <w:p w14:paraId="282450D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Pirmieji kaulų čiulpų atsinaujinimo požymiai pastebimi po 7</w:t>
      </w:r>
      <w:r w:rsidRPr="00E14DCC">
        <w:rPr>
          <w:rFonts w:ascii="Times New Roman" w:eastAsia="Times New Roman" w:hAnsi="Times New Roman" w:cs="Times New Roman"/>
        </w:rPr>
        <w:noBreakHyphen/>
        <w:t>64 dienų (vidutiniškai po 28 dienų) nuo gydymo pradžios.</w:t>
      </w:r>
    </w:p>
    <w:p w14:paraId="143EAED0" w14:textId="77777777" w:rsidR="008A7165" w:rsidRPr="00E14DCC" w:rsidRDefault="008A7165" w:rsidP="008A7165">
      <w:pPr>
        <w:spacing w:after="0" w:line="240" w:lineRule="auto"/>
        <w:rPr>
          <w:rFonts w:ascii="Times New Roman" w:eastAsia="Times New Roman" w:hAnsi="Times New Roman" w:cs="Times New Roman"/>
        </w:rPr>
      </w:pPr>
    </w:p>
    <w:p w14:paraId="43C51F7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Apibendrinus, jeigu po tinkamo gydymo pacientui nepasireiškia nei remisija, nei toksinis poveikis, galima atsargiai paskirti dideles citarabino dozes. Įprastai didelės dozės skiriamos greita injekcija į veną, nes pacientai toki būdą toleruoja geriau nei lėtą infuziją. Šis skirtumas atsiranda dėl greito citarabino metabolizmo ir, atitinkamai, trumpesnio didelės dozės veikimo laiko.</w:t>
      </w:r>
    </w:p>
    <w:p w14:paraId="7C548053" w14:textId="77777777" w:rsidR="008A7165" w:rsidRPr="00E14DCC" w:rsidRDefault="008A7165" w:rsidP="008A7165">
      <w:pPr>
        <w:spacing w:after="0" w:line="240" w:lineRule="auto"/>
        <w:rPr>
          <w:rFonts w:ascii="Times New Roman" w:eastAsia="Times New Roman" w:hAnsi="Times New Roman" w:cs="Times New Roman"/>
        </w:rPr>
      </w:pPr>
    </w:p>
    <w:p w14:paraId="50CBF28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ii) 5-7 paras skiriama nepertraukiama 24 val. trukmės 100-200 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 xml:space="preserve"> dozės vieno citabirino arba jo derinio su kitais citostatikais, pvz., antraciklinais, infuzija. Papildomi kursai gali būti skiriami kas 2-4 savaites, kol sukeliama remisija arba atsiranda toksinis poveikis. </w:t>
      </w:r>
    </w:p>
    <w:p w14:paraId="3B2400FB" w14:textId="77777777" w:rsidR="008A7165" w:rsidRPr="00E14DCC" w:rsidRDefault="008A7165" w:rsidP="008A7165">
      <w:pPr>
        <w:spacing w:after="0" w:line="240" w:lineRule="auto"/>
        <w:rPr>
          <w:rFonts w:ascii="Times New Roman" w:eastAsia="Times New Roman" w:hAnsi="Times New Roman" w:cs="Times New Roman"/>
        </w:rPr>
      </w:pPr>
    </w:p>
    <w:p w14:paraId="6F467226" w14:textId="77777777" w:rsidR="008A7165" w:rsidRPr="00E14DCC" w:rsidRDefault="008A7165" w:rsidP="008A7165">
      <w:pPr>
        <w:spacing w:after="0" w:line="240" w:lineRule="auto"/>
        <w:rPr>
          <w:rFonts w:ascii="Times New Roman" w:eastAsia="Times New Roman" w:hAnsi="Times New Roman" w:cs="Times New Roman"/>
          <w:bCs/>
          <w:u w:val="single"/>
        </w:rPr>
      </w:pPr>
      <w:r w:rsidRPr="00E14DCC">
        <w:rPr>
          <w:rFonts w:ascii="Times New Roman" w:eastAsia="Times New Roman" w:hAnsi="Times New Roman" w:cs="Times New Roman"/>
          <w:bCs/>
          <w:u w:val="single"/>
        </w:rPr>
        <w:t xml:space="preserve">2. Palaikomasis gydymas </w:t>
      </w:r>
    </w:p>
    <w:p w14:paraId="7C961B41" w14:textId="77777777" w:rsidR="008A7165" w:rsidRPr="00E14DCC" w:rsidRDefault="008A7165" w:rsidP="008A7165">
      <w:pPr>
        <w:spacing w:after="0" w:line="240" w:lineRule="auto"/>
        <w:rPr>
          <w:rFonts w:ascii="Times New Roman" w:eastAsia="Times New Roman" w:hAnsi="Times New Roman" w:cs="Times New Roman"/>
          <w:bCs/>
        </w:rPr>
      </w:pPr>
    </w:p>
    <w:p w14:paraId="25A08BC5"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 xml:space="preserve">Palaikomoji dozė ir tolesnis dozavimas priklauso nuo naudojamo gydymo režimo. </w:t>
      </w:r>
    </w:p>
    <w:p w14:paraId="1B1EC17C" w14:textId="77777777" w:rsidR="008A7165" w:rsidRPr="00E14DCC" w:rsidRDefault="008A7165" w:rsidP="008A7165">
      <w:pPr>
        <w:spacing w:after="0" w:line="240" w:lineRule="auto"/>
        <w:rPr>
          <w:rFonts w:ascii="Times New Roman" w:eastAsia="Times New Roman" w:hAnsi="Times New Roman" w:cs="Times New Roman"/>
          <w:bCs/>
        </w:rPr>
      </w:pPr>
    </w:p>
    <w:p w14:paraId="05F17F6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rPr>
        <w:t xml:space="preserve">i) </w:t>
      </w:r>
      <w:r w:rsidRPr="00E14DCC">
        <w:rPr>
          <w:rFonts w:ascii="Times New Roman" w:eastAsia="Times New Roman" w:hAnsi="Times New Roman" w:cs="Times New Roman"/>
        </w:rPr>
        <w:t xml:space="preserve">Remisijai, atsiradusiai dėl citarabino ar kitokių vaistinių preparatų poveikio, išsaugoti vieną arba du kartus per savaitę skiriama 1 mg/kg injekcija į veną arba po oda. </w:t>
      </w:r>
    </w:p>
    <w:p w14:paraId="1CB04ABD" w14:textId="77777777" w:rsidR="008A7165" w:rsidRPr="00E14DCC" w:rsidRDefault="008A7165" w:rsidP="008A7165">
      <w:pPr>
        <w:spacing w:after="0" w:line="240" w:lineRule="auto"/>
        <w:rPr>
          <w:rFonts w:ascii="Times New Roman" w:eastAsia="Times New Roman" w:hAnsi="Times New Roman" w:cs="Times New Roman"/>
          <w:bCs/>
        </w:rPr>
      </w:pPr>
    </w:p>
    <w:p w14:paraId="322FE55D"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 xml:space="preserve">ii) </w:t>
      </w:r>
      <w:r w:rsidRPr="00E14DCC">
        <w:rPr>
          <w:rFonts w:ascii="Times New Roman" w:eastAsia="Times New Roman" w:hAnsi="Times New Roman" w:cs="Times New Roman"/>
        </w:rPr>
        <w:t>5 paras kas mėnesį skiriama nepertraukiama 100-200 mg/m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rPr>
        <w:t xml:space="preserve"> dozės citabirino monoterapijos arba jo derinio su kitais citostatikais infuzija. </w:t>
      </w:r>
    </w:p>
    <w:p w14:paraId="727EFD2B" w14:textId="77777777" w:rsidR="008A7165" w:rsidRPr="00E14DCC" w:rsidRDefault="008A7165" w:rsidP="008A7165">
      <w:pPr>
        <w:spacing w:after="0" w:line="240" w:lineRule="auto"/>
        <w:rPr>
          <w:rFonts w:ascii="Times New Roman" w:eastAsia="Times New Roman" w:hAnsi="Times New Roman" w:cs="Times New Roman"/>
          <w:bCs/>
        </w:rPr>
      </w:pPr>
    </w:p>
    <w:p w14:paraId="0CC35967" w14:textId="77777777" w:rsidR="008A7165" w:rsidRPr="00E14DCC" w:rsidRDefault="008A7165" w:rsidP="008A7165">
      <w:pPr>
        <w:spacing w:after="0" w:line="240" w:lineRule="auto"/>
        <w:rPr>
          <w:rFonts w:ascii="Times New Roman" w:eastAsia="Times New Roman" w:hAnsi="Times New Roman" w:cs="Times New Roman"/>
          <w:bCs/>
          <w:i/>
          <w:iCs/>
        </w:rPr>
      </w:pPr>
      <w:r w:rsidRPr="00E14DCC">
        <w:rPr>
          <w:rFonts w:ascii="Times New Roman" w:eastAsia="Times New Roman" w:hAnsi="Times New Roman" w:cs="Times New Roman"/>
          <w:bCs/>
          <w:i/>
          <w:iCs/>
        </w:rPr>
        <w:t>Didelės dozės</w:t>
      </w:r>
    </w:p>
    <w:p w14:paraId="3D4984C8" w14:textId="77777777" w:rsidR="008A7165" w:rsidRPr="00E14DCC" w:rsidRDefault="008A7165" w:rsidP="008A7165">
      <w:pPr>
        <w:spacing w:after="0" w:line="240" w:lineRule="auto"/>
        <w:rPr>
          <w:rFonts w:ascii="Times New Roman" w:eastAsia="Times New Roman" w:hAnsi="Times New Roman" w:cs="Times New Roman"/>
          <w:bCs/>
          <w:i/>
          <w:iCs/>
        </w:rPr>
      </w:pPr>
    </w:p>
    <w:p w14:paraId="4877C79E"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rPr>
        <w:t xml:space="preserve">Griežtai prižiūrint gydytojui, 2-6 paras, kas 12 valandų, skiriama </w:t>
      </w:r>
      <w:r w:rsidRPr="00E14DCC">
        <w:rPr>
          <w:rFonts w:ascii="Times New Roman" w:eastAsia="Times New Roman" w:hAnsi="Times New Roman" w:cs="Times New Roman"/>
          <w:b/>
        </w:rPr>
        <w:t>2-3 g/m</w:t>
      </w:r>
      <w:r w:rsidRPr="00E14DCC">
        <w:rPr>
          <w:rFonts w:ascii="Times New Roman" w:eastAsia="Times New Roman" w:hAnsi="Times New Roman" w:cs="Times New Roman"/>
          <w:b/>
          <w:vertAlign w:val="superscript"/>
        </w:rPr>
        <w:t xml:space="preserve">2 </w:t>
      </w:r>
      <w:r w:rsidRPr="00E14DCC">
        <w:rPr>
          <w:rFonts w:ascii="Times New Roman" w:eastAsia="Times New Roman" w:hAnsi="Times New Roman" w:cs="Times New Roman"/>
          <w:bCs/>
          <w:iCs/>
        </w:rPr>
        <w:t>dozės vieno citarabino arba jo derinio su kitais citostatikais</w:t>
      </w:r>
      <w:r w:rsidRPr="00E14DCC">
        <w:rPr>
          <w:rFonts w:ascii="Times New Roman" w:eastAsia="Times New Roman" w:hAnsi="Times New Roman" w:cs="Times New Roman"/>
        </w:rPr>
        <w:t>, 1-3 valandų trukmės,</w:t>
      </w:r>
      <w:r w:rsidRPr="00E14DCC">
        <w:rPr>
          <w:rFonts w:ascii="Times New Roman" w:eastAsia="Times New Roman" w:hAnsi="Times New Roman" w:cs="Times New Roman"/>
          <w:bCs/>
          <w:iCs/>
        </w:rPr>
        <w:t xml:space="preserve"> intraveninė infuzija. (Iš viso </w:t>
      </w:r>
      <w:r w:rsidRPr="00E14DCC">
        <w:rPr>
          <w:rFonts w:ascii="Times New Roman" w:eastAsia="Times New Roman" w:hAnsi="Times New Roman" w:cs="Times New Roman"/>
        </w:rPr>
        <w:t>12 dozių per vieną kursą). Negalima viršyti bendros 36 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bCs/>
          <w:iCs/>
        </w:rPr>
        <w:t xml:space="preserve">gydymo dozės. Dažnai gydymo kursai priklauso nuo atsako į gydymą ir toksinio poveikio kraujui ir ne kraujui. Taip pat reikia atsižvelgti į atsargumo priemones, kurių reikia imtis norint nutraukti gydymą. </w:t>
      </w:r>
    </w:p>
    <w:p w14:paraId="3631E5DF" w14:textId="77777777" w:rsidR="008A7165" w:rsidRPr="00E14DCC" w:rsidRDefault="008A7165" w:rsidP="008A7165">
      <w:pPr>
        <w:spacing w:after="0" w:line="240" w:lineRule="auto"/>
        <w:rPr>
          <w:rFonts w:ascii="Times New Roman" w:eastAsia="Times New Roman" w:hAnsi="Times New Roman" w:cs="Times New Roman"/>
        </w:rPr>
      </w:pPr>
    </w:p>
    <w:p w14:paraId="334C5DF3" w14:textId="77777777" w:rsidR="008A7165" w:rsidRPr="00E14DCC" w:rsidRDefault="008A7165" w:rsidP="008A7165">
      <w:pPr>
        <w:spacing w:after="0" w:line="240" w:lineRule="auto"/>
        <w:rPr>
          <w:rFonts w:ascii="Times New Roman" w:eastAsia="Times New Roman" w:hAnsi="Times New Roman" w:cs="Times New Roman"/>
          <w:bCs/>
          <w:i/>
          <w:iCs/>
        </w:rPr>
      </w:pPr>
      <w:r w:rsidRPr="00E14DCC">
        <w:rPr>
          <w:rFonts w:ascii="Times New Roman" w:eastAsia="Times New Roman" w:hAnsi="Times New Roman" w:cs="Times New Roman"/>
          <w:bCs/>
          <w:i/>
          <w:iCs/>
        </w:rPr>
        <w:t>Vaikai</w:t>
      </w:r>
    </w:p>
    <w:p w14:paraId="13BD0720" w14:textId="77777777" w:rsidR="008A7165" w:rsidRPr="00E14DCC" w:rsidRDefault="008A7165" w:rsidP="008A7165">
      <w:pPr>
        <w:spacing w:after="0" w:line="240" w:lineRule="auto"/>
        <w:rPr>
          <w:rFonts w:ascii="Times New Roman" w:eastAsia="Times New Roman" w:hAnsi="Times New Roman" w:cs="Times New Roman"/>
          <w:bCs/>
          <w:iCs/>
        </w:rPr>
      </w:pPr>
    </w:p>
    <w:p w14:paraId="55C713EA"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Šio vaistinio preparato saugumas kūdikiams nėra pakankamai ištirtas. </w:t>
      </w:r>
    </w:p>
    <w:p w14:paraId="5153E82D" w14:textId="77777777" w:rsidR="008A7165" w:rsidRPr="00E14DCC" w:rsidRDefault="008A7165" w:rsidP="008A7165">
      <w:pPr>
        <w:spacing w:after="0" w:line="240" w:lineRule="auto"/>
        <w:rPr>
          <w:rFonts w:ascii="Times New Roman" w:eastAsia="Times New Roman" w:hAnsi="Times New Roman" w:cs="Times New Roman"/>
          <w:bCs/>
          <w:iCs/>
        </w:rPr>
      </w:pPr>
    </w:p>
    <w:p w14:paraId="1AFEDCF8" w14:textId="77777777" w:rsidR="008A7165" w:rsidRPr="00E14DCC" w:rsidRDefault="008A7165" w:rsidP="008A7165">
      <w:pPr>
        <w:spacing w:after="0" w:line="240" w:lineRule="auto"/>
        <w:rPr>
          <w:rFonts w:ascii="Times New Roman" w:eastAsia="Times New Roman" w:hAnsi="Times New Roman" w:cs="Times New Roman"/>
          <w:bCs/>
          <w:i/>
          <w:iCs/>
        </w:rPr>
      </w:pPr>
      <w:r w:rsidRPr="00E14DCC">
        <w:rPr>
          <w:rFonts w:ascii="Times New Roman" w:eastAsia="Times New Roman" w:hAnsi="Times New Roman" w:cs="Times New Roman"/>
          <w:bCs/>
          <w:i/>
          <w:iCs/>
        </w:rPr>
        <w:t xml:space="preserve">Pacientai su sutrikusia kepenų ar inkstų funkcija </w:t>
      </w:r>
    </w:p>
    <w:p w14:paraId="3E6FC8AC" w14:textId="77777777" w:rsidR="008A7165" w:rsidRPr="00E14DCC" w:rsidRDefault="008A7165" w:rsidP="008A7165">
      <w:pPr>
        <w:spacing w:after="0" w:line="240" w:lineRule="auto"/>
        <w:rPr>
          <w:rFonts w:ascii="Times New Roman" w:eastAsia="Times New Roman" w:hAnsi="Times New Roman" w:cs="Times New Roman"/>
          <w:bCs/>
          <w:iCs/>
        </w:rPr>
      </w:pPr>
    </w:p>
    <w:p w14:paraId="61723943"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Cs/>
          <w:iCs/>
        </w:rPr>
        <w:t xml:space="preserve">Pacientams su sutrikusia kepenų ar inkstų funkcija dozė turi būti sumažinta. </w:t>
      </w:r>
    </w:p>
    <w:p w14:paraId="760BA3D1"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Cs/>
          <w:iCs/>
        </w:rPr>
        <w:t xml:space="preserve">Citarabinas gali būti dializuojamas. Todėl citarabino negalima duoti iš karto prieš ar po dializių. </w:t>
      </w:r>
    </w:p>
    <w:p w14:paraId="37987905" w14:textId="77777777" w:rsidR="008A7165" w:rsidRPr="00E14DCC" w:rsidRDefault="008A7165" w:rsidP="008A7165">
      <w:pPr>
        <w:spacing w:after="0" w:line="240" w:lineRule="auto"/>
        <w:rPr>
          <w:rFonts w:ascii="Times New Roman" w:eastAsia="Times New Roman" w:hAnsi="Times New Roman" w:cs="Times New Roman"/>
          <w:bCs/>
          <w:iCs/>
        </w:rPr>
      </w:pPr>
    </w:p>
    <w:p w14:paraId="6F678476" w14:textId="77777777" w:rsidR="008A7165" w:rsidRPr="00E14DCC" w:rsidRDefault="008A7165" w:rsidP="008A7165">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Cs/>
          <w:i/>
          <w:iCs/>
          <w:color w:val="000000"/>
        </w:rPr>
        <w:t>Senyvi pacientai</w:t>
      </w:r>
    </w:p>
    <w:p w14:paraId="7151A64A"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iCs/>
          <w:color w:val="000000"/>
        </w:rPr>
        <w:lastRenderedPageBreak/>
        <w:t xml:space="preserve">Vyresniems nei </w:t>
      </w:r>
      <w:r w:rsidRPr="00E14DCC">
        <w:rPr>
          <w:rFonts w:ascii="Times New Roman" w:eastAsia="Times New Roman" w:hAnsi="Times New Roman" w:cs="Times New Roman"/>
        </w:rPr>
        <w:t xml:space="preserve">60 metų pacientams, didelių dozių gydymą galima taikyti tik atidžiai įvertinus gydymo keliamo pavojaus ir naudos santykį. </w:t>
      </w:r>
    </w:p>
    <w:p w14:paraId="646555CC" w14:textId="77777777" w:rsidR="008A7165" w:rsidRPr="00E14DCC" w:rsidRDefault="008A7165" w:rsidP="008A7165">
      <w:pPr>
        <w:spacing w:after="0" w:line="240" w:lineRule="auto"/>
        <w:rPr>
          <w:rFonts w:ascii="Times New Roman" w:eastAsia="Times New Roman" w:hAnsi="Times New Roman" w:cs="Times New Roman"/>
          <w:bCs/>
          <w:iCs/>
          <w:color w:val="000000"/>
        </w:rPr>
      </w:pPr>
    </w:p>
    <w:p w14:paraId="1E996920"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 xml:space="preserve">Vartojimo metodas </w:t>
      </w:r>
    </w:p>
    <w:p w14:paraId="7E62A752" w14:textId="77777777" w:rsidR="008A7165" w:rsidRPr="00E14DCC" w:rsidRDefault="008A7165" w:rsidP="008A7165">
      <w:pPr>
        <w:spacing w:after="0" w:line="240" w:lineRule="auto"/>
        <w:rPr>
          <w:rFonts w:ascii="Times New Roman" w:eastAsia="Times New Roman" w:hAnsi="Times New Roman" w:cs="Times New Roman"/>
          <w:bCs/>
          <w:iCs/>
          <w:color w:val="000000"/>
        </w:rPr>
      </w:pPr>
    </w:p>
    <w:p w14:paraId="29B9E58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Vaistinio preparato skiedimo prieš vartojant instrukcija pateikiama 6.6 skyriuje.</w:t>
      </w:r>
    </w:p>
    <w:p w14:paraId="5BA860A9" w14:textId="77777777" w:rsidR="008A7165" w:rsidRPr="00E14DCC" w:rsidRDefault="008A7165" w:rsidP="008A7165">
      <w:pPr>
        <w:spacing w:after="0" w:line="240" w:lineRule="auto"/>
        <w:rPr>
          <w:rFonts w:ascii="Times New Roman" w:eastAsia="Times New Roman" w:hAnsi="Times New Roman" w:cs="Times New Roman"/>
          <w:bCs/>
          <w:iCs/>
          <w:color w:val="000000"/>
        </w:rPr>
      </w:pPr>
    </w:p>
    <w:p w14:paraId="659118B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iCs/>
          <w:color w:val="000000"/>
        </w:rPr>
        <w:t xml:space="preserve">Citarabino injekcija yra skirta </w:t>
      </w:r>
      <w:r w:rsidRPr="00E14DCC">
        <w:rPr>
          <w:rFonts w:ascii="Times New Roman" w:eastAsia="Times New Roman" w:hAnsi="Times New Roman" w:cs="Times New Roman"/>
        </w:rPr>
        <w:t>vartoti intraveninės infuzijos arba injekcijos, arba poodinės injekcijos būdu.</w:t>
      </w:r>
    </w:p>
    <w:p w14:paraId="0A6D54AF" w14:textId="77777777" w:rsidR="008A7165" w:rsidRPr="00E14DCC" w:rsidRDefault="008A7165" w:rsidP="008A7165">
      <w:pPr>
        <w:spacing w:after="0" w:line="240" w:lineRule="auto"/>
        <w:rPr>
          <w:rFonts w:ascii="Times New Roman" w:eastAsia="Times New Roman" w:hAnsi="Times New Roman" w:cs="Times New Roman"/>
        </w:rPr>
      </w:pPr>
    </w:p>
    <w:p w14:paraId="1F568642" w14:textId="77777777" w:rsidR="008A7165" w:rsidRPr="00E14DCC" w:rsidRDefault="008A7165" w:rsidP="008A7165">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rPr>
        <w:t xml:space="preserve">Bendrai, poodinė injekcija yra toleruojama gerai, ir ją galima rekomenduoti palaikomajam gydymui. </w:t>
      </w:r>
    </w:p>
    <w:p w14:paraId="55694CCB" w14:textId="77777777" w:rsidR="008A7165" w:rsidRPr="00E14DCC" w:rsidRDefault="008A7165" w:rsidP="008A7165">
      <w:pPr>
        <w:spacing w:after="0" w:line="240" w:lineRule="auto"/>
        <w:rPr>
          <w:rFonts w:ascii="Times New Roman" w:eastAsia="Times New Roman" w:hAnsi="Times New Roman" w:cs="Times New Roman"/>
          <w:bCs/>
          <w:iCs/>
          <w:color w:val="000000"/>
        </w:rPr>
      </w:pPr>
    </w:p>
    <w:p w14:paraId="43B3F823" w14:textId="77777777" w:rsidR="008A7165" w:rsidRPr="00E14DCC" w:rsidRDefault="008A7165" w:rsidP="008A7165">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color w:val="000000"/>
        </w:rPr>
        <w:t xml:space="preserve">Cytarabine Accord </w:t>
      </w:r>
      <w:r w:rsidRPr="00E14DCC">
        <w:rPr>
          <w:rFonts w:ascii="Times New Roman" w:eastAsia="Times New Roman" w:hAnsi="Times New Roman" w:cs="Times New Roman"/>
          <w:bCs/>
        </w:rPr>
        <w:t xml:space="preserve">100 mg/ml </w:t>
      </w:r>
      <w:r w:rsidRPr="00E14DCC">
        <w:rPr>
          <w:rFonts w:ascii="Times New Roman" w:eastAsia="Times New Roman" w:hAnsi="Times New Roman" w:cs="Times New Roman"/>
          <w:bCs/>
          <w:iCs/>
          <w:color w:val="000000"/>
        </w:rPr>
        <w:t xml:space="preserve">negalima leisti į povoratinklinę ertmę. </w:t>
      </w:r>
    </w:p>
    <w:p w14:paraId="6A43423C" w14:textId="77777777" w:rsidR="008A7165" w:rsidRPr="00E14DCC" w:rsidRDefault="008A7165" w:rsidP="008A7165">
      <w:pPr>
        <w:spacing w:after="0" w:line="240" w:lineRule="auto"/>
        <w:rPr>
          <w:rFonts w:ascii="Times New Roman" w:eastAsia="Times New Roman" w:hAnsi="Times New Roman" w:cs="Times New Roman"/>
          <w:bCs/>
          <w:iCs/>
          <w:color w:val="000000"/>
        </w:rPr>
      </w:pPr>
    </w:p>
    <w:p w14:paraId="3150EABD" w14:textId="77777777" w:rsidR="008A7165" w:rsidRPr="00E14DCC" w:rsidRDefault="008A7165" w:rsidP="008A7165">
      <w:pPr>
        <w:spacing w:after="0" w:line="240" w:lineRule="auto"/>
        <w:jc w:val="both"/>
        <w:rPr>
          <w:rFonts w:ascii="Times New Roman" w:eastAsia="Times New Roman" w:hAnsi="Times New Roman" w:cs="Times New Roman"/>
          <w:bCs/>
          <w:iCs/>
          <w:color w:val="000000"/>
        </w:rPr>
      </w:pPr>
    </w:p>
    <w:p w14:paraId="084A2091" w14:textId="77777777" w:rsidR="008A7165" w:rsidRPr="00E14DCC" w:rsidRDefault="008A7165" w:rsidP="00805CDB">
      <w:pPr>
        <w:numPr>
          <w:ilvl w:val="1"/>
          <w:numId w:val="9"/>
        </w:numPr>
        <w:tabs>
          <w:tab w:val="left" w:pos="567"/>
        </w:tabs>
        <w:spacing w:after="0" w:line="240" w:lineRule="auto"/>
        <w:jc w:val="both"/>
        <w:rPr>
          <w:rFonts w:ascii="Times New Roman" w:eastAsia="Times New Roman" w:hAnsi="Times New Roman" w:cs="Times New Roman"/>
          <w:b/>
          <w:bCs/>
          <w:color w:val="000000"/>
        </w:rPr>
      </w:pPr>
      <w:r w:rsidRPr="00E14DCC">
        <w:rPr>
          <w:rFonts w:ascii="Times New Roman" w:eastAsia="Times New Roman" w:hAnsi="Times New Roman" w:cs="Times New Roman"/>
          <w:b/>
          <w:bCs/>
          <w:color w:val="000000"/>
        </w:rPr>
        <w:t>Kontraindikacijos</w:t>
      </w:r>
    </w:p>
    <w:p w14:paraId="1ED00E3B" w14:textId="77777777" w:rsidR="008A7165" w:rsidRPr="00E14DCC" w:rsidRDefault="008A7165" w:rsidP="008A7165">
      <w:pPr>
        <w:spacing w:after="0" w:line="240" w:lineRule="auto"/>
        <w:jc w:val="both"/>
        <w:rPr>
          <w:rFonts w:ascii="Times New Roman" w:eastAsia="Times New Roman" w:hAnsi="Times New Roman" w:cs="Times New Roman"/>
        </w:rPr>
      </w:pPr>
    </w:p>
    <w:p w14:paraId="2EBE9FB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Padidėjęs jautrumas citarabinui arba bet kuriai pagalbinei šio citarabino injekcijai medžiagai. </w:t>
      </w:r>
    </w:p>
    <w:p w14:paraId="6201DE62" w14:textId="77777777" w:rsidR="008A7165" w:rsidRPr="00E14DCC" w:rsidRDefault="008A7165" w:rsidP="008A7165">
      <w:pPr>
        <w:spacing w:after="0" w:line="240" w:lineRule="auto"/>
        <w:rPr>
          <w:rFonts w:ascii="Times New Roman" w:eastAsia="Times New Roman" w:hAnsi="Times New Roman" w:cs="Times New Roman"/>
        </w:rPr>
      </w:pPr>
    </w:p>
    <w:p w14:paraId="7CBD4A90" w14:textId="403478F8"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Nepiktybinei anemijai, leukopenijai ar trombocitopenijai (pvz., kaulų čiulpų aplazijai), nebent gydytojas nuspręs, jog toks gydymas yra tikėtinai geriausias pasirinkimas pacientui. </w:t>
      </w:r>
    </w:p>
    <w:p w14:paraId="04E264E9" w14:textId="77777777" w:rsidR="008A7165" w:rsidRPr="00E14DCC" w:rsidRDefault="008A7165" w:rsidP="008A7165">
      <w:pPr>
        <w:spacing w:after="0" w:line="240" w:lineRule="auto"/>
        <w:rPr>
          <w:rFonts w:ascii="Times New Roman" w:eastAsia="Times New Roman" w:hAnsi="Times New Roman" w:cs="Times New Roman"/>
        </w:rPr>
      </w:pPr>
    </w:p>
    <w:p w14:paraId="7C45F603" w14:textId="77777777" w:rsidR="008A7165" w:rsidRPr="00E14DCC" w:rsidRDefault="008A7165" w:rsidP="008A7165">
      <w:pPr>
        <w:tabs>
          <w:tab w:val="left" w:pos="240"/>
        </w:tabs>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 xml:space="preserve">Degeneracinei ir toksinei encefalopatijai, ypač po metotreksato vartojimo arba gydymo jonizuojančiąja spinduliuote. </w:t>
      </w:r>
    </w:p>
    <w:p w14:paraId="22FBDA36" w14:textId="77777777" w:rsidR="008A7165" w:rsidRPr="00E14DCC" w:rsidRDefault="008A7165" w:rsidP="008A7165">
      <w:pPr>
        <w:tabs>
          <w:tab w:val="left" w:pos="240"/>
        </w:tabs>
        <w:spacing w:after="0" w:line="240" w:lineRule="auto"/>
        <w:jc w:val="both"/>
        <w:rPr>
          <w:rFonts w:ascii="Times New Roman" w:eastAsia="Times New Roman" w:hAnsi="Times New Roman" w:cs="Times New Roman"/>
        </w:rPr>
      </w:pPr>
    </w:p>
    <w:p w14:paraId="32EF0CAE" w14:textId="77777777" w:rsidR="008A7165" w:rsidRPr="00E14DCC" w:rsidRDefault="008A7165" w:rsidP="00805CDB">
      <w:pPr>
        <w:numPr>
          <w:ilvl w:val="1"/>
          <w:numId w:val="9"/>
        </w:numPr>
        <w:autoSpaceDE w:val="0"/>
        <w:autoSpaceDN w:val="0"/>
        <w:adjustRightInd w:val="0"/>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
          <w:bCs/>
        </w:rPr>
        <w:t xml:space="preserve">Specialūs įspėjimai ir atsargumo priemonės </w:t>
      </w:r>
    </w:p>
    <w:p w14:paraId="17C6387E"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2A7205FA"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Vaikų populiacija</w:t>
      </w:r>
    </w:p>
    <w:p w14:paraId="735C173E" w14:textId="77777777" w:rsidR="008A7165" w:rsidRPr="00E14DCC" w:rsidRDefault="008A7165" w:rsidP="008A7165">
      <w:pPr>
        <w:spacing w:after="0" w:line="240" w:lineRule="auto"/>
        <w:rPr>
          <w:rFonts w:ascii="Times New Roman" w:eastAsia="Times New Roman" w:hAnsi="Times New Roman" w:cs="Times New Roman"/>
          <w:u w:val="single"/>
        </w:rPr>
      </w:pPr>
    </w:p>
    <w:p w14:paraId="2EF4940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Šio vaistinio preparato saugumas kūdikiams nėra pakankamai ištirtas. </w:t>
      </w:r>
    </w:p>
    <w:p w14:paraId="77E040D6" w14:textId="77777777" w:rsidR="008A7165" w:rsidRPr="00E14DCC" w:rsidRDefault="008A7165" w:rsidP="008A7165">
      <w:pPr>
        <w:spacing w:after="0" w:line="240" w:lineRule="auto"/>
        <w:rPr>
          <w:rFonts w:ascii="Times New Roman" w:eastAsia="Times New Roman" w:hAnsi="Times New Roman" w:cs="Times New Roman"/>
          <w:b/>
        </w:rPr>
      </w:pPr>
    </w:p>
    <w:p w14:paraId="71243F96"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 xml:space="preserve">Įspėjimai </w:t>
      </w:r>
    </w:p>
    <w:p w14:paraId="16A8426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Citarabinas stipriai slopina kaulų čiulpų funkciją. Jei kaulų čiulpų funkcija jau susilpnino kiti vaistai, gydymą reikia pradėti atsargiai. Citarabinu gydomą pacientą gydytojas turi atidžiai stebėti. Indukuojant remisiją, reikia kasdien tikrinti leukocitų ir trombocitų skaičių. Išnykus blastams iš periferinio kraujo, reikia dažnai tikrinti kaulų čiulpus. </w:t>
      </w:r>
    </w:p>
    <w:p w14:paraId="5008F67C" w14:textId="77777777" w:rsidR="008A7165" w:rsidRPr="00E14DCC" w:rsidRDefault="008A7165" w:rsidP="008A7165">
      <w:pPr>
        <w:spacing w:after="0" w:line="240" w:lineRule="auto"/>
        <w:rPr>
          <w:rFonts w:ascii="Times New Roman" w:eastAsia="Times New Roman" w:hAnsi="Times New Roman" w:cs="Times New Roman"/>
        </w:rPr>
      </w:pPr>
    </w:p>
    <w:p w14:paraId="02E4D74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Reikia turėti paruoštą įrangą ir priemonių šalinti potencialiai mirtinas komplikacijas, kurios gali pasireikšti dėl kaulų čiulpų slopinimo (infekcija dėl granulocitopenijos ir kitų organizmo apsigynimo mechanizmų susilpnėjimo, kraujavimas dėl trombocitopenijos). Vartojant citarabiną pasireiškė anafilaksinių reakcijų. Aprašytas vienas atvejis, kai pasireiškė anafilaksija, sukėlusi ūminį širdies ir plaučių nepakankamumą, todėl pacientą teko reanimuoti. Ši komplikacija pasireiškė iš karto po citarabino vartojimo į veną. </w:t>
      </w:r>
    </w:p>
    <w:p w14:paraId="2024802A" w14:textId="77777777" w:rsidR="008A7165" w:rsidRPr="00E14DCC" w:rsidRDefault="008A7165" w:rsidP="008A7165">
      <w:pPr>
        <w:spacing w:after="0" w:line="240" w:lineRule="auto"/>
        <w:rPr>
          <w:rFonts w:ascii="Times New Roman" w:eastAsia="Times New Roman" w:hAnsi="Times New Roman" w:cs="Times New Roman"/>
        </w:rPr>
      </w:pPr>
    </w:p>
    <w:p w14:paraId="335580E9" w14:textId="77777777" w:rsidR="008A7165" w:rsidRPr="00E14DCC" w:rsidRDefault="008A7165" w:rsidP="008A7165">
      <w:pPr>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 xml:space="preserve">Gydant eksperimentinėmis citarabino dozėmis, pasireiškė sunkus toksinis poveikis centrinei nervų sistemai, virškinimo traktui ir plaučiams (šis poveikis buvo kitokio pobūdžio negu dozuojant citarabino įprastiniais režimais). Buvo stebimos tokios reakcijos: grįžtamojo pobūdžio toksinis poveikis ragenai; smegenų ir smegenėlių disfunkcija, kuri paprastai būna laikina; somnolencija, traukuliai; sunkus virškinimo trakto išopėjimas, įskaitant cistoidinę žarnų pneumatozę, sukeliančią peritonitą; sepsis ir kepenų abscesas; ir plaučių edema. </w:t>
      </w:r>
    </w:p>
    <w:p w14:paraId="723F3738" w14:textId="77777777" w:rsidR="008A7165" w:rsidRPr="00E14DCC" w:rsidRDefault="008A7165" w:rsidP="008A7165">
      <w:pPr>
        <w:spacing w:after="0" w:line="240" w:lineRule="auto"/>
        <w:rPr>
          <w:rFonts w:ascii="Times New Roman" w:eastAsia="Times New Roman" w:hAnsi="Times New Roman" w:cs="Times New Roman"/>
          <w:color w:val="000000"/>
        </w:rPr>
      </w:pPr>
    </w:p>
    <w:p w14:paraId="7E36519B" w14:textId="77777777" w:rsidR="008A7165" w:rsidRPr="00E14DCC" w:rsidRDefault="008A7165" w:rsidP="008A7165">
      <w:pPr>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Nustatyta, kad gyvūnams pasireiškia kancerogeninis citarabino poveikis. Sprendžiant, ar skirti vaistinio preparato ilgalaikiam vartojimai, reikia prisiminti apie galimą panašų poveikį pacientui. </w:t>
      </w:r>
    </w:p>
    <w:p w14:paraId="04E5A7AA" w14:textId="77777777" w:rsidR="008A7165" w:rsidRPr="00E14DCC" w:rsidRDefault="008A7165" w:rsidP="008A7165">
      <w:pPr>
        <w:spacing w:after="0" w:line="240" w:lineRule="auto"/>
        <w:rPr>
          <w:rFonts w:ascii="Times New Roman" w:eastAsia="Times New Roman" w:hAnsi="Times New Roman" w:cs="Times New Roman"/>
          <w:color w:val="000000"/>
        </w:rPr>
      </w:pPr>
    </w:p>
    <w:p w14:paraId="795DDE13"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Atsargumo priemonės</w:t>
      </w:r>
    </w:p>
    <w:p w14:paraId="211D7D6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Pacientus, gydomus citarabinu, reikia atidžiai stebėti. Būtina dažnai tikrinti trombocitų ir leukocitų skaičių. Jei dėl vaistinio preparato sukelto kaulų čiulpų slopinimo trombocitų skaičius tapo </w:t>
      </w:r>
      <w:r w:rsidRPr="00E14DCC">
        <w:rPr>
          <w:rFonts w:ascii="Times New Roman" w:eastAsia="Times New Roman" w:hAnsi="Times New Roman" w:cs="Times New Roman"/>
        </w:rPr>
        <w:lastRenderedPageBreak/>
        <w:t>&lt; 50 000/mm</w:t>
      </w:r>
      <w:r w:rsidRPr="00E14DCC">
        <w:rPr>
          <w:rFonts w:ascii="Times New Roman" w:eastAsia="Times New Roman" w:hAnsi="Times New Roman" w:cs="Times New Roman"/>
          <w:vertAlign w:val="superscript"/>
        </w:rPr>
        <w:t>3</w:t>
      </w:r>
      <w:r w:rsidRPr="00E14DCC">
        <w:rPr>
          <w:rFonts w:ascii="Times New Roman" w:eastAsia="Times New Roman" w:hAnsi="Times New Roman" w:cs="Times New Roman"/>
        </w:rPr>
        <w:t xml:space="preserve"> arba daugiabranduolių granulocitų skaičius &lt; 1 000/mm</w:t>
      </w:r>
      <w:r w:rsidRPr="00E14DCC">
        <w:rPr>
          <w:rFonts w:ascii="Times New Roman" w:eastAsia="Times New Roman" w:hAnsi="Times New Roman" w:cs="Times New Roman"/>
          <w:vertAlign w:val="superscript"/>
        </w:rPr>
        <w:t>3</w:t>
      </w:r>
      <w:r w:rsidRPr="00E14DCC">
        <w:rPr>
          <w:rFonts w:ascii="Times New Roman" w:eastAsia="Times New Roman" w:hAnsi="Times New Roman" w:cs="Times New Roman"/>
        </w:rPr>
        <w:t>, gydymą būtų tikslinga laikinai nutraukti arba koreguoti. Baigus preparato vartojimą, periferinio kraujo ląstelių skaičius gali toliau mažėti ir, nevartojant šio vaisto, pasidaryti minimalus per 5</w:t>
      </w:r>
      <w:r w:rsidRPr="00E14DCC">
        <w:rPr>
          <w:rFonts w:ascii="Times New Roman" w:eastAsia="Times New Roman" w:hAnsi="Times New Roman" w:cs="Times New Roman"/>
        </w:rPr>
        <w:noBreakHyphen/>
        <w:t xml:space="preserve">7 dienas. Esant reikalui, gydymas atnaujinamas tada, kai atsiranda neabejotinų kaulų čiulpų funkcijos atsinaujinimo požymių (tai nustatoma kartojant kaulų čiulpų tyrimą). Pacientams, kuriems preparato vartojimas nutrauktas iki periferinio kraujo ląstelių skaičiaus sunormalėjimo, kontrolinių tyrimų galima nedaryti. </w:t>
      </w:r>
    </w:p>
    <w:p w14:paraId="035FE375" w14:textId="77777777" w:rsidR="008A7165" w:rsidRPr="00E14DCC" w:rsidRDefault="008A7165" w:rsidP="008A7165">
      <w:pPr>
        <w:spacing w:after="0" w:line="240" w:lineRule="auto"/>
        <w:rPr>
          <w:rFonts w:ascii="Times New Roman" w:eastAsia="Times New Roman" w:hAnsi="Times New Roman" w:cs="Times New Roman"/>
        </w:rPr>
      </w:pPr>
    </w:p>
    <w:p w14:paraId="10A5C49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Suaugusiems pacientams, sirgusiems ūmine nelimfocitine leukemija, po konsolidacinio gydymo didelėmis citarabino dozėmis, daunorubicinu ir asparaginaze pasireiškė periferinių motorinių ir sensorinių neuropatijų. Pacientus, gydomus didelėmis citarabino dozėmis, reikėtų stebėti dėl galimos neuropatijos, kadangi, norint išvengti negrįžtamojo pobūdžio neurologinių sutrikimų, šio vaisto dozavimo tvarką gali tekti koreguoti.</w:t>
      </w:r>
    </w:p>
    <w:p w14:paraId="42739A77" w14:textId="77777777" w:rsidR="008A7165" w:rsidRPr="00E14DCC" w:rsidRDefault="008A7165" w:rsidP="008A7165">
      <w:pPr>
        <w:spacing w:after="0" w:line="240" w:lineRule="auto"/>
        <w:rPr>
          <w:rFonts w:ascii="Times New Roman" w:eastAsia="Times New Roman" w:hAnsi="Times New Roman" w:cs="Times New Roman"/>
        </w:rPr>
      </w:pPr>
    </w:p>
    <w:p w14:paraId="67F9974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 dideles citarabino dozes pasireiškė sunkus ir kartais mirtimi pasibaigiantis toksinis poveikis plaučiams, suaugusiųjų kvėpavimo distreso sindromas ir plaučių edema.</w:t>
      </w:r>
    </w:p>
    <w:p w14:paraId="6D2C7226" w14:textId="77777777" w:rsidR="008A7165" w:rsidRPr="00E14DCC" w:rsidRDefault="008A7165" w:rsidP="008A7165">
      <w:pPr>
        <w:spacing w:after="0" w:line="240" w:lineRule="auto"/>
        <w:rPr>
          <w:rFonts w:ascii="Times New Roman" w:eastAsia="Times New Roman" w:hAnsi="Times New Roman" w:cs="Times New Roman"/>
        </w:rPr>
      </w:pPr>
    </w:p>
    <w:p w14:paraId="5D241E5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 dideles šio vaisto dozes dideliu greičiu į veną, dažnai pykina, kelias valandas po injekcijos pacientas gali vemti. Jeigu vaistinis preparatas infuzuojamas, šis poveikis paprastai būna silpnesnis.</w:t>
      </w:r>
    </w:p>
    <w:p w14:paraId="4DAC668A" w14:textId="77777777" w:rsidR="008A7165" w:rsidRPr="00E14DCC" w:rsidRDefault="008A7165" w:rsidP="008A7165">
      <w:pPr>
        <w:spacing w:after="0" w:line="240" w:lineRule="auto"/>
        <w:rPr>
          <w:rFonts w:ascii="Times New Roman" w:eastAsia="Times New Roman" w:hAnsi="Times New Roman" w:cs="Times New Roman"/>
        </w:rPr>
      </w:pPr>
    </w:p>
    <w:p w14:paraId="69E696C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Pacientams, gydytiems įprastinėmis citarabino dozėmis ir kitais vaistiniais preparatais, atsirado pilvaplėvės dirginimo reiškiniai (peritonitas) ir kolitas su teigiamu gvajakos testo rezultatu kartu su neutropenija ir trombocitopenija. Visiems šiems pacientams buvo veiksmingas konservatyvus gydymas. </w:t>
      </w:r>
    </w:p>
    <w:p w14:paraId="4E33E1B5" w14:textId="77777777" w:rsidR="008A7165" w:rsidRPr="00E14DCC" w:rsidRDefault="008A7165" w:rsidP="008A7165">
      <w:pPr>
        <w:spacing w:after="0" w:line="240" w:lineRule="auto"/>
        <w:rPr>
          <w:rFonts w:ascii="Times New Roman" w:eastAsia="Times New Roman" w:hAnsi="Times New Roman" w:cs="Times New Roman"/>
        </w:rPr>
      </w:pPr>
    </w:p>
    <w:p w14:paraId="3766AF2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Pacientams, sirgusiems ūmine vaikų mielogenine leukemija bei gydytiems įprastinėmis citarabino dozėmis intratekaliai ir į veną kartu su kitais vaistiniais preparatais, pasireiškė vėlyvasis progresuojantis kylantis paralyžius, dėl kurio vienas pacientas mirė.</w:t>
      </w:r>
    </w:p>
    <w:p w14:paraId="795B23B1" w14:textId="77777777" w:rsidR="008A7165" w:rsidRPr="00E14DCC" w:rsidRDefault="008A7165" w:rsidP="008A7165">
      <w:pPr>
        <w:spacing w:after="0" w:line="240" w:lineRule="auto"/>
        <w:rPr>
          <w:rFonts w:ascii="Times New Roman" w:eastAsia="Times New Roman" w:hAnsi="Times New Roman" w:cs="Times New Roman"/>
        </w:rPr>
      </w:pPr>
    </w:p>
    <w:p w14:paraId="38752F0B"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 xml:space="preserve">Pacientai, sergantys kepenų nepakankamumu </w:t>
      </w:r>
    </w:p>
    <w:p w14:paraId="029A88A6" w14:textId="77777777" w:rsidR="008A7165" w:rsidRPr="00E14DCC" w:rsidRDefault="008A7165" w:rsidP="008A7165">
      <w:pPr>
        <w:spacing w:after="0" w:line="240" w:lineRule="auto"/>
        <w:rPr>
          <w:rFonts w:ascii="Times New Roman" w:eastAsia="Times New Roman" w:hAnsi="Times New Roman" w:cs="Times New Roman"/>
          <w:u w:val="single"/>
        </w:rPr>
      </w:pPr>
    </w:p>
    <w:p w14:paraId="7D78FF0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Gydymo citarabinu metu reikia stebėti kepenų ir inkstų funkciją. Pacientams, jau sergantiems kepenų nepakankamumu, citarabiną reikia skirti ypatingai atsargiai. </w:t>
      </w:r>
    </w:p>
    <w:p w14:paraId="25DB93C5" w14:textId="77777777" w:rsidR="008A7165" w:rsidRPr="00E14DCC" w:rsidRDefault="008A7165" w:rsidP="008A7165">
      <w:pPr>
        <w:spacing w:after="0" w:line="240" w:lineRule="auto"/>
        <w:rPr>
          <w:rFonts w:ascii="Times New Roman" w:eastAsia="Times New Roman" w:hAnsi="Times New Roman" w:cs="Times New Roman"/>
        </w:rPr>
      </w:pPr>
    </w:p>
    <w:p w14:paraId="73C0C53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Pacientų, vartojančių citarabiną, kaulų čiulpų, kepenų ir inkstų funkcijas reikėtų periodiškai tikrinti. </w:t>
      </w:r>
    </w:p>
    <w:p w14:paraId="455A5786" w14:textId="77777777" w:rsidR="008A7165" w:rsidRPr="00E14DCC" w:rsidRDefault="008A7165" w:rsidP="008A7165">
      <w:pPr>
        <w:spacing w:after="0" w:line="240" w:lineRule="auto"/>
        <w:rPr>
          <w:rFonts w:ascii="Times New Roman" w:eastAsia="Times New Roman" w:hAnsi="Times New Roman" w:cs="Times New Roman"/>
        </w:rPr>
      </w:pPr>
    </w:p>
    <w:p w14:paraId="35DC7E6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Dėl greito piktybinių ląstelių irimo, citarabinas, kaip ir kiti citotoksiniai vaistai, gali sukelti hiperurikemiją. Gydytojas turėtų stebėti šlapimo rūgšties koncentraciją kraujyje ir būti pasirengęs imtis palaikomųjų bei farmakologinių priemonių, kurių gali prireikti šiai problemai spręsti.</w:t>
      </w:r>
    </w:p>
    <w:p w14:paraId="66EB1820" w14:textId="77777777" w:rsidR="008A7165" w:rsidRPr="00E14DCC" w:rsidRDefault="008A7165" w:rsidP="008A7165">
      <w:pPr>
        <w:spacing w:after="0" w:line="240" w:lineRule="auto"/>
        <w:rPr>
          <w:rFonts w:ascii="Times New Roman" w:eastAsia="Times New Roman" w:hAnsi="Times New Roman" w:cs="Times New Roman"/>
        </w:rPr>
      </w:pPr>
    </w:p>
    <w:p w14:paraId="64097F7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Vakcinos/imunitetą slopinantis poveikis/padidėjęs jautrumas infekcinėms ligoms</w:t>
      </w:r>
    </w:p>
    <w:p w14:paraId="5B6C7530" w14:textId="77777777" w:rsidR="008A7165" w:rsidRPr="00E14DCC" w:rsidRDefault="008A7165" w:rsidP="008A7165">
      <w:pPr>
        <w:spacing w:after="0" w:line="240" w:lineRule="auto"/>
        <w:rPr>
          <w:rFonts w:ascii="Times New Roman" w:eastAsia="Times New Roman" w:hAnsi="Times New Roman" w:cs="Times New Roman"/>
        </w:rPr>
      </w:pPr>
    </w:p>
    <w:p w14:paraId="6AD894A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Pacientams, vartojantiems vaistinių preparatų chemoterapijai, įskaitant citarabiną, paskyrus gyvų arba gyvų susilpnintų vakcinų gali atsirasti sunkios ar mirtinos infekcinės ligos. Pacientams, vartojantiems citarabiną, gyvų vakcinų skirti negalima. Nors negyvų arba inaktyvuotų vakcinų skirti galima, tačiau atsakas į jas gali būti nuslopintas.</w:t>
      </w:r>
    </w:p>
    <w:p w14:paraId="11CC42FC" w14:textId="77777777" w:rsidR="008A7165" w:rsidRPr="00E14DCC" w:rsidRDefault="008A7165" w:rsidP="008A7165">
      <w:pPr>
        <w:spacing w:after="0" w:line="240" w:lineRule="auto"/>
        <w:rPr>
          <w:rFonts w:ascii="Times New Roman" w:eastAsia="Times New Roman" w:hAnsi="Times New Roman" w:cs="Times New Roman"/>
        </w:rPr>
      </w:pPr>
    </w:p>
    <w:p w14:paraId="64326F8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Didelės dozės</w:t>
      </w:r>
    </w:p>
    <w:p w14:paraId="7DED476F" w14:textId="77777777" w:rsidR="008A7165" w:rsidRPr="00E14DCC" w:rsidRDefault="008A7165" w:rsidP="008A7165">
      <w:pPr>
        <w:spacing w:after="0" w:line="240" w:lineRule="auto"/>
        <w:rPr>
          <w:rFonts w:ascii="Times New Roman" w:eastAsia="Times New Roman" w:hAnsi="Times New Roman" w:cs="Times New Roman"/>
        </w:rPr>
      </w:pPr>
    </w:p>
    <w:p w14:paraId="12DA72C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Šalutinių poveikių pavojus centrinei nervų sistemai yra didesnis tiems pacientams, kuriems CNS yra gydyta intratekaline chemoterapija arba radioterapija. </w:t>
      </w:r>
    </w:p>
    <w:p w14:paraId="6171DCBC" w14:textId="77777777" w:rsidR="008A7165" w:rsidRPr="00E14DCC" w:rsidRDefault="008A7165" w:rsidP="008A7165">
      <w:pPr>
        <w:spacing w:after="0" w:line="240" w:lineRule="auto"/>
        <w:rPr>
          <w:rFonts w:ascii="Times New Roman" w:eastAsia="Times New Roman" w:hAnsi="Times New Roman" w:cs="Times New Roman"/>
        </w:rPr>
      </w:pPr>
    </w:p>
    <w:p w14:paraId="682E0B1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Reikia vengti tuo pačiu metu atlikti granuliocitų transfuziją, nes buvo pranešta apie sunkų kvėpavimo nepakankamumą. </w:t>
      </w:r>
    </w:p>
    <w:p w14:paraId="496C2F52" w14:textId="77777777" w:rsidR="008A7165" w:rsidRPr="00E14DCC" w:rsidRDefault="008A7165" w:rsidP="008A7165">
      <w:pPr>
        <w:spacing w:after="0" w:line="240" w:lineRule="auto"/>
        <w:rPr>
          <w:rFonts w:ascii="Times New Roman" w:eastAsia="Times New Roman" w:hAnsi="Times New Roman" w:cs="Times New Roman"/>
        </w:rPr>
      </w:pPr>
    </w:p>
    <w:p w14:paraId="56603EF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Buvo pranešta apie kardiomiopatijos, su vėliau sekančia mirtimi, atvejus, kai kaulų čiulpų persodinimo pasiruošimui buvo taikomas didelių dozių citarabino ir ciklofosfamido derinio bandomasis gydymas. </w:t>
      </w:r>
    </w:p>
    <w:p w14:paraId="455BA1CE" w14:textId="77777777" w:rsidR="008A7165" w:rsidRPr="00E14DCC" w:rsidRDefault="008A7165" w:rsidP="008A7165">
      <w:pPr>
        <w:spacing w:after="0" w:line="240" w:lineRule="auto"/>
        <w:rPr>
          <w:rFonts w:ascii="Times New Roman" w:eastAsia="Times New Roman" w:hAnsi="Times New Roman" w:cs="Times New Roman"/>
        </w:rPr>
      </w:pPr>
    </w:p>
    <w:p w14:paraId="675B3825"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4.5</w:t>
      </w:r>
      <w:r w:rsidRPr="00E14DCC">
        <w:rPr>
          <w:rFonts w:ascii="Times New Roman" w:eastAsia="Times New Roman" w:hAnsi="Times New Roman" w:cs="Times New Roman"/>
          <w:b/>
          <w:bCs/>
          <w:color w:val="000000"/>
        </w:rPr>
        <w:tab/>
        <w:t>Sąveika su kitais vaistiniais preparatais ir kitokia sąveika</w:t>
      </w:r>
    </w:p>
    <w:p w14:paraId="3185DB41" w14:textId="77777777" w:rsidR="008A7165" w:rsidRPr="00E14DCC" w:rsidRDefault="008A7165" w:rsidP="008A7165">
      <w:pPr>
        <w:tabs>
          <w:tab w:val="num" w:pos="1404"/>
        </w:tabs>
        <w:spacing w:after="0" w:line="240" w:lineRule="auto"/>
        <w:jc w:val="both"/>
        <w:rPr>
          <w:rFonts w:ascii="Times New Roman" w:eastAsia="Times New Roman" w:hAnsi="Times New Roman" w:cs="Times New Roman"/>
          <w:b/>
          <w:bCs/>
          <w:color w:val="000000"/>
        </w:rPr>
      </w:pPr>
    </w:p>
    <w:p w14:paraId="7739111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5-fluorocitozinas</w:t>
      </w:r>
    </w:p>
    <w:p w14:paraId="6351C6AB" w14:textId="77777777" w:rsidR="008A7165" w:rsidRPr="00E14DCC" w:rsidRDefault="008A7165" w:rsidP="008A7165">
      <w:pPr>
        <w:spacing w:after="0" w:line="240" w:lineRule="auto"/>
        <w:rPr>
          <w:rFonts w:ascii="Times New Roman" w:eastAsia="Times New Roman" w:hAnsi="Times New Roman" w:cs="Times New Roman"/>
        </w:rPr>
      </w:pPr>
    </w:p>
    <w:p w14:paraId="533F7F3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5-fluorocitozino kartu su citarabinu vartoti negalima, nes tokiu atveju nuslopinamas 5-fluorocitozino poveikis.</w:t>
      </w:r>
    </w:p>
    <w:p w14:paraId="45FF31F3" w14:textId="77777777" w:rsidR="008A7165" w:rsidRPr="00E14DCC" w:rsidRDefault="008A7165" w:rsidP="008A7165">
      <w:pPr>
        <w:spacing w:after="0" w:line="240" w:lineRule="auto"/>
        <w:rPr>
          <w:rFonts w:ascii="Times New Roman" w:eastAsia="Times New Roman" w:hAnsi="Times New Roman" w:cs="Times New Roman"/>
        </w:rPr>
      </w:pPr>
    </w:p>
    <w:p w14:paraId="6A2C052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Digitoksinas</w:t>
      </w:r>
    </w:p>
    <w:p w14:paraId="35CD9243" w14:textId="77777777" w:rsidR="008A7165" w:rsidRPr="00E14DCC" w:rsidRDefault="008A7165" w:rsidP="008A7165">
      <w:pPr>
        <w:spacing w:after="0" w:line="240" w:lineRule="auto"/>
        <w:rPr>
          <w:rFonts w:ascii="Times New Roman" w:eastAsia="Times New Roman" w:hAnsi="Times New Roman" w:cs="Times New Roman"/>
        </w:rPr>
      </w:pPr>
    </w:p>
    <w:p w14:paraId="2A70F4E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Pacientams, vartojantiems beta-acetildigoksiną ir chemoterapijos režimą, kurio metu vartojamas ciklofosfamidas, vinkristinas ir prednizonas kartu su citarabinu arba prokarbazinu arba be jų, grįžtamai sumažėja pusiausvyrinė digoksino koncentracija kraujo plazmoje ir glikozidų išskyrimas pro inkstus. Digitoksino pusiausvyrinė koncentracija kraujo plazmoje nekinta. Tačiau stebėti digoksino koncentraciją kraujo plazmoje gali reikėti ir tiems pacientams, kurie vartoją panašų chemoterapijos režimą. Tokiems pacientams, kaip alternatyva, gali būti skiriamas digitoksinas.</w:t>
      </w:r>
    </w:p>
    <w:p w14:paraId="4A70E0BE" w14:textId="77777777" w:rsidR="008A7165" w:rsidRPr="00E14DCC" w:rsidRDefault="008A7165" w:rsidP="008A7165">
      <w:pPr>
        <w:spacing w:after="0" w:line="240" w:lineRule="auto"/>
        <w:rPr>
          <w:rFonts w:ascii="Times New Roman" w:eastAsia="Times New Roman" w:hAnsi="Times New Roman" w:cs="Times New Roman"/>
        </w:rPr>
      </w:pPr>
    </w:p>
    <w:p w14:paraId="676ABF2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Gentamicinas</w:t>
      </w:r>
    </w:p>
    <w:p w14:paraId="053404C0" w14:textId="77777777" w:rsidR="008A7165" w:rsidRPr="00E14DCC" w:rsidRDefault="008A7165" w:rsidP="008A7165">
      <w:pPr>
        <w:spacing w:after="0" w:line="240" w:lineRule="auto"/>
        <w:rPr>
          <w:rFonts w:ascii="Times New Roman" w:eastAsia="Times New Roman" w:hAnsi="Times New Roman" w:cs="Times New Roman"/>
        </w:rPr>
      </w:pPr>
    </w:p>
    <w:p w14:paraId="37A6FB7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Sąveikos tarp gentamicino ir citarabino tyrimas </w:t>
      </w:r>
      <w:r w:rsidRPr="00E14DCC">
        <w:rPr>
          <w:rFonts w:ascii="Times New Roman" w:eastAsia="Times New Roman" w:hAnsi="Times New Roman" w:cs="Times New Roman"/>
          <w:i/>
        </w:rPr>
        <w:t>in vitro</w:t>
      </w:r>
      <w:r w:rsidRPr="00E14DCC">
        <w:rPr>
          <w:rFonts w:ascii="Times New Roman" w:eastAsia="Times New Roman" w:hAnsi="Times New Roman" w:cs="Times New Roman"/>
        </w:rPr>
        <w:t xml:space="preserve"> parodė su citarabinu susijusį </w:t>
      </w:r>
      <w:r w:rsidRPr="00E14DCC">
        <w:rPr>
          <w:rFonts w:ascii="Times New Roman" w:eastAsia="Times New Roman" w:hAnsi="Times New Roman" w:cs="Times New Roman"/>
          <w:i/>
        </w:rPr>
        <w:t>K. pneumoniae</w:t>
      </w:r>
      <w:r w:rsidRPr="00E14DCC">
        <w:rPr>
          <w:rFonts w:ascii="Times New Roman" w:eastAsia="Times New Roman" w:hAnsi="Times New Roman" w:cs="Times New Roman"/>
        </w:rPr>
        <w:t xml:space="preserve"> štamų jautrumo sumažėjimą. Šio tyrimo duomenys rodo, kad, jei citarabinu gydomam pacientui </w:t>
      </w:r>
      <w:r w:rsidRPr="00E14DCC">
        <w:rPr>
          <w:rFonts w:ascii="Times New Roman" w:eastAsia="Times New Roman" w:hAnsi="Times New Roman" w:cs="Times New Roman"/>
          <w:i/>
        </w:rPr>
        <w:t>K. pneumoniae</w:t>
      </w:r>
      <w:r w:rsidRPr="00E14DCC">
        <w:rPr>
          <w:rFonts w:ascii="Times New Roman" w:eastAsia="Times New Roman" w:hAnsi="Times New Roman" w:cs="Times New Roman"/>
        </w:rPr>
        <w:t xml:space="preserve"> infekcijai gydyti skiriama gentamicino, o greito gydomojo poveikio nėra, tai galbūt reikia iš naujo apsvarstyti antibakterinį gydymą.</w:t>
      </w:r>
    </w:p>
    <w:p w14:paraId="1C09C32C" w14:textId="77777777" w:rsidR="008A7165" w:rsidRPr="00E14DCC" w:rsidRDefault="008A7165" w:rsidP="008A7165">
      <w:pPr>
        <w:spacing w:after="0" w:line="240" w:lineRule="auto"/>
        <w:rPr>
          <w:rFonts w:ascii="Times New Roman" w:eastAsia="Times New Roman" w:hAnsi="Times New Roman" w:cs="Times New Roman"/>
        </w:rPr>
      </w:pPr>
    </w:p>
    <w:p w14:paraId="3D9138A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Vieno citarabino ar jo derinio su kitais imuninę sistemą slopinančiais preparatais vartojimas</w:t>
      </w:r>
    </w:p>
    <w:p w14:paraId="0736B443" w14:textId="77777777" w:rsidR="008A7165" w:rsidRPr="00E14DCC" w:rsidRDefault="008A7165" w:rsidP="008A7165">
      <w:pPr>
        <w:spacing w:after="0" w:line="240" w:lineRule="auto"/>
        <w:rPr>
          <w:rFonts w:ascii="Times New Roman" w:eastAsia="Times New Roman" w:hAnsi="Times New Roman" w:cs="Times New Roman"/>
        </w:rPr>
      </w:pPr>
    </w:p>
    <w:p w14:paraId="58AE2928"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Citarabino injekcija slopina imuninę sistemą, dėl to gali pasireikšti su gydymu vien citarabinu ar juo ir kitais imuninę sistemą slopinančiais preparatais (vartojant imuninę sistemą slopinančių preparatų dozes, veikiančias ląstelinę ar humoralinę imuninę reakciją) susijusi virusinė, bakterinė, grybelinė, parazitinė ar saprofitinė infekcija, atsirandanti bet kurioje kūno vietoje. </w:t>
      </w:r>
    </w:p>
    <w:p w14:paraId="2C6DD3ED" w14:textId="77777777" w:rsidR="008A7165" w:rsidRPr="00E14DCC" w:rsidRDefault="008A7165" w:rsidP="008A7165">
      <w:pPr>
        <w:spacing w:after="0" w:line="240" w:lineRule="auto"/>
        <w:rPr>
          <w:rFonts w:ascii="Times New Roman" w:eastAsia="Times New Roman" w:hAnsi="Times New Roman" w:cs="Times New Roman"/>
        </w:rPr>
      </w:pPr>
    </w:p>
    <w:p w14:paraId="0C67F043" w14:textId="77777777" w:rsidR="008A7165" w:rsidRPr="00E14DCC" w:rsidRDefault="008A7165" w:rsidP="008A7165">
      <w:pPr>
        <w:spacing w:after="0" w:line="240" w:lineRule="auto"/>
        <w:rPr>
          <w:rFonts w:ascii="Times New Roman" w:eastAsia="Times New Roman" w:hAnsi="Times New Roman" w:cs="Times New Roman"/>
        </w:rPr>
      </w:pPr>
    </w:p>
    <w:p w14:paraId="0A78E08F" w14:textId="77777777" w:rsidR="008A7165" w:rsidRPr="00E14DCC" w:rsidRDefault="008A7165" w:rsidP="00805CDB">
      <w:pPr>
        <w:numPr>
          <w:ilvl w:val="1"/>
          <w:numId w:val="10"/>
        </w:numPr>
        <w:tabs>
          <w:tab w:val="left" w:pos="567"/>
        </w:tabs>
        <w:spacing w:after="0" w:line="240" w:lineRule="auto"/>
        <w:jc w:val="both"/>
        <w:rPr>
          <w:rFonts w:ascii="Times New Roman" w:eastAsia="Times New Roman" w:hAnsi="Times New Roman" w:cs="Times New Roman"/>
          <w:b/>
          <w:bCs/>
          <w:color w:val="000000"/>
        </w:rPr>
      </w:pPr>
      <w:r w:rsidRPr="00E14DCC">
        <w:rPr>
          <w:rFonts w:ascii="Times New Roman" w:eastAsia="Times New Roman" w:hAnsi="Times New Roman" w:cs="Times New Roman"/>
          <w:b/>
        </w:rPr>
        <w:t xml:space="preserve">Vaisingumas, </w:t>
      </w:r>
      <w:r w:rsidRPr="00E14DCC">
        <w:rPr>
          <w:rFonts w:ascii="Times New Roman" w:eastAsia="Times New Roman" w:hAnsi="Times New Roman" w:cs="Times New Roman"/>
          <w:b/>
          <w:bCs/>
          <w:color w:val="000000"/>
        </w:rPr>
        <w:t>nėštumo ir žindymo laikotarpis</w:t>
      </w:r>
    </w:p>
    <w:p w14:paraId="5A4B737D" w14:textId="77777777" w:rsidR="008A7165" w:rsidRPr="00E14DCC" w:rsidRDefault="008A7165" w:rsidP="008A7165">
      <w:pPr>
        <w:spacing w:after="0" w:line="240" w:lineRule="auto"/>
        <w:jc w:val="both"/>
        <w:rPr>
          <w:rFonts w:ascii="Times New Roman" w:eastAsia="Times New Roman" w:hAnsi="Times New Roman" w:cs="Times New Roman"/>
          <w:b/>
          <w:bCs/>
          <w:color w:val="000000"/>
        </w:rPr>
      </w:pPr>
    </w:p>
    <w:p w14:paraId="1B9A5C54" w14:textId="77777777" w:rsidR="008A7165" w:rsidRPr="00E14DCC" w:rsidRDefault="008A7165" w:rsidP="008A7165">
      <w:pPr>
        <w:tabs>
          <w:tab w:val="left" w:pos="720"/>
          <w:tab w:val="left" w:pos="1005"/>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Nėštumas</w:t>
      </w:r>
    </w:p>
    <w:p w14:paraId="0BD4B4C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Nustatytas citarabino teratogeninis poveikis kai kurioms gyvūnų rūšims. Nėščioms ar galinčioms pastoti moterims citarabino skiriama tik atidžiai įvertinus laukiamo gydomojo poveikio ir galimo pavojaus santykį.</w:t>
      </w:r>
    </w:p>
    <w:p w14:paraId="7A28A50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Moterys gydymo metu ir 6 mėnesius po jo turi naudoti veiksmingą kontracepcijos metodą.</w:t>
      </w:r>
    </w:p>
    <w:p w14:paraId="044F590F" w14:textId="77777777" w:rsidR="008A7165" w:rsidRPr="00E14DCC" w:rsidRDefault="008A7165" w:rsidP="008A7165">
      <w:pPr>
        <w:spacing w:after="0" w:line="240" w:lineRule="auto"/>
        <w:jc w:val="both"/>
        <w:rPr>
          <w:rFonts w:ascii="Times New Roman" w:eastAsia="Times New Roman" w:hAnsi="Times New Roman" w:cs="Times New Roman"/>
        </w:rPr>
      </w:pPr>
    </w:p>
    <w:p w14:paraId="73183664"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Žindymo laikotarpis</w:t>
      </w:r>
    </w:p>
    <w:p w14:paraId="02EB7F0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Įprastai nėščioms arba žindančioms moterims šio preparato skirti negalima. </w:t>
      </w:r>
    </w:p>
    <w:p w14:paraId="1F75348B" w14:textId="77777777" w:rsidR="008A7165" w:rsidRPr="00E14DCC" w:rsidRDefault="008A7165" w:rsidP="008A7165">
      <w:pPr>
        <w:spacing w:after="0" w:line="240" w:lineRule="auto"/>
        <w:rPr>
          <w:rFonts w:ascii="Times New Roman" w:eastAsia="Times New Roman" w:hAnsi="Times New Roman" w:cs="Times New Roman"/>
        </w:rPr>
      </w:pPr>
    </w:p>
    <w:p w14:paraId="6E6D7BC8"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Vaisingumas</w:t>
      </w:r>
    </w:p>
    <w:p w14:paraId="79329CD7"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 xml:space="preserve">Vaisingumo tyrimai, įvertinantys citarabino toksiškumą reprodukcijai, nebuvo atlikti. Pacientams, gydomiems citarabinu, o ypač jo deriniu su alkilinančiais preparatais, gali pasireikšti lytinių liaukų supresija, sukelianti amenorėją ir (arba) azoospermiją. Bendrai, šie poveikiai atrodo yra susiję su doze ir gydymo trukme, ir gali būti negrįžtami (žr. </w:t>
      </w:r>
      <w:r w:rsidRPr="00E14DCC">
        <w:rPr>
          <w:rFonts w:ascii="Times New Roman" w:eastAsia="Times New Roman" w:hAnsi="Times New Roman" w:cs="Times New Roman"/>
          <w:bCs/>
          <w:color w:val="000000"/>
        </w:rPr>
        <w:t xml:space="preserve">4.8 skyrių). Dėl galimo citarabino mutageninio poveikio, kuris gali sukelti chromosomų pažeidimus žmogaus spermatozoiduose, vyrams, gydomiems citarabinu, ir jų partnerėms turi būti rekomenduojama vartoti patikimas kontraceptines priemones. </w:t>
      </w:r>
    </w:p>
    <w:p w14:paraId="25B7E79B" w14:textId="77777777" w:rsidR="008A7165" w:rsidRPr="00E14DCC" w:rsidRDefault="008A7165" w:rsidP="008A7165">
      <w:pPr>
        <w:spacing w:after="0" w:line="240" w:lineRule="auto"/>
        <w:rPr>
          <w:rFonts w:ascii="Times New Roman" w:eastAsia="Times New Roman" w:hAnsi="Times New Roman" w:cs="Times New Roman"/>
        </w:rPr>
      </w:pPr>
    </w:p>
    <w:p w14:paraId="1B3CF6C2" w14:textId="77777777" w:rsidR="008A7165" w:rsidRPr="00E14DCC" w:rsidRDefault="008A7165" w:rsidP="008A7165">
      <w:pPr>
        <w:spacing w:after="0" w:line="240" w:lineRule="auto"/>
        <w:rPr>
          <w:rFonts w:ascii="Times New Roman" w:eastAsia="Times New Roman" w:hAnsi="Times New Roman" w:cs="Times New Roman"/>
        </w:rPr>
      </w:pPr>
    </w:p>
    <w:p w14:paraId="0CD334F7"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b/>
        </w:rPr>
        <w:t>4.7</w:t>
      </w:r>
      <w:r w:rsidRPr="00E14DCC">
        <w:rPr>
          <w:rFonts w:ascii="Times New Roman" w:eastAsia="Times New Roman" w:hAnsi="Times New Roman" w:cs="Times New Roman"/>
          <w:b/>
        </w:rPr>
        <w:tab/>
        <w:t>Poveikis gebėjimui vairuoti ir valdyti mechanizmus</w:t>
      </w:r>
    </w:p>
    <w:p w14:paraId="1DA39BF5" w14:textId="77777777" w:rsidR="008A7165" w:rsidRPr="00E14DCC" w:rsidRDefault="008A7165" w:rsidP="008A7165">
      <w:pPr>
        <w:tabs>
          <w:tab w:val="num" w:pos="702"/>
        </w:tabs>
        <w:spacing w:after="0" w:line="240" w:lineRule="auto"/>
        <w:jc w:val="both"/>
        <w:rPr>
          <w:rFonts w:ascii="Times New Roman" w:eastAsia="Times New Roman" w:hAnsi="Times New Roman" w:cs="Times New Roman"/>
        </w:rPr>
      </w:pPr>
    </w:p>
    <w:p w14:paraId="28A2D0A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Citarabinas gebėjimo vairuoti ir valdyti mechanizmus neveikia.</w:t>
      </w:r>
    </w:p>
    <w:p w14:paraId="092AAD66" w14:textId="77777777" w:rsidR="008A7165" w:rsidRPr="00E14DCC" w:rsidRDefault="008A7165" w:rsidP="008A7165">
      <w:pPr>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rPr>
        <w:t>Tačiau pacientams, kuriems paskirta chemoterapija, gali sutrikti gebėjimas vairuoti arba valdyti mechanizmus. Pacientus reikia įspėti apie tokį poveikį , o jam pasireiškus, patarti tokių darbų vengti.</w:t>
      </w:r>
    </w:p>
    <w:p w14:paraId="454ACDAA" w14:textId="77777777" w:rsidR="008A7165" w:rsidRPr="00E14DCC" w:rsidRDefault="008A7165" w:rsidP="008A7165">
      <w:pPr>
        <w:tabs>
          <w:tab w:val="num" w:pos="312"/>
          <w:tab w:val="num" w:pos="702"/>
        </w:tabs>
        <w:spacing w:after="0" w:line="240" w:lineRule="auto"/>
        <w:jc w:val="both"/>
        <w:rPr>
          <w:rFonts w:ascii="Times New Roman" w:eastAsia="Times New Roman" w:hAnsi="Times New Roman" w:cs="Times New Roman"/>
          <w:b/>
          <w:bCs/>
        </w:rPr>
      </w:pPr>
    </w:p>
    <w:p w14:paraId="61C0C1A8" w14:textId="77777777" w:rsidR="008A7165" w:rsidRPr="00E14DCC" w:rsidRDefault="008A7165" w:rsidP="008A7165">
      <w:pPr>
        <w:tabs>
          <w:tab w:val="num" w:pos="567"/>
          <w:tab w:val="left" w:pos="720"/>
          <w:tab w:val="num" w:pos="1950"/>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4.8</w:t>
      </w:r>
      <w:r w:rsidRPr="00E14DCC">
        <w:rPr>
          <w:rFonts w:ascii="Times New Roman" w:eastAsia="Times New Roman" w:hAnsi="Times New Roman" w:cs="Times New Roman"/>
          <w:b/>
          <w:bCs/>
          <w:color w:val="000000"/>
        </w:rPr>
        <w:tab/>
        <w:t>Nepageidaujamas poveikis</w:t>
      </w:r>
    </w:p>
    <w:p w14:paraId="3AD22E23" w14:textId="77777777" w:rsidR="008A7165" w:rsidRPr="00E14DCC" w:rsidRDefault="008A7165" w:rsidP="008A7165">
      <w:pPr>
        <w:tabs>
          <w:tab w:val="num" w:pos="312"/>
          <w:tab w:val="left" w:pos="720"/>
          <w:tab w:val="num" w:pos="1950"/>
        </w:tabs>
        <w:spacing w:after="0" w:line="240" w:lineRule="auto"/>
        <w:jc w:val="both"/>
        <w:rPr>
          <w:rFonts w:ascii="Times New Roman" w:eastAsia="Times New Roman" w:hAnsi="Times New Roman" w:cs="Times New Roman"/>
          <w:bCs/>
          <w:color w:val="000000"/>
        </w:rPr>
      </w:pPr>
    </w:p>
    <w:p w14:paraId="2C40C1F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Gauta pranešimų apie pasireiškusį toliau išvardytą nepageidaujamą poveikį, vartojant citarabiną:</w:t>
      </w:r>
    </w:p>
    <w:p w14:paraId="4B5E04FC" w14:textId="77777777" w:rsidR="008A7165" w:rsidRPr="00E14DCC" w:rsidRDefault="008A7165" w:rsidP="008A7165">
      <w:pPr>
        <w:spacing w:after="0" w:line="240" w:lineRule="auto"/>
        <w:rPr>
          <w:rFonts w:ascii="Times New Roman" w:eastAsia="Times New Roman" w:hAnsi="Times New Roman" w:cs="Times New Roman"/>
        </w:rPr>
      </w:pPr>
    </w:p>
    <w:p w14:paraId="70F212B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Dažnis pateikiamas naudojant šiuos apibūdinimus: </w:t>
      </w:r>
    </w:p>
    <w:p w14:paraId="11C5925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Labai dažnas (</w:t>
      </w:r>
      <w:r w:rsidRPr="00E14DCC">
        <w:rPr>
          <w:rFonts w:ascii="Times New Roman" w:eastAsia="Times New Roman" w:hAnsi="Times New Roman" w:cs="Times New Roman"/>
        </w:rPr>
        <w:sym w:font="Symbol" w:char="F0B3"/>
      </w:r>
      <w:r w:rsidRPr="00E14DCC">
        <w:rPr>
          <w:rFonts w:ascii="Times New Roman" w:eastAsia="Times New Roman" w:hAnsi="Times New Roman" w:cs="Times New Roman"/>
        </w:rPr>
        <w:t>1/10)</w:t>
      </w:r>
    </w:p>
    <w:p w14:paraId="638ABCA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Dažnas (nuo </w:t>
      </w:r>
      <w:r w:rsidRPr="00E14DCC">
        <w:rPr>
          <w:rFonts w:ascii="Times New Roman" w:eastAsia="Times New Roman" w:hAnsi="Times New Roman" w:cs="Times New Roman"/>
        </w:rPr>
        <w:sym w:font="Symbol" w:char="F0B3"/>
      </w:r>
      <w:r w:rsidRPr="00E14DCC">
        <w:rPr>
          <w:rFonts w:ascii="Times New Roman" w:eastAsia="Times New Roman" w:hAnsi="Times New Roman" w:cs="Times New Roman"/>
        </w:rPr>
        <w:t>1/100 iki &lt;1/10)</w:t>
      </w:r>
    </w:p>
    <w:p w14:paraId="5C738E2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Nedažnas (nuo </w:t>
      </w:r>
      <w:r w:rsidRPr="00E14DCC">
        <w:rPr>
          <w:rFonts w:ascii="Times New Roman" w:eastAsia="Times New Roman" w:hAnsi="Times New Roman" w:cs="Times New Roman"/>
        </w:rPr>
        <w:sym w:font="Symbol" w:char="F0B3"/>
      </w:r>
      <w:r w:rsidRPr="00E14DCC">
        <w:rPr>
          <w:rFonts w:ascii="Times New Roman" w:eastAsia="Times New Roman" w:hAnsi="Times New Roman" w:cs="Times New Roman"/>
        </w:rPr>
        <w:t>1/1 000 iki &lt;1/100)</w:t>
      </w:r>
    </w:p>
    <w:p w14:paraId="58227A2A"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Retas (nuo ≥</w:t>
      </w:r>
      <w:r w:rsidRPr="00E14DCC">
        <w:rPr>
          <w:rFonts w:ascii="Times New Roman" w:eastAsia="Times New Roman" w:hAnsi="Times New Roman" w:cs="Times New Roman"/>
        </w:rPr>
        <w:sym w:font="Symbol" w:char="F0B3"/>
      </w:r>
      <w:r w:rsidRPr="00E14DCC">
        <w:rPr>
          <w:rFonts w:ascii="Times New Roman" w:eastAsia="Times New Roman" w:hAnsi="Times New Roman" w:cs="Times New Roman"/>
        </w:rPr>
        <w:t>1/10 000 iki &lt;1/1 000)</w:t>
      </w:r>
    </w:p>
    <w:p w14:paraId="3DB575F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Labai retas (&lt;1/10 000), dažnis nežinomas (negali būti įvertintas pagal turimus duomenis)</w:t>
      </w:r>
    </w:p>
    <w:p w14:paraId="757BADB1" w14:textId="77777777" w:rsidR="008A7165" w:rsidRPr="00E14DCC" w:rsidRDefault="008A7165" w:rsidP="008A7165">
      <w:pPr>
        <w:spacing w:after="0" w:line="240" w:lineRule="auto"/>
        <w:rPr>
          <w:rFonts w:ascii="Times New Roman" w:eastAsia="Times New Roman" w:hAnsi="Times New Roman" w:cs="Times New Roman"/>
        </w:rPr>
      </w:pPr>
    </w:p>
    <w:p w14:paraId="24C35025" w14:textId="77777777" w:rsidR="008A7165" w:rsidRPr="00E14DCC" w:rsidRDefault="008A7165" w:rsidP="008A7165">
      <w:pPr>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Cs/>
        </w:rPr>
        <w:t>Citarabino nepageidaujamas poveikis priklauso nuo dozės. Dažniausiai pasireiškia nepageidaujamas poveikis virškinimo traktui. Citarabinas toksiškai veikia kaulų čiulpus ir sukelia kraujodaros nepageidaujamus poveikius.</w:t>
      </w:r>
    </w:p>
    <w:p w14:paraId="73E66432" w14:textId="77777777" w:rsidR="008A7165" w:rsidRPr="00E14DCC" w:rsidRDefault="008A7165" w:rsidP="008A7165">
      <w:pPr>
        <w:spacing w:after="0" w:line="240" w:lineRule="auto"/>
        <w:rPr>
          <w:rFonts w:ascii="Times New Roman" w:eastAsia="Times New Roman" w:hAnsi="Times New Roman" w:cs="Times New Roman"/>
        </w:rPr>
      </w:pPr>
    </w:p>
    <w:p w14:paraId="689EBA50" w14:textId="77777777" w:rsidR="008A7165" w:rsidRPr="00E14DCC" w:rsidRDefault="008A7165" w:rsidP="008A7165">
      <w:pPr>
        <w:spacing w:after="0" w:line="240" w:lineRule="auto"/>
        <w:rPr>
          <w:rFonts w:ascii="Times New Roman" w:eastAsia="Times New Roman" w:hAnsi="Times New Roman" w:cs="Times New Roman"/>
          <w:bCs/>
          <w:i/>
          <w:color w:val="000000"/>
        </w:rPr>
      </w:pPr>
      <w:r w:rsidRPr="00E14DCC">
        <w:rPr>
          <w:rFonts w:ascii="Times New Roman" w:eastAsia="Times New Roman" w:hAnsi="Times New Roman" w:cs="Times New Roman"/>
          <w:bCs/>
          <w:i/>
          <w:color w:val="000000"/>
        </w:rPr>
        <w:t xml:space="preserve">Infekcijos ir infestacijos </w:t>
      </w:r>
    </w:p>
    <w:p w14:paraId="2C5E7B7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color w:val="000000"/>
        </w:rPr>
        <w:t>Nedažni: sepsis (imuniteto slopinimas), celiulitas injekcijos vietoje.</w:t>
      </w:r>
    </w:p>
    <w:p w14:paraId="3FB41784" w14:textId="77777777" w:rsidR="008A7165" w:rsidRPr="00E14DCC" w:rsidRDefault="008A7165" w:rsidP="008A7165">
      <w:pPr>
        <w:spacing w:after="0" w:line="240" w:lineRule="auto"/>
        <w:rPr>
          <w:rFonts w:ascii="Times New Roman" w:eastAsia="Times New Roman" w:hAnsi="Times New Roman" w:cs="Times New Roman"/>
          <w:b/>
          <w:i/>
        </w:rPr>
      </w:pPr>
      <w:r w:rsidRPr="00E14DCC">
        <w:rPr>
          <w:rFonts w:ascii="Times New Roman" w:eastAsia="Times New Roman" w:hAnsi="Times New Roman" w:cs="Times New Roman"/>
        </w:rPr>
        <w:t>Dažnis nežinomas: pneumonija, kepenų abscesas</w:t>
      </w:r>
      <w:r w:rsidRPr="003077C6">
        <w:rPr>
          <w:rFonts w:ascii="Times New Roman" w:eastAsia="Times New Roman" w:hAnsi="Times New Roman" w:cs="Times New Roman"/>
          <w:bCs/>
          <w:iCs/>
        </w:rPr>
        <w:t>.</w:t>
      </w:r>
      <w:r w:rsidRPr="00E14DCC">
        <w:rPr>
          <w:rFonts w:ascii="Times New Roman" w:eastAsia="Times New Roman" w:hAnsi="Times New Roman" w:cs="Times New Roman"/>
          <w:b/>
          <w:i/>
        </w:rPr>
        <w:t xml:space="preserve"> </w:t>
      </w:r>
    </w:p>
    <w:p w14:paraId="7AF70A20" w14:textId="77777777" w:rsidR="008A7165" w:rsidRPr="00E14DCC" w:rsidRDefault="008A7165" w:rsidP="008A7165">
      <w:pPr>
        <w:spacing w:after="0" w:line="240" w:lineRule="auto"/>
        <w:rPr>
          <w:rFonts w:ascii="Times New Roman" w:eastAsia="Times New Roman" w:hAnsi="Times New Roman" w:cs="Times New Roman"/>
        </w:rPr>
      </w:pPr>
    </w:p>
    <w:p w14:paraId="724C7265" w14:textId="77777777" w:rsidR="008A7165" w:rsidRPr="00E14DCC" w:rsidRDefault="008A7165" w:rsidP="008A7165">
      <w:pPr>
        <w:spacing w:after="0" w:line="240" w:lineRule="auto"/>
        <w:rPr>
          <w:rFonts w:ascii="Times New Roman" w:eastAsia="Times New Roman" w:hAnsi="Times New Roman" w:cs="Times New Roman"/>
          <w:b/>
          <w:i/>
        </w:rPr>
      </w:pPr>
      <w:r w:rsidRPr="00E14DCC">
        <w:rPr>
          <w:rFonts w:ascii="Times New Roman" w:eastAsia="Times New Roman" w:hAnsi="Times New Roman" w:cs="Times New Roman"/>
          <w:i/>
        </w:rPr>
        <w:t>Gerybiniai, piktybiniai ir nepatikslinti navikai (įskaitant cistas ir polipus</w:t>
      </w:r>
      <w:r w:rsidRPr="00E14DCC">
        <w:rPr>
          <w:rFonts w:ascii="Times New Roman" w:eastAsia="Times New Roman" w:hAnsi="Times New Roman" w:cs="Times New Roman"/>
          <w:b/>
          <w:i/>
        </w:rPr>
        <w:t>)</w:t>
      </w:r>
    </w:p>
    <w:p w14:paraId="79CD87C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Nedažni: </w:t>
      </w:r>
      <w:r w:rsidRPr="00E14DCC">
        <w:rPr>
          <w:rFonts w:ascii="Times New Roman" w:eastAsia="Times New Roman" w:hAnsi="Times New Roman" w:cs="Times New Roman"/>
          <w:i/>
        </w:rPr>
        <w:t>Lentigo</w:t>
      </w:r>
      <w:r w:rsidRPr="00E14DCC">
        <w:rPr>
          <w:rFonts w:ascii="Times New Roman" w:eastAsia="Times New Roman" w:hAnsi="Times New Roman" w:cs="Times New Roman"/>
        </w:rPr>
        <w:t xml:space="preserve">. </w:t>
      </w:r>
    </w:p>
    <w:p w14:paraId="5CDF87BB"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0666FD0F"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Kraujo ir limfinės sistemos sutrikimai</w:t>
      </w:r>
    </w:p>
    <w:p w14:paraId="3806E00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anemija, megaloblastozė, leukopenija, trombocitopenija.</w:t>
      </w:r>
    </w:p>
    <w:p w14:paraId="7ACDFDA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retikulocitų kiekio sumažėjimas.</w:t>
      </w:r>
    </w:p>
    <w:p w14:paraId="4B88F2F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Šių reakcijų sunkumas priklauso nuo dozės ir dozavimo grafiko. Gali atsirasti morfologinių kaulų čiulpų ir periferinio kraujo tepinėlio ląstelių pokyčių.</w:t>
      </w:r>
    </w:p>
    <w:p w14:paraId="5FDCEA61" w14:textId="77777777" w:rsidR="008A7165" w:rsidRPr="00E14DCC" w:rsidRDefault="008A7165" w:rsidP="008A7165">
      <w:pPr>
        <w:spacing w:after="0" w:line="240" w:lineRule="auto"/>
        <w:rPr>
          <w:rFonts w:ascii="Times New Roman" w:eastAsia="Times New Roman" w:hAnsi="Times New Roman" w:cs="Times New Roman"/>
        </w:rPr>
      </w:pPr>
    </w:p>
    <w:p w14:paraId="39187B7B"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Imuninės sistemos sutrikimai</w:t>
      </w:r>
    </w:p>
    <w:p w14:paraId="7B45FB4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Nedažni: anafilaksija. </w:t>
      </w:r>
    </w:p>
    <w:p w14:paraId="46C55AE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alerginė edema.</w:t>
      </w:r>
    </w:p>
    <w:p w14:paraId="1C3C819F" w14:textId="77777777" w:rsidR="008A7165" w:rsidRPr="00E14DCC" w:rsidRDefault="008A7165" w:rsidP="008A7165">
      <w:pPr>
        <w:spacing w:after="0" w:line="240" w:lineRule="auto"/>
        <w:rPr>
          <w:rFonts w:ascii="Times New Roman" w:eastAsia="Times New Roman" w:hAnsi="Times New Roman" w:cs="Times New Roman"/>
        </w:rPr>
      </w:pPr>
    </w:p>
    <w:p w14:paraId="58456B5B"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Metabolizmo ir mitybos sutrikimai</w:t>
      </w:r>
    </w:p>
    <w:p w14:paraId="7A345D8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Dažni: anoreksija, hiperurikemija. </w:t>
      </w:r>
    </w:p>
    <w:p w14:paraId="45F59562" w14:textId="77777777" w:rsidR="008A7165" w:rsidRPr="00E14DCC" w:rsidRDefault="008A7165" w:rsidP="008A7165">
      <w:pPr>
        <w:spacing w:after="0" w:line="240" w:lineRule="auto"/>
        <w:rPr>
          <w:rFonts w:ascii="Times New Roman" w:eastAsia="Times New Roman" w:hAnsi="Times New Roman" w:cs="Times New Roman"/>
        </w:rPr>
      </w:pPr>
    </w:p>
    <w:p w14:paraId="79709C0D"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Nervų sistemos sutrikimai</w:t>
      </w:r>
    </w:p>
    <w:p w14:paraId="701F9B8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vartojant dideles dozes pasireiškia poveikis smegenėlių arba smegenų funkcijai kartu su susilpnėjusiu sąmonės lygiu, dizartrija, nistagmas.</w:t>
      </w:r>
    </w:p>
    <w:p w14:paraId="079F61BE" w14:textId="77777777" w:rsidR="008A7165" w:rsidRPr="00E14DCC" w:rsidRDefault="008A7165" w:rsidP="008A7165">
      <w:pPr>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 xml:space="preserve">Nedažni: galvos skausmas, periferinė neuropatija. </w:t>
      </w:r>
    </w:p>
    <w:p w14:paraId="087570B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toksinis poveikis nervų sistemai, neuritas, svaigulys.</w:t>
      </w:r>
    </w:p>
    <w:p w14:paraId="1C7118C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39CF97E1"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Akių sutrikimai</w:t>
      </w:r>
    </w:p>
    <w:p w14:paraId="6C025E9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grįžtamo pobūdžio hemoraginis konjunktyvitas (fotofobija, deginimo pojūtis, regėjimo sutrikimas, padidėjęs ašarojimas), keratitas.</w:t>
      </w:r>
    </w:p>
    <w:p w14:paraId="31F2B39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konjunktyvitas (gali pasireikšti kartu su išbėrimu).</w:t>
      </w:r>
    </w:p>
    <w:p w14:paraId="46E1B799"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
          <w:bCs/>
          <w:i/>
          <w:iCs/>
        </w:rPr>
      </w:pPr>
    </w:p>
    <w:p w14:paraId="5C4D4471"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i/>
        </w:rPr>
      </w:pPr>
      <w:r w:rsidRPr="00E14DCC">
        <w:rPr>
          <w:rFonts w:ascii="Times New Roman" w:eastAsia="Times New Roman" w:hAnsi="Times New Roman" w:cs="Times New Roman"/>
          <w:i/>
        </w:rPr>
        <w:t>Širdies sutrikimai</w:t>
      </w:r>
    </w:p>
    <w:p w14:paraId="1B47976B"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Nedažni: perikarditas.</w:t>
      </w:r>
    </w:p>
    <w:p w14:paraId="24889AB8" w14:textId="60166F22"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 xml:space="preserve">Labai reti: aritmija. </w:t>
      </w:r>
    </w:p>
    <w:p w14:paraId="57B243B1" w14:textId="3F7A4217" w:rsidR="00214340" w:rsidRPr="00E14DCC" w:rsidRDefault="00214340" w:rsidP="003077C6">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sinusinė bradikardija.</w:t>
      </w:r>
    </w:p>
    <w:p w14:paraId="27A45D30"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
          <w:bCs/>
          <w:i/>
          <w:iCs/>
        </w:rPr>
      </w:pPr>
    </w:p>
    <w:p w14:paraId="6797B3D5"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 xml:space="preserve">Kvėpavimo sistemos, krūtinės ląstos ir tarpuplaučio sutrikimai </w:t>
      </w:r>
    </w:p>
    <w:p w14:paraId="41DAD17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Nedažni: pneumonija, dispnėja, gerklės skausmas.</w:t>
      </w:r>
    </w:p>
    <w:p w14:paraId="02A288F8" w14:textId="77777777" w:rsidR="008A7165" w:rsidRPr="00E14DCC" w:rsidRDefault="008A7165" w:rsidP="008A7165">
      <w:pPr>
        <w:spacing w:after="0" w:line="240" w:lineRule="auto"/>
        <w:rPr>
          <w:rFonts w:ascii="Times New Roman" w:eastAsia="Times New Roman" w:hAnsi="Times New Roman" w:cs="Times New Roman"/>
          <w:bCs/>
        </w:rPr>
      </w:pPr>
    </w:p>
    <w:p w14:paraId="306D3131"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Virškinimo trakto sutrikimai</w:t>
      </w:r>
    </w:p>
    <w:p w14:paraId="6804E6E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Dažni: disfagija, pilvo skausmas, pykinimas, vėmimas, viduriavimas, burnos ir (arba) išangės uždegimas arba išopėjimas.</w:t>
      </w:r>
    </w:p>
    <w:p w14:paraId="1F1A8B4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Nedažni: ezofagitas, stemplės išopėjimas, cistoidinė žarnų pneumatozė, nekrozinis kolitas, peritonitas. </w:t>
      </w:r>
    </w:p>
    <w:p w14:paraId="585CE89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pankreatitas.</w:t>
      </w:r>
    </w:p>
    <w:p w14:paraId="7F5400F5" w14:textId="77777777" w:rsidR="008A7165" w:rsidRPr="00E14DCC" w:rsidRDefault="008A7165" w:rsidP="008A7165">
      <w:pPr>
        <w:spacing w:after="0" w:line="240" w:lineRule="auto"/>
        <w:rPr>
          <w:rFonts w:ascii="Times New Roman" w:eastAsia="Times New Roman" w:hAnsi="Times New Roman" w:cs="Times New Roman"/>
        </w:rPr>
      </w:pPr>
    </w:p>
    <w:p w14:paraId="54B5ACDD" w14:textId="77777777" w:rsidR="008A7165" w:rsidRPr="00E14DCC" w:rsidRDefault="008A7165" w:rsidP="008A7165">
      <w:pPr>
        <w:spacing w:after="0" w:line="240" w:lineRule="auto"/>
        <w:rPr>
          <w:rFonts w:ascii="Times New Roman" w:eastAsia="Times New Roman" w:hAnsi="Times New Roman" w:cs="Times New Roman"/>
          <w:bCs/>
          <w:i/>
        </w:rPr>
      </w:pPr>
      <w:r w:rsidRPr="00E14DCC">
        <w:rPr>
          <w:rFonts w:ascii="Times New Roman" w:eastAsia="Times New Roman" w:hAnsi="Times New Roman" w:cs="Times New Roman"/>
          <w:bCs/>
          <w:i/>
        </w:rPr>
        <w:t>Kepenų, tulžies pūslės ir latakų sutrikimai</w:t>
      </w:r>
    </w:p>
    <w:p w14:paraId="58B58FD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grįžtamo pobūdžio poveikis kepenims, pasireiškiantis kepenų fermentų aktyvumo padidėjimu.</w:t>
      </w:r>
    </w:p>
    <w:p w14:paraId="485C517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Nedažni: gelta.</w:t>
      </w:r>
    </w:p>
    <w:p w14:paraId="18AD658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Dažnis nežinomas: kepenų funkcijos sutrikimas.</w:t>
      </w:r>
    </w:p>
    <w:p w14:paraId="4F1D6B40" w14:textId="77777777" w:rsidR="008A7165" w:rsidRPr="00E14DCC" w:rsidRDefault="008A7165" w:rsidP="008A7165">
      <w:pPr>
        <w:spacing w:after="0" w:line="240" w:lineRule="auto"/>
        <w:rPr>
          <w:rFonts w:ascii="Times New Roman" w:eastAsia="Times New Roman" w:hAnsi="Times New Roman" w:cs="Times New Roman"/>
          <w:color w:val="000000"/>
        </w:rPr>
      </w:pPr>
    </w:p>
    <w:p w14:paraId="36A8435A"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Odos ir poodinio audinio sutrikimai</w:t>
      </w:r>
    </w:p>
    <w:p w14:paraId="702CAA0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grįžtamo pobūdžio nepageidaujamas poveikis odai, pavyzdžiui, eritema, pūslinis dermatitas, dilgėlinė, vaskulitas, alopecija.</w:t>
      </w:r>
    </w:p>
    <w:p w14:paraId="7C831884" w14:textId="16A930B9"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Nedažni: odos išopėjimas, niežėjimas.</w:t>
      </w:r>
    </w:p>
    <w:p w14:paraId="4C5081A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Labai reti: neutrofilinis ekrininių prakaito liaukų uždegimas (hidradenitas).</w:t>
      </w:r>
    </w:p>
    <w:p w14:paraId="3301D9F7" w14:textId="73BEE9DE" w:rsidR="008A7165" w:rsidRPr="00E14DCC" w:rsidRDefault="008A7165" w:rsidP="008A7165">
      <w:pPr>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Dažnis nežinomas: strazdanų atsiradimas, išbėrimas</w:t>
      </w:r>
      <w:r w:rsidR="00214340" w:rsidRPr="00E14DCC">
        <w:rPr>
          <w:rFonts w:ascii="Times New Roman" w:eastAsia="Times New Roman" w:hAnsi="Times New Roman" w:cs="Times New Roman"/>
        </w:rPr>
        <w:t>, delnų ir padų eritrodizestezijos sindromas</w:t>
      </w:r>
      <w:r w:rsidRPr="00E14DCC">
        <w:rPr>
          <w:rFonts w:ascii="Times New Roman" w:eastAsia="Times New Roman" w:hAnsi="Times New Roman" w:cs="Times New Roman"/>
        </w:rPr>
        <w:t>.</w:t>
      </w:r>
    </w:p>
    <w:p w14:paraId="6913AA5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327A2AF0"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Skeleto, raumenų ir jungiamojo audinio sutrikimai</w:t>
      </w:r>
    </w:p>
    <w:p w14:paraId="13CE0B8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Nedažni: mialgija ir artralgija.</w:t>
      </w:r>
    </w:p>
    <w:p w14:paraId="629D5225" w14:textId="77777777" w:rsidR="008A7165" w:rsidRPr="00E14DCC" w:rsidRDefault="008A7165" w:rsidP="008A7165">
      <w:pPr>
        <w:spacing w:after="0" w:line="240" w:lineRule="auto"/>
        <w:rPr>
          <w:rFonts w:ascii="Times New Roman" w:eastAsia="Times New Roman" w:hAnsi="Times New Roman" w:cs="Times New Roman"/>
        </w:rPr>
      </w:pPr>
    </w:p>
    <w:p w14:paraId="48654B4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i/>
        </w:rPr>
        <w:t>Inkstų ir šlapimo takų sutrikimai</w:t>
      </w:r>
    </w:p>
    <w:p w14:paraId="7106BE7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Dažni: inkstų veiklos sutrikimas, šlapimo susilaikymas.</w:t>
      </w:r>
    </w:p>
    <w:p w14:paraId="2AC58784" w14:textId="77777777" w:rsidR="008A7165" w:rsidRPr="00E14DCC" w:rsidRDefault="008A7165" w:rsidP="008A7165">
      <w:pPr>
        <w:spacing w:after="0" w:line="240" w:lineRule="auto"/>
        <w:rPr>
          <w:rFonts w:ascii="Times New Roman" w:eastAsia="Times New Roman" w:hAnsi="Times New Roman" w:cs="Times New Roman"/>
        </w:rPr>
      </w:pPr>
    </w:p>
    <w:p w14:paraId="76EC93EA" w14:textId="77777777" w:rsidR="008A7165" w:rsidRPr="00E14DCC" w:rsidRDefault="008A7165" w:rsidP="008A7165">
      <w:pPr>
        <w:spacing w:after="0" w:line="240" w:lineRule="auto"/>
        <w:rPr>
          <w:rFonts w:ascii="Times New Roman" w:eastAsia="Times New Roman" w:hAnsi="Times New Roman" w:cs="Times New Roman"/>
        </w:rPr>
      </w:pPr>
    </w:p>
    <w:p w14:paraId="6CF3645A" w14:textId="77777777" w:rsidR="008A7165" w:rsidRPr="00E14DCC" w:rsidRDefault="008A7165" w:rsidP="008A7165">
      <w:pPr>
        <w:spacing w:after="0" w:line="240" w:lineRule="auto"/>
        <w:rPr>
          <w:rFonts w:ascii="Times New Roman" w:eastAsia="Times New Roman" w:hAnsi="Times New Roman" w:cs="Times New Roman"/>
          <w:bCs/>
          <w:i/>
        </w:rPr>
      </w:pPr>
      <w:r w:rsidRPr="00E14DCC">
        <w:rPr>
          <w:rFonts w:ascii="Times New Roman" w:eastAsia="Times New Roman" w:hAnsi="Times New Roman" w:cs="Times New Roman"/>
          <w:bCs/>
          <w:i/>
        </w:rPr>
        <w:t>Bendrieji sutrikimai ir vartojimo vietos pažeidimai</w:t>
      </w:r>
    </w:p>
    <w:p w14:paraId="505DC3B6"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Dažni: karščiavimas, tromboflebitas injekcijos vietoje.</w:t>
      </w:r>
    </w:p>
    <w:p w14:paraId="3829F01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color w:val="000000"/>
        </w:rPr>
        <w:t>Nedažni: krūtinės skausmas.</w:t>
      </w:r>
    </w:p>
    <w:p w14:paraId="3BEB7293" w14:textId="77777777" w:rsidR="008A7165" w:rsidRPr="00E14DCC" w:rsidRDefault="008A7165" w:rsidP="008A7165">
      <w:pPr>
        <w:spacing w:after="0" w:line="240" w:lineRule="auto"/>
        <w:rPr>
          <w:rFonts w:ascii="Times New Roman" w:eastAsia="Times New Roman" w:hAnsi="Times New Roman" w:cs="Times New Roman"/>
        </w:rPr>
      </w:pPr>
    </w:p>
    <w:p w14:paraId="5297464C" w14:textId="77777777" w:rsidR="008A7165" w:rsidRPr="00E14DCC" w:rsidRDefault="008A7165" w:rsidP="008A7165">
      <w:pPr>
        <w:spacing w:after="0" w:line="240" w:lineRule="auto"/>
        <w:jc w:val="both"/>
        <w:rPr>
          <w:rFonts w:ascii="Times New Roman" w:eastAsia="Times New Roman" w:hAnsi="Times New Roman" w:cs="Times New Roman"/>
          <w:b/>
          <w:bCs/>
          <w:i/>
          <w:iCs/>
        </w:rPr>
      </w:pPr>
    </w:p>
    <w:p w14:paraId="1070A3BC"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Citarabino (Ara-C) sindromas (imunoalerginis poveikis)</w:t>
      </w:r>
    </w:p>
    <w:p w14:paraId="4C4619C5"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Praėjus 6</w:t>
      </w:r>
      <w:r w:rsidRPr="00E14DCC">
        <w:rPr>
          <w:rFonts w:ascii="Times New Roman" w:eastAsia="Times New Roman" w:hAnsi="Times New Roman" w:cs="Times New Roman"/>
        </w:rPr>
        <w:noBreakHyphen/>
        <w:t>12 val. nuo vaisto vartojimo pasireiškia karščiavimas, raumenų skausmas, kaulų skausmas, reti krūtinės skausmai, bėrimas dėmelėmis ir mazgeliais, konjunktyvitas ir pykinimas. Nustatyta, kad kortikosteroidai tinka šio sindromo gydymui ir jo profilaktikai. Jeigu jie veiksmingi, gydymą citarabinu galima tęsti.</w:t>
      </w:r>
    </w:p>
    <w:p w14:paraId="3857766E"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Cs/>
          <w:iCs/>
        </w:rPr>
      </w:pPr>
    </w:p>
    <w:p w14:paraId="0E6727F7"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Cs/>
          <w:iCs/>
        </w:rPr>
      </w:pPr>
      <w:r w:rsidRPr="00E14DCC">
        <w:rPr>
          <w:rFonts w:ascii="Times New Roman" w:eastAsia="Times New Roman" w:hAnsi="Times New Roman" w:cs="Times New Roman"/>
          <w:bCs/>
          <w:iCs/>
        </w:rPr>
        <w:t>Gydant</w:t>
      </w:r>
      <w:r w:rsidRPr="00E14DCC">
        <w:rPr>
          <w:rFonts w:ascii="Times New Roman" w:eastAsia="Times New Roman" w:hAnsi="Times New Roman" w:cs="Times New Roman"/>
        </w:rPr>
        <w:t xml:space="preserve"> didelėmis</w:t>
      </w:r>
      <w:r w:rsidRPr="00E14DCC">
        <w:rPr>
          <w:rFonts w:ascii="Times New Roman" w:eastAsia="Times New Roman" w:hAnsi="Times New Roman" w:cs="Times New Roman"/>
          <w:bCs/>
          <w:iCs/>
        </w:rPr>
        <w:t>, o ne įprastinėmis citarabino</w:t>
      </w:r>
      <w:r w:rsidRPr="00E14DCC">
        <w:rPr>
          <w:rFonts w:ascii="Times New Roman" w:eastAsia="Times New Roman" w:hAnsi="Times New Roman" w:cs="Times New Roman"/>
        </w:rPr>
        <w:t xml:space="preserve"> dozėmis</w:t>
      </w:r>
      <w:r w:rsidRPr="00E14DCC">
        <w:rPr>
          <w:rFonts w:ascii="Times New Roman" w:eastAsia="Times New Roman" w:hAnsi="Times New Roman" w:cs="Times New Roman"/>
          <w:bCs/>
          <w:iCs/>
        </w:rPr>
        <w:t xml:space="preserve">, gali pasireikšti sekantis nepageidaujamas poveikis: </w:t>
      </w:r>
    </w:p>
    <w:p w14:paraId="2674E594"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Cs/>
          <w:iCs/>
        </w:rPr>
      </w:pPr>
    </w:p>
    <w:p w14:paraId="6D98371B"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Cs/>
          <w:i/>
          <w:iCs/>
        </w:rPr>
        <w:t>Hematologinis toksiškumas</w:t>
      </w:r>
      <w:r w:rsidRPr="00E14DCC">
        <w:rPr>
          <w:rFonts w:ascii="Times New Roman" w:eastAsia="Times New Roman" w:hAnsi="Times New Roman" w:cs="Times New Roman"/>
          <w:b/>
          <w:bCs/>
          <w:i/>
          <w:iCs/>
        </w:rPr>
        <w:t xml:space="preserve">: </w:t>
      </w:r>
      <w:r w:rsidRPr="00E14DCC">
        <w:rPr>
          <w:rFonts w:ascii="Times New Roman" w:eastAsia="Times New Roman" w:hAnsi="Times New Roman" w:cs="Times New Roman"/>
          <w:bCs/>
          <w:iCs/>
        </w:rPr>
        <w:t>pasireiškia sunkia pancitopenija, kuri gali tęstis 15-25 dienas, kartu su  sunkesne, negu naudojant įprastines dozes,  kaulų čiulpų aplazija.</w:t>
      </w:r>
    </w:p>
    <w:p w14:paraId="0386E692" w14:textId="77777777" w:rsidR="008A7165" w:rsidRPr="00E14DCC" w:rsidRDefault="008A7165" w:rsidP="008A7165">
      <w:pPr>
        <w:spacing w:after="0" w:line="240" w:lineRule="auto"/>
        <w:rPr>
          <w:rFonts w:ascii="Times New Roman" w:eastAsia="Times New Roman" w:hAnsi="Times New Roman" w:cs="Times New Roman"/>
          <w:b/>
          <w:bCs/>
          <w:i/>
          <w:iCs/>
        </w:rPr>
      </w:pPr>
    </w:p>
    <w:p w14:paraId="694827E8" w14:textId="77777777" w:rsidR="008A7165" w:rsidRPr="00E14DCC" w:rsidRDefault="008A7165" w:rsidP="008A7165">
      <w:pPr>
        <w:spacing w:after="0" w:line="240" w:lineRule="auto"/>
        <w:rPr>
          <w:rFonts w:ascii="Times New Roman" w:eastAsia="Times New Roman" w:hAnsi="Times New Roman" w:cs="Times New Roman"/>
          <w:b/>
          <w:bCs/>
          <w:i/>
          <w:iCs/>
        </w:rPr>
      </w:pPr>
      <w:r w:rsidRPr="00E14DCC">
        <w:rPr>
          <w:rFonts w:ascii="Times New Roman" w:eastAsia="Times New Roman" w:hAnsi="Times New Roman" w:cs="Times New Roman"/>
          <w:bCs/>
          <w:i/>
          <w:iCs/>
        </w:rPr>
        <w:t>Infekcijos ir infestacijos</w:t>
      </w:r>
      <w:r w:rsidRPr="00E14DCC">
        <w:rPr>
          <w:rFonts w:ascii="Times New Roman" w:eastAsia="Times New Roman" w:hAnsi="Times New Roman" w:cs="Times New Roman"/>
          <w:b/>
          <w:bCs/>
          <w:i/>
          <w:iCs/>
        </w:rPr>
        <w:t xml:space="preserve">: </w:t>
      </w:r>
      <w:r w:rsidRPr="00E14DCC">
        <w:rPr>
          <w:rFonts w:ascii="Times New Roman" w:eastAsia="Times New Roman" w:hAnsi="Times New Roman" w:cs="Times New Roman"/>
          <w:bCs/>
          <w:iCs/>
        </w:rPr>
        <w:t>sepsis, kepenų abscesas.</w:t>
      </w:r>
    </w:p>
    <w:p w14:paraId="102FEA51"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
          <w:bCs/>
          <w:i/>
          <w:iCs/>
        </w:rPr>
      </w:pPr>
    </w:p>
    <w:p w14:paraId="193CE2A5"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Cs/>
          <w:iCs/>
          <w:color w:val="000000"/>
        </w:rPr>
      </w:pPr>
      <w:r w:rsidRPr="00E14DCC">
        <w:rPr>
          <w:rFonts w:ascii="Times New Roman" w:eastAsia="Times New Roman" w:hAnsi="Times New Roman" w:cs="Times New Roman"/>
          <w:bCs/>
          <w:i/>
          <w:iCs/>
        </w:rPr>
        <w:t>Nervų sistemos sutrikimai</w:t>
      </w:r>
    </w:p>
    <w:p w14:paraId="4FCF96C7"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Cs/>
          <w:iCs/>
          <w:color w:val="000000"/>
        </w:rPr>
        <w:t>Nuo 8 iki 37% pacientų, vartojančių dideles citarabino dozes, gali atsirasti galvos smegenų ar smegenėlių funkcijos sutrikimo simptomų, įskaitant asmenybės pokyčius, budrumo sutrikimą, dizartriją, ataksiją, drebulį, nistagmą, galvos skausmą, minčių susipainiojimą, mieguistumą, galvos sukimąsi, komą, traukulius ir kt. Gauta pranešimų apie gydymo didelėmis dozėmis metu atsiradusią periferinę motorinę ir sensorinę neuropatiją. Senyviems, 55 metų ir vyresniems, pacientams šio nepageidaujamo poveikio dažnis gali būti net didesnis. Kiti rizikos veiksniai yra kepenų ir inkstų funkcijos sutrikimas, buvęs centrinės nervų sistemos gydymas (pvz., radioterapija) ir piktnaudžiavimas alkoholiu. Dažniausiai centrinės nervų sistemos sutrikimai yra grįžtami.</w:t>
      </w:r>
    </w:p>
    <w:p w14:paraId="69D82B07"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iCs/>
          <w:color w:val="000000"/>
        </w:rPr>
      </w:pPr>
    </w:p>
    <w:p w14:paraId="24F7AA7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Cs/>
          <w:iCs/>
          <w:color w:val="000000"/>
        </w:rPr>
        <w:t xml:space="preserve">Toksinio poveikio centrinei nervų sistemai pavojus padidėja, jeigu į veną vartojamos didelės citarabino dozės kartu su kitu gydymu, toksiškai veikiančių centrinę nervų sistemą, pvz., radioterapija arba gydymu didelėmis dozėmis. </w:t>
      </w:r>
    </w:p>
    <w:p w14:paraId="4C53B24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iCs/>
          <w:color w:val="000000"/>
        </w:rPr>
      </w:pPr>
    </w:p>
    <w:p w14:paraId="41EA60B3" w14:textId="77777777" w:rsidR="008A7165" w:rsidRPr="00E14DCC" w:rsidRDefault="008A7165" w:rsidP="008A7165">
      <w:pPr>
        <w:spacing w:after="0" w:line="240" w:lineRule="auto"/>
        <w:rPr>
          <w:rFonts w:ascii="Times New Roman" w:eastAsia="Times New Roman" w:hAnsi="Times New Roman" w:cs="Times New Roman"/>
          <w:b/>
          <w:bCs/>
          <w:i/>
          <w:iCs/>
        </w:rPr>
      </w:pPr>
      <w:r w:rsidRPr="00E14DCC">
        <w:rPr>
          <w:rFonts w:ascii="Times New Roman" w:eastAsia="Times New Roman" w:hAnsi="Times New Roman" w:cs="Times New Roman"/>
          <w:bCs/>
          <w:i/>
          <w:iCs/>
        </w:rPr>
        <w:lastRenderedPageBreak/>
        <w:t>Toksinis poveikis ragenai ir akių junginei</w:t>
      </w:r>
      <w:r w:rsidRPr="00E14DCC">
        <w:rPr>
          <w:rFonts w:ascii="Times New Roman" w:eastAsia="Times New Roman" w:hAnsi="Times New Roman" w:cs="Times New Roman"/>
          <w:b/>
          <w:bCs/>
          <w:i/>
          <w:iCs/>
        </w:rPr>
        <w:t>:</w:t>
      </w:r>
      <w:r w:rsidRPr="00E14DCC">
        <w:rPr>
          <w:rFonts w:ascii="Times New Roman" w:eastAsia="Times New Roman" w:hAnsi="Times New Roman" w:cs="Times New Roman"/>
          <w:bCs/>
          <w:iCs/>
        </w:rPr>
        <w:t xml:space="preserve"> buvo aprašyti grįžtamo pobūdžio ragenos pažeidimai ir hemoraginis konjunktyvitas. Šių reiškinių galima išvengti arba sumažinti jų poveikį naudojant kortikosteroidinius akių lašus. </w:t>
      </w:r>
    </w:p>
    <w:p w14:paraId="578C7AE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4353115C" w14:textId="77777777" w:rsidR="008A7165" w:rsidRPr="00E14DCC" w:rsidRDefault="008A7165" w:rsidP="008A7165">
      <w:pPr>
        <w:spacing w:after="0" w:line="240" w:lineRule="auto"/>
        <w:rPr>
          <w:rFonts w:ascii="Times New Roman" w:eastAsia="Times New Roman" w:hAnsi="Times New Roman" w:cs="Times New Roman"/>
          <w:b/>
          <w:bCs/>
          <w:i/>
          <w:iCs/>
        </w:rPr>
      </w:pPr>
      <w:r w:rsidRPr="00E14DCC">
        <w:rPr>
          <w:rFonts w:ascii="Times New Roman" w:eastAsia="Times New Roman" w:hAnsi="Times New Roman" w:cs="Times New Roman"/>
          <w:bCs/>
          <w:i/>
          <w:iCs/>
        </w:rPr>
        <w:t>Odos ir poodinio audinio sutrikimai</w:t>
      </w:r>
      <w:r w:rsidRPr="003077C6">
        <w:rPr>
          <w:rFonts w:ascii="Times New Roman" w:eastAsia="Times New Roman" w:hAnsi="Times New Roman" w:cs="Times New Roman"/>
          <w:i/>
          <w:iCs/>
        </w:rPr>
        <w:t xml:space="preserve">: </w:t>
      </w:r>
      <w:r w:rsidRPr="00E14DCC">
        <w:rPr>
          <w:rFonts w:ascii="Times New Roman" w:eastAsia="Times New Roman" w:hAnsi="Times New Roman" w:cs="Times New Roman"/>
          <w:bCs/>
          <w:iCs/>
        </w:rPr>
        <w:t>deskvamaciją sukeliantis odos išbėrimas, alopecija.</w:t>
      </w:r>
    </w:p>
    <w:p w14:paraId="64CDC76B"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45683B46"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Gali pasireikšti su gydymu vien citarabinu ar juo ir kitais imuninę sistemą slopinančiais preparatais (vartojant imuninę sistemą slopinančių preparatų dozes, veikiančias ląstelinę ar humoralinę imuninę reakciją) susijusi virusinė, bakterinė, grybelinė, parazitinė ar saprofitinė infekcija. Tokios infekcijos gali būti lengvos, tačiau gali būti ir sunkios.</w:t>
      </w:r>
    </w:p>
    <w:p w14:paraId="4AB6B96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5EF2ACFB"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Aprašytas citarabino sindromas. Jis pasireiškia karščiavimu, mialgija, kaulų skausmu, protarpiniu krūtinės skausmu, makulopapuliniu išbėrimu, konjunktyvitu ir bendruoju negalavimu. Šis sindromas paprastai pasireiškia po vaistinio preparato pavartojimo praėjus 6</w:t>
      </w:r>
      <w:r w:rsidRPr="00E14DCC">
        <w:rPr>
          <w:rFonts w:ascii="Times New Roman" w:eastAsia="Times New Roman" w:hAnsi="Times New Roman" w:cs="Times New Roman"/>
        </w:rPr>
        <w:noBreakHyphen/>
        <w:t>12 valandų. Nustatyta, kad palankų poveikį sukelia šiam sindromui gydyti ar jo profilaktikai vartojami kortikosteroidai. Jei sindromo simptomai yra tokie sunkūs, kad reikalingas gydymas, būtina apsvarstyti kortikosteroidų skyrimą ir tęsti gydymą citarabinu.</w:t>
      </w:r>
    </w:p>
    <w:p w14:paraId="1EE304DC"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063E201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bCs/>
          <w:i/>
          <w:iCs/>
        </w:rPr>
        <w:t>Virškinimo trakto sutrikimai</w:t>
      </w:r>
    </w:p>
    <w:p w14:paraId="18613C9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Vartojantiems citarabino, ypatingai tiems, kurie vartoja dideles dozes, kartu su dažnais simptomais gali pasireikšti ir daug sunkesnių reakcijų. Gauta pranešimų apie žarnyno perforacijos, nekrozės kartu su žarnų nepraeinamumu arba peritonitu atvejus.</w:t>
      </w:r>
    </w:p>
    <w:p w14:paraId="655D3AF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44AC5A6B"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Vartojant dideles dozes, pastebėta kepenų absceso, hepatomegalijos, </w:t>
      </w:r>
      <w:r w:rsidRPr="00E14DCC">
        <w:rPr>
          <w:rFonts w:ascii="Times New Roman" w:eastAsia="Times New Roman" w:hAnsi="Times New Roman" w:cs="Times New Roman"/>
          <w:i/>
        </w:rPr>
        <w:t>Budd-Chiari</w:t>
      </w:r>
      <w:r w:rsidRPr="00E14DCC">
        <w:rPr>
          <w:rFonts w:ascii="Times New Roman" w:eastAsia="Times New Roman" w:hAnsi="Times New Roman" w:cs="Times New Roman"/>
        </w:rPr>
        <w:t xml:space="preserve"> sindromo (kepenų venos trombozės) ir pankreatito atvejų.</w:t>
      </w:r>
    </w:p>
    <w:p w14:paraId="23158D4B" w14:textId="77777777" w:rsidR="008A7165" w:rsidRPr="00E14DCC" w:rsidRDefault="008A7165" w:rsidP="008A7165">
      <w:pPr>
        <w:spacing w:after="0" w:line="240" w:lineRule="auto"/>
        <w:rPr>
          <w:rFonts w:ascii="Times New Roman" w:eastAsia="Times New Roman" w:hAnsi="Times New Roman" w:cs="Times New Roman"/>
          <w:iCs/>
        </w:rPr>
      </w:pPr>
    </w:p>
    <w:p w14:paraId="0CDA4899" w14:textId="77777777" w:rsidR="008A7165" w:rsidRPr="00E14DCC" w:rsidRDefault="008A7165" w:rsidP="008A7165">
      <w:pPr>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Kvėpavimo sistemos, krūtinės ląstos ir tarpuplaučio sutrikimai</w:t>
      </w:r>
      <w:r w:rsidRPr="00E14DCC">
        <w:rPr>
          <w:rFonts w:ascii="Times New Roman" w:eastAsia="Times New Roman" w:hAnsi="Times New Roman" w:cs="Times New Roman"/>
          <w:iCs/>
        </w:rPr>
        <w:t xml:space="preserve"> </w:t>
      </w:r>
    </w:p>
    <w:p w14:paraId="2D1FBA99" w14:textId="77777777" w:rsidR="008A7165" w:rsidRPr="00E14DCC" w:rsidRDefault="008A7165" w:rsidP="008A7165">
      <w:pPr>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Cs/>
          <w:color w:val="000000"/>
        </w:rPr>
        <w:t>Ypač vartojantiems dideles dozes gali atsirasti plaučių ir (arba) suaugusiųjų kvėpavimo distreso sindromas. Manoma, ši reakcija pasireiškia dėl alveolių kapiliarų pažeidimo. Pasireiškimo dažnį įvertinti sunku (teigiama, kad skirtingose populiacijose jis gali būti 10</w:t>
      </w:r>
      <w:r w:rsidRPr="00E14DCC">
        <w:rPr>
          <w:rFonts w:ascii="Times New Roman" w:eastAsia="Times New Roman" w:hAnsi="Times New Roman" w:cs="Times New Roman"/>
          <w:iCs/>
          <w:color w:val="000000"/>
        </w:rPr>
        <w:noBreakHyphen/>
        <w:t>26%), nes ši reakcija įprastai pasireiškia atkryčio metu, kai gali būti svarbūs ir kiti veiksniai.</w:t>
      </w:r>
    </w:p>
    <w:p w14:paraId="35464F15" w14:textId="77777777" w:rsidR="008A7165" w:rsidRPr="00E14DCC" w:rsidRDefault="008A7165" w:rsidP="008A7165">
      <w:pPr>
        <w:spacing w:after="0" w:line="240" w:lineRule="auto"/>
        <w:rPr>
          <w:rFonts w:ascii="Times New Roman" w:eastAsia="Times New Roman" w:hAnsi="Times New Roman" w:cs="Times New Roman"/>
          <w:b/>
          <w:bCs/>
          <w:i/>
          <w:iCs/>
        </w:rPr>
      </w:pPr>
    </w:p>
    <w:p w14:paraId="6554A7C0"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Kita</w:t>
      </w:r>
    </w:p>
    <w:p w14:paraId="7BB469C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Gauta pranešimų apie kardiomiopatijos ir rabdomiolizės atvejus pasireiškusius vartojantiems citarabino. Aprašytas vienas atvejis, kai pasireiškė anafilaksija, sukėlusi širdies ir plaučių nepakankamumą, todėl pacientą teko reanimuoti. Ši komplikacija pasireiškė iš karto po citarabino vartojimo į veną.</w:t>
      </w:r>
    </w:p>
    <w:p w14:paraId="534A1EBA"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5D89AB1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 citarabino infuzijas, sumažėja virškinimo trakto nepageidaujamų poveikių. Hemoraginio konjunktyvito profilaktikai rekomenduojama vartoti lokaliai veikiančių gliukokortikoidų.</w:t>
      </w:r>
    </w:p>
    <w:p w14:paraId="0575BCA5"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10D2C24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i/>
        </w:rPr>
        <w:t>Amenorėja ir azoospermija</w:t>
      </w:r>
      <w:r w:rsidRPr="00E14DCC">
        <w:rPr>
          <w:rFonts w:ascii="Times New Roman" w:eastAsia="Times New Roman" w:hAnsi="Times New Roman" w:cs="Times New Roman"/>
        </w:rPr>
        <w:t xml:space="preserve"> (žr. 4.6 skyrių)</w:t>
      </w:r>
    </w:p>
    <w:p w14:paraId="00734049" w14:textId="77777777" w:rsidR="008A7165" w:rsidRPr="00E14DCC" w:rsidRDefault="008A7165" w:rsidP="008A7165">
      <w:pPr>
        <w:tabs>
          <w:tab w:val="num" w:pos="312"/>
          <w:tab w:val="left" w:pos="720"/>
          <w:tab w:val="num" w:pos="1950"/>
        </w:tabs>
        <w:spacing w:after="0" w:line="240" w:lineRule="auto"/>
        <w:rPr>
          <w:rFonts w:ascii="Times New Roman" w:eastAsia="Times New Roman" w:hAnsi="Times New Roman" w:cs="Times New Roman"/>
          <w:b/>
          <w:bCs/>
          <w:color w:val="000000"/>
        </w:rPr>
      </w:pPr>
    </w:p>
    <w:p w14:paraId="6075EFF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Citarabino nerekomenduojama leisti į povoratinklinę ertmę, tačiau gauta duomenų apie toliau išvardytą nepageidaujamą taip vartojamo vaistinio preparato poveikį. Tikėtina, kad pasireikš tokios sisteminės reakcijos: kaulų čiulpų slopinimas, pykinimas, vėmimas. Gauta retų pranešimų apie tetraplegiją ir paralyžių sukeliantį sunkų toksinį poveikį nugaros smegenims, nekrozinę encefalopatiją, aklumą ar kitokį specifinį neurotoksinį poveikį.</w:t>
      </w:r>
    </w:p>
    <w:p w14:paraId="27846A9F" w14:textId="77777777" w:rsidR="008A7165" w:rsidRPr="00E14DCC" w:rsidRDefault="008A7165" w:rsidP="008A7165">
      <w:pPr>
        <w:spacing w:after="0" w:line="240" w:lineRule="auto"/>
        <w:rPr>
          <w:rFonts w:ascii="Times New Roman" w:eastAsia="Times New Roman" w:hAnsi="Times New Roman" w:cs="Times New Roman"/>
        </w:rPr>
      </w:pPr>
    </w:p>
    <w:p w14:paraId="1DFB0D10"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u w:val="single"/>
        </w:rPr>
      </w:pPr>
      <w:r w:rsidRPr="00E14DCC">
        <w:rPr>
          <w:rFonts w:ascii="Times New Roman" w:eastAsia="Times New Roman" w:hAnsi="Times New Roman" w:cs="Times New Roman"/>
          <w:u w:val="single"/>
        </w:rPr>
        <w:t>Pranešimas apie įtariamas nepageidaujamas reakcijas</w:t>
      </w:r>
    </w:p>
    <w:p w14:paraId="4330D43D" w14:textId="77777777" w:rsidR="008A7165" w:rsidRPr="00E14DCC" w:rsidRDefault="008A7165" w:rsidP="008A7165">
      <w:pPr>
        <w:spacing w:after="0" w:line="240" w:lineRule="auto"/>
        <w:ind w:right="-449"/>
        <w:rPr>
          <w:rFonts w:ascii="Times New Roman" w:eastAsia="Calibri" w:hAnsi="Times New Roman" w:cs="Times New Roman"/>
          <w:color w:val="000000"/>
          <w:lang w:eastAsia="zh-CN"/>
        </w:rPr>
      </w:pPr>
      <w:r w:rsidRPr="00E14DCC">
        <w:rPr>
          <w:rFonts w:ascii="Times New Roman" w:eastAsia="Times New Roman" w:hAnsi="Times New Roman" w:cs="Times New Roman"/>
        </w:rPr>
        <w:t xml:space="preserve">Svarbu pranešti apie įtariamas nepageidaujamas reakcijas po vaistinio preparato registracijos, nes tai leidžia nuolat stebėti vaistinio preparato naudos ir rizikos santykį. </w:t>
      </w:r>
      <w:r w:rsidRPr="00E14DCC">
        <w:rPr>
          <w:rFonts w:ascii="Times New Roman" w:hAnsi="Times New Roman" w:cs="Times New Roman"/>
          <w:szCs w:val="24"/>
        </w:rPr>
        <w:t>Sveikatos priežiūros specialistai turi pranešti apie bet kokias įtariamas nepageidaujamas reakcijas, užpildę interneto svetainėje http://</w:t>
      </w:r>
      <w:hyperlink r:id="rId5" w:history="1">
        <w:r w:rsidRPr="00E14DCC">
          <w:rPr>
            <w:rStyle w:val="Hipersaitas"/>
            <w:rFonts w:ascii="Times New Roman" w:eastAsia="SimSun" w:hAnsi="Times New Roman" w:cs="Times New Roman"/>
            <w:szCs w:val="24"/>
          </w:rPr>
          <w:t>www.vvkt.lt</w:t>
        </w:r>
      </w:hyperlink>
      <w:r w:rsidRPr="00E14DCC">
        <w:rPr>
          <w:rFonts w:ascii="Times New Roman" w:hAnsi="Times New Roman" w:cs="Times New Roman"/>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E14DCC">
          <w:rPr>
            <w:rStyle w:val="Hipersaitas"/>
            <w:rFonts w:ascii="Times New Roman" w:eastAsia="SimSun" w:hAnsi="Times New Roman" w:cs="Times New Roman"/>
            <w:szCs w:val="24"/>
          </w:rPr>
          <w:t>NepageidaujamaR@vvkt.lt</w:t>
        </w:r>
      </w:hyperlink>
      <w:r w:rsidRPr="00E14DCC">
        <w:rPr>
          <w:rFonts w:ascii="Times New Roman" w:hAnsi="Times New Roman" w:cs="Times New Roman"/>
          <w:szCs w:val="24"/>
        </w:rPr>
        <w:t>), per interneto svetainę (adresu http://www.vvkt.lt).</w:t>
      </w:r>
    </w:p>
    <w:p w14:paraId="434AEF31" w14:textId="77777777" w:rsidR="008A7165" w:rsidRPr="00E14DCC" w:rsidRDefault="008A7165" w:rsidP="008A7165">
      <w:pPr>
        <w:tabs>
          <w:tab w:val="num" w:pos="312"/>
          <w:tab w:val="left" w:pos="720"/>
          <w:tab w:val="left" w:pos="840"/>
          <w:tab w:val="num" w:pos="1950"/>
        </w:tabs>
        <w:spacing w:after="0" w:line="240" w:lineRule="auto"/>
        <w:jc w:val="both"/>
        <w:rPr>
          <w:rFonts w:ascii="Times New Roman" w:eastAsia="Times New Roman" w:hAnsi="Times New Roman" w:cs="Times New Roman"/>
          <w:b/>
          <w:bCs/>
          <w:color w:val="000000"/>
        </w:rPr>
      </w:pPr>
    </w:p>
    <w:p w14:paraId="2CC70C22" w14:textId="77777777" w:rsidR="008A7165" w:rsidRPr="00E14DCC" w:rsidRDefault="008A7165" w:rsidP="008A7165">
      <w:pPr>
        <w:tabs>
          <w:tab w:val="num" w:pos="312"/>
          <w:tab w:val="left" w:pos="720"/>
          <w:tab w:val="left" w:pos="840"/>
          <w:tab w:val="num" w:pos="1950"/>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4.9</w:t>
      </w:r>
      <w:r w:rsidRPr="00E14DCC">
        <w:rPr>
          <w:rFonts w:ascii="Times New Roman" w:eastAsia="Times New Roman" w:hAnsi="Times New Roman" w:cs="Times New Roman"/>
          <w:b/>
          <w:bCs/>
          <w:color w:val="000000"/>
        </w:rPr>
        <w:tab/>
        <w:t>Perdozavimas</w:t>
      </w:r>
    </w:p>
    <w:p w14:paraId="6B294C51" w14:textId="77777777" w:rsidR="008A7165" w:rsidRPr="00E14DCC" w:rsidRDefault="008A7165" w:rsidP="008A7165">
      <w:pPr>
        <w:tabs>
          <w:tab w:val="num" w:pos="312"/>
          <w:tab w:val="num" w:pos="1950"/>
        </w:tabs>
        <w:spacing w:after="0" w:line="240" w:lineRule="auto"/>
        <w:jc w:val="both"/>
        <w:rPr>
          <w:rFonts w:ascii="Times New Roman" w:eastAsia="Times New Roman" w:hAnsi="Times New Roman" w:cs="Times New Roman"/>
          <w:b/>
          <w:bCs/>
          <w:color w:val="000000"/>
        </w:rPr>
      </w:pPr>
    </w:p>
    <w:p w14:paraId="2A61A2B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Specifinio priešnuodžio nėra. Perdozavus patariama: nutraukti gydymą, ir pradėti gydyti atsiradusį kaulų čiulpų slopinimą, įskaitant viso kraujo ar trombocitų perpylimą ir, jeigu reikia, paskirti antibiotikų. Dvylika 4,5 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rPr>
        <w:t xml:space="preserve">intraveninės infuzijos dozių per vieną valandą kas 12 valandų sukelia negrįžtamą ir mirtiną toksinį poveikį centrinei nervų sistemai. </w:t>
      </w:r>
    </w:p>
    <w:p w14:paraId="7EABC727" w14:textId="77777777" w:rsidR="008A7165" w:rsidRPr="00E14DCC" w:rsidRDefault="008A7165" w:rsidP="008A7165">
      <w:pPr>
        <w:tabs>
          <w:tab w:val="num" w:pos="-1680"/>
        </w:tabs>
        <w:spacing w:after="0" w:line="240" w:lineRule="auto"/>
        <w:jc w:val="both"/>
        <w:rPr>
          <w:rFonts w:ascii="Times New Roman" w:eastAsia="Times New Roman" w:hAnsi="Times New Roman" w:cs="Times New Roman"/>
        </w:rPr>
      </w:pPr>
    </w:p>
    <w:p w14:paraId="1F04155C" w14:textId="77777777" w:rsidR="008A7165" w:rsidRPr="00E14DCC" w:rsidRDefault="008A7165" w:rsidP="008A7165">
      <w:pPr>
        <w:tabs>
          <w:tab w:val="num" w:pos="-1680"/>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Citarabinas pašalinamas hemodializės metu.</w:t>
      </w:r>
    </w:p>
    <w:p w14:paraId="7AB43D5D" w14:textId="77777777" w:rsidR="008A7165" w:rsidRPr="00E14DCC" w:rsidRDefault="008A7165" w:rsidP="008A7165">
      <w:pPr>
        <w:tabs>
          <w:tab w:val="num" w:pos="-1680"/>
        </w:tabs>
        <w:spacing w:after="0" w:line="240" w:lineRule="auto"/>
        <w:rPr>
          <w:rFonts w:ascii="Times New Roman" w:eastAsia="Times New Roman" w:hAnsi="Times New Roman" w:cs="Times New Roman"/>
        </w:rPr>
      </w:pPr>
    </w:p>
    <w:p w14:paraId="6FA31BE8" w14:textId="77777777" w:rsidR="008A7165" w:rsidRPr="00E14DCC" w:rsidRDefault="008A7165" w:rsidP="008A7165">
      <w:pPr>
        <w:tabs>
          <w:tab w:val="num" w:pos="-1680"/>
        </w:tabs>
        <w:spacing w:after="0" w:line="240" w:lineRule="auto"/>
        <w:rPr>
          <w:rFonts w:ascii="Times New Roman" w:eastAsia="Times New Roman" w:hAnsi="Times New Roman" w:cs="Times New Roman"/>
        </w:rPr>
      </w:pPr>
    </w:p>
    <w:p w14:paraId="5F728EB0" w14:textId="77777777" w:rsidR="008A7165" w:rsidRPr="00E14DCC" w:rsidRDefault="008A7165" w:rsidP="008A7165">
      <w:pPr>
        <w:tabs>
          <w:tab w:val="num" w:pos="-1680"/>
          <w:tab w:val="left" w:pos="567"/>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5.</w:t>
      </w:r>
      <w:r w:rsidRPr="00E14DCC">
        <w:rPr>
          <w:rFonts w:ascii="Times New Roman" w:eastAsia="Times New Roman" w:hAnsi="Times New Roman" w:cs="Times New Roman"/>
          <w:b/>
          <w:bCs/>
        </w:rPr>
        <w:tab/>
        <w:t>FARMAKOLOGINĖS SAVYBĖS</w:t>
      </w:r>
    </w:p>
    <w:p w14:paraId="48D8D612" w14:textId="77777777" w:rsidR="008A7165" w:rsidRPr="00E14DCC" w:rsidRDefault="008A7165" w:rsidP="008A7165">
      <w:pPr>
        <w:tabs>
          <w:tab w:val="num" w:pos="-1680"/>
          <w:tab w:val="left" w:pos="567"/>
        </w:tabs>
        <w:spacing w:after="0" w:line="240" w:lineRule="auto"/>
        <w:ind w:right="29"/>
        <w:jc w:val="both"/>
        <w:rPr>
          <w:rFonts w:ascii="Times New Roman" w:eastAsia="Times New Roman" w:hAnsi="Times New Roman" w:cs="Times New Roman"/>
          <w:b/>
          <w:bCs/>
        </w:rPr>
      </w:pPr>
    </w:p>
    <w:p w14:paraId="41994C1A"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
          <w:bCs/>
          <w:color w:val="000000"/>
        </w:rPr>
      </w:pPr>
      <w:r w:rsidRPr="00E14DCC">
        <w:rPr>
          <w:rFonts w:ascii="Times New Roman" w:eastAsia="Times New Roman" w:hAnsi="Times New Roman" w:cs="Times New Roman"/>
          <w:b/>
          <w:bCs/>
          <w:color w:val="000000"/>
        </w:rPr>
        <w:t>5.1</w:t>
      </w:r>
      <w:r w:rsidRPr="00E14DCC">
        <w:rPr>
          <w:rFonts w:ascii="Times New Roman" w:eastAsia="Times New Roman" w:hAnsi="Times New Roman" w:cs="Times New Roman"/>
          <w:b/>
          <w:bCs/>
          <w:color w:val="000000"/>
        </w:rPr>
        <w:tab/>
        <w:t>Farmakodinaminės savybės</w:t>
      </w:r>
    </w:p>
    <w:p w14:paraId="310959F0" w14:textId="77777777" w:rsidR="008A7165" w:rsidRPr="00E14DCC" w:rsidRDefault="008A7165" w:rsidP="008A7165">
      <w:pPr>
        <w:tabs>
          <w:tab w:val="left" w:pos="720"/>
        </w:tabs>
        <w:spacing w:after="0" w:line="240" w:lineRule="auto"/>
        <w:jc w:val="both"/>
        <w:rPr>
          <w:rFonts w:ascii="Times New Roman" w:eastAsia="Times New Roman" w:hAnsi="Times New Roman" w:cs="Times New Roman"/>
          <w:b/>
          <w:bCs/>
          <w:color w:val="000000"/>
        </w:rPr>
      </w:pPr>
    </w:p>
    <w:p w14:paraId="4ECC138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Farmakoterapinė grupė: pirimidino analogai, ATC kodas: L01BC01.</w:t>
      </w:r>
    </w:p>
    <w:p w14:paraId="0615AC2A"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087A686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Citarabinas, pirimidino nukleozido analogas, yra antineoplastinis preparatas, slopinantis dezoksiribonukleino rūgšties sintezę, tik ląstelės ciklo S fazėje. Jis taip pat pasižymi priešvirusinėmis ir imunitetą slopinančiomis savybėmis. Atlikus išsamius citotoksinio poveikio tyrimus</w:t>
      </w:r>
      <w:r w:rsidRPr="00E14DCC">
        <w:rPr>
          <w:rFonts w:ascii="Times New Roman" w:eastAsia="Times New Roman" w:hAnsi="Times New Roman" w:cs="Times New Roman"/>
          <w:i/>
        </w:rPr>
        <w:t xml:space="preserve"> in vitro</w:t>
      </w:r>
      <w:r w:rsidRPr="00E14DCC">
        <w:rPr>
          <w:rFonts w:ascii="Times New Roman" w:eastAsia="Times New Roman" w:hAnsi="Times New Roman" w:cs="Times New Roman"/>
        </w:rPr>
        <w:t xml:space="preserve"> galima teigti, kad pagrindinis citarabino poveikis yra deoksicitidino sintezės slopinimas, jo aktyvus metabolitas yra arabinfuramozilcitozino trifosfatas (ara-CTP), tačiau citostatiniam ir citocidiniam poveikiui taip pat gali būti svarbus citidilkinazes slopinantis ir junginį įtraukiantis į nukleino rūgščių sudėtį poveikis.</w:t>
      </w:r>
    </w:p>
    <w:p w14:paraId="5B030FA7" w14:textId="77777777" w:rsidR="008A7165" w:rsidRPr="00E14DCC" w:rsidRDefault="008A7165" w:rsidP="008A7165">
      <w:pPr>
        <w:spacing w:after="0" w:line="240" w:lineRule="auto"/>
        <w:rPr>
          <w:rFonts w:ascii="Times New Roman" w:eastAsia="Times New Roman" w:hAnsi="Times New Roman" w:cs="Times New Roman"/>
        </w:rPr>
      </w:pPr>
    </w:p>
    <w:p w14:paraId="1F7C5F4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Didelės citarabino dozės gali įveikti leukeminių ląstelių, atsparių įprastinėms dozėms, atsparumą. Atrodo, kad su šiuo atsparumu yra susiję keli mechanizmai:</w:t>
      </w:r>
    </w:p>
    <w:p w14:paraId="015FBF9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padidėjęs substrato kiekis;</w:t>
      </w:r>
    </w:p>
    <w:p w14:paraId="514608C7" w14:textId="77777777" w:rsidR="008A7165" w:rsidRPr="00E14DCC" w:rsidDel="00E97F4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padidėjęs intraląstelinis ara-CTP kiekis, nes yra teigiama priklausomybė tarp ara-CTP susikaupimo ląstelėse ir ląstelių procento S fazėje. </w:t>
      </w:r>
    </w:p>
    <w:p w14:paraId="06CB9CFA" w14:textId="77777777" w:rsidR="008A7165" w:rsidRPr="00E14DCC" w:rsidRDefault="008A7165" w:rsidP="008A7165">
      <w:pPr>
        <w:spacing w:after="0" w:line="240" w:lineRule="auto"/>
        <w:rPr>
          <w:rFonts w:ascii="Times New Roman" w:eastAsia="Times New Roman" w:hAnsi="Times New Roman" w:cs="Times New Roman"/>
        </w:rPr>
      </w:pPr>
    </w:p>
    <w:p w14:paraId="4C51EA3A" w14:textId="77777777" w:rsidR="008A7165" w:rsidRPr="00E14DCC" w:rsidRDefault="008A7165" w:rsidP="00805CDB">
      <w:pPr>
        <w:numPr>
          <w:ilvl w:val="1"/>
          <w:numId w:val="11"/>
        </w:num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
          <w:bCs/>
        </w:rPr>
        <w:t xml:space="preserve">Farmakokinetinės savybės </w:t>
      </w:r>
    </w:p>
    <w:p w14:paraId="7D9390E1"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2129F17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Kepenyse ir inkstuose citarabinas deamininamas iki arabinfuranoziluracilo. Žmogus per 12</w:t>
      </w:r>
      <w:r w:rsidRPr="00E14DCC">
        <w:rPr>
          <w:rFonts w:ascii="Times New Roman" w:eastAsia="Times New Roman" w:hAnsi="Times New Roman" w:cs="Times New Roman"/>
        </w:rPr>
        <w:noBreakHyphen/>
        <w:t xml:space="preserve">24 valandų po pavartojimo į veną tik 5,8% paskirtos dozės nepakitusiu pavidalu išskiria su šlapimu, 90% dozės išskiria neaktyvaus deamininto junginio, arabinfuranoziluracilo (ara-U), pavidalu. Nustatyta, kad citarabinas metabolizuojamas greitai, daugiausiai kepenyse ir galbūt inkstuose. Pavartojus vieną didelę dozę į veną, po 15 minučių daugumos pacientų kraujyje koncentracija sumažėjo iki neišmatuojamos. Kai kurie pacientai įsisavino cirkuliuojantį vaistinį preparatą jau praėjus 5 minutėms po injekcijos. Vaisto pusinės eliminacijos laikas yra 10 minučių. </w:t>
      </w:r>
    </w:p>
    <w:p w14:paraId="61212118" w14:textId="77777777" w:rsidR="008A7165" w:rsidRPr="00E14DCC" w:rsidRDefault="008A7165" w:rsidP="008A7165">
      <w:pPr>
        <w:spacing w:after="0" w:line="240" w:lineRule="auto"/>
        <w:rPr>
          <w:rFonts w:ascii="Times New Roman" w:eastAsia="Times New Roman" w:hAnsi="Times New Roman" w:cs="Times New Roman"/>
        </w:rPr>
      </w:pPr>
    </w:p>
    <w:p w14:paraId="4EFF7EC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Pavartojus dideles citarabino dozes, pastebėta, kad didžiausios koncentracijos plazmoje būna 200 kartų didesnės, negu pavartojus įprastines vaisto dozes. Neaktyvaus metabolito ara-U didžiausia koncentracija, pavartojus didelę dozę, pastebima praėjus vos 15 minučių. Išsiskyrimas iš inkstų vyksta lėčiau, nei pavartojus įprastines citarabino dozes. Koncentracija cerebrospinaliniame skystyje, pavartojus didelę 1-3 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rPr>
        <w:t>citarabino į veną dozę, yra maždaug 100-300 nanogramų/ml.</w:t>
      </w:r>
    </w:p>
    <w:p w14:paraId="3AAF185E" w14:textId="77777777" w:rsidR="008A7165" w:rsidRPr="00E14DCC" w:rsidRDefault="008A7165" w:rsidP="008A7165">
      <w:pPr>
        <w:spacing w:after="0" w:line="240" w:lineRule="auto"/>
        <w:rPr>
          <w:rFonts w:ascii="Times New Roman" w:eastAsia="Times New Roman" w:hAnsi="Times New Roman" w:cs="Times New Roman"/>
        </w:rPr>
      </w:pPr>
    </w:p>
    <w:p w14:paraId="6A46AEF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Didžiausia koncentracija plazmoje pasiekiama praėjus 20-60 minučių, pavartojus vaisto po oda. Ji yra žymiai mažesnė, negu vartojus vaisto panašiomis dozėmis į veną. </w:t>
      </w:r>
    </w:p>
    <w:p w14:paraId="34B2BA8E"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47ABB35A" w14:textId="77777777" w:rsidR="008A7165" w:rsidRPr="00E14DCC" w:rsidRDefault="008A7165" w:rsidP="008A7165">
      <w:pPr>
        <w:tabs>
          <w:tab w:val="left" w:pos="567"/>
          <w:tab w:val="num" w:pos="1404"/>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
          <w:bCs/>
        </w:rPr>
        <w:t>5.3</w:t>
      </w:r>
      <w:r w:rsidRPr="00E14DCC">
        <w:rPr>
          <w:rFonts w:ascii="Times New Roman" w:eastAsia="Times New Roman" w:hAnsi="Times New Roman" w:cs="Times New Roman"/>
          <w:b/>
          <w:bCs/>
        </w:rPr>
        <w:tab/>
        <w:t>Ikiklinikinių saugumo tyrimų duomenys</w:t>
      </w:r>
    </w:p>
    <w:p w14:paraId="210C4E67" w14:textId="77777777" w:rsidR="008A7165" w:rsidRPr="00E14DCC" w:rsidRDefault="008A7165" w:rsidP="008A7165">
      <w:pPr>
        <w:tabs>
          <w:tab w:val="left" w:pos="720"/>
          <w:tab w:val="num" w:pos="1404"/>
        </w:tabs>
        <w:spacing w:after="0" w:line="240" w:lineRule="auto"/>
        <w:jc w:val="both"/>
        <w:rPr>
          <w:rFonts w:ascii="Times New Roman" w:eastAsia="Times New Roman" w:hAnsi="Times New Roman" w:cs="Times New Roman"/>
          <w:bCs/>
        </w:rPr>
      </w:pPr>
    </w:p>
    <w:p w14:paraId="70287C9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Daugiau, nei jau įtrauktų į kitus šios preparato charakteristikų santraukos skyrius, svarbių ikiklinikinių duomenų nėra.</w:t>
      </w:r>
    </w:p>
    <w:p w14:paraId="5C3F9486" w14:textId="77777777" w:rsidR="008A7165" w:rsidRPr="00E14DCC" w:rsidRDefault="008A7165" w:rsidP="008A7165">
      <w:pPr>
        <w:spacing w:after="0" w:line="240" w:lineRule="auto"/>
        <w:jc w:val="both"/>
        <w:rPr>
          <w:rFonts w:ascii="Times New Roman" w:eastAsia="Times New Roman" w:hAnsi="Times New Roman" w:cs="Times New Roman"/>
          <w:bCs/>
        </w:rPr>
      </w:pPr>
    </w:p>
    <w:p w14:paraId="0E31CE65" w14:textId="77777777" w:rsidR="008A7165" w:rsidRPr="00E14DCC" w:rsidRDefault="008A7165" w:rsidP="008A7165">
      <w:pPr>
        <w:spacing w:after="0" w:line="240" w:lineRule="auto"/>
        <w:jc w:val="both"/>
        <w:rPr>
          <w:rFonts w:ascii="Times New Roman" w:eastAsia="Times New Roman" w:hAnsi="Times New Roman" w:cs="Times New Roman"/>
          <w:bCs/>
        </w:rPr>
      </w:pPr>
    </w:p>
    <w:p w14:paraId="27C7B9E1" w14:textId="77777777" w:rsidR="008A7165" w:rsidRPr="00E14DCC" w:rsidRDefault="008A7165" w:rsidP="008A7165">
      <w:pPr>
        <w:tabs>
          <w:tab w:val="left" w:pos="567"/>
          <w:tab w:val="right" w:pos="720"/>
          <w:tab w:val="num" w:pos="1404"/>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b/>
          <w:bCs/>
        </w:rPr>
        <w:t>6.</w:t>
      </w:r>
      <w:r w:rsidRPr="00E14DCC">
        <w:rPr>
          <w:rFonts w:ascii="Times New Roman" w:eastAsia="Times New Roman" w:hAnsi="Times New Roman" w:cs="Times New Roman"/>
          <w:b/>
          <w:bCs/>
        </w:rPr>
        <w:tab/>
      </w:r>
      <w:r w:rsidRPr="00E14DCC">
        <w:rPr>
          <w:rFonts w:ascii="Times New Roman" w:eastAsia="Times New Roman" w:hAnsi="Times New Roman" w:cs="Times New Roman"/>
          <w:b/>
          <w:bCs/>
        </w:rPr>
        <w:tab/>
        <w:t>FARMACINĖ INFORMACIJA</w:t>
      </w:r>
    </w:p>
    <w:p w14:paraId="3432C7A1" w14:textId="77777777" w:rsidR="008A7165" w:rsidRPr="00E14DCC" w:rsidRDefault="008A7165" w:rsidP="008A7165">
      <w:pPr>
        <w:tabs>
          <w:tab w:val="left" w:pos="567"/>
          <w:tab w:val="num" w:pos="1404"/>
        </w:tabs>
        <w:spacing w:after="0" w:line="240" w:lineRule="auto"/>
        <w:ind w:right="29"/>
        <w:jc w:val="both"/>
        <w:rPr>
          <w:rFonts w:ascii="Times New Roman" w:eastAsia="Times New Roman" w:hAnsi="Times New Roman" w:cs="Times New Roman"/>
          <w:b/>
          <w:bCs/>
        </w:rPr>
      </w:pPr>
    </w:p>
    <w:p w14:paraId="1B212BA1" w14:textId="77777777" w:rsidR="008A7165" w:rsidRPr="00E14DCC" w:rsidRDefault="008A7165" w:rsidP="008A7165">
      <w:pPr>
        <w:tabs>
          <w:tab w:val="left" w:pos="567"/>
          <w:tab w:val="right" w:pos="720"/>
          <w:tab w:val="num" w:pos="1404"/>
        </w:tabs>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b/>
          <w:bCs/>
        </w:rPr>
        <w:t>6.1</w:t>
      </w:r>
      <w:r w:rsidRPr="00E14DCC">
        <w:rPr>
          <w:rFonts w:ascii="Times New Roman" w:eastAsia="Times New Roman" w:hAnsi="Times New Roman" w:cs="Times New Roman"/>
          <w:b/>
          <w:bCs/>
        </w:rPr>
        <w:tab/>
      </w:r>
      <w:r w:rsidRPr="00E14DCC">
        <w:rPr>
          <w:rFonts w:ascii="Times New Roman" w:eastAsia="Times New Roman" w:hAnsi="Times New Roman" w:cs="Times New Roman"/>
          <w:b/>
          <w:bCs/>
        </w:rPr>
        <w:tab/>
        <w:t xml:space="preserve">Pagalbinių medžiagų sąrašas </w:t>
      </w:r>
    </w:p>
    <w:p w14:paraId="6293858B" w14:textId="77777777" w:rsidR="008A7165" w:rsidRPr="00E14DCC" w:rsidRDefault="008A7165" w:rsidP="008A7165">
      <w:pPr>
        <w:tabs>
          <w:tab w:val="num" w:pos="1404"/>
        </w:tabs>
        <w:spacing w:after="0" w:line="240" w:lineRule="auto"/>
        <w:jc w:val="both"/>
        <w:rPr>
          <w:rFonts w:ascii="Times New Roman" w:eastAsia="Times New Roman" w:hAnsi="Times New Roman" w:cs="Times New Roman"/>
        </w:rPr>
      </w:pPr>
    </w:p>
    <w:p w14:paraId="50771F5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Makrogolis 400</w:t>
      </w:r>
    </w:p>
    <w:p w14:paraId="04F9C0B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Trometamolis (pH koregavimui)</w:t>
      </w:r>
    </w:p>
    <w:p w14:paraId="7C6224B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Injekcinis vanduo</w:t>
      </w:r>
    </w:p>
    <w:p w14:paraId="5C272EDC" w14:textId="77777777" w:rsidR="008A7165" w:rsidRPr="00E14DCC" w:rsidRDefault="008A7165" w:rsidP="008A7165">
      <w:pPr>
        <w:spacing w:after="0" w:line="240" w:lineRule="auto"/>
        <w:rPr>
          <w:rFonts w:ascii="Times New Roman" w:eastAsia="Times New Roman" w:hAnsi="Times New Roman" w:cs="Times New Roman"/>
        </w:rPr>
      </w:pPr>
    </w:p>
    <w:p w14:paraId="663D988B" w14:textId="77777777" w:rsidR="008A7165" w:rsidRPr="00E14DCC" w:rsidRDefault="008A7165" w:rsidP="00805CDB">
      <w:pPr>
        <w:numPr>
          <w:ilvl w:val="1"/>
          <w:numId w:val="12"/>
        </w:numPr>
        <w:tabs>
          <w:tab w:val="left" w:pos="567"/>
        </w:tabs>
        <w:autoSpaceDE w:val="0"/>
        <w:autoSpaceDN w:val="0"/>
        <w:adjustRightInd w:val="0"/>
        <w:spacing w:after="0" w:line="240" w:lineRule="auto"/>
        <w:ind w:left="0" w:firstLine="0"/>
        <w:jc w:val="both"/>
        <w:rPr>
          <w:rFonts w:ascii="Times New Roman" w:eastAsia="Times New Roman" w:hAnsi="Times New Roman" w:cs="Times New Roman"/>
          <w:b/>
          <w:bCs/>
        </w:rPr>
      </w:pPr>
      <w:r w:rsidRPr="00E14DCC">
        <w:rPr>
          <w:rFonts w:ascii="Times New Roman" w:eastAsia="Times New Roman" w:hAnsi="Times New Roman" w:cs="Times New Roman"/>
          <w:b/>
          <w:bCs/>
        </w:rPr>
        <w:t>Nesuderinamumas</w:t>
      </w:r>
    </w:p>
    <w:p w14:paraId="6411F88A" w14:textId="77777777" w:rsidR="008A7165" w:rsidRPr="00E14DCC" w:rsidRDefault="008A7165" w:rsidP="008A7165">
      <w:pPr>
        <w:spacing w:after="0" w:line="240" w:lineRule="auto"/>
        <w:rPr>
          <w:rFonts w:ascii="Times New Roman" w:eastAsia="Times New Roman" w:hAnsi="Times New Roman" w:cs="Times New Roman"/>
        </w:rPr>
      </w:pPr>
    </w:p>
    <w:p w14:paraId="2078C37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Vaistinis preparatas nesuderinamas su karbenicilino natrio druska, cefalotino natrio druska, gentamicino sulfatu, heparino natrio druska, hidrokortizono natrio sukcinatu, įprastiniu insulinu, metotreksatu, 5-fluorouracilu, nafcilino natrio druska, oksacilino natrio druska, penicilino G natrio druska (benzilpenicilinu), metilprednizolono natrio sukcinatu ir prednizolono sukcinatu. </w:t>
      </w:r>
    </w:p>
    <w:p w14:paraId="53F067D4" w14:textId="77777777" w:rsidR="008A7165" w:rsidRPr="00E14DCC" w:rsidRDefault="008A7165" w:rsidP="008A7165">
      <w:pPr>
        <w:spacing w:after="0" w:line="240" w:lineRule="auto"/>
        <w:rPr>
          <w:rFonts w:ascii="Times New Roman" w:eastAsia="Times New Roman" w:hAnsi="Times New Roman" w:cs="Times New Roman"/>
        </w:rPr>
      </w:pPr>
    </w:p>
    <w:p w14:paraId="48CC0C8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Tačiau nesuderinamumas priklauso nuo keleto faktorių (pvz., vaistinio preparato koncentracijos, specifinių naudotų skiediklių, susidariusio pH, temperatūros). Norėdami gauti specifinės suderinamumo informacijos žiūrėkite specializuotas suderinamumo gaires. </w:t>
      </w:r>
    </w:p>
    <w:p w14:paraId="570A6393" w14:textId="77777777" w:rsidR="008A7165" w:rsidRPr="00E14DCC" w:rsidRDefault="008A7165" w:rsidP="008A7165">
      <w:pPr>
        <w:spacing w:after="0" w:line="240" w:lineRule="auto"/>
        <w:rPr>
          <w:rFonts w:ascii="Times New Roman" w:eastAsia="Times New Roman" w:hAnsi="Times New Roman" w:cs="Times New Roman"/>
        </w:rPr>
      </w:pPr>
    </w:p>
    <w:p w14:paraId="449ADCE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Šio vaistinio preparato negalima maišyti su kitais, išskyrus nurodytus 6.6 skyriuje.</w:t>
      </w:r>
    </w:p>
    <w:p w14:paraId="0418CC2E" w14:textId="77777777" w:rsidR="008A7165" w:rsidRPr="00E14DCC" w:rsidRDefault="008A7165" w:rsidP="008A7165">
      <w:pPr>
        <w:spacing w:after="0" w:line="240" w:lineRule="auto"/>
        <w:rPr>
          <w:rFonts w:ascii="Times New Roman" w:eastAsia="Times New Roman" w:hAnsi="Times New Roman" w:cs="Times New Roman"/>
        </w:rPr>
      </w:pPr>
    </w:p>
    <w:p w14:paraId="465DC0C6"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
          <w:bCs/>
        </w:rPr>
        <w:t>6.3</w:t>
      </w:r>
      <w:r w:rsidRPr="00E14DCC">
        <w:rPr>
          <w:rFonts w:ascii="Times New Roman" w:eastAsia="Times New Roman" w:hAnsi="Times New Roman" w:cs="Times New Roman"/>
          <w:b/>
          <w:bCs/>
        </w:rPr>
        <w:tab/>
        <w:t xml:space="preserve">Tinkamumo laikas </w:t>
      </w:r>
    </w:p>
    <w:p w14:paraId="15B95163" w14:textId="77777777" w:rsidR="008A7165" w:rsidRPr="00E14DCC" w:rsidRDefault="008A7165" w:rsidP="008A7165">
      <w:pPr>
        <w:tabs>
          <w:tab w:val="num" w:pos="1404"/>
        </w:tabs>
        <w:spacing w:after="0" w:line="240" w:lineRule="auto"/>
        <w:jc w:val="both"/>
        <w:rPr>
          <w:rFonts w:ascii="Times New Roman" w:eastAsia="Times New Roman" w:hAnsi="Times New Roman" w:cs="Times New Roman"/>
        </w:rPr>
      </w:pPr>
    </w:p>
    <w:p w14:paraId="0173F432" w14:textId="77777777" w:rsidR="008A7165" w:rsidRPr="00E14DCC" w:rsidRDefault="008A7165" w:rsidP="008A7165">
      <w:pPr>
        <w:spacing w:after="0" w:line="240" w:lineRule="auto"/>
        <w:rPr>
          <w:rFonts w:ascii="Times New Roman" w:eastAsia="Times New Roman" w:hAnsi="Times New Roman" w:cs="Times New Roman"/>
          <w:strike/>
        </w:rPr>
      </w:pPr>
      <w:r w:rsidRPr="00E14DCC">
        <w:rPr>
          <w:rFonts w:ascii="Times New Roman" w:eastAsia="Times New Roman" w:hAnsi="Times New Roman" w:cs="Times New Roman"/>
        </w:rPr>
        <w:t>2 metai.</w:t>
      </w:r>
    </w:p>
    <w:p w14:paraId="586BE29A" w14:textId="77777777" w:rsidR="008A7165" w:rsidRPr="00E14DCC" w:rsidRDefault="008A7165" w:rsidP="008A7165">
      <w:pPr>
        <w:spacing w:after="0" w:line="240" w:lineRule="auto"/>
        <w:rPr>
          <w:rFonts w:ascii="Times New Roman" w:eastAsia="Times New Roman" w:hAnsi="Times New Roman" w:cs="Times New Roman"/>
        </w:rPr>
      </w:pPr>
    </w:p>
    <w:p w14:paraId="3DE10FE1"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Paruošto vartoti vaistinio preparato stabilumas. Cheminės ir fizinės savybės natrio chlorido (0,9% m/V) ir gliukozės (5% m/V) injekciniame tirpale nekinta iki 24 </w:t>
      </w:r>
      <w:r w:rsidRPr="00E14DCC">
        <w:rPr>
          <w:rFonts w:ascii="Times New Roman" w:eastAsia="Times New Roman" w:hAnsi="Times New Roman" w:cs="Times New Roman"/>
          <w:bCs/>
          <w:color w:val="000000"/>
        </w:rPr>
        <w:t xml:space="preserve">valandų, laikant žemesnėje kaip 25 °C temperatūroje, arba iki 72 valandų, laikant 2 °C </w:t>
      </w:r>
      <w:r w:rsidRPr="00E14DCC">
        <w:rPr>
          <w:rFonts w:ascii="Times New Roman" w:eastAsia="Times New Roman" w:hAnsi="Times New Roman" w:cs="Times New Roman"/>
          <w:bCs/>
          <w:color w:val="000000"/>
        </w:rPr>
        <w:noBreakHyphen/>
        <w:t xml:space="preserve">8 °C temperatūroje. </w:t>
      </w:r>
    </w:p>
    <w:p w14:paraId="7E2AF92F" w14:textId="77777777" w:rsidR="008A7165" w:rsidRPr="00E14DCC" w:rsidRDefault="008A7165" w:rsidP="008A7165">
      <w:pPr>
        <w:spacing w:after="0" w:line="240" w:lineRule="auto"/>
        <w:rPr>
          <w:rFonts w:ascii="Times New Roman" w:eastAsia="Times New Roman" w:hAnsi="Times New Roman" w:cs="Times New Roman"/>
        </w:rPr>
      </w:pPr>
    </w:p>
    <w:p w14:paraId="51A6871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Mikrobiologiniu požiūriu, vaistinį preparatą reikia suvartoti nedelsiant. Jeigu jis nesuvartojamas iš karto, atsakomybė už paruošto vartoti vaistinio preparato laikymo laiką ir sąlygas tenka vartotojui. Įprastai paruoštas vaistinis preparatas neturėtu būti laikomas ilgiau kaip 24 valandas 2 </w:t>
      </w:r>
      <w:r w:rsidRPr="00E14DCC">
        <w:rPr>
          <w:rFonts w:ascii="Times New Roman" w:eastAsia="Times New Roman" w:hAnsi="Times New Roman" w:cs="Times New Roman"/>
          <w:bCs/>
          <w:color w:val="000000"/>
        </w:rPr>
        <w:t xml:space="preserve">°C </w:t>
      </w:r>
      <w:r w:rsidRPr="00E14DCC">
        <w:rPr>
          <w:rFonts w:ascii="Times New Roman" w:eastAsia="Times New Roman" w:hAnsi="Times New Roman" w:cs="Times New Roman"/>
        </w:rPr>
        <w:noBreakHyphen/>
        <w:t>8 °C temperatūroje, nebent skiedimas buvo atliktas kontroliuojamomis ir patvirtintomis aseptinėmis sąlygomis.</w:t>
      </w:r>
    </w:p>
    <w:p w14:paraId="7C9989D8"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294A136A"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
          <w:bCs/>
        </w:rPr>
        <w:t>6.4</w:t>
      </w:r>
      <w:r w:rsidRPr="00E14DCC">
        <w:rPr>
          <w:rFonts w:ascii="Times New Roman" w:eastAsia="Times New Roman" w:hAnsi="Times New Roman" w:cs="Times New Roman"/>
          <w:b/>
          <w:bCs/>
        </w:rPr>
        <w:tab/>
        <w:t xml:space="preserve">Specialios laikymo sąlygos </w:t>
      </w:r>
    </w:p>
    <w:p w14:paraId="19D78B5F" w14:textId="77777777" w:rsidR="008A7165" w:rsidRPr="00E14DCC" w:rsidRDefault="008A7165" w:rsidP="008A7165">
      <w:pPr>
        <w:tabs>
          <w:tab w:val="num" w:pos="1440"/>
        </w:tabs>
        <w:spacing w:after="0" w:line="240" w:lineRule="auto"/>
        <w:jc w:val="both"/>
        <w:rPr>
          <w:rFonts w:ascii="Times New Roman" w:eastAsia="Times New Roman" w:hAnsi="Times New Roman" w:cs="Times New Roman"/>
        </w:rPr>
      </w:pPr>
    </w:p>
    <w:p w14:paraId="7D0A886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Laikyti ne aukštesnėje kaip 25 °C temperatūroje.</w:t>
      </w:r>
    </w:p>
    <w:p w14:paraId="181F25B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Negalima šaldyti ar užšaldyti. </w:t>
      </w:r>
    </w:p>
    <w:p w14:paraId="7DF7B386" w14:textId="77777777" w:rsidR="008A7165" w:rsidRPr="00E14DCC" w:rsidRDefault="008A7165" w:rsidP="008A7165">
      <w:pPr>
        <w:spacing w:after="0" w:line="240" w:lineRule="auto"/>
        <w:rPr>
          <w:rFonts w:ascii="Times New Roman" w:eastAsia="Times New Roman" w:hAnsi="Times New Roman" w:cs="Times New Roman"/>
        </w:rPr>
      </w:pPr>
    </w:p>
    <w:p w14:paraId="22AF232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Praskiesto vaistinio preparato laikymo sąlygos pateikiamos 6.3 skyriuje.</w:t>
      </w:r>
    </w:p>
    <w:p w14:paraId="33E4523B" w14:textId="77777777" w:rsidR="008A7165" w:rsidRPr="00E14DCC" w:rsidRDefault="008A7165" w:rsidP="008A7165">
      <w:pPr>
        <w:spacing w:after="0" w:line="240" w:lineRule="auto"/>
        <w:rPr>
          <w:rFonts w:ascii="Times New Roman" w:eastAsia="Times New Roman" w:hAnsi="Times New Roman" w:cs="Times New Roman"/>
          <w:bCs/>
        </w:rPr>
      </w:pPr>
    </w:p>
    <w:p w14:paraId="59336AB6" w14:textId="77777777" w:rsidR="008A7165" w:rsidRPr="00E14DCC" w:rsidRDefault="008A7165" w:rsidP="008A7165">
      <w:pPr>
        <w:tabs>
          <w:tab w:val="right" w:pos="567"/>
          <w:tab w:val="right" w:pos="720"/>
          <w:tab w:val="num" w:pos="936"/>
          <w:tab w:val="left" w:pos="1080"/>
        </w:tabs>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b/>
          <w:bCs/>
        </w:rPr>
        <w:t>6.5</w:t>
      </w:r>
      <w:r w:rsidRPr="00E14DCC">
        <w:rPr>
          <w:rFonts w:ascii="Times New Roman" w:eastAsia="Times New Roman" w:hAnsi="Times New Roman" w:cs="Times New Roman"/>
          <w:b/>
          <w:bCs/>
        </w:rPr>
        <w:tab/>
      </w:r>
      <w:r w:rsidRPr="00E14DCC">
        <w:rPr>
          <w:rFonts w:ascii="Times New Roman" w:eastAsia="Times New Roman" w:hAnsi="Times New Roman" w:cs="Times New Roman"/>
          <w:b/>
          <w:bCs/>
        </w:rPr>
        <w:tab/>
        <w:t xml:space="preserve">Talpyklės pobūdis ir jos turinys </w:t>
      </w:r>
    </w:p>
    <w:p w14:paraId="2491BAAF" w14:textId="77777777" w:rsidR="008A7165" w:rsidRPr="00E14DCC" w:rsidRDefault="008A7165" w:rsidP="008A7165">
      <w:pPr>
        <w:tabs>
          <w:tab w:val="num" w:pos="936"/>
        </w:tabs>
        <w:spacing w:after="0" w:line="240" w:lineRule="auto"/>
        <w:jc w:val="both"/>
        <w:rPr>
          <w:rFonts w:ascii="Times New Roman" w:eastAsia="Times New Roman" w:hAnsi="Times New Roman" w:cs="Times New Roman"/>
        </w:rPr>
      </w:pPr>
    </w:p>
    <w:p w14:paraId="05B39B01"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 ml flakonai</w:t>
      </w:r>
    </w:p>
    <w:p w14:paraId="564E172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2 ml talpos I tipo skaidraus stiklo flakonuose, kurie uždaryti 13 mm pilkos gumos kamščiu ir 13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0CDB304D" w14:textId="77777777" w:rsidR="008A7165" w:rsidRPr="00E14DCC" w:rsidRDefault="008A7165" w:rsidP="008A7165">
      <w:pPr>
        <w:spacing w:after="0" w:line="240" w:lineRule="auto"/>
        <w:rPr>
          <w:rFonts w:ascii="Times New Roman" w:eastAsia="Times New Roman" w:hAnsi="Times New Roman" w:cs="Times New Roman"/>
        </w:rPr>
      </w:pPr>
    </w:p>
    <w:p w14:paraId="4FD8BA7C"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5 ml flakonai</w:t>
      </w:r>
    </w:p>
    <w:p w14:paraId="48770FF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1AAB9C25" w14:textId="77777777" w:rsidR="008A7165" w:rsidRPr="00E14DCC" w:rsidRDefault="008A7165" w:rsidP="008A7165">
      <w:pPr>
        <w:spacing w:after="0" w:line="240" w:lineRule="auto"/>
        <w:rPr>
          <w:rFonts w:ascii="Times New Roman" w:eastAsia="Times New Roman" w:hAnsi="Times New Roman" w:cs="Times New Roman"/>
        </w:rPr>
      </w:pPr>
    </w:p>
    <w:p w14:paraId="4491FA21"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10 ml flakonai</w:t>
      </w:r>
    </w:p>
    <w:p w14:paraId="2F3590C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10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35007631" w14:textId="77777777" w:rsidR="008A7165" w:rsidRPr="00E14DCC" w:rsidRDefault="008A7165" w:rsidP="008A7165">
      <w:pPr>
        <w:spacing w:after="0" w:line="240" w:lineRule="auto"/>
        <w:rPr>
          <w:rFonts w:ascii="Times New Roman" w:eastAsia="Times New Roman" w:hAnsi="Times New Roman" w:cs="Times New Roman"/>
        </w:rPr>
      </w:pPr>
    </w:p>
    <w:p w14:paraId="6DC30359"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20 ml flakonai</w:t>
      </w:r>
    </w:p>
    <w:p w14:paraId="6D646D7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lastRenderedPageBreak/>
        <w:t xml:space="preserve">Injekcinis tirpalas tiekiamas 20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40C812B9" w14:textId="77777777" w:rsidR="008A7165" w:rsidRPr="00E14DCC" w:rsidRDefault="008A7165" w:rsidP="008A7165">
      <w:pPr>
        <w:spacing w:after="0" w:line="240" w:lineRule="auto"/>
        <w:rPr>
          <w:rFonts w:ascii="Times New Roman" w:eastAsia="Times New Roman" w:hAnsi="Times New Roman" w:cs="Times New Roman"/>
        </w:rPr>
      </w:pPr>
    </w:p>
    <w:p w14:paraId="5683085D"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40</w:t>
      </w:r>
      <w:r w:rsidRPr="00E14DCC">
        <w:rPr>
          <w:rFonts w:ascii="Times New Roman" w:eastAsia="Times New Roman" w:hAnsi="Times New Roman" w:cs="Times New Roman"/>
          <w:u w:val="single"/>
        </w:rPr>
        <w:t> ml flakonai</w:t>
      </w:r>
    </w:p>
    <w:p w14:paraId="7BE4CAB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13420D7A" w14:textId="77777777" w:rsidR="008A7165" w:rsidRPr="00E14DCC" w:rsidRDefault="008A7165" w:rsidP="008A7165">
      <w:pPr>
        <w:spacing w:after="0" w:line="240" w:lineRule="auto"/>
        <w:rPr>
          <w:rFonts w:ascii="Times New Roman" w:eastAsia="Times New Roman" w:hAnsi="Times New Roman" w:cs="Times New Roman"/>
        </w:rPr>
      </w:pPr>
    </w:p>
    <w:p w14:paraId="680BB4F2"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50</w:t>
      </w:r>
      <w:r w:rsidRPr="00E14DCC">
        <w:rPr>
          <w:rFonts w:ascii="Times New Roman" w:eastAsia="Times New Roman" w:hAnsi="Times New Roman" w:cs="Times New Roman"/>
          <w:u w:val="single"/>
        </w:rPr>
        <w:t> ml flakonai</w:t>
      </w:r>
    </w:p>
    <w:p w14:paraId="2429878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violetiniu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6840F0D3" w14:textId="77777777" w:rsidR="008A7165" w:rsidRPr="00E14DCC" w:rsidRDefault="008A7165" w:rsidP="008A7165">
      <w:pPr>
        <w:spacing w:after="0" w:line="240" w:lineRule="auto"/>
        <w:rPr>
          <w:rFonts w:ascii="Times New Roman" w:eastAsia="Times New Roman" w:hAnsi="Times New Roman" w:cs="Times New Roman"/>
        </w:rPr>
      </w:pPr>
    </w:p>
    <w:p w14:paraId="1E63C3F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Pakuočių dydžiai:</w:t>
      </w:r>
    </w:p>
    <w:p w14:paraId="7462ABF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1 ml flakonas, 5 x 1 ml flakonai</w:t>
      </w:r>
    </w:p>
    <w:p w14:paraId="086CABA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5 ml flakonas, 5 x 5 ml flakonai</w:t>
      </w:r>
    </w:p>
    <w:p w14:paraId="4C02F07A"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10 ml flakonas</w:t>
      </w:r>
    </w:p>
    <w:p w14:paraId="27D04FF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20 ml flakonas</w:t>
      </w:r>
    </w:p>
    <w:p w14:paraId="7D996450" w14:textId="77777777" w:rsidR="008A7165" w:rsidRPr="00E14DCC" w:rsidRDefault="008A7165" w:rsidP="008A7165">
      <w:pPr>
        <w:shd w:val="clear" w:color="auto" w:fill="FFFFFF"/>
        <w:spacing w:after="0" w:line="240" w:lineRule="auto"/>
        <w:jc w:val="both"/>
        <w:rPr>
          <w:rFonts w:ascii="Times New Roman" w:eastAsia="Times New Roman" w:hAnsi="Times New Roman" w:cs="Times New Roman"/>
          <w:shd w:val="clear" w:color="auto" w:fill="FFFFFF"/>
        </w:rPr>
      </w:pPr>
      <w:r w:rsidRPr="00E14DCC">
        <w:rPr>
          <w:rFonts w:ascii="Times New Roman" w:eastAsia="Times New Roman" w:hAnsi="Times New Roman" w:cs="Times New Roman"/>
          <w:shd w:val="clear" w:color="auto" w:fill="FFFFFF"/>
        </w:rPr>
        <w:t>1 x 40 ml flakonas</w:t>
      </w:r>
    </w:p>
    <w:p w14:paraId="00AA553D" w14:textId="77777777" w:rsidR="008A7165" w:rsidRPr="00E14DCC" w:rsidRDefault="008A7165" w:rsidP="008A7165">
      <w:pPr>
        <w:shd w:val="clear" w:color="auto" w:fill="FFFFFF"/>
        <w:spacing w:after="0" w:line="240" w:lineRule="auto"/>
        <w:jc w:val="both"/>
        <w:rPr>
          <w:rFonts w:ascii="Times New Roman" w:eastAsia="Times New Roman" w:hAnsi="Times New Roman" w:cs="Times New Roman"/>
          <w:shd w:val="clear" w:color="auto" w:fill="FFFFFF"/>
        </w:rPr>
      </w:pPr>
      <w:r w:rsidRPr="00E14DCC">
        <w:rPr>
          <w:rFonts w:ascii="Times New Roman" w:eastAsia="Times New Roman" w:hAnsi="Times New Roman" w:cs="Times New Roman"/>
          <w:shd w:val="clear" w:color="auto" w:fill="FFFFFF"/>
        </w:rPr>
        <w:t>1 x 50 ml flakonas</w:t>
      </w:r>
    </w:p>
    <w:p w14:paraId="2194C886" w14:textId="77777777" w:rsidR="008A7165" w:rsidRPr="00E14DCC" w:rsidRDefault="008A7165" w:rsidP="008A7165">
      <w:pPr>
        <w:spacing w:after="0" w:line="240" w:lineRule="auto"/>
        <w:rPr>
          <w:rFonts w:ascii="Times New Roman" w:eastAsia="Times New Roman" w:hAnsi="Times New Roman" w:cs="Times New Roman"/>
        </w:rPr>
      </w:pPr>
    </w:p>
    <w:p w14:paraId="63DD7B7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Gali būti tiekiamos ne visų dydžių pakuotės.</w:t>
      </w:r>
    </w:p>
    <w:p w14:paraId="42D6982D" w14:textId="77777777" w:rsidR="008A7165" w:rsidRPr="00E14DCC" w:rsidRDefault="008A7165" w:rsidP="008A7165">
      <w:pPr>
        <w:tabs>
          <w:tab w:val="right" w:pos="720"/>
          <w:tab w:val="num" w:pos="960"/>
        </w:tabs>
        <w:spacing w:after="0" w:line="240" w:lineRule="auto"/>
        <w:jc w:val="both"/>
        <w:rPr>
          <w:rFonts w:ascii="Times New Roman" w:eastAsia="Times New Roman" w:hAnsi="Times New Roman" w:cs="Times New Roman"/>
        </w:rPr>
      </w:pPr>
    </w:p>
    <w:p w14:paraId="3D98D5F5" w14:textId="77777777" w:rsidR="008A7165" w:rsidRPr="00E14DCC" w:rsidRDefault="008A7165" w:rsidP="008A7165">
      <w:pPr>
        <w:tabs>
          <w:tab w:val="right" w:pos="0"/>
          <w:tab w:val="num" w:pos="567"/>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6.6</w:t>
      </w:r>
      <w:r w:rsidRPr="00E14DCC">
        <w:rPr>
          <w:rFonts w:ascii="Times New Roman" w:eastAsia="Times New Roman" w:hAnsi="Times New Roman" w:cs="Times New Roman"/>
          <w:b/>
          <w:bCs/>
          <w:color w:val="000000"/>
        </w:rPr>
        <w:tab/>
        <w:t>Specialūs reikalavimai atliekoms tvarkyti ir vaistiniam preparatui ruošti</w:t>
      </w:r>
    </w:p>
    <w:p w14:paraId="2B54E927" w14:textId="77777777" w:rsidR="008A7165" w:rsidRPr="00E14DCC" w:rsidRDefault="008A7165" w:rsidP="008A7165">
      <w:pPr>
        <w:spacing w:after="0" w:line="240" w:lineRule="auto"/>
        <w:rPr>
          <w:rFonts w:ascii="Times New Roman" w:eastAsia="Times New Roman" w:hAnsi="Times New Roman" w:cs="Times New Roman"/>
        </w:rPr>
      </w:pPr>
    </w:p>
    <w:p w14:paraId="73814C2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Tik vienkartiniam vartojimui. </w:t>
      </w:r>
    </w:p>
    <w:p w14:paraId="4252EC27" w14:textId="77777777" w:rsidR="008A7165" w:rsidRPr="00E14DCC" w:rsidRDefault="008A7165" w:rsidP="008A7165">
      <w:pPr>
        <w:spacing w:after="0" w:line="240" w:lineRule="auto"/>
        <w:rPr>
          <w:rFonts w:ascii="Times New Roman" w:eastAsia="Times New Roman" w:hAnsi="Times New Roman" w:cs="Times New Roman"/>
        </w:rPr>
      </w:pPr>
    </w:p>
    <w:p w14:paraId="023A5D6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Jei tirpalo spalva pakito ar pastebite jame matomų dalelių, jį reikia sunaikinti. </w:t>
      </w:r>
    </w:p>
    <w:p w14:paraId="141CF11D" w14:textId="77777777" w:rsidR="008A7165" w:rsidRPr="00E14DCC" w:rsidRDefault="008A7165" w:rsidP="008A7165">
      <w:pPr>
        <w:spacing w:after="0" w:line="240" w:lineRule="auto"/>
        <w:rPr>
          <w:rFonts w:ascii="Times New Roman" w:eastAsia="Times New Roman" w:hAnsi="Times New Roman" w:cs="Times New Roman"/>
        </w:rPr>
      </w:pPr>
    </w:p>
    <w:p w14:paraId="355A92B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Atidarius, kiekvieno flakono turinį reikia nedelsiant suvartoti. Nesuvartotą turinį reikia sunaikinti.  </w:t>
      </w:r>
    </w:p>
    <w:p w14:paraId="6EBB7BA0" w14:textId="77777777" w:rsidR="008A7165" w:rsidRPr="00E14DCC" w:rsidRDefault="008A7165" w:rsidP="008A7165">
      <w:pPr>
        <w:spacing w:after="0" w:line="240" w:lineRule="auto"/>
        <w:rPr>
          <w:rFonts w:ascii="Times New Roman" w:eastAsia="Times New Roman" w:hAnsi="Times New Roman" w:cs="Times New Roman"/>
        </w:rPr>
      </w:pPr>
    </w:p>
    <w:p w14:paraId="2982A0B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Accord gali būti skiedžiamas injekciniu vandeniu, 0,9% m/V natrio chlorido arba 5% m/V gliukozės injekciniu tirpalu (žr. 6.3 skyrių). Cytarabine Accord negalima maišyti su kitais vaistiniais preparatais, išskyrus nurodytus 6.6 skyriuje. </w:t>
      </w:r>
    </w:p>
    <w:p w14:paraId="135C3C10" w14:textId="77777777" w:rsidR="008A7165" w:rsidRPr="00E14DCC" w:rsidRDefault="008A7165" w:rsidP="008A7165">
      <w:pPr>
        <w:spacing w:after="0" w:line="240" w:lineRule="auto"/>
        <w:rPr>
          <w:rFonts w:ascii="Times New Roman" w:eastAsia="Times New Roman" w:hAnsi="Times New Roman" w:cs="Times New Roman"/>
        </w:rPr>
      </w:pPr>
    </w:p>
    <w:p w14:paraId="5478F266"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Citotoksinių vaistinių preparatų ruošimo gairės</w:t>
      </w:r>
    </w:p>
    <w:p w14:paraId="3EF822EC" w14:textId="77777777" w:rsidR="008A7165" w:rsidRPr="00E14DCC" w:rsidDel="00D63DD3" w:rsidRDefault="008A7165" w:rsidP="008A7165">
      <w:pPr>
        <w:spacing w:after="0" w:line="240" w:lineRule="auto"/>
        <w:rPr>
          <w:rFonts w:ascii="Times New Roman" w:eastAsia="Times New Roman" w:hAnsi="Times New Roman" w:cs="Times New Roman"/>
        </w:rPr>
      </w:pPr>
    </w:p>
    <w:p w14:paraId="506098D7"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Skyrimas</w:t>
      </w:r>
    </w:p>
    <w:p w14:paraId="24D45988" w14:textId="77777777" w:rsidR="008A7165" w:rsidRPr="00E14DCC" w:rsidRDefault="008A7165" w:rsidP="008A7165">
      <w:pPr>
        <w:spacing w:after="0" w:line="240" w:lineRule="auto"/>
        <w:rPr>
          <w:rFonts w:ascii="Times New Roman" w:eastAsia="Times New Roman" w:hAnsi="Times New Roman" w:cs="Times New Roman"/>
        </w:rPr>
      </w:pPr>
    </w:p>
    <w:p w14:paraId="017B7FB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Vaistinį preparatą turi leisti arba jo leidimą prižiūrėti tik gydytojas, turintis gydymo chemoterapiniais preparatais patirties. </w:t>
      </w:r>
    </w:p>
    <w:p w14:paraId="79DE4F23" w14:textId="77777777" w:rsidR="008A7165" w:rsidRPr="00E14DCC" w:rsidRDefault="008A7165" w:rsidP="008A7165">
      <w:pPr>
        <w:spacing w:after="0" w:line="240" w:lineRule="auto"/>
        <w:rPr>
          <w:rFonts w:ascii="Times New Roman" w:eastAsia="Times New Roman" w:hAnsi="Times New Roman" w:cs="Times New Roman"/>
        </w:rPr>
      </w:pPr>
    </w:p>
    <w:p w14:paraId="608EE780"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Paruošimas</w:t>
      </w:r>
    </w:p>
    <w:p w14:paraId="6554138E" w14:textId="77777777" w:rsidR="008A7165" w:rsidRPr="00E14DCC" w:rsidRDefault="008A7165" w:rsidP="008A7165">
      <w:pPr>
        <w:spacing w:after="0" w:line="240" w:lineRule="auto"/>
        <w:rPr>
          <w:rFonts w:ascii="Times New Roman" w:eastAsia="Times New Roman" w:hAnsi="Times New Roman" w:cs="Times New Roman"/>
        </w:rPr>
      </w:pPr>
    </w:p>
    <w:p w14:paraId="657F2AAA" w14:textId="77777777" w:rsidR="008A7165" w:rsidRPr="00E14DCC" w:rsidRDefault="008A7165" w:rsidP="00805CDB">
      <w:pPr>
        <w:numPr>
          <w:ilvl w:val="0"/>
          <w:numId w:val="14"/>
        </w:numPr>
        <w:tabs>
          <w:tab w:val="clear" w:pos="1440"/>
          <w:tab w:val="num" w:pos="567"/>
        </w:tabs>
        <w:spacing w:after="0" w:line="240" w:lineRule="auto"/>
        <w:ind w:left="567" w:hanging="283"/>
        <w:rPr>
          <w:rFonts w:ascii="Times New Roman" w:eastAsia="Times New Roman" w:hAnsi="Times New Roman" w:cs="Times New Roman"/>
        </w:rPr>
      </w:pPr>
      <w:r w:rsidRPr="00E14DCC">
        <w:rPr>
          <w:rFonts w:ascii="Times New Roman" w:eastAsia="Times New Roman" w:hAnsi="Times New Roman" w:cs="Times New Roman"/>
        </w:rPr>
        <w:t xml:space="preserve">Chemoterapinius preparatus gali ruošti tik specialistai, turintys saugaus tokių vaistinių preparatų vartojimo patirties. </w:t>
      </w:r>
    </w:p>
    <w:p w14:paraId="5A94B42B" w14:textId="77777777" w:rsidR="008A7165" w:rsidRPr="00E14DCC" w:rsidRDefault="008A7165" w:rsidP="00805CDB">
      <w:pPr>
        <w:numPr>
          <w:ilvl w:val="0"/>
          <w:numId w:val="14"/>
        </w:numPr>
        <w:tabs>
          <w:tab w:val="clear" w:pos="1440"/>
          <w:tab w:val="num" w:pos="567"/>
        </w:tabs>
        <w:spacing w:after="0" w:line="240" w:lineRule="auto"/>
        <w:ind w:left="567" w:hanging="283"/>
        <w:rPr>
          <w:rFonts w:ascii="Times New Roman" w:eastAsia="Times New Roman" w:hAnsi="Times New Roman" w:cs="Times New Roman"/>
        </w:rPr>
      </w:pPr>
      <w:r w:rsidRPr="00E14DCC">
        <w:rPr>
          <w:rFonts w:ascii="Times New Roman" w:eastAsia="Times New Roman" w:hAnsi="Times New Roman" w:cs="Times New Roman"/>
        </w:rPr>
        <w:t xml:space="preserve">Tokios procedūros kaip skiedimas, įtraukimas į švirkštą, turi būti atliekamos tik tam specialiai paskirtoje vietoje. </w:t>
      </w:r>
    </w:p>
    <w:p w14:paraId="15D0AB7E" w14:textId="77777777" w:rsidR="008A7165" w:rsidRPr="00E14DCC" w:rsidRDefault="008A7165" w:rsidP="00805CDB">
      <w:pPr>
        <w:numPr>
          <w:ilvl w:val="0"/>
          <w:numId w:val="14"/>
        </w:numPr>
        <w:tabs>
          <w:tab w:val="clear" w:pos="1440"/>
          <w:tab w:val="num" w:pos="567"/>
        </w:tabs>
        <w:spacing w:after="0" w:line="240" w:lineRule="auto"/>
        <w:ind w:left="567" w:hanging="283"/>
        <w:rPr>
          <w:rFonts w:ascii="Times New Roman" w:eastAsia="Times New Roman" w:hAnsi="Times New Roman" w:cs="Times New Roman"/>
        </w:rPr>
      </w:pPr>
      <w:r w:rsidRPr="00E14DCC">
        <w:rPr>
          <w:rFonts w:ascii="Times New Roman" w:eastAsia="Times New Roman" w:hAnsi="Times New Roman" w:cs="Times New Roman"/>
        </w:rPr>
        <w:t xml:space="preserve">Darbuotojai, atliekantys šias procedūras, turi turėti tinkamus apsauginius drabužius, pirštines ir apsauginius akinius. </w:t>
      </w:r>
    </w:p>
    <w:p w14:paraId="014FBA66" w14:textId="77777777" w:rsidR="008A7165" w:rsidRPr="00E14DCC" w:rsidRDefault="008A7165" w:rsidP="00805CDB">
      <w:pPr>
        <w:numPr>
          <w:ilvl w:val="0"/>
          <w:numId w:val="14"/>
        </w:numPr>
        <w:tabs>
          <w:tab w:val="clear" w:pos="1440"/>
          <w:tab w:val="num" w:pos="567"/>
        </w:tabs>
        <w:spacing w:after="0" w:line="240" w:lineRule="auto"/>
        <w:ind w:left="567" w:hanging="283"/>
        <w:rPr>
          <w:rFonts w:ascii="Times New Roman" w:eastAsia="Times New Roman" w:hAnsi="Times New Roman" w:cs="Times New Roman"/>
        </w:rPr>
      </w:pPr>
      <w:r w:rsidRPr="00E14DCC">
        <w:rPr>
          <w:rFonts w:ascii="Times New Roman" w:eastAsia="Times New Roman" w:hAnsi="Times New Roman" w:cs="Times New Roman"/>
        </w:rPr>
        <w:t xml:space="preserve">Nėščioms darbuotojoms patariama nedirbti su chemoterapiniais preparatais. </w:t>
      </w:r>
    </w:p>
    <w:p w14:paraId="6AAE8251" w14:textId="77777777" w:rsidR="008A7165" w:rsidRPr="00E14DCC" w:rsidRDefault="008A7165" w:rsidP="008A7165">
      <w:pPr>
        <w:spacing w:after="0" w:line="240" w:lineRule="auto"/>
        <w:rPr>
          <w:rFonts w:ascii="Times New Roman" w:eastAsia="Times New Roman" w:hAnsi="Times New Roman" w:cs="Times New Roman"/>
        </w:rPr>
      </w:pPr>
    </w:p>
    <w:p w14:paraId="43CA3E29" w14:textId="77777777" w:rsidR="008A7165" w:rsidRPr="00E14DCC" w:rsidRDefault="008A7165" w:rsidP="008A7165">
      <w:pPr>
        <w:spacing w:after="0" w:line="240" w:lineRule="auto"/>
        <w:rPr>
          <w:rFonts w:ascii="Times New Roman" w:eastAsia="Times New Roman" w:hAnsi="Times New Roman" w:cs="Times New Roman"/>
          <w:i/>
        </w:rPr>
      </w:pPr>
      <w:r w:rsidRPr="00E14DCC">
        <w:rPr>
          <w:rFonts w:ascii="Times New Roman" w:eastAsia="Times New Roman" w:hAnsi="Times New Roman" w:cs="Times New Roman"/>
          <w:i/>
        </w:rPr>
        <w:t>Atliekų tvarkymas ir užterštumas</w:t>
      </w:r>
    </w:p>
    <w:p w14:paraId="40BF7CF1" w14:textId="77777777" w:rsidR="008A7165" w:rsidRPr="00E14DCC" w:rsidRDefault="008A7165" w:rsidP="008A7165">
      <w:pPr>
        <w:spacing w:after="0" w:line="240" w:lineRule="auto"/>
        <w:rPr>
          <w:rFonts w:ascii="Times New Roman" w:eastAsia="Times New Roman" w:hAnsi="Times New Roman" w:cs="Times New Roman"/>
        </w:rPr>
      </w:pPr>
    </w:p>
    <w:p w14:paraId="0D28FF6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Nesuvartotą vaistinį preparatą ar atliekas reikia tvarkyti laikantis vietinių reikalavimų.</w:t>
      </w:r>
    </w:p>
    <w:p w14:paraId="78DB8BDA" w14:textId="77777777" w:rsidR="008A7165" w:rsidRPr="00E14DCC" w:rsidRDefault="008A7165" w:rsidP="008A7165">
      <w:pPr>
        <w:spacing w:after="0" w:line="240" w:lineRule="auto"/>
        <w:rPr>
          <w:rFonts w:ascii="Times New Roman" w:eastAsia="Times New Roman" w:hAnsi="Times New Roman" w:cs="Times New Roman"/>
        </w:rPr>
      </w:pPr>
    </w:p>
    <w:p w14:paraId="19911E3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Norėdami sunaikinti, įdėkite į maišelį labai pavojingoms (citotoksinėms) atliekoms ir sudeginkite 1100 </w:t>
      </w:r>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 temperatūroje. Nesuvartotą vaistinį preparatą ar atliekas reikia tvarkyti laikantis vietinių reikalavimų.</w:t>
      </w:r>
    </w:p>
    <w:p w14:paraId="6F3FD1CE" w14:textId="77777777" w:rsidR="008A7165" w:rsidRPr="00E14DCC" w:rsidRDefault="008A7165" w:rsidP="008A7165">
      <w:pPr>
        <w:spacing w:after="0" w:line="240" w:lineRule="auto"/>
        <w:rPr>
          <w:rFonts w:ascii="Times New Roman" w:eastAsia="Times New Roman" w:hAnsi="Times New Roman" w:cs="Times New Roman"/>
        </w:rPr>
      </w:pPr>
    </w:p>
    <w:p w14:paraId="7E60B8C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Jeigu vaistinio preparato išsiliejo, reikia apriboti patekimą į užterštą vietą ir dėvėti tinkamas apsaugos priemones, įskaitant pirštines ir apsauginius akinius. Apribokite vaistinio preparato plitimą ir išvalykite užterštą plotą absorbuojančiu popieriumi ar medžiaga. Išsiliejusį vaistinį preparatą galima apdoroti 5% natrio hipochloritu. Vietą, kur buvo išsilieję vaistinio preparato, reikia išplauti gausiu vandens kiekiu. Užterštas medžiagas, įdėkite į sandarų maišelį citotoksinėms atliekoms ir sudeginkite 1100</w:t>
      </w:r>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 temperatūroje.</w:t>
      </w:r>
    </w:p>
    <w:p w14:paraId="5F9DAEB1" w14:textId="77777777" w:rsidR="008A7165" w:rsidRPr="00E14DCC" w:rsidRDefault="008A7165" w:rsidP="008A7165">
      <w:pPr>
        <w:spacing w:after="0" w:line="240" w:lineRule="auto"/>
        <w:rPr>
          <w:rFonts w:ascii="Times New Roman" w:eastAsia="Times New Roman" w:hAnsi="Times New Roman" w:cs="Times New Roman"/>
        </w:rPr>
      </w:pPr>
    </w:p>
    <w:p w14:paraId="3F4394A4" w14:textId="77777777" w:rsidR="008A7165" w:rsidRPr="00E14DCC" w:rsidRDefault="008A7165" w:rsidP="008A7165">
      <w:pPr>
        <w:spacing w:after="0" w:line="240" w:lineRule="auto"/>
        <w:rPr>
          <w:rFonts w:ascii="Times New Roman" w:eastAsia="Times New Roman" w:hAnsi="Times New Roman" w:cs="Times New Roman"/>
        </w:rPr>
      </w:pPr>
    </w:p>
    <w:p w14:paraId="1EAA3757" w14:textId="77777777" w:rsidR="008A7165" w:rsidRPr="00E14DCC" w:rsidRDefault="008A7165" w:rsidP="008A7165">
      <w:pP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7.</w:t>
      </w:r>
      <w:r w:rsidRPr="00E14DCC">
        <w:rPr>
          <w:rFonts w:ascii="Times New Roman" w:eastAsia="Times New Roman" w:hAnsi="Times New Roman" w:cs="Times New Roman"/>
          <w:b/>
          <w:bCs/>
        </w:rPr>
        <w:tab/>
        <w:t>REGISTRUOTOJAS</w:t>
      </w:r>
    </w:p>
    <w:p w14:paraId="0319BD55" w14:textId="77777777" w:rsidR="008A7165" w:rsidRPr="00E14DCC" w:rsidRDefault="008A7165" w:rsidP="008A7165">
      <w:pPr>
        <w:tabs>
          <w:tab w:val="num" w:pos="1404"/>
        </w:tabs>
        <w:spacing w:after="0" w:line="240" w:lineRule="auto"/>
        <w:ind w:right="29"/>
        <w:jc w:val="both"/>
        <w:rPr>
          <w:rFonts w:ascii="Times New Roman" w:eastAsia="Times New Roman" w:hAnsi="Times New Roman" w:cs="Times New Roman"/>
          <w:b/>
          <w:bCs/>
        </w:rPr>
      </w:pPr>
    </w:p>
    <w:p w14:paraId="0D810640" w14:textId="3CBDDC0A"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Accord Healthcare </w:t>
      </w:r>
      <w:r w:rsidR="00C33D2E" w:rsidRPr="00E14DCC">
        <w:rPr>
          <w:rFonts w:ascii="Times New Roman" w:hAnsi="Times New Roman" w:cs="Times New Roman"/>
        </w:rPr>
        <w:t>B.V.</w:t>
      </w:r>
      <w:r w:rsidRPr="00E14DCC">
        <w:rPr>
          <w:rFonts w:ascii="Times New Roman" w:eastAsia="Times New Roman" w:hAnsi="Times New Roman" w:cs="Times New Roman"/>
        </w:rPr>
        <w:t xml:space="preserve"> </w:t>
      </w:r>
    </w:p>
    <w:p w14:paraId="6FCFDC25" w14:textId="77777777" w:rsidR="00C33D2E" w:rsidRPr="00E14DCC" w:rsidRDefault="00C33D2E" w:rsidP="00C33D2E">
      <w:pPr>
        <w:spacing w:after="0" w:line="240" w:lineRule="auto"/>
        <w:rPr>
          <w:rFonts w:ascii="Times New Roman" w:hAnsi="Times New Roman" w:cs="Times New Roman"/>
        </w:rPr>
      </w:pPr>
      <w:r w:rsidRPr="00E14DCC">
        <w:rPr>
          <w:rFonts w:ascii="Times New Roman" w:hAnsi="Times New Roman" w:cs="Times New Roman"/>
        </w:rPr>
        <w:t xml:space="preserve">Winthontlaan 200 </w:t>
      </w:r>
    </w:p>
    <w:p w14:paraId="143D63B7" w14:textId="77777777" w:rsidR="00C33D2E" w:rsidRPr="00E14DCC" w:rsidRDefault="00C33D2E" w:rsidP="00C33D2E">
      <w:pPr>
        <w:spacing w:after="0" w:line="240" w:lineRule="auto"/>
        <w:rPr>
          <w:rFonts w:ascii="Times New Roman" w:hAnsi="Times New Roman" w:cs="Times New Roman"/>
        </w:rPr>
      </w:pPr>
      <w:r w:rsidRPr="00E14DCC">
        <w:rPr>
          <w:rFonts w:ascii="Times New Roman" w:hAnsi="Times New Roman" w:cs="Times New Roman"/>
        </w:rPr>
        <w:t xml:space="preserve">3526 KV Utrecht </w:t>
      </w:r>
    </w:p>
    <w:p w14:paraId="12272918" w14:textId="77777777" w:rsidR="00C33D2E" w:rsidRPr="00E14DCC" w:rsidRDefault="00C33D2E" w:rsidP="00C33D2E">
      <w:pPr>
        <w:spacing w:after="0" w:line="240" w:lineRule="auto"/>
      </w:pPr>
      <w:r w:rsidRPr="00E14DCC">
        <w:rPr>
          <w:rFonts w:ascii="Times New Roman" w:hAnsi="Times New Roman" w:cs="Times New Roman"/>
        </w:rPr>
        <w:t>Nyderlandai</w:t>
      </w:r>
    </w:p>
    <w:p w14:paraId="5A00CB5B" w14:textId="77777777" w:rsidR="008A7165" w:rsidRPr="00E14DCC" w:rsidRDefault="008A7165" w:rsidP="008A7165">
      <w:pPr>
        <w:tabs>
          <w:tab w:val="num" w:pos="1404"/>
        </w:tabs>
        <w:spacing w:after="0" w:line="240" w:lineRule="auto"/>
        <w:ind w:right="29"/>
        <w:jc w:val="both"/>
        <w:rPr>
          <w:rFonts w:ascii="Times New Roman" w:eastAsia="Times New Roman" w:hAnsi="Times New Roman" w:cs="Times New Roman"/>
        </w:rPr>
      </w:pPr>
    </w:p>
    <w:p w14:paraId="6B865106" w14:textId="77777777" w:rsidR="008A7165" w:rsidRPr="00E14DCC" w:rsidRDefault="008A7165" w:rsidP="008A7165">
      <w:pPr>
        <w:tabs>
          <w:tab w:val="num" w:pos="1404"/>
        </w:tabs>
        <w:spacing w:after="0" w:line="240" w:lineRule="auto"/>
        <w:ind w:right="29"/>
        <w:jc w:val="both"/>
        <w:rPr>
          <w:rFonts w:ascii="Times New Roman" w:eastAsia="Times New Roman" w:hAnsi="Times New Roman" w:cs="Times New Roman"/>
        </w:rPr>
      </w:pPr>
    </w:p>
    <w:p w14:paraId="1ADF53C2" w14:textId="77777777" w:rsidR="008A7165" w:rsidRPr="00E14DCC" w:rsidRDefault="008A7165" w:rsidP="008A7165">
      <w:pPr>
        <w:tabs>
          <w:tab w:val="left" w:pos="567"/>
          <w:tab w:val="num" w:pos="1404"/>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8.</w:t>
      </w:r>
      <w:r w:rsidRPr="00E14DCC">
        <w:rPr>
          <w:rFonts w:ascii="Times New Roman" w:eastAsia="Times New Roman" w:hAnsi="Times New Roman" w:cs="Times New Roman"/>
          <w:b/>
          <w:bCs/>
        </w:rPr>
        <w:tab/>
        <w:t>REGISTRACIJOS PAŽYMĖJIMO NUMERIS (-IAI)</w:t>
      </w:r>
    </w:p>
    <w:p w14:paraId="049D07A1" w14:textId="77777777" w:rsidR="008A7165" w:rsidRPr="00E14DCC" w:rsidRDefault="008A7165" w:rsidP="008A7165">
      <w:pPr>
        <w:tabs>
          <w:tab w:val="left" w:pos="720"/>
          <w:tab w:val="num" w:pos="1404"/>
        </w:tabs>
        <w:spacing w:after="0" w:line="240" w:lineRule="auto"/>
        <w:ind w:right="29"/>
        <w:jc w:val="both"/>
        <w:rPr>
          <w:rFonts w:ascii="Times New Roman" w:eastAsia="Times New Roman" w:hAnsi="Times New Roman" w:cs="Times New Roman"/>
          <w:bCs/>
        </w:rPr>
      </w:pPr>
    </w:p>
    <w:p w14:paraId="173A704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LT/1/10/2138/001 – 1 ml, N1</w:t>
      </w:r>
    </w:p>
    <w:p w14:paraId="37F1FD8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LT/1/10/2138/002 – 1 ml, N5</w:t>
      </w:r>
    </w:p>
    <w:p w14:paraId="5998048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LT/1/10/2138/003 – 5 ml, N1</w:t>
      </w:r>
    </w:p>
    <w:p w14:paraId="37F36D4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LT/1/10/2138/004 – 5 ml, N5</w:t>
      </w:r>
    </w:p>
    <w:p w14:paraId="10B38D97"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LT/1/10/2138/005 – 10 ml, N1</w:t>
      </w:r>
    </w:p>
    <w:p w14:paraId="534BA30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LT/1/10/2138/006 – 20 ml, N1</w:t>
      </w:r>
    </w:p>
    <w:p w14:paraId="17BB620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LT/1/10/2138/007 – 40 ml, N1</w:t>
      </w:r>
    </w:p>
    <w:p w14:paraId="0AAD39E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LT/1/10/2138/008 – 50 ml, N1</w:t>
      </w:r>
    </w:p>
    <w:p w14:paraId="32934110" w14:textId="77777777" w:rsidR="008A7165" w:rsidRPr="00E14DCC" w:rsidRDefault="008A7165" w:rsidP="008A7165">
      <w:pPr>
        <w:spacing w:after="0" w:line="240" w:lineRule="auto"/>
        <w:rPr>
          <w:rFonts w:ascii="Times New Roman" w:eastAsia="Times New Roman" w:hAnsi="Times New Roman" w:cs="Times New Roman"/>
        </w:rPr>
      </w:pPr>
    </w:p>
    <w:p w14:paraId="5633DD1A" w14:textId="77777777" w:rsidR="008A7165" w:rsidRPr="00E14DCC" w:rsidRDefault="008A7165" w:rsidP="008A7165">
      <w:pPr>
        <w:spacing w:after="0" w:line="240" w:lineRule="auto"/>
        <w:rPr>
          <w:rFonts w:ascii="Times New Roman" w:eastAsia="Times New Roman" w:hAnsi="Times New Roman" w:cs="Times New Roman"/>
        </w:rPr>
      </w:pPr>
    </w:p>
    <w:p w14:paraId="1EB60391" w14:textId="77777777" w:rsidR="008A7165" w:rsidRPr="00E14DCC" w:rsidRDefault="008A7165" w:rsidP="008A7165">
      <w:pPr>
        <w:tabs>
          <w:tab w:val="left" w:pos="567"/>
          <w:tab w:val="left" w:pos="720"/>
          <w:tab w:val="num" w:pos="936"/>
        </w:tabs>
        <w:spacing w:after="0" w:line="240" w:lineRule="auto"/>
        <w:ind w:left="720" w:right="29" w:hanging="720"/>
        <w:jc w:val="both"/>
        <w:rPr>
          <w:rFonts w:ascii="Times New Roman" w:eastAsia="Times New Roman" w:hAnsi="Times New Roman" w:cs="Times New Roman"/>
          <w:bCs/>
        </w:rPr>
      </w:pPr>
      <w:r w:rsidRPr="00E14DCC">
        <w:rPr>
          <w:rFonts w:ascii="Times New Roman" w:eastAsia="Times New Roman" w:hAnsi="Times New Roman" w:cs="Times New Roman"/>
          <w:b/>
          <w:bCs/>
        </w:rPr>
        <w:t>9</w:t>
      </w:r>
      <w:r w:rsidRPr="00E14DCC">
        <w:rPr>
          <w:rFonts w:ascii="Times New Roman" w:eastAsia="Times New Roman" w:hAnsi="Times New Roman" w:cs="Times New Roman"/>
          <w:b/>
          <w:bCs/>
          <w:spacing w:val="2"/>
        </w:rPr>
        <w:t>.</w:t>
      </w:r>
      <w:r w:rsidRPr="00E14DCC">
        <w:rPr>
          <w:rFonts w:ascii="Times New Roman" w:eastAsia="Times New Roman" w:hAnsi="Times New Roman" w:cs="Times New Roman"/>
          <w:b/>
          <w:bCs/>
          <w:spacing w:val="2"/>
        </w:rPr>
        <w:tab/>
        <w:t xml:space="preserve">REGISTRAVIMO / PERREGISTRAVIMO </w:t>
      </w:r>
      <w:r w:rsidRPr="00E14DCC">
        <w:rPr>
          <w:rFonts w:ascii="Times New Roman" w:eastAsia="Times New Roman" w:hAnsi="Times New Roman" w:cs="Times New Roman"/>
          <w:b/>
          <w:bCs/>
        </w:rPr>
        <w:t>DATA</w:t>
      </w:r>
    </w:p>
    <w:p w14:paraId="47B39257" w14:textId="77777777" w:rsidR="008A7165" w:rsidRPr="00E14DCC" w:rsidRDefault="008A7165" w:rsidP="008A7165">
      <w:pPr>
        <w:tabs>
          <w:tab w:val="left" w:pos="360"/>
          <w:tab w:val="num" w:pos="1404"/>
        </w:tabs>
        <w:spacing w:after="0" w:line="240" w:lineRule="auto"/>
        <w:ind w:right="29"/>
        <w:jc w:val="both"/>
        <w:rPr>
          <w:rFonts w:ascii="Times New Roman" w:eastAsia="Times New Roman" w:hAnsi="Times New Roman" w:cs="Times New Roman"/>
        </w:rPr>
      </w:pPr>
    </w:p>
    <w:p w14:paraId="4F01E414" w14:textId="77777777" w:rsidR="008A7165" w:rsidRPr="00E14DCC" w:rsidRDefault="008A7165" w:rsidP="008A7165">
      <w:pPr>
        <w:tabs>
          <w:tab w:val="left" w:pos="360"/>
          <w:tab w:val="num" w:pos="1404"/>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Registravimo data 2010 m. rugpjūčio 13 d.</w:t>
      </w:r>
    </w:p>
    <w:p w14:paraId="1697B041" w14:textId="77777777" w:rsidR="008A7165" w:rsidRPr="00E14DCC" w:rsidRDefault="008A7165" w:rsidP="008A7165">
      <w:pPr>
        <w:tabs>
          <w:tab w:val="left" w:pos="360"/>
          <w:tab w:val="num" w:pos="1404"/>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Paskutinio perregistravimo data 2018 m. gegužės 8 d.</w:t>
      </w:r>
    </w:p>
    <w:p w14:paraId="5451710C" w14:textId="77777777" w:rsidR="008A7165" w:rsidRPr="00E14DCC" w:rsidRDefault="008A7165" w:rsidP="008A7165">
      <w:pPr>
        <w:tabs>
          <w:tab w:val="left" w:pos="360"/>
          <w:tab w:val="num" w:pos="1404"/>
        </w:tabs>
        <w:spacing w:after="0" w:line="240" w:lineRule="auto"/>
        <w:ind w:right="29"/>
        <w:jc w:val="both"/>
        <w:rPr>
          <w:rFonts w:ascii="Times New Roman" w:eastAsia="Times New Roman" w:hAnsi="Times New Roman" w:cs="Times New Roman"/>
        </w:rPr>
      </w:pPr>
    </w:p>
    <w:p w14:paraId="536AC57B" w14:textId="77777777" w:rsidR="008A7165" w:rsidRPr="00E14DCC" w:rsidRDefault="008A7165" w:rsidP="008A7165">
      <w:pPr>
        <w:tabs>
          <w:tab w:val="left" w:pos="360"/>
          <w:tab w:val="num" w:pos="1404"/>
        </w:tabs>
        <w:spacing w:after="0" w:line="240" w:lineRule="auto"/>
        <w:ind w:right="29"/>
        <w:jc w:val="both"/>
        <w:rPr>
          <w:rFonts w:ascii="Times New Roman" w:eastAsia="Times New Roman" w:hAnsi="Times New Roman" w:cs="Times New Roman"/>
        </w:rPr>
      </w:pPr>
    </w:p>
    <w:p w14:paraId="4226DDA5" w14:textId="77777777" w:rsidR="008A7165" w:rsidRPr="00E14DCC" w:rsidRDefault="008A7165" w:rsidP="008A7165">
      <w:pPr>
        <w:tabs>
          <w:tab w:val="num" w:pos="-2886"/>
          <w:tab w:val="left"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10.</w:t>
      </w:r>
      <w:r w:rsidRPr="00E14DCC">
        <w:rPr>
          <w:rFonts w:ascii="Times New Roman" w:eastAsia="Times New Roman" w:hAnsi="Times New Roman" w:cs="Times New Roman"/>
          <w:b/>
          <w:bCs/>
        </w:rPr>
        <w:tab/>
        <w:t>TEKSTO PERŽIŪROS DATA</w:t>
      </w:r>
    </w:p>
    <w:p w14:paraId="6811D43D" w14:textId="77777777" w:rsidR="008A7165" w:rsidRPr="00E14DCC" w:rsidRDefault="008A7165" w:rsidP="008A7165">
      <w:pPr>
        <w:tabs>
          <w:tab w:val="num" w:pos="-2886"/>
          <w:tab w:val="left" w:pos="360"/>
        </w:tabs>
        <w:spacing w:after="0" w:line="240" w:lineRule="auto"/>
        <w:ind w:right="29"/>
        <w:jc w:val="both"/>
        <w:rPr>
          <w:rFonts w:ascii="Times New Roman" w:eastAsia="Times New Roman" w:hAnsi="Times New Roman" w:cs="Times New Roman"/>
        </w:rPr>
      </w:pPr>
    </w:p>
    <w:p w14:paraId="41B7665F" w14:textId="583DDC59" w:rsidR="008A7165" w:rsidRPr="00E14DCC" w:rsidRDefault="000850CE" w:rsidP="008A7165">
      <w:pPr>
        <w:tabs>
          <w:tab w:val="num" w:pos="-2886"/>
          <w:tab w:val="left" w:pos="36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2020 m. lapkričio 12 d.</w:t>
      </w:r>
    </w:p>
    <w:p w14:paraId="33DF1464" w14:textId="77777777" w:rsidR="008A7165" w:rsidRPr="00E14DCC" w:rsidRDefault="008A7165" w:rsidP="008A7165">
      <w:pPr>
        <w:tabs>
          <w:tab w:val="num" w:pos="-2886"/>
          <w:tab w:val="left" w:pos="360"/>
        </w:tabs>
        <w:spacing w:after="0" w:line="240" w:lineRule="auto"/>
        <w:ind w:right="29"/>
        <w:jc w:val="both"/>
        <w:rPr>
          <w:rFonts w:ascii="Times New Roman" w:eastAsia="Times New Roman" w:hAnsi="Times New Roman" w:cs="Times New Roman"/>
        </w:rPr>
      </w:pPr>
    </w:p>
    <w:p w14:paraId="101E1DE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Išsami informacija apie šį vaistinį preparatą pateikiama Valstybinės vaistų kontrolės tarnybos prie Lietuvos Respublikos  sveikatos apsaugos ministerijos tinklalapyje</w:t>
      </w:r>
      <w:r w:rsidRPr="00E14DCC">
        <w:rPr>
          <w:rFonts w:ascii="Times New Roman" w:eastAsia="Times New Roman" w:hAnsi="Times New Roman" w:cs="Times New Roman"/>
          <w:i/>
        </w:rPr>
        <w:t xml:space="preserve"> </w:t>
      </w:r>
      <w:hyperlink r:id="rId7" w:history="1">
        <w:r w:rsidRPr="00E14DCC">
          <w:t>http://www.vvkt.lt</w:t>
        </w:r>
      </w:hyperlink>
    </w:p>
    <w:p w14:paraId="6E6E6ED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br w:type="page"/>
      </w:r>
    </w:p>
    <w:p w14:paraId="1D9E862C" w14:textId="77777777" w:rsidR="008A7165" w:rsidRPr="00E14DCC" w:rsidRDefault="008A7165" w:rsidP="008A7165">
      <w:pPr>
        <w:spacing w:after="0" w:line="240" w:lineRule="auto"/>
        <w:rPr>
          <w:rFonts w:ascii="Times New Roman" w:eastAsia="Times New Roman" w:hAnsi="Times New Roman" w:cs="Times New Roman"/>
        </w:rPr>
      </w:pPr>
    </w:p>
    <w:p w14:paraId="658E00A7" w14:textId="77777777" w:rsidR="008A7165" w:rsidRPr="00E14DCC" w:rsidRDefault="008A7165" w:rsidP="008A7165">
      <w:pPr>
        <w:spacing w:after="0" w:line="240" w:lineRule="auto"/>
        <w:rPr>
          <w:rFonts w:ascii="Times New Roman" w:eastAsia="Times New Roman" w:hAnsi="Times New Roman" w:cs="Times New Roman"/>
        </w:rPr>
      </w:pPr>
    </w:p>
    <w:p w14:paraId="13BBE920" w14:textId="77777777" w:rsidR="008A7165" w:rsidRPr="00E14DCC" w:rsidRDefault="008A7165" w:rsidP="008A7165">
      <w:pPr>
        <w:spacing w:after="0" w:line="240" w:lineRule="auto"/>
        <w:rPr>
          <w:rFonts w:ascii="Times New Roman" w:eastAsia="Times New Roman" w:hAnsi="Times New Roman" w:cs="Times New Roman"/>
        </w:rPr>
      </w:pPr>
    </w:p>
    <w:p w14:paraId="2AEB3E07" w14:textId="77777777" w:rsidR="008A7165" w:rsidRPr="00E14DCC" w:rsidRDefault="008A7165" w:rsidP="008A7165">
      <w:pPr>
        <w:spacing w:after="0" w:line="240" w:lineRule="auto"/>
        <w:rPr>
          <w:rFonts w:ascii="Times New Roman" w:eastAsia="Times New Roman" w:hAnsi="Times New Roman" w:cs="Times New Roman"/>
        </w:rPr>
      </w:pPr>
    </w:p>
    <w:p w14:paraId="1DB75E5F" w14:textId="77777777" w:rsidR="008A7165" w:rsidRPr="00E14DCC" w:rsidRDefault="008A7165" w:rsidP="008A7165">
      <w:pPr>
        <w:spacing w:after="0" w:line="240" w:lineRule="auto"/>
        <w:rPr>
          <w:rFonts w:ascii="Times New Roman" w:eastAsia="Times New Roman" w:hAnsi="Times New Roman" w:cs="Times New Roman"/>
        </w:rPr>
      </w:pPr>
    </w:p>
    <w:p w14:paraId="1EAC3576" w14:textId="77777777" w:rsidR="008A7165" w:rsidRPr="00E14DCC" w:rsidRDefault="008A7165" w:rsidP="008A7165">
      <w:pPr>
        <w:spacing w:after="0" w:line="240" w:lineRule="auto"/>
        <w:rPr>
          <w:rFonts w:ascii="Times New Roman" w:eastAsia="Times New Roman" w:hAnsi="Times New Roman" w:cs="Times New Roman"/>
        </w:rPr>
      </w:pPr>
    </w:p>
    <w:p w14:paraId="4F8BA644" w14:textId="77777777" w:rsidR="008A7165" w:rsidRPr="00E14DCC" w:rsidRDefault="008A7165" w:rsidP="008A7165">
      <w:pPr>
        <w:spacing w:after="0" w:line="240" w:lineRule="auto"/>
        <w:rPr>
          <w:rFonts w:ascii="Times New Roman" w:eastAsia="Times New Roman" w:hAnsi="Times New Roman" w:cs="Times New Roman"/>
        </w:rPr>
      </w:pPr>
    </w:p>
    <w:p w14:paraId="3B765399" w14:textId="77777777" w:rsidR="008A7165" w:rsidRPr="00E14DCC" w:rsidRDefault="008A7165" w:rsidP="008A7165">
      <w:pPr>
        <w:spacing w:after="0" w:line="240" w:lineRule="auto"/>
        <w:rPr>
          <w:rFonts w:ascii="Times New Roman" w:eastAsia="Times New Roman" w:hAnsi="Times New Roman" w:cs="Times New Roman"/>
        </w:rPr>
      </w:pPr>
    </w:p>
    <w:p w14:paraId="4571E6B4" w14:textId="77777777" w:rsidR="008A7165" w:rsidRPr="00E14DCC" w:rsidRDefault="008A7165" w:rsidP="008A7165">
      <w:pPr>
        <w:spacing w:after="0" w:line="240" w:lineRule="auto"/>
        <w:rPr>
          <w:rFonts w:ascii="Times New Roman" w:eastAsia="Times New Roman" w:hAnsi="Times New Roman" w:cs="Times New Roman"/>
        </w:rPr>
      </w:pPr>
    </w:p>
    <w:p w14:paraId="3DAC643A" w14:textId="77777777" w:rsidR="008A7165" w:rsidRPr="00E14DCC" w:rsidRDefault="008A7165" w:rsidP="008A7165">
      <w:pPr>
        <w:spacing w:after="0" w:line="240" w:lineRule="auto"/>
        <w:rPr>
          <w:rFonts w:ascii="Times New Roman" w:eastAsia="Times New Roman" w:hAnsi="Times New Roman" w:cs="Times New Roman"/>
        </w:rPr>
      </w:pPr>
    </w:p>
    <w:p w14:paraId="198DE0EF" w14:textId="77777777" w:rsidR="008A7165" w:rsidRPr="00E14DCC" w:rsidRDefault="008A7165" w:rsidP="008A7165">
      <w:pPr>
        <w:spacing w:after="0" w:line="240" w:lineRule="auto"/>
        <w:rPr>
          <w:rFonts w:ascii="Times New Roman" w:eastAsia="Times New Roman" w:hAnsi="Times New Roman" w:cs="Times New Roman"/>
        </w:rPr>
      </w:pPr>
    </w:p>
    <w:p w14:paraId="72FAFED2" w14:textId="77777777" w:rsidR="008A7165" w:rsidRPr="00E14DCC" w:rsidRDefault="008A7165" w:rsidP="008A7165">
      <w:pPr>
        <w:spacing w:after="0" w:line="240" w:lineRule="auto"/>
        <w:rPr>
          <w:rFonts w:ascii="Times New Roman" w:eastAsia="Times New Roman" w:hAnsi="Times New Roman" w:cs="Times New Roman"/>
        </w:rPr>
      </w:pPr>
    </w:p>
    <w:p w14:paraId="220EC1DE" w14:textId="77777777" w:rsidR="008A7165" w:rsidRPr="00E14DCC" w:rsidRDefault="008A7165" w:rsidP="008A7165">
      <w:pPr>
        <w:spacing w:after="0" w:line="240" w:lineRule="auto"/>
        <w:rPr>
          <w:rFonts w:ascii="Times New Roman" w:eastAsia="Times New Roman" w:hAnsi="Times New Roman" w:cs="Times New Roman"/>
        </w:rPr>
      </w:pPr>
    </w:p>
    <w:p w14:paraId="2B3013A1" w14:textId="77777777" w:rsidR="008A7165" w:rsidRPr="00E14DCC" w:rsidRDefault="008A7165" w:rsidP="008A7165">
      <w:pPr>
        <w:spacing w:after="0" w:line="240" w:lineRule="auto"/>
        <w:rPr>
          <w:rFonts w:ascii="Times New Roman" w:eastAsia="Times New Roman" w:hAnsi="Times New Roman" w:cs="Times New Roman"/>
        </w:rPr>
      </w:pPr>
    </w:p>
    <w:p w14:paraId="6E6DC0E1" w14:textId="77777777" w:rsidR="008A7165" w:rsidRPr="00E14DCC" w:rsidRDefault="008A7165" w:rsidP="008A7165">
      <w:pPr>
        <w:spacing w:after="0" w:line="240" w:lineRule="auto"/>
        <w:rPr>
          <w:rFonts w:ascii="Times New Roman" w:eastAsia="Times New Roman" w:hAnsi="Times New Roman" w:cs="Times New Roman"/>
        </w:rPr>
      </w:pPr>
    </w:p>
    <w:p w14:paraId="038D7D31" w14:textId="77777777" w:rsidR="008A7165" w:rsidRPr="00E14DCC" w:rsidRDefault="008A7165" w:rsidP="008A7165">
      <w:pPr>
        <w:spacing w:after="0" w:line="240" w:lineRule="auto"/>
        <w:rPr>
          <w:rFonts w:ascii="Times New Roman" w:eastAsia="Times New Roman" w:hAnsi="Times New Roman" w:cs="Times New Roman"/>
        </w:rPr>
      </w:pPr>
    </w:p>
    <w:p w14:paraId="6608613E" w14:textId="77777777" w:rsidR="008A7165" w:rsidRPr="00E14DCC" w:rsidRDefault="008A7165" w:rsidP="008A7165">
      <w:pPr>
        <w:spacing w:after="0" w:line="240" w:lineRule="auto"/>
        <w:rPr>
          <w:rFonts w:ascii="Times New Roman" w:eastAsia="Times New Roman" w:hAnsi="Times New Roman" w:cs="Times New Roman"/>
        </w:rPr>
      </w:pPr>
    </w:p>
    <w:p w14:paraId="6A877A50" w14:textId="77777777" w:rsidR="008A7165" w:rsidRPr="00E14DCC" w:rsidRDefault="008A7165" w:rsidP="008A7165">
      <w:pPr>
        <w:spacing w:after="0" w:line="240" w:lineRule="auto"/>
        <w:rPr>
          <w:rFonts w:ascii="Times New Roman" w:eastAsia="Times New Roman" w:hAnsi="Times New Roman" w:cs="Times New Roman"/>
        </w:rPr>
      </w:pPr>
    </w:p>
    <w:p w14:paraId="6A6C3364" w14:textId="77777777" w:rsidR="008A7165" w:rsidRPr="00E14DCC" w:rsidRDefault="008A7165" w:rsidP="008A7165">
      <w:pPr>
        <w:spacing w:after="0" w:line="240" w:lineRule="auto"/>
        <w:rPr>
          <w:rFonts w:ascii="Times New Roman" w:eastAsia="Times New Roman" w:hAnsi="Times New Roman" w:cs="Times New Roman"/>
        </w:rPr>
      </w:pPr>
    </w:p>
    <w:p w14:paraId="53FC657C" w14:textId="77777777" w:rsidR="008A7165" w:rsidRPr="00E14DCC" w:rsidRDefault="008A7165" w:rsidP="008A7165">
      <w:pPr>
        <w:spacing w:after="0" w:line="240" w:lineRule="auto"/>
        <w:rPr>
          <w:rFonts w:ascii="Times New Roman" w:eastAsia="Times New Roman" w:hAnsi="Times New Roman" w:cs="Times New Roman"/>
        </w:rPr>
      </w:pPr>
    </w:p>
    <w:p w14:paraId="14CE1DF1" w14:textId="77777777" w:rsidR="008A7165" w:rsidRPr="00E14DCC" w:rsidRDefault="008A7165" w:rsidP="008A7165">
      <w:pPr>
        <w:spacing w:after="0" w:line="240" w:lineRule="auto"/>
        <w:rPr>
          <w:rFonts w:ascii="Times New Roman" w:eastAsia="Times New Roman" w:hAnsi="Times New Roman" w:cs="Times New Roman"/>
        </w:rPr>
      </w:pPr>
    </w:p>
    <w:p w14:paraId="425F5C80" w14:textId="77777777" w:rsidR="008A7165" w:rsidRPr="00E14DCC" w:rsidRDefault="008A7165" w:rsidP="008A7165">
      <w:pPr>
        <w:spacing w:after="0" w:line="240" w:lineRule="auto"/>
        <w:rPr>
          <w:rFonts w:ascii="Times New Roman" w:eastAsia="Times New Roman" w:hAnsi="Times New Roman" w:cs="Times New Roman"/>
        </w:rPr>
      </w:pPr>
    </w:p>
    <w:p w14:paraId="5F6C6BF2"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5" w:name="_Toc129243128"/>
      <w:bookmarkStart w:id="6" w:name="_Toc129243253"/>
    </w:p>
    <w:p w14:paraId="5D760DC3"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r w:rsidRPr="00E14DCC">
        <w:rPr>
          <w:rFonts w:ascii="Times New Roman" w:eastAsia="Times New Roman" w:hAnsi="Times New Roman" w:cs="Times New Roman"/>
          <w:b/>
          <w:caps/>
        </w:rPr>
        <w:t>II PRIEDAS</w:t>
      </w:r>
      <w:bookmarkEnd w:id="5"/>
      <w:bookmarkEnd w:id="6"/>
    </w:p>
    <w:p w14:paraId="14FACC6E"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74816296" w14:textId="77777777" w:rsidR="008A7165" w:rsidRPr="00E14DCC" w:rsidRDefault="008A7165" w:rsidP="008A7165">
      <w:pPr>
        <w:tabs>
          <w:tab w:val="left" w:pos="567"/>
        </w:tabs>
        <w:spacing w:after="0" w:line="260" w:lineRule="exact"/>
        <w:jc w:val="center"/>
        <w:rPr>
          <w:rFonts w:ascii="Times New Roman" w:eastAsia="Times New Roman" w:hAnsi="Times New Roman" w:cs="Times New Roman"/>
          <w:i/>
          <w:snapToGrid w:val="0"/>
          <w:szCs w:val="20"/>
        </w:rPr>
      </w:pPr>
      <w:r w:rsidRPr="00E14DCC">
        <w:rPr>
          <w:rFonts w:ascii="Times New Roman" w:eastAsia="Times New Roman" w:hAnsi="Times New Roman" w:cs="Times New Roman"/>
          <w:b/>
          <w:snapToGrid w:val="0"/>
          <w:szCs w:val="20"/>
        </w:rPr>
        <w:t>REGISTRACIJOS SĄLYGOS</w:t>
      </w:r>
    </w:p>
    <w:p w14:paraId="22B01166" w14:textId="77777777" w:rsidR="008A7165" w:rsidRPr="00E14DCC" w:rsidRDefault="008A7165" w:rsidP="008A7165">
      <w:pPr>
        <w:tabs>
          <w:tab w:val="left" w:pos="567"/>
        </w:tabs>
        <w:spacing w:after="0" w:line="260" w:lineRule="exact"/>
        <w:rPr>
          <w:rFonts w:ascii="Times New Roman" w:eastAsia="Times New Roman" w:hAnsi="Times New Roman" w:cs="Times New Roman"/>
          <w:snapToGrid w:val="0"/>
          <w:szCs w:val="20"/>
        </w:rPr>
      </w:pPr>
    </w:p>
    <w:p w14:paraId="5798481A" w14:textId="77777777" w:rsidR="008A7165" w:rsidRPr="00E14DCC" w:rsidRDefault="008A7165" w:rsidP="008A7165">
      <w:pPr>
        <w:tabs>
          <w:tab w:val="left" w:pos="1701"/>
        </w:tabs>
        <w:spacing w:after="0" w:line="260" w:lineRule="exact"/>
        <w:ind w:left="1701" w:right="567" w:hanging="567"/>
        <w:rPr>
          <w:rFonts w:ascii="Times New Roman" w:eastAsia="Times New Roman" w:hAnsi="Times New Roman" w:cs="Times New Roman"/>
          <w:b/>
          <w:snapToGrid w:val="0"/>
          <w:szCs w:val="24"/>
        </w:rPr>
      </w:pPr>
      <w:r w:rsidRPr="00E14DCC">
        <w:rPr>
          <w:rFonts w:ascii="Times New Roman" w:eastAsia="Times New Roman" w:hAnsi="Times New Roman" w:cs="Times New Roman"/>
          <w:b/>
          <w:snapToGrid w:val="0"/>
          <w:szCs w:val="24"/>
        </w:rPr>
        <w:t>A.</w:t>
      </w:r>
      <w:r w:rsidRPr="00E14DCC">
        <w:rPr>
          <w:rFonts w:ascii="Times New Roman" w:eastAsia="Times New Roman" w:hAnsi="Times New Roman" w:cs="Times New Roman"/>
          <w:b/>
          <w:snapToGrid w:val="0"/>
          <w:szCs w:val="24"/>
        </w:rPr>
        <w:tab/>
        <w:t>GAMINTOJAS (-AI), ATSAKINGAS (-I) UŽ SERIJŲ IŠLEIDIMĄ</w:t>
      </w:r>
    </w:p>
    <w:p w14:paraId="0812E351" w14:textId="77777777" w:rsidR="008A7165" w:rsidRPr="00E14DCC" w:rsidRDefault="008A7165" w:rsidP="008A7165">
      <w:pPr>
        <w:tabs>
          <w:tab w:val="left" w:pos="1701"/>
        </w:tabs>
        <w:spacing w:after="0" w:line="260" w:lineRule="exact"/>
        <w:ind w:left="567" w:right="567" w:hanging="567"/>
        <w:rPr>
          <w:rFonts w:ascii="Times New Roman" w:eastAsia="Times New Roman" w:hAnsi="Times New Roman" w:cs="Times New Roman"/>
          <w:snapToGrid w:val="0"/>
          <w:szCs w:val="24"/>
        </w:rPr>
      </w:pPr>
    </w:p>
    <w:p w14:paraId="57A7540B" w14:textId="77777777" w:rsidR="008A7165" w:rsidRPr="00E14DCC" w:rsidRDefault="008A7165" w:rsidP="008A7165">
      <w:pPr>
        <w:tabs>
          <w:tab w:val="left" w:pos="1701"/>
        </w:tabs>
        <w:spacing w:after="0" w:line="260" w:lineRule="exact"/>
        <w:ind w:left="1701" w:right="567" w:hanging="567"/>
        <w:rPr>
          <w:rFonts w:ascii="Times New Roman" w:eastAsia="Times New Roman" w:hAnsi="Times New Roman" w:cs="Times New Roman"/>
          <w:b/>
          <w:snapToGrid w:val="0"/>
          <w:szCs w:val="20"/>
        </w:rPr>
      </w:pPr>
      <w:r w:rsidRPr="00E14DCC">
        <w:rPr>
          <w:rFonts w:ascii="Times New Roman" w:eastAsia="Times New Roman" w:hAnsi="Times New Roman" w:cs="Times New Roman"/>
          <w:b/>
          <w:snapToGrid w:val="0"/>
          <w:szCs w:val="20"/>
        </w:rPr>
        <w:t>B.</w:t>
      </w:r>
      <w:r w:rsidRPr="00E14DCC">
        <w:rPr>
          <w:rFonts w:ascii="Times New Roman" w:eastAsia="Times New Roman" w:hAnsi="Times New Roman" w:cs="Times New Roman"/>
          <w:b/>
          <w:snapToGrid w:val="0"/>
          <w:szCs w:val="20"/>
        </w:rPr>
        <w:tab/>
        <w:t>TIEKIMO IR VARTOJIMO SĄLYGOS AR APRIBOJIMAI</w:t>
      </w:r>
    </w:p>
    <w:p w14:paraId="49501DFC" w14:textId="77777777" w:rsidR="008A7165" w:rsidRPr="00E14DCC" w:rsidRDefault="008A7165" w:rsidP="008A7165">
      <w:pPr>
        <w:spacing w:after="0" w:line="240" w:lineRule="auto"/>
        <w:rPr>
          <w:rFonts w:ascii="Times New Roman" w:eastAsia="Times New Roman" w:hAnsi="Times New Roman" w:cs="Times New Roman"/>
          <w:highlight w:val="yellow"/>
        </w:rPr>
      </w:pPr>
    </w:p>
    <w:p w14:paraId="219B2D48" w14:textId="77777777" w:rsidR="008A7165" w:rsidRPr="00E14DCC" w:rsidRDefault="008A7165" w:rsidP="008A7165">
      <w:pPr>
        <w:keepNext/>
        <w:tabs>
          <w:tab w:val="left" w:pos="567"/>
        </w:tabs>
        <w:spacing w:after="0" w:line="240" w:lineRule="auto"/>
        <w:ind w:left="567" w:hanging="567"/>
        <w:outlineLvl w:val="1"/>
        <w:rPr>
          <w:rFonts w:ascii="Times New Roman" w:eastAsia="Times New Roman" w:hAnsi="Times New Roman" w:cs="Times New Roman"/>
          <w:b/>
        </w:rPr>
      </w:pPr>
      <w:r w:rsidRPr="00E14DCC">
        <w:rPr>
          <w:rFonts w:ascii="Times New Roman" w:eastAsia="Times New Roman" w:hAnsi="Times New Roman" w:cs="Times New Roman"/>
          <w:b/>
        </w:rPr>
        <w:br w:type="page"/>
      </w:r>
      <w:r w:rsidRPr="00E14DCC">
        <w:rPr>
          <w:rFonts w:ascii="Times New Roman" w:eastAsia="Times New Roman" w:hAnsi="Times New Roman" w:cs="Times New Roman"/>
          <w:b/>
        </w:rPr>
        <w:lastRenderedPageBreak/>
        <w:t>A.</w:t>
      </w:r>
      <w:r w:rsidRPr="00E14DCC">
        <w:rPr>
          <w:rFonts w:ascii="Times New Roman" w:eastAsia="Times New Roman" w:hAnsi="Times New Roman" w:cs="Times New Roman"/>
          <w:b/>
        </w:rPr>
        <w:tab/>
        <w:t>GAMINTOJAS (-AI), ATSAKINGAS (-I) UŽ SERIJŲ IŠLEIDIMĄ</w:t>
      </w:r>
    </w:p>
    <w:p w14:paraId="5924E9BD" w14:textId="77777777" w:rsidR="008A7165" w:rsidRPr="00E14DCC" w:rsidRDefault="008A7165" w:rsidP="008A7165">
      <w:pPr>
        <w:spacing w:after="0" w:line="240" w:lineRule="auto"/>
        <w:rPr>
          <w:rFonts w:ascii="Times New Roman" w:eastAsia="Times New Roman" w:hAnsi="Times New Roman" w:cs="Times New Roman"/>
          <w:highlight w:val="yellow"/>
        </w:rPr>
      </w:pPr>
    </w:p>
    <w:p w14:paraId="7827D58B"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Gamintojo (-ų), atsakingo (-ų) už serijų išleidimą, pavadinimas (-ai) ir adresas (-ai)</w:t>
      </w:r>
    </w:p>
    <w:p w14:paraId="2B382631" w14:textId="77777777" w:rsidR="008A7165" w:rsidRPr="00E14DCC" w:rsidRDefault="008A7165" w:rsidP="008A7165">
      <w:pPr>
        <w:spacing w:after="0" w:line="240" w:lineRule="auto"/>
        <w:rPr>
          <w:rFonts w:ascii="Times New Roman" w:eastAsia="Times New Roman" w:hAnsi="Times New Roman" w:cs="Times New Roman"/>
        </w:rPr>
      </w:pPr>
    </w:p>
    <w:p w14:paraId="0456A25D" w14:textId="552528B1" w:rsidR="004150B1" w:rsidRPr="00E14DCC" w:rsidRDefault="004150B1" w:rsidP="00AE2E5C">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Healthcare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Polska</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Sp.z</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o.o</w:t>
      </w:r>
      <w:proofErr w:type="spellEnd"/>
      <w:r w:rsidRPr="00E14DCC">
        <w:rPr>
          <w:rFonts w:ascii="Times New Roman" w:eastAsia="Times New Roman" w:hAnsi="Times New Roman" w:cs="Times New Roman"/>
          <w:bCs/>
        </w:rPr>
        <w:t>.,</w:t>
      </w:r>
    </w:p>
    <w:p w14:paraId="0A9F79AB" w14:textId="77777777" w:rsidR="004150B1" w:rsidRPr="00E14DCC" w:rsidRDefault="004150B1" w:rsidP="004150B1">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ul</w:t>
      </w:r>
      <w:proofErr w:type="spellEnd"/>
      <w:r w:rsidRPr="00E14DCC">
        <w:rPr>
          <w:rFonts w:ascii="Times New Roman" w:eastAsia="Times New Roman" w:hAnsi="Times New Roman" w:cs="Times New Roman"/>
          <w:bCs/>
        </w:rPr>
        <w:t>. Lutomierska 50,95-200 Pabianice, Lenkija</w:t>
      </w:r>
    </w:p>
    <w:p w14:paraId="10F21603" w14:textId="230B4B39" w:rsidR="008A7165" w:rsidRPr="00AE2E5C" w:rsidRDefault="008A7165" w:rsidP="008A7165">
      <w:pPr>
        <w:spacing w:after="0" w:line="240" w:lineRule="auto"/>
        <w:rPr>
          <w:rFonts w:ascii="Times New Roman" w:hAnsi="Times New Roman"/>
          <w:highlight w:val="yellow"/>
        </w:rPr>
      </w:pPr>
    </w:p>
    <w:p w14:paraId="6E14CC43" w14:textId="77777777" w:rsidR="004150B1" w:rsidRPr="00E14DCC" w:rsidRDefault="004150B1" w:rsidP="008A7165">
      <w:pPr>
        <w:spacing w:after="0" w:line="240" w:lineRule="auto"/>
        <w:rPr>
          <w:rFonts w:ascii="Times New Roman" w:eastAsia="Times New Roman" w:hAnsi="Times New Roman" w:cs="Times New Roman"/>
          <w:highlight w:val="yellow"/>
        </w:rPr>
      </w:pPr>
    </w:p>
    <w:p w14:paraId="32433A25" w14:textId="77777777" w:rsidR="008A7165" w:rsidRPr="00E14DCC" w:rsidRDefault="008A7165" w:rsidP="008A7165">
      <w:pPr>
        <w:tabs>
          <w:tab w:val="left" w:pos="567"/>
        </w:tabs>
        <w:spacing w:after="0" w:line="240" w:lineRule="auto"/>
        <w:ind w:left="567" w:hanging="567"/>
        <w:rPr>
          <w:rFonts w:ascii="Times New Roman" w:eastAsia="Times New Roman" w:hAnsi="Times New Roman" w:cs="Times New Roman"/>
          <w:snapToGrid w:val="0"/>
          <w:szCs w:val="24"/>
        </w:rPr>
      </w:pPr>
      <w:bookmarkStart w:id="7" w:name="_Toc129243129"/>
      <w:bookmarkStart w:id="8" w:name="_Toc129243254"/>
      <w:r w:rsidRPr="00E14DCC">
        <w:rPr>
          <w:rFonts w:ascii="Times New Roman" w:eastAsia="Times New Roman" w:hAnsi="Times New Roman" w:cs="Times New Roman"/>
          <w:b/>
          <w:snapToGrid w:val="0"/>
          <w:szCs w:val="24"/>
        </w:rPr>
        <w:t>B.</w:t>
      </w:r>
      <w:r w:rsidRPr="00E14DCC">
        <w:rPr>
          <w:rFonts w:ascii="Times New Roman" w:eastAsia="Times New Roman" w:hAnsi="Times New Roman" w:cs="Times New Roman"/>
          <w:b/>
          <w:snapToGrid w:val="0"/>
          <w:szCs w:val="24"/>
        </w:rPr>
        <w:tab/>
        <w:t>TIEKIMO IR VARTOJIMO SĄLYGOS AR APRIBOJIMAI</w:t>
      </w:r>
    </w:p>
    <w:bookmarkEnd w:id="7"/>
    <w:bookmarkEnd w:id="8"/>
    <w:p w14:paraId="581A7B1A" w14:textId="77777777" w:rsidR="008A7165" w:rsidRPr="00E14DCC" w:rsidRDefault="008A7165" w:rsidP="008A7165">
      <w:pPr>
        <w:spacing w:after="0" w:line="240" w:lineRule="auto"/>
        <w:rPr>
          <w:rFonts w:ascii="Times New Roman" w:eastAsia="Times New Roman" w:hAnsi="Times New Roman" w:cs="Times New Roman"/>
        </w:rPr>
      </w:pPr>
    </w:p>
    <w:p w14:paraId="0AF1703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Receptinis vaistinis preparatas.</w:t>
      </w:r>
    </w:p>
    <w:p w14:paraId="6B6B74D4" w14:textId="77777777" w:rsidR="008A7165" w:rsidRPr="00E14DCC" w:rsidRDefault="008A7165" w:rsidP="008A7165">
      <w:pPr>
        <w:spacing w:after="0" w:line="240" w:lineRule="auto"/>
        <w:rPr>
          <w:rFonts w:ascii="Times New Roman" w:eastAsia="Times New Roman" w:hAnsi="Times New Roman" w:cs="Times New Roman"/>
          <w:highlight w:val="yellow"/>
        </w:rPr>
      </w:pPr>
    </w:p>
    <w:p w14:paraId="146DCA5A" w14:textId="77777777" w:rsidR="008A7165" w:rsidRPr="00E14DCC" w:rsidRDefault="008A7165" w:rsidP="008A7165">
      <w:pPr>
        <w:spacing w:after="0" w:line="240" w:lineRule="auto"/>
        <w:rPr>
          <w:rFonts w:ascii="Times New Roman" w:eastAsia="Times New Roman" w:hAnsi="Times New Roman" w:cs="Times New Roman"/>
        </w:rPr>
      </w:pPr>
    </w:p>
    <w:p w14:paraId="52F8905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br w:type="page"/>
      </w:r>
    </w:p>
    <w:p w14:paraId="24C776C3"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9" w:name="_Toc129243134"/>
      <w:bookmarkStart w:id="10" w:name="_Toc129243259"/>
    </w:p>
    <w:p w14:paraId="1323E00C"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6256F197"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3C7F27C4"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752551FB"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33C70AD6"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75F788EF"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344D26D2"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0ED712A5"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6BF2FAF0"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6391AF76"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67053FD2"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4F6E4217"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53EA4E49"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5ECA2FDE"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0D9B4054"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17FF807A"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3FF0975F"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0BEBE331"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737793CF"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4D6E5134"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1C2E0C0A"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2D908E70"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p>
    <w:p w14:paraId="1DB51803"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r w:rsidRPr="00E14DCC">
        <w:rPr>
          <w:rFonts w:ascii="Times New Roman" w:eastAsia="Times New Roman" w:hAnsi="Times New Roman" w:cs="Times New Roman"/>
          <w:b/>
          <w:caps/>
        </w:rPr>
        <w:t>III PRIEDAS</w:t>
      </w:r>
      <w:bookmarkEnd w:id="9"/>
      <w:bookmarkEnd w:id="10"/>
    </w:p>
    <w:p w14:paraId="4766DCD8" w14:textId="77777777" w:rsidR="008A7165" w:rsidRPr="00E14DCC" w:rsidRDefault="008A7165" w:rsidP="008A7165">
      <w:pPr>
        <w:spacing w:after="0" w:line="240" w:lineRule="auto"/>
        <w:rPr>
          <w:rFonts w:ascii="Times New Roman" w:eastAsia="Times New Roman" w:hAnsi="Times New Roman" w:cs="Times New Roman"/>
        </w:rPr>
      </w:pPr>
    </w:p>
    <w:p w14:paraId="50331552"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11" w:name="_Toc129243135"/>
      <w:bookmarkStart w:id="12" w:name="_Toc129243260"/>
      <w:r w:rsidRPr="00E14DCC">
        <w:rPr>
          <w:rFonts w:ascii="Times New Roman" w:eastAsia="Times New Roman" w:hAnsi="Times New Roman" w:cs="Times New Roman"/>
          <w:b/>
          <w:caps/>
        </w:rPr>
        <w:t>ŽENKLINIMAS IR PAKUOTĖS LAPELIS</w:t>
      </w:r>
      <w:bookmarkEnd w:id="11"/>
      <w:bookmarkEnd w:id="12"/>
    </w:p>
    <w:p w14:paraId="52C5D63C"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br w:type="page"/>
      </w:r>
    </w:p>
    <w:p w14:paraId="0AB8A7C6" w14:textId="77777777" w:rsidR="008A7165" w:rsidRPr="00E14DCC" w:rsidRDefault="008A7165" w:rsidP="008A7165">
      <w:pPr>
        <w:spacing w:after="0" w:line="240" w:lineRule="auto"/>
        <w:rPr>
          <w:rFonts w:ascii="Times New Roman" w:eastAsia="Times New Roman" w:hAnsi="Times New Roman" w:cs="Times New Roman"/>
        </w:rPr>
      </w:pPr>
    </w:p>
    <w:p w14:paraId="69090096" w14:textId="77777777" w:rsidR="008A7165" w:rsidRPr="00E14DCC" w:rsidRDefault="008A7165" w:rsidP="008A7165">
      <w:pPr>
        <w:spacing w:after="0" w:line="240" w:lineRule="auto"/>
        <w:rPr>
          <w:rFonts w:ascii="Times New Roman" w:eastAsia="Times New Roman" w:hAnsi="Times New Roman" w:cs="Times New Roman"/>
        </w:rPr>
      </w:pPr>
    </w:p>
    <w:p w14:paraId="19687A66" w14:textId="77777777" w:rsidR="008A7165" w:rsidRPr="00E14DCC" w:rsidRDefault="008A7165" w:rsidP="008A7165">
      <w:pPr>
        <w:spacing w:after="0" w:line="240" w:lineRule="auto"/>
        <w:rPr>
          <w:rFonts w:ascii="Times New Roman" w:eastAsia="Times New Roman" w:hAnsi="Times New Roman" w:cs="Times New Roman"/>
        </w:rPr>
      </w:pPr>
    </w:p>
    <w:p w14:paraId="582C50DA" w14:textId="77777777" w:rsidR="008A7165" w:rsidRPr="00E14DCC" w:rsidRDefault="008A7165" w:rsidP="008A7165">
      <w:pPr>
        <w:spacing w:after="0" w:line="240" w:lineRule="auto"/>
        <w:rPr>
          <w:rFonts w:ascii="Times New Roman" w:eastAsia="Times New Roman" w:hAnsi="Times New Roman" w:cs="Times New Roman"/>
        </w:rPr>
      </w:pPr>
    </w:p>
    <w:p w14:paraId="3726A512" w14:textId="77777777" w:rsidR="008A7165" w:rsidRPr="00E14DCC" w:rsidRDefault="008A7165" w:rsidP="008A7165">
      <w:pPr>
        <w:spacing w:after="0" w:line="240" w:lineRule="auto"/>
        <w:rPr>
          <w:rFonts w:ascii="Times New Roman" w:eastAsia="Times New Roman" w:hAnsi="Times New Roman" w:cs="Times New Roman"/>
        </w:rPr>
      </w:pPr>
    </w:p>
    <w:p w14:paraId="60977044" w14:textId="77777777" w:rsidR="008A7165" w:rsidRPr="00E14DCC" w:rsidRDefault="008A7165" w:rsidP="008A7165">
      <w:pPr>
        <w:spacing w:after="0" w:line="240" w:lineRule="auto"/>
        <w:rPr>
          <w:rFonts w:ascii="Times New Roman" w:eastAsia="Times New Roman" w:hAnsi="Times New Roman" w:cs="Times New Roman"/>
        </w:rPr>
      </w:pPr>
    </w:p>
    <w:p w14:paraId="2CBABA8B" w14:textId="77777777" w:rsidR="008A7165" w:rsidRPr="00E14DCC" w:rsidRDefault="008A7165" w:rsidP="008A7165">
      <w:pPr>
        <w:spacing w:after="0" w:line="240" w:lineRule="auto"/>
        <w:rPr>
          <w:rFonts w:ascii="Times New Roman" w:eastAsia="Times New Roman" w:hAnsi="Times New Roman" w:cs="Times New Roman"/>
        </w:rPr>
      </w:pPr>
    </w:p>
    <w:p w14:paraId="1293382C" w14:textId="77777777" w:rsidR="008A7165" w:rsidRPr="00E14DCC" w:rsidRDefault="008A7165" w:rsidP="008A7165">
      <w:pPr>
        <w:spacing w:after="0" w:line="240" w:lineRule="auto"/>
        <w:rPr>
          <w:rFonts w:ascii="Times New Roman" w:eastAsia="Times New Roman" w:hAnsi="Times New Roman" w:cs="Times New Roman"/>
        </w:rPr>
      </w:pPr>
    </w:p>
    <w:p w14:paraId="34DEA303" w14:textId="77777777" w:rsidR="008A7165" w:rsidRPr="00E14DCC" w:rsidRDefault="008A7165" w:rsidP="008A7165">
      <w:pPr>
        <w:spacing w:after="0" w:line="240" w:lineRule="auto"/>
        <w:rPr>
          <w:rFonts w:ascii="Times New Roman" w:eastAsia="Times New Roman" w:hAnsi="Times New Roman" w:cs="Times New Roman"/>
        </w:rPr>
      </w:pPr>
    </w:p>
    <w:p w14:paraId="5C207850" w14:textId="77777777" w:rsidR="008A7165" w:rsidRPr="00E14DCC" w:rsidRDefault="008A7165" w:rsidP="008A7165">
      <w:pPr>
        <w:spacing w:after="0" w:line="240" w:lineRule="auto"/>
        <w:rPr>
          <w:rFonts w:ascii="Times New Roman" w:eastAsia="Times New Roman" w:hAnsi="Times New Roman" w:cs="Times New Roman"/>
        </w:rPr>
      </w:pPr>
    </w:p>
    <w:p w14:paraId="64B4872D" w14:textId="77777777" w:rsidR="008A7165" w:rsidRPr="00E14DCC" w:rsidRDefault="008A7165" w:rsidP="008A7165">
      <w:pPr>
        <w:spacing w:after="0" w:line="240" w:lineRule="auto"/>
        <w:rPr>
          <w:rFonts w:ascii="Times New Roman" w:eastAsia="Times New Roman" w:hAnsi="Times New Roman" w:cs="Times New Roman"/>
        </w:rPr>
      </w:pPr>
    </w:p>
    <w:p w14:paraId="7CB2BBAF" w14:textId="77777777" w:rsidR="008A7165" w:rsidRPr="00E14DCC" w:rsidRDefault="008A7165" w:rsidP="008A7165">
      <w:pPr>
        <w:spacing w:after="0" w:line="240" w:lineRule="auto"/>
        <w:rPr>
          <w:rFonts w:ascii="Times New Roman" w:eastAsia="Times New Roman" w:hAnsi="Times New Roman" w:cs="Times New Roman"/>
        </w:rPr>
      </w:pPr>
    </w:p>
    <w:p w14:paraId="6FD72FD1" w14:textId="77777777" w:rsidR="008A7165" w:rsidRPr="00E14DCC" w:rsidRDefault="008A7165" w:rsidP="008A7165">
      <w:pPr>
        <w:spacing w:after="0" w:line="240" w:lineRule="auto"/>
        <w:rPr>
          <w:rFonts w:ascii="Times New Roman" w:eastAsia="Times New Roman" w:hAnsi="Times New Roman" w:cs="Times New Roman"/>
        </w:rPr>
      </w:pPr>
    </w:p>
    <w:p w14:paraId="2D525FE2" w14:textId="77777777" w:rsidR="008A7165" w:rsidRPr="00E14DCC" w:rsidRDefault="008A7165" w:rsidP="008A7165">
      <w:pPr>
        <w:spacing w:after="0" w:line="240" w:lineRule="auto"/>
        <w:rPr>
          <w:rFonts w:ascii="Times New Roman" w:eastAsia="Times New Roman" w:hAnsi="Times New Roman" w:cs="Times New Roman"/>
        </w:rPr>
      </w:pPr>
    </w:p>
    <w:p w14:paraId="4C353DCA" w14:textId="77777777" w:rsidR="008A7165" w:rsidRPr="00E14DCC" w:rsidRDefault="008A7165" w:rsidP="008A7165">
      <w:pPr>
        <w:spacing w:after="0" w:line="240" w:lineRule="auto"/>
        <w:rPr>
          <w:rFonts w:ascii="Times New Roman" w:eastAsia="Times New Roman" w:hAnsi="Times New Roman" w:cs="Times New Roman"/>
        </w:rPr>
      </w:pPr>
    </w:p>
    <w:p w14:paraId="31903C4F" w14:textId="77777777" w:rsidR="008A7165" w:rsidRPr="00E14DCC" w:rsidRDefault="008A7165" w:rsidP="008A7165">
      <w:pPr>
        <w:spacing w:after="0" w:line="240" w:lineRule="auto"/>
        <w:rPr>
          <w:rFonts w:ascii="Times New Roman" w:eastAsia="Times New Roman" w:hAnsi="Times New Roman" w:cs="Times New Roman"/>
        </w:rPr>
      </w:pPr>
    </w:p>
    <w:p w14:paraId="056678F2" w14:textId="77777777" w:rsidR="008A7165" w:rsidRPr="00E14DCC" w:rsidRDefault="008A7165" w:rsidP="008A7165">
      <w:pPr>
        <w:spacing w:after="0" w:line="240" w:lineRule="auto"/>
        <w:rPr>
          <w:rFonts w:ascii="Times New Roman" w:eastAsia="Times New Roman" w:hAnsi="Times New Roman" w:cs="Times New Roman"/>
        </w:rPr>
      </w:pPr>
    </w:p>
    <w:p w14:paraId="473A9203" w14:textId="77777777" w:rsidR="008A7165" w:rsidRPr="00E14DCC" w:rsidRDefault="008A7165" w:rsidP="008A7165">
      <w:pPr>
        <w:spacing w:after="0" w:line="240" w:lineRule="auto"/>
        <w:rPr>
          <w:rFonts w:ascii="Times New Roman" w:eastAsia="Times New Roman" w:hAnsi="Times New Roman" w:cs="Times New Roman"/>
        </w:rPr>
      </w:pPr>
    </w:p>
    <w:p w14:paraId="2D005C7A" w14:textId="77777777" w:rsidR="008A7165" w:rsidRPr="00E14DCC" w:rsidRDefault="008A7165" w:rsidP="008A7165">
      <w:pPr>
        <w:spacing w:after="0" w:line="240" w:lineRule="auto"/>
        <w:rPr>
          <w:rFonts w:ascii="Times New Roman" w:eastAsia="Times New Roman" w:hAnsi="Times New Roman" w:cs="Times New Roman"/>
        </w:rPr>
      </w:pPr>
    </w:p>
    <w:p w14:paraId="01E87091" w14:textId="77777777" w:rsidR="008A7165" w:rsidRPr="00E14DCC" w:rsidRDefault="008A7165" w:rsidP="008A7165">
      <w:pPr>
        <w:spacing w:after="0" w:line="240" w:lineRule="auto"/>
        <w:rPr>
          <w:rFonts w:ascii="Times New Roman" w:eastAsia="Times New Roman" w:hAnsi="Times New Roman" w:cs="Times New Roman"/>
        </w:rPr>
      </w:pPr>
    </w:p>
    <w:p w14:paraId="4D331FA6" w14:textId="77777777" w:rsidR="008A7165" w:rsidRPr="00E14DCC" w:rsidRDefault="008A7165" w:rsidP="008A7165">
      <w:pPr>
        <w:spacing w:after="0" w:line="240" w:lineRule="auto"/>
        <w:rPr>
          <w:rFonts w:ascii="Times New Roman" w:eastAsia="Times New Roman" w:hAnsi="Times New Roman" w:cs="Times New Roman"/>
        </w:rPr>
      </w:pPr>
    </w:p>
    <w:p w14:paraId="3D520D42" w14:textId="77777777" w:rsidR="008A7165" w:rsidRPr="00E14DCC" w:rsidRDefault="008A7165" w:rsidP="008A7165">
      <w:pPr>
        <w:spacing w:after="0" w:line="240" w:lineRule="auto"/>
        <w:rPr>
          <w:rFonts w:ascii="Times New Roman" w:eastAsia="Times New Roman" w:hAnsi="Times New Roman" w:cs="Times New Roman"/>
        </w:rPr>
      </w:pPr>
    </w:p>
    <w:p w14:paraId="0FD36150"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13" w:name="_Toc129243136"/>
      <w:bookmarkStart w:id="14" w:name="_Toc129243261"/>
    </w:p>
    <w:p w14:paraId="3B4906B7"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r w:rsidRPr="00E14DCC">
        <w:rPr>
          <w:rFonts w:ascii="Times New Roman" w:eastAsia="Times New Roman" w:hAnsi="Times New Roman" w:cs="Times New Roman"/>
          <w:b/>
          <w:caps/>
        </w:rPr>
        <w:t>A. ŽENKLINIMAS</w:t>
      </w:r>
      <w:bookmarkEnd w:id="13"/>
      <w:bookmarkEnd w:id="14"/>
    </w:p>
    <w:p w14:paraId="7B936D5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br w:type="page"/>
      </w:r>
    </w:p>
    <w:p w14:paraId="4E629F13" w14:textId="77777777" w:rsidR="00297DD4" w:rsidRPr="00E14DCC" w:rsidRDefault="00297DD4" w:rsidP="00297DD4">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lastRenderedPageBreak/>
        <w:t xml:space="preserve">INFORMACIJA ANT IŠORINĖS PAKUOTĖS </w:t>
      </w:r>
    </w:p>
    <w:p w14:paraId="387D8627" w14:textId="77777777" w:rsidR="00297DD4" w:rsidRPr="00E14DCC" w:rsidRDefault="00297DD4" w:rsidP="00297DD4">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Times New Roman" w:hAnsi="Times New Roman" w:cs="Times New Roman"/>
          <w:bCs/>
        </w:rPr>
      </w:pPr>
    </w:p>
    <w:p w14:paraId="42904F60" w14:textId="77777777" w:rsidR="00297DD4" w:rsidRPr="00E14DCC" w:rsidRDefault="00297DD4" w:rsidP="00297DD4">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b/>
          <w:bCs/>
        </w:rPr>
        <w:t>KARTONO DĖŽUTĖ</w:t>
      </w:r>
    </w:p>
    <w:p w14:paraId="3541DB1C"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3A7F94B8"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4B791EA0"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w:t>
      </w:r>
      <w:r w:rsidRPr="00E14DCC">
        <w:rPr>
          <w:rFonts w:ascii="Times New Roman" w:eastAsia="Times New Roman" w:hAnsi="Times New Roman" w:cs="Times New Roman"/>
          <w:b/>
          <w:bCs/>
        </w:rPr>
        <w:tab/>
        <w:t>VAISTINIO PREPARATO PAVADINIMAS</w:t>
      </w:r>
    </w:p>
    <w:p w14:paraId="0098BA6B" w14:textId="77777777" w:rsidR="00297DD4" w:rsidRPr="00E14DCC" w:rsidRDefault="00297DD4" w:rsidP="00297DD4">
      <w:pPr>
        <w:spacing w:after="0" w:line="240" w:lineRule="auto"/>
        <w:ind w:right="29"/>
        <w:rPr>
          <w:rFonts w:ascii="Times New Roman" w:eastAsia="Times New Roman" w:hAnsi="Times New Roman" w:cs="Times New Roman"/>
          <w:bCs/>
        </w:rPr>
      </w:pPr>
    </w:p>
    <w:p w14:paraId="7E34499F" w14:textId="77777777" w:rsidR="00297DD4" w:rsidRPr="00E14DCC" w:rsidRDefault="00297DD4" w:rsidP="00297DD4">
      <w:pPr>
        <w:spacing w:after="0" w:line="240" w:lineRule="auto"/>
        <w:ind w:right="297"/>
        <w:jc w:val="both"/>
        <w:rPr>
          <w:rFonts w:ascii="Times New Roman" w:eastAsia="Times New Roman" w:hAnsi="Times New Roman" w:cs="Times New Roman"/>
          <w:highlight w:val="yellow"/>
        </w:rPr>
      </w:pPr>
      <w:r w:rsidRPr="00E14DCC">
        <w:rPr>
          <w:rFonts w:ascii="Times New Roman" w:eastAsia="Times New Roman" w:hAnsi="Times New Roman" w:cs="Times New Roman"/>
        </w:rPr>
        <w:t>Cytarabine Accord 100 mg/ml injekcinis ar infuzinis tirpalas</w:t>
      </w:r>
    </w:p>
    <w:p w14:paraId="36F96627" w14:textId="77777777" w:rsidR="00297DD4" w:rsidRPr="00E14DCC" w:rsidRDefault="00297DD4" w:rsidP="00297DD4">
      <w:pPr>
        <w:tabs>
          <w:tab w:val="center" w:pos="450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Cytarabinum</w:t>
      </w:r>
    </w:p>
    <w:p w14:paraId="18D0C242" w14:textId="77777777" w:rsidR="00297DD4" w:rsidRPr="00E14DCC" w:rsidRDefault="00297DD4" w:rsidP="00297DD4">
      <w:pPr>
        <w:tabs>
          <w:tab w:val="center" w:pos="4500"/>
        </w:tabs>
        <w:spacing w:after="0" w:line="240" w:lineRule="auto"/>
        <w:ind w:right="29"/>
        <w:jc w:val="both"/>
        <w:rPr>
          <w:rFonts w:ascii="Times New Roman" w:eastAsia="Times New Roman" w:hAnsi="Times New Roman" w:cs="Times New Roman"/>
        </w:rPr>
      </w:pPr>
    </w:p>
    <w:p w14:paraId="1BB91A85" w14:textId="77777777" w:rsidR="00297DD4" w:rsidRPr="00E14DCC" w:rsidRDefault="00297DD4" w:rsidP="00297DD4">
      <w:pPr>
        <w:tabs>
          <w:tab w:val="center" w:pos="4500"/>
        </w:tabs>
        <w:spacing w:after="0" w:line="240" w:lineRule="auto"/>
        <w:ind w:right="29"/>
        <w:jc w:val="both"/>
        <w:rPr>
          <w:rFonts w:ascii="Times New Roman" w:eastAsia="Times New Roman" w:hAnsi="Times New Roman" w:cs="Times New Roman"/>
        </w:rPr>
      </w:pPr>
    </w:p>
    <w:p w14:paraId="273B312A"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2.</w:t>
      </w:r>
      <w:r w:rsidRPr="00E14DCC">
        <w:rPr>
          <w:rFonts w:ascii="Times New Roman" w:eastAsia="Times New Roman" w:hAnsi="Times New Roman" w:cs="Times New Roman"/>
          <w:b/>
          <w:bCs/>
        </w:rPr>
        <w:tab/>
        <w:t>VEIKLIOJI (-IOS) MEDŽIAGA (-OS) IR JOS (-Ų) KIEKIS (-IAI)</w:t>
      </w:r>
    </w:p>
    <w:p w14:paraId="24D9F1B9"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581B1B66" w14:textId="77777777" w:rsidR="00297DD4" w:rsidRPr="00E14DCC" w:rsidRDefault="00297DD4" w:rsidP="00297DD4">
      <w:pPr>
        <w:spacing w:after="0" w:line="240" w:lineRule="auto"/>
        <w:ind w:right="297"/>
        <w:jc w:val="both"/>
        <w:rPr>
          <w:rFonts w:ascii="Times New Roman" w:eastAsia="Times New Roman" w:hAnsi="Times New Roman" w:cs="Times New Roman"/>
        </w:rPr>
      </w:pPr>
      <w:r w:rsidRPr="00E14DCC">
        <w:rPr>
          <w:rFonts w:ascii="Times New Roman" w:eastAsia="Times New Roman" w:hAnsi="Times New Roman" w:cs="Times New Roman"/>
        </w:rPr>
        <w:t>1 ml yra 100 mg citarabino.</w:t>
      </w:r>
    </w:p>
    <w:p w14:paraId="22F7060D" w14:textId="77777777" w:rsidR="00297DD4" w:rsidRPr="00E14DCC" w:rsidRDefault="00297DD4" w:rsidP="00297DD4">
      <w:pPr>
        <w:spacing w:after="0" w:line="240" w:lineRule="auto"/>
        <w:ind w:right="297"/>
        <w:jc w:val="both"/>
        <w:rPr>
          <w:rFonts w:ascii="Times New Roman" w:eastAsia="Times New Roman" w:hAnsi="Times New Roman" w:cs="Times New Roman"/>
        </w:rPr>
      </w:pPr>
    </w:p>
    <w:p w14:paraId="79AFED12"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color w:val="000000"/>
        </w:rPr>
      </w:pPr>
      <w:r w:rsidRPr="00E14DCC">
        <w:rPr>
          <w:rFonts w:ascii="Times New Roman" w:eastAsia="Times New Roman" w:hAnsi="Times New Roman" w:cs="Times New Roman"/>
        </w:rPr>
        <w:t>Kiekviename 1 ml flakone yra 100 mg citarabino.</w:t>
      </w:r>
    </w:p>
    <w:p w14:paraId="6D26CF43" w14:textId="77777777" w:rsidR="00297DD4" w:rsidRPr="00E14DCC" w:rsidRDefault="00297DD4" w:rsidP="00297DD4">
      <w:pPr>
        <w:spacing w:after="0" w:line="240" w:lineRule="auto"/>
        <w:ind w:left="720" w:hanging="720"/>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rPr>
        <w:t>Kiekviename 5 ml flakone yra 500 mg citarabino.</w:t>
      </w:r>
    </w:p>
    <w:p w14:paraId="04EA23C5" w14:textId="77777777" w:rsidR="00297DD4" w:rsidRPr="00E14DCC" w:rsidRDefault="00297DD4" w:rsidP="00297DD4">
      <w:pPr>
        <w:spacing w:after="0" w:line="240" w:lineRule="auto"/>
        <w:ind w:left="720" w:hanging="720"/>
        <w:rPr>
          <w:rFonts w:ascii="Times New Roman" w:eastAsia="Times New Roman" w:hAnsi="Times New Roman" w:cs="Times New Roman"/>
        </w:rPr>
      </w:pPr>
      <w:r w:rsidRPr="00E14DCC">
        <w:rPr>
          <w:rFonts w:ascii="Times New Roman" w:eastAsia="Times New Roman" w:hAnsi="Times New Roman" w:cs="Times New Roman"/>
          <w:highlight w:val="lightGray"/>
        </w:rPr>
        <w:t>Kiekviename 10 ml flakone yra 1 g citarabino.</w:t>
      </w:r>
    </w:p>
    <w:p w14:paraId="256AFBBC" w14:textId="77777777" w:rsidR="00297DD4" w:rsidRPr="00E14DCC" w:rsidRDefault="00297DD4" w:rsidP="00297DD4">
      <w:pPr>
        <w:spacing w:after="0" w:line="240" w:lineRule="auto"/>
        <w:ind w:left="720" w:hanging="720"/>
        <w:rPr>
          <w:rFonts w:ascii="Times New Roman" w:eastAsia="Times New Roman" w:hAnsi="Times New Roman" w:cs="Times New Roman"/>
        </w:rPr>
      </w:pPr>
      <w:r w:rsidRPr="00E14DCC">
        <w:rPr>
          <w:rFonts w:ascii="Times New Roman" w:eastAsia="Times New Roman" w:hAnsi="Times New Roman" w:cs="Times New Roman"/>
          <w:highlight w:val="lightGray"/>
        </w:rPr>
        <w:t>Kiekviename 20 ml flakone yra 2 g citarabino.</w:t>
      </w:r>
    </w:p>
    <w:p w14:paraId="1448137F" w14:textId="77777777" w:rsidR="00297DD4" w:rsidRPr="00E14DCC" w:rsidRDefault="00297DD4" w:rsidP="00297DD4">
      <w:pPr>
        <w:spacing w:after="0" w:line="240" w:lineRule="auto"/>
        <w:ind w:left="720" w:hanging="720"/>
        <w:rPr>
          <w:rFonts w:ascii="Times New Roman" w:eastAsia="Times New Roman" w:hAnsi="Times New Roman" w:cs="Times New Roman"/>
        </w:rPr>
      </w:pPr>
      <w:r w:rsidRPr="00E14DCC">
        <w:rPr>
          <w:rFonts w:ascii="Times New Roman" w:eastAsia="Times New Roman" w:hAnsi="Times New Roman" w:cs="Times New Roman"/>
          <w:highlight w:val="lightGray"/>
        </w:rPr>
        <w:t>Kiekviename 40 ml flakone yra 4 g citarabino.</w:t>
      </w:r>
    </w:p>
    <w:p w14:paraId="2C20AB75" w14:textId="77777777" w:rsidR="00297DD4" w:rsidRPr="00E14DCC" w:rsidDel="007A299B" w:rsidRDefault="00297DD4" w:rsidP="00297DD4">
      <w:pPr>
        <w:spacing w:after="0" w:line="240" w:lineRule="auto"/>
        <w:ind w:left="720" w:hanging="720"/>
        <w:rPr>
          <w:rFonts w:ascii="Times New Roman" w:eastAsia="Times New Roman" w:hAnsi="Times New Roman" w:cs="Times New Roman"/>
        </w:rPr>
      </w:pPr>
      <w:r w:rsidRPr="00E14DCC">
        <w:rPr>
          <w:rFonts w:ascii="Times New Roman" w:eastAsia="Times New Roman" w:hAnsi="Times New Roman" w:cs="Times New Roman"/>
          <w:highlight w:val="lightGray"/>
        </w:rPr>
        <w:t>Kiekviename 50 ml flakone yra 5 g citarabino.</w:t>
      </w:r>
    </w:p>
    <w:p w14:paraId="7C5E6371" w14:textId="77777777" w:rsidR="00297DD4" w:rsidRPr="00E14DCC" w:rsidRDefault="00297DD4" w:rsidP="00297DD4">
      <w:pPr>
        <w:tabs>
          <w:tab w:val="left" w:pos="567"/>
        </w:tabs>
        <w:spacing w:after="0" w:line="240" w:lineRule="auto"/>
        <w:rPr>
          <w:rFonts w:ascii="Times New Roman" w:eastAsia="Times New Roman" w:hAnsi="Times New Roman" w:cs="Times New Roman"/>
        </w:rPr>
      </w:pPr>
    </w:p>
    <w:p w14:paraId="4C19F23E"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1A6F08AC"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
          <w:bCs/>
        </w:rPr>
        <w:t>3.</w:t>
      </w:r>
      <w:r w:rsidRPr="00E14DCC">
        <w:rPr>
          <w:rFonts w:ascii="Times New Roman" w:eastAsia="Times New Roman" w:hAnsi="Times New Roman" w:cs="Times New Roman"/>
          <w:b/>
          <w:bCs/>
        </w:rPr>
        <w:tab/>
        <w:t>PAGALBINIŲ MEDŽIAGŲ SĄRAŠAS</w:t>
      </w:r>
    </w:p>
    <w:p w14:paraId="30AC6149" w14:textId="77777777" w:rsidR="00297DD4" w:rsidRPr="00E14DCC" w:rsidRDefault="00297DD4" w:rsidP="00297DD4">
      <w:pPr>
        <w:spacing w:after="0" w:line="240" w:lineRule="auto"/>
        <w:jc w:val="both"/>
        <w:rPr>
          <w:rFonts w:ascii="Times New Roman" w:eastAsia="Times New Roman" w:hAnsi="Times New Roman" w:cs="Times New Roman"/>
        </w:rPr>
      </w:pPr>
    </w:p>
    <w:p w14:paraId="601D0D34" w14:textId="77777777" w:rsidR="00297DD4" w:rsidRPr="00E14DCC" w:rsidRDefault="00297DD4" w:rsidP="00297DD4">
      <w:pPr>
        <w:spacing w:after="0" w:line="240" w:lineRule="auto"/>
        <w:ind w:right="-223"/>
        <w:jc w:val="both"/>
        <w:rPr>
          <w:rFonts w:ascii="Times New Roman" w:eastAsia="Times New Roman" w:hAnsi="Times New Roman" w:cs="Times New Roman"/>
        </w:rPr>
      </w:pPr>
      <w:r w:rsidRPr="00E14DCC">
        <w:rPr>
          <w:rFonts w:ascii="Times New Roman" w:eastAsia="Times New Roman" w:hAnsi="Times New Roman" w:cs="Times New Roman"/>
        </w:rPr>
        <w:t>Pagalbinės medžiagos: makrogolis 400, trometamolis, injekcinis vanduo.</w:t>
      </w:r>
    </w:p>
    <w:p w14:paraId="55905C01" w14:textId="77777777" w:rsidR="00297DD4" w:rsidRPr="00E14DCC" w:rsidRDefault="00297DD4" w:rsidP="00297DD4">
      <w:pPr>
        <w:tabs>
          <w:tab w:val="num" w:pos="1404"/>
        </w:tabs>
        <w:spacing w:after="0" w:line="240" w:lineRule="auto"/>
        <w:jc w:val="both"/>
        <w:rPr>
          <w:rFonts w:ascii="Times New Roman" w:eastAsia="Times New Roman" w:hAnsi="Times New Roman" w:cs="Times New Roman"/>
          <w:b/>
          <w:bCs/>
        </w:rPr>
      </w:pPr>
    </w:p>
    <w:p w14:paraId="1E268395" w14:textId="77777777" w:rsidR="00297DD4" w:rsidRPr="00E14DCC" w:rsidRDefault="00297DD4" w:rsidP="00297DD4">
      <w:pPr>
        <w:tabs>
          <w:tab w:val="num" w:pos="1404"/>
        </w:tabs>
        <w:spacing w:after="0" w:line="240" w:lineRule="auto"/>
        <w:jc w:val="both"/>
        <w:rPr>
          <w:rFonts w:ascii="Times New Roman" w:eastAsia="Times New Roman" w:hAnsi="Times New Roman" w:cs="Times New Roman"/>
          <w:b/>
          <w:bCs/>
        </w:rPr>
      </w:pPr>
    </w:p>
    <w:p w14:paraId="4692B036"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4.</w:t>
      </w:r>
      <w:r w:rsidRPr="00E14DCC">
        <w:rPr>
          <w:rFonts w:ascii="Times New Roman" w:eastAsia="Times New Roman" w:hAnsi="Times New Roman" w:cs="Times New Roman"/>
          <w:b/>
          <w:bCs/>
        </w:rPr>
        <w:tab/>
        <w:t>FARMACINĖ FORMA IR KIEKIS PAKUOTĖJE</w:t>
      </w:r>
    </w:p>
    <w:p w14:paraId="047EF398"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1553B7E2"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color w:val="000000"/>
        </w:rPr>
        <w:t>Injekcinis ar infuzinis tirpalas</w:t>
      </w:r>
    </w:p>
    <w:p w14:paraId="47C20C4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7A5DDBF4"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100 mg / 1 ml</w:t>
      </w:r>
    </w:p>
    <w:p w14:paraId="7DCC0983"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rPr>
        <w:t xml:space="preserve">500 mg / 5 ml </w:t>
      </w:r>
    </w:p>
    <w:p w14:paraId="1795D9C2"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highlight w:val="lightGray"/>
        </w:rPr>
        <w:t>1 g / 10 ml</w:t>
      </w:r>
    </w:p>
    <w:p w14:paraId="6ACFA1FE"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highlight w:val="lightGray"/>
        </w:rPr>
        <w:t>2 g / 20 ml</w:t>
      </w:r>
    </w:p>
    <w:p w14:paraId="3A868828"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rPr>
        <w:t>4 g / 40 ml</w:t>
      </w:r>
    </w:p>
    <w:p w14:paraId="56223C2C"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highlight w:val="lightGray"/>
        </w:rPr>
        <w:t>5 g / 50 ml</w:t>
      </w:r>
    </w:p>
    <w:p w14:paraId="7A6B556C"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02B91097" w14:textId="77777777" w:rsidR="00297DD4" w:rsidRPr="00E14DCC" w:rsidRDefault="00297DD4" w:rsidP="00297DD4">
      <w:pPr>
        <w:shd w:val="clear" w:color="auto" w:fill="FFFFFF"/>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1 ml flakonas</w:t>
      </w:r>
      <w:r w:rsidRPr="00E14DCC">
        <w:rPr>
          <w:rFonts w:ascii="Times New Roman" w:eastAsia="Times New Roman" w:hAnsi="Times New Roman" w:cs="Times New Roman"/>
          <w:highlight w:val="lightGray"/>
          <w:shd w:val="clear" w:color="auto" w:fill="FFFFFF"/>
        </w:rPr>
        <w:t xml:space="preserve">, </w:t>
      </w:r>
      <w:r w:rsidRPr="00E14DCC">
        <w:rPr>
          <w:rFonts w:ascii="Times New Roman" w:eastAsia="Times New Roman" w:hAnsi="Times New Roman" w:cs="Times New Roman"/>
          <w:highlight w:val="lightGray"/>
        </w:rPr>
        <w:t>5 x 1 ml flakonai</w:t>
      </w:r>
    </w:p>
    <w:p w14:paraId="10BE2A2E"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shd w:val="clear" w:color="auto" w:fill="FFFFFF"/>
        </w:rPr>
        <w:t>1 x 5 ml flakonas, 5 x</w:t>
      </w:r>
      <w:r w:rsidRPr="00E14DCC">
        <w:rPr>
          <w:rFonts w:ascii="Times New Roman" w:eastAsia="Times New Roman" w:hAnsi="Times New Roman" w:cs="Times New Roman"/>
          <w:highlight w:val="lightGray"/>
        </w:rPr>
        <w:t xml:space="preserve"> 5 ml flakonai</w:t>
      </w:r>
      <w:r w:rsidRPr="00E14DCC">
        <w:rPr>
          <w:rFonts w:ascii="Times New Roman" w:eastAsia="Times New Roman" w:hAnsi="Times New Roman" w:cs="Times New Roman"/>
          <w:highlight w:val="lightGray"/>
          <w:shd w:val="clear" w:color="auto" w:fill="FFFFFF"/>
        </w:rPr>
        <w:t xml:space="preserve"> </w:t>
      </w:r>
    </w:p>
    <w:p w14:paraId="6A64D87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r w:rsidRPr="00E14DCC">
        <w:rPr>
          <w:rFonts w:ascii="Times New Roman" w:eastAsia="Times New Roman" w:hAnsi="Times New Roman" w:cs="Times New Roman"/>
          <w:highlight w:val="lightGray"/>
          <w:shd w:val="clear" w:color="auto" w:fill="FFFFFF"/>
        </w:rPr>
        <w:t>1 x 10 ml flakonas</w:t>
      </w:r>
    </w:p>
    <w:p w14:paraId="39D12F16"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shd w:val="clear" w:color="auto" w:fill="FFFFFF"/>
        </w:rPr>
        <w:t>1 x 20 ml flakonas</w:t>
      </w:r>
    </w:p>
    <w:p w14:paraId="29084160"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shd w:val="clear" w:color="auto" w:fill="FFFFFF"/>
        </w:rPr>
        <w:t>1 x 40 ml flakonas</w:t>
      </w:r>
    </w:p>
    <w:p w14:paraId="3CC0C64F"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shd w:val="clear" w:color="auto" w:fill="FFFFFF"/>
        </w:rPr>
        <w:t>1 x 50 ml flakonas</w:t>
      </w:r>
    </w:p>
    <w:p w14:paraId="4A8494A6"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p>
    <w:p w14:paraId="5B4776E0"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p>
    <w:p w14:paraId="5FA84FA8"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5.</w:t>
      </w:r>
      <w:r w:rsidRPr="00E14DCC">
        <w:rPr>
          <w:rFonts w:ascii="Times New Roman" w:eastAsia="Times New Roman" w:hAnsi="Times New Roman" w:cs="Times New Roman"/>
          <w:b/>
          <w:bCs/>
        </w:rPr>
        <w:tab/>
        <w:t>VARTOJIMO METODAS IR BŪDAS (-AI)</w:t>
      </w:r>
    </w:p>
    <w:p w14:paraId="5704C987" w14:textId="77777777" w:rsidR="00297DD4" w:rsidRPr="00E14DCC" w:rsidRDefault="00297DD4" w:rsidP="00297DD4">
      <w:pPr>
        <w:spacing w:after="0" w:line="240" w:lineRule="auto"/>
        <w:rPr>
          <w:rFonts w:ascii="Times New Roman" w:eastAsia="Times New Roman" w:hAnsi="Times New Roman" w:cs="Times New Roman"/>
        </w:rPr>
      </w:pPr>
    </w:p>
    <w:p w14:paraId="6DB436A7" w14:textId="77777777" w:rsidR="00297DD4" w:rsidRPr="00E14DCC" w:rsidRDefault="00297DD4" w:rsidP="00297DD4">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Tik vienkartiniam vartojimui.</w:t>
      </w:r>
    </w:p>
    <w:p w14:paraId="35A1931D" w14:textId="77777777" w:rsidR="00297DD4" w:rsidRPr="00E14DCC" w:rsidRDefault="00297DD4" w:rsidP="00297DD4">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Prieš vartojimą perskaitykite pakuotės lapelį.</w:t>
      </w:r>
    </w:p>
    <w:p w14:paraId="12958F7D" w14:textId="77777777" w:rsidR="00297DD4" w:rsidRPr="00E14DCC" w:rsidRDefault="00297DD4" w:rsidP="00297DD4">
      <w:pPr>
        <w:widowControl w:val="0"/>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Leisti tik į veną arba po oda.</w:t>
      </w:r>
    </w:p>
    <w:p w14:paraId="0EAE5A9F" w14:textId="77777777" w:rsidR="00297DD4" w:rsidRPr="00E14DCC" w:rsidRDefault="00297DD4" w:rsidP="00297DD4">
      <w:pPr>
        <w:widowControl w:val="0"/>
        <w:autoSpaceDE w:val="0"/>
        <w:autoSpaceDN w:val="0"/>
        <w:adjustRightInd w:val="0"/>
        <w:spacing w:after="0" w:line="240" w:lineRule="auto"/>
        <w:jc w:val="both"/>
        <w:rPr>
          <w:rFonts w:ascii="Times New Roman" w:eastAsia="Times New Roman" w:hAnsi="Times New Roman" w:cs="Times New Roman"/>
        </w:rPr>
      </w:pPr>
    </w:p>
    <w:p w14:paraId="51D73FAE" w14:textId="77777777" w:rsidR="00297DD4" w:rsidRPr="00E14DCC" w:rsidRDefault="00297DD4" w:rsidP="00297DD4">
      <w:pPr>
        <w:widowControl w:val="0"/>
        <w:autoSpaceDE w:val="0"/>
        <w:autoSpaceDN w:val="0"/>
        <w:adjustRightInd w:val="0"/>
        <w:spacing w:after="0" w:line="240" w:lineRule="auto"/>
        <w:jc w:val="both"/>
        <w:rPr>
          <w:rFonts w:ascii="Times New Roman" w:eastAsia="Times New Roman" w:hAnsi="Times New Roman" w:cs="Times New Roman"/>
        </w:rPr>
      </w:pPr>
    </w:p>
    <w:p w14:paraId="49B2DFB6"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left="567" w:right="29" w:hanging="567"/>
        <w:rPr>
          <w:rFonts w:ascii="Times New Roman" w:eastAsia="Times New Roman" w:hAnsi="Times New Roman" w:cs="Times New Roman"/>
          <w:b/>
          <w:bCs/>
        </w:rPr>
      </w:pPr>
      <w:r w:rsidRPr="00E14DCC">
        <w:rPr>
          <w:rFonts w:ascii="Times New Roman" w:eastAsia="Times New Roman" w:hAnsi="Times New Roman" w:cs="Times New Roman"/>
          <w:b/>
          <w:bCs/>
        </w:rPr>
        <w:lastRenderedPageBreak/>
        <w:t>6.</w:t>
      </w:r>
      <w:r w:rsidRPr="00E14DCC">
        <w:rPr>
          <w:rFonts w:ascii="Times New Roman" w:eastAsia="Times New Roman" w:hAnsi="Times New Roman" w:cs="Times New Roman"/>
          <w:b/>
          <w:bCs/>
        </w:rPr>
        <w:tab/>
        <w:t>SPECIALUS ĮSPĖJIMAS, KAD VAISTINĮ PREPARATĄ BŪTINA LAIKYTI VAIKAMS NEPASTEBIMOJE IR NEPASIEKIAMOJE</w:t>
      </w:r>
      <w:r w:rsidRPr="00E14DCC" w:rsidDel="009C5D74">
        <w:rPr>
          <w:rFonts w:ascii="Times New Roman" w:eastAsia="Times New Roman" w:hAnsi="Times New Roman" w:cs="Times New Roman"/>
          <w:b/>
          <w:bCs/>
        </w:rPr>
        <w:t xml:space="preserve"> </w:t>
      </w:r>
      <w:r w:rsidRPr="00E14DCC">
        <w:rPr>
          <w:rFonts w:ascii="Times New Roman" w:eastAsia="Times New Roman" w:hAnsi="Times New Roman" w:cs="Times New Roman"/>
          <w:b/>
          <w:bCs/>
        </w:rPr>
        <w:t>VIETOJE</w:t>
      </w:r>
    </w:p>
    <w:p w14:paraId="6E3D195D"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3902F33B"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r w:rsidRPr="00E14DCC">
        <w:rPr>
          <w:rFonts w:ascii="Times New Roman" w:eastAsia="Times New Roman" w:hAnsi="Times New Roman" w:cs="Times New Roman"/>
        </w:rPr>
        <w:t>Laikyti vaikams nepastebimoje ir nepasiekiamoje</w:t>
      </w:r>
      <w:r w:rsidRPr="00E14DCC" w:rsidDel="009C5D74">
        <w:rPr>
          <w:rFonts w:ascii="Times New Roman" w:eastAsia="Times New Roman" w:hAnsi="Times New Roman" w:cs="Times New Roman"/>
        </w:rPr>
        <w:t xml:space="preserve"> </w:t>
      </w:r>
      <w:r w:rsidRPr="00E14DCC">
        <w:rPr>
          <w:rFonts w:ascii="Times New Roman" w:eastAsia="Times New Roman" w:hAnsi="Times New Roman" w:cs="Times New Roman"/>
        </w:rPr>
        <w:t>vietoje.</w:t>
      </w:r>
    </w:p>
    <w:p w14:paraId="4139EE62"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667AF82C"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168F9045"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7.</w:t>
      </w:r>
      <w:r w:rsidRPr="00E14DCC">
        <w:rPr>
          <w:rFonts w:ascii="Times New Roman" w:eastAsia="Times New Roman" w:hAnsi="Times New Roman" w:cs="Times New Roman"/>
          <w:b/>
          <w:bCs/>
        </w:rPr>
        <w:tab/>
        <w:t>KITAS (-I) SPECIALUS (-ŪS) ĮSPĖJIMAS (-AI) (JEI REIKIA)</w:t>
      </w:r>
    </w:p>
    <w:p w14:paraId="1C9E6A34"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b/>
          <w:bCs/>
        </w:rPr>
      </w:pPr>
    </w:p>
    <w:p w14:paraId="045D1D25"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CITOTOKSIŠKAS.</w:t>
      </w:r>
    </w:p>
    <w:p w14:paraId="0333B62A"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b/>
          <w:bCs/>
        </w:rPr>
      </w:pPr>
    </w:p>
    <w:p w14:paraId="71E012B1"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b/>
          <w:bCs/>
        </w:rPr>
      </w:pPr>
    </w:p>
    <w:p w14:paraId="3C39FB4D"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8.</w:t>
      </w:r>
      <w:r w:rsidRPr="00E14DCC">
        <w:rPr>
          <w:rFonts w:ascii="Times New Roman" w:eastAsia="Times New Roman" w:hAnsi="Times New Roman" w:cs="Times New Roman"/>
          <w:b/>
          <w:bCs/>
        </w:rPr>
        <w:tab/>
        <w:t>TINKAMUMO LAIKAS</w:t>
      </w:r>
    </w:p>
    <w:p w14:paraId="176A923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6E780844"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 xml:space="preserve">Tinka iki </w:t>
      </w:r>
      <w:r w:rsidRPr="00E14DCC">
        <w:rPr>
          <w:rFonts w:ascii="Times New Roman" w:hAnsi="Times New Roman"/>
        </w:rPr>
        <w:t>[mm MMMM]</w:t>
      </w:r>
    </w:p>
    <w:p w14:paraId="0DE21310"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Pirmą kartą atidarius pakuotę, vaistą reikia vartoti nedelsiant.</w:t>
      </w:r>
    </w:p>
    <w:p w14:paraId="3502181E"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 xml:space="preserve">Praskiesto vaisto tinkamumo laikas nurodytas pakuotės lapelyje. </w:t>
      </w:r>
    </w:p>
    <w:p w14:paraId="2C63FF6E"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134AF236"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3D3AAD87"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autoSpaceDE w:val="0"/>
        <w:autoSpaceDN w:val="0"/>
        <w:adjustRightInd w:val="0"/>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9.</w:t>
      </w:r>
      <w:r w:rsidRPr="00E14DCC">
        <w:rPr>
          <w:rFonts w:ascii="Times New Roman" w:eastAsia="Times New Roman" w:hAnsi="Times New Roman" w:cs="Times New Roman"/>
          <w:b/>
          <w:bCs/>
        </w:rPr>
        <w:tab/>
        <w:t>SPECIALIOS LAIKYMO SĄLYGOS</w:t>
      </w:r>
    </w:p>
    <w:p w14:paraId="0F1FD875"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rPr>
      </w:pPr>
    </w:p>
    <w:p w14:paraId="53BFADC2"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 xml:space="preserve">Laikyti ne aukštesnėje kaip 25°C temperatūroje. </w:t>
      </w:r>
    </w:p>
    <w:p w14:paraId="7B79E096"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rPr>
        <w:t>Negalima šaldyti ar užšaldyti.</w:t>
      </w:r>
    </w:p>
    <w:p w14:paraId="0DA9D707"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rPr>
      </w:pPr>
    </w:p>
    <w:p w14:paraId="47AAD6D3" w14:textId="77777777" w:rsidR="00297DD4" w:rsidRPr="00E14DCC" w:rsidRDefault="00297DD4" w:rsidP="00297DD4">
      <w:pPr>
        <w:autoSpaceDE w:val="0"/>
        <w:autoSpaceDN w:val="0"/>
        <w:adjustRightInd w:val="0"/>
        <w:spacing w:after="0" w:line="240" w:lineRule="auto"/>
        <w:jc w:val="both"/>
        <w:rPr>
          <w:rFonts w:ascii="Times New Roman" w:eastAsia="Times New Roman" w:hAnsi="Times New Roman" w:cs="Times New Roman"/>
        </w:rPr>
      </w:pPr>
    </w:p>
    <w:p w14:paraId="000027BC"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 w:val="left" w:pos="1404"/>
        </w:tabs>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b/>
          <w:bCs/>
        </w:rPr>
        <w:t>10.</w:t>
      </w:r>
      <w:r w:rsidRPr="00E14DCC">
        <w:rPr>
          <w:rFonts w:ascii="Times New Roman" w:eastAsia="Times New Roman" w:hAnsi="Times New Roman" w:cs="Times New Roman"/>
          <w:b/>
          <w:bCs/>
        </w:rPr>
        <w:tab/>
        <w:t>SPECIALIOS ATSARGUMO PRIEMONĖS DĖL NESUVARTOTO VAISTINIO PREPARATO AR JO ATLIEKŲ TVARKYMO (JEI REIKIA)</w:t>
      </w:r>
    </w:p>
    <w:p w14:paraId="21010AED"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400CDF58"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Nesuvartotą vaistą ar atliekas reikia tvarkyti laikantis vietinių reikalavimų citotoksiniams vaistams.</w:t>
      </w:r>
    </w:p>
    <w:p w14:paraId="48E111E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p>
    <w:p w14:paraId="7D78AA13"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yellow"/>
        </w:rPr>
      </w:pPr>
    </w:p>
    <w:p w14:paraId="19218EF8"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11.</w:t>
      </w:r>
      <w:r w:rsidRPr="00E14DCC">
        <w:rPr>
          <w:rFonts w:ascii="Times New Roman" w:eastAsia="Times New Roman" w:hAnsi="Times New Roman" w:cs="Times New Roman"/>
          <w:b/>
          <w:bCs/>
        </w:rPr>
        <w:tab/>
        <w:t>REGISTRUOTOJO</w:t>
      </w:r>
      <w:r w:rsidRPr="00E14DCC" w:rsidDel="009C5D74">
        <w:rPr>
          <w:rFonts w:ascii="Times New Roman" w:eastAsia="Times New Roman" w:hAnsi="Times New Roman" w:cs="Times New Roman"/>
          <w:b/>
          <w:bCs/>
        </w:rPr>
        <w:t xml:space="preserve"> </w:t>
      </w:r>
      <w:r w:rsidRPr="00E14DCC">
        <w:rPr>
          <w:rFonts w:ascii="Times New Roman" w:eastAsia="Times New Roman" w:hAnsi="Times New Roman" w:cs="Times New Roman"/>
          <w:b/>
          <w:bCs/>
        </w:rPr>
        <w:t>PAVADINIMAS IR ADRESAS</w:t>
      </w:r>
    </w:p>
    <w:p w14:paraId="37768182"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p>
    <w:p w14:paraId="585321A8" w14:textId="77777777" w:rsidR="00297DD4" w:rsidRPr="00E14DCC" w:rsidRDefault="00297DD4" w:rsidP="00297DD4">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Accord Healthcare </w:t>
      </w:r>
      <w:r w:rsidRPr="00E14DCC">
        <w:rPr>
          <w:rFonts w:ascii="Times New Roman" w:hAnsi="Times New Roman" w:cs="Times New Roman"/>
        </w:rPr>
        <w:t xml:space="preserve">B.V. </w:t>
      </w:r>
    </w:p>
    <w:p w14:paraId="083F042C" w14:textId="77777777" w:rsidR="00297DD4" w:rsidRPr="00E14DCC" w:rsidRDefault="00297DD4" w:rsidP="00297DD4">
      <w:pPr>
        <w:spacing w:after="0" w:line="240" w:lineRule="auto"/>
        <w:rPr>
          <w:rFonts w:ascii="Times New Roman" w:hAnsi="Times New Roman" w:cs="Times New Roman"/>
        </w:rPr>
      </w:pPr>
      <w:r w:rsidRPr="00E14DCC">
        <w:rPr>
          <w:rFonts w:ascii="Times New Roman" w:hAnsi="Times New Roman" w:cs="Times New Roman"/>
        </w:rPr>
        <w:t xml:space="preserve">Winthontlaan 200 </w:t>
      </w:r>
    </w:p>
    <w:p w14:paraId="748FD32A" w14:textId="77777777" w:rsidR="00297DD4" w:rsidRPr="00E14DCC" w:rsidRDefault="00297DD4" w:rsidP="00297DD4">
      <w:pPr>
        <w:spacing w:after="0" w:line="240" w:lineRule="auto"/>
        <w:rPr>
          <w:rFonts w:ascii="Times New Roman" w:hAnsi="Times New Roman" w:cs="Times New Roman"/>
        </w:rPr>
      </w:pPr>
      <w:r w:rsidRPr="00E14DCC">
        <w:rPr>
          <w:rFonts w:ascii="Times New Roman" w:hAnsi="Times New Roman" w:cs="Times New Roman"/>
        </w:rPr>
        <w:t xml:space="preserve">3526 KV Utrecht </w:t>
      </w:r>
    </w:p>
    <w:p w14:paraId="4CA4E187" w14:textId="77777777" w:rsidR="00297DD4" w:rsidRPr="00E14DCC" w:rsidRDefault="00297DD4" w:rsidP="00297DD4">
      <w:pPr>
        <w:spacing w:after="0" w:line="240" w:lineRule="auto"/>
      </w:pPr>
      <w:r w:rsidRPr="00E14DCC">
        <w:rPr>
          <w:rFonts w:ascii="Times New Roman" w:hAnsi="Times New Roman" w:cs="Times New Roman"/>
        </w:rPr>
        <w:t>Nyderlandai</w:t>
      </w:r>
    </w:p>
    <w:p w14:paraId="6C6CC7D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243B6E1B"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16FBC3F9"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12.</w:t>
      </w:r>
      <w:r w:rsidRPr="00E14DCC">
        <w:rPr>
          <w:rFonts w:ascii="Times New Roman" w:eastAsia="Times New Roman" w:hAnsi="Times New Roman" w:cs="Times New Roman"/>
          <w:b/>
          <w:bCs/>
        </w:rPr>
        <w:tab/>
        <w:t>REGISTRACIJOS PAŽYMĖJIMO NUMERIS (-IAI)</w:t>
      </w:r>
    </w:p>
    <w:p w14:paraId="5399E9D8"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52ACDAC2"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rPr>
        <w:t xml:space="preserve">LT/1/10/2138/001 </w:t>
      </w:r>
      <w:r w:rsidRPr="00E14DCC">
        <w:rPr>
          <w:rFonts w:ascii="Times New Roman" w:eastAsia="Times New Roman" w:hAnsi="Times New Roman" w:cs="Times New Roman"/>
          <w:highlight w:val="lightGray"/>
          <w:shd w:val="clear" w:color="auto" w:fill="FFFFFF"/>
        </w:rPr>
        <w:t>– 1 ml, N1</w:t>
      </w:r>
    </w:p>
    <w:p w14:paraId="4C5135C5"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LT/1/10/2138/002 – 1 ml, N5</w:t>
      </w:r>
    </w:p>
    <w:p w14:paraId="6288929E"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LT/1/10/2138/003 – 5 ml, N1</w:t>
      </w:r>
    </w:p>
    <w:p w14:paraId="2C6D9F40"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LT/1/10/2138/004 – 5 ml, N5</w:t>
      </w:r>
    </w:p>
    <w:p w14:paraId="04832AA7"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LT/1/10/2138/005 – 10 ml, N1</w:t>
      </w:r>
    </w:p>
    <w:p w14:paraId="3707F853"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LT/1/10/2138/006 – 20 ml, N1</w:t>
      </w:r>
    </w:p>
    <w:p w14:paraId="47CE4FB5"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LT/1/10/2138/007 – 40 ml, N1</w:t>
      </w:r>
    </w:p>
    <w:p w14:paraId="50D4BE80"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shd w:val="clear" w:color="auto" w:fill="FFFFFF"/>
        </w:rPr>
      </w:pPr>
      <w:r w:rsidRPr="00E14DCC">
        <w:rPr>
          <w:rFonts w:ascii="Times New Roman" w:eastAsia="Times New Roman" w:hAnsi="Times New Roman" w:cs="Times New Roman"/>
          <w:highlight w:val="lightGray"/>
          <w:shd w:val="clear" w:color="auto" w:fill="FFFFFF"/>
        </w:rPr>
        <w:t>LT/1/10/2138/008 – 50 ml, N1</w:t>
      </w:r>
    </w:p>
    <w:p w14:paraId="0C9D15FC"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01612417"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06B23B09"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13.</w:t>
      </w:r>
      <w:r w:rsidRPr="00E14DCC">
        <w:rPr>
          <w:rFonts w:ascii="Times New Roman" w:eastAsia="Times New Roman" w:hAnsi="Times New Roman" w:cs="Times New Roman"/>
          <w:b/>
          <w:bCs/>
        </w:rPr>
        <w:tab/>
        <w:t>SERIJOS NUMERIS</w:t>
      </w:r>
    </w:p>
    <w:p w14:paraId="7E8F6FFB"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p>
    <w:p w14:paraId="5FC7DFDD"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 xml:space="preserve">Serija </w:t>
      </w:r>
    </w:p>
    <w:p w14:paraId="11E40445"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p>
    <w:p w14:paraId="73847C84"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p>
    <w:p w14:paraId="3CA9CFA9"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567"/>
          <w:tab w:val="right" w:pos="720"/>
          <w:tab w:val="num" w:pos="1014"/>
        </w:tabs>
        <w:spacing w:after="0" w:line="240" w:lineRule="auto"/>
        <w:ind w:right="28"/>
        <w:jc w:val="both"/>
        <w:rPr>
          <w:rFonts w:ascii="Times New Roman" w:eastAsia="Times New Roman" w:hAnsi="Times New Roman" w:cs="Times New Roman"/>
          <w:bCs/>
        </w:rPr>
      </w:pPr>
      <w:r w:rsidRPr="00E14DCC">
        <w:rPr>
          <w:rFonts w:ascii="Times New Roman" w:eastAsia="Times New Roman" w:hAnsi="Times New Roman" w:cs="Times New Roman"/>
          <w:b/>
          <w:bCs/>
        </w:rPr>
        <w:lastRenderedPageBreak/>
        <w:t>14.</w:t>
      </w:r>
      <w:r w:rsidRPr="00E14DCC">
        <w:rPr>
          <w:rFonts w:ascii="Times New Roman" w:eastAsia="Times New Roman" w:hAnsi="Times New Roman" w:cs="Times New Roman"/>
          <w:b/>
          <w:bCs/>
        </w:rPr>
        <w:tab/>
      </w:r>
      <w:r w:rsidRPr="00E14DCC">
        <w:rPr>
          <w:rFonts w:ascii="Times New Roman" w:eastAsia="Times New Roman" w:hAnsi="Times New Roman" w:cs="Times New Roman"/>
          <w:b/>
          <w:bCs/>
        </w:rPr>
        <w:tab/>
        <w:t>PARDAVIMO (IŠDAVIMO) TVARKA</w:t>
      </w:r>
    </w:p>
    <w:p w14:paraId="59905C09"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p>
    <w:p w14:paraId="1227B6B7" w14:textId="77777777" w:rsidR="00297DD4" w:rsidRPr="00E14DCC" w:rsidRDefault="00297DD4" w:rsidP="00297DD4">
      <w:pPr>
        <w:tabs>
          <w:tab w:val="num" w:pos="1014"/>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Receptinis vaistas</w:t>
      </w:r>
    </w:p>
    <w:p w14:paraId="18993E1C" w14:textId="77777777" w:rsidR="00297DD4" w:rsidRPr="00E14DCC" w:rsidRDefault="00297DD4" w:rsidP="00297DD4">
      <w:pPr>
        <w:tabs>
          <w:tab w:val="num" w:pos="1014"/>
          <w:tab w:val="left" w:pos="1404"/>
        </w:tabs>
        <w:spacing w:after="0" w:line="240" w:lineRule="auto"/>
        <w:ind w:right="29"/>
        <w:jc w:val="both"/>
        <w:rPr>
          <w:rFonts w:ascii="Times New Roman" w:eastAsia="Times New Roman" w:hAnsi="Times New Roman" w:cs="Times New Roman"/>
        </w:rPr>
      </w:pPr>
    </w:p>
    <w:p w14:paraId="49F0716B" w14:textId="77777777" w:rsidR="00297DD4" w:rsidRPr="00E14DCC" w:rsidRDefault="00297DD4" w:rsidP="00297DD4">
      <w:pPr>
        <w:tabs>
          <w:tab w:val="num" w:pos="1014"/>
          <w:tab w:val="left" w:pos="1404"/>
        </w:tabs>
        <w:spacing w:after="0" w:line="240" w:lineRule="auto"/>
        <w:ind w:right="29"/>
        <w:jc w:val="both"/>
        <w:rPr>
          <w:rFonts w:ascii="Times New Roman" w:eastAsia="Times New Roman" w:hAnsi="Times New Roman" w:cs="Times New Roman"/>
        </w:rPr>
      </w:pPr>
    </w:p>
    <w:p w14:paraId="283BE705"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234"/>
          <w:tab w:val="left" w:pos="720"/>
          <w:tab w:val="num" w:pos="1014"/>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15.</w:t>
      </w:r>
      <w:r w:rsidRPr="00E14DCC">
        <w:rPr>
          <w:rFonts w:ascii="Times New Roman" w:eastAsia="Times New Roman" w:hAnsi="Times New Roman" w:cs="Times New Roman"/>
          <w:b/>
          <w:bCs/>
        </w:rPr>
        <w:tab/>
        <w:t>VARTOJIMO INSTRUKCIJA</w:t>
      </w:r>
    </w:p>
    <w:p w14:paraId="1D1A79CB" w14:textId="77777777" w:rsidR="00297DD4" w:rsidRPr="00E14DCC" w:rsidRDefault="00297DD4" w:rsidP="00297DD4">
      <w:pPr>
        <w:tabs>
          <w:tab w:val="left" w:pos="234"/>
          <w:tab w:val="num" w:pos="1014"/>
        </w:tabs>
        <w:spacing w:after="0" w:line="240" w:lineRule="auto"/>
        <w:ind w:right="29"/>
        <w:jc w:val="both"/>
        <w:rPr>
          <w:rFonts w:ascii="Times New Roman" w:eastAsia="Times New Roman" w:hAnsi="Times New Roman" w:cs="Times New Roman"/>
        </w:rPr>
      </w:pPr>
    </w:p>
    <w:p w14:paraId="1BBF2575" w14:textId="77777777" w:rsidR="00297DD4" w:rsidRPr="00E14DCC" w:rsidRDefault="00297DD4" w:rsidP="00297DD4">
      <w:pPr>
        <w:tabs>
          <w:tab w:val="left" w:pos="234"/>
          <w:tab w:val="num" w:pos="1014"/>
        </w:tabs>
        <w:spacing w:after="0" w:line="240" w:lineRule="auto"/>
        <w:ind w:right="29"/>
        <w:jc w:val="both"/>
        <w:rPr>
          <w:rFonts w:ascii="Times New Roman" w:eastAsia="Times New Roman" w:hAnsi="Times New Roman" w:cs="Times New Roman"/>
        </w:rPr>
      </w:pPr>
    </w:p>
    <w:p w14:paraId="0F0CC2A3" w14:textId="77777777" w:rsidR="00297DD4" w:rsidRPr="00E14DCC" w:rsidRDefault="00297DD4" w:rsidP="00297DD4">
      <w:pPr>
        <w:pBdr>
          <w:top w:val="single" w:sz="4" w:space="2" w:color="auto"/>
          <w:left w:val="single" w:sz="4" w:space="4" w:color="auto"/>
          <w:bottom w:val="single" w:sz="4" w:space="1" w:color="auto"/>
          <w:right w:val="single" w:sz="4" w:space="4" w:color="auto"/>
        </w:pBdr>
        <w:tabs>
          <w:tab w:val="left" w:pos="234"/>
          <w:tab w:val="left" w:pos="720"/>
          <w:tab w:val="num" w:pos="1014"/>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16.</w:t>
      </w:r>
      <w:r w:rsidRPr="00E14DCC">
        <w:rPr>
          <w:rFonts w:ascii="Times New Roman" w:eastAsia="Times New Roman" w:hAnsi="Times New Roman" w:cs="Times New Roman"/>
          <w:b/>
          <w:bCs/>
        </w:rPr>
        <w:tab/>
        <w:t>INFORMACIJA BRAILIO RAŠTU</w:t>
      </w:r>
    </w:p>
    <w:p w14:paraId="7793A57A" w14:textId="77777777" w:rsidR="00297DD4" w:rsidRPr="00E14DCC" w:rsidRDefault="00297DD4" w:rsidP="00297DD4">
      <w:pPr>
        <w:tabs>
          <w:tab w:val="left" w:pos="234"/>
          <w:tab w:val="num" w:pos="1014"/>
        </w:tabs>
        <w:spacing w:after="0" w:line="240" w:lineRule="auto"/>
        <w:ind w:right="29"/>
        <w:jc w:val="both"/>
        <w:rPr>
          <w:rFonts w:ascii="Times New Roman" w:eastAsia="Times New Roman" w:hAnsi="Times New Roman" w:cs="Times New Roman"/>
        </w:rPr>
      </w:pPr>
    </w:p>
    <w:p w14:paraId="76403759" w14:textId="77777777" w:rsidR="00297DD4" w:rsidRPr="00E14DCC" w:rsidRDefault="00297DD4" w:rsidP="00297DD4">
      <w:pPr>
        <w:tabs>
          <w:tab w:val="left" w:pos="567"/>
        </w:tabs>
        <w:spacing w:after="0" w:line="240" w:lineRule="auto"/>
        <w:rPr>
          <w:rFonts w:ascii="Times New Roman" w:eastAsia="Times New Roman" w:hAnsi="Times New Roman" w:cs="Times New Roman"/>
          <w:snapToGrid w:val="0"/>
          <w:szCs w:val="24"/>
        </w:rPr>
      </w:pPr>
      <w:r w:rsidRPr="00E14DCC">
        <w:rPr>
          <w:rFonts w:ascii="Times New Roman" w:eastAsia="Times New Roman" w:hAnsi="Times New Roman" w:cs="Times New Roman"/>
          <w:snapToGrid w:val="0"/>
          <w:szCs w:val="24"/>
          <w:highlight w:val="lightGray"/>
        </w:rPr>
        <w:t>Priimtas pagrindimas informacijos Brailio raštu nepateikti.</w:t>
      </w:r>
    </w:p>
    <w:p w14:paraId="18983F41" w14:textId="77777777" w:rsidR="00297DD4" w:rsidRPr="00E14DCC" w:rsidRDefault="00297DD4" w:rsidP="00297DD4">
      <w:pPr>
        <w:spacing w:after="0" w:line="240" w:lineRule="auto"/>
        <w:rPr>
          <w:shd w:val="clear" w:color="auto" w:fill="CCCCCC"/>
        </w:rPr>
      </w:pPr>
    </w:p>
    <w:p w14:paraId="23BF6613" w14:textId="77777777" w:rsidR="00297DD4" w:rsidRPr="00E14DCC" w:rsidRDefault="00297DD4" w:rsidP="00297DD4">
      <w:pPr>
        <w:spacing w:after="0" w:line="240" w:lineRule="auto"/>
        <w:rPr>
          <w:rFonts w:ascii="Times New Roman" w:hAnsi="Times New Roman" w:cs="Times New Roman"/>
          <w:shd w:val="clear" w:color="auto" w:fill="CCCCCC"/>
        </w:rPr>
      </w:pPr>
    </w:p>
    <w:p w14:paraId="00BBA8FE" w14:textId="77777777" w:rsidR="00297DD4" w:rsidRPr="00E14DCC" w:rsidRDefault="00297DD4" w:rsidP="00297DD4">
      <w:pPr>
        <w:keepNext/>
        <w:numPr>
          <w:ilvl w:val="0"/>
          <w:numId w:val="16"/>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rPr>
      </w:pPr>
      <w:r w:rsidRPr="00E14DCC">
        <w:rPr>
          <w:rFonts w:ascii="Times New Roman" w:hAnsi="Times New Roman" w:cs="Times New Roman"/>
          <w:b/>
        </w:rPr>
        <w:t>UNIKALUS IDENTIFIKATORIUS – 2D BRŪKŠNINIS KODAS</w:t>
      </w:r>
    </w:p>
    <w:p w14:paraId="3A4ED3B1" w14:textId="77777777" w:rsidR="00297DD4" w:rsidRPr="00E14DCC" w:rsidRDefault="00297DD4" w:rsidP="00297DD4">
      <w:pPr>
        <w:spacing w:after="0" w:line="240" w:lineRule="auto"/>
        <w:rPr>
          <w:rFonts w:ascii="Times New Roman" w:hAnsi="Times New Roman" w:cs="Times New Roman"/>
        </w:rPr>
      </w:pPr>
    </w:p>
    <w:p w14:paraId="7D1C08B6" w14:textId="77777777" w:rsidR="00297DD4" w:rsidRPr="00E14DCC" w:rsidRDefault="00297DD4" w:rsidP="00297DD4">
      <w:pPr>
        <w:spacing w:after="0" w:line="240" w:lineRule="auto"/>
        <w:rPr>
          <w:rFonts w:ascii="Times New Roman" w:hAnsi="Times New Roman" w:cs="Times New Roman"/>
          <w:highlight w:val="lightGray"/>
        </w:rPr>
      </w:pPr>
      <w:r w:rsidRPr="00E14DCC">
        <w:rPr>
          <w:rFonts w:ascii="Times New Roman" w:hAnsi="Times New Roman" w:cs="Times New Roman"/>
          <w:highlight w:val="lightGray"/>
        </w:rPr>
        <w:t>2D brūkšninis kodas su nurodytu unikaliu identifikatoriumi.</w:t>
      </w:r>
    </w:p>
    <w:p w14:paraId="37872A80" w14:textId="77777777" w:rsidR="00297DD4" w:rsidRPr="00E14DCC" w:rsidRDefault="00297DD4" w:rsidP="00297DD4">
      <w:pPr>
        <w:spacing w:after="0" w:line="240" w:lineRule="auto"/>
        <w:rPr>
          <w:rFonts w:ascii="Times New Roman" w:hAnsi="Times New Roman" w:cs="Times New Roman"/>
          <w:shd w:val="clear" w:color="auto" w:fill="CCCCCC"/>
        </w:rPr>
      </w:pPr>
    </w:p>
    <w:p w14:paraId="5776380E" w14:textId="77777777" w:rsidR="00297DD4" w:rsidRPr="00E14DCC" w:rsidRDefault="00297DD4" w:rsidP="00297DD4">
      <w:pPr>
        <w:spacing w:after="0" w:line="240" w:lineRule="auto"/>
        <w:rPr>
          <w:rFonts w:ascii="Times New Roman" w:hAnsi="Times New Roman" w:cs="Times New Roman"/>
        </w:rPr>
      </w:pPr>
    </w:p>
    <w:p w14:paraId="6D515CD5" w14:textId="77777777" w:rsidR="00297DD4" w:rsidRPr="00E14DCC" w:rsidRDefault="00297DD4" w:rsidP="00297DD4">
      <w:pPr>
        <w:keepNext/>
        <w:numPr>
          <w:ilvl w:val="0"/>
          <w:numId w:val="16"/>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i/>
        </w:rPr>
      </w:pPr>
      <w:r w:rsidRPr="00E14DCC">
        <w:rPr>
          <w:rFonts w:ascii="Times New Roman" w:hAnsi="Times New Roman" w:cs="Times New Roman"/>
          <w:b/>
        </w:rPr>
        <w:t>UNIKALUS IDENTIFIKATORIUS – ŽMONĖMS SUPRANTAMI DUOMENYS</w:t>
      </w:r>
    </w:p>
    <w:p w14:paraId="656338DC" w14:textId="77777777" w:rsidR="00297DD4" w:rsidRPr="00E14DCC" w:rsidRDefault="00297DD4" w:rsidP="00297DD4">
      <w:pPr>
        <w:spacing w:after="0" w:line="240" w:lineRule="auto"/>
        <w:rPr>
          <w:rFonts w:ascii="Times New Roman" w:hAnsi="Times New Roman" w:cs="Times New Roman"/>
        </w:rPr>
      </w:pPr>
    </w:p>
    <w:p w14:paraId="2A8935E7" w14:textId="77777777" w:rsidR="00297DD4" w:rsidRPr="00E14DCC" w:rsidRDefault="00297DD4" w:rsidP="00297DD4">
      <w:pPr>
        <w:spacing w:after="0" w:line="240" w:lineRule="auto"/>
        <w:rPr>
          <w:rFonts w:ascii="Times New Roman" w:hAnsi="Times New Roman" w:cs="Times New Roman"/>
          <w:color w:val="008000"/>
        </w:rPr>
      </w:pPr>
      <w:r w:rsidRPr="00E14DCC">
        <w:rPr>
          <w:rFonts w:ascii="Times New Roman" w:hAnsi="Times New Roman" w:cs="Times New Roman"/>
        </w:rPr>
        <w:t>PC: {numeris}</w:t>
      </w:r>
    </w:p>
    <w:p w14:paraId="6CE59A8F" w14:textId="77777777" w:rsidR="00297DD4" w:rsidRPr="00E14DCC" w:rsidRDefault="00297DD4" w:rsidP="00297DD4">
      <w:pPr>
        <w:spacing w:after="0" w:line="240" w:lineRule="auto"/>
        <w:rPr>
          <w:rFonts w:ascii="Times New Roman" w:hAnsi="Times New Roman" w:cs="Times New Roman"/>
        </w:rPr>
      </w:pPr>
      <w:r w:rsidRPr="00E14DCC">
        <w:rPr>
          <w:rFonts w:ascii="Times New Roman" w:hAnsi="Times New Roman" w:cs="Times New Roman"/>
        </w:rPr>
        <w:t>SN: {numeris}</w:t>
      </w:r>
    </w:p>
    <w:p w14:paraId="3F675044" w14:textId="77777777" w:rsidR="00297DD4" w:rsidRPr="00E14DCC" w:rsidRDefault="00297DD4" w:rsidP="00297DD4">
      <w:pPr>
        <w:spacing w:after="0" w:line="240" w:lineRule="auto"/>
        <w:rPr>
          <w:rFonts w:ascii="Times New Roman" w:hAnsi="Times New Roman" w:cs="Times New Roman"/>
          <w:vanish/>
        </w:rPr>
      </w:pPr>
      <w:r w:rsidRPr="00E14DCC">
        <w:rPr>
          <w:rFonts w:ascii="Times New Roman" w:hAnsi="Times New Roman" w:cs="Times New Roman"/>
        </w:rPr>
        <w:t>NN: {numeris}</w:t>
      </w:r>
    </w:p>
    <w:p w14:paraId="797F2554" w14:textId="77777777" w:rsidR="00297DD4" w:rsidRPr="00E14DCC" w:rsidRDefault="00297DD4" w:rsidP="00297DD4">
      <w:pPr>
        <w:spacing w:after="0" w:line="240" w:lineRule="auto"/>
        <w:ind w:right="297"/>
        <w:rPr>
          <w:rFonts w:ascii="Times New Roman" w:eastAsia="Times New Roman" w:hAnsi="Times New Roman" w:cs="Times New Roman"/>
          <w:strike/>
        </w:rPr>
      </w:pPr>
      <w:r w:rsidRPr="00E14DCC">
        <w:rPr>
          <w:rFonts w:ascii="Times New Roman" w:eastAsia="Times New Roman" w:hAnsi="Times New Roman" w:cs="Times New Roman"/>
          <w:strike/>
        </w:rPr>
        <w:br w:type="page"/>
      </w:r>
    </w:p>
    <w:p w14:paraId="1DC8058C" w14:textId="77777777" w:rsidR="00297DD4" w:rsidRPr="00E14DCC" w:rsidRDefault="00297DD4" w:rsidP="00297DD4">
      <w:pPr>
        <w:spacing w:after="0" w:line="240" w:lineRule="auto"/>
        <w:ind w:right="297"/>
        <w:rPr>
          <w:rFonts w:ascii="Times New Roman" w:eastAsia="Times New Roman" w:hAnsi="Times New Roman" w:cs="Times New Roman"/>
          <w:strike/>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07"/>
      </w:tblGrid>
      <w:tr w:rsidR="00297DD4" w:rsidRPr="00E14DCC" w14:paraId="451DDE9F" w14:textId="77777777" w:rsidTr="00214340">
        <w:tc>
          <w:tcPr>
            <w:tcW w:w="9392" w:type="dxa"/>
          </w:tcPr>
          <w:p w14:paraId="1D89936B" w14:textId="77777777" w:rsidR="00297DD4" w:rsidRPr="00E14DCC" w:rsidRDefault="00297DD4" w:rsidP="00214340">
            <w:pPr>
              <w:spacing w:after="0" w:line="240" w:lineRule="auto"/>
              <w:ind w:right="297"/>
              <w:rPr>
                <w:rFonts w:ascii="Times New Roman" w:eastAsia="Times New Roman" w:hAnsi="Times New Roman" w:cs="Times New Roman"/>
                <w:bCs/>
              </w:rPr>
            </w:pPr>
            <w:r w:rsidRPr="00E14DCC">
              <w:rPr>
                <w:rFonts w:ascii="Times New Roman" w:eastAsia="Times New Roman" w:hAnsi="Times New Roman" w:cs="Times New Roman"/>
                <w:b/>
                <w:bCs/>
              </w:rPr>
              <w:t>MINIMALI INFORMACIJA ANT MAŽŲ VIDINIŲ PAKUOČIŲ</w:t>
            </w:r>
          </w:p>
          <w:p w14:paraId="41E93541" w14:textId="77777777" w:rsidR="00297DD4" w:rsidRPr="00E14DCC" w:rsidRDefault="00297DD4" w:rsidP="00214340">
            <w:pPr>
              <w:keepNext/>
              <w:spacing w:after="0" w:line="240" w:lineRule="auto"/>
              <w:outlineLvl w:val="3"/>
              <w:rPr>
                <w:rFonts w:ascii="Times New Roman" w:eastAsia="Times New Roman" w:hAnsi="Times New Roman" w:cs="Times New Roman"/>
                <w:b/>
                <w:bCs/>
              </w:rPr>
            </w:pPr>
          </w:p>
          <w:p w14:paraId="2AACE019" w14:textId="77777777" w:rsidR="00297DD4" w:rsidRPr="00E14DCC" w:rsidRDefault="00297DD4" w:rsidP="00214340">
            <w:pPr>
              <w:keepNext/>
              <w:spacing w:after="0" w:line="240" w:lineRule="auto"/>
              <w:outlineLvl w:val="3"/>
              <w:rPr>
                <w:rFonts w:ascii="Times New Roman" w:eastAsia="Times New Roman" w:hAnsi="Times New Roman" w:cs="Times New Roman"/>
                <w:bCs/>
              </w:rPr>
            </w:pPr>
            <w:r w:rsidRPr="00E14DCC">
              <w:rPr>
                <w:rFonts w:ascii="Times New Roman" w:eastAsia="Times New Roman" w:hAnsi="Times New Roman" w:cs="Times New Roman"/>
                <w:b/>
                <w:bCs/>
              </w:rPr>
              <w:t>FLAKONO ETIKETĖ</w:t>
            </w:r>
          </w:p>
        </w:tc>
      </w:tr>
    </w:tbl>
    <w:p w14:paraId="25F254CD" w14:textId="77777777" w:rsidR="00297DD4" w:rsidRPr="00E14DCC" w:rsidRDefault="00297DD4" w:rsidP="00297DD4">
      <w:pPr>
        <w:spacing w:after="0" w:line="240" w:lineRule="auto"/>
        <w:ind w:right="297"/>
        <w:rPr>
          <w:rFonts w:ascii="Times New Roman" w:eastAsia="Times New Roman" w:hAnsi="Times New Roman" w:cs="Times New Roman"/>
        </w:rPr>
      </w:pPr>
    </w:p>
    <w:p w14:paraId="5CAC0A8C" w14:textId="77777777" w:rsidR="00297DD4" w:rsidRPr="00E14DCC" w:rsidRDefault="00297DD4" w:rsidP="00297DD4">
      <w:pPr>
        <w:spacing w:after="0" w:line="240" w:lineRule="auto"/>
        <w:ind w:left="240" w:hanging="240"/>
        <w:rPr>
          <w:rFonts w:ascii="Times New Roman" w:eastAsia="Times New Roman" w:hAnsi="Times New Roman" w:cs="Times New Roman"/>
        </w:rPr>
      </w:pPr>
    </w:p>
    <w:p w14:paraId="4F1D810A" w14:textId="77777777" w:rsidR="00297DD4" w:rsidRPr="00E14DCC" w:rsidRDefault="00297DD4" w:rsidP="00297DD4">
      <w:pPr>
        <w:pBdr>
          <w:top w:val="single" w:sz="4" w:space="1" w:color="auto"/>
          <w:left w:val="single" w:sz="4" w:space="0" w:color="auto"/>
          <w:bottom w:val="single" w:sz="4" w:space="1" w:color="auto"/>
          <w:right w:val="single" w:sz="4" w:space="4" w:color="auto"/>
        </w:pBdr>
        <w:tabs>
          <w:tab w:val="left" w:pos="720"/>
        </w:tabs>
        <w:spacing w:after="0" w:line="240" w:lineRule="auto"/>
        <w:ind w:left="720" w:right="29" w:hanging="840"/>
        <w:jc w:val="both"/>
        <w:rPr>
          <w:rFonts w:ascii="Times New Roman" w:eastAsia="Times New Roman" w:hAnsi="Times New Roman" w:cs="Times New Roman"/>
          <w:bCs/>
        </w:rPr>
      </w:pPr>
      <w:r w:rsidRPr="00E14DCC">
        <w:rPr>
          <w:rFonts w:ascii="Times New Roman" w:eastAsia="Times New Roman" w:hAnsi="Times New Roman" w:cs="Times New Roman"/>
          <w:b/>
          <w:bCs/>
        </w:rPr>
        <w:t>1.</w:t>
      </w:r>
      <w:r w:rsidRPr="00E14DCC">
        <w:rPr>
          <w:rFonts w:ascii="Times New Roman" w:eastAsia="Times New Roman" w:hAnsi="Times New Roman" w:cs="Times New Roman"/>
          <w:b/>
          <w:bCs/>
        </w:rPr>
        <w:tab/>
        <w:t>VAISTINIO PREPARATO PAVADINIMAS IR VARTOJIMO BŪDAS (-AI)</w:t>
      </w:r>
    </w:p>
    <w:p w14:paraId="39EC30DA" w14:textId="77777777" w:rsidR="00297DD4" w:rsidRPr="00E14DCC" w:rsidRDefault="00297DD4" w:rsidP="00297DD4">
      <w:pPr>
        <w:tabs>
          <w:tab w:val="left" w:pos="936"/>
          <w:tab w:val="num" w:pos="1014"/>
        </w:tabs>
        <w:spacing w:after="0" w:line="240" w:lineRule="auto"/>
        <w:ind w:right="29"/>
        <w:jc w:val="both"/>
        <w:rPr>
          <w:rFonts w:ascii="Times New Roman" w:eastAsia="Times New Roman" w:hAnsi="Times New Roman" w:cs="Times New Roman"/>
          <w:b/>
          <w:bCs/>
          <w:strike/>
        </w:rPr>
      </w:pPr>
    </w:p>
    <w:p w14:paraId="351AFB54" w14:textId="77777777" w:rsidR="00297DD4" w:rsidRPr="00E14DCC" w:rsidRDefault="00297DD4" w:rsidP="00297DD4">
      <w:pPr>
        <w:spacing w:after="0" w:line="240" w:lineRule="auto"/>
        <w:ind w:right="29"/>
        <w:rPr>
          <w:rFonts w:ascii="Times New Roman" w:eastAsia="Times New Roman" w:hAnsi="Times New Roman" w:cs="Times New Roman"/>
        </w:rPr>
      </w:pPr>
      <w:r w:rsidRPr="00E14DCC">
        <w:rPr>
          <w:rFonts w:ascii="Times New Roman" w:eastAsia="Times New Roman" w:hAnsi="Times New Roman" w:cs="Times New Roman"/>
          <w:color w:val="000000"/>
        </w:rPr>
        <w:t>Cytarabine Accord 100 mg/ml injekcinis ar infuzinis tirpalas</w:t>
      </w:r>
    </w:p>
    <w:p w14:paraId="6728A113" w14:textId="77777777" w:rsidR="00297DD4" w:rsidRPr="00E14DCC" w:rsidRDefault="00297DD4" w:rsidP="00297DD4">
      <w:pPr>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Cytarabinum</w:t>
      </w:r>
    </w:p>
    <w:p w14:paraId="1CB854C2" w14:textId="77777777" w:rsidR="00297DD4" w:rsidRPr="00E14DCC" w:rsidRDefault="00297DD4" w:rsidP="00297DD4">
      <w:pPr>
        <w:spacing w:after="0" w:line="240" w:lineRule="auto"/>
        <w:ind w:right="29"/>
        <w:jc w:val="both"/>
        <w:rPr>
          <w:rFonts w:ascii="Times New Roman" w:eastAsia="Times New Roman" w:hAnsi="Times New Roman" w:cs="Times New Roman"/>
        </w:rPr>
      </w:pPr>
    </w:p>
    <w:p w14:paraId="66985DCE" w14:textId="77777777" w:rsidR="00297DD4" w:rsidRPr="00E14DCC" w:rsidRDefault="00297DD4" w:rsidP="00297DD4">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Leisti tik į veną arba po oda.</w:t>
      </w:r>
    </w:p>
    <w:p w14:paraId="7E53A50A" w14:textId="77777777" w:rsidR="00297DD4" w:rsidRPr="00E14DCC" w:rsidRDefault="00297DD4" w:rsidP="00297DD4">
      <w:pPr>
        <w:tabs>
          <w:tab w:val="left" w:pos="225"/>
          <w:tab w:val="left" w:pos="936"/>
          <w:tab w:val="num" w:pos="1014"/>
          <w:tab w:val="left" w:pos="2775"/>
        </w:tabs>
        <w:spacing w:after="0" w:line="240" w:lineRule="auto"/>
        <w:ind w:right="29"/>
        <w:jc w:val="both"/>
        <w:rPr>
          <w:rFonts w:ascii="Times New Roman" w:eastAsia="Times New Roman" w:hAnsi="Times New Roman" w:cs="Times New Roman"/>
          <w:highlight w:val="yellow"/>
        </w:rPr>
      </w:pPr>
    </w:p>
    <w:p w14:paraId="69EF5E7A" w14:textId="77777777" w:rsidR="00297DD4" w:rsidRPr="00E14DCC" w:rsidRDefault="00297DD4" w:rsidP="00297DD4">
      <w:pPr>
        <w:tabs>
          <w:tab w:val="left" w:pos="225"/>
          <w:tab w:val="left" w:pos="936"/>
          <w:tab w:val="num" w:pos="1014"/>
          <w:tab w:val="left" w:pos="2775"/>
        </w:tabs>
        <w:spacing w:after="0" w:line="240" w:lineRule="auto"/>
        <w:ind w:right="29"/>
        <w:jc w:val="both"/>
        <w:rPr>
          <w:rFonts w:ascii="Times New Roman" w:eastAsia="Times New Roman" w:hAnsi="Times New Roman" w:cs="Times New Roman"/>
          <w:highlight w:val="yellow"/>
        </w:rPr>
      </w:pPr>
    </w:p>
    <w:p w14:paraId="1F085340"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2.</w:t>
      </w:r>
      <w:r w:rsidRPr="00E14DCC">
        <w:rPr>
          <w:rFonts w:ascii="Times New Roman" w:eastAsia="Times New Roman" w:hAnsi="Times New Roman" w:cs="Times New Roman"/>
          <w:b/>
          <w:bCs/>
        </w:rPr>
        <w:tab/>
        <w:t>VARTOJIMO METODAS</w:t>
      </w:r>
    </w:p>
    <w:p w14:paraId="1D6E8B6E" w14:textId="77777777" w:rsidR="00297DD4" w:rsidRPr="00E14DCC" w:rsidRDefault="00297DD4" w:rsidP="00297DD4">
      <w:pPr>
        <w:tabs>
          <w:tab w:val="left" w:pos="1404"/>
        </w:tabs>
        <w:spacing w:after="0" w:line="240" w:lineRule="auto"/>
        <w:jc w:val="both"/>
        <w:rPr>
          <w:rFonts w:ascii="Times New Roman" w:eastAsia="Times New Roman" w:hAnsi="Times New Roman" w:cs="Times New Roman"/>
          <w:strike/>
        </w:rPr>
      </w:pPr>
    </w:p>
    <w:p w14:paraId="34E7B1E2" w14:textId="77777777" w:rsidR="00297DD4" w:rsidRPr="00E14DCC" w:rsidRDefault="00297DD4" w:rsidP="00297DD4">
      <w:pPr>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Prieš vartojimą perskaitykite pakuotės lapelį.</w:t>
      </w:r>
    </w:p>
    <w:p w14:paraId="37A00A69" w14:textId="77777777" w:rsidR="00297DD4" w:rsidRPr="00E14DCC" w:rsidRDefault="00297DD4" w:rsidP="00297DD4">
      <w:pPr>
        <w:spacing w:after="0" w:line="240" w:lineRule="auto"/>
        <w:ind w:right="29"/>
        <w:jc w:val="both"/>
        <w:rPr>
          <w:rFonts w:ascii="Times New Roman" w:eastAsia="Times New Roman" w:hAnsi="Times New Roman" w:cs="Times New Roman"/>
          <w:highlight w:val="yellow"/>
        </w:rPr>
      </w:pPr>
    </w:p>
    <w:p w14:paraId="11BC39C9" w14:textId="77777777" w:rsidR="00297DD4" w:rsidRPr="00E14DCC" w:rsidRDefault="00297DD4" w:rsidP="00297DD4">
      <w:pPr>
        <w:spacing w:after="0" w:line="240" w:lineRule="auto"/>
        <w:ind w:right="29"/>
        <w:jc w:val="both"/>
        <w:rPr>
          <w:rFonts w:ascii="Times New Roman" w:eastAsia="Times New Roman" w:hAnsi="Times New Roman" w:cs="Times New Roman"/>
          <w:highlight w:val="yellow"/>
        </w:rPr>
      </w:pPr>
    </w:p>
    <w:p w14:paraId="7D018D1D"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hAnsi="Times New Roman"/>
          <w:b/>
          <w:bdr w:val="single" w:sz="4" w:space="0" w:color="auto"/>
        </w:rPr>
      </w:pPr>
      <w:r w:rsidRPr="00E14DCC">
        <w:rPr>
          <w:rFonts w:ascii="Times New Roman" w:eastAsia="Times New Roman" w:hAnsi="Times New Roman" w:cs="Times New Roman"/>
          <w:b/>
          <w:bCs/>
        </w:rPr>
        <w:t>3.</w:t>
      </w:r>
      <w:r w:rsidRPr="00E14DCC">
        <w:rPr>
          <w:rFonts w:ascii="Times New Roman" w:eastAsia="Times New Roman" w:hAnsi="Times New Roman" w:cs="Times New Roman"/>
          <w:b/>
          <w:bCs/>
        </w:rPr>
        <w:tab/>
        <w:t>TINKAMUMO LAIKAS</w:t>
      </w:r>
    </w:p>
    <w:p w14:paraId="3F8F7B1C" w14:textId="77777777" w:rsidR="00297DD4" w:rsidRPr="00E14DCC" w:rsidRDefault="00297DD4" w:rsidP="00297DD4">
      <w:pPr>
        <w:spacing w:after="0" w:line="240" w:lineRule="auto"/>
        <w:ind w:right="29"/>
        <w:jc w:val="both"/>
        <w:rPr>
          <w:rFonts w:ascii="Times New Roman" w:hAnsi="Times New Roman"/>
          <w:b/>
          <w:bdr w:val="single" w:sz="4" w:space="0" w:color="auto"/>
        </w:rPr>
      </w:pPr>
    </w:p>
    <w:p w14:paraId="7E72B876" w14:textId="77777777" w:rsidR="00297DD4" w:rsidRPr="00E14DCC" w:rsidRDefault="00297DD4" w:rsidP="00297DD4">
      <w:pPr>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Cs/>
        </w:rPr>
        <w:t xml:space="preserve">EXP </w:t>
      </w:r>
      <w:r w:rsidRPr="00E14DCC">
        <w:rPr>
          <w:rFonts w:ascii="Times New Roman" w:hAnsi="Times New Roman"/>
        </w:rPr>
        <w:t>[mm MMMM]</w:t>
      </w:r>
    </w:p>
    <w:p w14:paraId="121B7829" w14:textId="77777777" w:rsidR="00297DD4" w:rsidRPr="00E14DCC" w:rsidRDefault="00297DD4" w:rsidP="00297DD4">
      <w:pPr>
        <w:tabs>
          <w:tab w:val="left" w:pos="225"/>
          <w:tab w:val="left" w:pos="936"/>
          <w:tab w:val="num" w:pos="1014"/>
          <w:tab w:val="left" w:pos="2775"/>
        </w:tabs>
        <w:spacing w:after="0" w:line="240" w:lineRule="auto"/>
        <w:ind w:right="29"/>
        <w:jc w:val="both"/>
        <w:rPr>
          <w:rFonts w:ascii="Times New Roman" w:eastAsia="Times New Roman" w:hAnsi="Times New Roman" w:cs="Times New Roman"/>
        </w:rPr>
      </w:pPr>
    </w:p>
    <w:p w14:paraId="42DD88F2" w14:textId="77777777" w:rsidR="00297DD4" w:rsidRPr="00E14DCC" w:rsidRDefault="00297DD4" w:rsidP="00297DD4">
      <w:pPr>
        <w:tabs>
          <w:tab w:val="left" w:pos="225"/>
          <w:tab w:val="left" w:pos="936"/>
          <w:tab w:val="num" w:pos="1014"/>
          <w:tab w:val="left" w:pos="2775"/>
        </w:tabs>
        <w:spacing w:after="0" w:line="240" w:lineRule="auto"/>
        <w:ind w:right="29"/>
        <w:jc w:val="both"/>
        <w:rPr>
          <w:rFonts w:ascii="Times New Roman" w:eastAsia="Times New Roman" w:hAnsi="Times New Roman" w:cs="Times New Roman"/>
        </w:rPr>
      </w:pPr>
    </w:p>
    <w:p w14:paraId="47DB93C4"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right" w:pos="0"/>
          <w:tab w:val="num" w:pos="567"/>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
          <w:bCs/>
        </w:rPr>
        <w:t>4.</w:t>
      </w:r>
      <w:r w:rsidRPr="00E14DCC">
        <w:rPr>
          <w:rFonts w:ascii="Times New Roman" w:eastAsia="Times New Roman" w:hAnsi="Times New Roman" w:cs="Times New Roman"/>
          <w:b/>
          <w:bCs/>
        </w:rPr>
        <w:tab/>
        <w:t>SERIJOS NUMERIS</w:t>
      </w:r>
    </w:p>
    <w:p w14:paraId="4DC0969A"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705E67F6"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Cs/>
        </w:rPr>
      </w:pPr>
      <w:r w:rsidRPr="00E14DCC">
        <w:rPr>
          <w:rFonts w:ascii="Times New Roman" w:eastAsia="Times New Roman" w:hAnsi="Times New Roman" w:cs="Times New Roman"/>
          <w:bCs/>
        </w:rPr>
        <w:t>Lot</w:t>
      </w:r>
    </w:p>
    <w:p w14:paraId="70C73649"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257A7A58"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66B44421"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num" w:pos="567"/>
        </w:tabs>
        <w:spacing w:after="0" w:line="240" w:lineRule="auto"/>
        <w:ind w:right="29"/>
        <w:jc w:val="both"/>
        <w:rPr>
          <w:rFonts w:ascii="Times New Roman" w:eastAsia="Times New Roman" w:hAnsi="Times New Roman" w:cs="Times New Roman"/>
          <w:b/>
          <w:bCs/>
        </w:rPr>
      </w:pPr>
      <w:r w:rsidRPr="00E14DCC">
        <w:rPr>
          <w:rFonts w:ascii="Times New Roman" w:eastAsia="Times New Roman" w:hAnsi="Times New Roman" w:cs="Times New Roman"/>
          <w:b/>
          <w:bCs/>
        </w:rPr>
        <w:t>5.</w:t>
      </w:r>
      <w:r w:rsidRPr="00E14DCC">
        <w:rPr>
          <w:rFonts w:ascii="Times New Roman" w:eastAsia="Times New Roman" w:hAnsi="Times New Roman" w:cs="Times New Roman"/>
          <w:b/>
          <w:bCs/>
        </w:rPr>
        <w:tab/>
        <w:t>KIEKIS (MASĖ, TŪRIS ARBA VIENETAI)</w:t>
      </w:r>
    </w:p>
    <w:p w14:paraId="2CA68EBD"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b/>
          <w:bCs/>
        </w:rPr>
      </w:pPr>
    </w:p>
    <w:p w14:paraId="0CBEBFF4"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100 mg / 1 ml</w:t>
      </w:r>
    </w:p>
    <w:p w14:paraId="0CD6BE93" w14:textId="77777777" w:rsidR="00297DD4" w:rsidRPr="00E14DCC" w:rsidRDefault="00297DD4" w:rsidP="00297DD4">
      <w:pPr>
        <w:tabs>
          <w:tab w:val="num" w:pos="1170"/>
        </w:tabs>
        <w:spacing w:after="0" w:line="240" w:lineRule="auto"/>
        <w:ind w:right="29"/>
        <w:jc w:val="both"/>
        <w:rPr>
          <w:rFonts w:ascii="Times New Roman" w:eastAsia="Times New Roman" w:hAnsi="Times New Roman" w:cs="Times New Roman"/>
          <w:highlight w:val="lightGray"/>
        </w:rPr>
      </w:pPr>
      <w:r w:rsidRPr="00E14DCC">
        <w:rPr>
          <w:rFonts w:ascii="Times New Roman" w:eastAsia="Times New Roman" w:hAnsi="Times New Roman" w:cs="Times New Roman"/>
          <w:highlight w:val="lightGray"/>
        </w:rPr>
        <w:t>500 mg / 5 ml</w:t>
      </w:r>
    </w:p>
    <w:p w14:paraId="2559B318" w14:textId="77777777" w:rsidR="00297DD4" w:rsidRPr="00E14DCC" w:rsidRDefault="00297DD4" w:rsidP="00297DD4">
      <w:pPr>
        <w:spacing w:after="0" w:line="240" w:lineRule="auto"/>
        <w:jc w:val="both"/>
        <w:rPr>
          <w:rFonts w:ascii="Times New Roman" w:eastAsia="Times New Roman" w:hAnsi="Times New Roman" w:cs="Times New Roman"/>
        </w:rPr>
      </w:pPr>
      <w:r w:rsidRPr="00E14DCC">
        <w:rPr>
          <w:rFonts w:ascii="Times New Roman" w:eastAsia="Times New Roman" w:hAnsi="Times New Roman" w:cs="Times New Roman"/>
          <w:bCs/>
          <w:highlight w:val="lightGray"/>
        </w:rPr>
        <w:t>1 g / 10 ml</w:t>
      </w:r>
    </w:p>
    <w:p w14:paraId="7D386134" w14:textId="77777777" w:rsidR="00297DD4" w:rsidRPr="00E14DCC" w:rsidRDefault="00297DD4" w:rsidP="00297DD4">
      <w:pPr>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highlight w:val="lightGray"/>
        </w:rPr>
        <w:t>2 g / 20 ml</w:t>
      </w:r>
    </w:p>
    <w:p w14:paraId="76F5FEA6" w14:textId="77777777" w:rsidR="00297DD4" w:rsidRPr="00E14DCC" w:rsidRDefault="00297DD4" w:rsidP="00297DD4">
      <w:pPr>
        <w:spacing w:after="0" w:line="240" w:lineRule="auto"/>
        <w:jc w:val="both"/>
        <w:rPr>
          <w:rFonts w:ascii="Times New Roman" w:eastAsia="Times New Roman" w:hAnsi="Times New Roman" w:cs="Times New Roman"/>
          <w:bCs/>
          <w:highlight w:val="lightGray"/>
        </w:rPr>
      </w:pPr>
      <w:r w:rsidRPr="00E14DCC">
        <w:rPr>
          <w:rFonts w:ascii="Times New Roman" w:eastAsia="Times New Roman" w:hAnsi="Times New Roman" w:cs="Times New Roman"/>
          <w:bCs/>
          <w:highlight w:val="lightGray"/>
        </w:rPr>
        <w:t>4 g / 40 ml</w:t>
      </w:r>
    </w:p>
    <w:p w14:paraId="563722C2" w14:textId="77777777" w:rsidR="00297DD4" w:rsidRPr="00E14DCC" w:rsidRDefault="00297DD4" w:rsidP="00297DD4">
      <w:pPr>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highlight w:val="lightGray"/>
        </w:rPr>
        <w:t>5 g / 50 ml</w:t>
      </w:r>
    </w:p>
    <w:p w14:paraId="1C3D6171"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strike/>
        </w:rPr>
      </w:pPr>
    </w:p>
    <w:p w14:paraId="79CFF447"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strike/>
        </w:rPr>
      </w:pPr>
    </w:p>
    <w:p w14:paraId="39DB4BE4" w14:textId="77777777" w:rsidR="00297DD4" w:rsidRPr="00E14DCC" w:rsidRDefault="00297DD4" w:rsidP="00297DD4">
      <w:pPr>
        <w:pBdr>
          <w:top w:val="single" w:sz="4" w:space="1" w:color="auto"/>
          <w:left w:val="single" w:sz="4" w:space="4" w:color="auto"/>
          <w:bottom w:val="single" w:sz="4" w:space="1" w:color="auto"/>
          <w:right w:val="single" w:sz="4" w:space="4" w:color="auto"/>
        </w:pBdr>
        <w:tabs>
          <w:tab w:val="left" w:pos="567"/>
          <w:tab w:val="left" w:pos="960"/>
          <w:tab w:val="num" w:pos="1170"/>
        </w:tabs>
        <w:spacing w:after="0" w:line="240" w:lineRule="auto"/>
        <w:ind w:right="29"/>
        <w:jc w:val="both"/>
        <w:rPr>
          <w:rFonts w:ascii="Times New Roman" w:hAnsi="Times New Roman"/>
          <w:b/>
          <w:bdr w:val="single" w:sz="4" w:space="0" w:color="auto"/>
        </w:rPr>
      </w:pPr>
      <w:r w:rsidRPr="00E14DCC">
        <w:rPr>
          <w:rFonts w:ascii="Times New Roman" w:eastAsia="Times New Roman" w:hAnsi="Times New Roman" w:cs="Times New Roman"/>
          <w:b/>
          <w:bCs/>
        </w:rPr>
        <w:t>6.</w:t>
      </w:r>
      <w:r w:rsidRPr="00E14DCC">
        <w:rPr>
          <w:rFonts w:ascii="Times New Roman" w:eastAsia="Times New Roman" w:hAnsi="Times New Roman" w:cs="Times New Roman"/>
          <w:b/>
          <w:bCs/>
        </w:rPr>
        <w:tab/>
        <w:t>KITA</w:t>
      </w:r>
    </w:p>
    <w:p w14:paraId="2CFB4CA9" w14:textId="77777777" w:rsidR="00297DD4" w:rsidRPr="00E14DCC" w:rsidRDefault="00297DD4" w:rsidP="00297DD4">
      <w:pPr>
        <w:tabs>
          <w:tab w:val="left" w:pos="702"/>
          <w:tab w:val="num" w:pos="1170"/>
        </w:tabs>
        <w:spacing w:after="0" w:line="240" w:lineRule="auto"/>
        <w:ind w:right="29"/>
        <w:jc w:val="both"/>
        <w:rPr>
          <w:rFonts w:ascii="Times New Roman" w:eastAsia="Times New Roman" w:hAnsi="Times New Roman" w:cs="Times New Roman"/>
        </w:rPr>
      </w:pPr>
    </w:p>
    <w:p w14:paraId="3FB8B946" w14:textId="77777777" w:rsidR="00297DD4" w:rsidRPr="00E14DCC" w:rsidRDefault="00297DD4" w:rsidP="00297DD4">
      <w:pPr>
        <w:tabs>
          <w:tab w:val="num" w:pos="-2886"/>
          <w:tab w:val="left" w:pos="-2280"/>
        </w:tabs>
        <w:spacing w:after="0" w:line="240" w:lineRule="auto"/>
        <w:ind w:right="29"/>
        <w:jc w:val="both"/>
        <w:rPr>
          <w:rFonts w:ascii="Times New Roman" w:eastAsia="Times New Roman" w:hAnsi="Times New Roman" w:cs="Times New Roman"/>
        </w:rPr>
      </w:pPr>
      <w:r w:rsidRPr="00E14DCC">
        <w:rPr>
          <w:rFonts w:ascii="Times New Roman" w:eastAsia="Times New Roman" w:hAnsi="Times New Roman" w:cs="Times New Roman"/>
        </w:rPr>
        <w:t>CITOTOKSIŠKAS</w:t>
      </w:r>
    </w:p>
    <w:p w14:paraId="2CA89004" w14:textId="77777777" w:rsidR="00297DD4" w:rsidRPr="00E14DCC" w:rsidRDefault="00297DD4" w:rsidP="00297DD4">
      <w:pPr>
        <w:spacing w:after="0" w:line="240" w:lineRule="auto"/>
        <w:rPr>
          <w:rFonts w:ascii="Times New Roman" w:eastAsia="Times New Roman" w:hAnsi="Times New Roman" w:cs="Times New Roman"/>
        </w:rPr>
      </w:pPr>
    </w:p>
    <w:p w14:paraId="5503ACEF" w14:textId="77777777" w:rsidR="008A7165" w:rsidRPr="00E14DCC" w:rsidRDefault="008A7165" w:rsidP="008A7165">
      <w:pPr>
        <w:spacing w:after="0" w:line="240" w:lineRule="auto"/>
        <w:rPr>
          <w:rFonts w:ascii="Times New Roman" w:eastAsia="Times New Roman" w:hAnsi="Times New Roman" w:cs="Times New Roman"/>
        </w:rPr>
      </w:pPr>
    </w:p>
    <w:p w14:paraId="090E2000" w14:textId="77777777" w:rsidR="008A7165" w:rsidRPr="00E14DCC" w:rsidRDefault="008A7165" w:rsidP="008A7165">
      <w:pPr>
        <w:spacing w:after="0" w:line="240" w:lineRule="auto"/>
        <w:rPr>
          <w:rFonts w:ascii="Times New Roman" w:eastAsia="Times New Roman" w:hAnsi="Times New Roman" w:cs="Times New Roman"/>
        </w:rPr>
      </w:pPr>
    </w:p>
    <w:p w14:paraId="7DEE44F0" w14:textId="77777777" w:rsidR="008A7165" w:rsidRPr="00E14DCC" w:rsidRDefault="008A7165" w:rsidP="008A7165">
      <w:pPr>
        <w:spacing w:after="0" w:line="240" w:lineRule="auto"/>
        <w:rPr>
          <w:rFonts w:ascii="Times New Roman" w:eastAsia="Times New Roman" w:hAnsi="Times New Roman" w:cs="Times New Roman"/>
        </w:rPr>
      </w:pPr>
    </w:p>
    <w:p w14:paraId="38D79A1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br w:type="page"/>
      </w:r>
    </w:p>
    <w:p w14:paraId="423EEAE0" w14:textId="77777777" w:rsidR="008A7165" w:rsidRPr="00E14DCC" w:rsidRDefault="008A7165" w:rsidP="008A7165">
      <w:pPr>
        <w:spacing w:after="0" w:line="240" w:lineRule="auto"/>
        <w:rPr>
          <w:rFonts w:ascii="Times New Roman" w:eastAsia="Times New Roman" w:hAnsi="Times New Roman" w:cs="Times New Roman"/>
        </w:rPr>
      </w:pPr>
    </w:p>
    <w:p w14:paraId="02C565A6" w14:textId="77777777" w:rsidR="008A7165" w:rsidRPr="00E14DCC" w:rsidRDefault="008A7165" w:rsidP="008A7165">
      <w:pPr>
        <w:spacing w:after="0" w:line="240" w:lineRule="auto"/>
        <w:rPr>
          <w:rFonts w:ascii="Times New Roman" w:eastAsia="Times New Roman" w:hAnsi="Times New Roman" w:cs="Times New Roman"/>
        </w:rPr>
      </w:pPr>
    </w:p>
    <w:p w14:paraId="69D955B6" w14:textId="77777777" w:rsidR="008A7165" w:rsidRPr="00E14DCC" w:rsidRDefault="008A7165" w:rsidP="008A7165">
      <w:pPr>
        <w:spacing w:after="0" w:line="240" w:lineRule="auto"/>
        <w:rPr>
          <w:rFonts w:ascii="Times New Roman" w:eastAsia="Times New Roman" w:hAnsi="Times New Roman" w:cs="Times New Roman"/>
        </w:rPr>
      </w:pPr>
    </w:p>
    <w:p w14:paraId="51BA211A" w14:textId="77777777" w:rsidR="008A7165" w:rsidRPr="00E14DCC" w:rsidRDefault="008A7165" w:rsidP="008A7165">
      <w:pPr>
        <w:spacing w:after="0" w:line="240" w:lineRule="auto"/>
        <w:rPr>
          <w:rFonts w:ascii="Times New Roman" w:eastAsia="Times New Roman" w:hAnsi="Times New Roman" w:cs="Times New Roman"/>
        </w:rPr>
      </w:pPr>
    </w:p>
    <w:p w14:paraId="6C94C832" w14:textId="77777777" w:rsidR="008A7165" w:rsidRPr="00E14DCC" w:rsidRDefault="008A7165" w:rsidP="008A7165">
      <w:pPr>
        <w:spacing w:after="0" w:line="240" w:lineRule="auto"/>
        <w:rPr>
          <w:rFonts w:ascii="Times New Roman" w:eastAsia="Times New Roman" w:hAnsi="Times New Roman" w:cs="Times New Roman"/>
        </w:rPr>
      </w:pPr>
    </w:p>
    <w:p w14:paraId="22D119A1" w14:textId="77777777" w:rsidR="008A7165" w:rsidRPr="00E14DCC" w:rsidRDefault="008A7165" w:rsidP="008A7165">
      <w:pPr>
        <w:spacing w:after="0" w:line="240" w:lineRule="auto"/>
        <w:rPr>
          <w:rFonts w:ascii="Times New Roman" w:eastAsia="Times New Roman" w:hAnsi="Times New Roman" w:cs="Times New Roman"/>
        </w:rPr>
      </w:pPr>
    </w:p>
    <w:p w14:paraId="4AD10BE1" w14:textId="77777777" w:rsidR="008A7165" w:rsidRPr="00E14DCC" w:rsidRDefault="008A7165" w:rsidP="008A7165">
      <w:pPr>
        <w:spacing w:after="0" w:line="240" w:lineRule="auto"/>
        <w:rPr>
          <w:rFonts w:ascii="Times New Roman" w:eastAsia="Times New Roman" w:hAnsi="Times New Roman" w:cs="Times New Roman"/>
        </w:rPr>
      </w:pPr>
    </w:p>
    <w:p w14:paraId="50C1A123" w14:textId="77777777" w:rsidR="008A7165" w:rsidRPr="00E14DCC" w:rsidRDefault="008A7165" w:rsidP="008A7165">
      <w:pPr>
        <w:spacing w:after="0" w:line="240" w:lineRule="auto"/>
        <w:rPr>
          <w:rFonts w:ascii="Times New Roman" w:eastAsia="Times New Roman" w:hAnsi="Times New Roman" w:cs="Times New Roman"/>
        </w:rPr>
      </w:pPr>
    </w:p>
    <w:p w14:paraId="2F4F92DC" w14:textId="77777777" w:rsidR="008A7165" w:rsidRPr="00E14DCC" w:rsidRDefault="008A7165" w:rsidP="008A7165">
      <w:pPr>
        <w:spacing w:after="0" w:line="240" w:lineRule="auto"/>
        <w:rPr>
          <w:rFonts w:ascii="Times New Roman" w:eastAsia="Times New Roman" w:hAnsi="Times New Roman" w:cs="Times New Roman"/>
        </w:rPr>
      </w:pPr>
    </w:p>
    <w:p w14:paraId="1AC1BEEB" w14:textId="77777777" w:rsidR="008A7165" w:rsidRPr="00E14DCC" w:rsidRDefault="008A7165" w:rsidP="008A7165">
      <w:pPr>
        <w:spacing w:after="0" w:line="240" w:lineRule="auto"/>
        <w:rPr>
          <w:rFonts w:ascii="Times New Roman" w:eastAsia="Times New Roman" w:hAnsi="Times New Roman" w:cs="Times New Roman"/>
        </w:rPr>
      </w:pPr>
    </w:p>
    <w:p w14:paraId="15C5EB4E" w14:textId="77777777" w:rsidR="008A7165" w:rsidRPr="00E14DCC" w:rsidRDefault="008A7165" w:rsidP="008A7165">
      <w:pPr>
        <w:spacing w:after="0" w:line="240" w:lineRule="auto"/>
        <w:rPr>
          <w:rFonts w:ascii="Times New Roman" w:eastAsia="Times New Roman" w:hAnsi="Times New Roman" w:cs="Times New Roman"/>
        </w:rPr>
      </w:pPr>
    </w:p>
    <w:p w14:paraId="64E0D012" w14:textId="77777777" w:rsidR="008A7165" w:rsidRPr="00E14DCC" w:rsidRDefault="008A7165" w:rsidP="008A7165">
      <w:pPr>
        <w:spacing w:after="0" w:line="240" w:lineRule="auto"/>
        <w:rPr>
          <w:rFonts w:ascii="Times New Roman" w:eastAsia="Times New Roman" w:hAnsi="Times New Roman" w:cs="Times New Roman"/>
        </w:rPr>
      </w:pPr>
    </w:p>
    <w:p w14:paraId="1F9B4059" w14:textId="77777777" w:rsidR="008A7165" w:rsidRPr="00E14DCC" w:rsidRDefault="008A7165" w:rsidP="008A7165">
      <w:pPr>
        <w:spacing w:after="0" w:line="240" w:lineRule="auto"/>
        <w:rPr>
          <w:rFonts w:ascii="Times New Roman" w:eastAsia="Times New Roman" w:hAnsi="Times New Roman" w:cs="Times New Roman"/>
        </w:rPr>
      </w:pPr>
    </w:p>
    <w:p w14:paraId="220048D6" w14:textId="77777777" w:rsidR="008A7165" w:rsidRPr="00E14DCC" w:rsidRDefault="008A7165" w:rsidP="008A7165">
      <w:pPr>
        <w:spacing w:after="0" w:line="240" w:lineRule="auto"/>
        <w:rPr>
          <w:rFonts w:ascii="Times New Roman" w:eastAsia="Times New Roman" w:hAnsi="Times New Roman" w:cs="Times New Roman"/>
        </w:rPr>
      </w:pPr>
    </w:p>
    <w:p w14:paraId="7FF6FD8C" w14:textId="77777777" w:rsidR="008A7165" w:rsidRPr="00E14DCC" w:rsidRDefault="008A7165" w:rsidP="008A7165">
      <w:pPr>
        <w:spacing w:after="0" w:line="240" w:lineRule="auto"/>
        <w:rPr>
          <w:rFonts w:ascii="Times New Roman" w:eastAsia="Times New Roman" w:hAnsi="Times New Roman" w:cs="Times New Roman"/>
        </w:rPr>
      </w:pPr>
    </w:p>
    <w:p w14:paraId="4169F2D3" w14:textId="77777777" w:rsidR="008A7165" w:rsidRPr="00E14DCC" w:rsidRDefault="008A7165" w:rsidP="008A7165">
      <w:pPr>
        <w:spacing w:after="0" w:line="240" w:lineRule="auto"/>
        <w:rPr>
          <w:rFonts w:ascii="Times New Roman" w:eastAsia="Times New Roman" w:hAnsi="Times New Roman" w:cs="Times New Roman"/>
        </w:rPr>
      </w:pPr>
    </w:p>
    <w:p w14:paraId="18955203" w14:textId="77777777" w:rsidR="008A7165" w:rsidRPr="00E14DCC" w:rsidRDefault="008A7165" w:rsidP="008A7165">
      <w:pPr>
        <w:spacing w:after="0" w:line="240" w:lineRule="auto"/>
        <w:rPr>
          <w:rFonts w:ascii="Times New Roman" w:eastAsia="Times New Roman" w:hAnsi="Times New Roman" w:cs="Times New Roman"/>
        </w:rPr>
      </w:pPr>
    </w:p>
    <w:p w14:paraId="3377E9E6" w14:textId="77777777" w:rsidR="008A7165" w:rsidRPr="00E14DCC" w:rsidRDefault="008A7165" w:rsidP="008A7165">
      <w:pPr>
        <w:spacing w:after="0" w:line="240" w:lineRule="auto"/>
        <w:rPr>
          <w:rFonts w:ascii="Times New Roman" w:eastAsia="Times New Roman" w:hAnsi="Times New Roman" w:cs="Times New Roman"/>
        </w:rPr>
      </w:pPr>
    </w:p>
    <w:p w14:paraId="1A54E7DC" w14:textId="77777777" w:rsidR="008A7165" w:rsidRPr="00E14DCC" w:rsidRDefault="008A7165" w:rsidP="008A7165">
      <w:pPr>
        <w:spacing w:after="0" w:line="240" w:lineRule="auto"/>
        <w:rPr>
          <w:rFonts w:ascii="Times New Roman" w:eastAsia="Times New Roman" w:hAnsi="Times New Roman" w:cs="Times New Roman"/>
        </w:rPr>
      </w:pPr>
    </w:p>
    <w:p w14:paraId="464FAB74" w14:textId="77777777" w:rsidR="008A7165" w:rsidRPr="00E14DCC" w:rsidRDefault="008A7165" w:rsidP="008A7165">
      <w:pPr>
        <w:spacing w:after="0" w:line="240" w:lineRule="auto"/>
        <w:rPr>
          <w:rFonts w:ascii="Times New Roman" w:eastAsia="Times New Roman" w:hAnsi="Times New Roman" w:cs="Times New Roman"/>
        </w:rPr>
      </w:pPr>
    </w:p>
    <w:p w14:paraId="79715462" w14:textId="77777777" w:rsidR="008A7165" w:rsidRPr="00E14DCC" w:rsidRDefault="008A7165" w:rsidP="008A7165">
      <w:pPr>
        <w:spacing w:after="0" w:line="240" w:lineRule="auto"/>
        <w:rPr>
          <w:rFonts w:ascii="Times New Roman" w:eastAsia="Times New Roman" w:hAnsi="Times New Roman" w:cs="Times New Roman"/>
        </w:rPr>
      </w:pPr>
    </w:p>
    <w:p w14:paraId="0BBF2C3D" w14:textId="77777777" w:rsidR="008A7165" w:rsidRPr="00E14DCC" w:rsidRDefault="008A7165" w:rsidP="008A7165">
      <w:pPr>
        <w:spacing w:after="0" w:line="240" w:lineRule="auto"/>
        <w:rPr>
          <w:rFonts w:ascii="Times New Roman" w:eastAsia="Times New Roman" w:hAnsi="Times New Roman" w:cs="Times New Roman"/>
        </w:rPr>
      </w:pPr>
    </w:p>
    <w:p w14:paraId="4010E4B8"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bookmarkStart w:id="15" w:name="_Toc129243137"/>
      <w:bookmarkStart w:id="16" w:name="_Toc129243262"/>
    </w:p>
    <w:p w14:paraId="63234866" w14:textId="77777777" w:rsidR="008A7165" w:rsidRPr="00E14DCC" w:rsidRDefault="008A7165" w:rsidP="008A7165">
      <w:pPr>
        <w:tabs>
          <w:tab w:val="left" w:pos="567"/>
        </w:tabs>
        <w:spacing w:after="0" w:line="240" w:lineRule="auto"/>
        <w:ind w:left="567" w:hanging="567"/>
        <w:jc w:val="center"/>
        <w:outlineLvl w:val="0"/>
        <w:rPr>
          <w:rFonts w:ascii="Times New Roman" w:eastAsia="Times New Roman" w:hAnsi="Times New Roman" w:cs="Times New Roman"/>
          <w:b/>
          <w:caps/>
        </w:rPr>
      </w:pPr>
      <w:r w:rsidRPr="00E14DCC">
        <w:rPr>
          <w:rFonts w:ascii="Times New Roman" w:eastAsia="Times New Roman" w:hAnsi="Times New Roman" w:cs="Times New Roman"/>
          <w:b/>
          <w:caps/>
        </w:rPr>
        <w:t>B. PAKUOTĖS LAPELIS</w:t>
      </w:r>
      <w:bookmarkEnd w:id="15"/>
      <w:bookmarkEnd w:id="16"/>
    </w:p>
    <w:p w14:paraId="5B9D5DED" w14:textId="77777777" w:rsidR="008A7165" w:rsidRPr="00E14DCC" w:rsidRDefault="008A7165" w:rsidP="008A7165">
      <w:pPr>
        <w:spacing w:after="0" w:line="240" w:lineRule="auto"/>
        <w:jc w:val="center"/>
        <w:rPr>
          <w:rFonts w:ascii="Times New Roman" w:eastAsia="Times New Roman" w:hAnsi="Times New Roman" w:cs="Times New Roman"/>
        </w:rPr>
      </w:pPr>
      <w:r w:rsidRPr="00E14DCC">
        <w:rPr>
          <w:rFonts w:ascii="Times New Roman" w:eastAsia="Times New Roman" w:hAnsi="Times New Roman" w:cs="Times New Roman"/>
        </w:rPr>
        <w:br w:type="page"/>
      </w:r>
      <w:r w:rsidRPr="00E14DCC">
        <w:rPr>
          <w:rFonts w:ascii="Times New Roman" w:eastAsia="Times New Roman" w:hAnsi="Times New Roman" w:cs="Times New Roman"/>
          <w:b/>
        </w:rPr>
        <w:lastRenderedPageBreak/>
        <w:t>Pakuotės lapelis: informacija vartotojui</w:t>
      </w:r>
    </w:p>
    <w:p w14:paraId="3F292404" w14:textId="77777777" w:rsidR="008A7165" w:rsidRPr="00E14DCC" w:rsidRDefault="008A7165" w:rsidP="008A7165">
      <w:pPr>
        <w:spacing w:after="0" w:line="240" w:lineRule="auto"/>
        <w:jc w:val="center"/>
        <w:rPr>
          <w:rFonts w:ascii="Times New Roman" w:eastAsia="Times New Roman" w:hAnsi="Times New Roman" w:cs="Times New Roman"/>
          <w:b/>
          <w:color w:val="000000"/>
        </w:rPr>
      </w:pPr>
    </w:p>
    <w:p w14:paraId="28577BE8" w14:textId="77777777" w:rsidR="008A7165" w:rsidRPr="00E14DCC" w:rsidRDefault="008A7165" w:rsidP="008A7165">
      <w:pPr>
        <w:spacing w:after="0" w:line="240" w:lineRule="auto"/>
        <w:jc w:val="center"/>
        <w:rPr>
          <w:rFonts w:ascii="Times New Roman" w:eastAsia="Times New Roman" w:hAnsi="Times New Roman" w:cs="Times New Roman"/>
          <w:b/>
          <w:bCs/>
        </w:rPr>
      </w:pPr>
      <w:r w:rsidRPr="00E14DCC">
        <w:rPr>
          <w:rFonts w:ascii="Times New Roman" w:eastAsia="Times New Roman" w:hAnsi="Times New Roman" w:cs="Times New Roman"/>
          <w:b/>
          <w:color w:val="000000"/>
        </w:rPr>
        <w:t>Cytarabine Accord 100 mg/ml injekcinis ar infuzinis tirpalas</w:t>
      </w:r>
    </w:p>
    <w:p w14:paraId="3F392D93" w14:textId="77777777" w:rsidR="008A7165" w:rsidRPr="00E14DCC" w:rsidRDefault="008A7165" w:rsidP="008A7165">
      <w:pPr>
        <w:tabs>
          <w:tab w:val="left" w:pos="969"/>
        </w:tabs>
        <w:spacing w:after="0" w:line="240" w:lineRule="auto"/>
        <w:jc w:val="center"/>
        <w:rPr>
          <w:rFonts w:ascii="Times New Roman" w:eastAsia="Times New Roman" w:hAnsi="Times New Roman" w:cs="Times New Roman"/>
        </w:rPr>
      </w:pPr>
      <w:r w:rsidRPr="00E14DCC">
        <w:rPr>
          <w:rFonts w:ascii="Times New Roman" w:eastAsia="Times New Roman" w:hAnsi="Times New Roman" w:cs="Times New Roman"/>
        </w:rPr>
        <w:t>Citarabinas</w:t>
      </w:r>
    </w:p>
    <w:p w14:paraId="0F964662" w14:textId="77777777" w:rsidR="008A7165" w:rsidRPr="00E14DCC" w:rsidRDefault="008A7165" w:rsidP="008A7165">
      <w:pPr>
        <w:tabs>
          <w:tab w:val="left" w:pos="969"/>
        </w:tabs>
        <w:spacing w:after="0" w:line="240" w:lineRule="auto"/>
        <w:jc w:val="both"/>
        <w:rPr>
          <w:rFonts w:ascii="Times New Roman" w:eastAsia="Times New Roman" w:hAnsi="Times New Roman" w:cs="Times New Roman"/>
          <w:b/>
          <w:bCs/>
        </w:rPr>
      </w:pPr>
    </w:p>
    <w:p w14:paraId="1316D93F" w14:textId="77777777" w:rsidR="008A7165" w:rsidRPr="00E14DCC" w:rsidRDefault="008A7165" w:rsidP="008A7165">
      <w:pPr>
        <w:tabs>
          <w:tab w:val="left" w:pos="969"/>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Jūsų vaisto pavadinimas yra „Cytarabine Accord 100 mg/ml injekcinis ar infuzinis tirpalas“, tačiau toliau pakuotės lapelyje jis bus vadinamas „Cytarabine Accord“.</w:t>
      </w:r>
    </w:p>
    <w:p w14:paraId="6E990FD7" w14:textId="77777777" w:rsidR="008A7165" w:rsidRPr="00E14DCC" w:rsidRDefault="008A7165" w:rsidP="008A7165">
      <w:pPr>
        <w:tabs>
          <w:tab w:val="left" w:pos="969"/>
        </w:tabs>
        <w:spacing w:after="0" w:line="240" w:lineRule="auto"/>
        <w:jc w:val="both"/>
        <w:rPr>
          <w:rFonts w:ascii="Times New Roman" w:eastAsia="Times New Roman" w:hAnsi="Times New Roman" w:cs="Times New Roman"/>
          <w:b/>
          <w:bCs/>
        </w:rPr>
      </w:pPr>
    </w:p>
    <w:p w14:paraId="01018FAA" w14:textId="77777777" w:rsidR="008A7165" w:rsidRPr="00E14DCC" w:rsidRDefault="008A7165" w:rsidP="008A7165">
      <w:pPr>
        <w:suppressAutoHyphens/>
        <w:spacing w:after="0" w:line="240" w:lineRule="auto"/>
        <w:ind w:left="142" w:hanging="142"/>
        <w:rPr>
          <w:rFonts w:ascii="Times New Roman" w:eastAsia="Times New Roman" w:hAnsi="Times New Roman" w:cs="Times New Roman"/>
        </w:rPr>
      </w:pPr>
      <w:r w:rsidRPr="00E14DCC">
        <w:rPr>
          <w:rFonts w:ascii="Times New Roman" w:eastAsia="Times New Roman" w:hAnsi="Times New Roman" w:cs="Times New Roman"/>
          <w:b/>
        </w:rPr>
        <w:t>Atidžiai perskaitykite visą šį lapelį, prieš pradėdami vartoti vaistą, nes jame pateikiama Jums svarbi informacija.</w:t>
      </w:r>
    </w:p>
    <w:p w14:paraId="33F1173E" w14:textId="77777777" w:rsidR="008A7165" w:rsidRPr="00E14DCC" w:rsidRDefault="008A7165" w:rsidP="008A7165">
      <w:pPr>
        <w:numPr>
          <w:ilvl w:val="0"/>
          <w:numId w:val="15"/>
        </w:num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 xml:space="preserve">Neišmeskite šio lapelio, nes vėl gali prireikti jį perskaityti. </w:t>
      </w:r>
    </w:p>
    <w:p w14:paraId="43157EFD" w14:textId="77777777" w:rsidR="008A7165" w:rsidRPr="00E14DCC" w:rsidRDefault="008A7165" w:rsidP="008A7165">
      <w:pPr>
        <w:numPr>
          <w:ilvl w:val="0"/>
          <w:numId w:val="15"/>
        </w:num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Jeigu kiltų daugiau klausimų, kreipkitės į gydytoją, vaistininką arba slaugytoją.</w:t>
      </w:r>
    </w:p>
    <w:p w14:paraId="2AB5909B" w14:textId="77777777" w:rsidR="008A7165" w:rsidRPr="00E14DCC" w:rsidRDefault="008A7165" w:rsidP="008A7165">
      <w:p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w:t>
      </w:r>
      <w:r w:rsidRPr="00E14DCC">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127960A1" w14:textId="77777777" w:rsidR="008A7165" w:rsidRPr="00E14DCC" w:rsidRDefault="008A7165" w:rsidP="008A7165">
      <w:pPr>
        <w:numPr>
          <w:ilvl w:val="0"/>
          <w:numId w:val="15"/>
        </w:numPr>
        <w:tabs>
          <w:tab w:val="left" w:pos="567"/>
        </w:tabs>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Jeigu pasireiškė šalutinis poveikis (net jeigu jis šiame lapelyje nenurodytas), kreipkitės į gydytoją, vaistininką arba slaugytoją. Žr. 4 skyrių.</w:t>
      </w:r>
    </w:p>
    <w:p w14:paraId="557CBD8E" w14:textId="77777777" w:rsidR="008A7165" w:rsidRPr="00E14DCC" w:rsidRDefault="008A7165" w:rsidP="008A7165">
      <w:pPr>
        <w:tabs>
          <w:tab w:val="left" w:pos="336"/>
        </w:tabs>
        <w:spacing w:after="0" w:line="240" w:lineRule="auto"/>
        <w:jc w:val="both"/>
        <w:rPr>
          <w:rFonts w:ascii="Times New Roman" w:eastAsia="Times New Roman" w:hAnsi="Times New Roman" w:cs="Times New Roman"/>
          <w:bCs/>
        </w:rPr>
      </w:pPr>
    </w:p>
    <w:p w14:paraId="2D80CBDA" w14:textId="77777777" w:rsidR="008A7165" w:rsidRPr="00E14DCC" w:rsidRDefault="008A7165" w:rsidP="008A7165">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Apie ką rašoma šiame lapelyje?</w:t>
      </w:r>
    </w:p>
    <w:p w14:paraId="411926D0"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1.</w:t>
      </w:r>
      <w:r w:rsidRPr="00E14DCC">
        <w:rPr>
          <w:rFonts w:ascii="Times New Roman" w:eastAsia="Times New Roman" w:hAnsi="Times New Roman" w:cs="Times New Roman"/>
          <w:bCs/>
        </w:rPr>
        <w:tab/>
        <w:t>Kas yra Cytarabine Accord ir kam jis vartojamas</w:t>
      </w:r>
    </w:p>
    <w:p w14:paraId="7CF2D160"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2.</w:t>
      </w:r>
      <w:r w:rsidRPr="00E14DCC">
        <w:rPr>
          <w:rFonts w:ascii="Times New Roman" w:eastAsia="Times New Roman" w:hAnsi="Times New Roman" w:cs="Times New Roman"/>
          <w:bCs/>
        </w:rPr>
        <w:tab/>
        <w:t>Kas žinotina prieš vartojant Cytarabine Accord</w:t>
      </w:r>
    </w:p>
    <w:p w14:paraId="0A574B96"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3.</w:t>
      </w:r>
      <w:r w:rsidRPr="00E14DCC">
        <w:rPr>
          <w:rFonts w:ascii="Times New Roman" w:eastAsia="Times New Roman" w:hAnsi="Times New Roman" w:cs="Times New Roman"/>
          <w:bCs/>
        </w:rPr>
        <w:tab/>
        <w:t xml:space="preserve">Kaip vartoti Cytarabine Accord </w:t>
      </w:r>
    </w:p>
    <w:p w14:paraId="51FB68C5"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4.</w:t>
      </w:r>
      <w:r w:rsidRPr="00E14DCC">
        <w:rPr>
          <w:rFonts w:ascii="Times New Roman" w:eastAsia="Times New Roman" w:hAnsi="Times New Roman" w:cs="Times New Roman"/>
          <w:bCs/>
        </w:rPr>
        <w:tab/>
        <w:t xml:space="preserve">Galimas šalutinis poveikis </w:t>
      </w:r>
    </w:p>
    <w:p w14:paraId="34EF3F02"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5.</w:t>
      </w:r>
      <w:r w:rsidRPr="00E14DCC">
        <w:rPr>
          <w:rFonts w:ascii="Times New Roman" w:eastAsia="Times New Roman" w:hAnsi="Times New Roman" w:cs="Times New Roman"/>
          <w:bCs/>
        </w:rPr>
        <w:tab/>
        <w:t>Kaip laikyti Cytarabine Accord</w:t>
      </w:r>
    </w:p>
    <w:p w14:paraId="595109B7"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Cs/>
        </w:rPr>
        <w:t>6.</w:t>
      </w:r>
      <w:r w:rsidRPr="00E14DCC">
        <w:rPr>
          <w:rFonts w:ascii="Times New Roman" w:eastAsia="Times New Roman" w:hAnsi="Times New Roman" w:cs="Times New Roman"/>
          <w:bCs/>
        </w:rPr>
        <w:tab/>
      </w:r>
      <w:r w:rsidRPr="00E14DCC">
        <w:rPr>
          <w:rFonts w:ascii="Times New Roman" w:eastAsia="Times New Roman" w:hAnsi="Times New Roman" w:cs="Times New Roman"/>
        </w:rPr>
        <w:t>Pakuotės turinys ir kita informacija</w:t>
      </w:r>
    </w:p>
    <w:p w14:paraId="14EE9118"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1F40F081"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195753D7"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
          <w:bCs/>
        </w:rPr>
        <w:t>1.</w:t>
      </w:r>
      <w:r w:rsidRPr="00E14DCC">
        <w:rPr>
          <w:rFonts w:ascii="Times New Roman" w:eastAsia="Times New Roman" w:hAnsi="Times New Roman" w:cs="Times New Roman"/>
          <w:b/>
          <w:bCs/>
        </w:rPr>
        <w:tab/>
        <w:t>Kas yra Cytarabine Accord ir kam jis vartojamas</w:t>
      </w:r>
    </w:p>
    <w:p w14:paraId="463823D1"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72C2D20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Cytarabine Accord vartojamas tiek suaugusiųjų, tiek vaikų gydymui. Preparato veiklioji medžiaga yra citarabinas.</w:t>
      </w:r>
    </w:p>
    <w:p w14:paraId="370147B7"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Citarabinas priklauso vaistų, vadinamų citotoksiniais, grupei. Šie vaistai vartojami ūminių leukemijų (kraujo vėžio, kurio metu organizme susidaro per daug baltųjų kraujo kūnelių) gydymui. Citarabinas trukdo augti vėžinėms ląstelėms, ir galiausiai jos žūva. </w:t>
      </w:r>
    </w:p>
    <w:p w14:paraId="47290F39"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Remisijai sukelti taikomas intensyvus gydymas, dėl kurio leukemija priverčiama atsitraukti. Jeigu vaistas veiksmingas, kraujo ląstelių pusiausvyra sunormalėja ir Jūsų sveikata pagerėja. Laikotarpis, kai sveikata sąlyginai pagerėja, yra vadinamas remisija. </w:t>
      </w:r>
    </w:p>
    <w:p w14:paraId="0D39CC16"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Palaikomasis gydymas yra švelnesnis, jo tikslas išsaugoti remisija kiek įmanoma ilgiau. Leukemijai kontroliuoti ir neleisti jai pakartotinai paūmėti vartojamos ganėtinai mažos citarabino dozės. </w:t>
      </w:r>
    </w:p>
    <w:p w14:paraId="7D571B51" w14:textId="77777777" w:rsidR="008A7165" w:rsidRPr="00E14DCC" w:rsidRDefault="008A7165" w:rsidP="008A7165">
      <w:pPr>
        <w:spacing w:after="0" w:line="240" w:lineRule="auto"/>
        <w:ind w:left="-18"/>
        <w:jc w:val="both"/>
        <w:rPr>
          <w:rFonts w:ascii="Times New Roman" w:eastAsia="Times New Roman" w:hAnsi="Times New Roman" w:cs="Times New Roman"/>
        </w:rPr>
      </w:pPr>
    </w:p>
    <w:p w14:paraId="11BFDC87" w14:textId="77777777" w:rsidR="008A7165" w:rsidRPr="00E14DCC" w:rsidRDefault="008A7165" w:rsidP="008A7165">
      <w:pPr>
        <w:tabs>
          <w:tab w:val="left" w:pos="567"/>
        </w:tabs>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2.</w:t>
      </w:r>
      <w:r w:rsidRPr="00E14DCC">
        <w:rPr>
          <w:rFonts w:ascii="Times New Roman" w:eastAsia="Times New Roman" w:hAnsi="Times New Roman" w:cs="Times New Roman"/>
          <w:b/>
        </w:rPr>
        <w:tab/>
        <w:t xml:space="preserve">Kas žinotina prieš vartojant Cytarabine Accord </w:t>
      </w:r>
    </w:p>
    <w:p w14:paraId="087BE251" w14:textId="77777777" w:rsidR="008A7165" w:rsidRPr="00E14DCC" w:rsidRDefault="008A7165" w:rsidP="008A7165">
      <w:pPr>
        <w:widowControl w:val="0"/>
        <w:autoSpaceDE w:val="0"/>
        <w:autoSpaceDN w:val="0"/>
        <w:adjustRightInd w:val="0"/>
        <w:spacing w:after="0" w:line="240" w:lineRule="auto"/>
        <w:ind w:left="144" w:hanging="144"/>
        <w:jc w:val="both"/>
        <w:rPr>
          <w:rFonts w:ascii="Times New Roman" w:eastAsia="Times New Roman" w:hAnsi="Times New Roman" w:cs="Times New Roman"/>
          <w:b/>
          <w:bCs/>
        </w:rPr>
      </w:pPr>
    </w:p>
    <w:p w14:paraId="13A5E48B" w14:textId="77777777" w:rsidR="008A7165" w:rsidRPr="00E14DCC" w:rsidRDefault="008A7165" w:rsidP="008A7165">
      <w:pPr>
        <w:widowControl w:val="0"/>
        <w:autoSpaceDE w:val="0"/>
        <w:autoSpaceDN w:val="0"/>
        <w:adjustRightInd w:val="0"/>
        <w:spacing w:after="0" w:line="240" w:lineRule="auto"/>
        <w:ind w:left="144" w:hanging="144"/>
        <w:rPr>
          <w:rFonts w:ascii="Times New Roman" w:eastAsia="Times New Roman" w:hAnsi="Times New Roman" w:cs="Times New Roman"/>
          <w:b/>
          <w:bCs/>
        </w:rPr>
      </w:pPr>
      <w:r w:rsidRPr="00E14DCC">
        <w:rPr>
          <w:rFonts w:ascii="Times New Roman" w:eastAsia="Times New Roman" w:hAnsi="Times New Roman" w:cs="Times New Roman"/>
          <w:b/>
          <w:bCs/>
        </w:rPr>
        <w:t>Cytarabine Accord vartoti negalima:</w:t>
      </w:r>
    </w:p>
    <w:p w14:paraId="5E3D54E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yra alergija (padidėjęs jautrumas) citarabinui arba bet kuriai pagalbinei Cytarabine Accord medžiagai. </w:t>
      </w:r>
    </w:p>
    <w:p w14:paraId="71EFFD4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kraujo tyrimai rodo labai mažą ląstelių skaičių ne dėl vėžio, o kokios nors kitos priežasties, arba jei taip nusprendžia Jūsų gydytojas. </w:t>
      </w:r>
    </w:p>
    <w:p w14:paraId="1ED4B6A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po radioterapijos gydymo kitu vaistu nuo vėžio, pvz., metotreksatu, yra labai sunku valdyti kūną. </w:t>
      </w:r>
    </w:p>
    <w:p w14:paraId="61701C7A" w14:textId="77777777" w:rsidR="008A7165" w:rsidRPr="00E14DCC" w:rsidRDefault="008A7165" w:rsidP="008A7165">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Įspėjimai ir</w:t>
      </w:r>
      <w:r w:rsidRPr="00E14DCC">
        <w:rPr>
          <w:rFonts w:ascii="Times New Roman" w:eastAsia="Times New Roman" w:hAnsi="Times New Roman" w:cs="Times New Roman"/>
          <w:b/>
          <w:bCs/>
        </w:rPr>
        <w:t xml:space="preserve"> atsargumo </w:t>
      </w:r>
      <w:r w:rsidRPr="00E14DCC">
        <w:rPr>
          <w:rFonts w:ascii="Times New Roman" w:eastAsia="Times New Roman" w:hAnsi="Times New Roman" w:cs="Times New Roman"/>
          <w:b/>
        </w:rPr>
        <w:t xml:space="preserve">priemonės </w:t>
      </w:r>
    </w:p>
    <w:p w14:paraId="25015F2C" w14:textId="77777777" w:rsidR="008A7165" w:rsidRPr="00E14DCC" w:rsidRDefault="008A7165" w:rsidP="008A7165">
      <w:pPr>
        <w:autoSpaceDE w:val="0"/>
        <w:autoSpaceDN w:val="0"/>
        <w:adjustRightInd w:val="0"/>
        <w:spacing w:after="0" w:line="240" w:lineRule="auto"/>
        <w:ind w:left="567"/>
        <w:rPr>
          <w:rFonts w:ascii="Times New Roman" w:eastAsia="Times New Roman" w:hAnsi="Times New Roman" w:cs="Times New Roman"/>
        </w:rPr>
      </w:pPr>
      <w:r w:rsidRPr="00E14DCC">
        <w:rPr>
          <w:rFonts w:ascii="Times New Roman" w:eastAsia="Times New Roman" w:hAnsi="Times New Roman" w:cs="Times New Roman"/>
        </w:rPr>
        <w:t xml:space="preserve">Pasitarkite su gydytoju arba vaistininku, prieš pradėdami vartoti Cytarabine Accord. Būkite labai atsargūs su Cytarabine Accord. </w:t>
      </w:r>
    </w:p>
    <w:p w14:paraId="40ACCF36" w14:textId="77777777" w:rsidR="008A7165" w:rsidRPr="00E14DCC" w:rsidRDefault="008A7165" w:rsidP="008A7165">
      <w:pPr>
        <w:widowControl w:val="0"/>
        <w:autoSpaceDE w:val="0"/>
        <w:autoSpaceDN w:val="0"/>
        <w:adjustRightInd w:val="0"/>
        <w:spacing w:after="0" w:line="240" w:lineRule="auto"/>
        <w:rPr>
          <w:rFonts w:ascii="Times New Roman" w:eastAsia="Times New Roman" w:hAnsi="Times New Roman" w:cs="Times New Roman"/>
        </w:rPr>
      </w:pPr>
    </w:p>
    <w:p w14:paraId="4096153F"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Jeigu Jūsų kaulų čiulpai yra nuslopinti, gydymas turi būti pradėtas atidžiai stebint medicinos specialistui. </w:t>
      </w:r>
    </w:p>
    <w:p w14:paraId="58B9E86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jeigu turite kepenų sutrikimų. </w:t>
      </w:r>
    </w:p>
    <w:p w14:paraId="6F1695E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citarabinas kaulų čiulpuose stipriai sumažina kraujo ląstelių gamybą, todėl galite tapti jautresni infekcinėms ligoms arba padažnėti kraujavimai. Nutraukus gydymą kraujo ląstelių skaičius gali mažėti dar savaitę laiko. Jeigu reikės, gydytojas nuolat tirs kraują ir kaulų čiulpus.</w:t>
      </w:r>
    </w:p>
    <w:p w14:paraId="5082C0B9"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Gali pasireikšti sunkus ir kartais gyvybei pavojingas centrinės nervų sistemos, žarnyno arba plaučių šalutinis poveikis. </w:t>
      </w:r>
    </w:p>
    <w:p w14:paraId="43285D6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Gydymo citarabinu metu bus tiriama kepenų ir inkstų funkcija. Jeigu prieš gydymą kepenų funkcija nebuvo gera, citarabinas bus skiriamas tik labai atidžiai prižiūrint.</w:t>
      </w:r>
    </w:p>
    <w:p w14:paraId="7E93732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Gydymo metu gali būti padidėjęs šlapimo rūgšties (parodo vėžinių ląstelių sunaikinimą) kiekis kraujyje (hiperurikemija). Gydytojas pasakys, jeigu jam kontroliuoti reikės vartoti kokių nors papildomų vaistų.</w:t>
      </w:r>
    </w:p>
    <w:p w14:paraId="79B6B234"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color w:val="000000"/>
        </w:rPr>
        <w:t xml:space="preserve">Gydymo citarabinu metu nerekomenduojama skiepytis gyvomis arba nusilpnintomis vakcinomis. Jeigu reikia skiepytis, pasitarkite su gydytoju. Citarabino vartojimo metu dėl nuslopintos imuninės sistemos, reakcija į negyvas ar nukenksmintas vakcinas gali būti sumažėjusi.  </w:t>
      </w:r>
    </w:p>
    <w:p w14:paraId="70DF76E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color w:val="000000"/>
        </w:rPr>
        <w:t xml:space="preserve">Nepamirškite pasakyti gydytojui, jei buvote gydomas radioterapija. </w:t>
      </w:r>
    </w:p>
    <w:p w14:paraId="47E0E85D" w14:textId="77777777" w:rsidR="008A7165" w:rsidRPr="00E14DCC" w:rsidRDefault="008A7165" w:rsidP="008A7165">
      <w:pPr>
        <w:widowControl w:val="0"/>
        <w:autoSpaceDE w:val="0"/>
        <w:autoSpaceDN w:val="0"/>
        <w:adjustRightInd w:val="0"/>
        <w:spacing w:after="0" w:line="240" w:lineRule="auto"/>
        <w:rPr>
          <w:rFonts w:ascii="Times New Roman" w:eastAsia="Times New Roman" w:hAnsi="Times New Roman" w:cs="Times New Roman"/>
          <w:bCs/>
        </w:rPr>
      </w:pPr>
    </w:p>
    <w:p w14:paraId="1A3F020B" w14:textId="77777777" w:rsidR="008A7165" w:rsidRPr="00E14DCC" w:rsidRDefault="008A7165" w:rsidP="008A7165">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 xml:space="preserve">Kiti vaistai ir </w:t>
      </w:r>
      <w:r w:rsidRPr="00E14DCC">
        <w:rPr>
          <w:rFonts w:ascii="Times New Roman" w:eastAsia="Times New Roman" w:hAnsi="Times New Roman" w:cs="Times New Roman"/>
          <w:b/>
          <w:bCs/>
        </w:rPr>
        <w:t>Cytarabine Accord</w:t>
      </w:r>
    </w:p>
    <w:p w14:paraId="7E3E13B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Jeigu vartojate ar neseniai vartojote kitų vaistų arba dėl to nesate tikri, apie tai pasakykite gydytojui arba vaistininkui. </w:t>
      </w:r>
    </w:p>
    <w:p w14:paraId="2E867A3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Vaistų, kurių sudėtyje yra 5-fluorcitozino (vaisto, vartojamo grybelinėms infekcijoms gydyti). </w:t>
      </w:r>
    </w:p>
    <w:p w14:paraId="780C699F"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Vaistų, kurių sudėtyje yra digitoksino arba beta-acetildigoksino, vartojamų širdies ligoms gydyti. </w:t>
      </w:r>
    </w:p>
    <w:p w14:paraId="0F3CF572"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Gentamicino (antibiotiko, vartojamo bakterinėms infekcijoms gydyti). </w:t>
      </w:r>
    </w:p>
    <w:p w14:paraId="30A0D37B" w14:textId="583B1B9C"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Vaistų, kurių sudėtyje yra ciklofosfamido, vinkristino ir prednizono.</w:t>
      </w:r>
      <w:r w:rsidR="00E14DCC" w:rsidRPr="00E14DCC">
        <w:rPr>
          <w:rFonts w:ascii="Times New Roman" w:eastAsia="Times New Roman" w:hAnsi="Times New Roman" w:cs="Times New Roman"/>
        </w:rPr>
        <w:t xml:space="preserve"> </w:t>
      </w:r>
      <w:r w:rsidRPr="00E14DCC">
        <w:rPr>
          <w:rFonts w:ascii="Times New Roman" w:eastAsia="Times New Roman" w:hAnsi="Times New Roman" w:cs="Times New Roman"/>
        </w:rPr>
        <w:t xml:space="preserve">Šie vaistai vartojami vėžio gydymo schemose. </w:t>
      </w:r>
    </w:p>
    <w:p w14:paraId="24DDF0F3" w14:textId="77777777" w:rsidR="008A7165" w:rsidRPr="00E14DCC" w:rsidRDefault="008A7165" w:rsidP="008A7165">
      <w:pPr>
        <w:spacing w:after="0" w:line="240" w:lineRule="auto"/>
        <w:rPr>
          <w:rFonts w:ascii="Times New Roman" w:eastAsia="Arial Unicode MS" w:hAnsi="Times New Roman" w:cs="Times New Roman"/>
        </w:rPr>
      </w:pPr>
    </w:p>
    <w:p w14:paraId="717156E4"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bCs/>
        </w:rPr>
        <w:t xml:space="preserve">Nėštumas, žindymo laikotarpis </w:t>
      </w:r>
      <w:r w:rsidRPr="00E14DCC">
        <w:rPr>
          <w:rFonts w:ascii="Times New Roman" w:eastAsia="Times New Roman" w:hAnsi="Times New Roman" w:cs="Times New Roman"/>
          <w:b/>
        </w:rPr>
        <w:t>ir vaisingumas</w:t>
      </w:r>
    </w:p>
    <w:p w14:paraId="241F6702"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Nėštumas</w:t>
      </w:r>
    </w:p>
    <w:p w14:paraId="63BF8D11" w14:textId="77777777" w:rsidR="008A7165" w:rsidRPr="00E14DCC" w:rsidRDefault="008A7165" w:rsidP="008A7165">
      <w:pPr>
        <w:spacing w:after="0" w:line="240" w:lineRule="auto"/>
        <w:ind w:left="24"/>
        <w:rPr>
          <w:rFonts w:ascii="Times New Roman" w:eastAsia="Times New Roman" w:hAnsi="Times New Roman" w:cs="Times New Roman"/>
        </w:rPr>
      </w:pPr>
      <w:r w:rsidRPr="00E14DCC">
        <w:rPr>
          <w:rFonts w:ascii="Times New Roman" w:eastAsia="Times New Roman" w:hAnsi="Times New Roman" w:cs="Times New Roman"/>
        </w:rPr>
        <w:t>Jeigu Jūsų arba Jūsų partneris vartojate citarabino, venkite pastoti. Nesvarbu ar esate vyras, ar moteris, jeigu esate lytiškai aktyvus, gydymo metu patariama vartoti veiksmingas kontracepcijos priemones. Citarabinas sukelia apsigimimus, todėl svarbu pasakyti gydytojui, jeigu manote, kad esate nėščia. Vyrai ir moterys gydymo metu ir 6 mėnesius po jo turi naudoti veiksmingą kontracepcijos metodą.</w:t>
      </w:r>
    </w:p>
    <w:p w14:paraId="4693C11B" w14:textId="77777777" w:rsidR="008A7165" w:rsidRPr="00E14DCC" w:rsidRDefault="008A7165" w:rsidP="008A7165">
      <w:pPr>
        <w:spacing w:after="0" w:line="240" w:lineRule="auto"/>
        <w:ind w:left="24"/>
        <w:rPr>
          <w:rFonts w:ascii="Times New Roman" w:eastAsia="Times New Roman" w:hAnsi="Times New Roman" w:cs="Times New Roman"/>
          <w:color w:val="000000"/>
        </w:rPr>
      </w:pPr>
    </w:p>
    <w:p w14:paraId="2D641348" w14:textId="77777777" w:rsidR="008A7165" w:rsidRPr="00E14DCC" w:rsidRDefault="008A7165" w:rsidP="008A7165">
      <w:pPr>
        <w:spacing w:after="0" w:line="240" w:lineRule="auto"/>
        <w:ind w:left="24"/>
        <w:rPr>
          <w:rFonts w:ascii="Times New Roman" w:eastAsia="Times New Roman" w:hAnsi="Times New Roman" w:cs="Times New Roman"/>
          <w:color w:val="000000"/>
        </w:rPr>
      </w:pPr>
      <w:r w:rsidRPr="00E14DCC">
        <w:rPr>
          <w:rFonts w:ascii="Times New Roman" w:eastAsia="Times New Roman" w:hAnsi="Times New Roman" w:cs="Times New Roman"/>
          <w:color w:val="000000"/>
        </w:rPr>
        <w:t>Žindymo laikotarpis</w:t>
      </w:r>
    </w:p>
    <w:p w14:paraId="73448F43" w14:textId="77777777" w:rsidR="008A7165" w:rsidRPr="00E14DCC" w:rsidRDefault="008A7165" w:rsidP="008A7165">
      <w:pPr>
        <w:spacing w:after="0" w:line="240" w:lineRule="auto"/>
        <w:ind w:left="24"/>
        <w:rPr>
          <w:rFonts w:ascii="Times New Roman" w:eastAsia="Times New Roman" w:hAnsi="Times New Roman" w:cs="Times New Roman"/>
          <w:color w:val="000000"/>
        </w:rPr>
      </w:pPr>
      <w:r w:rsidRPr="00E14DCC">
        <w:rPr>
          <w:rFonts w:ascii="Times New Roman" w:eastAsia="Times New Roman" w:hAnsi="Times New Roman" w:cs="Times New Roman"/>
          <w:color w:val="000000"/>
        </w:rPr>
        <w:t>Prieš pradedant gydymą citarabinu, žindymą reikia nutraukti, nes šis vaistas gali pakenkti žindomam kūdikiui.</w:t>
      </w:r>
    </w:p>
    <w:p w14:paraId="283902F0" w14:textId="77777777" w:rsidR="008A7165" w:rsidRPr="00E14DCC" w:rsidRDefault="008A7165" w:rsidP="008A7165">
      <w:pPr>
        <w:spacing w:after="0" w:line="240" w:lineRule="auto"/>
        <w:rPr>
          <w:rFonts w:ascii="Times New Roman" w:eastAsia="Times New Roman" w:hAnsi="Times New Roman" w:cs="Times New Roman"/>
        </w:rPr>
      </w:pPr>
    </w:p>
    <w:p w14:paraId="2E3285E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Vaisingumas</w:t>
      </w:r>
    </w:p>
    <w:p w14:paraId="6348E60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Citarabinas gali nuslopinti moterų menstruacinį ciklą ir sukelti amenorėją, o pacientams vyrams nuslopinti spermos gaminimą. Vyrai, besigydantys citarabinu, turi naudoti patikimą kontracepcijos priemonę. </w:t>
      </w:r>
    </w:p>
    <w:p w14:paraId="7EACBFC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Prieš vartojant bet kokį vaistą, būtina pasitarti su gydytoju arba vaistininku.</w:t>
      </w:r>
    </w:p>
    <w:p w14:paraId="44471CF3" w14:textId="77777777" w:rsidR="008A7165" w:rsidRPr="00E14DCC" w:rsidRDefault="008A7165" w:rsidP="008A7165">
      <w:pPr>
        <w:spacing w:after="0" w:line="240" w:lineRule="auto"/>
        <w:rPr>
          <w:rFonts w:ascii="Times New Roman" w:eastAsia="Times New Roman" w:hAnsi="Times New Roman" w:cs="Times New Roman"/>
          <w:b/>
          <w:bCs/>
          <w:strike/>
        </w:rPr>
      </w:pPr>
    </w:p>
    <w:p w14:paraId="772E6B51" w14:textId="77777777" w:rsidR="008A7165" w:rsidRPr="00E14DCC" w:rsidRDefault="008A7165" w:rsidP="008A7165">
      <w:pPr>
        <w:tabs>
          <w:tab w:val="left" w:pos="6555"/>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Vairavimas ir mechanizmų valdymas</w:t>
      </w:r>
    </w:p>
    <w:p w14:paraId="4AD808D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Citarabinas gebėjimo vairuoti ir valdyti mechanizmus neveikia. Tačiau pats vėžio gydymas gali sutrikdyti kai kurių pacientų gebėjimą vairuoti ir valdyti mechanizmus. Jeigu jaučiate neigiamą poveikį, vairuoti ir valdyti mechanizmų negalima.</w:t>
      </w:r>
    </w:p>
    <w:p w14:paraId="5CD84193"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6F588EF3" w14:textId="77777777" w:rsidR="008A7165" w:rsidRPr="00E14DCC" w:rsidRDefault="008A7165" w:rsidP="008A7165">
      <w:pPr>
        <w:tabs>
          <w:tab w:val="left" w:pos="567"/>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3.</w:t>
      </w:r>
      <w:r w:rsidRPr="00E14DCC">
        <w:rPr>
          <w:rFonts w:ascii="Times New Roman" w:eastAsia="Times New Roman" w:hAnsi="Times New Roman" w:cs="Times New Roman"/>
          <w:b/>
          <w:bCs/>
          <w:color w:val="000000"/>
        </w:rPr>
        <w:tab/>
        <w:t xml:space="preserve">Kaip vartoti Cytarabine Accord </w:t>
      </w:r>
    </w:p>
    <w:p w14:paraId="3370E55B" w14:textId="77777777" w:rsidR="008A7165" w:rsidRPr="00E14DCC" w:rsidRDefault="008A7165" w:rsidP="008A7165">
      <w:pPr>
        <w:spacing w:after="0" w:line="240" w:lineRule="auto"/>
        <w:ind w:left="18" w:right="26"/>
        <w:jc w:val="both"/>
        <w:rPr>
          <w:rFonts w:ascii="Times New Roman" w:eastAsia="Times New Roman" w:hAnsi="Times New Roman" w:cs="Times New Roman"/>
          <w:b/>
          <w:bCs/>
        </w:rPr>
      </w:pPr>
    </w:p>
    <w:p w14:paraId="0D1BAF40" w14:textId="77777777" w:rsidR="008A7165" w:rsidRPr="00E14DCC" w:rsidRDefault="008A7165" w:rsidP="008A7165">
      <w:pPr>
        <w:spacing w:after="0" w:line="240" w:lineRule="auto"/>
        <w:ind w:left="18" w:right="26"/>
        <w:rPr>
          <w:rFonts w:ascii="Times New Roman" w:eastAsia="Times New Roman" w:hAnsi="Times New Roman" w:cs="Times New Roman"/>
          <w:bCs/>
        </w:rPr>
      </w:pPr>
      <w:r w:rsidRPr="00E14DCC">
        <w:rPr>
          <w:rFonts w:ascii="Times New Roman" w:eastAsia="Times New Roman" w:hAnsi="Times New Roman" w:cs="Times New Roman"/>
          <w:b/>
          <w:bCs/>
        </w:rPr>
        <w:t xml:space="preserve">Vartojimo metodas ir būdai </w:t>
      </w:r>
    </w:p>
    <w:p w14:paraId="7A1EDFE5" w14:textId="77777777" w:rsidR="008A7165" w:rsidRPr="00E14DCC" w:rsidRDefault="008A7165" w:rsidP="008A7165">
      <w:pPr>
        <w:spacing w:after="0" w:line="240" w:lineRule="auto"/>
        <w:rPr>
          <w:rFonts w:ascii="Times New Roman" w:eastAsia="Arial Unicode MS" w:hAnsi="Times New Roman" w:cs="Times New Roman"/>
        </w:rPr>
      </w:pPr>
      <w:r w:rsidRPr="00E14DCC">
        <w:rPr>
          <w:rFonts w:ascii="Times New Roman" w:eastAsia="Arial Unicode MS" w:hAnsi="Times New Roman" w:cs="Times New Roman"/>
        </w:rPr>
        <w:lastRenderedPageBreak/>
        <w:t>Ligoninėje, atidžiai prižiūrint specialistui, Jums bus paskirta citarabino infuzija („lašinė“) arba injekcija į veną arba po oda. Gydytojas, atsižvelgdamas į Jūsų būklę, nuspręs, kokią dozę Jums paskirti ir kiek dienų ją reiks vartoti.</w:t>
      </w:r>
    </w:p>
    <w:p w14:paraId="0D80567F" w14:textId="77777777" w:rsidR="008A7165" w:rsidRPr="00E14DCC" w:rsidRDefault="008A7165" w:rsidP="008A7165">
      <w:pPr>
        <w:spacing w:after="0" w:line="240" w:lineRule="auto"/>
        <w:rPr>
          <w:rFonts w:ascii="Times New Roman" w:eastAsia="Arial Unicode MS" w:hAnsi="Times New Roman" w:cs="Times New Roman"/>
        </w:rPr>
      </w:pPr>
    </w:p>
    <w:p w14:paraId="0F82F4D2" w14:textId="77777777" w:rsidR="008A7165" w:rsidRPr="00E14DCC" w:rsidRDefault="008A7165" w:rsidP="008A7165">
      <w:pPr>
        <w:spacing w:after="0" w:line="240" w:lineRule="auto"/>
        <w:rPr>
          <w:rFonts w:ascii="Times New Roman" w:eastAsia="Arial Unicode MS" w:hAnsi="Times New Roman" w:cs="Times New Roman"/>
          <w:bCs/>
        </w:rPr>
      </w:pPr>
      <w:r w:rsidRPr="00E14DCC">
        <w:rPr>
          <w:rFonts w:ascii="Times New Roman" w:eastAsia="Arial Unicode MS" w:hAnsi="Times New Roman" w:cs="Times New Roman"/>
          <w:b/>
          <w:bCs/>
        </w:rPr>
        <w:t xml:space="preserve">Rekomenduojama dozė </w:t>
      </w:r>
    </w:p>
    <w:p w14:paraId="2DF6D5FC" w14:textId="77777777" w:rsidR="008A7165" w:rsidRPr="00E14DCC" w:rsidRDefault="008A7165" w:rsidP="008A7165">
      <w:pPr>
        <w:spacing w:after="0" w:line="240" w:lineRule="auto"/>
        <w:rPr>
          <w:rFonts w:ascii="Times New Roman" w:eastAsia="Arial Unicode MS" w:hAnsi="Times New Roman" w:cs="Times New Roman"/>
          <w:bCs/>
          <w:color w:val="000000"/>
        </w:rPr>
      </w:pPr>
      <w:r w:rsidRPr="00E14DCC">
        <w:rPr>
          <w:rFonts w:ascii="Times New Roman" w:eastAsia="Arial Unicode MS" w:hAnsi="Times New Roman" w:cs="Times New Roman"/>
          <w:bCs/>
          <w:color w:val="000000"/>
        </w:rPr>
        <w:t>Gydytojas, atsižvelgdamas į Jūsų būklę, nuspręs, ar jūs vartosite gydymą remisijai sukelti, ar palaikomąjį gydymą, ir koks Jūsų kūno paviršiaus plotas. Jūsų svoris ir ūgis bus panaudotas kūno paviršiaus plotui apskaičiuoti.</w:t>
      </w:r>
    </w:p>
    <w:p w14:paraId="717BF923" w14:textId="77777777" w:rsidR="008A7165" w:rsidRPr="00E14DCC" w:rsidRDefault="008A7165" w:rsidP="008A7165">
      <w:pPr>
        <w:spacing w:after="0" w:line="240" w:lineRule="auto"/>
        <w:rPr>
          <w:rFonts w:ascii="Times New Roman" w:eastAsia="Arial Unicode MS" w:hAnsi="Times New Roman" w:cs="Times New Roman"/>
        </w:rPr>
      </w:pPr>
    </w:p>
    <w:p w14:paraId="3C11B6B1" w14:textId="77777777" w:rsidR="008A7165" w:rsidRPr="00E14DCC" w:rsidRDefault="008A7165" w:rsidP="008A7165">
      <w:pPr>
        <w:spacing w:after="0" w:line="240" w:lineRule="auto"/>
        <w:rPr>
          <w:rFonts w:ascii="Times New Roman" w:eastAsia="Arial Unicode MS" w:hAnsi="Times New Roman" w:cs="Times New Roman"/>
        </w:rPr>
      </w:pPr>
      <w:r w:rsidRPr="00E14DCC">
        <w:rPr>
          <w:rFonts w:ascii="Times New Roman" w:eastAsia="Arial Unicode MS" w:hAnsi="Times New Roman" w:cs="Times New Roman"/>
        </w:rPr>
        <w:t>Gydymo metu Jums teks reguliariai tirtis, taip pat ir kraują. Gydytojas Jums pasakys, kaip dažnai tai reiks daryti. Jums reguliariai reikės tirtis:</w:t>
      </w:r>
    </w:p>
    <w:p w14:paraId="0E9A6B4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kraują, siekiant išsiaiškinti, ar nepasireiškė reikalaujantis gydymo kraujo ląstelių kiekio sumažėjimas. </w:t>
      </w:r>
    </w:p>
    <w:p w14:paraId="55119D57"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kepenis (vėl atliekant kraujo tyrimą), siekiant išsiaiškinti, ar citarabinas nedaro žalingo poveikio jų funkcijai. </w:t>
      </w:r>
    </w:p>
    <w:p w14:paraId="1FCDEEB2"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inkstus (vėl atliekant kraujo tyrimą), siekiant išsiaiškinti, ar citarabinas nedaro žalingo poveikio jų funkcijai. </w:t>
      </w:r>
    </w:p>
    <w:p w14:paraId="3A4ADF35"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šlapimo rūgšties kiekį kraujyje, nes citarabinas gali padidinti šlapimo rūgšties kiekį kraujyje. Jeigu šlapimo rūgšties kiekis yra per didelis, gali būti paskirtas dar vienas vaistas. </w:t>
      </w:r>
    </w:p>
    <w:p w14:paraId="6561C519"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Jums taikomos dializės, gydytojas gali pakeisti vaisto vartojimo laiką, nes dializės gali sumažinti vaisto poveikį. </w:t>
      </w:r>
    </w:p>
    <w:p w14:paraId="72D34FE8" w14:textId="77777777" w:rsidR="008A7165" w:rsidRPr="00E14DCC" w:rsidRDefault="008A7165" w:rsidP="008A7165">
      <w:pPr>
        <w:spacing w:after="0" w:line="240" w:lineRule="auto"/>
        <w:ind w:left="18" w:right="26"/>
        <w:jc w:val="both"/>
        <w:rPr>
          <w:rFonts w:ascii="Times New Roman" w:eastAsia="Times New Roman" w:hAnsi="Times New Roman" w:cs="Times New Roman"/>
        </w:rPr>
      </w:pPr>
    </w:p>
    <w:p w14:paraId="2FAD72D7"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
          <w:color w:val="000000"/>
        </w:rPr>
      </w:pPr>
      <w:r w:rsidRPr="00E14DCC">
        <w:rPr>
          <w:rFonts w:ascii="Times New Roman" w:eastAsia="Times New Roman" w:hAnsi="Times New Roman" w:cs="Times New Roman"/>
          <w:b/>
          <w:color w:val="000000"/>
        </w:rPr>
        <w:t xml:space="preserve">Ką daryti pavartojus per didelę </w:t>
      </w:r>
      <w:r w:rsidRPr="00E14DCC">
        <w:rPr>
          <w:rFonts w:ascii="Times New Roman" w:eastAsia="Times New Roman" w:hAnsi="Times New Roman" w:cs="Times New Roman"/>
          <w:b/>
          <w:bCs/>
          <w:color w:val="000000"/>
        </w:rPr>
        <w:t>Cytarabine Accord dozę?</w:t>
      </w:r>
    </w:p>
    <w:p w14:paraId="2C1B69D0"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 dideles dozes gali pasunkėti šalutinis poveikis, pavyzdžiui, burnos opos arba sumažėja baltųjų kraujo ląstelių ir kraujo plokštelių (jos padeda kraujui krešėti) kiekis kraujyje. Jeigu taip atsitiktų, Jums gali prireikti antibiotikų ir kraujo perpylimo. Burnos opos reikėtų gydyti, joms gyjant jausite mažesnį diskomfortą.</w:t>
      </w:r>
    </w:p>
    <w:p w14:paraId="32B723E2" w14:textId="77777777" w:rsidR="008A7165" w:rsidRPr="00E14DCC" w:rsidRDefault="008A7165" w:rsidP="008A7165">
      <w:pPr>
        <w:spacing w:after="0" w:line="240" w:lineRule="auto"/>
        <w:rPr>
          <w:rFonts w:ascii="Times New Roman" w:eastAsia="Times New Roman" w:hAnsi="Times New Roman" w:cs="Times New Roman"/>
        </w:rPr>
      </w:pPr>
    </w:p>
    <w:p w14:paraId="36E86E58" w14:textId="77777777" w:rsidR="008A7165" w:rsidRPr="00E14DCC" w:rsidRDefault="008A7165" w:rsidP="008A7165">
      <w:pPr>
        <w:tabs>
          <w:tab w:val="left" w:pos="192"/>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Jeigu kiltų daugiau klausimų dėl šio vaisto vartojimo, kreipkitės į gydytoją arba vaistininką.</w:t>
      </w:r>
    </w:p>
    <w:p w14:paraId="0DDDE643" w14:textId="77777777" w:rsidR="008A7165" w:rsidRPr="00E14DCC" w:rsidRDefault="008A7165" w:rsidP="008A7165">
      <w:pPr>
        <w:tabs>
          <w:tab w:val="left" w:pos="192"/>
        </w:tabs>
        <w:spacing w:after="0" w:line="240" w:lineRule="auto"/>
        <w:rPr>
          <w:rFonts w:ascii="Times New Roman" w:eastAsia="Times New Roman" w:hAnsi="Times New Roman" w:cs="Times New Roman"/>
        </w:rPr>
      </w:pPr>
    </w:p>
    <w:p w14:paraId="14D745F9" w14:textId="77777777" w:rsidR="008A7165" w:rsidRPr="00E14DCC" w:rsidRDefault="008A7165" w:rsidP="008A7165">
      <w:pPr>
        <w:tabs>
          <w:tab w:val="left" w:pos="567"/>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4.</w:t>
      </w:r>
      <w:r w:rsidRPr="00E14DCC">
        <w:rPr>
          <w:rFonts w:ascii="Times New Roman" w:eastAsia="Times New Roman" w:hAnsi="Times New Roman" w:cs="Times New Roman"/>
          <w:b/>
          <w:bCs/>
        </w:rPr>
        <w:tab/>
        <w:t>Galimas šalutinis poveikis</w:t>
      </w:r>
    </w:p>
    <w:p w14:paraId="21A42CB0"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32531D80"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kaip ir visi kiti vaistai, gali sukelti šalutinį poveikį, nors jis pasireiškia ne visiems žmonėms.</w:t>
      </w:r>
    </w:p>
    <w:p w14:paraId="399F8EDE"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Citarabino šalutinis poveikis priklauso nuo dozės. Dažniausiai pasireiškia šalutinis poveikis virškinimo traktui bei kraujodarai.</w:t>
      </w:r>
    </w:p>
    <w:p w14:paraId="3938AC8C"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4E403ECA"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 xml:space="preserve">Jei po vaisto pavartojimo atsiranda toliau išvardytų simptomų, </w:t>
      </w:r>
      <w:r w:rsidRPr="00E14DCC">
        <w:rPr>
          <w:rFonts w:ascii="Times New Roman" w:eastAsia="Times New Roman" w:hAnsi="Times New Roman" w:cs="Times New Roman"/>
          <w:b/>
          <w:bCs/>
          <w:color w:val="000000"/>
          <w:lang w:eastAsia="en-GB"/>
        </w:rPr>
        <w:t>nedelsdamas pasakykite Jus tuo metu prižiūrinčiam gydytojui ar slaugytojui.</w:t>
      </w:r>
    </w:p>
    <w:p w14:paraId="11B5B39C"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Alerginė reakcija, pavyzdžiui, staiga atsiradęs švokštimas, kvėpavimo pasunkėjimas, akių vokų, veido ar lūpų patinimas, išbėrimas ar niežulys (ypač apimantys visą kūną).</w:t>
      </w:r>
    </w:p>
    <w:p w14:paraId="02B8348D" w14:textId="4BBC2D88"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Sunki alerginė reakcija (anafilaksija): odos išbėrimas, įskaitant raudoną niežtinčią odą, rankų, pėdų, kulkšn</w:t>
      </w:r>
      <w:r w:rsidR="00A6660D">
        <w:rPr>
          <w:rFonts w:ascii="Times New Roman" w:eastAsia="Times New Roman" w:hAnsi="Times New Roman" w:cs="Times New Roman"/>
          <w:color w:val="000000"/>
          <w:lang w:eastAsia="en-GB"/>
        </w:rPr>
        <w:t>i</w:t>
      </w:r>
      <w:r w:rsidRPr="00E14DCC">
        <w:rPr>
          <w:rFonts w:ascii="Times New Roman" w:eastAsia="Times New Roman" w:hAnsi="Times New Roman" w:cs="Times New Roman"/>
          <w:color w:val="000000"/>
          <w:lang w:eastAsia="en-GB"/>
        </w:rPr>
        <w:t xml:space="preserve">ų, veido, lūpų, burnos sutinimas ar gerklės bronchospazmas (dėl ko gali būti sunku ryti ar kvėpuoti) ir Jūs galit pasijausti tarytum tuoj nualpsite (spontaniškas sąmonės netekimas dėl nepakankamo kraujo kiekio smegenyse). Tai gali būti mirtina (nedažnai). </w:t>
      </w:r>
    </w:p>
    <w:p w14:paraId="6FC4C6A2"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 xml:space="preserve">Gali išsivystyti klinikiniai plaučių edemos/SRDS požymiai, ypač vartojant dideles dozes: buvo pastebėti ūmūs kvėpavimo sunkumai ir vanduo plaučiuose (plaučių edema), ypač naudojant dideles dozes (dažnai). </w:t>
      </w:r>
    </w:p>
    <w:p w14:paraId="6B0524A5"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Nuovargis ar mieguistumas.</w:t>
      </w:r>
    </w:p>
    <w:p w14:paraId="3F5BBF29"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Į gripą panašūs simptomai, pavyzdžiui, padidėjusi temperatūra ar karščiavimas ir šaltkrėtis.</w:t>
      </w:r>
    </w:p>
    <w:p w14:paraId="3DC14D0E"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Stiprus krūtinės skausmas.</w:t>
      </w:r>
    </w:p>
    <w:p w14:paraId="3BB5DEAA"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Stiprus pilvo skausmas.</w:t>
      </w:r>
    </w:p>
    <w:p w14:paraId="4B2BEBA9"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Apakimas, lietimo pojūčio netekimas, psichikos sutrikimas ar negalėjimas įprastai judėti (šis vaistas gali sukelti šalutinį poveikį galvos smegenims ir akims; toks poveikis paprastai būna laikinas, bet gali būti labai sunkus).</w:t>
      </w:r>
    </w:p>
    <w:p w14:paraId="6EFC8C4E" w14:textId="77777777" w:rsidR="008A7165" w:rsidRPr="00E14DCC" w:rsidRDefault="008A7165" w:rsidP="00805CDB">
      <w:pPr>
        <w:numPr>
          <w:ilvl w:val="0"/>
          <w:numId w:val="13"/>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lastRenderedPageBreak/>
        <w:t xml:space="preserve">Lengviau nei įprasta atsirandančios kraujosruvos ar stipresnis nei įprasta kraujavimas. Tai yra </w:t>
      </w:r>
      <w:r w:rsidRPr="00E14DCC">
        <w:rPr>
          <w:rFonts w:ascii="Times New Roman" w:eastAsia="Times New Roman" w:hAnsi="Times New Roman" w:cs="Times New Roman"/>
          <w:b/>
          <w:bCs/>
          <w:color w:val="000000"/>
          <w:lang w:eastAsia="en-GB"/>
        </w:rPr>
        <w:t>mažo kraujo ląstelių kiekio</w:t>
      </w:r>
      <w:r w:rsidRPr="00E14DCC">
        <w:rPr>
          <w:rFonts w:ascii="Times New Roman" w:eastAsia="Times New Roman" w:hAnsi="Times New Roman" w:cs="Times New Roman"/>
          <w:color w:val="000000"/>
          <w:lang w:eastAsia="en-GB"/>
        </w:rPr>
        <w:t xml:space="preserve"> simptomai</w:t>
      </w:r>
      <w:r w:rsidRPr="00E14DCC">
        <w:rPr>
          <w:rFonts w:ascii="Times New Roman" w:eastAsia="Times New Roman" w:hAnsi="Times New Roman" w:cs="Times New Roman"/>
          <w:b/>
          <w:bCs/>
          <w:color w:val="000000"/>
          <w:lang w:eastAsia="en-GB"/>
        </w:rPr>
        <w:t xml:space="preserve">. </w:t>
      </w:r>
      <w:r w:rsidRPr="00E14DCC">
        <w:rPr>
          <w:rFonts w:ascii="Times New Roman" w:eastAsia="Times New Roman" w:hAnsi="Times New Roman" w:cs="Times New Roman"/>
          <w:color w:val="000000"/>
          <w:lang w:eastAsia="en-GB"/>
        </w:rPr>
        <w:t>Jeigu Jums atsiranda tokių simptomų,</w:t>
      </w:r>
      <w:r w:rsidRPr="00E14DCC">
        <w:rPr>
          <w:rFonts w:ascii="Times New Roman" w:eastAsia="Times New Roman" w:hAnsi="Times New Roman" w:cs="Times New Roman"/>
          <w:b/>
          <w:bCs/>
          <w:color w:val="000000"/>
          <w:lang w:eastAsia="en-GB"/>
        </w:rPr>
        <w:t xml:space="preserve"> nedelsdamas pasakykite gydytojui ar slaugytojui</w:t>
      </w:r>
      <w:r w:rsidRPr="00E14DCC">
        <w:rPr>
          <w:rFonts w:ascii="Times New Roman" w:eastAsia="Times New Roman" w:hAnsi="Times New Roman" w:cs="Times New Roman"/>
          <w:color w:val="000000"/>
          <w:lang w:eastAsia="en-GB"/>
        </w:rPr>
        <w:t xml:space="preserve">. </w:t>
      </w:r>
    </w:p>
    <w:p w14:paraId="699F8B56"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lang w:eastAsia="en-GB"/>
        </w:rPr>
      </w:pPr>
    </w:p>
    <w:p w14:paraId="28B15DF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Toks šalutinis poveikis yra sunkus. Gali prireikti skubios medicininės pagalbos.</w:t>
      </w:r>
    </w:p>
    <w:p w14:paraId="376E08D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135630F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Šalutinio poveikio dažnis pateikiamas naudojant šiuos apibūdinimus:</w:t>
      </w:r>
    </w:p>
    <w:p w14:paraId="6CA06BA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614F11A0"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rPr>
      </w:pPr>
    </w:p>
    <w:p w14:paraId="3164223C" w14:textId="77777777" w:rsidR="008A7165" w:rsidRPr="00E14DCC" w:rsidRDefault="008A7165" w:rsidP="003077C6">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Dažnas (pasireiškia nuo 1 iki 10 vartotojų iš 100):</w:t>
      </w:r>
    </w:p>
    <w:p w14:paraId="69821BFB"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Karščiavimas.</w:t>
      </w:r>
    </w:p>
    <w:p w14:paraId="3F785143"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Nepakankamas baltųjų kraujo ląstelių arba kraujo plokštelių kiekis, todėl galite tapti jautresni infekcinėms ligoms arba kraujavimui.</w:t>
      </w:r>
    </w:p>
    <w:p w14:paraId="05D25275"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Sumažėjęs baltųjų kraujo ląstelių kiekis gali sukelti šaltkrėtį ir karščiavimą, dėl kurių reikia skubios medicininės pagalbos. </w:t>
      </w:r>
    </w:p>
    <w:p w14:paraId="70B2012E"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Sumažėjęs plokštelių kiekis gali sukelti kraujavimą, dėl kurio reikia skubios medicininės pagalbos. </w:t>
      </w:r>
    </w:p>
    <w:p w14:paraId="77E44821"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Kraujo ląstelių pakitimas (megaloblastozė).</w:t>
      </w:r>
    </w:p>
    <w:p w14:paraId="0BB01519"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Apetito praradimas.</w:t>
      </w:r>
    </w:p>
    <w:p w14:paraId="7D262457"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nuryti.</w:t>
      </w:r>
    </w:p>
    <w:p w14:paraId="3B4D09A7"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Pilvo skausmas.</w:t>
      </w:r>
    </w:p>
    <w:p w14:paraId="157822D0"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Pykinimas (šleikštulys).</w:t>
      </w:r>
    </w:p>
    <w:p w14:paraId="3CDC428E"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Vėmimas.</w:t>
      </w:r>
    </w:p>
    <w:p w14:paraId="68F215E1"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Viduriavimas.</w:t>
      </w:r>
    </w:p>
    <w:p w14:paraId="2A3E3FD7" w14:textId="77777777" w:rsidR="008A7165" w:rsidRPr="00E14DCC" w:rsidRDefault="008A7165" w:rsidP="003077C6">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Burnos arba išangės uždegimas arba išopėjimas.</w:t>
      </w:r>
    </w:p>
    <w:p w14:paraId="3123F28C" w14:textId="77777777" w:rsidR="008A7165" w:rsidRPr="00E14DCC" w:rsidRDefault="008A7165" w:rsidP="00E14DCC">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Grįžtamo pobūdžio odos pažeidimas, pavyzdžiui, paraudimas (eritema), pūslės, bėrimas, dilgėlinė, kraujagyslių uždegimas (vaskulitas), plaukų slinkimas.</w:t>
      </w:r>
    </w:p>
    <w:p w14:paraId="4B1CBDB9" w14:textId="77777777" w:rsidR="008A7165" w:rsidRPr="00E14DCC" w:rsidRDefault="008A7165" w:rsidP="00E14DCC">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Grįžtamo pobūdžio kepenų pažeidimas, pasireiškiantis kepenų fermentų aktyvumo padidėjimu. </w:t>
      </w:r>
    </w:p>
    <w:p w14:paraId="28A74C62"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Grįžtamo pobūdžio</w:t>
      </w:r>
      <w:r w:rsidRPr="00E14DCC">
        <w:rPr>
          <w:rFonts w:ascii="Times New Roman" w:eastAsia="Times New Roman" w:hAnsi="Times New Roman" w:cs="Times New Roman"/>
          <w:color w:val="000000"/>
        </w:rPr>
        <w:t xml:space="preserve"> akių pažeidimas, pavyzdžiui, kraujuojančios akių opos (hemoraginis konjunktyvitas) kartu su regėjimo sutrikimu, padidėjęs jautrumas šviesai (fotofobija), vandeningos akys arba akių perštėjimas ir ragenos uždegimas (keratitas).</w:t>
      </w:r>
    </w:p>
    <w:p w14:paraId="352A0DD7"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Sąmonės pritemimas (vartojant dideles dozes).</w:t>
      </w:r>
    </w:p>
    <w:p w14:paraId="2961BA76"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Kalbėjimo sunkumai </w:t>
      </w:r>
      <w:r w:rsidRPr="00E14DCC">
        <w:rPr>
          <w:rFonts w:ascii="Times New Roman" w:eastAsia="Times New Roman" w:hAnsi="Times New Roman" w:cs="Times New Roman"/>
        </w:rPr>
        <w:t>(vartojant dideles dozes).</w:t>
      </w:r>
    </w:p>
    <w:p w14:paraId="253B140A"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Nenormalūs akių judesiai (vartojant dideles dozes – nistagmas). </w:t>
      </w:r>
    </w:p>
    <w:p w14:paraId="667C8EEF"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Uždegimas venos injekcijos vietoje.</w:t>
      </w:r>
    </w:p>
    <w:p w14:paraId="538455B8" w14:textId="77777777" w:rsidR="008A7165" w:rsidRPr="00E14DCC" w:rsidRDefault="008A7165">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Neįprastai aukštas šlapimo rūgšties kiekis kraujyje (hiperurikemija).</w:t>
      </w:r>
    </w:p>
    <w:p w14:paraId="16D94718"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28890FA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Nedažnas (pasireiškia nuo 1 iki 10 vartotojų iš 1 000):</w:t>
      </w:r>
    </w:p>
    <w:p w14:paraId="2D2957E6"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Gerklės skausmas.</w:t>
      </w:r>
    </w:p>
    <w:p w14:paraId="261DE62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skausmas.</w:t>
      </w:r>
    </w:p>
    <w:p w14:paraId="64141B1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Sunki alerginė reakcija (anafilaksija), pasireiškiantis sunkumu kvėpuoti arba galvos sukimusi.</w:t>
      </w:r>
    </w:p>
    <w:p w14:paraId="7260643F"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Kraujo apnuodijimas (sepsis).</w:t>
      </w:r>
    </w:p>
    <w:p w14:paraId="76F2C0B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Gerklės uždegimas ir opos.</w:t>
      </w:r>
    </w:p>
    <w:p w14:paraId="59D91C9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Sunkus žarnų uždegimas (nekrozinis kolitas).</w:t>
      </w:r>
    </w:p>
    <w:p w14:paraId="792B2937"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Žarnyno cistos.</w:t>
      </w:r>
    </w:p>
    <w:p w14:paraId="07D92B0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Odos išopėjimas.</w:t>
      </w:r>
    </w:p>
    <w:p w14:paraId="3155662B"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Niežulys.</w:t>
      </w:r>
    </w:p>
    <w:p w14:paraId="343D4E4C"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Injekcijos vietos uždegimas.</w:t>
      </w:r>
    </w:p>
    <w:p w14:paraId="2EF188CF"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Rudi ir (arba) juodi spuogeliai odoje (</w:t>
      </w:r>
      <w:r w:rsidRPr="00E14DCC">
        <w:rPr>
          <w:rFonts w:ascii="Times New Roman" w:eastAsia="Times New Roman" w:hAnsi="Times New Roman" w:cs="Times New Roman"/>
          <w:i/>
        </w:rPr>
        <w:t>lentigo</w:t>
      </w:r>
      <w:r w:rsidRPr="00E14DCC">
        <w:rPr>
          <w:rFonts w:ascii="Times New Roman" w:eastAsia="Times New Roman" w:hAnsi="Times New Roman" w:cs="Times New Roman"/>
        </w:rPr>
        <w:t>).</w:t>
      </w:r>
    </w:p>
    <w:p w14:paraId="031A46D1"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Odos ir akių obuolių pageltimas (gelta).</w:t>
      </w:r>
    </w:p>
    <w:p w14:paraId="221B7CB2"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Plaučių infekcinė liga (pneumonija).</w:t>
      </w:r>
    </w:p>
    <w:p w14:paraId="138B780F"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kvėpuoti.</w:t>
      </w:r>
    </w:p>
    <w:p w14:paraId="68899530"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Citarabino vartojant į ertmę esančia apie stuburą gali atsirasti kojų ir apatinės kūno dalies paralyžius.</w:t>
      </w:r>
    </w:p>
    <w:p w14:paraId="012D460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Raumenų ir sąnarių skausmas.</w:t>
      </w:r>
    </w:p>
    <w:p w14:paraId="40E544F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lastRenderedPageBreak/>
        <w:t>Širdį gaubiančių audinių uždegimas (perikarditas).</w:t>
      </w:r>
    </w:p>
    <w:p w14:paraId="3694060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Inkstų funkcijos sutrikimas.</w:t>
      </w:r>
    </w:p>
    <w:p w14:paraId="67B7623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Negalėjimas šlapintis ( šlapimo susilaikymas).</w:t>
      </w:r>
    </w:p>
    <w:p w14:paraId="013F38D1"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Krūtinės skausmas.</w:t>
      </w:r>
    </w:p>
    <w:p w14:paraId="6E972F56"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38FFD8C6"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Labai retas (gali pasireikšti rečiau kaip 1 iš 10 000 žmonių):</w:t>
      </w:r>
    </w:p>
    <w:p w14:paraId="4A2BF860"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Prakaito liaukų uždegimas.</w:t>
      </w:r>
    </w:p>
    <w:p w14:paraId="13E4498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Nereguliarus širdies plakimas (aritmija).</w:t>
      </w:r>
    </w:p>
    <w:p w14:paraId="37E6756C"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1F3389DA"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Dažnis nežinomas (negali būti įvertintas pagal turimus duomenis):</w:t>
      </w:r>
    </w:p>
    <w:p w14:paraId="173C2CF7"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Nervinio audinio pažeidimas (toksinis poveikis nervų sistemai), vieno ar daugiau nervų uždegimas (neuritas).</w:t>
      </w:r>
    </w:p>
    <w:p w14:paraId="7A95BF1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Kasos uždegimas (pankreatitas).</w:t>
      </w:r>
    </w:p>
    <w:p w14:paraId="5DD1D55D" w14:textId="34C0AE92"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Akių skausmas (junginės uždegimas).</w:t>
      </w:r>
    </w:p>
    <w:p w14:paraId="19E4F368" w14:textId="77777777" w:rsidR="000850CE" w:rsidRPr="00E14DCC" w:rsidRDefault="000850CE" w:rsidP="000850CE">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Delnų ir pėdų deginantis skausmas.</w:t>
      </w:r>
    </w:p>
    <w:p w14:paraId="5EF5E1D1" w14:textId="7ABD75B3" w:rsidR="000850CE" w:rsidRPr="00E14DCC" w:rsidRDefault="000850CE"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Lėtesnis nei įprastai širdies ritmas ar širdies plakimas.</w:t>
      </w:r>
    </w:p>
    <w:p w14:paraId="55F3272D"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6C32D3BE"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Kitas šalutinis poveikis</w:t>
      </w:r>
    </w:p>
    <w:p w14:paraId="74F21D87"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Praėjus 6-12 valandų po gydymo pradžios gali pasireikšti citarabino sindromas. Jo simptomai yra:</w:t>
      </w:r>
    </w:p>
    <w:p w14:paraId="0763A77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Karščiavimas.</w:t>
      </w:r>
    </w:p>
    <w:p w14:paraId="151CA84C"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Kaulų ir raumenų skausmas.</w:t>
      </w:r>
    </w:p>
    <w:p w14:paraId="07712F3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Kartais krūtinės skausmas.</w:t>
      </w:r>
    </w:p>
    <w:p w14:paraId="1C2C64D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Bėrimas.</w:t>
      </w:r>
    </w:p>
    <w:p w14:paraId="6E2621A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Akių opos (konjunktyvitas).</w:t>
      </w:r>
    </w:p>
    <w:p w14:paraId="47E562A0"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Pykinimas (šleikštulys).</w:t>
      </w:r>
    </w:p>
    <w:p w14:paraId="46056A1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Šių simptomų prevencijai arba gydymui gydytojas gali paskirti kortikosteroidų (vaistų nuo uždegimo). Jeigu jie veiksmingi, gydymą citarabinu galima tęsti.</w:t>
      </w:r>
    </w:p>
    <w:p w14:paraId="58C2F520"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4A42BC7E" w14:textId="77777777" w:rsidR="008A7165" w:rsidRPr="00E14DCC" w:rsidRDefault="008A7165" w:rsidP="008A7165">
      <w:pPr>
        <w:autoSpaceDE w:val="0"/>
        <w:autoSpaceDN w:val="0"/>
        <w:adjustRightInd w:val="0"/>
        <w:spacing w:after="0" w:line="240" w:lineRule="auto"/>
        <w:jc w:val="both"/>
        <w:rPr>
          <w:rFonts w:ascii="Times New Roman" w:eastAsia="Times New Roman" w:hAnsi="Times New Roman" w:cs="Times New Roman"/>
          <w:bCs/>
        </w:rPr>
      </w:pPr>
    </w:p>
    <w:p w14:paraId="7D460EE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Reakcijos, pastebėtos gydymo didesnėmis dozėmis metu</w:t>
      </w:r>
    </w:p>
    <w:p w14:paraId="03B5B72B"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
          <w:iCs/>
        </w:rPr>
      </w:pPr>
    </w:p>
    <w:p w14:paraId="6D408F9C"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Centrinė nervų sistema</w:t>
      </w:r>
    </w:p>
    <w:p w14:paraId="60D24D34"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Cs/>
          <w:color w:val="000000"/>
        </w:rPr>
        <w:t xml:space="preserve">Gydant didelėmis dozėmis, iki trečdalio pacientų gali pasireikšti toliau išvardytų, dažniausiai </w:t>
      </w:r>
      <w:r w:rsidRPr="00E14DCC">
        <w:rPr>
          <w:rFonts w:ascii="Times New Roman" w:eastAsia="Times New Roman" w:hAnsi="Times New Roman" w:cs="Times New Roman"/>
        </w:rPr>
        <w:t>grįžtamo pobūdžio,</w:t>
      </w:r>
      <w:r w:rsidRPr="00E14DCC">
        <w:rPr>
          <w:rFonts w:ascii="Times New Roman" w:eastAsia="Times New Roman" w:hAnsi="Times New Roman" w:cs="Times New Roman"/>
          <w:iCs/>
          <w:color w:val="000000"/>
        </w:rPr>
        <w:t xml:space="preserve"> simptomų:</w:t>
      </w:r>
    </w:p>
    <w:p w14:paraId="7EE8B5B4"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Asmenybės pokyčiai.</w:t>
      </w:r>
    </w:p>
    <w:p w14:paraId="408FB739"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Pakitęs budrumas.</w:t>
      </w:r>
    </w:p>
    <w:p w14:paraId="6474D0DC"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kalbėti.</w:t>
      </w:r>
    </w:p>
    <w:p w14:paraId="707D68E0"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Koordinacijos sutrikimas.</w:t>
      </w:r>
    </w:p>
    <w:p w14:paraId="162D5B3B"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Drebulys.</w:t>
      </w:r>
    </w:p>
    <w:p w14:paraId="651191A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Neįprastas akių judėjimas (nistagmas).</w:t>
      </w:r>
    </w:p>
    <w:p w14:paraId="6E0E1F8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skausmas.</w:t>
      </w:r>
    </w:p>
    <w:p w14:paraId="2EDCE9D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Periferinė motorinė ir sensorinė neuropatija (periferinės nervų sistemos nervų pažeidimas).</w:t>
      </w:r>
    </w:p>
    <w:p w14:paraId="6C03CEEB"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Minčių susipainiojimas.</w:t>
      </w:r>
    </w:p>
    <w:p w14:paraId="69260A33"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Mieguistumas.</w:t>
      </w:r>
    </w:p>
    <w:p w14:paraId="7362380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sukimasis.</w:t>
      </w:r>
    </w:p>
    <w:p w14:paraId="1A0CDEF5"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Koma.</w:t>
      </w:r>
    </w:p>
    <w:p w14:paraId="7AD21246"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Traukuliai.</w:t>
      </w:r>
    </w:p>
    <w:p w14:paraId="68140D40"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644D39F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Išvardyti šalutiniai poveikiai gali pasireikšti dažniau:</w:t>
      </w:r>
    </w:p>
    <w:p w14:paraId="01B5EA9D"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senyviems pacientams (vyresniems kaip 55 metų amžiaus).</w:t>
      </w:r>
    </w:p>
    <w:p w14:paraId="3AF644C1"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pacientams su sutrikusia kepenų ir inkstų funkcija.</w:t>
      </w:r>
    </w:p>
    <w:p w14:paraId="14B8710B"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po buvusio vėžio gydymo, kai buvo veikiamos smegenys arba stuburas, pavyzdžiui, radioterapijos arba citostatikų injekcijos.</w:t>
      </w:r>
    </w:p>
    <w:p w14:paraId="02D55DB6"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piktnaudžiaujantiems alkoholiu.</w:t>
      </w:r>
    </w:p>
    <w:p w14:paraId="4E78B0C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0721F1AD"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Nervų sistemos pažeidimo pavojus padidėja, jeigu citarabinas:</w:t>
      </w:r>
    </w:p>
    <w:p w14:paraId="3C41333E"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vartojamas didelėmis dozėmis arba trumpais intervalais.</w:t>
      </w:r>
    </w:p>
    <w:p w14:paraId="2C57B09C"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vartojamas kartu su kitu, toksiškai nervų sistemą veikiančiu, gydymu (pavyzdžiui, radioterapija arba metotreksatu).</w:t>
      </w:r>
    </w:p>
    <w:p w14:paraId="3B1F1768"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p>
    <w:p w14:paraId="32D1B63E"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Virškinimo traktas</w:t>
      </w:r>
    </w:p>
    <w:p w14:paraId="32492A9D"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Cs/>
        </w:rPr>
        <w:t>Vartojantiems citarabino, ypatingai tiems, kurie vartoja dideles dozes, kartu su įprastais simptomais gali pasireikšti ir daug sunkesnių reakcijų. Gauta pranešimų apie žarnyno perforacijos, audinių žuvimo (nekrozės) ir nepraeinamumo bei pilvaplėvės uždegimo atvejus. Vartojantiems dideles dozes pastebėta kepenų absceso, kepenų padidėjimo, kepenų venų blokados ir kasos uždegimo atvejų.</w:t>
      </w:r>
    </w:p>
    <w:p w14:paraId="3BF48474"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Cs/>
        </w:rPr>
        <w:t>Jeigu vartojama citarabino infuzija, virškinimo trakto šalutinių poveikių pasireiškia mažiau.</w:t>
      </w:r>
    </w:p>
    <w:p w14:paraId="2E8A318E"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rPr>
      </w:pPr>
    </w:p>
    <w:p w14:paraId="069BDF25"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
          <w:iCs/>
          <w:color w:val="000000"/>
        </w:rPr>
        <w:t>Plaučiai</w:t>
      </w:r>
    </w:p>
    <w:p w14:paraId="24CC37A7"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Cs/>
          <w:color w:val="000000"/>
        </w:rPr>
        <w:t>Ypatingai vartojantiems dideles dozes pastebėta ūmaus, kankinančio sunkumo kvėpuoti ir skysčių kaupimosi plaučiuose (plaučių edemos) atvejų.</w:t>
      </w:r>
    </w:p>
    <w:p w14:paraId="497FD7C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color w:val="000000"/>
        </w:rPr>
      </w:pPr>
    </w:p>
    <w:p w14:paraId="4885225D"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
          <w:iCs/>
          <w:color w:val="000000"/>
        </w:rPr>
        <w:t>Kita</w:t>
      </w:r>
    </w:p>
    <w:p w14:paraId="36843169"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Širdies raumens liga (kardiomiopatija).</w:t>
      </w:r>
    </w:p>
    <w:p w14:paraId="08686B01"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Neįprastas raumenų sutrikimas (rabdomiolizė).</w:t>
      </w:r>
    </w:p>
    <w:p w14:paraId="28DDC162"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Kraujo infekcija (sepsis).</w:t>
      </w:r>
    </w:p>
    <w:p w14:paraId="5E50930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Toksinis poveikis ragenai.</w:t>
      </w:r>
    </w:p>
    <w:p w14:paraId="54259038"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Virusinė, bakterinė ir kitokia infekcija.</w:t>
      </w:r>
    </w:p>
    <w:p w14:paraId="401A86EA" w14:textId="77777777" w:rsidR="008A7165" w:rsidRPr="00E14DCC" w:rsidRDefault="008A7165" w:rsidP="00805CDB">
      <w:pPr>
        <w:numPr>
          <w:ilvl w:val="0"/>
          <w:numId w:val="8"/>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 xml:space="preserve">Spermos ir menstruacinio ciklo netekimas. </w:t>
      </w:r>
    </w:p>
    <w:p w14:paraId="54B69F4A"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7D09C361"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Jeigu pasireiškė sunkus šalutinis poveikis arba pastebėjote šiame lapelyje nenurodytą šalutinį poveikį, pasakykite gydytojui arba vaistininkui.</w:t>
      </w:r>
    </w:p>
    <w:p w14:paraId="7A9956D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p>
    <w:p w14:paraId="67A5B159"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Pranešimas apie šalutinį poveikį</w:t>
      </w:r>
    </w:p>
    <w:p w14:paraId="5A91A089" w14:textId="77777777" w:rsidR="008A7165" w:rsidRPr="00E14DCC" w:rsidRDefault="008A7165" w:rsidP="008A7165">
      <w:pPr>
        <w:spacing w:after="0" w:line="240" w:lineRule="auto"/>
        <w:ind w:right="-449"/>
        <w:rPr>
          <w:rFonts w:ascii="Times New Roman" w:eastAsia="Calibri" w:hAnsi="Times New Roman" w:cs="Times New Roman"/>
          <w:color w:val="000000"/>
          <w:lang w:eastAsia="zh-CN"/>
        </w:rPr>
      </w:pPr>
      <w:r w:rsidRPr="00E14DCC">
        <w:rPr>
          <w:rFonts w:ascii="Times New Roman" w:eastAsia="Times New Roman" w:hAnsi="Times New Roman" w:cs="Times New Roman"/>
        </w:rPr>
        <w:t xml:space="preserve">Jeigu pasireiškė šalutinis poveikis, įskaitant šiame lapelyje nenurodytą, pasakykite gydytojui, vaistininkui arba slaugytojai. </w:t>
      </w:r>
      <w:r w:rsidRPr="00E14DCC">
        <w:rPr>
          <w:rFonts w:ascii="Times New Roman" w:hAnsi="Times New Roman" w:cs="Times New Roman"/>
        </w:rPr>
        <w:t>Apie šalutinį poveikį taip pat galite pranešti Valstybinei vaistų kontrolės tarnybai prie Lietuvos Respublikos sveikatos apsaugos ministerijos nemokamu t</w:t>
      </w:r>
      <w:r w:rsidRPr="00E14DCC">
        <w:rPr>
          <w:rFonts w:ascii="Times New Roman" w:hAnsi="Times New Roman" w:cs="Times New Roman"/>
          <w:lang w:eastAsia="zh-CN"/>
        </w:rPr>
        <w:t>elefonu 8 800 73568</w:t>
      </w:r>
      <w:r w:rsidRPr="00E14DCC">
        <w:rPr>
          <w:rFonts w:ascii="Times New Roman" w:hAnsi="Times New Roman" w:cs="Times New Roman"/>
        </w:rPr>
        <w:t xml:space="preserve"> arba užpildyti interneto svetainėje </w:t>
      </w:r>
      <w:hyperlink r:id="rId8" w:history="1">
        <w:r w:rsidRPr="00E14DCC">
          <w:rPr>
            <w:rStyle w:val="Hipersaitas"/>
            <w:rFonts w:ascii="Times New Roman" w:eastAsia="SimSun" w:hAnsi="Times New Roman" w:cs="Times New Roman"/>
          </w:rPr>
          <w:t>www.vvkt.lt</w:t>
        </w:r>
      </w:hyperlink>
      <w:r w:rsidRPr="00E14DCC">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E14DCC">
        <w:rPr>
          <w:rFonts w:ascii="Times New Roman" w:hAnsi="Times New Roman" w:cs="Times New Roman"/>
          <w:lang w:eastAsia="zh-CN"/>
        </w:rPr>
        <w:t xml:space="preserve">nemokamu </w:t>
      </w:r>
      <w:r w:rsidRPr="00E14DCC">
        <w:rPr>
          <w:rFonts w:ascii="Times New Roman" w:hAnsi="Times New Roman" w:cs="Times New Roman"/>
        </w:rPr>
        <w:t>fakso numeriu 8 800 20131</w:t>
      </w:r>
      <w:r w:rsidRPr="00E14DCC">
        <w:rPr>
          <w:rFonts w:ascii="Times New Roman" w:hAnsi="Times New Roman" w:cs="Times New Roman"/>
          <w:lang w:eastAsia="zh-CN"/>
        </w:rPr>
        <w:t xml:space="preserve">, </w:t>
      </w:r>
      <w:r w:rsidRPr="00E14DCC">
        <w:rPr>
          <w:rFonts w:ascii="Times New Roman" w:hAnsi="Times New Roman" w:cs="Times New Roman"/>
        </w:rPr>
        <w:t xml:space="preserve">el. paštu </w:t>
      </w:r>
      <w:hyperlink r:id="rId9" w:history="1">
        <w:r w:rsidRPr="00E14DCC">
          <w:rPr>
            <w:rStyle w:val="Hipersaitas"/>
            <w:rFonts w:ascii="Times New Roman" w:eastAsia="SimSun" w:hAnsi="Times New Roman" w:cs="Times New Roman"/>
          </w:rPr>
          <w:t>NepageidaujamaR@vvkt.lt</w:t>
        </w:r>
      </w:hyperlink>
      <w:r w:rsidRPr="00E14DCC">
        <w:rPr>
          <w:rFonts w:ascii="Times New Roman" w:hAnsi="Times New Roman" w:cs="Times New Roman"/>
        </w:rPr>
        <w:t xml:space="preserve">, taip pat per Valstybinės vaistų kontrolės tarnybos prie Lietuvos Respublikos sveikatos apsaugos ministerijos interneto svetainę (adresu </w:t>
      </w:r>
      <w:hyperlink r:id="rId10" w:history="1">
        <w:r w:rsidRPr="00E14DCC">
          <w:rPr>
            <w:rStyle w:val="Hipersaitas"/>
            <w:rFonts w:ascii="Times New Roman" w:eastAsia="SimSun" w:hAnsi="Times New Roman" w:cs="Times New Roman"/>
          </w:rPr>
          <w:t>http://www.vvkt.lt</w:t>
        </w:r>
      </w:hyperlink>
      <w:r w:rsidRPr="00E14DCC">
        <w:rPr>
          <w:rFonts w:ascii="Times New Roman" w:hAnsi="Times New Roman" w:cs="Times New Roman"/>
        </w:rPr>
        <w:t>). Pranešdami apie šalutinį poveikį galite mums padėti gauti daugiau informacijos apie šio vaisto saugumą.</w:t>
      </w:r>
    </w:p>
    <w:p w14:paraId="1FC8959E" w14:textId="77777777" w:rsidR="008A7165" w:rsidRPr="00E14DCC" w:rsidRDefault="008A7165" w:rsidP="008A7165">
      <w:pPr>
        <w:tabs>
          <w:tab w:val="left" w:pos="-24"/>
        </w:tabs>
        <w:spacing w:after="0" w:line="240" w:lineRule="auto"/>
        <w:rPr>
          <w:rFonts w:ascii="Times New Roman" w:eastAsia="Arial Unicode MS" w:hAnsi="Times New Roman" w:cs="Times New Roman"/>
        </w:rPr>
      </w:pPr>
    </w:p>
    <w:p w14:paraId="6D208CD0" w14:textId="77777777" w:rsidR="008A7165" w:rsidRPr="00E14DCC" w:rsidRDefault="008A7165" w:rsidP="008A7165">
      <w:pPr>
        <w:tabs>
          <w:tab w:val="left" w:pos="-24"/>
        </w:tabs>
        <w:spacing w:after="0" w:line="240" w:lineRule="auto"/>
        <w:ind w:left="24"/>
        <w:rPr>
          <w:rFonts w:ascii="Times New Roman" w:eastAsia="Arial Unicode MS" w:hAnsi="Times New Roman" w:cs="Times New Roman"/>
        </w:rPr>
      </w:pPr>
    </w:p>
    <w:p w14:paraId="14C6ED2B" w14:textId="77777777" w:rsidR="008A7165" w:rsidRPr="00E14DCC" w:rsidRDefault="008A7165" w:rsidP="008A7165">
      <w:pPr>
        <w:tabs>
          <w:tab w:val="left" w:pos="567"/>
        </w:tabs>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5.</w:t>
      </w:r>
      <w:r w:rsidRPr="00E14DCC">
        <w:rPr>
          <w:rFonts w:ascii="Times New Roman" w:eastAsia="Times New Roman" w:hAnsi="Times New Roman" w:cs="Times New Roman"/>
          <w:b/>
          <w:bCs/>
        </w:rPr>
        <w:tab/>
        <w:t>Kaip laikyti Cytarabine Accord</w:t>
      </w:r>
    </w:p>
    <w:p w14:paraId="2E8549C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color w:val="000000"/>
        </w:rPr>
      </w:pPr>
    </w:p>
    <w:p w14:paraId="4A6C8294" w14:textId="77777777" w:rsidR="008A7165" w:rsidRPr="00E14DCC" w:rsidRDefault="008A7165" w:rsidP="008A7165">
      <w:pPr>
        <w:autoSpaceDE w:val="0"/>
        <w:autoSpaceDN w:val="0"/>
        <w:adjustRightInd w:val="0"/>
        <w:spacing w:after="0" w:line="240" w:lineRule="auto"/>
        <w:rPr>
          <w:rFonts w:ascii="Times New Roman" w:hAnsi="Times New Roman"/>
          <w:color w:val="000000"/>
        </w:rPr>
      </w:pPr>
      <w:r w:rsidRPr="00E14DCC">
        <w:rPr>
          <w:rFonts w:ascii="Times New Roman" w:eastAsia="Times New Roman" w:hAnsi="Times New Roman" w:cs="Times New Roman"/>
          <w:color w:val="000000"/>
        </w:rPr>
        <w:t xml:space="preserve">Šį vaistą laikykite vaikams nepastebimoje ir nepasiekiamoje vietoje. </w:t>
      </w:r>
    </w:p>
    <w:p w14:paraId="3FDA4A72"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Laikyti ne aukštesnėje kaip 25°C temperatūroje.</w:t>
      </w:r>
    </w:p>
    <w:p w14:paraId="3466D9B9"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Negalima šaldyti ar užšaldyti.</w:t>
      </w:r>
    </w:p>
    <w:p w14:paraId="68BB4DAB" w14:textId="77777777" w:rsidR="008A7165" w:rsidRPr="00E14DCC" w:rsidRDefault="008A7165" w:rsidP="008A7165">
      <w:pPr>
        <w:spacing w:after="0" w:line="240" w:lineRule="auto"/>
        <w:rPr>
          <w:rFonts w:ascii="Times New Roman" w:eastAsia="Times New Roman" w:hAnsi="Times New Roman" w:cs="Times New Roman"/>
        </w:rPr>
      </w:pPr>
    </w:p>
    <w:p w14:paraId="749F938D"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Ant flakono po „EXP“ arba kartono dėžutės etiketės po „Tinka iki“ nurodytam tinkamumo laikui pasibaigus, šio vaisto vartoti negalima. Vaistas tinkamas vartoti iki paskutinės nurodyto mėnesio dienos.</w:t>
      </w:r>
    </w:p>
    <w:p w14:paraId="28EC80C9" w14:textId="77777777" w:rsidR="008A7165" w:rsidRPr="00E14DCC" w:rsidRDefault="008A7165" w:rsidP="008A7165">
      <w:pPr>
        <w:spacing w:after="0" w:line="240" w:lineRule="auto"/>
        <w:rPr>
          <w:rFonts w:ascii="Times New Roman" w:eastAsia="Times New Roman" w:hAnsi="Times New Roman" w:cs="Times New Roman"/>
          <w:color w:val="000000"/>
        </w:rPr>
      </w:pPr>
    </w:p>
    <w:p w14:paraId="14155C8A"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Paruošto vartoti vaisto stabilumas. Cheminės ir fizinės savybės natrio chlorido (0,9% m/V) ir gliukozės (5% m/V) injekciniame tirpale nekinta iki 24 </w:t>
      </w:r>
      <w:r w:rsidRPr="00E14DCC">
        <w:rPr>
          <w:rFonts w:ascii="Times New Roman" w:eastAsia="Times New Roman" w:hAnsi="Times New Roman" w:cs="Times New Roman"/>
          <w:bCs/>
          <w:color w:val="000000"/>
        </w:rPr>
        <w:t xml:space="preserve">valandų, laikant žemesnėje kaip 25 °C temperatūroje, arba iki 72 valandų, laikant 2 °C </w:t>
      </w:r>
      <w:r w:rsidRPr="00E14DCC">
        <w:rPr>
          <w:rFonts w:ascii="Times New Roman" w:eastAsia="Times New Roman" w:hAnsi="Times New Roman" w:cs="Times New Roman"/>
          <w:bCs/>
          <w:color w:val="000000"/>
        </w:rPr>
        <w:noBreakHyphen/>
        <w:t xml:space="preserve">8 °C temperatūroje. </w:t>
      </w:r>
    </w:p>
    <w:p w14:paraId="128BD27B" w14:textId="77777777" w:rsidR="008A7165" w:rsidRPr="00E14DCC" w:rsidRDefault="008A7165" w:rsidP="008A7165">
      <w:pPr>
        <w:spacing w:after="0" w:line="240" w:lineRule="auto"/>
        <w:rPr>
          <w:rFonts w:ascii="Times New Roman" w:eastAsia="Times New Roman" w:hAnsi="Times New Roman" w:cs="Times New Roman"/>
        </w:rPr>
      </w:pPr>
    </w:p>
    <w:p w14:paraId="191682F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Mikrobiologiniu požiūriu, vaistą reikia suvartoti nedelsiant. Jeigu jis nesuvartojamas iš karto, atsakomybė už paruošto vartoti vaisto laikymo laiką ir sąlygas tenka vartotojui. Įprastai paruoštas vaistas neturėtu būti laikomas ilgiau kaip 24 valandas 2 °C </w:t>
      </w:r>
      <w:r w:rsidRPr="00E14DCC">
        <w:rPr>
          <w:rFonts w:ascii="Times New Roman" w:eastAsia="Times New Roman" w:hAnsi="Times New Roman" w:cs="Times New Roman"/>
        </w:rPr>
        <w:noBreakHyphen/>
        <w:t>8 °C temperatūroje, nebent skiedimas buvo atliktas kontroliuojamomis ir patvirtintomis aseptinėmis sąlygomis.</w:t>
      </w:r>
    </w:p>
    <w:p w14:paraId="0FAA0B41" w14:textId="77777777" w:rsidR="008A7165" w:rsidRPr="00E14DCC" w:rsidRDefault="008A7165" w:rsidP="008A7165">
      <w:pPr>
        <w:spacing w:after="0" w:line="240" w:lineRule="auto"/>
        <w:rPr>
          <w:rFonts w:ascii="Times New Roman" w:eastAsia="Times New Roman" w:hAnsi="Times New Roman" w:cs="Times New Roman"/>
        </w:rPr>
      </w:pPr>
    </w:p>
    <w:p w14:paraId="097E7CD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Pastebėjus, kad tirpalas nėra skaidrus ir bespalvis, ar jame atsiradus dalelių, šio vaisto vartoti negalima.</w:t>
      </w:r>
    </w:p>
    <w:p w14:paraId="54879E0A"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rPr>
      </w:pPr>
    </w:p>
    <w:p w14:paraId="71C6DB58"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Vaistų negalima išmesti į kanalizaciją arba su buitinėmis atliekomis. Kaip išmesti nereikalingus vaistus, klauskite vaistininko. Šios priemonės padės apsaugoti aplinką.</w:t>
      </w:r>
    </w:p>
    <w:p w14:paraId="74D9A684" w14:textId="77777777" w:rsidR="008A7165" w:rsidRPr="00E14DCC" w:rsidRDefault="008A7165" w:rsidP="008A7165">
      <w:pPr>
        <w:spacing w:after="0" w:line="240" w:lineRule="auto"/>
        <w:rPr>
          <w:rFonts w:ascii="Times New Roman" w:eastAsia="Times New Roman" w:hAnsi="Times New Roman" w:cs="Times New Roman"/>
        </w:rPr>
      </w:pPr>
    </w:p>
    <w:p w14:paraId="5CD6175A" w14:textId="77777777" w:rsidR="008A7165" w:rsidRPr="00E14DCC" w:rsidRDefault="008A7165" w:rsidP="008A7165">
      <w:pPr>
        <w:spacing w:after="0" w:line="240" w:lineRule="auto"/>
        <w:rPr>
          <w:rFonts w:ascii="Times New Roman" w:eastAsia="Times New Roman" w:hAnsi="Times New Roman" w:cs="Times New Roman"/>
        </w:rPr>
      </w:pPr>
    </w:p>
    <w:p w14:paraId="1C4ACC36" w14:textId="77777777" w:rsidR="008A7165" w:rsidRPr="00E14DCC" w:rsidRDefault="008A7165" w:rsidP="008A7165">
      <w:pPr>
        <w:tabs>
          <w:tab w:val="left" w:pos="567"/>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6.</w:t>
      </w:r>
      <w:r w:rsidRPr="00E14DCC">
        <w:rPr>
          <w:rFonts w:ascii="Times New Roman" w:eastAsia="Times New Roman" w:hAnsi="Times New Roman" w:cs="Times New Roman"/>
          <w:b/>
          <w:bCs/>
        </w:rPr>
        <w:tab/>
      </w:r>
      <w:r w:rsidRPr="00E14DCC">
        <w:rPr>
          <w:rFonts w:ascii="Times New Roman" w:eastAsia="Times New Roman" w:hAnsi="Times New Roman" w:cs="Times New Roman"/>
          <w:b/>
        </w:rPr>
        <w:t>Pakuotės turinys ir kita informacija</w:t>
      </w:r>
    </w:p>
    <w:p w14:paraId="7C88F866" w14:textId="77777777" w:rsidR="008A7165" w:rsidRPr="00E14DCC" w:rsidRDefault="008A7165" w:rsidP="008A7165">
      <w:pPr>
        <w:spacing w:after="0" w:line="240" w:lineRule="auto"/>
        <w:rPr>
          <w:rFonts w:ascii="Times New Roman" w:eastAsia="Times New Roman" w:hAnsi="Times New Roman" w:cs="Times New Roman"/>
          <w:b/>
          <w:bCs/>
        </w:rPr>
      </w:pPr>
    </w:p>
    <w:p w14:paraId="2DAE5785" w14:textId="77777777" w:rsidR="008A7165" w:rsidRPr="00E14DCC" w:rsidRDefault="008A7165" w:rsidP="008A7165">
      <w:pPr>
        <w:tabs>
          <w:tab w:val="left" w:pos="567"/>
        </w:tabs>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
          <w:bCs/>
        </w:rPr>
        <w:t>Cytarabine Accord sudėtis</w:t>
      </w:r>
    </w:p>
    <w:p w14:paraId="1460438A" w14:textId="77777777" w:rsidR="008A7165" w:rsidRPr="00E14DCC" w:rsidRDefault="008A7165" w:rsidP="008A7165">
      <w:pPr>
        <w:tabs>
          <w:tab w:val="left"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bCs/>
          <w:color w:val="000000"/>
        </w:rPr>
        <w:t>-</w:t>
      </w:r>
      <w:r w:rsidRPr="00E14DCC">
        <w:rPr>
          <w:rFonts w:ascii="Times New Roman" w:eastAsia="Times New Roman" w:hAnsi="Times New Roman" w:cs="Times New Roman"/>
          <w:bCs/>
          <w:color w:val="000000"/>
        </w:rPr>
        <w:tab/>
        <w:t>Veiklioji medžiaga yra citarabinas.</w:t>
      </w:r>
      <w:r w:rsidRPr="00E14DCC">
        <w:rPr>
          <w:rFonts w:ascii="Times New Roman" w:eastAsia="Times New Roman" w:hAnsi="Times New Roman" w:cs="Times New Roman"/>
        </w:rPr>
        <w:t>1 ml yra 100 mg citarabino.</w:t>
      </w:r>
    </w:p>
    <w:p w14:paraId="4C0BBDC7"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1 ml flakone yra 100 mg citarabino.</w:t>
      </w:r>
    </w:p>
    <w:p w14:paraId="797C616B"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5 ml flakone yra 500 mg citarabino.</w:t>
      </w:r>
    </w:p>
    <w:p w14:paraId="33B235D1"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10 ml flakone yra 1 g citarabino.</w:t>
      </w:r>
    </w:p>
    <w:p w14:paraId="56C754C9"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20 ml flakone yra 2 g citarabino.</w:t>
      </w:r>
    </w:p>
    <w:p w14:paraId="380C9643"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40 ml flakone yra 4 g citarabino.</w:t>
      </w:r>
    </w:p>
    <w:p w14:paraId="55ED49C0"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Kiekviename 50 ml flakone yra 5 g citarabino.</w:t>
      </w:r>
    </w:p>
    <w:p w14:paraId="0B333A8C" w14:textId="77777777" w:rsidR="008A7165" w:rsidRPr="00E14DCC" w:rsidRDefault="008A7165" w:rsidP="008A7165">
      <w:pPr>
        <w:tabs>
          <w:tab w:val="left" w:pos="567"/>
        </w:tabs>
        <w:autoSpaceDE w:val="0"/>
        <w:autoSpaceDN w:val="0"/>
        <w:adjustRightInd w:val="0"/>
        <w:spacing w:after="0" w:line="240" w:lineRule="auto"/>
        <w:ind w:left="600" w:firstLine="24"/>
        <w:rPr>
          <w:rFonts w:ascii="Times New Roman" w:eastAsia="Times New Roman" w:hAnsi="Times New Roman" w:cs="Times New Roman"/>
        </w:rPr>
      </w:pPr>
    </w:p>
    <w:p w14:paraId="4759C0A2" w14:textId="77777777" w:rsidR="008A7165" w:rsidRPr="00E14DCC" w:rsidRDefault="008A7165" w:rsidP="008A7165">
      <w:pPr>
        <w:tabs>
          <w:tab w:val="left" w:pos="567"/>
        </w:tabs>
        <w:spacing w:after="0" w:line="240" w:lineRule="auto"/>
        <w:ind w:right="-223"/>
        <w:rPr>
          <w:rFonts w:ascii="Times New Roman" w:eastAsia="Times New Roman" w:hAnsi="Times New Roman" w:cs="Times New Roman"/>
        </w:rPr>
      </w:pPr>
      <w:r w:rsidRPr="00E14DCC">
        <w:rPr>
          <w:rFonts w:ascii="Times New Roman" w:eastAsia="Times New Roman" w:hAnsi="Times New Roman" w:cs="Times New Roman"/>
        </w:rPr>
        <w:t>-</w:t>
      </w:r>
      <w:r w:rsidRPr="00E14DCC">
        <w:rPr>
          <w:rFonts w:ascii="Times New Roman" w:eastAsia="Times New Roman" w:hAnsi="Times New Roman" w:cs="Times New Roman"/>
        </w:rPr>
        <w:tab/>
        <w:t>Pagalbinės medžiagos yra makrogolis 400, trometamolis ir injekcinis vanduo.</w:t>
      </w:r>
    </w:p>
    <w:p w14:paraId="593FF465" w14:textId="77777777" w:rsidR="008A7165" w:rsidRPr="00E14DCC" w:rsidRDefault="008A7165" w:rsidP="008A7165">
      <w:pPr>
        <w:tabs>
          <w:tab w:val="left" w:pos="567"/>
        </w:tabs>
        <w:autoSpaceDE w:val="0"/>
        <w:autoSpaceDN w:val="0"/>
        <w:adjustRightInd w:val="0"/>
        <w:spacing w:after="0" w:line="240" w:lineRule="auto"/>
        <w:rPr>
          <w:rFonts w:ascii="Times New Roman" w:eastAsia="Times New Roman" w:hAnsi="Times New Roman" w:cs="Times New Roman"/>
          <w:color w:val="000000"/>
        </w:rPr>
      </w:pPr>
    </w:p>
    <w:p w14:paraId="058FB5F7"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
          <w:bCs/>
        </w:rPr>
        <w:t>Cytarabine Accord išvaizda ir kiekis pakuotėje</w:t>
      </w:r>
    </w:p>
    <w:p w14:paraId="75446E17"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 xml:space="preserve">Cytarabine Accord yra skaidrus, bespalvis tirpalas, skirtas injekcijai arba infuzijai. </w:t>
      </w:r>
    </w:p>
    <w:p w14:paraId="5D404C62" w14:textId="77777777" w:rsidR="008A7165" w:rsidRPr="00E14DCC" w:rsidRDefault="008A7165" w:rsidP="008A7165">
      <w:pPr>
        <w:spacing w:after="0" w:line="240" w:lineRule="auto"/>
        <w:ind w:right="297"/>
        <w:rPr>
          <w:rFonts w:ascii="Times New Roman" w:eastAsia="Times New Roman" w:hAnsi="Times New Roman" w:cs="Times New Roman"/>
        </w:rPr>
      </w:pPr>
    </w:p>
    <w:p w14:paraId="06BF3854"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 ml flakonai</w:t>
      </w:r>
    </w:p>
    <w:p w14:paraId="70E09121"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2 ml talpos I tipo skaidraus stiklo flakonuose, kurie uždaryti 13 mm pilkos gumos kamščiu ir 13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722C9C0A" w14:textId="77777777" w:rsidR="008A7165" w:rsidRPr="00E14DCC" w:rsidRDefault="008A7165" w:rsidP="008A7165">
      <w:pPr>
        <w:spacing w:after="0" w:line="240" w:lineRule="auto"/>
        <w:rPr>
          <w:rFonts w:ascii="Times New Roman" w:eastAsia="Times New Roman" w:hAnsi="Times New Roman" w:cs="Times New Roman"/>
        </w:rPr>
      </w:pPr>
    </w:p>
    <w:p w14:paraId="346B31FB"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5 ml flakonai</w:t>
      </w:r>
    </w:p>
    <w:p w14:paraId="0F6937E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5291C0CD" w14:textId="77777777" w:rsidR="008A7165" w:rsidRPr="00E14DCC" w:rsidRDefault="008A7165" w:rsidP="008A7165">
      <w:pPr>
        <w:spacing w:after="0" w:line="240" w:lineRule="auto"/>
        <w:rPr>
          <w:rFonts w:ascii="Times New Roman" w:eastAsia="Times New Roman" w:hAnsi="Times New Roman" w:cs="Times New Roman"/>
        </w:rPr>
      </w:pPr>
    </w:p>
    <w:p w14:paraId="3C9E614C"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10 ml flakonai</w:t>
      </w:r>
    </w:p>
    <w:p w14:paraId="23077ED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10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719AF7D1" w14:textId="77777777" w:rsidR="008A7165" w:rsidRPr="00E14DCC" w:rsidRDefault="008A7165" w:rsidP="008A7165">
      <w:pPr>
        <w:spacing w:after="0" w:line="240" w:lineRule="auto"/>
        <w:rPr>
          <w:rFonts w:ascii="Times New Roman" w:eastAsia="Times New Roman" w:hAnsi="Times New Roman" w:cs="Times New Roman"/>
        </w:rPr>
      </w:pPr>
    </w:p>
    <w:p w14:paraId="6121FFB7"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20 ml flakonai</w:t>
      </w:r>
    </w:p>
    <w:p w14:paraId="705BF3C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20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12A52E5C" w14:textId="77777777" w:rsidR="008A7165" w:rsidRPr="00E14DCC" w:rsidRDefault="008A7165" w:rsidP="008A7165">
      <w:pPr>
        <w:spacing w:after="0" w:line="240" w:lineRule="auto"/>
        <w:rPr>
          <w:rFonts w:ascii="Times New Roman" w:eastAsia="Times New Roman" w:hAnsi="Times New Roman" w:cs="Times New Roman"/>
        </w:rPr>
      </w:pPr>
    </w:p>
    <w:p w14:paraId="65F03119"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40</w:t>
      </w:r>
      <w:r w:rsidRPr="00E14DCC">
        <w:rPr>
          <w:rFonts w:ascii="Times New Roman" w:eastAsia="Times New Roman" w:hAnsi="Times New Roman" w:cs="Times New Roman"/>
          <w:u w:val="single"/>
        </w:rPr>
        <w:t> ml flakonai</w:t>
      </w:r>
    </w:p>
    <w:p w14:paraId="4A98765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56006415" w14:textId="77777777" w:rsidR="008A7165" w:rsidRPr="00E14DCC" w:rsidRDefault="008A7165" w:rsidP="008A7165">
      <w:pPr>
        <w:spacing w:after="0" w:line="240" w:lineRule="auto"/>
        <w:rPr>
          <w:rFonts w:ascii="Times New Roman" w:eastAsia="Times New Roman" w:hAnsi="Times New Roman" w:cs="Times New Roman"/>
        </w:rPr>
      </w:pPr>
    </w:p>
    <w:p w14:paraId="680C6539" w14:textId="77777777" w:rsidR="008A7165" w:rsidRPr="00E14DCC" w:rsidRDefault="008A7165" w:rsidP="008A7165">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50</w:t>
      </w:r>
      <w:r w:rsidRPr="00E14DCC">
        <w:rPr>
          <w:rFonts w:ascii="Times New Roman" w:eastAsia="Times New Roman" w:hAnsi="Times New Roman" w:cs="Times New Roman"/>
          <w:u w:val="single"/>
        </w:rPr>
        <w:t> ml flakonai</w:t>
      </w:r>
    </w:p>
    <w:p w14:paraId="3E94359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violetiniu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14:paraId="56D9B62E" w14:textId="77777777" w:rsidR="008A7165" w:rsidRPr="00E14DCC" w:rsidRDefault="008A7165" w:rsidP="008A7165">
      <w:pPr>
        <w:shd w:val="clear" w:color="auto" w:fill="FFFFFF"/>
        <w:spacing w:after="0" w:line="240" w:lineRule="auto"/>
        <w:rPr>
          <w:rFonts w:ascii="Times New Roman" w:eastAsia="Times New Roman" w:hAnsi="Times New Roman" w:cs="Times New Roman"/>
        </w:rPr>
      </w:pPr>
    </w:p>
    <w:p w14:paraId="792EDCFF" w14:textId="77777777" w:rsidR="008A7165" w:rsidRPr="00E14DCC" w:rsidRDefault="008A7165" w:rsidP="008A7165">
      <w:pPr>
        <w:shd w:val="clear" w:color="auto" w:fill="FFFFFF"/>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Pakuočių dydžiai:</w:t>
      </w:r>
    </w:p>
    <w:p w14:paraId="15E11E1F"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1 x 1 ml flakonas, 5 x 1 ml flakonai.</w:t>
      </w:r>
    </w:p>
    <w:p w14:paraId="784D4BEC"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1 x 5 ml flakonas, 5 x 5 ml flakonai.</w:t>
      </w:r>
    </w:p>
    <w:p w14:paraId="48669392"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10 ml flakonas.</w:t>
      </w:r>
    </w:p>
    <w:p w14:paraId="2238252D"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20 ml flakonas.</w:t>
      </w:r>
    </w:p>
    <w:p w14:paraId="5EF700B8"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40 ml flakonas.</w:t>
      </w:r>
    </w:p>
    <w:p w14:paraId="44E376B9"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50 ml flakonas.</w:t>
      </w:r>
    </w:p>
    <w:p w14:paraId="654E75EA" w14:textId="77777777" w:rsidR="008A7165" w:rsidRPr="00E14DCC" w:rsidRDefault="008A7165" w:rsidP="008A7165">
      <w:pPr>
        <w:spacing w:after="0" w:line="240" w:lineRule="auto"/>
        <w:ind w:right="297"/>
        <w:rPr>
          <w:rFonts w:ascii="Times New Roman" w:eastAsia="Times New Roman" w:hAnsi="Times New Roman" w:cs="Times New Roman"/>
        </w:rPr>
      </w:pPr>
    </w:p>
    <w:p w14:paraId="0E0E82A1" w14:textId="77777777" w:rsidR="008A7165" w:rsidRPr="00E14DCC" w:rsidRDefault="008A7165" w:rsidP="008A7165">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Gali būti tiekiamos ne visų dydžių pakuotės.</w:t>
      </w:r>
    </w:p>
    <w:p w14:paraId="5DB60E30" w14:textId="77777777" w:rsidR="008A7165" w:rsidRPr="00E14DCC" w:rsidRDefault="008A7165" w:rsidP="008A7165">
      <w:pPr>
        <w:spacing w:after="0" w:line="240" w:lineRule="auto"/>
        <w:rPr>
          <w:rFonts w:ascii="Times New Roman" w:eastAsia="Times New Roman" w:hAnsi="Times New Roman" w:cs="Times New Roman"/>
          <w:b/>
          <w:bCs/>
          <w:strike/>
        </w:rPr>
      </w:pPr>
    </w:p>
    <w:p w14:paraId="2C4B2E04" w14:textId="3F77AD9F" w:rsidR="008A7165" w:rsidRPr="00E14DCC" w:rsidRDefault="008A7165" w:rsidP="008A7165">
      <w:pPr>
        <w:spacing w:after="0" w:line="240" w:lineRule="auto"/>
        <w:ind w:right="-4656"/>
        <w:rPr>
          <w:rFonts w:ascii="Times New Roman" w:hAnsi="Times New Roman"/>
          <w:b/>
        </w:rPr>
      </w:pPr>
      <w:r w:rsidRPr="00E14DCC">
        <w:rPr>
          <w:rFonts w:ascii="Times New Roman" w:eastAsia="Times New Roman" w:hAnsi="Times New Roman" w:cs="Times New Roman"/>
          <w:b/>
          <w:bCs/>
        </w:rPr>
        <w:t>Registruotojas</w:t>
      </w:r>
    </w:p>
    <w:p w14:paraId="01FD2796" w14:textId="77777777" w:rsidR="00C33D2E" w:rsidRPr="00E14DCC" w:rsidRDefault="00C33D2E" w:rsidP="00C33D2E">
      <w:pPr>
        <w:spacing w:after="0" w:line="240" w:lineRule="auto"/>
        <w:rPr>
          <w:rFonts w:ascii="Times New Roman" w:hAnsi="Times New Roman" w:cs="Times New Roman"/>
        </w:rPr>
      </w:pPr>
      <w:r w:rsidRPr="00E14DCC">
        <w:rPr>
          <w:rFonts w:ascii="Times New Roman" w:hAnsi="Times New Roman" w:cs="Times New Roman"/>
        </w:rPr>
        <w:t xml:space="preserve">Accord Healthcare B.V. </w:t>
      </w:r>
    </w:p>
    <w:p w14:paraId="67E44D5A" w14:textId="77777777" w:rsidR="00C33D2E" w:rsidRPr="00E14DCC" w:rsidRDefault="00C33D2E" w:rsidP="00C33D2E">
      <w:pPr>
        <w:spacing w:after="0" w:line="240" w:lineRule="auto"/>
        <w:rPr>
          <w:rFonts w:ascii="Times New Roman" w:hAnsi="Times New Roman" w:cs="Times New Roman"/>
        </w:rPr>
      </w:pPr>
      <w:r w:rsidRPr="00E14DCC">
        <w:rPr>
          <w:rFonts w:ascii="Times New Roman" w:hAnsi="Times New Roman" w:cs="Times New Roman"/>
        </w:rPr>
        <w:t xml:space="preserve">Winthontlaan 200 </w:t>
      </w:r>
    </w:p>
    <w:p w14:paraId="3C7867D0" w14:textId="77777777" w:rsidR="00C33D2E" w:rsidRPr="00E14DCC" w:rsidRDefault="00C33D2E" w:rsidP="00C33D2E">
      <w:pPr>
        <w:spacing w:after="0" w:line="240" w:lineRule="auto"/>
        <w:rPr>
          <w:rFonts w:ascii="Times New Roman" w:hAnsi="Times New Roman" w:cs="Times New Roman"/>
        </w:rPr>
      </w:pPr>
      <w:r w:rsidRPr="00E14DCC">
        <w:rPr>
          <w:rFonts w:ascii="Times New Roman" w:hAnsi="Times New Roman" w:cs="Times New Roman"/>
        </w:rPr>
        <w:t xml:space="preserve">3526 KV Utrecht </w:t>
      </w:r>
    </w:p>
    <w:p w14:paraId="7233798A" w14:textId="77777777" w:rsidR="00C33D2E" w:rsidRPr="00E14DCC" w:rsidRDefault="00C33D2E" w:rsidP="00C33D2E">
      <w:pPr>
        <w:spacing w:after="0" w:line="240" w:lineRule="auto"/>
      </w:pPr>
      <w:r w:rsidRPr="00E14DCC">
        <w:rPr>
          <w:rFonts w:ascii="Times New Roman" w:hAnsi="Times New Roman" w:cs="Times New Roman"/>
        </w:rPr>
        <w:t>Nyderlandai</w:t>
      </w:r>
    </w:p>
    <w:p w14:paraId="3BCAA150" w14:textId="77777777" w:rsidR="00C33D2E" w:rsidRPr="00E14DCC" w:rsidRDefault="00C33D2E" w:rsidP="00C33D2E">
      <w:pPr>
        <w:spacing w:after="0" w:line="240" w:lineRule="auto"/>
        <w:ind w:right="-4656"/>
        <w:rPr>
          <w:rFonts w:ascii="Times New Roman" w:eastAsia="Times New Roman" w:hAnsi="Times New Roman" w:cs="Times New Roman"/>
          <w:b/>
          <w:bCs/>
        </w:rPr>
      </w:pPr>
    </w:p>
    <w:p w14:paraId="5B311C7A" w14:textId="679B4F67" w:rsidR="008A7165" w:rsidRPr="00E14DCC" w:rsidRDefault="00C33D2E" w:rsidP="00CE644F">
      <w:pPr>
        <w:spacing w:after="0" w:line="240" w:lineRule="auto"/>
        <w:ind w:right="-4656"/>
        <w:rPr>
          <w:rFonts w:ascii="Times New Roman" w:eastAsia="Times New Roman" w:hAnsi="Times New Roman" w:cs="Times New Roman"/>
        </w:rPr>
      </w:pPr>
      <w:r w:rsidRPr="00E14DCC">
        <w:rPr>
          <w:rFonts w:ascii="Times New Roman" w:eastAsia="Times New Roman" w:hAnsi="Times New Roman" w:cs="Times New Roman"/>
          <w:b/>
          <w:bCs/>
        </w:rPr>
        <w:t>Gamintojas</w:t>
      </w:r>
      <w:r w:rsidRPr="00E14DCC">
        <w:rPr>
          <w:rFonts w:ascii="Times New Roman" w:eastAsia="Times New Roman" w:hAnsi="Times New Roman" w:cs="Times New Roman"/>
          <w:bCs/>
        </w:rPr>
        <w:t xml:space="preserve"> </w:t>
      </w:r>
    </w:p>
    <w:p w14:paraId="2B7F8D2C" w14:textId="3D0BDFEB" w:rsidR="004150B1" w:rsidRPr="00E14DCC" w:rsidRDefault="004150B1" w:rsidP="004150B1">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Healthcare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Polska</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Sp.z</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o.o</w:t>
      </w:r>
      <w:proofErr w:type="spellEnd"/>
      <w:r w:rsidRPr="00E14DCC">
        <w:rPr>
          <w:rFonts w:ascii="Times New Roman" w:eastAsia="Times New Roman" w:hAnsi="Times New Roman" w:cs="Times New Roman"/>
          <w:bCs/>
        </w:rPr>
        <w:t>.,</w:t>
      </w:r>
    </w:p>
    <w:p w14:paraId="1B063DAD" w14:textId="1CD338DE" w:rsidR="004150B1" w:rsidRPr="00E14DCC" w:rsidRDefault="004150B1" w:rsidP="004150B1">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ul</w:t>
      </w:r>
      <w:proofErr w:type="spellEnd"/>
      <w:r w:rsidRPr="00E14DCC">
        <w:rPr>
          <w:rFonts w:ascii="Times New Roman" w:eastAsia="Times New Roman" w:hAnsi="Times New Roman" w:cs="Times New Roman"/>
          <w:bCs/>
        </w:rPr>
        <w:t>. Lutomierska 50,</w:t>
      </w:r>
      <w:r w:rsidR="00E14DCC" w:rsidRPr="00E14DCC">
        <w:rPr>
          <w:rFonts w:ascii="Times New Roman" w:eastAsia="Times New Roman" w:hAnsi="Times New Roman" w:cs="Times New Roman"/>
          <w:bCs/>
        </w:rPr>
        <w:t xml:space="preserve"> </w:t>
      </w:r>
      <w:r w:rsidRPr="00E14DCC">
        <w:rPr>
          <w:rFonts w:ascii="Times New Roman" w:eastAsia="Times New Roman" w:hAnsi="Times New Roman" w:cs="Times New Roman"/>
          <w:bCs/>
        </w:rPr>
        <w:t>95-200 Pabianice, Lenkija</w:t>
      </w:r>
    </w:p>
    <w:p w14:paraId="6ABE8D30" w14:textId="77777777" w:rsidR="004150B1" w:rsidRPr="00E14DCC" w:rsidRDefault="004150B1" w:rsidP="004150B1">
      <w:pPr>
        <w:spacing w:after="0" w:line="240" w:lineRule="auto"/>
        <w:rPr>
          <w:rFonts w:ascii="Times New Roman" w:eastAsia="Times New Roman" w:hAnsi="Times New Roman" w:cs="Times New Roman"/>
          <w:b/>
        </w:rPr>
      </w:pPr>
    </w:p>
    <w:p w14:paraId="6CD2852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
        </w:rPr>
        <w:t>Šis vaistas EEE valstybėse narėse yra registruotas tokiais pavadinimais:</w:t>
      </w:r>
    </w:p>
    <w:p w14:paraId="634B7100" w14:textId="77777777" w:rsidR="008A7165" w:rsidRPr="00E14DCC" w:rsidRDefault="008A7165" w:rsidP="008A7165">
      <w:pPr>
        <w:spacing w:after="0" w:line="240" w:lineRule="auto"/>
        <w:rPr>
          <w:rFonts w:ascii="Times New Roman" w:eastAsia="Times New Roman" w:hAnsi="Times New Roman" w:cs="Times New Roman"/>
        </w:rPr>
      </w:pPr>
    </w:p>
    <w:tbl>
      <w:tblPr>
        <w:tblW w:w="9072" w:type="dxa"/>
        <w:tblInd w:w="10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835"/>
        <w:gridCol w:w="6237"/>
      </w:tblGrid>
      <w:tr w:rsidR="008A7165" w:rsidRPr="00E14DCC" w14:paraId="4B862E31" w14:textId="77777777" w:rsidTr="00805CDB">
        <w:trPr>
          <w:trHeight w:val="263"/>
        </w:trPr>
        <w:tc>
          <w:tcPr>
            <w:tcW w:w="2835" w:type="dxa"/>
            <w:tcBorders>
              <w:top w:val="single" w:sz="8" w:space="0" w:color="000000"/>
              <w:bottom w:val="single" w:sz="8" w:space="0" w:color="000000"/>
            </w:tcBorders>
          </w:tcPr>
          <w:p w14:paraId="603AF79F" w14:textId="77777777" w:rsidR="008A7165" w:rsidRPr="00E14DCC" w:rsidRDefault="008A7165" w:rsidP="00214340">
            <w:pPr>
              <w:spacing w:after="0" w:line="240" w:lineRule="auto"/>
              <w:ind w:left="-108"/>
              <w:rPr>
                <w:rFonts w:ascii="Times New Roman" w:eastAsia="Times New Roman" w:hAnsi="Times New Roman" w:cs="Times New Roman"/>
                <w:bCs/>
              </w:rPr>
            </w:pPr>
            <w:r w:rsidRPr="00E14DCC">
              <w:rPr>
                <w:rFonts w:ascii="Times New Roman" w:eastAsia="Times New Roman" w:hAnsi="Times New Roman" w:cs="Times New Roman"/>
                <w:bCs/>
              </w:rPr>
              <w:br w:type="page"/>
            </w:r>
            <w:r w:rsidRPr="00E14DCC">
              <w:rPr>
                <w:rFonts w:ascii="Times New Roman" w:eastAsia="Times New Roman" w:hAnsi="Times New Roman" w:cs="Times New Roman"/>
                <w:b/>
                <w:bCs/>
              </w:rPr>
              <w:t>Valstybės narės pavadinimas</w:t>
            </w:r>
          </w:p>
        </w:tc>
        <w:tc>
          <w:tcPr>
            <w:tcW w:w="6237" w:type="dxa"/>
            <w:tcBorders>
              <w:top w:val="single" w:sz="8" w:space="0" w:color="000000"/>
              <w:bottom w:val="single" w:sz="8" w:space="0" w:color="000000"/>
            </w:tcBorders>
          </w:tcPr>
          <w:p w14:paraId="513A7ACF" w14:textId="77777777" w:rsidR="008A7165" w:rsidRPr="00E14DCC" w:rsidRDefault="008A7165" w:rsidP="00214340">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Vaisto pavadinimas</w:t>
            </w:r>
          </w:p>
        </w:tc>
      </w:tr>
      <w:tr w:rsidR="008A7165" w:rsidRPr="00E14DCC" w14:paraId="0C06192B" w14:textId="77777777" w:rsidTr="00805CDB">
        <w:trPr>
          <w:trHeight w:val="263"/>
        </w:trPr>
        <w:tc>
          <w:tcPr>
            <w:tcW w:w="2835" w:type="dxa"/>
            <w:tcBorders>
              <w:top w:val="single" w:sz="8" w:space="0" w:color="000000"/>
              <w:bottom w:val="single" w:sz="8" w:space="0" w:color="000000"/>
            </w:tcBorders>
          </w:tcPr>
          <w:p w14:paraId="75A6E337"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Jungtinė Karalystė </w:t>
            </w:r>
          </w:p>
        </w:tc>
        <w:tc>
          <w:tcPr>
            <w:tcW w:w="6237" w:type="dxa"/>
            <w:tcBorders>
              <w:top w:val="single" w:sz="8" w:space="0" w:color="000000"/>
              <w:bottom w:val="single" w:sz="8" w:space="0" w:color="000000"/>
            </w:tcBorders>
          </w:tcPr>
          <w:p w14:paraId="1E67B7E2"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100 mg/ml Solution for Injection or Infusion </w:t>
            </w:r>
          </w:p>
        </w:tc>
      </w:tr>
      <w:tr w:rsidR="008A7165" w:rsidRPr="00E14DCC" w14:paraId="442FBC8E" w14:textId="77777777" w:rsidTr="00805CDB">
        <w:trPr>
          <w:trHeight w:val="263"/>
        </w:trPr>
        <w:tc>
          <w:tcPr>
            <w:tcW w:w="2835" w:type="dxa"/>
            <w:tcBorders>
              <w:top w:val="single" w:sz="8" w:space="0" w:color="000000"/>
              <w:bottom w:val="single" w:sz="8" w:space="0" w:color="000000"/>
            </w:tcBorders>
          </w:tcPr>
          <w:p w14:paraId="610045B6"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Bulgarija</w:t>
            </w:r>
          </w:p>
        </w:tc>
        <w:tc>
          <w:tcPr>
            <w:tcW w:w="6237" w:type="dxa"/>
            <w:tcBorders>
              <w:top w:val="single" w:sz="8" w:space="0" w:color="000000"/>
              <w:bottom w:val="single" w:sz="8" w:space="0" w:color="000000"/>
            </w:tcBorders>
          </w:tcPr>
          <w:p w14:paraId="627F2EB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Цитарабин Акорд 100 mg/ml инжекционен или инфузионен разтвор</w:t>
            </w:r>
          </w:p>
        </w:tc>
      </w:tr>
      <w:tr w:rsidR="008A7165" w:rsidRPr="00E14DCC" w14:paraId="01249CCD" w14:textId="77777777" w:rsidTr="00805CDB">
        <w:trPr>
          <w:trHeight w:val="263"/>
        </w:trPr>
        <w:tc>
          <w:tcPr>
            <w:tcW w:w="2835" w:type="dxa"/>
            <w:tcBorders>
              <w:top w:val="single" w:sz="8" w:space="0" w:color="000000"/>
              <w:bottom w:val="single" w:sz="8" w:space="0" w:color="000000"/>
            </w:tcBorders>
          </w:tcPr>
          <w:p w14:paraId="76617584"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Estija</w:t>
            </w:r>
          </w:p>
        </w:tc>
        <w:tc>
          <w:tcPr>
            <w:tcW w:w="6237" w:type="dxa"/>
            <w:tcBorders>
              <w:top w:val="single" w:sz="8" w:space="0" w:color="000000"/>
              <w:bottom w:val="single" w:sz="8" w:space="0" w:color="000000"/>
            </w:tcBorders>
          </w:tcPr>
          <w:p w14:paraId="13E6324E" w14:textId="77777777" w:rsidR="008A7165" w:rsidRPr="00E14DCC" w:rsidRDefault="008A7165" w:rsidP="00214340">
            <w:pPr>
              <w:spacing w:after="0" w:line="240" w:lineRule="auto"/>
              <w:rPr>
                <w:rFonts w:ascii="Times New Roman" w:eastAsia="Times New Roman" w:hAnsi="Times New Roman" w:cs="Times New Roman"/>
                <w:strike/>
              </w:rPr>
            </w:pPr>
            <w:r w:rsidRPr="00E14DCC">
              <w:rPr>
                <w:rFonts w:ascii="Times New Roman" w:eastAsia="Times New Roman" w:hAnsi="Times New Roman" w:cs="Times New Roman"/>
              </w:rPr>
              <w:t>Cytarabine Accord 100 mg/ml süste- või infusioonilahus</w:t>
            </w:r>
          </w:p>
        </w:tc>
      </w:tr>
      <w:tr w:rsidR="008A7165" w:rsidRPr="00E14DCC" w14:paraId="20BD34D5" w14:textId="77777777" w:rsidTr="00805CDB">
        <w:trPr>
          <w:trHeight w:val="263"/>
        </w:trPr>
        <w:tc>
          <w:tcPr>
            <w:tcW w:w="2835" w:type="dxa"/>
            <w:tcBorders>
              <w:top w:val="single" w:sz="8" w:space="0" w:color="000000"/>
              <w:bottom w:val="single" w:sz="8" w:space="0" w:color="000000"/>
            </w:tcBorders>
          </w:tcPr>
          <w:p w14:paraId="74A01C5E"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Lietuva </w:t>
            </w:r>
          </w:p>
        </w:tc>
        <w:tc>
          <w:tcPr>
            <w:tcW w:w="6237" w:type="dxa"/>
            <w:tcBorders>
              <w:top w:val="single" w:sz="8" w:space="0" w:color="000000"/>
              <w:bottom w:val="single" w:sz="8" w:space="0" w:color="000000"/>
            </w:tcBorders>
          </w:tcPr>
          <w:p w14:paraId="3D6D2F52"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Accord 100 mg/ml </w:t>
            </w:r>
            <w:r w:rsidRPr="00E14DCC">
              <w:rPr>
                <w:rFonts w:ascii="Times New Roman" w:eastAsia="Times New Roman" w:hAnsi="Times New Roman" w:cs="Times New Roman"/>
                <w:color w:val="000000"/>
              </w:rPr>
              <w:t>injekcinis ar infuzinis tirpalas</w:t>
            </w:r>
          </w:p>
        </w:tc>
      </w:tr>
      <w:tr w:rsidR="008A7165" w:rsidRPr="00E14DCC" w14:paraId="10188FE2" w14:textId="77777777" w:rsidTr="00805CDB">
        <w:trPr>
          <w:trHeight w:val="263"/>
        </w:trPr>
        <w:tc>
          <w:tcPr>
            <w:tcW w:w="2835" w:type="dxa"/>
            <w:tcBorders>
              <w:top w:val="single" w:sz="8" w:space="0" w:color="000000"/>
              <w:bottom w:val="single" w:sz="8" w:space="0" w:color="000000"/>
            </w:tcBorders>
          </w:tcPr>
          <w:p w14:paraId="15A09344"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Latvija </w:t>
            </w:r>
          </w:p>
        </w:tc>
        <w:tc>
          <w:tcPr>
            <w:tcW w:w="6237" w:type="dxa"/>
            <w:tcBorders>
              <w:top w:val="single" w:sz="8" w:space="0" w:color="000000"/>
              <w:bottom w:val="single" w:sz="8" w:space="0" w:color="000000"/>
            </w:tcBorders>
          </w:tcPr>
          <w:p w14:paraId="4C3E60E8" w14:textId="77777777" w:rsidR="008A7165" w:rsidRPr="00E14DCC" w:rsidRDefault="008A7165" w:rsidP="00214340">
            <w:pPr>
              <w:spacing w:after="0" w:line="240" w:lineRule="auto"/>
              <w:rPr>
                <w:rFonts w:ascii="Times New Roman" w:eastAsia="Times New Roman" w:hAnsi="Times New Roman" w:cs="Times New Roman"/>
                <w:strike/>
              </w:rPr>
            </w:pPr>
            <w:r w:rsidRPr="00E14DCC">
              <w:rPr>
                <w:rFonts w:ascii="Times New Roman" w:eastAsia="Times New Roman" w:hAnsi="Times New Roman" w:cs="Times New Roman"/>
              </w:rPr>
              <w:t xml:space="preserve">Cytarabine Accord 100 mg/ml </w:t>
            </w:r>
            <w:r w:rsidRPr="00E14DCC">
              <w:rPr>
                <w:rFonts w:ascii="Times New Roman" w:eastAsia="Times New Roman" w:hAnsi="Times New Roman" w:cs="Times New Roman"/>
                <w:bCs/>
              </w:rPr>
              <w:t>šķīdums injekcijām vai infūzijām</w:t>
            </w:r>
          </w:p>
        </w:tc>
      </w:tr>
      <w:tr w:rsidR="008A7165" w:rsidRPr="00E14DCC" w14:paraId="3E632A43" w14:textId="77777777" w:rsidTr="00805CDB">
        <w:trPr>
          <w:trHeight w:val="263"/>
        </w:trPr>
        <w:tc>
          <w:tcPr>
            <w:tcW w:w="2835" w:type="dxa"/>
            <w:tcBorders>
              <w:top w:val="single" w:sz="8" w:space="0" w:color="000000"/>
              <w:left w:val="single" w:sz="8" w:space="0" w:color="000000"/>
              <w:bottom w:val="single" w:sz="8" w:space="0" w:color="000000"/>
            </w:tcBorders>
          </w:tcPr>
          <w:p w14:paraId="19547E49"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Austrija</w:t>
            </w:r>
          </w:p>
        </w:tc>
        <w:tc>
          <w:tcPr>
            <w:tcW w:w="6237" w:type="dxa"/>
            <w:tcBorders>
              <w:top w:val="single" w:sz="8" w:space="0" w:color="000000"/>
              <w:bottom w:val="single" w:sz="8" w:space="0" w:color="000000"/>
              <w:right w:val="single" w:sz="8" w:space="0" w:color="000000"/>
            </w:tcBorders>
          </w:tcPr>
          <w:p w14:paraId="597D7E4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 Accord 100 mg/ml Injektions-/ Infusionslösung</w:t>
            </w:r>
          </w:p>
        </w:tc>
      </w:tr>
      <w:tr w:rsidR="008A7165" w:rsidRPr="00E14DCC" w14:paraId="51016DF4" w14:textId="77777777" w:rsidTr="00805CDB">
        <w:trPr>
          <w:trHeight w:val="263"/>
        </w:trPr>
        <w:tc>
          <w:tcPr>
            <w:tcW w:w="2835" w:type="dxa"/>
            <w:tcBorders>
              <w:top w:val="single" w:sz="8" w:space="0" w:color="000000"/>
              <w:left w:val="single" w:sz="8" w:space="0" w:color="000000"/>
              <w:bottom w:val="single" w:sz="8" w:space="0" w:color="000000"/>
            </w:tcBorders>
          </w:tcPr>
          <w:p w14:paraId="7D592174"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Belgija</w:t>
            </w:r>
          </w:p>
        </w:tc>
        <w:tc>
          <w:tcPr>
            <w:tcW w:w="6237" w:type="dxa"/>
            <w:tcBorders>
              <w:top w:val="single" w:sz="8" w:space="0" w:color="000000"/>
              <w:bottom w:val="single" w:sz="8" w:space="0" w:color="000000"/>
              <w:right w:val="single" w:sz="8" w:space="0" w:color="000000"/>
            </w:tcBorders>
          </w:tcPr>
          <w:p w14:paraId="5F656C87"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Healthcare 100 mg/ml Oplossing voor injectie of infusie</w:t>
            </w:r>
          </w:p>
        </w:tc>
      </w:tr>
      <w:tr w:rsidR="008A7165" w:rsidRPr="00E14DCC" w14:paraId="3453EEB0" w14:textId="77777777" w:rsidTr="00805CDB">
        <w:trPr>
          <w:trHeight w:val="263"/>
        </w:trPr>
        <w:tc>
          <w:tcPr>
            <w:tcW w:w="2835" w:type="dxa"/>
            <w:tcBorders>
              <w:top w:val="single" w:sz="8" w:space="0" w:color="000000"/>
              <w:left w:val="single" w:sz="8" w:space="0" w:color="000000"/>
              <w:bottom w:val="single" w:sz="8" w:space="0" w:color="000000"/>
            </w:tcBorders>
          </w:tcPr>
          <w:p w14:paraId="3EE40D98"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Kipras</w:t>
            </w:r>
          </w:p>
        </w:tc>
        <w:tc>
          <w:tcPr>
            <w:tcW w:w="6237" w:type="dxa"/>
            <w:tcBorders>
              <w:top w:val="single" w:sz="8" w:space="0" w:color="000000"/>
              <w:bottom w:val="single" w:sz="8" w:space="0" w:color="000000"/>
              <w:right w:val="single" w:sz="8" w:space="0" w:color="000000"/>
            </w:tcBorders>
          </w:tcPr>
          <w:p w14:paraId="4DEA65E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Solution for Injection or Infusion</w:t>
            </w:r>
          </w:p>
        </w:tc>
      </w:tr>
      <w:tr w:rsidR="008A7165" w:rsidRPr="00E14DCC" w14:paraId="4F88CA3F" w14:textId="77777777" w:rsidTr="00805CDB">
        <w:trPr>
          <w:trHeight w:val="263"/>
        </w:trPr>
        <w:tc>
          <w:tcPr>
            <w:tcW w:w="2835" w:type="dxa"/>
            <w:tcBorders>
              <w:top w:val="single" w:sz="8" w:space="0" w:color="000000"/>
              <w:left w:val="single" w:sz="8" w:space="0" w:color="000000"/>
              <w:bottom w:val="single" w:sz="8" w:space="0" w:color="000000"/>
            </w:tcBorders>
          </w:tcPr>
          <w:p w14:paraId="12F8B061"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Čekija</w:t>
            </w:r>
          </w:p>
        </w:tc>
        <w:tc>
          <w:tcPr>
            <w:tcW w:w="6237" w:type="dxa"/>
            <w:tcBorders>
              <w:top w:val="single" w:sz="8" w:space="0" w:color="000000"/>
              <w:bottom w:val="single" w:sz="8" w:space="0" w:color="000000"/>
              <w:right w:val="single" w:sz="8" w:space="0" w:color="000000"/>
            </w:tcBorders>
          </w:tcPr>
          <w:p w14:paraId="699335EE"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injekční nebo infuzní roztok</w:t>
            </w:r>
          </w:p>
        </w:tc>
      </w:tr>
      <w:tr w:rsidR="008A7165" w:rsidRPr="00E14DCC" w14:paraId="5220EB7C" w14:textId="77777777" w:rsidTr="00805CDB">
        <w:trPr>
          <w:trHeight w:val="263"/>
        </w:trPr>
        <w:tc>
          <w:tcPr>
            <w:tcW w:w="2835" w:type="dxa"/>
            <w:tcBorders>
              <w:top w:val="single" w:sz="8" w:space="0" w:color="000000"/>
              <w:left w:val="single" w:sz="8" w:space="0" w:color="000000"/>
              <w:bottom w:val="single" w:sz="8" w:space="0" w:color="000000"/>
            </w:tcBorders>
          </w:tcPr>
          <w:p w14:paraId="4DC3A41C"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Vokietija</w:t>
            </w:r>
          </w:p>
        </w:tc>
        <w:tc>
          <w:tcPr>
            <w:tcW w:w="6237" w:type="dxa"/>
            <w:tcBorders>
              <w:top w:val="single" w:sz="8" w:space="0" w:color="000000"/>
              <w:bottom w:val="single" w:sz="8" w:space="0" w:color="000000"/>
              <w:right w:val="single" w:sz="8" w:space="0" w:color="000000"/>
            </w:tcBorders>
          </w:tcPr>
          <w:p w14:paraId="657B9C1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Lösung zur Injektion oder Infusion</w:t>
            </w:r>
          </w:p>
        </w:tc>
      </w:tr>
      <w:tr w:rsidR="008A7165" w:rsidRPr="00E14DCC" w14:paraId="28D766F6" w14:textId="77777777" w:rsidTr="00805CDB">
        <w:trPr>
          <w:trHeight w:val="263"/>
        </w:trPr>
        <w:tc>
          <w:tcPr>
            <w:tcW w:w="2835" w:type="dxa"/>
            <w:tcBorders>
              <w:top w:val="single" w:sz="8" w:space="0" w:color="000000"/>
              <w:left w:val="single" w:sz="8" w:space="0" w:color="000000"/>
              <w:bottom w:val="single" w:sz="8" w:space="0" w:color="000000"/>
            </w:tcBorders>
          </w:tcPr>
          <w:p w14:paraId="53F6E3EA"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Danija</w:t>
            </w:r>
          </w:p>
        </w:tc>
        <w:tc>
          <w:tcPr>
            <w:tcW w:w="6237" w:type="dxa"/>
            <w:tcBorders>
              <w:top w:val="single" w:sz="8" w:space="0" w:color="000000"/>
              <w:bottom w:val="single" w:sz="8" w:space="0" w:color="000000"/>
              <w:right w:val="single" w:sz="8" w:space="0" w:color="000000"/>
            </w:tcBorders>
          </w:tcPr>
          <w:p w14:paraId="4192691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w:t>
            </w:r>
          </w:p>
        </w:tc>
      </w:tr>
      <w:tr w:rsidR="008A7165" w:rsidRPr="00E14DCC" w14:paraId="10C61AA7" w14:textId="77777777" w:rsidTr="00805CDB">
        <w:trPr>
          <w:trHeight w:val="263"/>
        </w:trPr>
        <w:tc>
          <w:tcPr>
            <w:tcW w:w="2835" w:type="dxa"/>
            <w:tcBorders>
              <w:top w:val="single" w:sz="8" w:space="0" w:color="000000"/>
              <w:left w:val="single" w:sz="8" w:space="0" w:color="000000"/>
              <w:bottom w:val="single" w:sz="8" w:space="0" w:color="000000"/>
            </w:tcBorders>
          </w:tcPr>
          <w:p w14:paraId="6A95B4A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Prancūzija</w:t>
            </w:r>
          </w:p>
        </w:tc>
        <w:tc>
          <w:tcPr>
            <w:tcW w:w="6237" w:type="dxa"/>
            <w:tcBorders>
              <w:top w:val="single" w:sz="8" w:space="0" w:color="000000"/>
              <w:bottom w:val="single" w:sz="8" w:space="0" w:color="000000"/>
              <w:right w:val="single" w:sz="8" w:space="0" w:color="000000"/>
            </w:tcBorders>
          </w:tcPr>
          <w:p w14:paraId="0C401083"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solution injectable/pour perfusion</w:t>
            </w:r>
          </w:p>
        </w:tc>
      </w:tr>
      <w:tr w:rsidR="008A7165" w:rsidRPr="00E14DCC" w14:paraId="0594B0C0" w14:textId="77777777" w:rsidTr="00805CDB">
        <w:trPr>
          <w:trHeight w:val="263"/>
        </w:trPr>
        <w:tc>
          <w:tcPr>
            <w:tcW w:w="2835" w:type="dxa"/>
            <w:tcBorders>
              <w:top w:val="single" w:sz="8" w:space="0" w:color="000000"/>
              <w:left w:val="single" w:sz="8" w:space="0" w:color="000000"/>
              <w:bottom w:val="single" w:sz="8" w:space="0" w:color="000000"/>
            </w:tcBorders>
          </w:tcPr>
          <w:p w14:paraId="1AF940D4"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Vengrija</w:t>
            </w:r>
          </w:p>
        </w:tc>
        <w:tc>
          <w:tcPr>
            <w:tcW w:w="6237" w:type="dxa"/>
            <w:tcBorders>
              <w:top w:val="single" w:sz="8" w:space="0" w:color="000000"/>
              <w:bottom w:val="single" w:sz="8" w:space="0" w:color="000000"/>
              <w:right w:val="single" w:sz="8" w:space="0" w:color="000000"/>
            </w:tcBorders>
          </w:tcPr>
          <w:p w14:paraId="6738B56B"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oldatos injekció vagy infúzió</w:t>
            </w:r>
          </w:p>
        </w:tc>
      </w:tr>
      <w:tr w:rsidR="008A7165" w:rsidRPr="00E14DCC" w14:paraId="46DB2170" w14:textId="77777777" w:rsidTr="00805CDB">
        <w:trPr>
          <w:trHeight w:val="263"/>
        </w:trPr>
        <w:tc>
          <w:tcPr>
            <w:tcW w:w="2835" w:type="dxa"/>
            <w:tcBorders>
              <w:top w:val="single" w:sz="8" w:space="0" w:color="000000"/>
              <w:left w:val="single" w:sz="8" w:space="0" w:color="000000"/>
              <w:bottom w:val="single" w:sz="8" w:space="0" w:color="000000"/>
            </w:tcBorders>
          </w:tcPr>
          <w:p w14:paraId="344D784A"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Airija</w:t>
            </w:r>
          </w:p>
        </w:tc>
        <w:tc>
          <w:tcPr>
            <w:tcW w:w="6237" w:type="dxa"/>
            <w:tcBorders>
              <w:top w:val="single" w:sz="8" w:space="0" w:color="000000"/>
              <w:bottom w:val="single" w:sz="8" w:space="0" w:color="000000"/>
              <w:right w:val="single" w:sz="8" w:space="0" w:color="000000"/>
            </w:tcBorders>
          </w:tcPr>
          <w:p w14:paraId="1B0C6DC0"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100 mg/ml Solution for Injection or Infusion</w:t>
            </w:r>
          </w:p>
        </w:tc>
      </w:tr>
      <w:tr w:rsidR="008A7165" w:rsidRPr="00E14DCC" w14:paraId="3A037FE5" w14:textId="77777777" w:rsidTr="00805CDB">
        <w:trPr>
          <w:trHeight w:val="263"/>
        </w:trPr>
        <w:tc>
          <w:tcPr>
            <w:tcW w:w="2835" w:type="dxa"/>
            <w:tcBorders>
              <w:top w:val="single" w:sz="8" w:space="0" w:color="000000"/>
              <w:left w:val="single" w:sz="8" w:space="0" w:color="000000"/>
              <w:bottom w:val="single" w:sz="8" w:space="0" w:color="000000"/>
            </w:tcBorders>
          </w:tcPr>
          <w:p w14:paraId="5F9E927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Italija</w:t>
            </w:r>
          </w:p>
        </w:tc>
        <w:tc>
          <w:tcPr>
            <w:tcW w:w="6237" w:type="dxa"/>
            <w:tcBorders>
              <w:top w:val="single" w:sz="8" w:space="0" w:color="000000"/>
              <w:bottom w:val="single" w:sz="8" w:space="0" w:color="000000"/>
              <w:right w:val="single" w:sz="8" w:space="0" w:color="000000"/>
            </w:tcBorders>
          </w:tcPr>
          <w:p w14:paraId="6166A637"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 Accord</w:t>
            </w:r>
          </w:p>
        </w:tc>
      </w:tr>
      <w:tr w:rsidR="008A7165" w:rsidRPr="00E14DCC" w14:paraId="5F9D4F43" w14:textId="77777777" w:rsidTr="00805CDB">
        <w:trPr>
          <w:trHeight w:val="263"/>
        </w:trPr>
        <w:tc>
          <w:tcPr>
            <w:tcW w:w="2835" w:type="dxa"/>
            <w:tcBorders>
              <w:top w:val="single" w:sz="8" w:space="0" w:color="000000"/>
              <w:left w:val="single" w:sz="8" w:space="0" w:color="000000"/>
              <w:bottom w:val="single" w:sz="8" w:space="0" w:color="000000"/>
            </w:tcBorders>
          </w:tcPr>
          <w:p w14:paraId="334E4DF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Malta</w:t>
            </w:r>
          </w:p>
        </w:tc>
        <w:tc>
          <w:tcPr>
            <w:tcW w:w="6237" w:type="dxa"/>
            <w:tcBorders>
              <w:top w:val="single" w:sz="8" w:space="0" w:color="000000"/>
              <w:bottom w:val="single" w:sz="8" w:space="0" w:color="000000"/>
              <w:right w:val="single" w:sz="8" w:space="0" w:color="000000"/>
            </w:tcBorders>
          </w:tcPr>
          <w:p w14:paraId="5E117AB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100 mg/ml Solution for Injection or Infusion</w:t>
            </w:r>
          </w:p>
        </w:tc>
      </w:tr>
      <w:tr w:rsidR="008A7165" w:rsidRPr="00E14DCC" w14:paraId="2731CF82" w14:textId="77777777" w:rsidTr="00805CDB">
        <w:trPr>
          <w:trHeight w:val="263"/>
        </w:trPr>
        <w:tc>
          <w:tcPr>
            <w:tcW w:w="2835" w:type="dxa"/>
            <w:tcBorders>
              <w:top w:val="single" w:sz="8" w:space="0" w:color="000000"/>
              <w:left w:val="single" w:sz="8" w:space="0" w:color="000000"/>
              <w:bottom w:val="single" w:sz="8" w:space="0" w:color="000000"/>
            </w:tcBorders>
          </w:tcPr>
          <w:p w14:paraId="30F6B18E"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Nyderlandai</w:t>
            </w:r>
          </w:p>
        </w:tc>
        <w:tc>
          <w:tcPr>
            <w:tcW w:w="6237" w:type="dxa"/>
            <w:tcBorders>
              <w:top w:val="single" w:sz="8" w:space="0" w:color="000000"/>
              <w:bottom w:val="single" w:sz="8" w:space="0" w:color="000000"/>
              <w:right w:val="single" w:sz="8" w:space="0" w:color="000000"/>
            </w:tcBorders>
          </w:tcPr>
          <w:p w14:paraId="030663D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oplossing voor injectie of infusie</w:t>
            </w:r>
          </w:p>
        </w:tc>
      </w:tr>
      <w:tr w:rsidR="008A7165" w:rsidRPr="00E14DCC" w14:paraId="47FE29F4" w14:textId="77777777" w:rsidTr="00805CDB">
        <w:trPr>
          <w:trHeight w:val="263"/>
        </w:trPr>
        <w:tc>
          <w:tcPr>
            <w:tcW w:w="2835" w:type="dxa"/>
            <w:tcBorders>
              <w:top w:val="single" w:sz="8" w:space="0" w:color="000000"/>
              <w:left w:val="single" w:sz="8" w:space="0" w:color="000000"/>
              <w:bottom w:val="single" w:sz="8" w:space="0" w:color="000000"/>
            </w:tcBorders>
          </w:tcPr>
          <w:p w14:paraId="3CF266E0"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Norvegija</w:t>
            </w:r>
          </w:p>
        </w:tc>
        <w:tc>
          <w:tcPr>
            <w:tcW w:w="6237" w:type="dxa"/>
            <w:tcBorders>
              <w:top w:val="single" w:sz="8" w:space="0" w:color="000000"/>
              <w:bottom w:val="single" w:sz="8" w:space="0" w:color="000000"/>
              <w:right w:val="single" w:sz="8" w:space="0" w:color="000000"/>
            </w:tcBorders>
          </w:tcPr>
          <w:p w14:paraId="3A617625"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Accord </w:t>
            </w:r>
          </w:p>
        </w:tc>
      </w:tr>
      <w:tr w:rsidR="008A7165" w:rsidRPr="00E14DCC" w14:paraId="5C4AE78B" w14:textId="77777777" w:rsidTr="00805CDB">
        <w:trPr>
          <w:trHeight w:val="263"/>
        </w:trPr>
        <w:tc>
          <w:tcPr>
            <w:tcW w:w="2835" w:type="dxa"/>
            <w:tcBorders>
              <w:top w:val="single" w:sz="8" w:space="0" w:color="000000"/>
              <w:left w:val="single" w:sz="8" w:space="0" w:color="000000"/>
              <w:bottom w:val="single" w:sz="8" w:space="0" w:color="000000"/>
            </w:tcBorders>
          </w:tcPr>
          <w:p w14:paraId="7C9C5E89"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Lenkija</w:t>
            </w:r>
          </w:p>
        </w:tc>
        <w:tc>
          <w:tcPr>
            <w:tcW w:w="6237" w:type="dxa"/>
            <w:tcBorders>
              <w:top w:val="single" w:sz="8" w:space="0" w:color="000000"/>
              <w:bottom w:val="single" w:sz="8" w:space="0" w:color="000000"/>
              <w:right w:val="single" w:sz="8" w:space="0" w:color="000000"/>
            </w:tcBorders>
          </w:tcPr>
          <w:p w14:paraId="15E3B95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Cytarabina Accord</w:t>
            </w:r>
          </w:p>
        </w:tc>
      </w:tr>
      <w:tr w:rsidR="008A7165" w:rsidRPr="00E14DCC" w14:paraId="20A0B646" w14:textId="77777777" w:rsidTr="00805CDB">
        <w:trPr>
          <w:trHeight w:val="263"/>
        </w:trPr>
        <w:tc>
          <w:tcPr>
            <w:tcW w:w="2835" w:type="dxa"/>
            <w:tcBorders>
              <w:top w:val="single" w:sz="8" w:space="0" w:color="000000"/>
              <w:left w:val="single" w:sz="8" w:space="0" w:color="000000"/>
              <w:bottom w:val="single" w:sz="8" w:space="0" w:color="000000"/>
            </w:tcBorders>
          </w:tcPr>
          <w:p w14:paraId="40A1B9A1"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Portugalija</w:t>
            </w:r>
          </w:p>
        </w:tc>
        <w:tc>
          <w:tcPr>
            <w:tcW w:w="6237" w:type="dxa"/>
            <w:tcBorders>
              <w:top w:val="single" w:sz="8" w:space="0" w:color="000000"/>
              <w:bottom w:val="single" w:sz="8" w:space="0" w:color="000000"/>
              <w:right w:val="single" w:sz="8" w:space="0" w:color="000000"/>
            </w:tcBorders>
          </w:tcPr>
          <w:p w14:paraId="175B322D"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Citarabina Accord</w:t>
            </w:r>
          </w:p>
        </w:tc>
      </w:tr>
      <w:tr w:rsidR="008A7165" w:rsidRPr="00E14DCC" w14:paraId="5230B64C" w14:textId="77777777" w:rsidTr="00805CDB">
        <w:trPr>
          <w:trHeight w:val="263"/>
        </w:trPr>
        <w:tc>
          <w:tcPr>
            <w:tcW w:w="2835" w:type="dxa"/>
            <w:tcBorders>
              <w:top w:val="single" w:sz="8" w:space="0" w:color="000000"/>
              <w:left w:val="single" w:sz="8" w:space="0" w:color="000000"/>
              <w:bottom w:val="single" w:sz="8" w:space="0" w:color="000000"/>
            </w:tcBorders>
          </w:tcPr>
          <w:p w14:paraId="507D71AC"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Slovakija</w:t>
            </w:r>
          </w:p>
        </w:tc>
        <w:tc>
          <w:tcPr>
            <w:tcW w:w="6237" w:type="dxa"/>
            <w:tcBorders>
              <w:top w:val="single" w:sz="8" w:space="0" w:color="000000"/>
              <w:bottom w:val="single" w:sz="8" w:space="0" w:color="000000"/>
              <w:right w:val="single" w:sz="8" w:space="0" w:color="000000"/>
            </w:tcBorders>
          </w:tcPr>
          <w:p w14:paraId="777EAFF1"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Solution for Injection or Infusion</w:t>
            </w:r>
          </w:p>
        </w:tc>
      </w:tr>
      <w:tr w:rsidR="008A7165" w:rsidRPr="00E14DCC" w14:paraId="18A01045" w14:textId="77777777" w:rsidTr="00805CDB">
        <w:trPr>
          <w:trHeight w:val="263"/>
        </w:trPr>
        <w:tc>
          <w:tcPr>
            <w:tcW w:w="2835" w:type="dxa"/>
            <w:tcBorders>
              <w:top w:val="single" w:sz="8" w:space="0" w:color="000000"/>
              <w:left w:val="single" w:sz="8" w:space="0" w:color="000000"/>
              <w:bottom w:val="single" w:sz="8" w:space="0" w:color="000000"/>
            </w:tcBorders>
          </w:tcPr>
          <w:p w14:paraId="31CE644B"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Švedija</w:t>
            </w:r>
          </w:p>
        </w:tc>
        <w:tc>
          <w:tcPr>
            <w:tcW w:w="6237" w:type="dxa"/>
            <w:tcBorders>
              <w:top w:val="single" w:sz="8" w:space="0" w:color="000000"/>
              <w:bottom w:val="single" w:sz="8" w:space="0" w:color="000000"/>
              <w:right w:val="single" w:sz="8" w:space="0" w:color="000000"/>
            </w:tcBorders>
          </w:tcPr>
          <w:p w14:paraId="55EA4D30" w14:textId="77777777" w:rsidR="008A7165" w:rsidRPr="00E14DCC" w:rsidRDefault="008A7165" w:rsidP="0021434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Cytarabine Accord 100 mg/ml Lösningen för injektion eller infusion</w:t>
            </w:r>
          </w:p>
        </w:tc>
      </w:tr>
    </w:tbl>
    <w:p w14:paraId="4F9CD4C6" w14:textId="77777777" w:rsidR="008A7165" w:rsidRPr="00E14DCC" w:rsidRDefault="008A7165" w:rsidP="008A7165">
      <w:pPr>
        <w:spacing w:after="0" w:line="240" w:lineRule="auto"/>
        <w:rPr>
          <w:rFonts w:ascii="Times New Roman" w:eastAsia="Times New Roman" w:hAnsi="Times New Roman" w:cs="Times New Roman"/>
        </w:rPr>
      </w:pPr>
    </w:p>
    <w:p w14:paraId="4E9B8220" w14:textId="77777777" w:rsidR="008A7165" w:rsidRPr="00E14DCC" w:rsidRDefault="008A7165" w:rsidP="008A7165">
      <w:pPr>
        <w:spacing w:after="0" w:line="240" w:lineRule="auto"/>
        <w:rPr>
          <w:rFonts w:ascii="Times New Roman" w:eastAsia="Times New Roman" w:hAnsi="Times New Roman" w:cs="Times New Roman"/>
        </w:rPr>
      </w:pPr>
    </w:p>
    <w:p w14:paraId="3EDBE96E" w14:textId="7A37F081"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
        </w:rPr>
        <w:t>Šis pakuotės lapelis paskutinį kartą peržiūrėtas</w:t>
      </w:r>
      <w:r w:rsidR="00DB5EB8" w:rsidRPr="00E14DCC">
        <w:rPr>
          <w:rFonts w:ascii="Times New Roman" w:eastAsia="Times New Roman" w:hAnsi="Times New Roman" w:cs="Times New Roman"/>
          <w:b/>
        </w:rPr>
        <w:t xml:space="preserve"> </w:t>
      </w:r>
      <w:r w:rsidR="003C1C8F">
        <w:rPr>
          <w:rFonts w:ascii="Times New Roman" w:eastAsia="Times New Roman" w:hAnsi="Times New Roman" w:cs="Times New Roman"/>
          <w:b/>
        </w:rPr>
        <w:t>2022-12-</w:t>
      </w:r>
      <w:r w:rsidR="00DD4F23">
        <w:rPr>
          <w:rFonts w:ascii="Times New Roman" w:eastAsia="Times New Roman" w:hAnsi="Times New Roman" w:cs="Times New Roman"/>
          <w:b/>
        </w:rPr>
        <w:t>04</w:t>
      </w:r>
      <w:r w:rsidR="003C1C8F">
        <w:rPr>
          <w:rFonts w:ascii="Times New Roman" w:eastAsia="Times New Roman" w:hAnsi="Times New Roman" w:cs="Times New Roman"/>
          <w:b/>
        </w:rPr>
        <w:t>.</w:t>
      </w:r>
    </w:p>
    <w:p w14:paraId="1596F8B4" w14:textId="77777777" w:rsidR="008A7165" w:rsidRPr="00E14DCC" w:rsidRDefault="008A7165" w:rsidP="008A7165">
      <w:pPr>
        <w:spacing w:after="0" w:line="240" w:lineRule="auto"/>
        <w:jc w:val="both"/>
        <w:rPr>
          <w:rFonts w:ascii="Times New Roman" w:eastAsia="Times New Roman" w:hAnsi="Times New Roman" w:cs="Times New Roman"/>
        </w:rPr>
      </w:pPr>
    </w:p>
    <w:p w14:paraId="5BCFDFC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14DCC">
        <w:rPr>
          <w:rFonts w:ascii="Times New Roman" w:eastAsia="Times New Roman" w:hAnsi="Times New Roman" w:cs="Times New Roman"/>
          <w:i/>
        </w:rPr>
        <w:t xml:space="preserve"> </w:t>
      </w:r>
      <w:hyperlink r:id="rId11" w:history="1">
        <w:r w:rsidRPr="00E14DCC">
          <w:rPr>
            <w:rStyle w:val="Hipersaitas"/>
          </w:rPr>
          <w:t>http://www.vvkt.lt</w:t>
        </w:r>
      </w:hyperlink>
    </w:p>
    <w:p w14:paraId="50C83BE4" w14:textId="77777777" w:rsidR="008A7165" w:rsidRPr="00E14DCC" w:rsidRDefault="008A7165" w:rsidP="008A7165">
      <w:pPr>
        <w:spacing w:after="0" w:line="240" w:lineRule="auto"/>
        <w:rPr>
          <w:rFonts w:ascii="Times New Roman" w:eastAsia="Times New Roman" w:hAnsi="Times New Roman" w:cs="Times New Roman"/>
          <w:highlight w:val="yellow"/>
        </w:rPr>
      </w:pPr>
    </w:p>
    <w:p w14:paraId="2CAE83EE"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w:t>
      </w:r>
    </w:p>
    <w:p w14:paraId="3E07FCBB" w14:textId="77777777" w:rsidR="008A7165" w:rsidRPr="00E14DCC" w:rsidRDefault="008A7165" w:rsidP="008A7165">
      <w:pPr>
        <w:spacing w:after="0" w:line="240" w:lineRule="auto"/>
        <w:rPr>
          <w:rFonts w:ascii="Times New Roman" w:eastAsia="Times New Roman" w:hAnsi="Times New Roman" w:cs="Times New Roman"/>
          <w:b/>
          <w:bCs/>
        </w:rPr>
      </w:pPr>
    </w:p>
    <w:p w14:paraId="53775F69"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Toliau pateikta informacija skirta tik sveikatos priežiūros specialistams:</w:t>
      </w:r>
    </w:p>
    <w:p w14:paraId="259411F1" w14:textId="77777777" w:rsidR="008A7165" w:rsidRPr="00E14DCC" w:rsidRDefault="008A7165" w:rsidP="008A7165">
      <w:pPr>
        <w:spacing w:after="0" w:line="240" w:lineRule="auto"/>
        <w:jc w:val="both"/>
        <w:rPr>
          <w:rFonts w:ascii="Times New Roman" w:eastAsia="Times New Roman" w:hAnsi="Times New Roman" w:cs="Times New Roman"/>
          <w:b/>
          <w:bCs/>
        </w:rPr>
      </w:pPr>
    </w:p>
    <w:p w14:paraId="3C811960" w14:textId="77777777" w:rsidR="008A7165" w:rsidRPr="00E14DCC" w:rsidRDefault="008A7165" w:rsidP="008A7165">
      <w:pPr>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Dozavimas ir vartojimo metodas</w:t>
      </w:r>
    </w:p>
    <w:p w14:paraId="3FB7550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Vartojamas intraveninės infuzijos arba injekcijos, arba poodinės injekcijos būdu.</w:t>
      </w:r>
    </w:p>
    <w:p w14:paraId="7745257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rPr>
        <w:t>Cytarabine Accord 100 mg/ml negalima leisti į povoratinklinę ertmę.</w:t>
      </w:r>
    </w:p>
    <w:p w14:paraId="32BB03B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Naudojant nomogramas, pateikiamą pagal kūno svorį (mg/kg) rekomenduojamą dozavimą galima konvertuoti į susijusį su kūno paviršiaus plotu (mg/m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w:t>
      </w:r>
    </w:p>
    <w:p w14:paraId="4B8B952C" w14:textId="77777777" w:rsidR="008A7165" w:rsidRPr="00E14DCC" w:rsidRDefault="008A7165" w:rsidP="008A7165">
      <w:pPr>
        <w:spacing w:after="0" w:line="240" w:lineRule="auto"/>
        <w:rPr>
          <w:rFonts w:ascii="Times New Roman" w:eastAsia="Times New Roman" w:hAnsi="Times New Roman" w:cs="Times New Roman"/>
        </w:rPr>
      </w:pPr>
    </w:p>
    <w:p w14:paraId="44E68A35" w14:textId="77777777" w:rsidR="008A7165" w:rsidRPr="00E14DCC" w:rsidRDefault="008A7165" w:rsidP="008A7165">
      <w:pPr>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1. Remisijai sukelti:</w:t>
      </w:r>
    </w:p>
    <w:p w14:paraId="5B50E932" w14:textId="77777777" w:rsidR="008A7165" w:rsidRPr="00E14DCC" w:rsidRDefault="008A7165" w:rsidP="008A7165">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 xml:space="preserve">a) Nepertraukiamas gydymas: </w:t>
      </w:r>
    </w:p>
    <w:p w14:paraId="4A0F0A1E" w14:textId="77777777" w:rsidR="008A7165" w:rsidRPr="00E14DCC" w:rsidRDefault="008A7165" w:rsidP="008A7165">
      <w:pPr>
        <w:spacing w:after="0" w:line="240" w:lineRule="auto"/>
        <w:ind w:left="142"/>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 xml:space="preserve">i) Greita injekcija - teisingiausia pradinė dozė yra 2 mg/kg per parą. Ją reikia vartoti 10 dienų. Kasdieną atlikinėti kraujo tyrimus. Jeigu leukemiją gydantis poveikis nepasireiškią ir nėra akivaizdaus toksinio poveikio, dozę reikia padidinti iki 4 mg/kg per parą ir tęsti tol, kol pasireikš gydomasis arba toksinis poveikis. Beveik visiems pacientams vartojantiems šias dozes po kurio laiko pasireiškia toksinis poveikis. </w:t>
      </w:r>
    </w:p>
    <w:p w14:paraId="3E03EA67" w14:textId="77777777" w:rsidR="008A7165" w:rsidRPr="00E14DCC" w:rsidRDefault="008A7165" w:rsidP="008A7165">
      <w:pPr>
        <w:tabs>
          <w:tab w:val="num" w:pos="1404"/>
        </w:tabs>
        <w:spacing w:after="0" w:line="240" w:lineRule="auto"/>
        <w:ind w:left="142"/>
        <w:rPr>
          <w:rFonts w:ascii="Times New Roman" w:eastAsia="Times New Roman" w:hAnsi="Times New Roman" w:cs="Times New Roman"/>
        </w:rPr>
      </w:pPr>
      <w:r w:rsidRPr="00E14DCC">
        <w:rPr>
          <w:rFonts w:ascii="Times New Roman" w:eastAsia="Times New Roman" w:hAnsi="Times New Roman" w:cs="Times New Roman"/>
        </w:rPr>
        <w:t>ii) Galima skirti iki 24 val. trukmės 0,5-1 mg/kg per parą dozės infuziją. Daugumai pacientų vienos valandos infuzijų poveikis buvo tinkamas. Atsižvelgiant į toksinį poveikį, pradinė paros dozė po 10 dienų gali būti padidinta iki 2 mg/kg per parą. Tęsti tol, kol pasireikš toksinis poveikis arba remisija.</w:t>
      </w:r>
    </w:p>
    <w:p w14:paraId="37445287" w14:textId="77777777" w:rsidR="008A7165" w:rsidRPr="00E14DCC" w:rsidRDefault="008A7165" w:rsidP="008A7165">
      <w:pPr>
        <w:tabs>
          <w:tab w:val="num" w:pos="1404"/>
        </w:tabs>
        <w:spacing w:after="0" w:line="240" w:lineRule="auto"/>
        <w:rPr>
          <w:rFonts w:ascii="Times New Roman" w:eastAsia="Times New Roman" w:hAnsi="Times New Roman" w:cs="Times New Roman"/>
        </w:rPr>
      </w:pPr>
    </w:p>
    <w:p w14:paraId="531EC81A"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 Pertraukiamas gydymas:</w:t>
      </w:r>
    </w:p>
    <w:p w14:paraId="5EEF7D16"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Penkias dienas iš eilės į veną skiriama 3-5 mg/kg per parą citarabino dozė. Daroma dvejų – devynių dienų pertrauka ir pradedamas kitas kursas. Tęsti tol, kol pasireikš atsakas arba toksinis poveikis. </w:t>
      </w:r>
    </w:p>
    <w:p w14:paraId="249EA78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Pirmieji čiulpų atsinaujinimo požymiai nustatomi po 7-64 dienų (vidutiniškai 28 dienų) nuo gydymo pradžios. </w:t>
      </w:r>
    </w:p>
    <w:p w14:paraId="758EE85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Apibendrinus, jeigu po tinkamo gydymo pacientui nepasireiškia nei remisija, nei toksinis poveikis, galima atsargiai paskirti citarabiną didelėmis dozėmis. Įprastai dideles dozes skiriant greita injekcija į veną pacientai toleruoja geriau nei lėtą infuziją. Šis skirtumas, atsiranda dėl greito citarabino metabolizmo ir, atitinkamai, trumpesnio didelės dozės veikimo laiko.</w:t>
      </w:r>
    </w:p>
    <w:p w14:paraId="0675730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ii) 5-7 paras skiriama nepertraukiama 24 val. trukmės 100-200 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 xml:space="preserve"> dozės vieno citabirino arba jo derinio su kitais citostatikais, pvz., antraciklinais, infuzija. Papildomi kursai gali būti skiriami kas 2-4 savaites, kol sukeliama remisija arba atsiranda toksinis poveikis. </w:t>
      </w:r>
    </w:p>
    <w:p w14:paraId="62CAD0BF" w14:textId="77777777" w:rsidR="008A7165" w:rsidRPr="00E14DCC" w:rsidRDefault="008A7165" w:rsidP="008A7165">
      <w:pPr>
        <w:spacing w:after="0" w:line="240" w:lineRule="auto"/>
        <w:rPr>
          <w:rFonts w:ascii="Times New Roman" w:eastAsia="Times New Roman" w:hAnsi="Times New Roman" w:cs="Times New Roman"/>
        </w:rPr>
      </w:pPr>
    </w:p>
    <w:p w14:paraId="19B71D3C" w14:textId="77777777" w:rsidR="008A7165" w:rsidRPr="00E14DCC" w:rsidRDefault="008A7165" w:rsidP="008A7165">
      <w:pPr>
        <w:spacing w:after="0" w:line="240" w:lineRule="auto"/>
        <w:rPr>
          <w:rFonts w:ascii="Times New Roman" w:eastAsia="Times New Roman" w:hAnsi="Times New Roman" w:cs="Times New Roman"/>
        </w:rPr>
      </w:pPr>
    </w:p>
    <w:p w14:paraId="20E94537"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 xml:space="preserve">2. Palaikomasis gydymas: </w:t>
      </w:r>
    </w:p>
    <w:p w14:paraId="30110E3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rPr>
        <w:t xml:space="preserve">i)Remisijai, atsiradusiai dėl citarabino ar kitokių vaistinių preparatų poveikio, išsaugoti kartą arba du kartus per savaitę skiriama 1 mg/kg injekcija į veną arba po oda. </w:t>
      </w:r>
    </w:p>
    <w:p w14:paraId="195B5FE0" w14:textId="77777777" w:rsidR="008A7165" w:rsidRPr="00E14DCC" w:rsidRDefault="008A7165" w:rsidP="008A7165">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 xml:space="preserve">ii) </w:t>
      </w:r>
      <w:r w:rsidRPr="00E14DCC">
        <w:rPr>
          <w:rFonts w:ascii="Times New Roman" w:eastAsia="Times New Roman" w:hAnsi="Times New Roman" w:cs="Times New Roman"/>
        </w:rPr>
        <w:t>5 paras kas mėnesį skiriama nepertraukiama 100-200 mg/m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rPr>
        <w:t xml:space="preserve"> dozės citabirino monoterapijos arba jo derinio su kitais citostatikais infuzija. </w:t>
      </w:r>
    </w:p>
    <w:p w14:paraId="6179CC92" w14:textId="1D06ED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rPr>
        <w:t xml:space="preserve">Taikant didelių dozių gydymą, griežtai prižiūrint gydytojui, 2-6 paras, kas 12 valandų, skiriama </w:t>
      </w:r>
      <w:r w:rsidRPr="00E14DCC">
        <w:rPr>
          <w:rFonts w:ascii="Times New Roman" w:eastAsia="Times New Roman" w:hAnsi="Times New Roman" w:cs="Times New Roman"/>
          <w:b/>
        </w:rPr>
        <w:t>2-</w:t>
      </w:r>
      <w:r w:rsidR="00E14DCC" w:rsidRPr="00E14DCC">
        <w:rPr>
          <w:rFonts w:ascii="Times New Roman" w:eastAsia="Times New Roman" w:hAnsi="Times New Roman" w:cs="Times New Roman"/>
          <w:b/>
        </w:rPr>
        <w:t>3 </w:t>
      </w:r>
      <w:r w:rsidRPr="00E14DCC">
        <w:rPr>
          <w:rFonts w:ascii="Times New Roman" w:eastAsia="Times New Roman" w:hAnsi="Times New Roman" w:cs="Times New Roman"/>
          <w:b/>
        </w:rPr>
        <w:t>g/m</w:t>
      </w:r>
      <w:r w:rsidRPr="00E14DCC">
        <w:rPr>
          <w:rFonts w:ascii="Times New Roman" w:eastAsia="Times New Roman" w:hAnsi="Times New Roman" w:cs="Times New Roman"/>
          <w:b/>
          <w:vertAlign w:val="superscript"/>
        </w:rPr>
        <w:t xml:space="preserve">2 </w:t>
      </w:r>
      <w:r w:rsidRPr="00E14DCC">
        <w:rPr>
          <w:rFonts w:ascii="Times New Roman" w:eastAsia="Times New Roman" w:hAnsi="Times New Roman" w:cs="Times New Roman"/>
          <w:bCs/>
          <w:iCs/>
        </w:rPr>
        <w:t>dozės vieno citarabino arba jo derinio su kitais citostatikais dozės</w:t>
      </w:r>
      <w:r w:rsidRPr="00E14DCC">
        <w:rPr>
          <w:rFonts w:ascii="Times New Roman" w:eastAsia="Times New Roman" w:hAnsi="Times New Roman" w:cs="Times New Roman"/>
        </w:rPr>
        <w:t>, 1-3 valandų trukmės</w:t>
      </w:r>
      <w:r w:rsidRPr="00E14DCC">
        <w:rPr>
          <w:rFonts w:ascii="Times New Roman" w:eastAsia="Times New Roman" w:hAnsi="Times New Roman" w:cs="Times New Roman"/>
          <w:bCs/>
          <w:iCs/>
        </w:rPr>
        <w:t xml:space="preserve"> intraveninė infuzija. (Iš viso </w:t>
      </w:r>
      <w:r w:rsidRPr="00E14DCC">
        <w:rPr>
          <w:rFonts w:ascii="Times New Roman" w:eastAsia="Times New Roman" w:hAnsi="Times New Roman" w:cs="Times New Roman"/>
        </w:rPr>
        <w:t>12 dozių per vieną kursą). Negalima viršyti bendros 36 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bCs/>
          <w:iCs/>
        </w:rPr>
        <w:t>gydymo dozės.</w:t>
      </w:r>
    </w:p>
    <w:p w14:paraId="18A9DFB9" w14:textId="77777777" w:rsidR="008A7165" w:rsidRPr="00E14DCC" w:rsidRDefault="008A7165" w:rsidP="008A7165">
      <w:pPr>
        <w:spacing w:after="0" w:line="240" w:lineRule="auto"/>
        <w:rPr>
          <w:rFonts w:ascii="Times New Roman" w:eastAsia="Times New Roman" w:hAnsi="Times New Roman" w:cs="Times New Roman"/>
        </w:rPr>
      </w:pPr>
    </w:p>
    <w:p w14:paraId="47F87826"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
          <w:bCs/>
          <w:i/>
          <w:iCs/>
        </w:rPr>
        <w:t>Vaikai</w:t>
      </w:r>
    </w:p>
    <w:p w14:paraId="22262FA2"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Šio vaistinio preparato saugumas kūdikiams nėra pakankamai ištirtas. </w:t>
      </w:r>
    </w:p>
    <w:p w14:paraId="2DFE2DEC" w14:textId="77777777" w:rsidR="008A7165" w:rsidRPr="00E14DCC" w:rsidRDefault="008A7165" w:rsidP="008A7165">
      <w:pPr>
        <w:spacing w:after="0" w:line="240" w:lineRule="auto"/>
        <w:rPr>
          <w:rFonts w:ascii="Times New Roman" w:eastAsia="Times New Roman" w:hAnsi="Times New Roman" w:cs="Times New Roman"/>
          <w:b/>
          <w:bCs/>
          <w:i/>
          <w:iCs/>
        </w:rPr>
      </w:pPr>
      <w:r w:rsidRPr="00E14DCC">
        <w:rPr>
          <w:rFonts w:ascii="Times New Roman" w:eastAsia="Times New Roman" w:hAnsi="Times New Roman" w:cs="Times New Roman"/>
          <w:b/>
          <w:bCs/>
          <w:i/>
          <w:iCs/>
        </w:rPr>
        <w:t xml:space="preserve">Pacientai su sutrikusia kepenų ar inkstų funkcija </w:t>
      </w:r>
    </w:p>
    <w:p w14:paraId="0B3488EF" w14:textId="77777777" w:rsidR="008A7165" w:rsidRPr="00E14DCC" w:rsidRDefault="008A7165" w:rsidP="008A7165">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Cs/>
          <w:iCs/>
        </w:rPr>
        <w:t xml:space="preserve">Pacientams su sutrikusia kepenų ar inkstų funkcija dozė turi būti sumažinta. </w:t>
      </w:r>
    </w:p>
    <w:p w14:paraId="7975F643" w14:textId="77777777" w:rsidR="008A7165" w:rsidRPr="00E14DCC" w:rsidRDefault="008A7165" w:rsidP="008A7165">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
          <w:bCs/>
          <w:i/>
          <w:iCs/>
          <w:color w:val="000000"/>
        </w:rPr>
        <w:t>Senyvi pacientai</w:t>
      </w:r>
    </w:p>
    <w:p w14:paraId="3D756672" w14:textId="0D2B8916" w:rsidR="008A7165" w:rsidRPr="00E14DCC" w:rsidRDefault="008A7165" w:rsidP="008A7165">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Cs/>
          <w:iCs/>
          <w:color w:val="000000"/>
        </w:rPr>
        <w:t>Informacijos, kad senyviems pacientams reiktų keisti dozavimą nėra. Tačiau, senyvi pacientai yra jautresni vaistinio preparato toksiniam poveikiui nei jaunesni.</w:t>
      </w:r>
      <w:r w:rsidR="00A6660D">
        <w:rPr>
          <w:rFonts w:ascii="Times New Roman" w:eastAsia="Times New Roman" w:hAnsi="Times New Roman" w:cs="Times New Roman"/>
          <w:bCs/>
          <w:iCs/>
          <w:color w:val="000000"/>
        </w:rPr>
        <w:t xml:space="preserve"> </w:t>
      </w:r>
      <w:r w:rsidRPr="00E14DCC">
        <w:rPr>
          <w:rFonts w:ascii="Times New Roman" w:eastAsia="Times New Roman" w:hAnsi="Times New Roman" w:cs="Times New Roman"/>
          <w:bCs/>
          <w:iCs/>
          <w:color w:val="000000"/>
        </w:rPr>
        <w:t xml:space="preserve">Vyresniems nei </w:t>
      </w:r>
      <w:r w:rsidRPr="00E14DCC">
        <w:rPr>
          <w:rFonts w:ascii="Times New Roman" w:eastAsia="Times New Roman" w:hAnsi="Times New Roman" w:cs="Times New Roman"/>
        </w:rPr>
        <w:t xml:space="preserve">60 metų pacientams, didelių dozių gydymą galima taikyti tik atidžiai įvertinus gydymo keliamo pavojaus ir naudos santykį. </w:t>
      </w:r>
    </w:p>
    <w:p w14:paraId="5BE7F1DD" w14:textId="77777777" w:rsidR="008A7165" w:rsidRPr="00E14DCC" w:rsidRDefault="008A7165" w:rsidP="008A7165">
      <w:pPr>
        <w:spacing w:after="0" w:line="240" w:lineRule="auto"/>
        <w:rPr>
          <w:rFonts w:ascii="Times New Roman" w:eastAsia="Times New Roman" w:hAnsi="Times New Roman" w:cs="Times New Roman"/>
          <w:b/>
          <w:bCs/>
        </w:rPr>
      </w:pPr>
    </w:p>
    <w:p w14:paraId="6C368BF1" w14:textId="77777777" w:rsidR="008A7165" w:rsidRPr="00E14DCC" w:rsidRDefault="008A7165" w:rsidP="008A7165">
      <w:pPr>
        <w:tabs>
          <w:tab w:val="left" w:pos="840"/>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Nesuderinamumas</w:t>
      </w:r>
    </w:p>
    <w:p w14:paraId="03A38288"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Vaistinis preparatas nesuderinamas su karbenicilino natrio druska, cefalotino natrio druska, gentamicino sulfatu, heparino natrio druska, hidrokortizono natrio sukcinatu, įprastiniu insulinu, metotreksatu, 5-fluorouracilu, nafcilino natrio druska, oksacilino natrio druska, penicilino G natrio druska (benzilpenicilinu), metilprednizolono natrio sukcinatu ir prednizolono sukcinatu. </w:t>
      </w:r>
    </w:p>
    <w:p w14:paraId="32D35720" w14:textId="77777777" w:rsidR="008A7165" w:rsidRPr="00E14DCC" w:rsidRDefault="008A7165" w:rsidP="008A7165">
      <w:pPr>
        <w:tabs>
          <w:tab w:val="left" w:pos="840"/>
        </w:tabs>
        <w:spacing w:after="0" w:line="240" w:lineRule="auto"/>
        <w:rPr>
          <w:rFonts w:ascii="Times New Roman" w:eastAsia="Times New Roman" w:hAnsi="Times New Roman" w:cs="Times New Roman"/>
        </w:rPr>
      </w:pPr>
    </w:p>
    <w:p w14:paraId="70C2378B" w14:textId="77777777" w:rsidR="008A7165" w:rsidRPr="00E14DCC" w:rsidRDefault="008A7165" w:rsidP="008A7165">
      <w:pPr>
        <w:tabs>
          <w:tab w:val="left" w:pos="840"/>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Vartojimo ir vaistinio preparato ruošimo nurodymai</w:t>
      </w:r>
    </w:p>
    <w:p w14:paraId="65D9D64A" w14:textId="77777777" w:rsidR="008A7165" w:rsidRPr="00E14DCC" w:rsidRDefault="008A7165" w:rsidP="008A7165">
      <w:pPr>
        <w:tabs>
          <w:tab w:val="left" w:pos="840"/>
        </w:tabs>
        <w:spacing w:after="0" w:line="240" w:lineRule="auto"/>
        <w:rPr>
          <w:rFonts w:ascii="Times New Roman" w:eastAsia="Times New Roman" w:hAnsi="Times New Roman" w:cs="Times New Roman"/>
          <w:bCs/>
        </w:rPr>
      </w:pPr>
    </w:p>
    <w:p w14:paraId="70FECC64"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Tik vienkartiniam vartojimui. </w:t>
      </w:r>
    </w:p>
    <w:p w14:paraId="79F40DAA" w14:textId="77777777" w:rsidR="008A7165" w:rsidRPr="00E14DCC" w:rsidRDefault="008A7165" w:rsidP="008A7165">
      <w:pPr>
        <w:spacing w:after="0" w:line="240" w:lineRule="auto"/>
        <w:rPr>
          <w:rFonts w:ascii="Times New Roman" w:eastAsia="Times New Roman" w:hAnsi="Times New Roman" w:cs="Times New Roman"/>
        </w:rPr>
      </w:pPr>
    </w:p>
    <w:p w14:paraId="22BD1DF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Jei tirpalo spalva pakito ar pastebite jame matomų dalelių, jį reikia sunaikinti. </w:t>
      </w:r>
    </w:p>
    <w:p w14:paraId="4C33FD53" w14:textId="77777777" w:rsidR="008A7165" w:rsidRPr="00E14DCC" w:rsidRDefault="008A7165" w:rsidP="008A7165">
      <w:pPr>
        <w:spacing w:after="0" w:line="240" w:lineRule="auto"/>
        <w:rPr>
          <w:rFonts w:ascii="Times New Roman" w:eastAsia="Times New Roman" w:hAnsi="Times New Roman" w:cs="Times New Roman"/>
        </w:rPr>
      </w:pPr>
    </w:p>
    <w:p w14:paraId="018A3C8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Atidarius, kiekvieno flakono turinį reikia nedelsiant suvartoti. Nesuvartotą turinį reikia sunaikinti.  </w:t>
      </w:r>
    </w:p>
    <w:p w14:paraId="2F401B86" w14:textId="77777777" w:rsidR="008A7165" w:rsidRPr="00E14DCC" w:rsidRDefault="008A7165" w:rsidP="008A7165">
      <w:pPr>
        <w:spacing w:after="0" w:line="240" w:lineRule="auto"/>
        <w:rPr>
          <w:rFonts w:ascii="Times New Roman" w:eastAsia="Times New Roman" w:hAnsi="Times New Roman" w:cs="Times New Roman"/>
        </w:rPr>
      </w:pPr>
    </w:p>
    <w:p w14:paraId="496CA46B"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Accord gali būti skiedžiamas injekciniu vandeniu, 0,9% m/V natrio chlorido arba 5% m/V gliukozės injekciniu tirpalu (žr. 6.3 skyrių). Cytarabine Accord negalima maišyti su kitais vaistiniais preparatais, išskyrus nurodytus 6.6 skyriuje. </w:t>
      </w:r>
    </w:p>
    <w:p w14:paraId="67EC7FD0" w14:textId="77777777" w:rsidR="008A7165" w:rsidRPr="00E14DCC" w:rsidRDefault="008A7165" w:rsidP="008A7165">
      <w:pPr>
        <w:spacing w:after="0" w:line="240" w:lineRule="auto"/>
        <w:rPr>
          <w:rFonts w:ascii="Times New Roman" w:eastAsia="Times New Roman" w:hAnsi="Times New Roman" w:cs="Times New Roman"/>
        </w:rPr>
      </w:pPr>
    </w:p>
    <w:p w14:paraId="76F0361C"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Citotoksinių vaistinių preparatų ruošimo gairės</w:t>
      </w:r>
    </w:p>
    <w:p w14:paraId="7858D16C" w14:textId="77777777" w:rsidR="008A7165" w:rsidRPr="00E14DCC" w:rsidDel="00D63DD3" w:rsidRDefault="008A7165" w:rsidP="008A7165">
      <w:pPr>
        <w:spacing w:after="0" w:line="240" w:lineRule="auto"/>
        <w:rPr>
          <w:rFonts w:ascii="Times New Roman" w:eastAsia="Times New Roman" w:hAnsi="Times New Roman" w:cs="Times New Roman"/>
        </w:rPr>
      </w:pPr>
    </w:p>
    <w:p w14:paraId="026702D1"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Skyrimas</w:t>
      </w:r>
    </w:p>
    <w:p w14:paraId="44E3B2AA" w14:textId="77777777" w:rsidR="008A7165" w:rsidRPr="00E14DCC" w:rsidRDefault="008A7165" w:rsidP="008A7165">
      <w:pPr>
        <w:spacing w:after="0" w:line="240" w:lineRule="auto"/>
        <w:rPr>
          <w:rFonts w:ascii="Times New Roman" w:eastAsia="Times New Roman" w:hAnsi="Times New Roman" w:cs="Times New Roman"/>
        </w:rPr>
      </w:pPr>
    </w:p>
    <w:p w14:paraId="6E49FA13"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Vaistinį preparatą turi leisti arba jo leidimą prižiūrėti tik gydytojas, turintis gydymo chemoterapiniais preparatais patirties. </w:t>
      </w:r>
    </w:p>
    <w:p w14:paraId="270BA556" w14:textId="77777777" w:rsidR="008A7165" w:rsidRPr="00E14DCC" w:rsidRDefault="008A7165" w:rsidP="008A7165">
      <w:pPr>
        <w:spacing w:after="0" w:line="240" w:lineRule="auto"/>
        <w:rPr>
          <w:rFonts w:ascii="Times New Roman" w:eastAsia="Times New Roman" w:hAnsi="Times New Roman" w:cs="Times New Roman"/>
        </w:rPr>
      </w:pPr>
    </w:p>
    <w:p w14:paraId="04D2A698"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Paruošimas</w:t>
      </w:r>
    </w:p>
    <w:p w14:paraId="204DBA3C" w14:textId="77777777" w:rsidR="008A7165" w:rsidRPr="00E14DCC" w:rsidRDefault="008A7165" w:rsidP="00CE644F">
      <w:pPr>
        <w:numPr>
          <w:ilvl w:val="0"/>
          <w:numId w:val="22"/>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Chemoterapinius preparatus gali ruošti tik specialistai, turintys saugaus tokių vaistinių preparatų vartojimo patirties. </w:t>
      </w:r>
    </w:p>
    <w:p w14:paraId="60EE5F4B" w14:textId="77777777" w:rsidR="008A7165" w:rsidRPr="00E14DCC" w:rsidRDefault="008A7165" w:rsidP="00CE644F">
      <w:pPr>
        <w:numPr>
          <w:ilvl w:val="0"/>
          <w:numId w:val="22"/>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Tokios procedūros kaip skiedimas, įtraukimas į švirkštą, gali būti atliekamos tik tam specialiai paskirtoje vietoje. </w:t>
      </w:r>
    </w:p>
    <w:p w14:paraId="33CAB5BC" w14:textId="77777777" w:rsidR="008A7165" w:rsidRPr="00E14DCC" w:rsidRDefault="008A7165" w:rsidP="00CE644F">
      <w:pPr>
        <w:numPr>
          <w:ilvl w:val="0"/>
          <w:numId w:val="22"/>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Darbuotojai, atliekantys šias procedūras, turi turėti tinkamus apsauginius drabužius, pirštines ir apsauginius akinius. </w:t>
      </w:r>
    </w:p>
    <w:p w14:paraId="02AABFF2" w14:textId="77777777" w:rsidR="008A7165" w:rsidRPr="00E14DCC" w:rsidRDefault="008A7165" w:rsidP="00CE644F">
      <w:pPr>
        <w:numPr>
          <w:ilvl w:val="0"/>
          <w:numId w:val="22"/>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Nėščioms darbuotojoms patariama nedirbti su chemoterapiniais preparatais. </w:t>
      </w:r>
    </w:p>
    <w:p w14:paraId="6B9267CD" w14:textId="77777777" w:rsidR="008A7165" w:rsidRPr="00E14DCC" w:rsidRDefault="008A7165" w:rsidP="008A7165">
      <w:pPr>
        <w:tabs>
          <w:tab w:val="num" w:pos="567"/>
        </w:tabs>
        <w:spacing w:after="0" w:line="240" w:lineRule="auto"/>
        <w:ind w:left="567" w:hanging="283"/>
        <w:rPr>
          <w:rFonts w:ascii="Times New Roman" w:eastAsia="Times New Roman" w:hAnsi="Times New Roman" w:cs="Times New Roman"/>
        </w:rPr>
      </w:pPr>
    </w:p>
    <w:p w14:paraId="6AA508DA" w14:textId="77777777" w:rsidR="008A7165" w:rsidRPr="00E14DCC" w:rsidRDefault="008A7165" w:rsidP="008A7165">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Atliekų tvarkymas ir užterštumas</w:t>
      </w:r>
    </w:p>
    <w:p w14:paraId="58517AD2" w14:textId="77777777" w:rsidR="008A7165" w:rsidRPr="00E14DCC" w:rsidRDefault="008A7165" w:rsidP="008A7165">
      <w:pPr>
        <w:spacing w:after="0" w:line="240" w:lineRule="auto"/>
        <w:rPr>
          <w:rFonts w:ascii="Times New Roman" w:eastAsia="Times New Roman" w:hAnsi="Times New Roman" w:cs="Times New Roman"/>
        </w:rPr>
      </w:pPr>
    </w:p>
    <w:p w14:paraId="48E1AC2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Nesuvartotą vaistinį preparatą ar atliekas reikia tvarkyti laikantis vietinių reikalavimų.</w:t>
      </w:r>
    </w:p>
    <w:p w14:paraId="1495E9D3" w14:textId="77777777" w:rsidR="008A7165" w:rsidRPr="00E14DCC" w:rsidRDefault="008A7165" w:rsidP="008A7165">
      <w:pPr>
        <w:spacing w:after="0" w:line="240" w:lineRule="auto"/>
        <w:rPr>
          <w:rFonts w:ascii="Times New Roman" w:eastAsia="Times New Roman" w:hAnsi="Times New Roman" w:cs="Times New Roman"/>
        </w:rPr>
      </w:pPr>
    </w:p>
    <w:p w14:paraId="56380A15"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Norėdami sunaikinti, įdėkite į maišelį labai pavojingoms (citotoksinėms) atliekoms ir sudeginkite 1100 </w:t>
      </w:r>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 temperatūroje. Nesuvartotą vaistinį preparatą ar atliekas reikia tvarkyti laikantis vietinių reikalavimų.</w:t>
      </w:r>
    </w:p>
    <w:p w14:paraId="3EE7BDF1" w14:textId="77777777" w:rsidR="008A7165" w:rsidRPr="00E14DCC" w:rsidRDefault="008A7165" w:rsidP="008A7165">
      <w:pPr>
        <w:spacing w:after="0" w:line="240" w:lineRule="auto"/>
        <w:rPr>
          <w:rFonts w:ascii="Times New Roman" w:eastAsia="Times New Roman" w:hAnsi="Times New Roman" w:cs="Times New Roman"/>
        </w:rPr>
      </w:pPr>
    </w:p>
    <w:p w14:paraId="5B6E991F"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Jeigu vaistinio preparato išsiliejo, reikia apriboti patekimą į užterštą vietą ir dėvėti tinkamas apsaugos priemones, įskaitant pirštines ir apsauginius akinius. Apribokite vaistinio preparato plitimą ir išvalykite užterštą plotą absorbuojančiu popieriumi ar medžiaga. Išsiliejusį vaistinį preparatą galima apdoroti 5 % natrio hipochloritu. Vietą, kur buvo išsilieję vaistinio preparato, reikia išplauti gausiu vandens kiekiu. Užterštas medžiagas, įdėkite į sandarų maišelį citotoksinėms atliekoms ir sudeginkite 1100</w:t>
      </w:r>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 temperatūroje.</w:t>
      </w:r>
    </w:p>
    <w:p w14:paraId="3CF51A8C" w14:textId="77777777" w:rsidR="008A7165" w:rsidRPr="00E14DCC" w:rsidRDefault="008A7165" w:rsidP="008A7165">
      <w:pPr>
        <w:spacing w:after="0" w:line="240" w:lineRule="auto"/>
        <w:rPr>
          <w:rFonts w:ascii="Times New Roman" w:eastAsia="Times New Roman" w:hAnsi="Times New Roman" w:cs="Times New Roman"/>
        </w:rPr>
      </w:pPr>
    </w:p>
    <w:p w14:paraId="22082FFF"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Tinkamumo laikas</w:t>
      </w:r>
    </w:p>
    <w:p w14:paraId="2F2619E3" w14:textId="77777777" w:rsidR="008A7165" w:rsidRPr="00E14DCC" w:rsidRDefault="008A7165" w:rsidP="008A7165">
      <w:pPr>
        <w:autoSpaceDE w:val="0"/>
        <w:autoSpaceDN w:val="0"/>
        <w:adjustRightInd w:val="0"/>
        <w:spacing w:after="0" w:line="240" w:lineRule="auto"/>
        <w:ind w:left="-24"/>
        <w:rPr>
          <w:rFonts w:ascii="Times New Roman" w:eastAsia="Times New Roman" w:hAnsi="Times New Roman" w:cs="Times New Roman"/>
        </w:rPr>
      </w:pPr>
      <w:r w:rsidRPr="00E14DCC">
        <w:rPr>
          <w:rFonts w:ascii="Times New Roman" w:eastAsia="Times New Roman" w:hAnsi="Times New Roman" w:cs="Times New Roman"/>
        </w:rPr>
        <w:t>2 metai.</w:t>
      </w:r>
    </w:p>
    <w:p w14:paraId="63BBE18B"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b/>
          <w:bCs/>
        </w:rPr>
      </w:pPr>
    </w:p>
    <w:p w14:paraId="39C887A9" w14:textId="77777777" w:rsidR="008A7165" w:rsidRPr="00E14DCC" w:rsidRDefault="008A7165" w:rsidP="008A7165">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Paruošto vartoti vaistinio preparato stabilumas. Cheminės ir fizinės savybės 0,9% m/V natrio chlorido ir 5% m/V gliukozės injekciniame tirpale nekinta iki 24 valandų, laikant žemesnėje kaip 25° C temperatūroje, ir iki 72 valandų, </w:t>
      </w:r>
      <w:r w:rsidRPr="00E14DCC">
        <w:rPr>
          <w:rFonts w:ascii="Times New Roman" w:eastAsia="Times New Roman" w:hAnsi="Times New Roman" w:cs="Times New Roman"/>
          <w:bCs/>
        </w:rPr>
        <w:t>laikant</w:t>
      </w:r>
      <w:r w:rsidRPr="00E14DCC">
        <w:rPr>
          <w:rFonts w:ascii="Times New Roman" w:eastAsia="Times New Roman" w:hAnsi="Times New Roman" w:cs="Times New Roman"/>
        </w:rPr>
        <w:t xml:space="preserve"> 2 </w:t>
      </w:r>
      <w:r w:rsidRPr="00E14DCC">
        <w:rPr>
          <w:rFonts w:ascii="Times New Roman" w:eastAsia="Times New Roman" w:hAnsi="Times New Roman" w:cs="Times New Roman"/>
          <w:bCs/>
          <w:color w:val="000000"/>
        </w:rPr>
        <w:t>°C</w:t>
      </w:r>
      <w:r w:rsidRPr="00E14DCC">
        <w:rPr>
          <w:rFonts w:ascii="Times New Roman" w:eastAsia="Times New Roman" w:hAnsi="Times New Roman" w:cs="Times New Roman"/>
        </w:rPr>
        <w:t xml:space="preserve"> -8 °C temperatūroje. </w:t>
      </w:r>
      <w:r w:rsidRPr="00E14DCC">
        <w:rPr>
          <w:rFonts w:ascii="Times New Roman" w:eastAsia="Times New Roman" w:hAnsi="Times New Roman" w:cs="Times New Roman"/>
          <w:color w:val="000000"/>
        </w:rPr>
        <w:t>Mikrobiologiniu požiūriu, vaistinį preparatą reikia suvartoti nedelsiant. Jeigu vaistinis preparatas nesuvartojamas iš karto, atsakomybė už paruošto vartoti vaistinio preparato laikymo laiką ir sąlygas tenka vartotojui. Įprastai paruoštas vaistinis preparatas neturėtu būti laikomas ilgiau kaip 24 valandas 2 </w:t>
      </w:r>
      <w:r w:rsidRPr="00E14DCC">
        <w:rPr>
          <w:rFonts w:ascii="Times New Roman" w:eastAsia="Times New Roman" w:hAnsi="Times New Roman" w:cs="Times New Roman"/>
          <w:bCs/>
          <w:color w:val="000000"/>
        </w:rPr>
        <w:t>°C</w:t>
      </w:r>
      <w:r w:rsidRPr="00E14DCC">
        <w:rPr>
          <w:rFonts w:ascii="Times New Roman" w:eastAsia="Times New Roman" w:hAnsi="Times New Roman" w:cs="Times New Roman"/>
          <w:color w:val="000000"/>
        </w:rPr>
        <w:t xml:space="preserve"> - 8 °C temperatūroje, nebent skiedimas buvo atliktas kontroliuojamomis ir patvirtintomis aseptinėmis sąlygomis.</w:t>
      </w:r>
    </w:p>
    <w:p w14:paraId="5D092307" w14:textId="77777777" w:rsidR="008A7165" w:rsidRPr="00E14DCC" w:rsidRDefault="008A7165" w:rsidP="008A7165">
      <w:pPr>
        <w:autoSpaceDE w:val="0"/>
        <w:autoSpaceDN w:val="0"/>
        <w:adjustRightInd w:val="0"/>
        <w:spacing w:after="0" w:line="240" w:lineRule="auto"/>
        <w:ind w:left="-24"/>
        <w:rPr>
          <w:rFonts w:ascii="Times New Roman" w:eastAsia="Times New Roman" w:hAnsi="Times New Roman" w:cs="Times New Roman"/>
          <w:b/>
          <w:bCs/>
        </w:rPr>
      </w:pPr>
    </w:p>
    <w:p w14:paraId="4291AC11" w14:textId="77777777" w:rsidR="008A7165" w:rsidRPr="00E14DCC" w:rsidRDefault="008A7165" w:rsidP="008A7165">
      <w:pPr>
        <w:autoSpaceDE w:val="0"/>
        <w:autoSpaceDN w:val="0"/>
        <w:adjustRightInd w:val="0"/>
        <w:spacing w:after="0" w:line="240" w:lineRule="auto"/>
        <w:ind w:left="-24"/>
        <w:rPr>
          <w:rFonts w:ascii="Times New Roman" w:eastAsia="Times New Roman" w:hAnsi="Times New Roman" w:cs="Times New Roman"/>
          <w:bCs/>
        </w:rPr>
      </w:pPr>
      <w:r w:rsidRPr="00E14DCC">
        <w:rPr>
          <w:rFonts w:ascii="Times New Roman" w:eastAsia="Times New Roman" w:hAnsi="Times New Roman" w:cs="Times New Roman"/>
          <w:b/>
          <w:bCs/>
        </w:rPr>
        <w:t>Laikymo sąlygos</w:t>
      </w:r>
    </w:p>
    <w:p w14:paraId="6982F0EC" w14:textId="77777777" w:rsidR="008A7165" w:rsidRPr="00E14DCC" w:rsidRDefault="008A7165" w:rsidP="008A7165">
      <w:pPr>
        <w:autoSpaceDE w:val="0"/>
        <w:autoSpaceDN w:val="0"/>
        <w:adjustRightInd w:val="0"/>
        <w:spacing w:after="0" w:line="240" w:lineRule="auto"/>
        <w:ind w:left="-24"/>
        <w:rPr>
          <w:rFonts w:ascii="Times New Roman" w:eastAsia="Times New Roman" w:hAnsi="Times New Roman" w:cs="Times New Roman"/>
          <w:bCs/>
        </w:rPr>
      </w:pPr>
      <w:r w:rsidRPr="00E14DCC">
        <w:rPr>
          <w:rFonts w:ascii="Times New Roman" w:eastAsia="Times New Roman" w:hAnsi="Times New Roman" w:cs="Times New Roman"/>
          <w:bCs/>
        </w:rPr>
        <w:t>Laikyti ne aukštesnėje kaip 25°C temperatūroje.</w:t>
      </w:r>
    </w:p>
    <w:p w14:paraId="5F618B63" w14:textId="77777777" w:rsidR="008A7165" w:rsidRPr="00E14DCC" w:rsidRDefault="008A7165" w:rsidP="008A7165">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Negalima šaldyti ar užšaldyti.    </w:t>
      </w:r>
    </w:p>
    <w:p w14:paraId="3C53161E" w14:textId="77777777" w:rsidR="00E74115" w:rsidRPr="00E14DCC" w:rsidRDefault="00E74115"/>
    <w:sectPr w:rsidR="00E74115" w:rsidRPr="00E14DCC" w:rsidSect="00D45CC2">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rinda">
    <w:altName w:val="Courier New"/>
    <w:panose1 w:val="00000400000000000000"/>
    <w:charset w:val="01"/>
    <w:family w:val="roman"/>
    <w:pitch w:val="variable"/>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913825"/>
    <w:multiLevelType w:val="hybridMultilevel"/>
    <w:tmpl w:val="5C8030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7B3ED7"/>
    <w:multiLevelType w:val="multilevel"/>
    <w:tmpl w:val="F1D8A5C2"/>
    <w:lvl w:ilvl="0">
      <w:start w:val="4"/>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174D08C7"/>
    <w:multiLevelType w:val="multilevel"/>
    <w:tmpl w:val="B002C26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E584C76"/>
    <w:multiLevelType w:val="multilevel"/>
    <w:tmpl w:val="01A46C84"/>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4CB1B8C"/>
    <w:multiLevelType w:val="multilevel"/>
    <w:tmpl w:val="DCFEB962"/>
    <w:lvl w:ilvl="0">
      <w:start w:val="6"/>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15:restartNumberingAfterBreak="0">
    <w:nsid w:val="35D73206"/>
    <w:multiLevelType w:val="hybridMultilevel"/>
    <w:tmpl w:val="BCC695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C885BB5"/>
    <w:multiLevelType w:val="multilevel"/>
    <w:tmpl w:val="080640D2"/>
    <w:lvl w:ilvl="0">
      <w:start w:val="6"/>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46CD5E8E"/>
    <w:multiLevelType w:val="multilevel"/>
    <w:tmpl w:val="6F684702"/>
    <w:lvl w:ilvl="0">
      <w:start w:val="4"/>
      <w:numFmt w:val="decimal"/>
      <w:lvlText w:val="%1"/>
      <w:lvlJc w:val="left"/>
      <w:pPr>
        <w:tabs>
          <w:tab w:val="num" w:pos="705"/>
        </w:tabs>
        <w:ind w:left="705" w:hanging="705"/>
      </w:pPr>
      <w:rPr>
        <w:rFonts w:cs="Times New Roman" w:hint="default"/>
      </w:rPr>
    </w:lvl>
    <w:lvl w:ilvl="1">
      <w:start w:val="6"/>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15:restartNumberingAfterBreak="0">
    <w:nsid w:val="4B12257D"/>
    <w:multiLevelType w:val="multilevel"/>
    <w:tmpl w:val="E970006C"/>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60FB592F"/>
    <w:multiLevelType w:val="multilevel"/>
    <w:tmpl w:val="AB22B71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4F67866"/>
    <w:multiLevelType w:val="multilevel"/>
    <w:tmpl w:val="61DA4EA2"/>
    <w:lvl w:ilvl="0">
      <w:start w:val="6"/>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15:restartNumberingAfterBreak="0">
    <w:nsid w:val="68EA272F"/>
    <w:multiLevelType w:val="hybridMultilevel"/>
    <w:tmpl w:val="F8D6F6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F3B7189"/>
    <w:multiLevelType w:val="hybridMultilevel"/>
    <w:tmpl w:val="D3BED8B4"/>
    <w:lvl w:ilvl="0" w:tplc="CF50B08E">
      <w:start w:val="17"/>
      <w:numFmt w:val="decimal"/>
      <w:lvlText w:val="%1."/>
      <w:lvlJc w:val="left"/>
      <w:pPr>
        <w:ind w:left="570" w:hanging="57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5C25C2D"/>
    <w:multiLevelType w:val="hybridMultilevel"/>
    <w:tmpl w:val="DC3CA9F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2"/>
  </w:num>
  <w:num w:numId="3">
    <w:abstractNumId w:val="9"/>
  </w:num>
  <w:num w:numId="4">
    <w:abstractNumId w:val="10"/>
  </w:num>
  <w:num w:numId="5">
    <w:abstractNumId w:val="6"/>
  </w:num>
  <w:num w:numId="6">
    <w:abstractNumId w:val="12"/>
  </w:num>
  <w:num w:numId="7">
    <w:abstractNumId w:val="1"/>
  </w:num>
  <w:num w:numId="8">
    <w:abstractNumId w:val="13"/>
  </w:num>
  <w:num w:numId="9">
    <w:abstractNumId w:val="11"/>
  </w:num>
  <w:num w:numId="10">
    <w:abstractNumId w:val="4"/>
  </w:num>
  <w:num w:numId="11">
    <w:abstractNumId w:val="3"/>
  </w:num>
  <w:num w:numId="12">
    <w:abstractNumId w:val="8"/>
  </w:num>
  <w:num w:numId="13">
    <w:abstractNumId w:val="7"/>
  </w:num>
  <w:num w:numId="14">
    <w:abstractNumId w:val="15"/>
  </w:num>
  <w:num w:numId="15">
    <w:abstractNumId w:val="0"/>
    <w:lvlOverride w:ilvl="0">
      <w:lvl w:ilvl="0">
        <w:start w:val="1"/>
        <w:numFmt w:val="bullet"/>
        <w:lvlText w:val="-"/>
        <w:lvlJc w:val="left"/>
        <w:pPr>
          <w:ind w:left="360" w:hanging="360"/>
        </w:pPr>
      </w:lvl>
    </w:lvlOverride>
  </w:num>
  <w:num w:numId="16">
    <w:abstractNumId w:val="14"/>
  </w:num>
  <w:num w:numId="17">
    <w:abstractNumId w:val="5"/>
  </w:num>
  <w:num w:numId="18">
    <w:abstractNumId w:val="11"/>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num>
  <w:num w:numId="23">
    <w:abstractNumId w:val="0"/>
  </w:num>
  <w:num w:numId="24">
    <w:abstractNumId w:val="13"/>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F8D"/>
    <w:rsid w:val="00062EFA"/>
    <w:rsid w:val="000850CE"/>
    <w:rsid w:val="001145F5"/>
    <w:rsid w:val="001D1140"/>
    <w:rsid w:val="002067AC"/>
    <w:rsid w:val="00214340"/>
    <w:rsid w:val="00297DD4"/>
    <w:rsid w:val="002E7379"/>
    <w:rsid w:val="003077C6"/>
    <w:rsid w:val="00341FDE"/>
    <w:rsid w:val="00352286"/>
    <w:rsid w:val="003C1C8F"/>
    <w:rsid w:val="004150B1"/>
    <w:rsid w:val="004349FE"/>
    <w:rsid w:val="00627EBC"/>
    <w:rsid w:val="0063504B"/>
    <w:rsid w:val="007D5DE9"/>
    <w:rsid w:val="00805CDB"/>
    <w:rsid w:val="00831F8D"/>
    <w:rsid w:val="00833FDE"/>
    <w:rsid w:val="008A7165"/>
    <w:rsid w:val="00A5786C"/>
    <w:rsid w:val="00A6660D"/>
    <w:rsid w:val="00A829FA"/>
    <w:rsid w:val="00A85071"/>
    <w:rsid w:val="00AE2E5C"/>
    <w:rsid w:val="00C33D2E"/>
    <w:rsid w:val="00CE644F"/>
    <w:rsid w:val="00D45CC2"/>
    <w:rsid w:val="00DB5EB8"/>
    <w:rsid w:val="00DD4F23"/>
    <w:rsid w:val="00E14DCC"/>
    <w:rsid w:val="00E22711"/>
    <w:rsid w:val="00E74115"/>
    <w:rsid w:val="00E77C2E"/>
    <w:rsid w:val="00E9206B"/>
    <w:rsid w:val="00EB1342"/>
    <w:rsid w:val="00F062A2"/>
    <w:rsid w:val="00F94274"/>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6066F"/>
  <w15:chartTrackingRefBased/>
  <w15:docId w15:val="{733A625E-CC2E-47D8-A6C7-F7E15B180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A7165"/>
    <w:pPr>
      <w:spacing w:after="200" w:line="276" w:lineRule="auto"/>
    </w:pPr>
    <w:rPr>
      <w:lang w:val="lt-LT"/>
    </w:rPr>
  </w:style>
  <w:style w:type="paragraph" w:styleId="Antrat1">
    <w:name w:val="heading 1"/>
    <w:basedOn w:val="prastasis"/>
    <w:next w:val="prastasis"/>
    <w:link w:val="Antrat1Diagrama"/>
    <w:qFormat/>
    <w:rsid w:val="008A7165"/>
    <w:pPr>
      <w:keepNext/>
      <w:spacing w:before="240" w:after="60" w:line="240" w:lineRule="auto"/>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CE644F"/>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CE644F"/>
    <w:pPr>
      <w:keepNext/>
      <w:spacing w:before="240" w:after="60" w:line="240" w:lineRule="auto"/>
      <w:outlineLvl w:val="2"/>
    </w:pPr>
    <w:rPr>
      <w:rFonts w:ascii="Arial" w:eastAsia="Times New Roman" w:hAnsi="Arial" w:cs="Arial"/>
      <w:b/>
      <w:bCs/>
      <w:sz w:val="26"/>
      <w:szCs w:val="26"/>
    </w:rPr>
  </w:style>
  <w:style w:type="paragraph" w:styleId="Antrat4">
    <w:name w:val="heading 4"/>
    <w:basedOn w:val="prastasis"/>
    <w:next w:val="prastasis"/>
    <w:link w:val="Antrat4Diagrama"/>
    <w:qFormat/>
    <w:rsid w:val="00CE644F"/>
    <w:pPr>
      <w:keepNext/>
      <w:spacing w:before="240" w:after="60" w:line="240" w:lineRule="auto"/>
      <w:outlineLvl w:val="3"/>
    </w:pPr>
    <w:rPr>
      <w:rFonts w:ascii="Calibri" w:eastAsia="Times New Roman" w:hAnsi="Calibri" w:cs="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A7165"/>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8A7165"/>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8A7165"/>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8A7165"/>
    <w:rPr>
      <w:rFonts w:ascii="Calibri" w:eastAsia="Times New Roman" w:hAnsi="Calibri" w:cs="Times New Roman"/>
      <w:b/>
      <w:bCs/>
      <w:sz w:val="28"/>
      <w:szCs w:val="28"/>
      <w:lang w:val="lt-LT"/>
    </w:rPr>
  </w:style>
  <w:style w:type="numbering" w:customStyle="1" w:styleId="Sraonra1">
    <w:name w:val="Sąrašo nėra1"/>
    <w:next w:val="Sraonra"/>
    <w:uiPriority w:val="99"/>
    <w:semiHidden/>
    <w:unhideWhenUsed/>
    <w:rsid w:val="008A7165"/>
  </w:style>
  <w:style w:type="character" w:styleId="Hipersaitas">
    <w:name w:val="Hyperlink"/>
    <w:uiPriority w:val="99"/>
    <w:rsid w:val="00CE644F"/>
    <w:rPr>
      <w:color w:val="0000FF"/>
      <w:u w:val="single"/>
    </w:rPr>
  </w:style>
  <w:style w:type="paragraph" w:customStyle="1" w:styleId="PI-1EMEASMCA">
    <w:name w:val="PI-1 EMEA_SMCA"/>
    <w:basedOn w:val="Antrat2"/>
    <w:autoRedefine/>
    <w:uiPriority w:val="99"/>
    <w:rsid w:val="008A7165"/>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8A716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link w:val="PI-1labEMEASMCA"/>
    <w:rsid w:val="008A7165"/>
    <w:rPr>
      <w:rFonts w:ascii="Times New Roman" w:eastAsia="Times New Roman" w:hAnsi="Times New Roman" w:cs="Times New Roman"/>
      <w:b/>
      <w:noProof/>
      <w:lang w:val="lt-LT"/>
    </w:rPr>
  </w:style>
  <w:style w:type="paragraph" w:customStyle="1" w:styleId="PI-2EMEASMCA">
    <w:name w:val="PI-2 EMEA_SMCA"/>
    <w:basedOn w:val="Antrat3"/>
    <w:autoRedefine/>
    <w:uiPriority w:val="99"/>
    <w:rsid w:val="008A716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8A7165"/>
    <w:pPr>
      <w:spacing w:after="0" w:line="240" w:lineRule="auto"/>
    </w:pPr>
    <w:rPr>
      <w:rFonts w:ascii="Times New Roman" w:eastAsia="Times New Roman" w:hAnsi="Times New Roman" w:cs="Times New Roman"/>
      <w:noProof/>
    </w:rPr>
  </w:style>
  <w:style w:type="character" w:customStyle="1" w:styleId="BTEMEASMCAChar">
    <w:name w:val="BT EMEA_SMCA Char"/>
    <w:link w:val="BTEMEASMCA"/>
    <w:rsid w:val="008A7165"/>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8A716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8A7165"/>
    <w:rPr>
      <w:rFonts w:ascii="Times New Roman" w:eastAsia="Times New Roman" w:hAnsi="Times New Roman" w:cs="Times New Roman"/>
      <w:b/>
      <w:caps/>
      <w:lang w:val="en-US"/>
    </w:rPr>
  </w:style>
  <w:style w:type="paragraph" w:customStyle="1" w:styleId="BTAnIIEMEASMCA">
    <w:name w:val="BT(AnII) EMEA_SMCA"/>
    <w:basedOn w:val="Debesliotekstas"/>
    <w:autoRedefine/>
    <w:uiPriority w:val="99"/>
    <w:rsid w:val="008A7165"/>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CE644F"/>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8A7165"/>
    <w:rPr>
      <w:rFonts w:ascii="Tahoma" w:eastAsia="Times New Roman" w:hAnsi="Tahoma" w:cs="Tahoma"/>
      <w:sz w:val="16"/>
      <w:szCs w:val="16"/>
      <w:lang w:val="lt-LT"/>
    </w:rPr>
  </w:style>
  <w:style w:type="paragraph" w:customStyle="1" w:styleId="BT-EMEASMCA">
    <w:name w:val="BT- EMEA_SMCA"/>
    <w:basedOn w:val="BTEMEASMCA"/>
    <w:autoRedefine/>
    <w:uiPriority w:val="99"/>
    <w:rsid w:val="00A829FA"/>
    <w:pPr>
      <w:numPr>
        <w:numId w:val="1"/>
      </w:numPr>
      <w:tabs>
        <w:tab w:val="clear" w:pos="720"/>
        <w:tab w:val="num" w:pos="360"/>
      </w:tabs>
      <w:ind w:left="0" w:firstLine="0"/>
    </w:pPr>
  </w:style>
  <w:style w:type="paragraph" w:customStyle="1" w:styleId="PI-3EMEASMCA">
    <w:name w:val="PI-3 EMEA_SMCA"/>
    <w:basedOn w:val="prastasis"/>
    <w:autoRedefine/>
    <w:uiPriority w:val="99"/>
    <w:rsid w:val="008A7165"/>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uiPriority w:val="99"/>
    <w:rsid w:val="008A7165"/>
    <w:rPr>
      <w:b/>
    </w:rPr>
  </w:style>
  <w:style w:type="paragraph" w:customStyle="1" w:styleId="BTbeEMEASMCA">
    <w:name w:val="BT(be) EMEA_SMCA"/>
    <w:basedOn w:val="BTEMEASMCA"/>
    <w:autoRedefine/>
    <w:uiPriority w:val="99"/>
    <w:rsid w:val="008A7165"/>
    <w:pPr>
      <w:jc w:val="center"/>
    </w:pPr>
    <w:rPr>
      <w:b/>
    </w:rPr>
  </w:style>
  <w:style w:type="paragraph" w:customStyle="1" w:styleId="BTeEMEASMCA">
    <w:name w:val="BT(e) EMEA_SMCA"/>
    <w:basedOn w:val="BTEMEASMCA"/>
    <w:autoRedefine/>
    <w:uiPriority w:val="99"/>
    <w:rsid w:val="008A7165"/>
    <w:pPr>
      <w:jc w:val="center"/>
    </w:pPr>
  </w:style>
  <w:style w:type="paragraph" w:customStyle="1" w:styleId="BTgEMEASMCA">
    <w:name w:val="BT(g) EMEA_SMCA"/>
    <w:basedOn w:val="BTEMEASMCA"/>
    <w:link w:val="BTgEMEASMCAChar"/>
    <w:autoRedefine/>
    <w:rsid w:val="008A7165"/>
    <w:rPr>
      <w:i/>
      <w:color w:val="008000"/>
    </w:rPr>
  </w:style>
  <w:style w:type="character" w:customStyle="1" w:styleId="BTgEMEASMCAChar">
    <w:name w:val="BT(g) EMEA_SMCA Char"/>
    <w:link w:val="BTgEMEASMCA"/>
    <w:rsid w:val="008A7165"/>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8A7165"/>
    <w:rPr>
      <w:u w:val="single"/>
    </w:rPr>
  </w:style>
  <w:style w:type="paragraph" w:styleId="Dokumentostruktra">
    <w:name w:val="Document Map"/>
    <w:basedOn w:val="prastasis"/>
    <w:link w:val="DokumentostruktraDiagrama"/>
    <w:uiPriority w:val="99"/>
    <w:semiHidden/>
    <w:rsid w:val="00CE644F"/>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basedOn w:val="Numatytasispastraiposriftas"/>
    <w:link w:val="Dokumentostruktra"/>
    <w:uiPriority w:val="99"/>
    <w:semiHidden/>
    <w:rsid w:val="008A7165"/>
    <w:rPr>
      <w:rFonts w:ascii="Tahoma" w:eastAsia="Times New Roman" w:hAnsi="Tahoma" w:cs="Tahoma"/>
      <w:sz w:val="20"/>
      <w:szCs w:val="20"/>
      <w:shd w:val="clear" w:color="auto" w:fill="000080"/>
      <w:lang w:val="lt-LT"/>
    </w:rPr>
  </w:style>
  <w:style w:type="paragraph" w:customStyle="1" w:styleId="DefinitionTerm">
    <w:name w:val="Definition Term"/>
    <w:basedOn w:val="prastasis"/>
    <w:next w:val="prastasis"/>
    <w:uiPriority w:val="99"/>
    <w:rsid w:val="008A7165"/>
    <w:pPr>
      <w:widowControl w:val="0"/>
      <w:spacing w:after="0" w:line="240" w:lineRule="auto"/>
    </w:pPr>
    <w:rPr>
      <w:rFonts w:ascii="Arial" w:eastAsia="Times New Roman" w:hAnsi="Arial" w:cs="Times New Roman"/>
      <w:szCs w:val="20"/>
      <w:lang w:val="en-US"/>
    </w:rPr>
  </w:style>
  <w:style w:type="paragraph" w:styleId="Pagrindinistekstas">
    <w:name w:val="Body Text"/>
    <w:basedOn w:val="prastasis"/>
    <w:link w:val="PagrindinistekstasDiagrama"/>
    <w:uiPriority w:val="99"/>
    <w:rsid w:val="00CE644F"/>
    <w:pPr>
      <w:spacing w:after="0" w:line="240" w:lineRule="auto"/>
    </w:pPr>
    <w:rPr>
      <w:rFonts w:ascii="Arial" w:eastAsia="Times New Roman" w:hAnsi="Arial" w:cs="Times New Roman"/>
      <w:b/>
      <w:bCs/>
      <w:sz w:val="24"/>
      <w:szCs w:val="20"/>
      <w:lang w:val="en-US"/>
    </w:rPr>
  </w:style>
  <w:style w:type="character" w:customStyle="1" w:styleId="PagrindinistekstasDiagrama">
    <w:name w:val="Pagrindinis tekstas Diagrama"/>
    <w:basedOn w:val="Numatytasispastraiposriftas"/>
    <w:link w:val="Pagrindinistekstas"/>
    <w:uiPriority w:val="99"/>
    <w:rsid w:val="008A7165"/>
    <w:rPr>
      <w:rFonts w:ascii="Arial" w:eastAsia="Times New Roman" w:hAnsi="Arial" w:cs="Times New Roman"/>
      <w:b/>
      <w:bCs/>
      <w:sz w:val="24"/>
      <w:szCs w:val="20"/>
      <w:lang w:val="en-US"/>
    </w:rPr>
  </w:style>
  <w:style w:type="paragraph" w:styleId="prastasiniatinklio">
    <w:name w:val="Normal (Web)"/>
    <w:basedOn w:val="prastasis"/>
    <w:uiPriority w:val="99"/>
    <w:rsid w:val="00CE644F"/>
    <w:pPr>
      <w:spacing w:before="100" w:beforeAutospacing="1" w:after="100" w:afterAutospacing="1" w:line="240" w:lineRule="auto"/>
    </w:pPr>
    <w:rPr>
      <w:rFonts w:ascii="Times New Roman" w:eastAsia="Times New Roman" w:hAnsi="Times New Roman" w:cs="Times New Roman"/>
      <w:szCs w:val="24"/>
      <w:lang w:val="en-US"/>
    </w:rPr>
  </w:style>
  <w:style w:type="paragraph" w:styleId="Pagrindinistekstas3">
    <w:name w:val="Body Text 3"/>
    <w:basedOn w:val="prastasis"/>
    <w:link w:val="Pagrindinistekstas3Diagrama"/>
    <w:uiPriority w:val="99"/>
    <w:rsid w:val="00CE644F"/>
    <w:pPr>
      <w:spacing w:after="0" w:line="240" w:lineRule="auto"/>
      <w:jc w:val="both"/>
    </w:pPr>
    <w:rPr>
      <w:rFonts w:ascii="Arial" w:eastAsia="Times New Roman" w:hAnsi="Arial" w:cs="Times New Roman"/>
      <w:sz w:val="24"/>
      <w:szCs w:val="20"/>
      <w:lang w:val="en-US"/>
    </w:rPr>
  </w:style>
  <w:style w:type="character" w:customStyle="1" w:styleId="Pagrindinistekstas3Diagrama">
    <w:name w:val="Pagrindinis tekstas 3 Diagrama"/>
    <w:basedOn w:val="Numatytasispastraiposriftas"/>
    <w:link w:val="Pagrindinistekstas3"/>
    <w:uiPriority w:val="99"/>
    <w:rsid w:val="008A7165"/>
    <w:rPr>
      <w:rFonts w:ascii="Arial" w:eastAsia="Times New Roman" w:hAnsi="Arial" w:cs="Times New Roman"/>
      <w:sz w:val="24"/>
      <w:szCs w:val="20"/>
      <w:lang w:val="en-US"/>
    </w:rPr>
  </w:style>
  <w:style w:type="paragraph" w:styleId="Pagrindinistekstas2">
    <w:name w:val="Body Text 2"/>
    <w:basedOn w:val="prastasis"/>
    <w:link w:val="Pagrindinistekstas2Diagrama"/>
    <w:uiPriority w:val="99"/>
    <w:rsid w:val="00CE644F"/>
    <w:pPr>
      <w:spacing w:after="0" w:line="240" w:lineRule="auto"/>
    </w:pPr>
    <w:rPr>
      <w:rFonts w:ascii="Arial" w:eastAsia="Times New Roman" w:hAnsi="Arial" w:cs="Times New Roman"/>
      <w:szCs w:val="20"/>
      <w:lang w:val="en-US"/>
    </w:rPr>
  </w:style>
  <w:style w:type="character" w:customStyle="1" w:styleId="Pagrindinistekstas2Diagrama">
    <w:name w:val="Pagrindinis tekstas 2 Diagrama"/>
    <w:basedOn w:val="Numatytasispastraiposriftas"/>
    <w:link w:val="Pagrindinistekstas2"/>
    <w:uiPriority w:val="99"/>
    <w:rsid w:val="008A7165"/>
    <w:rPr>
      <w:rFonts w:ascii="Arial" w:eastAsia="Times New Roman" w:hAnsi="Arial" w:cs="Times New Roman"/>
      <w:szCs w:val="20"/>
      <w:lang w:val="en-US"/>
    </w:rPr>
  </w:style>
  <w:style w:type="character" w:customStyle="1" w:styleId="goohl1">
    <w:name w:val="goohl1"/>
    <w:rsid w:val="008A7165"/>
    <w:rPr>
      <w:rFonts w:cs="Times New Roman"/>
    </w:rPr>
  </w:style>
  <w:style w:type="paragraph" w:customStyle="1" w:styleId="ReferenceLine">
    <w:name w:val="Reference Line"/>
    <w:basedOn w:val="Pagrindinistekstas"/>
    <w:uiPriority w:val="99"/>
    <w:rsid w:val="008A7165"/>
    <w:pPr>
      <w:jc w:val="both"/>
    </w:pPr>
    <w:rPr>
      <w:b w:val="0"/>
    </w:rPr>
  </w:style>
  <w:style w:type="paragraph" w:styleId="Indeksas1">
    <w:name w:val="index 1"/>
    <w:basedOn w:val="prastasis"/>
    <w:next w:val="prastasis"/>
    <w:autoRedefine/>
    <w:uiPriority w:val="99"/>
    <w:rsid w:val="00CE644F"/>
    <w:pPr>
      <w:spacing w:after="0" w:line="240" w:lineRule="auto"/>
      <w:ind w:left="240" w:hanging="240"/>
    </w:pPr>
    <w:rPr>
      <w:rFonts w:ascii="Times New Roman" w:eastAsia="Times New Roman" w:hAnsi="Times New Roman" w:cs="Times New Roman"/>
      <w:szCs w:val="24"/>
    </w:rPr>
  </w:style>
  <w:style w:type="paragraph" w:styleId="Indeksoantrat">
    <w:name w:val="index heading"/>
    <w:basedOn w:val="prastasis"/>
    <w:next w:val="Indeksas1"/>
    <w:uiPriority w:val="99"/>
    <w:rsid w:val="00CE644F"/>
    <w:pPr>
      <w:tabs>
        <w:tab w:val="left" w:pos="720"/>
        <w:tab w:val="left" w:pos="864"/>
        <w:tab w:val="left" w:pos="5760"/>
        <w:tab w:val="left" w:pos="9180"/>
        <w:tab w:val="left" w:pos="9990"/>
      </w:tabs>
      <w:spacing w:after="0" w:line="240" w:lineRule="auto"/>
      <w:jc w:val="both"/>
    </w:pPr>
    <w:rPr>
      <w:rFonts w:ascii="Times New Roman" w:eastAsia="Times New Roman" w:hAnsi="Times New Roman" w:cs="Times New Roman"/>
      <w:szCs w:val="20"/>
      <w:lang w:val="en-US"/>
    </w:rPr>
  </w:style>
  <w:style w:type="paragraph" w:styleId="Dokumentoinaostekstas">
    <w:name w:val="endnote text"/>
    <w:basedOn w:val="prastasis"/>
    <w:link w:val="DokumentoinaostekstasDiagrama"/>
    <w:uiPriority w:val="99"/>
    <w:rsid w:val="00CE644F"/>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8A7165"/>
    <w:rPr>
      <w:rFonts w:ascii="Times New Roman" w:eastAsia="Times New Roman" w:hAnsi="Times New Roman" w:cs="Times New Roman"/>
      <w:szCs w:val="20"/>
    </w:rPr>
  </w:style>
  <w:style w:type="paragraph" w:styleId="Pagrindiniotekstotrauka2">
    <w:name w:val="Body Text Indent 2"/>
    <w:basedOn w:val="prastasis"/>
    <w:link w:val="Pagrindiniotekstotrauka2Diagrama"/>
    <w:uiPriority w:val="99"/>
    <w:rsid w:val="00CE644F"/>
    <w:pPr>
      <w:spacing w:after="120" w:line="480" w:lineRule="auto"/>
      <w:ind w:left="283"/>
    </w:pPr>
    <w:rPr>
      <w:rFonts w:ascii="Times New Roman" w:eastAsia="Times New Roman" w:hAnsi="Times New Roman" w:cs="Times New Roman"/>
      <w:sz w:val="24"/>
      <w:szCs w:val="24"/>
    </w:rPr>
  </w:style>
  <w:style w:type="character" w:customStyle="1" w:styleId="Pagrindiniotekstotrauka2Diagrama">
    <w:name w:val="Pagrindinio teksto įtrauka 2 Diagrama"/>
    <w:basedOn w:val="Numatytasispastraiposriftas"/>
    <w:link w:val="Pagrindiniotekstotrauka2"/>
    <w:uiPriority w:val="99"/>
    <w:rsid w:val="008A7165"/>
    <w:rPr>
      <w:rFonts w:ascii="Times New Roman" w:eastAsia="Times New Roman" w:hAnsi="Times New Roman" w:cs="Times New Roman"/>
      <w:sz w:val="24"/>
      <w:szCs w:val="24"/>
      <w:lang w:val="lt-LT"/>
    </w:rPr>
  </w:style>
  <w:style w:type="character" w:styleId="Grietas">
    <w:name w:val="Strong"/>
    <w:uiPriority w:val="22"/>
    <w:qFormat/>
    <w:rsid w:val="008A7165"/>
    <w:rPr>
      <w:rFonts w:cs="Times New Roman"/>
      <w:b/>
      <w:bCs/>
    </w:rPr>
  </w:style>
  <w:style w:type="paragraph" w:customStyle="1" w:styleId="Default">
    <w:name w:val="Default"/>
    <w:uiPriority w:val="99"/>
    <w:rsid w:val="008A7165"/>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f200">
    <w:name w:val="f200"/>
    <w:basedOn w:val="prastasis"/>
    <w:uiPriority w:val="99"/>
    <w:rsid w:val="008A7165"/>
    <w:pPr>
      <w:spacing w:after="0" w:line="240" w:lineRule="auto"/>
    </w:pPr>
    <w:rPr>
      <w:rFonts w:ascii="Times New Roman" w:eastAsia="Arial Unicode MS" w:hAnsi="Times New Roman" w:cs="Times New Roman"/>
      <w:szCs w:val="24"/>
      <w:lang w:val="en-US"/>
    </w:rPr>
  </w:style>
  <w:style w:type="paragraph" w:customStyle="1" w:styleId="paragraph">
    <w:name w:val="paragraph"/>
    <w:basedOn w:val="prastasis"/>
    <w:uiPriority w:val="99"/>
    <w:rsid w:val="008A7165"/>
    <w:pPr>
      <w:spacing w:after="0" w:line="240" w:lineRule="auto"/>
    </w:pPr>
    <w:rPr>
      <w:rFonts w:ascii="Arial Unicode MS" w:eastAsia="Arial Unicode MS" w:hAnsi="Arial Unicode MS" w:cs="Arial Unicode MS"/>
      <w:szCs w:val="24"/>
      <w:lang w:val="en-US"/>
    </w:rPr>
  </w:style>
  <w:style w:type="paragraph" w:styleId="Komentarotekstas">
    <w:name w:val="annotation text"/>
    <w:basedOn w:val="prastasis"/>
    <w:link w:val="KomentarotekstasDiagrama"/>
    <w:uiPriority w:val="99"/>
    <w:semiHidden/>
    <w:rsid w:val="00CE644F"/>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semiHidden/>
    <w:rsid w:val="008A716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CE644F"/>
    <w:rPr>
      <w:b/>
      <w:bCs/>
    </w:rPr>
  </w:style>
  <w:style w:type="character" w:customStyle="1" w:styleId="KomentarotemaDiagrama">
    <w:name w:val="Komentaro tema Diagrama"/>
    <w:basedOn w:val="KomentarotekstasDiagrama"/>
    <w:link w:val="Komentarotema"/>
    <w:uiPriority w:val="99"/>
    <w:semiHidden/>
    <w:rsid w:val="008A7165"/>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rsid w:val="00CE644F"/>
    <w:pPr>
      <w:tabs>
        <w:tab w:val="center" w:pos="4986"/>
        <w:tab w:val="right" w:pos="9972"/>
      </w:tabs>
      <w:spacing w:after="0" w:line="240" w:lineRule="auto"/>
    </w:pPr>
    <w:rPr>
      <w:rFonts w:ascii="Times New Roman" w:eastAsia="Times New Roman" w:hAnsi="Times New Roman" w:cs="Times New Roman"/>
      <w:szCs w:val="24"/>
    </w:rPr>
  </w:style>
  <w:style w:type="character" w:customStyle="1" w:styleId="AntratsDiagrama">
    <w:name w:val="Antraštės Diagrama"/>
    <w:basedOn w:val="Numatytasispastraiposriftas"/>
    <w:link w:val="Antrats"/>
    <w:uiPriority w:val="99"/>
    <w:rsid w:val="008A7165"/>
    <w:rPr>
      <w:rFonts w:ascii="Times New Roman" w:eastAsia="Times New Roman" w:hAnsi="Times New Roman" w:cs="Times New Roman"/>
      <w:szCs w:val="24"/>
      <w:lang w:val="lt-LT"/>
    </w:rPr>
  </w:style>
  <w:style w:type="paragraph" w:styleId="Porat">
    <w:name w:val="footer"/>
    <w:basedOn w:val="prastasis"/>
    <w:link w:val="PoratDiagrama"/>
    <w:uiPriority w:val="99"/>
    <w:rsid w:val="00CE644F"/>
    <w:pPr>
      <w:tabs>
        <w:tab w:val="center" w:pos="4986"/>
        <w:tab w:val="right" w:pos="9972"/>
      </w:tabs>
      <w:spacing w:after="0" w:line="240" w:lineRule="auto"/>
    </w:pPr>
    <w:rPr>
      <w:rFonts w:ascii="Times New Roman" w:eastAsia="Times New Roman" w:hAnsi="Times New Roman" w:cs="Times New Roman"/>
      <w:szCs w:val="24"/>
    </w:rPr>
  </w:style>
  <w:style w:type="character" w:customStyle="1" w:styleId="PoratDiagrama">
    <w:name w:val="Poraštė Diagrama"/>
    <w:basedOn w:val="Numatytasispastraiposriftas"/>
    <w:link w:val="Porat"/>
    <w:uiPriority w:val="99"/>
    <w:rsid w:val="008A7165"/>
    <w:rPr>
      <w:rFonts w:ascii="Times New Roman" w:eastAsia="Times New Roman" w:hAnsi="Times New Roman" w:cs="Times New Roman"/>
      <w:szCs w:val="24"/>
      <w:lang w:val="lt-LT"/>
    </w:rPr>
  </w:style>
  <w:style w:type="character" w:customStyle="1" w:styleId="apple-converted-space">
    <w:name w:val="apple-converted-space"/>
    <w:basedOn w:val="Numatytasispastraiposriftas"/>
    <w:rsid w:val="008A7165"/>
  </w:style>
  <w:style w:type="character" w:customStyle="1" w:styleId="hps">
    <w:name w:val="hps"/>
    <w:basedOn w:val="Numatytasispastraiposriftas"/>
    <w:rsid w:val="008A7165"/>
  </w:style>
  <w:style w:type="character" w:customStyle="1" w:styleId="shorttext">
    <w:name w:val="short_text"/>
    <w:basedOn w:val="Numatytasispastraiposriftas"/>
    <w:rsid w:val="008A7165"/>
  </w:style>
  <w:style w:type="character" w:styleId="Komentaronuoroda">
    <w:name w:val="annotation reference"/>
    <w:basedOn w:val="Numatytasispastraiposriftas"/>
    <w:semiHidden/>
    <w:unhideWhenUsed/>
    <w:rsid w:val="008A7165"/>
    <w:rPr>
      <w:sz w:val="16"/>
      <w:szCs w:val="16"/>
    </w:rPr>
  </w:style>
  <w:style w:type="paragraph" w:styleId="Pataisymai">
    <w:name w:val="Revision"/>
    <w:hidden/>
    <w:uiPriority w:val="99"/>
    <w:semiHidden/>
    <w:rsid w:val="00CE644F"/>
    <w:pPr>
      <w:spacing w:after="0" w:line="240" w:lineRule="auto"/>
    </w:pPr>
    <w:rPr>
      <w:lang w:val="lt-LT"/>
    </w:rPr>
  </w:style>
  <w:style w:type="character" w:styleId="Perirtashipersaitas">
    <w:name w:val="FollowedHyperlink"/>
    <w:basedOn w:val="Numatytasispastraiposriftas"/>
    <w:uiPriority w:val="99"/>
    <w:semiHidden/>
    <w:unhideWhenUsed/>
    <w:rsid w:val="00CE644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600316">
      <w:bodyDiv w:val="1"/>
      <w:marLeft w:val="0"/>
      <w:marRight w:val="0"/>
      <w:marTop w:val="0"/>
      <w:marBottom w:val="0"/>
      <w:divBdr>
        <w:top w:val="none" w:sz="0" w:space="0" w:color="auto"/>
        <w:left w:val="none" w:sz="0" w:space="0" w:color="auto"/>
        <w:bottom w:val="none" w:sz="0" w:space="0" w:color="auto"/>
        <w:right w:val="none" w:sz="0" w:space="0" w:color="auto"/>
      </w:divBdr>
    </w:div>
    <w:div w:id="104814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ema.europa.eu" TargetMode="External"/><Relationship Id="rId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40301</Words>
  <Characters>22972</Characters>
  <Application>Microsoft Office Word</Application>
  <DocSecurity>4</DocSecurity>
  <Lines>191</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Swetha Ambati</dc:creator>
  <cp:keywords/>
  <dc:description/>
  <cp:lastModifiedBy>Albina Burkauskaitė</cp:lastModifiedBy>
  <cp:revision>2</cp:revision>
  <dcterms:created xsi:type="dcterms:W3CDTF">2023-01-11T07:47:00Z</dcterms:created>
  <dcterms:modified xsi:type="dcterms:W3CDTF">2023-01-11T07:47:00Z</dcterms:modified>
</cp:coreProperties>
</file>