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3A" w:rsidRPr="00F4223A" w:rsidRDefault="00F4223A" w:rsidP="00F4223A">
      <w:pPr>
        <w:spacing w:after="0" w:line="240" w:lineRule="auto"/>
        <w:rPr>
          <w:rFonts w:ascii="Times New Roman" w:hAnsi="Times New Roman"/>
          <w:lang w:val="lt-LT"/>
        </w:rPr>
      </w:pPr>
      <w:bookmarkStart w:id="0" w:name="_GoBack"/>
      <w:bookmarkEnd w:id="0"/>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I PRIEDAS</w:t>
      </w: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PREPARATO CHARAKTERISTIKŲ SANTRAUKA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br w:type="page"/>
      </w:r>
      <w:r w:rsidRPr="00F4223A">
        <w:rPr>
          <w:rFonts w:ascii="Times New Roman" w:hAnsi="Times New Roman"/>
          <w:b/>
          <w:lang w:val="lt-LT"/>
        </w:rPr>
        <w:lastRenderedPageBreak/>
        <w:t>1.</w:t>
      </w:r>
      <w:r w:rsidRPr="00F4223A">
        <w:rPr>
          <w:rFonts w:ascii="Times New Roman" w:hAnsi="Times New Roman"/>
          <w:b/>
          <w:lang w:val="lt-LT"/>
        </w:rPr>
        <w:tab/>
        <w:t>VAISTINIO PREPARATO PAVADINIMAS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Gemcitabine Actavis 40 mg/ml koncentratas infuziniam tirpalui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2.</w:t>
      </w:r>
      <w:r w:rsidRPr="00F4223A">
        <w:rPr>
          <w:rFonts w:ascii="Times New Roman" w:hAnsi="Times New Roman"/>
          <w:b/>
          <w:lang w:val="lt-LT"/>
        </w:rPr>
        <w:tab/>
        <w:t>KOKYBINĖ IR KIEKYBINĖ SUDĖTIS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Kiekviename koncentrato infuziniam tirpalui ml yra 40 mg gemcitabino (gemcitabino hidrochlorido pavidalu).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Kiekviename 5 ml </w:t>
      </w:r>
      <w:r w:rsidR="00D97727">
        <w:rPr>
          <w:rFonts w:ascii="Times New Roman" w:hAnsi="Times New Roman"/>
          <w:lang w:val="lt-LT"/>
        </w:rPr>
        <w:t>flakone</w:t>
      </w:r>
      <w:r w:rsidR="00D97727" w:rsidRPr="00F4223A">
        <w:rPr>
          <w:rFonts w:ascii="Times New Roman" w:hAnsi="Times New Roman"/>
          <w:lang w:val="lt-LT"/>
        </w:rPr>
        <w:t xml:space="preserve"> </w:t>
      </w:r>
      <w:r w:rsidRPr="00F4223A">
        <w:rPr>
          <w:rFonts w:ascii="Times New Roman" w:hAnsi="Times New Roman"/>
          <w:lang w:val="lt-LT"/>
        </w:rPr>
        <w:t>yra 200 mg gemcitabino (gemcitabino hidrochlorido pavidalu).</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Kiekviename 25 ml </w:t>
      </w:r>
      <w:r w:rsidR="00D97727">
        <w:rPr>
          <w:rFonts w:ascii="Times New Roman" w:hAnsi="Times New Roman"/>
          <w:lang w:val="lt-LT"/>
        </w:rPr>
        <w:t>flakone</w:t>
      </w:r>
      <w:r w:rsidR="00D97727" w:rsidRPr="00F4223A">
        <w:rPr>
          <w:rFonts w:ascii="Times New Roman" w:hAnsi="Times New Roman"/>
          <w:lang w:val="lt-LT"/>
        </w:rPr>
        <w:t xml:space="preserve"> </w:t>
      </w:r>
      <w:r w:rsidRPr="00F4223A">
        <w:rPr>
          <w:rFonts w:ascii="Times New Roman" w:hAnsi="Times New Roman"/>
          <w:lang w:val="lt-LT"/>
        </w:rPr>
        <w:t xml:space="preserve">yra </w:t>
      </w:r>
      <w:smartTag w:uri="urn:schemas-microsoft-com:office:smarttags" w:element="metricconverter">
        <w:smartTagPr>
          <w:attr w:name="ProductID" w:val="1ﾠg"/>
        </w:smartTagPr>
        <w:r w:rsidRPr="00F4223A">
          <w:rPr>
            <w:rFonts w:ascii="Times New Roman" w:hAnsi="Times New Roman"/>
            <w:lang w:val="lt-LT"/>
          </w:rPr>
          <w:t>1 g</w:t>
        </w:r>
      </w:smartTag>
      <w:r w:rsidRPr="00F4223A">
        <w:rPr>
          <w:rFonts w:ascii="Times New Roman" w:hAnsi="Times New Roman"/>
          <w:lang w:val="lt-LT"/>
        </w:rPr>
        <w:t xml:space="preserve"> gemcitabino (gemcitabino hidrochlorido pavidalu).</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Kiekviename 50 ml </w:t>
      </w:r>
      <w:r w:rsidR="00D97727">
        <w:rPr>
          <w:rFonts w:ascii="Times New Roman" w:hAnsi="Times New Roman"/>
          <w:lang w:val="lt-LT"/>
        </w:rPr>
        <w:t>flakone</w:t>
      </w:r>
      <w:r w:rsidR="00D97727" w:rsidRPr="00F4223A">
        <w:rPr>
          <w:rFonts w:ascii="Times New Roman" w:hAnsi="Times New Roman"/>
          <w:lang w:val="lt-LT"/>
        </w:rPr>
        <w:t xml:space="preserve"> </w:t>
      </w:r>
      <w:r w:rsidRPr="00F4223A">
        <w:rPr>
          <w:rFonts w:ascii="Times New Roman" w:hAnsi="Times New Roman"/>
          <w:lang w:val="lt-LT"/>
        </w:rPr>
        <w:t xml:space="preserve">yra </w:t>
      </w:r>
      <w:smartTag w:uri="urn:schemas-microsoft-com:office:smarttags" w:element="metricconverter">
        <w:smartTagPr>
          <w:attr w:name="ProductID" w:val="2ﾠg"/>
        </w:smartTagPr>
        <w:r w:rsidRPr="00F4223A">
          <w:rPr>
            <w:rFonts w:ascii="Times New Roman" w:hAnsi="Times New Roman"/>
            <w:lang w:val="lt-LT"/>
          </w:rPr>
          <w:t>2 g</w:t>
        </w:r>
      </w:smartTag>
      <w:r w:rsidRPr="00F4223A">
        <w:rPr>
          <w:rFonts w:ascii="Times New Roman" w:hAnsi="Times New Roman"/>
          <w:lang w:val="lt-LT"/>
        </w:rPr>
        <w:t xml:space="preserve"> gemcitabino (gemcitabino hidrochlorido pavidalu).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Visos pagalbinės medžiagos išvardytos 6.1 skyriuje.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3.</w:t>
      </w:r>
      <w:r w:rsidRPr="00F4223A">
        <w:rPr>
          <w:rFonts w:ascii="Times New Roman" w:hAnsi="Times New Roman"/>
          <w:b/>
          <w:lang w:val="lt-LT"/>
        </w:rPr>
        <w:tab/>
        <w:t>FARMACINĖ FORMA</w:t>
      </w:r>
    </w:p>
    <w:p w:rsidR="00F4223A" w:rsidRPr="00F4223A" w:rsidRDefault="00F4223A" w:rsidP="00F4223A">
      <w:pPr>
        <w:spacing w:after="0" w:line="240" w:lineRule="auto"/>
        <w:rPr>
          <w:rFonts w:ascii="Times New Roman" w:hAnsi="Times New Roman"/>
          <w:lang w:val="lt-LT"/>
        </w:rPr>
      </w:pPr>
    </w:p>
    <w:p w:rsidR="00F4223A" w:rsidRDefault="00F4223A" w:rsidP="00F4223A">
      <w:pPr>
        <w:spacing w:after="0" w:line="240" w:lineRule="auto"/>
        <w:rPr>
          <w:rFonts w:ascii="Times New Roman" w:hAnsi="Times New Roman"/>
          <w:lang w:val="lt-LT"/>
        </w:rPr>
      </w:pPr>
      <w:r w:rsidRPr="00F4223A">
        <w:rPr>
          <w:rFonts w:ascii="Times New Roman" w:hAnsi="Times New Roman"/>
          <w:lang w:val="lt-LT"/>
        </w:rPr>
        <w:t>Koncentratas infuziniam tirpalui.</w:t>
      </w:r>
    </w:p>
    <w:p w:rsidR="00EE3ADC" w:rsidRPr="00F4223A" w:rsidRDefault="00EE3ADC" w:rsidP="00F4223A">
      <w:pPr>
        <w:spacing w:after="0" w:line="240" w:lineRule="auto"/>
        <w:rPr>
          <w:rFonts w:ascii="Times New Roman" w:hAnsi="Times New Roman"/>
          <w:lang w:val="lt-LT"/>
        </w:rPr>
      </w:pPr>
    </w:p>
    <w:p w:rsidR="00EE3ADC" w:rsidRPr="00F4223A" w:rsidRDefault="00EE3ADC" w:rsidP="00EE3ADC">
      <w:pPr>
        <w:spacing w:after="0" w:line="240" w:lineRule="auto"/>
        <w:rPr>
          <w:rFonts w:ascii="Times New Roman" w:hAnsi="Times New Roman"/>
          <w:lang w:val="lt-LT"/>
        </w:rPr>
      </w:pPr>
      <w:r w:rsidRPr="00F4223A">
        <w:rPr>
          <w:rFonts w:ascii="Times New Roman" w:hAnsi="Times New Roman"/>
          <w:lang w:val="lt-LT"/>
        </w:rPr>
        <w:t xml:space="preserve">Koncentrato pH yra 2,4 ±0,4, osmosiškumas apie </w:t>
      </w:r>
      <w:r w:rsidRPr="00F4223A">
        <w:rPr>
          <w:rFonts w:ascii="Times New Roman" w:hAnsi="Times New Roman"/>
          <w:lang w:val="en-GB"/>
        </w:rPr>
        <w:t>270-280</w:t>
      </w:r>
      <w:r w:rsidRPr="00F4223A">
        <w:rPr>
          <w:rFonts w:ascii="Times New Roman" w:hAnsi="Times New Roman"/>
          <w:lang w:val="lt-LT"/>
        </w:rPr>
        <w:t xml:space="preserve"> mOsm</w:t>
      </w:r>
      <w:r w:rsidR="00D97727">
        <w:rPr>
          <w:rFonts w:ascii="Times New Roman" w:hAnsi="Times New Roman"/>
          <w:lang w:val="lt-LT"/>
        </w:rPr>
        <w:t>ol</w:t>
      </w:r>
      <w:r w:rsidRPr="00F4223A">
        <w:rPr>
          <w:rFonts w:ascii="Times New Roman" w:hAnsi="Times New Roman"/>
          <w:lang w:val="lt-LT"/>
        </w:rPr>
        <w:t>/</w:t>
      </w:r>
      <w:r w:rsidR="00D97727">
        <w:rPr>
          <w:rFonts w:ascii="Times New Roman" w:hAnsi="Times New Roman"/>
          <w:lang w:val="lt-LT"/>
        </w:rPr>
        <w:t>kg</w:t>
      </w:r>
      <w:r w:rsidRPr="00F4223A">
        <w:rPr>
          <w:rFonts w:ascii="Times New Roman" w:hAnsi="Times New Roman"/>
          <w:lang w:val="lt-LT"/>
        </w:rPr>
        <w:t>.</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Koncentratas yra skaidrus, bespalvis arba blankiai geltonas tirpalas.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caps/>
          <w:lang w:val="lt-LT"/>
        </w:rPr>
        <w:t>4.</w:t>
      </w:r>
      <w:r w:rsidRPr="00F4223A">
        <w:rPr>
          <w:rFonts w:ascii="Times New Roman" w:hAnsi="Times New Roman"/>
          <w:b/>
          <w:caps/>
          <w:lang w:val="lt-LT"/>
        </w:rPr>
        <w:tab/>
      </w:r>
      <w:r w:rsidRPr="00F4223A">
        <w:rPr>
          <w:rFonts w:ascii="Times New Roman" w:hAnsi="Times New Roman"/>
          <w:b/>
          <w:lang w:val="lt-LT"/>
        </w:rPr>
        <w:t>KLINIKINĖ INFORMACIJA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4.1</w:t>
      </w:r>
      <w:r w:rsidRPr="00F4223A">
        <w:rPr>
          <w:rFonts w:ascii="Times New Roman" w:hAnsi="Times New Roman"/>
          <w:b/>
          <w:lang w:val="lt-LT"/>
        </w:rPr>
        <w:tab/>
        <w:t>Terapinės indikacijos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Lokaliai progresavusio arba </w:t>
      </w:r>
      <w:r w:rsidR="00E5233D" w:rsidRPr="007A4258">
        <w:rPr>
          <w:rFonts w:ascii="Times New Roman" w:eastAsia="Times New Roman" w:hAnsi="Times New Roman" w:cs="Times New Roman"/>
          <w:lang w:val="lt-LT" w:eastAsia="lt-LT"/>
        </w:rPr>
        <w:t>metastaz</w:t>
      </w:r>
      <w:r w:rsidR="00E5233D">
        <w:rPr>
          <w:rFonts w:ascii="Times New Roman" w:eastAsia="Times New Roman" w:hAnsi="Times New Roman" w:cs="Times New Roman"/>
          <w:lang w:val="lt-LT" w:eastAsia="lt-LT"/>
        </w:rPr>
        <w:t>inio</w:t>
      </w:r>
      <w:r w:rsidRPr="00F4223A">
        <w:rPr>
          <w:rFonts w:ascii="Times New Roman" w:hAnsi="Times New Roman"/>
          <w:lang w:val="lt-LT"/>
        </w:rPr>
        <w:t xml:space="preserve"> šlapimo pūslės vėžio gydymas</w:t>
      </w:r>
      <w:r w:rsidR="00E5233D" w:rsidRPr="00E5233D">
        <w:rPr>
          <w:rFonts w:ascii="Times New Roman" w:eastAsia="Times New Roman" w:hAnsi="Times New Roman" w:cs="Times New Roman"/>
          <w:lang w:val="lt-LT" w:eastAsia="lt-LT"/>
        </w:rPr>
        <w:t xml:space="preserve"> </w:t>
      </w:r>
      <w:r w:rsidR="00E5233D">
        <w:rPr>
          <w:rFonts w:ascii="Times New Roman" w:eastAsia="Times New Roman" w:hAnsi="Times New Roman" w:cs="Times New Roman"/>
          <w:lang w:val="lt-LT" w:eastAsia="lt-LT"/>
        </w:rPr>
        <w:t>derinyje</w:t>
      </w:r>
      <w:r w:rsidRPr="00F4223A">
        <w:rPr>
          <w:rFonts w:ascii="Times New Roman" w:hAnsi="Times New Roman"/>
          <w:lang w:val="lt-LT"/>
        </w:rPr>
        <w:t xml:space="preserve"> su cisplatina.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 xml:space="preserve">Lokaliai progresavusios arba </w:t>
      </w:r>
      <w:r w:rsidR="00E5233D" w:rsidRPr="007A4258">
        <w:rPr>
          <w:rFonts w:ascii="Times New Roman" w:eastAsia="Times New Roman" w:hAnsi="Times New Roman" w:cs="Times New Roman"/>
          <w:lang w:val="lt-LT" w:eastAsia="lt-LT"/>
        </w:rPr>
        <w:t>metastaz</w:t>
      </w:r>
      <w:r w:rsidR="00E5233D">
        <w:rPr>
          <w:rFonts w:ascii="Times New Roman" w:eastAsia="Times New Roman" w:hAnsi="Times New Roman" w:cs="Times New Roman"/>
          <w:lang w:val="lt-LT" w:eastAsia="lt-LT"/>
        </w:rPr>
        <w:t>inės</w:t>
      </w:r>
      <w:r w:rsidR="00E5233D" w:rsidRPr="007A4258">
        <w:rPr>
          <w:rFonts w:ascii="Times New Roman" w:eastAsia="Times New Roman" w:hAnsi="Times New Roman" w:cs="Times New Roman"/>
          <w:lang w:val="lt-LT" w:eastAsia="lt-LT"/>
        </w:rPr>
        <w:t xml:space="preserve"> </w:t>
      </w:r>
      <w:r w:rsidRPr="00F4223A">
        <w:rPr>
          <w:rFonts w:ascii="Times New Roman" w:hAnsi="Times New Roman"/>
          <w:lang w:val="lt-LT"/>
        </w:rPr>
        <w:t xml:space="preserve">kasos adenokarcinomos gydymas.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Pirmaeilis lokaliai progresavusio arba </w:t>
      </w:r>
      <w:r w:rsidR="00E5233D" w:rsidRPr="007A4258">
        <w:rPr>
          <w:rFonts w:ascii="Times New Roman" w:eastAsia="Times New Roman" w:hAnsi="Times New Roman" w:cs="Times New Roman"/>
          <w:lang w:val="lt-LT" w:eastAsia="lt-LT"/>
        </w:rPr>
        <w:t>metastaz</w:t>
      </w:r>
      <w:r w:rsidR="00E5233D">
        <w:rPr>
          <w:rFonts w:ascii="Times New Roman" w:eastAsia="Times New Roman" w:hAnsi="Times New Roman" w:cs="Times New Roman"/>
          <w:lang w:val="lt-LT" w:eastAsia="lt-LT"/>
        </w:rPr>
        <w:t>inio</w:t>
      </w:r>
      <w:r w:rsidR="00E5233D" w:rsidRPr="007A4258">
        <w:rPr>
          <w:rFonts w:ascii="Times New Roman" w:eastAsia="Times New Roman" w:hAnsi="Times New Roman" w:cs="Times New Roman"/>
          <w:lang w:val="lt-LT" w:eastAsia="lt-LT"/>
        </w:rPr>
        <w:t xml:space="preserve"> </w:t>
      </w:r>
      <w:r w:rsidRPr="00F4223A">
        <w:rPr>
          <w:rFonts w:ascii="Times New Roman" w:hAnsi="Times New Roman"/>
          <w:lang w:val="lt-LT"/>
        </w:rPr>
        <w:t xml:space="preserve">nesmulkialąstelinio plaučių vėžio gydymas, </w:t>
      </w:r>
      <w:r w:rsidR="00E5233D">
        <w:rPr>
          <w:rFonts w:ascii="Times New Roman" w:eastAsia="Times New Roman" w:hAnsi="Times New Roman" w:cs="Times New Roman"/>
          <w:lang w:val="lt-LT" w:eastAsia="lt-LT"/>
        </w:rPr>
        <w:t>derinyje</w:t>
      </w:r>
      <w:r w:rsidR="00E5233D" w:rsidRPr="007A4258">
        <w:rPr>
          <w:rFonts w:ascii="Times New Roman" w:eastAsia="Times New Roman" w:hAnsi="Times New Roman" w:cs="Times New Roman"/>
          <w:lang w:val="lt-LT" w:eastAsia="lt-LT"/>
        </w:rPr>
        <w:t xml:space="preserve"> </w:t>
      </w:r>
      <w:r w:rsidRPr="00F4223A">
        <w:rPr>
          <w:rFonts w:ascii="Times New Roman" w:hAnsi="Times New Roman"/>
          <w:lang w:val="lt-LT"/>
        </w:rPr>
        <w:t xml:space="preserve">su cisplatina. Monoterapiją gemcitabinu galima taikyti senyviems pacientams arba </w:t>
      </w:r>
      <w:r w:rsidR="00E5233D" w:rsidRPr="007A4258">
        <w:rPr>
          <w:rFonts w:ascii="Times New Roman" w:eastAsia="Times New Roman" w:hAnsi="Times New Roman" w:cs="Times New Roman"/>
          <w:lang w:val="lt-LT" w:eastAsia="lt-LT"/>
        </w:rPr>
        <w:t>pacientams</w:t>
      </w:r>
      <w:r w:rsidRPr="00F4223A">
        <w:rPr>
          <w:rFonts w:ascii="Times New Roman" w:hAnsi="Times New Roman"/>
          <w:lang w:val="lt-LT"/>
        </w:rPr>
        <w:t>, kurių funkcinė būklė yra 2 balai.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Lokaliai progresavusios arba </w:t>
      </w:r>
      <w:r w:rsidR="00E5233D" w:rsidRPr="007A4258">
        <w:rPr>
          <w:rFonts w:ascii="Times New Roman" w:eastAsia="Times New Roman" w:hAnsi="Times New Roman" w:cs="Times New Roman"/>
          <w:lang w:val="lt-LT" w:eastAsia="lt-LT"/>
        </w:rPr>
        <w:t>metastaz</w:t>
      </w:r>
      <w:r w:rsidR="00E5233D">
        <w:rPr>
          <w:rFonts w:ascii="Times New Roman" w:eastAsia="Times New Roman" w:hAnsi="Times New Roman" w:cs="Times New Roman"/>
          <w:lang w:val="lt-LT" w:eastAsia="lt-LT"/>
        </w:rPr>
        <w:t>inės</w:t>
      </w:r>
      <w:r w:rsidR="00E5233D" w:rsidRPr="007A4258">
        <w:rPr>
          <w:rFonts w:ascii="Times New Roman" w:eastAsia="Times New Roman" w:hAnsi="Times New Roman" w:cs="Times New Roman"/>
          <w:lang w:val="lt-LT" w:eastAsia="lt-LT"/>
        </w:rPr>
        <w:t xml:space="preserve"> </w:t>
      </w:r>
      <w:r w:rsidRPr="00F4223A">
        <w:rPr>
          <w:rFonts w:ascii="Times New Roman" w:hAnsi="Times New Roman"/>
          <w:lang w:val="lt-LT"/>
        </w:rPr>
        <w:t xml:space="preserve">kiaušidžių karcinomos gydymas, </w:t>
      </w:r>
      <w:r w:rsidR="00E5233D">
        <w:rPr>
          <w:rFonts w:ascii="Times New Roman" w:eastAsia="Times New Roman" w:hAnsi="Times New Roman" w:cs="Times New Roman"/>
          <w:lang w:val="lt-LT" w:eastAsia="lt-LT"/>
        </w:rPr>
        <w:t>derinyje</w:t>
      </w:r>
      <w:r w:rsidR="00E5233D" w:rsidRPr="007A4258">
        <w:rPr>
          <w:rFonts w:ascii="Times New Roman" w:eastAsia="Times New Roman" w:hAnsi="Times New Roman" w:cs="Times New Roman"/>
          <w:lang w:val="lt-LT" w:eastAsia="lt-LT"/>
        </w:rPr>
        <w:t xml:space="preserve"> </w:t>
      </w:r>
      <w:r w:rsidRPr="00F4223A">
        <w:rPr>
          <w:rFonts w:ascii="Times New Roman" w:hAnsi="Times New Roman"/>
          <w:lang w:val="lt-LT"/>
        </w:rPr>
        <w:t>su karboplatina pacientėms, kurioms liga recidyvavo ne anksčiau kaip po 6 mėnesių po pirmaeilio gydymo  platinos preparatais.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Neoperuotino lokaliai recidyvavusio arba </w:t>
      </w:r>
      <w:r w:rsidR="00E5233D" w:rsidRPr="007A4258">
        <w:rPr>
          <w:rFonts w:ascii="Times New Roman" w:eastAsia="Times New Roman" w:hAnsi="Times New Roman" w:cs="Times New Roman"/>
          <w:lang w:val="lt-LT" w:eastAsia="lt-LT"/>
        </w:rPr>
        <w:t>metastaz</w:t>
      </w:r>
      <w:r w:rsidR="00E5233D">
        <w:rPr>
          <w:rFonts w:ascii="Times New Roman" w:eastAsia="Times New Roman" w:hAnsi="Times New Roman" w:cs="Times New Roman"/>
          <w:lang w:val="lt-LT" w:eastAsia="lt-LT"/>
        </w:rPr>
        <w:t>inio</w:t>
      </w:r>
      <w:r w:rsidR="00E5233D" w:rsidRPr="007A4258">
        <w:rPr>
          <w:rFonts w:ascii="Times New Roman" w:eastAsia="Times New Roman" w:hAnsi="Times New Roman" w:cs="Times New Roman"/>
          <w:lang w:val="lt-LT" w:eastAsia="lt-LT"/>
        </w:rPr>
        <w:t xml:space="preserve"> </w:t>
      </w:r>
      <w:r w:rsidRPr="00F4223A">
        <w:rPr>
          <w:rFonts w:ascii="Times New Roman" w:hAnsi="Times New Roman"/>
          <w:lang w:val="lt-LT"/>
        </w:rPr>
        <w:t xml:space="preserve">krūties vėžio gydymas </w:t>
      </w:r>
      <w:r w:rsidR="00E5233D" w:rsidRPr="007A4258">
        <w:rPr>
          <w:rFonts w:ascii="Times New Roman" w:eastAsia="Times New Roman" w:hAnsi="Times New Roman" w:cs="Times New Roman"/>
          <w:lang w:val="lt-LT" w:eastAsia="lt-LT"/>
        </w:rPr>
        <w:t xml:space="preserve">kartu </w:t>
      </w:r>
      <w:r w:rsidRPr="00F4223A">
        <w:rPr>
          <w:rFonts w:ascii="Times New Roman" w:hAnsi="Times New Roman"/>
          <w:lang w:val="lt-LT"/>
        </w:rPr>
        <w:t>su paklitakseliu, pacientams, kuriems liga recidyvavo po adjuvantinės arba neoadjuvantinės chemoterapijos. Toks pacientas ankstesnės chemoterapijos metu turi būti gydytas antraciklinais, išskyrus atvejus, jeigu yra jų vartojimo kontraindikacijų.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lastRenderedPageBreak/>
        <w:t>4.2</w:t>
      </w:r>
      <w:r w:rsidRPr="00F4223A">
        <w:rPr>
          <w:rFonts w:ascii="Times New Roman" w:hAnsi="Times New Roman"/>
          <w:b/>
          <w:lang w:val="lt-LT"/>
        </w:rPr>
        <w:tab/>
        <w:t>Dozavimas ir vartojimo metodas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Gydymą gemcitabinu turi skirti tik gydytojas, turintis teisę gydyti priešvėžiniais chemoterapiniais preparatais.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MS Mincho" w:hAnsi="Times New Roman" w:cs="Times New Roman"/>
          <w:bCs/>
          <w:iCs/>
          <w:u w:val="single"/>
          <w:lang w:val="lt-LT" w:eastAsia="lt-LT"/>
        </w:rPr>
      </w:pPr>
      <w:r w:rsidRPr="00F4223A">
        <w:rPr>
          <w:rFonts w:ascii="Times New Roman" w:eastAsia="MS Mincho" w:hAnsi="Times New Roman" w:cs="Times New Roman"/>
          <w:bCs/>
          <w:iCs/>
          <w:u w:val="single"/>
          <w:lang w:val="lt-LT" w:eastAsia="lt-LT"/>
        </w:rPr>
        <w:t>Dozavimas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Šlapimo pūslės vėžys</w:t>
      </w: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Kompleksinis gydymas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Rekomenduojama gemcitabino dozė yra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Ji infuzuojama į veną </w:t>
      </w:r>
      <w:r w:rsidR="00E5233D">
        <w:rPr>
          <w:rFonts w:ascii="Times New Roman" w:hAnsi="Times New Roman"/>
          <w:lang w:val="lt-LT"/>
        </w:rPr>
        <w:t xml:space="preserve">per </w:t>
      </w:r>
      <w:r w:rsidRPr="00F4223A">
        <w:rPr>
          <w:rFonts w:ascii="Times New Roman" w:hAnsi="Times New Roman"/>
          <w:lang w:val="lt-LT"/>
        </w:rPr>
        <w:t>30 minučių. Šią dozę reikia infuzuoti pirmą, aštuntą ir penkioliktą kiekvieno 28 parų gydymo ciklo parą, derinant su cisplatina. Rekomenduojamą cisplatinos dozę, t. y. 70 mg/m</w:t>
      </w:r>
      <w:r w:rsidRPr="00F4223A">
        <w:rPr>
          <w:rFonts w:ascii="Times New Roman" w:hAnsi="Times New Roman"/>
          <w:vertAlign w:val="superscript"/>
          <w:lang w:val="lt-LT"/>
        </w:rPr>
        <w:t>2</w:t>
      </w:r>
      <w:r w:rsidRPr="00F4223A">
        <w:rPr>
          <w:rFonts w:ascii="Times New Roman" w:hAnsi="Times New Roman"/>
          <w:lang w:val="lt-LT"/>
        </w:rPr>
        <w:t xml:space="preserve"> kūno paviršiaus, reikia infuzuoti arba pirmą 28 parų gydymo ciklo parą po gemcitabino infuzijos, arba antrą kiekvieno tokio ciklo parą. Po to šis 4 savaičių gydymo ciklas kartojamas. Kiekvienam tolesniam ciklui arba kiekvieno ciklo metu dozę, atsižvelgiant į pasireiškusio toksinio poveikio laipsnį, galima mažinti.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Kasos vėžys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Rekomenduojama gemcitabino dozė yra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Ji infuzuojama į veną </w:t>
      </w:r>
      <w:r w:rsidR="00E5233D">
        <w:rPr>
          <w:rFonts w:ascii="Times New Roman" w:hAnsi="Times New Roman"/>
          <w:lang w:val="lt-LT"/>
        </w:rPr>
        <w:t xml:space="preserve">per </w:t>
      </w:r>
      <w:r w:rsidRPr="00F4223A">
        <w:rPr>
          <w:rFonts w:ascii="Times New Roman" w:hAnsi="Times New Roman"/>
          <w:lang w:val="lt-LT"/>
        </w:rPr>
        <w:t>30 minučių kartą per savaitę, ne ilgiau kaip 7 savaites, o po to daroma savaitės pertrauka. Kitų gydymo ciklų metu gemcitabino į veną infuzuojama kartą per savaitę 3 savaites iš eilės, o po to daroma savaitės pertrauka. Kiekvienam tolesniam ciklui arba kiekvieno ciklo metu dozę, atsižvelgiant į pasireiškusio toksinio poveikio laipsnį, galima mažinti.</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Nesmulkialąstelinis plaučių vėžys</w:t>
      </w: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i/>
          <w:lang w:val="lt-LT"/>
        </w:rPr>
        <w:t>Monoterapija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Rekomenduojama gemcitabino dozė yra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Ji infuzuojama į veną </w:t>
      </w:r>
      <w:r w:rsidR="00E5233D">
        <w:rPr>
          <w:rFonts w:ascii="Times New Roman" w:hAnsi="Times New Roman"/>
          <w:lang w:val="lt-LT"/>
        </w:rPr>
        <w:t xml:space="preserve">per </w:t>
      </w:r>
      <w:r w:rsidRPr="00F4223A">
        <w:rPr>
          <w:rFonts w:ascii="Times New Roman" w:hAnsi="Times New Roman"/>
          <w:lang w:val="lt-LT"/>
        </w:rPr>
        <w:t>30 minučių kartą per savaitę, 3 savaites, o po to daroma savaitės pertrauka, po kurios 4 savaičių gydymo ciklas kartojamas. Kiekvienam tolesniam ciklui arba kiekvieno ciklo metu dozę, atsižvelgiant į pasireiškusio toksinio poveikio laipsnį, galima mažinti.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Kompleksinis gydymas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Rekomenduojama gemcitabino dozė yra 1 250 mg/m</w:t>
      </w:r>
      <w:r w:rsidRPr="00F4223A">
        <w:rPr>
          <w:rFonts w:ascii="Times New Roman" w:hAnsi="Times New Roman"/>
          <w:vertAlign w:val="superscript"/>
          <w:lang w:val="lt-LT"/>
        </w:rPr>
        <w:t>2</w:t>
      </w:r>
      <w:r w:rsidRPr="00F4223A">
        <w:rPr>
          <w:rFonts w:ascii="Times New Roman" w:hAnsi="Times New Roman"/>
          <w:lang w:val="lt-LT"/>
        </w:rPr>
        <w:t xml:space="preserve"> kūno paviršiaus. Ji 30 minučių lašinama į veną pirmą ir aštuntą kiekvieno 21 paros gydymo ciklo parą. Kiekvienam tolesniam gydymo ciklui arba kiekvieno gydymo ciklo metu dozę, atsižvelgiant į pasireiškusio toksinio poveikio laipsnį, galima mažinti.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Cisplatinos 75 – 100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dozė infuzuojama kas 3 savaitės.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Krūties vėžys</w:t>
      </w: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i/>
          <w:lang w:val="lt-LT"/>
        </w:rPr>
        <w:t>Kompleksinis gydymas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Rekomenduojama gydyti gemcitabinu ir paklitakseliu (175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doze). Pirmą kiekvieno 21 paros gydymo ciklo parą reikia maždaug per 3 val. į veną infuzuoti paklitakselio dozę, po to per 30 min. į veną infuzuoti 1 250 mg/m</w:t>
      </w:r>
      <w:r w:rsidRPr="00F4223A">
        <w:rPr>
          <w:rFonts w:ascii="Times New Roman" w:hAnsi="Times New Roman"/>
          <w:vertAlign w:val="superscript"/>
          <w:lang w:val="lt-LT"/>
        </w:rPr>
        <w:t>2</w:t>
      </w:r>
      <w:r w:rsidRPr="00F4223A">
        <w:rPr>
          <w:rFonts w:ascii="Times New Roman" w:hAnsi="Times New Roman"/>
          <w:lang w:val="lt-LT"/>
        </w:rPr>
        <w:t xml:space="preserve"> kūno paviršiaus gemcitabino dozę. Tokią pačią pastarojo preparato dozę reikia infuzuoti ir aštuntą gydymo ciklo parą. Kiekvienam tolesniam gydymo ciklui arba kiekvieno gydymo ciklo metu dozę, atsižvelgiant į pasireiškusio toksinio poveikio </w:t>
      </w:r>
      <w:r w:rsidRPr="00F4223A">
        <w:rPr>
          <w:rFonts w:ascii="Times New Roman" w:hAnsi="Times New Roman"/>
          <w:lang w:val="lt-LT"/>
        </w:rPr>
        <w:lastRenderedPageBreak/>
        <w:t>laipsnį, galima mažinti. Prieš gydymą gemcitabino ir paklitakselio deriniu absoliutus granulocitų skaičius turi būti ne mažesnis kaip 1,5 x 10</w:t>
      </w:r>
      <w:r w:rsidRPr="00F4223A">
        <w:rPr>
          <w:rFonts w:ascii="Times New Roman" w:hAnsi="Times New Roman"/>
          <w:vertAlign w:val="superscript"/>
          <w:lang w:val="lt-LT"/>
        </w:rPr>
        <w:t>9</w:t>
      </w:r>
      <w:r w:rsidRPr="00F4223A">
        <w:rPr>
          <w:rFonts w:ascii="Times New Roman" w:hAnsi="Times New Roman"/>
          <w:lang w:val="lt-LT"/>
        </w:rPr>
        <w:t>/l.</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Kiaušidžių vėžys</w:t>
      </w: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Kompleksinis gydymas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Rekomenduojama gydyti gemcitabinu ir karboplatina. Pirmą ir aštuntą kiekvieno 21 paros gydymo ciklo parą reikia per 30 min. į veną infuzuoti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gemcitabino dozę. Pirmą gydymo ciklo parą po gemcitabino infuzijos reikia infuzuoti karboplatiną taip, kad plotas po koncentracijos kraujo plazmoje priklausomai nuo laiko (angl. AUC) būtų 4 mg/ml/min. Kiekvienam tolesniam gydymo ciklui arba kiekvieno gydymo ciklo metu dozę, atsižvelgiant į pasireiškusio toksinio poveikio laipsnį, galima mažinti.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u w:val="single"/>
          <w:lang w:val="lt-LT"/>
        </w:rPr>
        <w:t xml:space="preserve">Toksinio poveikio stebėjimas ir dozės keitimas dėl toksinio poveikio </w:t>
      </w:r>
    </w:p>
    <w:p w:rsidR="00F4223A" w:rsidRPr="00D97727" w:rsidRDefault="00F4223A" w:rsidP="00F4223A">
      <w:pPr>
        <w:spacing w:after="0" w:line="240" w:lineRule="auto"/>
        <w:rPr>
          <w:rFonts w:ascii="Times New Roman" w:hAnsi="Times New Roman"/>
          <w:i/>
          <w:lang w:val="lt-LT"/>
        </w:rPr>
      </w:pPr>
      <w:r w:rsidRPr="00D97727">
        <w:rPr>
          <w:rFonts w:ascii="Times New Roman" w:hAnsi="Times New Roman"/>
          <w:i/>
          <w:lang w:val="lt-LT"/>
        </w:rPr>
        <w:t xml:space="preserve">Dozės keitimas pasireiškus nehematologiniam </w:t>
      </w:r>
      <w:r w:rsidR="00E5233D">
        <w:rPr>
          <w:rFonts w:ascii="Times New Roman" w:eastAsia="Times New Roman" w:hAnsi="Times New Roman" w:cs="Times New Roman"/>
          <w:i/>
          <w:lang w:val="lt-LT" w:eastAsia="lt-LT"/>
        </w:rPr>
        <w:t>toksiniam poveikiui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Kad būtų galima nustatyti nehematologinį toksiškumą, periodiškai pacientą turi apžiūrėti gydytojas ir atlikti kepenų ir inkstų funkcijos tyrimus.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Kiekvienam tolesniam gydymo ciklui arba kiekvieno gydymo ciklo metu dozę, atsižvelgiant į pasireiškusio toksinio poveikio laipsnį, galima mažinti. Paprastai atsiradus sunkiam (3-ojo arba 4-ojo laipsnio) nehematologiniam toksiškumui, išskyrus pykinimą ir vėmimą, reikia sustabdyti gydymą gemcitabinu arba sumažinti jo dozę (priklauso nuo gydytojo sprendimo). Kitos dozės negalima infuzuoti tol, kol gydytojo nuomone toksinis poveikis neišnykęs.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Kaip kompleksinio gydymo metu keisti cisplatinos, karboplatinos ar paklitakselio dozę, nurodyta šių vaistinių preparatų charakteristikų santraukose.</w:t>
      </w:r>
    </w:p>
    <w:p w:rsidR="00F4223A" w:rsidRPr="00F4223A" w:rsidRDefault="00F4223A" w:rsidP="00F4223A">
      <w:pPr>
        <w:spacing w:after="0" w:line="240" w:lineRule="auto"/>
        <w:rPr>
          <w:rFonts w:ascii="Times New Roman" w:hAnsi="Times New Roman"/>
          <w:lang w:val="lt-LT"/>
        </w:rPr>
      </w:pPr>
    </w:p>
    <w:p w:rsidR="00F4223A" w:rsidRPr="00D97727" w:rsidRDefault="00F4223A" w:rsidP="00F4223A">
      <w:pPr>
        <w:spacing w:after="0" w:line="240" w:lineRule="auto"/>
        <w:rPr>
          <w:rFonts w:ascii="Times New Roman" w:hAnsi="Times New Roman"/>
          <w:i/>
          <w:lang w:val="lt-LT"/>
        </w:rPr>
      </w:pPr>
      <w:r w:rsidRPr="00D97727">
        <w:rPr>
          <w:rFonts w:ascii="Times New Roman" w:hAnsi="Times New Roman"/>
          <w:i/>
          <w:lang w:val="lt-LT"/>
        </w:rPr>
        <w:t>Dozės keitimas dėl hematologinio toksiškumo</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i/>
          <w:lang w:val="lt-LT"/>
        </w:rPr>
        <w:t>Prieš pradedant gydymo ciklą</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Visų indikacijų atveju prieš kiekvienos dozės infuziją reikia pamatuoti paciento trombocitų ir granulocitų skaičių. Prieš pradedant gydymo ciklą, absoliutus paciento granulocitų skaičius turi mažiausiai 1,5 x 10</w:t>
      </w:r>
      <w:r w:rsidRPr="00F4223A">
        <w:rPr>
          <w:rFonts w:ascii="Times New Roman" w:hAnsi="Times New Roman"/>
          <w:vertAlign w:val="superscript"/>
          <w:lang w:val="lt-LT"/>
        </w:rPr>
        <w:t>9</w:t>
      </w:r>
      <w:r w:rsidRPr="00F4223A">
        <w:rPr>
          <w:rFonts w:ascii="Times New Roman" w:hAnsi="Times New Roman"/>
          <w:lang w:val="lt-LT"/>
        </w:rPr>
        <w:t xml:space="preserve">/l, trombocitų skaičius </w:t>
      </w:r>
      <w:r w:rsidRPr="00F4223A">
        <w:rPr>
          <w:rFonts w:ascii="Times New Roman" w:hAnsi="Times New Roman"/>
          <w:lang w:val="lt-LT"/>
        </w:rPr>
        <w:sym w:font="Symbol" w:char="F02D"/>
      </w:r>
      <w:r w:rsidRPr="00F4223A">
        <w:rPr>
          <w:rFonts w:ascii="Times New Roman" w:hAnsi="Times New Roman"/>
          <w:lang w:val="lt-LT"/>
        </w:rPr>
        <w:t xml:space="preserve"> 100 x 10</w:t>
      </w:r>
      <w:r w:rsidRPr="00F4223A">
        <w:rPr>
          <w:rFonts w:ascii="Times New Roman" w:hAnsi="Times New Roman"/>
          <w:vertAlign w:val="superscript"/>
          <w:lang w:val="lt-LT"/>
        </w:rPr>
        <w:t>9</w:t>
      </w:r>
      <w:r w:rsidRPr="00F4223A">
        <w:rPr>
          <w:rFonts w:ascii="Times New Roman" w:hAnsi="Times New Roman"/>
          <w:lang w:val="lt-LT"/>
        </w:rPr>
        <w:t xml:space="preserve">/l.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Gydymo ciklo metu</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Gydymo ciklo metu gemcitabino dozę reikia keisti taip, kaip nurodyta žemiau esančiose lentelėse.</w:t>
      </w:r>
      <w:r w:rsidRPr="00F4223A" w:rsidDel="007F228C">
        <w:rPr>
          <w:rFonts w:ascii="Times New Roman" w:hAnsi="Times New Roman"/>
          <w:lang w:val="lt-LT"/>
        </w:rPr>
        <w:t xml:space="preserve"> </w:t>
      </w:r>
    </w:p>
    <w:p w:rsidR="00F4223A" w:rsidRPr="00F4223A" w:rsidRDefault="00F4223A" w:rsidP="00F4223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595"/>
        <w:gridCol w:w="2912"/>
        <w:gridCol w:w="2915"/>
      </w:tblGrid>
      <w:tr w:rsidR="00F4223A" w:rsidRPr="00F4223A" w:rsidTr="00EE3ADC">
        <w:tc>
          <w:tcPr>
            <w:tcW w:w="9286" w:type="dxa"/>
            <w:gridSpan w:val="4"/>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r w:rsidRPr="00F4223A">
              <w:rPr>
                <w:rFonts w:ascii="Times New Roman" w:hAnsi="Times New Roman"/>
                <w:b/>
                <w:lang w:val="lt-LT"/>
              </w:rPr>
              <w:t>Gemcitabino dozės keitimas gydymo ciklo metu, šlapimo pūslės vėžį, NSLPV ar kasos vėžį gydant vien gemcitabinu arba jo ir cisplatinos deriniu</w:t>
            </w:r>
            <w:r w:rsidRPr="00F4223A" w:rsidDel="00FE1F31">
              <w:rPr>
                <w:rFonts w:ascii="Times New Roman" w:hAnsi="Times New Roman"/>
                <w:lang w:val="lt-LT"/>
              </w:rPr>
              <w:t xml:space="preserve"> </w:t>
            </w:r>
          </w:p>
        </w:tc>
      </w:tr>
      <w:tr w:rsidR="00F4223A" w:rsidRPr="00F4223A" w:rsidTr="00EE3ADC">
        <w:tc>
          <w:tcPr>
            <w:tcW w:w="2794" w:type="dxa"/>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Absoliutus granulocitų skaičius</w:t>
            </w:r>
            <w:r w:rsidRPr="00F4223A">
              <w:rPr>
                <w:rFonts w:ascii="Times New Roman" w:hAnsi="Times New Roman"/>
                <w:i/>
                <w:lang w:val="lt-LT"/>
              </w:rPr>
              <w:t xml:space="preserve"> </w:t>
            </w:r>
            <w:r w:rsidRPr="00F4223A">
              <w:rPr>
                <w:rFonts w:ascii="Times New Roman" w:hAnsi="Times New Roman"/>
                <w:b/>
                <w:lang w:val="lt-LT"/>
              </w:rPr>
              <w:t>(x10</w:t>
            </w:r>
            <w:r w:rsidRPr="00F4223A">
              <w:rPr>
                <w:rFonts w:ascii="Times New Roman" w:hAnsi="Times New Roman"/>
                <w:b/>
                <w:vertAlign w:val="superscript"/>
                <w:lang w:val="lt-LT"/>
              </w:rPr>
              <w:t>9</w:t>
            </w:r>
            <w:r w:rsidRPr="00F4223A">
              <w:rPr>
                <w:rFonts w:ascii="Times New Roman" w:hAnsi="Times New Roman"/>
                <w:b/>
                <w:lang w:val="lt-LT"/>
              </w:rPr>
              <w:t>/l)</w:t>
            </w:r>
          </w:p>
        </w:tc>
        <w:tc>
          <w:tcPr>
            <w:tcW w:w="301" w:type="dxa"/>
          </w:tcPr>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tc>
        <w:tc>
          <w:tcPr>
            <w:tcW w:w="3095" w:type="dxa"/>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Trombocitų skaičius</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b/>
                <w:lang w:val="lt-LT"/>
              </w:rPr>
              <w:t>(x10</w:t>
            </w:r>
            <w:r w:rsidRPr="00F4223A">
              <w:rPr>
                <w:rFonts w:ascii="Times New Roman" w:hAnsi="Times New Roman"/>
                <w:b/>
                <w:vertAlign w:val="superscript"/>
                <w:lang w:val="lt-LT"/>
              </w:rPr>
              <w:t>9</w:t>
            </w:r>
            <w:r w:rsidRPr="00F4223A">
              <w:rPr>
                <w:rFonts w:ascii="Times New Roman" w:hAnsi="Times New Roman"/>
                <w:b/>
                <w:lang w:val="lt-LT"/>
              </w:rPr>
              <w:t>/l)</w:t>
            </w:r>
          </w:p>
        </w:tc>
        <w:tc>
          <w:tcPr>
            <w:tcW w:w="3096"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b/>
                <w:lang w:val="lt-LT"/>
              </w:rPr>
              <w:t>Įprastinės gemcitabino dozės procentas (</w:t>
            </w:r>
            <w:r w:rsidRPr="00F4223A">
              <w:rPr>
                <w:rFonts w:ascii="Times New Roman" w:hAnsi="Times New Roman"/>
                <w:b/>
                <w:lang w:val="lt-LT"/>
              </w:rPr>
              <w:sym w:font="Symbol" w:char="F025"/>
            </w:r>
            <w:r w:rsidRPr="00F4223A">
              <w:rPr>
                <w:rFonts w:ascii="Times New Roman" w:hAnsi="Times New Roman"/>
                <w:b/>
                <w:lang w:val="lt-LT"/>
              </w:rPr>
              <w:t xml:space="preserve">) </w:t>
            </w:r>
          </w:p>
        </w:tc>
      </w:tr>
      <w:tr w:rsidR="00F4223A" w:rsidRPr="00F4223A" w:rsidTr="00EE3ADC">
        <w:tc>
          <w:tcPr>
            <w:tcW w:w="279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&gt; 1</w:t>
            </w:r>
          </w:p>
        </w:tc>
        <w:tc>
          <w:tcPr>
            <w:tcW w:w="301"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ir</w:t>
            </w:r>
          </w:p>
        </w:tc>
        <w:tc>
          <w:tcPr>
            <w:tcW w:w="3095"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&gt; 100</w:t>
            </w:r>
          </w:p>
        </w:tc>
        <w:tc>
          <w:tcPr>
            <w:tcW w:w="3096"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100</w:t>
            </w:r>
          </w:p>
        </w:tc>
      </w:tr>
      <w:tr w:rsidR="00F4223A" w:rsidRPr="00F4223A" w:rsidTr="00EE3ADC">
        <w:tc>
          <w:tcPr>
            <w:tcW w:w="279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0,5 </w:t>
            </w:r>
            <w:r w:rsidRPr="00F4223A">
              <w:rPr>
                <w:rFonts w:ascii="Times New Roman" w:hAnsi="Times New Roman"/>
                <w:lang w:val="lt-LT"/>
              </w:rPr>
              <w:noBreakHyphen/>
              <w:t xml:space="preserve"> 1</w:t>
            </w:r>
          </w:p>
        </w:tc>
        <w:tc>
          <w:tcPr>
            <w:tcW w:w="301"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arba</w:t>
            </w:r>
          </w:p>
        </w:tc>
        <w:tc>
          <w:tcPr>
            <w:tcW w:w="3095"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50 </w:t>
            </w:r>
            <w:r w:rsidRPr="00F4223A">
              <w:rPr>
                <w:rFonts w:ascii="Times New Roman" w:hAnsi="Times New Roman"/>
                <w:lang w:val="lt-LT"/>
              </w:rPr>
              <w:noBreakHyphen/>
              <w:t xml:space="preserve"> 100</w:t>
            </w:r>
          </w:p>
        </w:tc>
        <w:tc>
          <w:tcPr>
            <w:tcW w:w="3096"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75</w:t>
            </w:r>
          </w:p>
        </w:tc>
      </w:tr>
      <w:tr w:rsidR="00F4223A" w:rsidRPr="00F4223A" w:rsidTr="00EE3ADC">
        <w:tc>
          <w:tcPr>
            <w:tcW w:w="279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&lt; 0,5</w:t>
            </w:r>
          </w:p>
        </w:tc>
        <w:tc>
          <w:tcPr>
            <w:tcW w:w="301"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arba</w:t>
            </w:r>
          </w:p>
        </w:tc>
        <w:tc>
          <w:tcPr>
            <w:tcW w:w="3095"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&lt; 50</w:t>
            </w:r>
          </w:p>
        </w:tc>
        <w:tc>
          <w:tcPr>
            <w:tcW w:w="3096"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 xml:space="preserve">Dozę praleisti </w:t>
            </w:r>
            <w:r w:rsidRPr="00F4223A">
              <w:rPr>
                <w:rFonts w:ascii="Times New Roman" w:hAnsi="Times New Roman"/>
                <w:vertAlign w:val="superscript"/>
                <w:lang w:val="lt-LT"/>
              </w:rPr>
              <w:sym w:font="Symbol" w:char="F02A"/>
            </w:r>
          </w:p>
        </w:tc>
      </w:tr>
    </w:tbl>
    <w:p w:rsidR="00F4223A" w:rsidRPr="00F4223A" w:rsidRDefault="00F4223A" w:rsidP="00F4223A">
      <w:pPr>
        <w:spacing w:after="0" w:line="240" w:lineRule="auto"/>
        <w:rPr>
          <w:rFonts w:ascii="Times New Roman" w:hAnsi="Times New Roman"/>
          <w:vertAlign w:val="superscript"/>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vertAlign w:val="superscript"/>
          <w:lang w:val="lt-LT"/>
        </w:rPr>
        <w:sym w:font="Symbol" w:char="F02A"/>
      </w:r>
      <w:r w:rsidRPr="00F4223A">
        <w:rPr>
          <w:rFonts w:ascii="Times New Roman" w:hAnsi="Times New Roman"/>
          <w:lang w:val="lt-LT"/>
        </w:rPr>
        <w:t xml:space="preserve"> Gydymo ciklo metu praleistos dozės infuzuoti negalima tol, kol absoliutus granulocitų skaičius netaps bent 0,5 x 10</w:t>
      </w:r>
      <w:r w:rsidRPr="00F4223A">
        <w:rPr>
          <w:rFonts w:ascii="Times New Roman" w:hAnsi="Times New Roman"/>
          <w:vertAlign w:val="superscript"/>
          <w:lang w:val="lt-LT"/>
        </w:rPr>
        <w:t>9</w:t>
      </w:r>
      <w:r w:rsidRPr="00F4223A">
        <w:rPr>
          <w:rFonts w:ascii="Times New Roman" w:hAnsi="Times New Roman"/>
          <w:lang w:val="lt-LT"/>
        </w:rPr>
        <w:t xml:space="preserve">/l, trombocitų skaičius </w:t>
      </w:r>
      <w:r w:rsidRPr="00F4223A">
        <w:rPr>
          <w:rFonts w:ascii="Times New Roman" w:hAnsi="Times New Roman"/>
          <w:lang w:val="lt-LT"/>
        </w:rPr>
        <w:sym w:font="Symbol" w:char="F02D"/>
      </w:r>
      <w:r w:rsidRPr="00F4223A">
        <w:rPr>
          <w:rFonts w:ascii="Times New Roman" w:hAnsi="Times New Roman"/>
          <w:lang w:val="lt-LT"/>
        </w:rPr>
        <w:t xml:space="preserve"> 50  x 10</w:t>
      </w:r>
      <w:r w:rsidRPr="00F4223A">
        <w:rPr>
          <w:rFonts w:ascii="Times New Roman" w:hAnsi="Times New Roman"/>
          <w:b/>
          <w:vertAlign w:val="superscript"/>
          <w:lang w:val="lt-LT"/>
        </w:rPr>
        <w:t>9</w:t>
      </w:r>
      <w:r w:rsidRPr="00F4223A">
        <w:rPr>
          <w:rFonts w:ascii="Times New Roman" w:hAnsi="Times New Roman"/>
          <w:lang w:val="lt-LT"/>
        </w:rPr>
        <w:t>/l)</w:t>
      </w:r>
    </w:p>
    <w:p w:rsidR="00F4223A" w:rsidRPr="00F4223A" w:rsidRDefault="00F4223A" w:rsidP="00F4223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1073"/>
        <w:gridCol w:w="2330"/>
        <w:gridCol w:w="2817"/>
      </w:tblGrid>
      <w:tr w:rsidR="00F4223A" w:rsidRPr="00F4223A" w:rsidTr="00EE3ADC">
        <w:tc>
          <w:tcPr>
            <w:tcW w:w="9286" w:type="dxa"/>
            <w:gridSpan w:val="4"/>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br w:type="page"/>
            </w:r>
            <w:r w:rsidRPr="00F4223A">
              <w:rPr>
                <w:rFonts w:ascii="Times New Roman" w:hAnsi="Times New Roman"/>
                <w:b/>
                <w:lang w:val="lt-LT"/>
              </w:rPr>
              <w:t>Gemcitabino dozės keitimas gydymo ciklo metu, krūties vėžį gydant gemcitabino ir paklitakselio deriniu</w:t>
            </w:r>
            <w:r w:rsidRPr="00F4223A" w:rsidDel="00FE1F31">
              <w:rPr>
                <w:rFonts w:ascii="Times New Roman" w:hAnsi="Times New Roman"/>
                <w:lang w:val="lt-LT"/>
              </w:rPr>
              <w:t xml:space="preserve"> </w:t>
            </w:r>
          </w:p>
        </w:tc>
      </w:tr>
      <w:tr w:rsidR="00F4223A" w:rsidRPr="00F4223A" w:rsidTr="00EE3ADC">
        <w:tc>
          <w:tcPr>
            <w:tcW w:w="2914" w:type="dxa"/>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Absoliutus granulocitų kiekis</w:t>
            </w:r>
            <w:r w:rsidRPr="00F4223A">
              <w:rPr>
                <w:rFonts w:ascii="Times New Roman" w:hAnsi="Times New Roman"/>
                <w:i/>
                <w:lang w:val="lt-LT"/>
              </w:rPr>
              <w:t xml:space="preserve"> </w:t>
            </w:r>
            <w:r w:rsidRPr="00F4223A">
              <w:rPr>
                <w:rFonts w:ascii="Times New Roman" w:hAnsi="Times New Roman"/>
                <w:b/>
                <w:lang w:val="lt-LT"/>
              </w:rPr>
              <w:t>(x 10</w:t>
            </w:r>
            <w:r w:rsidRPr="00F4223A">
              <w:rPr>
                <w:rFonts w:ascii="Times New Roman" w:hAnsi="Times New Roman"/>
                <w:b/>
                <w:vertAlign w:val="superscript"/>
                <w:lang w:val="lt-LT"/>
              </w:rPr>
              <w:t>9</w:t>
            </w:r>
            <w:r w:rsidRPr="00F4223A">
              <w:rPr>
                <w:rFonts w:ascii="Times New Roman" w:hAnsi="Times New Roman"/>
                <w:b/>
                <w:lang w:val="lt-LT"/>
              </w:rPr>
              <w:t>/l)</w:t>
            </w:r>
          </w:p>
        </w:tc>
        <w:tc>
          <w:tcPr>
            <w:tcW w:w="1096" w:type="dxa"/>
          </w:tcPr>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lang w:val="lt-LT"/>
              </w:rPr>
            </w:pPr>
          </w:p>
        </w:tc>
        <w:tc>
          <w:tcPr>
            <w:tcW w:w="2378" w:type="dxa"/>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Trombocitų kiekis</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b/>
                <w:lang w:val="lt-LT"/>
              </w:rPr>
              <w:t>(x 10</w:t>
            </w:r>
            <w:r w:rsidRPr="00F4223A">
              <w:rPr>
                <w:rFonts w:ascii="Times New Roman" w:hAnsi="Times New Roman"/>
                <w:b/>
                <w:vertAlign w:val="superscript"/>
                <w:lang w:val="lt-LT"/>
              </w:rPr>
              <w:t>9</w:t>
            </w:r>
            <w:r w:rsidRPr="00F4223A">
              <w:rPr>
                <w:rFonts w:ascii="Times New Roman" w:hAnsi="Times New Roman"/>
                <w:b/>
                <w:lang w:val="lt-LT"/>
              </w:rPr>
              <w:t>/l)</w:t>
            </w:r>
          </w:p>
        </w:tc>
        <w:tc>
          <w:tcPr>
            <w:tcW w:w="2898"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b/>
                <w:lang w:val="lt-LT"/>
              </w:rPr>
              <w:t>Bendros dozės procentas (</w:t>
            </w:r>
            <w:r w:rsidRPr="00F4223A">
              <w:rPr>
                <w:rFonts w:ascii="Times New Roman" w:hAnsi="Times New Roman"/>
                <w:b/>
                <w:lang w:val="lt-LT"/>
              </w:rPr>
              <w:sym w:font="Symbol" w:char="F025"/>
            </w:r>
            <w:r w:rsidRPr="00F4223A">
              <w:rPr>
                <w:rFonts w:ascii="Times New Roman" w:hAnsi="Times New Roman"/>
                <w:b/>
                <w:lang w:val="lt-LT"/>
              </w:rPr>
              <w:t xml:space="preserve">) </w:t>
            </w:r>
          </w:p>
        </w:tc>
      </w:tr>
      <w:tr w:rsidR="00F4223A" w:rsidRPr="00F4223A" w:rsidTr="00EE3ADC">
        <w:tc>
          <w:tcPr>
            <w:tcW w:w="291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1,2</w:t>
            </w:r>
          </w:p>
        </w:tc>
        <w:tc>
          <w:tcPr>
            <w:tcW w:w="1096"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ir</w:t>
            </w:r>
          </w:p>
        </w:tc>
        <w:tc>
          <w:tcPr>
            <w:tcW w:w="2378"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&gt; 75</w:t>
            </w:r>
          </w:p>
        </w:tc>
        <w:tc>
          <w:tcPr>
            <w:tcW w:w="2898"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100</w:t>
            </w:r>
          </w:p>
        </w:tc>
      </w:tr>
      <w:tr w:rsidR="00F4223A" w:rsidRPr="00F4223A" w:rsidTr="00EE3ADC">
        <w:tc>
          <w:tcPr>
            <w:tcW w:w="291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Pr="00F4223A">
              <w:rPr>
                <w:rFonts w:ascii="Times New Roman" w:hAnsi="Times New Roman"/>
                <w:lang w:val="lt-LT"/>
              </w:rPr>
              <w:noBreakHyphen/>
              <w:t xml:space="preserve"> &lt; 1,2</w:t>
            </w:r>
          </w:p>
        </w:tc>
        <w:tc>
          <w:tcPr>
            <w:tcW w:w="1096"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arba</w:t>
            </w:r>
          </w:p>
        </w:tc>
        <w:tc>
          <w:tcPr>
            <w:tcW w:w="2378"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50 </w:t>
            </w:r>
            <w:r w:rsidRPr="00F4223A">
              <w:rPr>
                <w:rFonts w:ascii="Times New Roman" w:hAnsi="Times New Roman"/>
                <w:lang w:val="lt-LT"/>
              </w:rPr>
              <w:noBreakHyphen/>
              <w:t xml:space="preserve"> 75</w:t>
            </w:r>
          </w:p>
        </w:tc>
        <w:tc>
          <w:tcPr>
            <w:tcW w:w="2898"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75</w:t>
            </w:r>
          </w:p>
        </w:tc>
      </w:tr>
      <w:tr w:rsidR="00F4223A" w:rsidRPr="00F4223A" w:rsidTr="00EE3ADC">
        <w:tc>
          <w:tcPr>
            <w:tcW w:w="291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0,7 </w:t>
            </w:r>
            <w:r w:rsidRPr="00F4223A">
              <w:rPr>
                <w:rFonts w:ascii="Times New Roman" w:hAnsi="Times New Roman"/>
                <w:lang w:val="lt-LT"/>
              </w:rPr>
              <w:noBreakHyphen/>
              <w:t xml:space="preserve"> &lt; 1</w:t>
            </w:r>
          </w:p>
        </w:tc>
        <w:tc>
          <w:tcPr>
            <w:tcW w:w="1096"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ir</w:t>
            </w:r>
          </w:p>
        </w:tc>
        <w:tc>
          <w:tcPr>
            <w:tcW w:w="2378"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50</w:t>
            </w:r>
          </w:p>
        </w:tc>
        <w:tc>
          <w:tcPr>
            <w:tcW w:w="2898"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50</w:t>
            </w:r>
          </w:p>
        </w:tc>
      </w:tr>
      <w:tr w:rsidR="00F4223A" w:rsidRPr="00F4223A" w:rsidTr="00EE3ADC">
        <w:tc>
          <w:tcPr>
            <w:tcW w:w="2914"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&lt; 0,7</w:t>
            </w:r>
          </w:p>
        </w:tc>
        <w:tc>
          <w:tcPr>
            <w:tcW w:w="1096"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arba</w:t>
            </w:r>
          </w:p>
        </w:tc>
        <w:tc>
          <w:tcPr>
            <w:tcW w:w="2378"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&lt; 50</w:t>
            </w:r>
          </w:p>
        </w:tc>
        <w:tc>
          <w:tcPr>
            <w:tcW w:w="2898"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 xml:space="preserve">Dozę praleisti </w:t>
            </w:r>
            <w:r w:rsidRPr="00F4223A">
              <w:rPr>
                <w:rFonts w:ascii="Times New Roman" w:hAnsi="Times New Roman"/>
                <w:vertAlign w:val="superscript"/>
                <w:lang w:val="lt-LT"/>
              </w:rPr>
              <w:sym w:font="Symbol" w:char="F02A"/>
            </w:r>
          </w:p>
        </w:tc>
      </w:tr>
    </w:tbl>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vertAlign w:val="superscript"/>
          <w:lang w:val="lt-LT"/>
        </w:rPr>
        <w:sym w:font="Symbol" w:char="F02A"/>
      </w:r>
      <w:r w:rsidRPr="00F4223A">
        <w:rPr>
          <w:rFonts w:ascii="Times New Roman" w:hAnsi="Times New Roman"/>
          <w:vertAlign w:val="superscript"/>
          <w:lang w:val="lt-LT"/>
        </w:rPr>
        <w:t xml:space="preserve"> </w:t>
      </w:r>
      <w:r w:rsidRPr="00F4223A">
        <w:rPr>
          <w:rFonts w:ascii="Times New Roman" w:hAnsi="Times New Roman"/>
          <w:lang w:val="lt-LT"/>
        </w:rPr>
        <w:t>Gydymo ciklo metu atidėtos dozės infuzuoti negalima. Vėl gydymą reikia pradėti kito gydymo ciklo pirmą parą tuo atveju, jeigu absoliutus granulocitų skaičius yra bent 1,5 x 10</w:t>
      </w:r>
      <w:r w:rsidRPr="00F4223A">
        <w:rPr>
          <w:rFonts w:ascii="Times New Roman" w:hAnsi="Times New Roman"/>
          <w:b/>
          <w:vertAlign w:val="superscript"/>
          <w:lang w:val="lt-LT"/>
        </w:rPr>
        <w:t>9</w:t>
      </w:r>
      <w:r w:rsidRPr="00F4223A">
        <w:rPr>
          <w:rFonts w:ascii="Times New Roman" w:hAnsi="Times New Roman"/>
          <w:lang w:val="lt-LT"/>
        </w:rPr>
        <w:t xml:space="preserve">/l, trombocitų skaičius </w:t>
      </w:r>
      <w:r w:rsidRPr="00F4223A">
        <w:rPr>
          <w:rFonts w:ascii="Times New Roman" w:hAnsi="Times New Roman"/>
          <w:lang w:val="lt-LT"/>
        </w:rPr>
        <w:sym w:font="Symbol" w:char="F02D"/>
      </w:r>
      <w:r w:rsidRPr="00F4223A">
        <w:rPr>
          <w:rFonts w:ascii="Times New Roman" w:hAnsi="Times New Roman"/>
          <w:lang w:val="lt-LT"/>
        </w:rPr>
        <w:t xml:space="preserve"> 100 x 10</w:t>
      </w:r>
      <w:r w:rsidRPr="00F4223A">
        <w:rPr>
          <w:rFonts w:ascii="Times New Roman" w:hAnsi="Times New Roman"/>
          <w:b/>
          <w:vertAlign w:val="superscript"/>
          <w:lang w:val="lt-LT"/>
        </w:rPr>
        <w:t>9</w:t>
      </w:r>
      <w:r w:rsidRPr="00F4223A">
        <w:rPr>
          <w:rFonts w:ascii="Times New Roman" w:hAnsi="Times New Roman"/>
          <w:lang w:val="lt-LT"/>
        </w:rPr>
        <w:t>/l.</w:t>
      </w:r>
    </w:p>
    <w:p w:rsidR="00F4223A" w:rsidRPr="00F4223A" w:rsidRDefault="00F4223A" w:rsidP="00F4223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967"/>
        <w:gridCol w:w="2569"/>
        <w:gridCol w:w="2769"/>
      </w:tblGrid>
      <w:tr w:rsidR="00F4223A" w:rsidRPr="00F4223A" w:rsidTr="00EE3ADC">
        <w:tc>
          <w:tcPr>
            <w:tcW w:w="9286" w:type="dxa"/>
            <w:gridSpan w:val="4"/>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r w:rsidRPr="00F4223A">
              <w:rPr>
                <w:rFonts w:ascii="Times New Roman" w:hAnsi="Times New Roman"/>
                <w:b/>
                <w:lang w:val="lt-LT"/>
              </w:rPr>
              <w:t>Gemcitabino dozės keitimas gydymo ciklo metu, kiaušidžių vėžį gydant gemcitabino ir karboplatinos deriniu</w:t>
            </w:r>
            <w:r w:rsidRPr="00F4223A" w:rsidDel="00FE1F31">
              <w:rPr>
                <w:rFonts w:ascii="Times New Roman" w:hAnsi="Times New Roman"/>
                <w:lang w:val="lt-LT"/>
              </w:rPr>
              <w:t xml:space="preserve"> </w:t>
            </w:r>
          </w:p>
        </w:tc>
      </w:tr>
      <w:tr w:rsidR="00F4223A" w:rsidRPr="00F4223A" w:rsidTr="00EE3ADC">
        <w:tc>
          <w:tcPr>
            <w:tcW w:w="2829" w:type="dxa"/>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Absoliutus granulocitų skaičius</w:t>
            </w:r>
            <w:r w:rsidRPr="00F4223A">
              <w:rPr>
                <w:rFonts w:ascii="Times New Roman" w:hAnsi="Times New Roman"/>
                <w:i/>
                <w:lang w:val="lt-LT"/>
              </w:rPr>
              <w:t xml:space="preserve"> </w:t>
            </w:r>
            <w:r w:rsidRPr="00F4223A">
              <w:rPr>
                <w:rFonts w:ascii="Times New Roman" w:hAnsi="Times New Roman"/>
                <w:b/>
                <w:lang w:val="lt-LT"/>
              </w:rPr>
              <w:t>(x 10</w:t>
            </w:r>
            <w:r w:rsidRPr="00F4223A">
              <w:rPr>
                <w:rFonts w:ascii="Times New Roman" w:hAnsi="Times New Roman"/>
                <w:b/>
                <w:vertAlign w:val="superscript"/>
                <w:lang w:val="lt-LT"/>
              </w:rPr>
              <w:t>9</w:t>
            </w:r>
            <w:r w:rsidRPr="00F4223A">
              <w:rPr>
                <w:rFonts w:ascii="Times New Roman" w:hAnsi="Times New Roman"/>
                <w:b/>
                <w:lang w:val="lt-LT"/>
              </w:rPr>
              <w:t>/l)</w:t>
            </w:r>
          </w:p>
        </w:tc>
        <w:tc>
          <w:tcPr>
            <w:tcW w:w="986" w:type="dxa"/>
          </w:tcPr>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lang w:val="lt-LT"/>
              </w:rPr>
            </w:pPr>
          </w:p>
        </w:tc>
        <w:tc>
          <w:tcPr>
            <w:tcW w:w="2631" w:type="dxa"/>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Trombocitų skaičius</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b/>
                <w:lang w:val="lt-LT"/>
              </w:rPr>
              <w:t>(x 10</w:t>
            </w:r>
            <w:r w:rsidRPr="00F4223A">
              <w:rPr>
                <w:rFonts w:ascii="Times New Roman" w:hAnsi="Times New Roman"/>
                <w:b/>
                <w:vertAlign w:val="superscript"/>
                <w:lang w:val="lt-LT"/>
              </w:rPr>
              <w:t>9</w:t>
            </w:r>
            <w:r w:rsidRPr="00F4223A">
              <w:rPr>
                <w:rFonts w:ascii="Times New Roman" w:hAnsi="Times New Roman"/>
                <w:b/>
                <w:lang w:val="lt-LT"/>
              </w:rPr>
              <w:t>/l)</w:t>
            </w:r>
          </w:p>
        </w:tc>
        <w:tc>
          <w:tcPr>
            <w:tcW w:w="284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b/>
                <w:lang w:val="lt-LT"/>
              </w:rPr>
              <w:t>Įprastinės gemcitabino dozės procentas (</w:t>
            </w:r>
            <w:r w:rsidRPr="00F4223A">
              <w:rPr>
                <w:rFonts w:ascii="Times New Roman" w:hAnsi="Times New Roman"/>
                <w:b/>
                <w:lang w:val="lt-LT"/>
              </w:rPr>
              <w:sym w:font="Symbol" w:char="F025"/>
            </w:r>
            <w:r w:rsidRPr="00F4223A">
              <w:rPr>
                <w:rFonts w:ascii="Times New Roman" w:hAnsi="Times New Roman"/>
                <w:b/>
                <w:lang w:val="lt-LT"/>
              </w:rPr>
              <w:t xml:space="preserve">) </w:t>
            </w:r>
          </w:p>
        </w:tc>
      </w:tr>
      <w:tr w:rsidR="00F4223A" w:rsidRPr="00F4223A" w:rsidTr="00EE3ADC">
        <w:tc>
          <w:tcPr>
            <w:tcW w:w="282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&gt; 1,5</w:t>
            </w:r>
          </w:p>
        </w:tc>
        <w:tc>
          <w:tcPr>
            <w:tcW w:w="986"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ir</w:t>
            </w:r>
          </w:p>
        </w:tc>
        <w:tc>
          <w:tcPr>
            <w:tcW w:w="2631"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 100</w:t>
            </w:r>
          </w:p>
        </w:tc>
        <w:tc>
          <w:tcPr>
            <w:tcW w:w="2840"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100</w:t>
            </w:r>
          </w:p>
        </w:tc>
      </w:tr>
      <w:tr w:rsidR="00F4223A" w:rsidRPr="00F4223A" w:rsidTr="00EE3ADC">
        <w:tc>
          <w:tcPr>
            <w:tcW w:w="282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Pr="00F4223A">
              <w:rPr>
                <w:rFonts w:ascii="Times New Roman" w:hAnsi="Times New Roman"/>
                <w:lang w:val="lt-LT"/>
              </w:rPr>
              <w:noBreakHyphen/>
              <w:t xml:space="preserve"> 1,5</w:t>
            </w:r>
          </w:p>
        </w:tc>
        <w:tc>
          <w:tcPr>
            <w:tcW w:w="986"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arba</w:t>
            </w:r>
          </w:p>
        </w:tc>
        <w:tc>
          <w:tcPr>
            <w:tcW w:w="2631"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75 </w:t>
            </w:r>
            <w:r w:rsidRPr="00F4223A">
              <w:rPr>
                <w:rFonts w:ascii="Times New Roman" w:hAnsi="Times New Roman"/>
                <w:lang w:val="lt-LT"/>
              </w:rPr>
              <w:noBreakHyphen/>
              <w:t xml:space="preserve"> 100</w:t>
            </w:r>
          </w:p>
        </w:tc>
        <w:tc>
          <w:tcPr>
            <w:tcW w:w="2840"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50</w:t>
            </w:r>
          </w:p>
        </w:tc>
      </w:tr>
      <w:tr w:rsidR="00F4223A" w:rsidRPr="00F4223A" w:rsidTr="00EE3ADC">
        <w:tc>
          <w:tcPr>
            <w:tcW w:w="282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&lt; 1</w:t>
            </w:r>
          </w:p>
        </w:tc>
        <w:tc>
          <w:tcPr>
            <w:tcW w:w="986"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arba</w:t>
            </w:r>
          </w:p>
        </w:tc>
        <w:tc>
          <w:tcPr>
            <w:tcW w:w="2631"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&lt; 75</w:t>
            </w:r>
          </w:p>
        </w:tc>
        <w:tc>
          <w:tcPr>
            <w:tcW w:w="2840" w:type="dxa"/>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 xml:space="preserve">Dozę praleisti </w:t>
            </w:r>
            <w:r w:rsidRPr="00F4223A">
              <w:rPr>
                <w:rFonts w:ascii="Times New Roman" w:hAnsi="Times New Roman"/>
                <w:vertAlign w:val="superscript"/>
                <w:lang w:val="lt-LT"/>
              </w:rPr>
              <w:sym w:font="Symbol" w:char="F02A"/>
            </w:r>
          </w:p>
        </w:tc>
      </w:tr>
    </w:tbl>
    <w:p w:rsidR="00F4223A" w:rsidRPr="00F4223A" w:rsidRDefault="00F4223A" w:rsidP="00F4223A">
      <w:pPr>
        <w:spacing w:after="0" w:line="240" w:lineRule="auto"/>
        <w:rPr>
          <w:rFonts w:ascii="Times New Roman" w:hAnsi="Times New Roman"/>
          <w:vertAlign w:val="superscript"/>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vertAlign w:val="superscript"/>
          <w:lang w:val="lt-LT"/>
        </w:rPr>
        <w:sym w:font="Symbol" w:char="F02A"/>
      </w:r>
      <w:r w:rsidRPr="00F4223A">
        <w:rPr>
          <w:rFonts w:ascii="Times New Roman" w:hAnsi="Times New Roman"/>
          <w:vertAlign w:val="superscript"/>
          <w:lang w:val="lt-LT"/>
        </w:rPr>
        <w:t xml:space="preserve"> </w:t>
      </w:r>
      <w:r w:rsidRPr="00F4223A">
        <w:rPr>
          <w:rFonts w:ascii="Times New Roman" w:hAnsi="Times New Roman"/>
          <w:lang w:val="lt-LT"/>
        </w:rPr>
        <w:t>Gydymo ciklo metu atidėtos dozės infuzuoti negalima. Vėl gydymą reikia pradėti kito gydymo ciklo pirmą parą tuo atveju, jeigu absoliutus granulocitų skaičius yra bent 1,5 x 10</w:t>
      </w:r>
      <w:r w:rsidRPr="00F4223A">
        <w:rPr>
          <w:rFonts w:ascii="Times New Roman" w:hAnsi="Times New Roman"/>
          <w:b/>
          <w:vertAlign w:val="superscript"/>
          <w:lang w:val="lt-LT"/>
        </w:rPr>
        <w:t>9</w:t>
      </w:r>
      <w:r w:rsidRPr="00F4223A">
        <w:rPr>
          <w:rFonts w:ascii="Times New Roman" w:hAnsi="Times New Roman"/>
          <w:lang w:val="lt-LT"/>
        </w:rPr>
        <w:t xml:space="preserve">/l), trombocitų skaičius </w:t>
      </w:r>
      <w:r w:rsidRPr="00F4223A">
        <w:rPr>
          <w:rFonts w:ascii="Times New Roman" w:hAnsi="Times New Roman"/>
          <w:lang w:val="lt-LT"/>
        </w:rPr>
        <w:sym w:font="Symbol" w:char="F02D"/>
      </w:r>
      <w:r w:rsidRPr="00F4223A">
        <w:rPr>
          <w:rFonts w:ascii="Times New Roman" w:hAnsi="Times New Roman"/>
          <w:lang w:val="lt-LT"/>
        </w:rPr>
        <w:t xml:space="preserve"> 100 x 10</w:t>
      </w:r>
      <w:r w:rsidRPr="00F4223A">
        <w:rPr>
          <w:rFonts w:ascii="Times New Roman" w:hAnsi="Times New Roman"/>
          <w:b/>
          <w:vertAlign w:val="superscript"/>
          <w:lang w:val="lt-LT"/>
        </w:rPr>
        <w:t>9</w:t>
      </w:r>
      <w:r w:rsidRPr="00F4223A">
        <w:rPr>
          <w:rFonts w:ascii="Times New Roman" w:hAnsi="Times New Roman"/>
          <w:lang w:val="lt-LT"/>
        </w:rPr>
        <w:t>/l)</w:t>
      </w:r>
    </w:p>
    <w:p w:rsidR="00F4223A" w:rsidRPr="00F4223A" w:rsidRDefault="00F4223A" w:rsidP="00F4223A">
      <w:pPr>
        <w:spacing w:after="0" w:line="240" w:lineRule="auto"/>
        <w:rPr>
          <w:rFonts w:ascii="Times New Roman" w:hAnsi="Times New Roman"/>
          <w:b/>
          <w:lang w:val="lt-LT"/>
        </w:rPr>
      </w:pPr>
    </w:p>
    <w:p w:rsidR="00F4223A" w:rsidRPr="00D97727" w:rsidRDefault="00F4223A" w:rsidP="00F4223A">
      <w:pPr>
        <w:spacing w:after="0" w:line="240" w:lineRule="auto"/>
        <w:rPr>
          <w:rFonts w:ascii="Times New Roman" w:hAnsi="Times New Roman"/>
          <w:i/>
          <w:lang w:val="lt-LT"/>
        </w:rPr>
      </w:pPr>
      <w:r w:rsidRPr="00D97727">
        <w:rPr>
          <w:rFonts w:ascii="Times New Roman" w:hAnsi="Times New Roman"/>
          <w:i/>
          <w:lang w:val="lt-LT"/>
        </w:rPr>
        <w:t xml:space="preserve">Dozės keitimas tolesniems gydymo ciklams dėl pasireiškusio hematologinio toksiškumo visų indikacijų atveju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Tolesniems gydymo ciklams pirmutinio ciklo pradinę gemcitabino dozę reikia mažinti iki 75</w:t>
      </w:r>
      <w:r w:rsidRPr="00F4223A">
        <w:rPr>
          <w:rFonts w:ascii="Times New Roman" w:hAnsi="Times New Roman"/>
          <w:lang w:val="lt-LT"/>
        </w:rPr>
        <w:sym w:font="Symbol" w:char="F025"/>
      </w:r>
      <w:r w:rsidRPr="00F4223A">
        <w:rPr>
          <w:rFonts w:ascii="Times New Roman" w:hAnsi="Times New Roman"/>
          <w:lang w:val="lt-LT"/>
        </w:rPr>
        <w:t>, jeigu pasireiškia šis hematologinis toksiškumas:</w:t>
      </w:r>
    </w:p>
    <w:p w:rsidR="00F4223A" w:rsidRPr="00F4223A" w:rsidRDefault="00F4223A" w:rsidP="00F4223A">
      <w:pPr>
        <w:numPr>
          <w:ilvl w:val="0"/>
          <w:numId w:val="1"/>
        </w:numPr>
        <w:spacing w:after="0" w:line="240" w:lineRule="auto"/>
        <w:rPr>
          <w:rFonts w:ascii="Times New Roman" w:hAnsi="Times New Roman"/>
          <w:lang w:val="lt-LT"/>
        </w:rPr>
      </w:pPr>
      <w:r w:rsidRPr="00F4223A">
        <w:rPr>
          <w:rFonts w:ascii="Times New Roman" w:hAnsi="Times New Roman"/>
          <w:lang w:val="lt-LT"/>
        </w:rPr>
        <w:t xml:space="preserve">absoliutus granulocitų skaičius ilgiau negu 5 paras yra </w:t>
      </w:r>
      <w:r w:rsidRPr="00F4223A">
        <w:rPr>
          <w:rFonts w:ascii="Times New Roman" w:hAnsi="Times New Roman"/>
          <w:color w:val="000000"/>
          <w:lang w:val="lt-LT"/>
        </w:rPr>
        <w:t>&lt; 0,5 x 10</w:t>
      </w:r>
      <w:r w:rsidRPr="00F4223A">
        <w:rPr>
          <w:rFonts w:ascii="Times New Roman" w:hAnsi="Times New Roman"/>
          <w:b/>
          <w:vertAlign w:val="superscript"/>
          <w:lang w:val="lt-LT"/>
        </w:rPr>
        <w:t>9</w:t>
      </w:r>
      <w:r w:rsidRPr="00F4223A">
        <w:rPr>
          <w:rFonts w:ascii="Times New Roman" w:hAnsi="Times New Roman"/>
          <w:color w:val="000000"/>
          <w:lang w:val="lt-LT"/>
        </w:rPr>
        <w:t>/l;</w:t>
      </w:r>
    </w:p>
    <w:p w:rsidR="00F4223A" w:rsidRPr="00F4223A" w:rsidRDefault="00F4223A" w:rsidP="00F4223A">
      <w:pPr>
        <w:numPr>
          <w:ilvl w:val="0"/>
          <w:numId w:val="1"/>
        </w:numPr>
        <w:spacing w:after="0" w:line="240" w:lineRule="auto"/>
        <w:rPr>
          <w:rFonts w:ascii="Times New Roman" w:hAnsi="Times New Roman"/>
          <w:lang w:val="lt-LT"/>
        </w:rPr>
      </w:pPr>
      <w:r w:rsidRPr="00F4223A">
        <w:rPr>
          <w:rFonts w:ascii="Times New Roman" w:hAnsi="Times New Roman"/>
          <w:lang w:val="lt-LT"/>
        </w:rPr>
        <w:t xml:space="preserve">absoliutus granulocitų skaičius ilgiau negu 3 paras yra </w:t>
      </w:r>
      <w:r w:rsidRPr="00F4223A">
        <w:rPr>
          <w:rFonts w:ascii="Times New Roman" w:hAnsi="Times New Roman"/>
          <w:color w:val="000000"/>
          <w:lang w:val="lt-LT"/>
        </w:rPr>
        <w:t>&lt; 0,1 x 10</w:t>
      </w:r>
      <w:r w:rsidRPr="00F4223A">
        <w:rPr>
          <w:rFonts w:ascii="Times New Roman" w:hAnsi="Times New Roman"/>
          <w:b/>
          <w:vertAlign w:val="superscript"/>
          <w:lang w:val="lt-LT"/>
        </w:rPr>
        <w:t>9</w:t>
      </w:r>
      <w:r w:rsidRPr="00F4223A">
        <w:rPr>
          <w:rFonts w:ascii="Times New Roman" w:hAnsi="Times New Roman"/>
          <w:color w:val="000000"/>
          <w:lang w:val="lt-LT"/>
        </w:rPr>
        <w:t>/l;</w:t>
      </w:r>
    </w:p>
    <w:p w:rsidR="00F4223A" w:rsidRPr="00F4223A" w:rsidRDefault="00F4223A" w:rsidP="00F4223A">
      <w:pPr>
        <w:numPr>
          <w:ilvl w:val="0"/>
          <w:numId w:val="1"/>
        </w:numPr>
        <w:spacing w:after="0" w:line="240" w:lineRule="auto"/>
        <w:rPr>
          <w:rFonts w:ascii="Times New Roman" w:hAnsi="Times New Roman"/>
          <w:lang w:val="lt-LT"/>
        </w:rPr>
      </w:pPr>
      <w:r w:rsidRPr="00F4223A">
        <w:rPr>
          <w:rFonts w:ascii="Times New Roman" w:hAnsi="Times New Roman"/>
          <w:lang w:val="lt-LT"/>
        </w:rPr>
        <w:t>febrilinė neutropenija</w:t>
      </w:r>
      <w:r w:rsidRPr="00F4223A">
        <w:rPr>
          <w:rFonts w:ascii="Times New Roman" w:hAnsi="Times New Roman"/>
          <w:color w:val="000000"/>
          <w:lang w:val="lt-LT"/>
        </w:rPr>
        <w:t>;</w:t>
      </w:r>
    </w:p>
    <w:p w:rsidR="00F4223A" w:rsidRPr="00F4223A" w:rsidRDefault="00F4223A" w:rsidP="00F4223A">
      <w:pPr>
        <w:numPr>
          <w:ilvl w:val="0"/>
          <w:numId w:val="1"/>
        </w:numPr>
        <w:spacing w:after="0" w:line="240" w:lineRule="auto"/>
        <w:rPr>
          <w:rFonts w:ascii="Times New Roman" w:hAnsi="Times New Roman"/>
          <w:lang w:val="lt-LT"/>
        </w:rPr>
      </w:pPr>
      <w:r w:rsidRPr="00F4223A">
        <w:rPr>
          <w:rFonts w:ascii="Times New Roman" w:hAnsi="Times New Roman"/>
          <w:color w:val="000000"/>
          <w:lang w:val="lt-LT"/>
        </w:rPr>
        <w:t>trombocitų skaičius yra &lt; 25 x 10</w:t>
      </w:r>
      <w:r w:rsidRPr="00F4223A">
        <w:rPr>
          <w:rFonts w:ascii="Times New Roman" w:hAnsi="Times New Roman"/>
          <w:b/>
          <w:vertAlign w:val="superscript"/>
          <w:lang w:val="lt-LT"/>
        </w:rPr>
        <w:t>9</w:t>
      </w:r>
      <w:r w:rsidRPr="00F4223A">
        <w:rPr>
          <w:rFonts w:ascii="Times New Roman" w:hAnsi="Times New Roman"/>
          <w:color w:val="000000"/>
          <w:lang w:val="lt-LT"/>
        </w:rPr>
        <w:t>/l;</w:t>
      </w:r>
    </w:p>
    <w:p w:rsidR="00F4223A" w:rsidRPr="00F4223A" w:rsidRDefault="00F4223A" w:rsidP="00F4223A">
      <w:pPr>
        <w:numPr>
          <w:ilvl w:val="0"/>
          <w:numId w:val="1"/>
        </w:numPr>
        <w:spacing w:after="0" w:line="240" w:lineRule="auto"/>
        <w:rPr>
          <w:rFonts w:ascii="Times New Roman" w:hAnsi="Times New Roman"/>
          <w:lang w:val="lt-LT"/>
        </w:rPr>
      </w:pPr>
      <w:r w:rsidRPr="00F4223A">
        <w:rPr>
          <w:rFonts w:ascii="Times New Roman" w:hAnsi="Times New Roman"/>
          <w:color w:val="000000"/>
          <w:lang w:val="lt-LT"/>
        </w:rPr>
        <w:t>dėl toksinio poveikio gydymo ciklas buvo uždelstas ilgiau nei vieną savaitę.</w:t>
      </w:r>
    </w:p>
    <w:p w:rsidR="00F4223A" w:rsidRPr="00F4223A" w:rsidRDefault="00F4223A" w:rsidP="00F4223A">
      <w:pPr>
        <w:spacing w:after="0" w:line="240" w:lineRule="auto"/>
        <w:rPr>
          <w:rFonts w:ascii="Times New Roman" w:hAnsi="Times New Roman"/>
          <w:b/>
          <w:u w:val="single"/>
          <w:lang w:val="lt-LT"/>
        </w:rPr>
      </w:pPr>
    </w:p>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u w:val="single"/>
          <w:lang w:val="lt-LT"/>
        </w:rPr>
        <w:t>Specialių grupių pacientai</w:t>
      </w:r>
      <w:r w:rsidRPr="00F4223A" w:rsidDel="00113DFF">
        <w:rPr>
          <w:rFonts w:ascii="Times New Roman" w:hAnsi="Times New Roman"/>
          <w:b/>
          <w:i/>
          <w:lang w:val="lt-LT"/>
        </w:rPr>
        <w:t xml:space="preserve"> </w:t>
      </w:r>
    </w:p>
    <w:p w:rsidR="00F4223A" w:rsidRPr="00F4223A" w:rsidRDefault="00F4223A" w:rsidP="00F4223A">
      <w:pPr>
        <w:spacing w:after="0" w:line="240" w:lineRule="auto"/>
        <w:rPr>
          <w:rFonts w:ascii="Times New Roman" w:hAnsi="Times New Roman"/>
          <w:b/>
          <w:i/>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Pacienta</w:t>
      </w:r>
      <w:r w:rsidR="00CE4C6E">
        <w:rPr>
          <w:rFonts w:ascii="Times New Roman" w:hAnsi="Times New Roman"/>
          <w:i/>
          <w:u w:val="single"/>
          <w:lang w:val="lt-LT"/>
        </w:rPr>
        <w:t>ms</w:t>
      </w:r>
      <w:r w:rsidRPr="00F4223A">
        <w:rPr>
          <w:rFonts w:ascii="Times New Roman" w:hAnsi="Times New Roman"/>
          <w:i/>
          <w:u w:val="single"/>
          <w:lang w:val="lt-LT"/>
        </w:rPr>
        <w:t xml:space="preserve">, kurių </w:t>
      </w:r>
      <w:r w:rsidR="00CE4C6E" w:rsidRPr="00F4223A">
        <w:rPr>
          <w:rFonts w:ascii="Times New Roman" w:hAnsi="Times New Roman"/>
          <w:i/>
          <w:u w:val="single"/>
          <w:lang w:val="lt-LT"/>
        </w:rPr>
        <w:t xml:space="preserve">inkstų </w:t>
      </w:r>
      <w:r w:rsidR="00CE4C6E">
        <w:rPr>
          <w:rFonts w:ascii="Times New Roman" w:hAnsi="Times New Roman"/>
          <w:i/>
          <w:u w:val="single"/>
          <w:lang w:val="lt-LT"/>
        </w:rPr>
        <w:t xml:space="preserve">ar </w:t>
      </w:r>
      <w:r w:rsidRPr="00F4223A">
        <w:rPr>
          <w:rFonts w:ascii="Times New Roman" w:hAnsi="Times New Roman"/>
          <w:i/>
          <w:u w:val="single"/>
          <w:lang w:val="lt-LT"/>
        </w:rPr>
        <w:t xml:space="preserve">kepenų funkcija sutrikusi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Pacientus, </w:t>
      </w:r>
      <w:r w:rsidRPr="00F4223A">
        <w:rPr>
          <w:rFonts w:ascii="Times New Roman" w:eastAsia="MS Mincho" w:hAnsi="Times New Roman" w:cs="Times New Roman"/>
          <w:lang w:val="lt-LT" w:eastAsia="lt-LT"/>
        </w:rPr>
        <w:t>kurių</w:t>
      </w:r>
      <w:r w:rsidRPr="00F4223A">
        <w:rPr>
          <w:rFonts w:ascii="Times New Roman" w:hAnsi="Times New Roman"/>
          <w:lang w:val="lt-LT"/>
        </w:rPr>
        <w:t xml:space="preserve"> kepenų ar inkstų </w:t>
      </w:r>
      <w:r w:rsidRPr="00F4223A">
        <w:rPr>
          <w:rFonts w:ascii="Times New Roman" w:eastAsia="MS Mincho" w:hAnsi="Times New Roman" w:cs="Times New Roman"/>
          <w:lang w:val="lt-LT" w:eastAsia="lt-LT"/>
        </w:rPr>
        <w:t>funkcija sutrikusi</w:t>
      </w:r>
      <w:r w:rsidRPr="00F4223A">
        <w:rPr>
          <w:rFonts w:ascii="Times New Roman" w:hAnsi="Times New Roman"/>
          <w:lang w:val="lt-LT"/>
        </w:rPr>
        <w:t>, gemcitabinu reikia gydyti atsargiai, kadangi nepakanka klinikinių duomenų, kuriais remiantis, būtų galima pateikti aiškias dozavimo rekomendacijas šios populiacijos pacientams (žr. 4.4 ir 5.2 skyrius).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eastAsia="MS Mincho" w:hAnsi="Times New Roman" w:cs="Times New Roman"/>
          <w:i/>
          <w:u w:val="single"/>
          <w:lang w:val="lt-LT" w:eastAsia="lt-LT"/>
        </w:rPr>
        <w:t>Senyviems</w:t>
      </w:r>
      <w:r w:rsidRPr="00F4223A">
        <w:rPr>
          <w:rFonts w:ascii="Times New Roman" w:hAnsi="Times New Roman"/>
          <w:i/>
          <w:u w:val="single"/>
          <w:lang w:val="lt-LT"/>
        </w:rPr>
        <w:t xml:space="preserve"> (</w:t>
      </w:r>
      <w:r w:rsidRPr="00F4223A">
        <w:rPr>
          <w:rFonts w:ascii="Times New Roman" w:hAnsi="Times New Roman"/>
          <w:i/>
          <w:u w:val="single"/>
          <w:lang w:val="lt-LT"/>
        </w:rPr>
        <w:sym w:font="Symbol" w:char="F03E"/>
      </w:r>
      <w:r w:rsidRPr="00F4223A">
        <w:rPr>
          <w:rFonts w:ascii="Times New Roman" w:hAnsi="Times New Roman"/>
          <w:i/>
          <w:u w:val="single"/>
          <w:lang w:val="lt-LT"/>
        </w:rPr>
        <w:t xml:space="preserve"> 65 metų) </w:t>
      </w:r>
      <w:r w:rsidRPr="00F4223A">
        <w:rPr>
          <w:rFonts w:ascii="Times New Roman" w:eastAsia="MS Mincho" w:hAnsi="Times New Roman" w:cs="Times New Roman"/>
          <w:i/>
          <w:u w:val="single"/>
          <w:lang w:val="lt-LT" w:eastAsia="lt-LT"/>
        </w:rPr>
        <w:t>pacientams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Vyresni negu 65 metų pacientai gemcitabiną toleruodavo gerai. Duomenų, kuriais remiantis, būtų galima patarti senyvus žmones gydyti kitokia doze, negu rekomenduojama gydyti visus kitus pacientus, nėra (žr. 5.2 skyrių).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u w:val="single"/>
          <w:lang w:val="lt-LT"/>
        </w:rPr>
      </w:pPr>
      <w:r w:rsidRPr="00F4223A">
        <w:rPr>
          <w:rFonts w:ascii="Times New Roman" w:hAnsi="Times New Roman"/>
          <w:i/>
          <w:u w:val="single"/>
          <w:lang w:val="lt-LT"/>
        </w:rPr>
        <w:t>Vaikų (</w:t>
      </w:r>
      <w:r w:rsidRPr="00F4223A">
        <w:rPr>
          <w:rFonts w:ascii="Times New Roman" w:hAnsi="Times New Roman"/>
          <w:i/>
          <w:u w:val="single"/>
          <w:lang w:val="lt-LT"/>
        </w:rPr>
        <w:sym w:font="Symbol" w:char="F03C"/>
      </w:r>
      <w:r w:rsidRPr="00F4223A">
        <w:rPr>
          <w:rFonts w:ascii="Times New Roman" w:hAnsi="Times New Roman"/>
          <w:i/>
          <w:u w:val="single"/>
          <w:lang w:val="lt-LT"/>
        </w:rPr>
        <w:t> 18 metų) populiacija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t xml:space="preserve">Gemcitabine Actavis nerekomenduojama vartoti jaunesniems kaip 18 metų vaikams, nes duomenų apie saugumą ir veiksmingumą nepakanka. </w:t>
      </w:r>
    </w:p>
    <w:p w:rsidR="00EE3ADC" w:rsidRPr="00EE3ADC" w:rsidRDefault="00EE3ADC" w:rsidP="00EE3ADC">
      <w:pPr>
        <w:spacing w:after="0" w:line="240" w:lineRule="auto"/>
        <w:rPr>
          <w:rFonts w:ascii="Times New Roman" w:hAnsi="Times New Roman"/>
          <w:i/>
          <w:lang w:val="lt-LT"/>
        </w:rPr>
      </w:pPr>
    </w:p>
    <w:p w:rsidR="00EE3ADC" w:rsidRPr="00EE3ADC" w:rsidRDefault="00EE3ADC" w:rsidP="00EE3ADC">
      <w:pPr>
        <w:spacing w:after="0" w:line="240" w:lineRule="auto"/>
        <w:rPr>
          <w:rFonts w:ascii="Times New Roman" w:hAnsi="Times New Roman"/>
          <w:u w:val="single"/>
          <w:lang w:val="lt-LT"/>
        </w:rPr>
      </w:pPr>
      <w:r w:rsidRPr="00EE3ADC">
        <w:rPr>
          <w:rFonts w:ascii="Times New Roman" w:hAnsi="Times New Roman"/>
          <w:u w:val="single"/>
          <w:lang w:val="lt-LT"/>
        </w:rPr>
        <w:t>Vartojimo metodas</w:t>
      </w:r>
    </w:p>
    <w:p w:rsidR="00EE3ADC" w:rsidRPr="00EE3ADC" w:rsidRDefault="00EE3ADC" w:rsidP="00EE3ADC">
      <w:pPr>
        <w:spacing w:after="0" w:line="240" w:lineRule="auto"/>
        <w:rPr>
          <w:rFonts w:ascii="Times New Roman" w:hAnsi="Times New Roman"/>
          <w:u w:val="single"/>
          <w:lang w:val="lt-LT"/>
        </w:rPr>
      </w:pPr>
    </w:p>
    <w:p w:rsidR="00EE3ADC" w:rsidRPr="00EE3ADC" w:rsidRDefault="00EE3ADC" w:rsidP="00EE3ADC">
      <w:pPr>
        <w:spacing w:after="0" w:line="240" w:lineRule="auto"/>
        <w:rPr>
          <w:rFonts w:ascii="Times New Roman" w:hAnsi="Times New Roman"/>
          <w:lang w:val="lt-LT"/>
        </w:rPr>
      </w:pPr>
      <w:r w:rsidRPr="00EE3ADC">
        <w:rPr>
          <w:rFonts w:ascii="Times New Roman" w:hAnsi="Times New Roman"/>
          <w:lang w:val="lt-LT"/>
        </w:rPr>
        <w:t xml:space="preserve">Infuzijos metu gemcitabinas toleruojamas gerai, todėl juo galima gydyti ambulatorijoje. Jeigu </w:t>
      </w:r>
      <w:r w:rsidR="00CE4C6E">
        <w:rPr>
          <w:rFonts w:ascii="Times New Roman" w:eastAsia="Times New Roman" w:hAnsi="Times New Roman" w:cs="Times New Roman"/>
          <w:lang w:val="lt-LT" w:eastAsia="lt-LT"/>
        </w:rPr>
        <w:t xml:space="preserve">vaistinio preparato </w:t>
      </w:r>
      <w:r w:rsidRPr="00EE3ADC">
        <w:rPr>
          <w:rFonts w:ascii="Times New Roman" w:hAnsi="Times New Roman"/>
          <w:lang w:val="lt-LT"/>
        </w:rPr>
        <w:t>patenka šalia venos, paprastai infuziją būtina tuoj pat sustabdyti ir likusį tirpalą infuzuoti į kitą veną. Po infuzijos pacientą reikia atidžiai stebėti.</w:t>
      </w:r>
    </w:p>
    <w:p w:rsidR="00EE3ADC" w:rsidRPr="00EE3ADC" w:rsidRDefault="00EE3ADC" w:rsidP="00EE3ADC">
      <w:pPr>
        <w:spacing w:after="0" w:line="240" w:lineRule="auto"/>
        <w:rPr>
          <w:rFonts w:ascii="Times New Roman" w:hAnsi="Times New Roman"/>
          <w:i/>
          <w:lang w:val="lt-LT"/>
        </w:rPr>
      </w:pPr>
    </w:p>
    <w:p w:rsidR="00EE3ADC" w:rsidRDefault="00CE4C6E" w:rsidP="00F4223A">
      <w:pPr>
        <w:spacing w:after="0" w:line="240" w:lineRule="auto"/>
        <w:rPr>
          <w:rFonts w:ascii="Times New Roman" w:hAnsi="Times New Roman"/>
          <w:b/>
          <w:lang w:val="lt-LT"/>
        </w:rPr>
      </w:pPr>
      <w:r w:rsidRPr="007A4258">
        <w:rPr>
          <w:rFonts w:ascii="Times New Roman" w:eastAsia="Times New Roman" w:hAnsi="Times New Roman" w:cs="Times New Roman"/>
          <w:lang w:val="lt-LT" w:eastAsia="lt-LT"/>
        </w:rPr>
        <w:t>Vaistinio preparato skiedimo prieš vartojant</w:t>
      </w:r>
      <w:r w:rsidR="00EE3ADC" w:rsidRPr="00EE3ADC">
        <w:rPr>
          <w:rFonts w:ascii="Times New Roman" w:hAnsi="Times New Roman"/>
          <w:lang w:val="lt-LT"/>
        </w:rPr>
        <w:t xml:space="preserve"> instrukcija pateikta 6.6 skyriuje</w:t>
      </w:r>
      <w:r w:rsidR="00EE3ADC">
        <w:rPr>
          <w:rFonts w:ascii="Times New Roman" w:hAnsi="Times New Roman"/>
          <w:lang w:val="lt-LT"/>
        </w:rPr>
        <w:t>.</w:t>
      </w:r>
    </w:p>
    <w:p w:rsidR="00EE3ADC" w:rsidRDefault="00EE3ADC"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4.3</w:t>
      </w:r>
      <w:r w:rsidRPr="00F4223A">
        <w:rPr>
          <w:rFonts w:ascii="Times New Roman" w:hAnsi="Times New Roman"/>
          <w:b/>
          <w:lang w:val="lt-LT"/>
        </w:rPr>
        <w:tab/>
        <w:t>Kontraindikacijos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Padidėjęs jautrumas </w:t>
      </w:r>
      <w:r w:rsidR="00CE4C6E" w:rsidRPr="007A4258">
        <w:rPr>
          <w:rFonts w:ascii="Times New Roman" w:eastAsia="Times New Roman" w:hAnsi="Times New Roman" w:cs="Times New Roman"/>
          <w:lang w:val="lt-LT" w:eastAsia="lt-LT"/>
        </w:rPr>
        <w:t xml:space="preserve">veikliajai </w:t>
      </w:r>
      <w:r w:rsidRPr="00F4223A">
        <w:rPr>
          <w:rFonts w:ascii="Times New Roman" w:hAnsi="Times New Roman"/>
          <w:lang w:val="lt-LT"/>
        </w:rPr>
        <w:t xml:space="preserve">arba bet kuriai </w:t>
      </w:r>
      <w:r w:rsidRPr="00F4223A">
        <w:rPr>
          <w:rFonts w:ascii="Times New Roman" w:eastAsia="MS Mincho" w:hAnsi="Times New Roman" w:cs="Times New Roman"/>
          <w:lang w:val="lt-LT" w:eastAsia="lt-LT"/>
        </w:rPr>
        <w:t xml:space="preserve">6.1 skyriuje nurodytai </w:t>
      </w:r>
      <w:r w:rsidRPr="00F4223A">
        <w:rPr>
          <w:rFonts w:ascii="Times New Roman" w:hAnsi="Times New Roman"/>
          <w:lang w:val="lt-LT"/>
        </w:rPr>
        <w:t>pagalbinei medžiagai.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Žindymo laikotarpis (žr. 4.6 skyrių).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4.4</w:t>
      </w:r>
      <w:r w:rsidRPr="00F4223A">
        <w:rPr>
          <w:rFonts w:ascii="Times New Roman" w:hAnsi="Times New Roman"/>
          <w:b/>
          <w:lang w:val="lt-LT"/>
        </w:rPr>
        <w:tab/>
        <w:t>Specialūs įspėjimai ir atsargumo priemonės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Įrodyta, kad infuzijos trukmės ilginimas ir intervalo tarp dozių vartojimo trumpinimas didina toksiškumą.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Hematologinis toksiškumas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Gemcitabinas gali sukelti kaulų čiulpų funkcijos slopinimą, pasireiškiantį leukopenija, trombocitopenija ir anemija.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Prieš kiekvienos gemcitabino dozės infuziją pacientui reikia pamatuoti trombocitų, leukocitų ir granulocitų kiekį. Nustačius kaulų čiulpų funkcijos slopinimą, gydymą reikia sustabdyti arba keisti (žr. 4.2 skyrių). Vis dėlto kaulų čiulpų funkcijos slopinimas būna trumpalaikis ir paprastai nelemia dozės mažinimo ar gydymo nutraukimo (retais atvejais).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Gydymą gemcitabinu sustabdžius, periferinio kraujo ląstelių kiekis gali toliau mažėti. Pacientus, kurių kaulų čiulpų funkcija sutrikusi, reikia pradėti gydyti atsargiai. Kaip ir kitokio citotoksinio gydymo metu, gydant gemcitabinu ir kartu kitais chemoterapiniais preparatais, būtina turėti omenyje kumuliacinio kaulų čiulpų funkcijos slopinimo riziką.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Times New Roman" w:hAnsi="Times New Roman" w:cs="Times New Roman"/>
          <w:i/>
          <w:iCs/>
          <w:lang w:val="lt-LT" w:eastAsia="lt-LT"/>
        </w:rPr>
      </w:pPr>
      <w:r w:rsidRPr="00F4223A">
        <w:rPr>
          <w:rFonts w:ascii="Times New Roman" w:eastAsia="Times New Roman" w:hAnsi="Times New Roman" w:cs="Times New Roman"/>
          <w:i/>
          <w:iCs/>
          <w:lang w:val="lt-LT" w:eastAsia="lt-LT"/>
        </w:rPr>
        <w:t>Pacientams, kurių inkstų ar kepenų funkcija sutrikusi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Pacientams, kuriems yra ir metastazių kepenyse arba kurie prieš pradedant gydyti yra sirgę hepatitu, alkoholizmu ar kepenų ciroze, gemcitabinas gali pasunkinti esamą kepenų nepakankamumą.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Reikia periodiškai atlikinėti laboratorinius inkstų ir kepenų funkcijos tyrimus (įskaitant virusinius tyrimus).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Pacientus, kuri</w:t>
      </w:r>
      <w:r w:rsidR="00CE4C6E">
        <w:rPr>
          <w:rFonts w:ascii="Times New Roman" w:hAnsi="Times New Roman"/>
          <w:lang w:val="lt-LT"/>
        </w:rPr>
        <w:t>ų</w:t>
      </w:r>
      <w:r w:rsidRPr="00F4223A">
        <w:rPr>
          <w:rFonts w:ascii="Times New Roman" w:hAnsi="Times New Roman"/>
          <w:lang w:val="lt-LT"/>
        </w:rPr>
        <w:t xml:space="preserve"> kepenų ar inkstų funkcija sutrikusi, gemcitabinu reikia gydyti atsargiai, kadangi nepakanka klinikinių duomenų, kuriais remiantis, būtų galima pateikti aiškias dozavimo rekomendacijas šios populiacijos pacientams (žr. 4.2 skyrių).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Derinimas su radioterapija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t xml:space="preserve">Gemcitabiną derinant su radioterapija (gydant kartu arba darant </w:t>
      </w:r>
      <w:r w:rsidRPr="00F4223A">
        <w:rPr>
          <w:rFonts w:ascii="Times New Roman" w:hAnsi="Times New Roman"/>
          <w:lang w:val="lt-LT"/>
        </w:rPr>
        <w:sym w:font="Symbol" w:char="F0A3"/>
      </w:r>
      <w:r w:rsidRPr="00F4223A">
        <w:rPr>
          <w:rFonts w:ascii="Times New Roman" w:hAnsi="Times New Roman"/>
          <w:lang w:val="lt-LT"/>
        </w:rPr>
        <w:t> 7 parų pertrauką tarp šių gydymo būdų), pasireiškė toksinis poveikis (išsamesnė informacija ir vartojimo rekomendacijos pateiktos 4.5 skyriuje).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Vakcinavimas gyvosiomis vakcinomis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Gemcitabinu gydomų pacientų nerekomenduojama skiepyti gyvąja geltonojo drugio vakcina arba kitokia gyvąja susilpninta vakcina (žr. 4.5 skyrių).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Times New Roman" w:hAnsi="Times New Roman" w:cs="Times New Roman"/>
          <w:i/>
          <w:lang w:val="lt-LT" w:eastAsia="lt-LT"/>
        </w:rPr>
      </w:pPr>
      <w:r w:rsidRPr="00F4223A">
        <w:rPr>
          <w:rFonts w:ascii="Times New Roman" w:eastAsia="Times New Roman" w:hAnsi="Times New Roman" w:cs="Times New Roman"/>
          <w:i/>
          <w:lang w:val="lt-LT" w:eastAsia="lt-LT"/>
        </w:rPr>
        <w:t>Užpakalinės grįžtamos encefalopatijos sindromas (UGES)</w:t>
      </w:r>
    </w:p>
    <w:p w:rsidR="00F4223A" w:rsidRPr="00F4223A" w:rsidRDefault="00F4223A" w:rsidP="00F4223A">
      <w:pPr>
        <w:spacing w:after="0" w:line="240" w:lineRule="auto"/>
        <w:rPr>
          <w:rFonts w:ascii="Times New Roman" w:eastAsia="Times New Roman" w:hAnsi="Times New Roman" w:cs="Times New Roman"/>
          <w:lang w:val="lt-LT" w:eastAsia="lt-LT"/>
        </w:rPr>
      </w:pPr>
      <w:r w:rsidRPr="00F4223A">
        <w:rPr>
          <w:rFonts w:ascii="Times New Roman" w:eastAsia="Times New Roman" w:hAnsi="Times New Roman" w:cs="Times New Roman"/>
          <w:lang w:val="lt-LT" w:eastAsia="lt-LT"/>
        </w:rPr>
        <w:t>Buvo pranešta apie pasireiškusį užpakalinės grįžtamos encefalopatijos sindromą su galimomis sunkiomis pasekmėmis pacientams, kurie buvo gydomi tik gemcitabinu arba kartu su kitais chemoterapiniais vaistiniais preparatais. Daugumai gemcitabinu gydytų pacientų, kuriems pasireiškė UGES, išsivystė ūmi hipertenzija ir traukuliai, bet gali pasireikšti ir kiti simptomai – galvos skausmas, letargija, sutrikimas ar apakimas.Diagnozę geriausiai patvirtina magnetinis rezonansas (MR). Pritaikius tinkamas palaikomąsias priemones, UGES dažniausia buvo grįžtamasis. Jei gydymo metu pasireiškia UGES, būtina visam laikui nutraukti gydymą gemcitabinu ir pritaikyti pagalbinį gydymą, į kurį įeitų kraujospūdžio kontrolė ir prieštraukulinis gydymas.</w:t>
      </w:r>
    </w:p>
    <w:p w:rsidR="00F4223A" w:rsidRPr="00F4223A" w:rsidRDefault="00F4223A" w:rsidP="00F4223A">
      <w:pPr>
        <w:spacing w:after="0" w:line="240" w:lineRule="auto"/>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Širdies ir kraujagyslių sistema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Dėl galimos širdies ir (arba) kraujagyslių sutrikimų rizikos pacientus, kuriems buvo širdies ir kraujagyslių sutrikimų, gemcitabinu būtina gydyti itin atsargiai.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Times New Roman" w:hAnsi="Times New Roman" w:cs="Times New Roman"/>
          <w:i/>
          <w:lang w:val="lt-LT" w:eastAsia="lt-LT"/>
        </w:rPr>
      </w:pPr>
      <w:r w:rsidRPr="00F4223A">
        <w:rPr>
          <w:rFonts w:ascii="Times New Roman" w:eastAsia="Times New Roman" w:hAnsi="Times New Roman" w:cs="Times New Roman"/>
          <w:i/>
          <w:lang w:val="lt-LT" w:eastAsia="lt-LT"/>
        </w:rPr>
        <w:t>Padidėjusio kapiliarų pralaidumo sindromas</w:t>
      </w:r>
    </w:p>
    <w:p w:rsidR="00F4223A" w:rsidRPr="00F4223A" w:rsidRDefault="00F4223A" w:rsidP="00F4223A">
      <w:pPr>
        <w:spacing w:after="0" w:line="240" w:lineRule="auto"/>
        <w:rPr>
          <w:rFonts w:ascii="Times New Roman" w:eastAsia="Times New Roman" w:hAnsi="Times New Roman" w:cs="Times New Roman"/>
          <w:lang w:val="lt-LT" w:eastAsia="lt-LT"/>
        </w:rPr>
      </w:pPr>
      <w:r w:rsidRPr="00F4223A">
        <w:rPr>
          <w:rFonts w:ascii="Times New Roman" w:eastAsia="Times New Roman" w:hAnsi="Times New Roman" w:cs="Times New Roman"/>
          <w:lang w:val="lt-LT" w:eastAsia="lt-LT"/>
        </w:rPr>
        <w:t xml:space="preserve">Buvo pranešta apie pasireiškusį padidėjusio kapiliarų pralaidumo sindromą pacientams, kurie buvo gydomi tik gemcitabinu arba kartu su kitais chemoterapiniais vaistiniais preparatais (žr. 4.8 skyrių). Anksti diagnozavus ir tinkamai gydant, ši būklė dažniausiai yra išgydoma, tačiau gauta pranešimų ir apie mirtinus atvejus. Būklė apima pernelyg didelį sisteminį kapiliarų sienelių pralaidumą, dėl kurio skysčiai ir baltymai iš kraujagyslių spindžio išteka į intersticinį tarpą. Klinikinės apraiškos yra: generalizuota edema, kūno masės didėjimas, hipoalbuminemija, sunki hipotenzija, ūminis inkstų funkcijos sutrikimas ir plaučių edema. Jeigu gydymo metu pasireiškia padidėjusio kapiliarų pralaidumo sindromas, reikia nutraukti gemcitabino vartojimą ir imtis palaikomųjų priemonių. Kapiliarų pralaidumo sindromas gali pasireikšti ir vėlesnių gydymo ciklų metu bei, remiantis literatūros duomenimis, buvo susijęs su suaugusiųjų respiracinio distreso sindromu. </w:t>
      </w:r>
    </w:p>
    <w:p w:rsidR="00F4223A" w:rsidRPr="00F4223A" w:rsidRDefault="00F4223A" w:rsidP="00F4223A">
      <w:pPr>
        <w:spacing w:after="0" w:line="240" w:lineRule="auto"/>
        <w:rPr>
          <w:rFonts w:ascii="Times New Roman" w:eastAsia="MS Mincho" w:hAnsi="Times New Roman" w:cs="Times New Roman"/>
          <w:lang w:val="lt-LT" w:eastAsia="lt-LT"/>
        </w:rPr>
      </w:pPr>
    </w:p>
    <w:p w:rsidR="00F4223A" w:rsidRPr="00D97727" w:rsidRDefault="00F4223A" w:rsidP="00F4223A">
      <w:pPr>
        <w:spacing w:after="0" w:line="240" w:lineRule="auto"/>
        <w:rPr>
          <w:rFonts w:ascii="Times New Roman" w:hAnsi="Times New Roman"/>
          <w:i/>
          <w:lang w:val="lt-LT"/>
        </w:rPr>
      </w:pPr>
      <w:r w:rsidRPr="00D97727">
        <w:rPr>
          <w:rFonts w:ascii="Times New Roman" w:hAnsi="Times New Roman"/>
          <w:i/>
          <w:lang w:val="lt-LT"/>
        </w:rPr>
        <w:t>Plaučiai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Buvo su gydymu gemcitabinu susijusio poveikio plaučiams, kartais sunkaus (pvz., plaučių edemos, intersticinio pneumonito ar suaugusiųjų respiracinio sindromo) atvejų. Tokio poveikio etiologija nežinoma. Jeigu jis pasireiškia, gydymą gemcitabinu reikia nutraukti. Būklę palengvinti gali padėti ankstyvas gydymas pagalbinėmis priemonės.</w:t>
      </w:r>
    </w:p>
    <w:p w:rsidR="00F4223A" w:rsidRPr="00F4223A" w:rsidRDefault="00F4223A" w:rsidP="00F4223A">
      <w:pPr>
        <w:spacing w:after="0" w:line="240" w:lineRule="auto"/>
        <w:rPr>
          <w:rFonts w:ascii="Times New Roman" w:hAnsi="Times New Roman"/>
          <w:u w:val="single"/>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Inkstai</w:t>
      </w:r>
    </w:p>
    <w:p w:rsidR="00F4223A" w:rsidRPr="00F4223A" w:rsidRDefault="00F4223A" w:rsidP="00F4223A">
      <w:pPr>
        <w:spacing w:after="0" w:line="240" w:lineRule="auto"/>
        <w:rPr>
          <w:rFonts w:ascii="Times New Roman" w:eastAsia="MS Mincho" w:hAnsi="Times New Roman" w:cs="Times New Roman"/>
          <w:iCs/>
          <w:u w:val="single"/>
          <w:lang w:val="lt-LT" w:eastAsia="lt-LT"/>
        </w:rPr>
      </w:pPr>
      <w:r w:rsidRPr="00F4223A">
        <w:rPr>
          <w:rFonts w:ascii="Times New Roman" w:hAnsi="Times New Roman"/>
          <w:i/>
          <w:lang w:val="lt-LT"/>
        </w:rPr>
        <w:t>Hemolizinis ureminis sindromas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Gemcitabinu gydomiems pacientams labai retais atvejais atsirado klinikinių pokyčių, atitinkančių hemolizinį ureminį sindromą (žr. 4.8 skyrių). Atsiradus pirmųjų mikroangiopatinės hemolizinės anemijos požymių, pvz., greitam hemoglobino kiekio mažėjimui, susijusiam su trombocitopenija, bilirubino, kreatinino, urėjos ar MTL </w:t>
      </w:r>
      <w:r w:rsidRPr="00F4223A">
        <w:rPr>
          <w:rFonts w:ascii="Times New Roman" w:hAnsi="Times New Roman"/>
          <w:lang w:val="lt-LT"/>
        </w:rPr>
        <w:lastRenderedPageBreak/>
        <w:t>kiekio didėjimui kraujo serume, gydymą gemcitabinu reikia nutraukti. Inkstų nepakankamumas gali nepraeiti net vaistinio preparato vartojimą nutraukus, todėl gali prireikti dializės.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Vaisingumas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Poveikio vaisingumui tyrimų metu gemcitabinas pelių patinams sukėlė hipospermatogenezę (žr. 5.3 skyrių). Vyrams patariama gydymo gemcitabinu metu ir mažiausiai 6 mėn. po jo moters neapvaisinti, o prieš pradedant gydyti </w:t>
      </w:r>
      <w:r w:rsidRPr="00F4223A">
        <w:rPr>
          <w:rFonts w:ascii="Times New Roman" w:hAnsi="Times New Roman"/>
          <w:lang w:val="lt-LT"/>
        </w:rPr>
        <w:sym w:font="Symbol" w:char="F02D"/>
      </w:r>
      <w:r w:rsidRPr="00F4223A">
        <w:rPr>
          <w:rFonts w:ascii="Times New Roman" w:hAnsi="Times New Roman"/>
          <w:lang w:val="lt-LT"/>
        </w:rPr>
        <w:t xml:space="preserve"> kreiptis patarimo dėl spermos konservavimo, kadangi gemcitabinas gali sukelti nevaisingumą (žr. 4.6 skyrių).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4.5</w:t>
      </w:r>
      <w:r w:rsidRPr="00F4223A">
        <w:rPr>
          <w:rFonts w:ascii="Times New Roman" w:hAnsi="Times New Roman"/>
          <w:b/>
          <w:lang w:val="lt-LT"/>
        </w:rPr>
        <w:tab/>
        <w:t>Sąveika su kitais vaistiniais preparatais ir kitokia sąveika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Specifinių sąveikos tyrimų neatlikta (žr. 5.2 skyrių).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Radioterapija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Sutampanti (abu gydymo būdai taikomi kartu arba daroma </w:t>
      </w:r>
      <w:r w:rsidRPr="00F4223A">
        <w:rPr>
          <w:rFonts w:ascii="Times New Roman" w:hAnsi="Times New Roman"/>
          <w:lang w:val="lt-LT"/>
        </w:rPr>
        <w:sym w:font="Symbol" w:char="F0A3"/>
      </w:r>
      <w:r w:rsidRPr="00F4223A">
        <w:rPr>
          <w:rFonts w:ascii="Times New Roman" w:hAnsi="Times New Roman"/>
          <w:lang w:val="lt-LT"/>
        </w:rPr>
        <w:t> 7 parų pertrauka tarp jų).</w:t>
      </w:r>
      <w:r w:rsidRPr="00F4223A">
        <w:rPr>
          <w:rFonts w:ascii="Times New Roman" w:hAnsi="Times New Roman"/>
          <w:i/>
          <w:lang w:val="lt-LT"/>
        </w:rPr>
        <w:t xml:space="preserve"> </w:t>
      </w:r>
      <w:r w:rsidRPr="00F4223A">
        <w:rPr>
          <w:rFonts w:ascii="Times New Roman" w:hAnsi="Times New Roman"/>
          <w:lang w:val="lt-LT"/>
        </w:rPr>
        <w:t>Toksinis poveikis, susijęs su šia kelių būdų terapija, priklauso nuo įvairių veiksnių, įskaitant gemcitabino dozę, gemcitabino infuzijų dažnį, radioaktyviųjų spindulių dozę, radioterapijos techniką, audinį-taikinį ir jo apimtį. Ikiklinikinių ir klinikinių tyrimų duomenys rodo, kad gemcitabinui yra būdingas įjautrinimo radioaktyviesiems spinduliams aktyvumas. Vieno tyrimo metu nesmulkialąsteliniu plaučių vėžiu sergantiems pacientams, kuriems ne ilgiau kaip 6 savaites iš eilės buvo infuzuojama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gemcitabino dozė ir kartu krūtinės ląsta buvo švitinama radioaktyviaisiais spinduliais, pasireiškė reikšmingas toksinis poveikis: sunkus ir galimai mirtinas mukozitas (ypač ezofagitas) ir pneumonitas, daugiausiai tiems pacientams, kuriems buvo taikoma didelio tūrio (vidutinis gydomas tūris buvo 4795 cm</w:t>
      </w:r>
      <w:r w:rsidRPr="00F4223A">
        <w:rPr>
          <w:rFonts w:ascii="Times New Roman" w:hAnsi="Times New Roman"/>
          <w:vertAlign w:val="superscript"/>
          <w:lang w:val="lt-LT"/>
        </w:rPr>
        <w:t>3</w:t>
      </w:r>
      <w:r w:rsidRPr="00F4223A">
        <w:rPr>
          <w:rFonts w:ascii="Times New Roman" w:hAnsi="Times New Roman"/>
          <w:lang w:val="lt-LT"/>
        </w:rPr>
        <w:t>) radioterapija. Vėliau atliktų tyrimų, pvz., II fazės tyrimo, kurio metu nesmulkialąsteliniu plaučių vėžiu sergantiems pacientams 6 savaites iš eilės krūtinės ląsta buvo švitinama 66 Gy doze ir kartu taikomas gydymas gemcitabinu (600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dozė lašinta 4 kartus) bei cisplatina (80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dozė lašinta 2 kartus), rezultatai rodo, kad kartu su radioterapija vartojant mažesnę gemcitabino dozę, toksinį poveikį įmanoma numatyti. Optimalus saugaus gemcitabino, vartojamo kartu su terapine radioaktyviųjų spindulių doze, dozavimo metodas nenustatytas.  </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t xml:space="preserve">Nesutampanti (tarp vieno ir kito gydymo būdo daroma </w:t>
      </w:r>
      <w:r w:rsidRPr="00F4223A">
        <w:rPr>
          <w:rFonts w:ascii="Times New Roman" w:hAnsi="Times New Roman"/>
          <w:lang w:val="lt-LT"/>
        </w:rPr>
        <w:sym w:font="Symbol" w:char="F03E"/>
      </w:r>
      <w:r w:rsidRPr="00F4223A">
        <w:rPr>
          <w:rFonts w:ascii="Times New Roman" w:hAnsi="Times New Roman"/>
          <w:lang w:val="lt-LT"/>
        </w:rPr>
        <w:t xml:space="preserve"> 7 parų pertrauka). Kad toksinis poveikis, išskyrus radiacijos pažaidos atsinaujinimą, stiprėtų tuo atveju, kai gemcitabinas infuzuojamas likus daugiau negu 7 paroms iki radioterapijos arba praėjus daugiau negu 7 paroms po jos, duomenų analizė nerodo. Turimi duomenys rodo, kad gemcitabinu galima pradėti gydyti praėjus ūmiam radiacijos poveikiui arba ne mažiau kaip savaitei po švitinimo. </w:t>
      </w:r>
    </w:p>
    <w:p w:rsidR="00F4223A" w:rsidRPr="00F4223A" w:rsidRDefault="00F4223A" w:rsidP="00F4223A">
      <w:pPr>
        <w:spacing w:after="0" w:line="240" w:lineRule="auto"/>
        <w:ind w:left="567" w:hanging="567"/>
        <w:outlineLvl w:val="0"/>
        <w:rPr>
          <w:rFonts w:ascii="Times New Roman" w:hAnsi="Times New Roman"/>
          <w:b/>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Radiacijos sukelta audinių-taikinių pažaida (pvz., ezofagitas, kolitas ir pneumonitas) buvo susijusi tiek su sutampančia, tiek su nesutampančia terapija.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i/>
          <w:lang w:val="lt-LT"/>
        </w:rPr>
        <w:t>Kita</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lastRenderedPageBreak/>
        <w:t xml:space="preserve">Dėl sisteminės ligos, kuri gali būti mirtina, rizikos, ypač pacientams, kurių imuninės sistemos funkcija slopinama, geltonojo drugio vakcinos ir kitų gyvųjų susilpnintų vakcinų kartu su gemcitabinu vartoti nerekomenduojama. </w:t>
      </w:r>
    </w:p>
    <w:p w:rsidR="00F4223A" w:rsidRPr="00F4223A" w:rsidRDefault="00F4223A" w:rsidP="00F4223A">
      <w:pPr>
        <w:spacing w:after="0" w:line="240" w:lineRule="auto"/>
        <w:ind w:left="567" w:hanging="567"/>
        <w:outlineLvl w:val="0"/>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4.6</w:t>
      </w:r>
      <w:r w:rsidRPr="00F4223A">
        <w:rPr>
          <w:rFonts w:ascii="Times New Roman" w:hAnsi="Times New Roman"/>
          <w:b/>
          <w:lang w:val="lt-LT"/>
        </w:rPr>
        <w:tab/>
        <w:t>Vaisingumas, nėštumo ir žindymo laikotarpis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i/>
          <w:lang w:val="lt-LT"/>
        </w:rPr>
        <w:t>Nėštumas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Reikiamų duomenų apie gemcitabino vartojimą nėštumo metu nėra. Su gyvūnais atlikti tyrimai parodė toksinį poveikį reprodukcijai (žr. 5.3 skyrių). Remiantis tyrimų su gyvūnais duomenimis ir gemcitabino veikimo būdu, nėštumo metu gemcitabino vartoti negalima, išskyrus neabejotinai būtinus atvejus. Moteris reikia įspėti, kad gydymo metu nepastotų, o pastojusios nedelsdamos informuotų gydantį gydytoją. </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i/>
          <w:lang w:val="lt-LT"/>
        </w:rPr>
        <w:t>Žindym</w:t>
      </w:r>
      <w:r w:rsidR="003B0702">
        <w:rPr>
          <w:rFonts w:ascii="Times New Roman" w:hAnsi="Times New Roman"/>
          <w:i/>
          <w:lang w:val="lt-LT"/>
        </w:rPr>
        <w:t>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Nėra žinoma, ar gemcitabino patenka į moters pieną. Nepageidaujamo poveikio galimybės krūtimi maitinamam kūdikiui atmesti negalima. Gydymo gemcitabinu metu žindymą būtina nutraukti.</w:t>
      </w:r>
      <w:r w:rsidRPr="00F4223A" w:rsidDel="00422056">
        <w:rPr>
          <w:rFonts w:ascii="Times New Roman" w:hAnsi="Times New Roman"/>
          <w:lang w:val="lt-LT"/>
        </w:rPr>
        <w:t xml:space="preserve">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i/>
          <w:lang w:val="lt-LT"/>
        </w:rPr>
        <w:t>Vaisingumas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Poveikio vaisingumui tyrimų metu gemcitabinas pelių patinams sumažino spermatogenezę (žr. 5.3 skyrių). Vyrams patariama gydymo gemcitabinu metu ir mažiausiai 6 mėn. po jo moters neapvaisinti, o prieš pradedant gydyti, kreiptis patarimo dėl spermos konservavimo, kadangi gemcitabinas gali sukelti nevaisingumą.</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4.7</w:t>
      </w:r>
      <w:r w:rsidRPr="00F4223A">
        <w:rPr>
          <w:rFonts w:ascii="Times New Roman" w:hAnsi="Times New Roman"/>
          <w:b/>
          <w:lang w:val="lt-LT"/>
        </w:rPr>
        <w:tab/>
        <w:t>Poveikis gebėjimui vairuoti ir valdyti mechanizmus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Poveikio gebėjimui vairuoti ir valdyti mechanizmus tyrimų neatlikta. Pastebėta, kad gemcitabinas gali sukelti silpną arba vidutinio stiprumo somnolenciją, ypač kartu išgėrus alkoholio. Pacientus reikia įspėti, kad nevairuotų ir nevaldytų mechanizmų tol, kol nebus tikri, kad budrumas nesutriko.</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4.8</w:t>
      </w:r>
      <w:r w:rsidRPr="00F4223A">
        <w:rPr>
          <w:rFonts w:ascii="Times New Roman" w:hAnsi="Times New Roman"/>
          <w:b/>
          <w:lang w:val="lt-LT"/>
        </w:rPr>
        <w:tab/>
        <w:t>Nepageidaujamas poveikis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Dažniausiai pasireiškusios nepageidaujamo reakcijos, susijusios su gydymu gemcitabinu, yra pykinimas su vėmimu arba be jo, kepenų transaminazių (AST/ALT) ir šarminės fosfatazės kiekio padidėjimas (pasireiškė vidutiniškai 60%</w:t>
      </w:r>
      <w:r w:rsidRPr="00F4223A">
        <w:rPr>
          <w:rFonts w:ascii="Times New Roman" w:hAnsi="Times New Roman"/>
          <w:color w:val="000000"/>
          <w:lang w:val="lt-LT"/>
        </w:rPr>
        <w:t xml:space="preserve"> pacientų), proteinurija ir hematurija (pasireiškė </w:t>
      </w:r>
      <w:r w:rsidRPr="00F4223A">
        <w:rPr>
          <w:rFonts w:ascii="Times New Roman" w:hAnsi="Times New Roman"/>
          <w:lang w:val="lt-LT"/>
        </w:rPr>
        <w:t>vidutiniškai 50%</w:t>
      </w:r>
      <w:r w:rsidRPr="00F4223A">
        <w:rPr>
          <w:rFonts w:ascii="Times New Roman" w:hAnsi="Times New Roman"/>
          <w:color w:val="000000"/>
          <w:lang w:val="lt-LT"/>
        </w:rPr>
        <w:t xml:space="preserve"> pacientų), dispnėja (pasireiškė 10 - 40%</w:t>
      </w:r>
      <w:r w:rsidRPr="00F4223A">
        <w:rPr>
          <w:rFonts w:ascii="Times New Roman" w:hAnsi="Times New Roman"/>
          <w:lang w:val="lt-LT"/>
        </w:rPr>
        <w:t xml:space="preserve"> pacientų, dažniausiai plaučių vėžiu sergantiems ligoniams), alerginis odos išbėrimas (atsirado vidutiniškai 25% pacientų, 10% pacientų išbėrimas buvo susijęs su niežuliu).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Nepageidaujamų reakcijų dažnis ir sunkumas priklauso nuo vaistinio preparato dozės dydžio, infuzijos greičio ir intervalo tarp infuzijų trukmės(žr. 4.4 skyrių). Nepageidaujamos reakcijos, dėl kurių tenka riboti dozę, yra trombocitų, leukocitų ir granuliocitų kiekio sumažėjimas (žr. 4.2 skyrių).</w:t>
      </w:r>
    </w:p>
    <w:p w:rsidR="00F4223A" w:rsidRPr="00F4223A" w:rsidRDefault="00F4223A" w:rsidP="00F4223A">
      <w:pPr>
        <w:spacing w:after="0" w:line="240" w:lineRule="auto"/>
        <w:rPr>
          <w:rFonts w:ascii="Times New Roman" w:hAnsi="Times New Roman"/>
          <w:u w:val="single"/>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u w:val="single"/>
          <w:lang w:val="lt-LT"/>
        </w:rPr>
        <w:t>Klinikinių tyrimų duomenys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t>Dažnis apibūdinamas taip: labai dažni (</w:t>
      </w:r>
      <w:r w:rsidRPr="00F4223A">
        <w:rPr>
          <w:rFonts w:ascii="Times New Roman" w:hAnsi="Times New Roman"/>
          <w:lang w:val="lt-LT"/>
        </w:rPr>
        <w:sym w:font="Symbol" w:char="F0B3"/>
      </w:r>
      <w:r w:rsidRPr="00F4223A">
        <w:rPr>
          <w:rFonts w:ascii="Times New Roman" w:hAnsi="Times New Roman"/>
          <w:lang w:val="lt-LT"/>
        </w:rPr>
        <w:t xml:space="preserve"> 1/10), dažni (nuo </w:t>
      </w:r>
      <w:r w:rsidRPr="00F4223A">
        <w:rPr>
          <w:rFonts w:ascii="Times New Roman" w:hAnsi="Times New Roman"/>
          <w:lang w:val="lt-LT"/>
        </w:rPr>
        <w:sym w:font="Symbol" w:char="F0B3"/>
      </w:r>
      <w:r w:rsidRPr="00F4223A">
        <w:rPr>
          <w:rFonts w:ascii="Times New Roman" w:hAnsi="Times New Roman"/>
          <w:lang w:val="lt-LT"/>
        </w:rPr>
        <w:t xml:space="preserve"> 1/100 iki </w:t>
      </w:r>
      <w:r w:rsidRPr="00F4223A">
        <w:rPr>
          <w:rFonts w:ascii="Times New Roman" w:hAnsi="Times New Roman"/>
          <w:lang w:val="lt-LT"/>
        </w:rPr>
        <w:sym w:font="Symbol" w:char="F03C"/>
      </w:r>
      <w:r w:rsidRPr="00F4223A">
        <w:rPr>
          <w:rFonts w:ascii="Times New Roman" w:hAnsi="Times New Roman"/>
          <w:lang w:val="lt-LT"/>
        </w:rPr>
        <w:t xml:space="preserve"> 1/10), nedažni (nuo </w:t>
      </w:r>
      <w:r w:rsidRPr="00F4223A">
        <w:rPr>
          <w:rFonts w:ascii="Times New Roman" w:hAnsi="Times New Roman"/>
          <w:lang w:val="lt-LT"/>
        </w:rPr>
        <w:sym w:font="Symbol" w:char="F0B3"/>
      </w:r>
      <w:r w:rsidRPr="00F4223A">
        <w:rPr>
          <w:rFonts w:ascii="Times New Roman" w:hAnsi="Times New Roman"/>
          <w:lang w:val="lt-LT"/>
        </w:rPr>
        <w:t xml:space="preserve"> 1/1 000 iki </w:t>
      </w:r>
      <w:r w:rsidRPr="00F4223A">
        <w:rPr>
          <w:rFonts w:ascii="Times New Roman" w:hAnsi="Times New Roman"/>
          <w:lang w:val="lt-LT"/>
        </w:rPr>
        <w:sym w:font="Symbol" w:char="F03C"/>
      </w:r>
      <w:r w:rsidRPr="00F4223A">
        <w:rPr>
          <w:rFonts w:ascii="Times New Roman" w:hAnsi="Times New Roman"/>
          <w:lang w:val="lt-LT"/>
        </w:rPr>
        <w:t xml:space="preserve"> 1/100), reti (nuo </w:t>
      </w:r>
      <w:r w:rsidRPr="00F4223A">
        <w:rPr>
          <w:rFonts w:ascii="Times New Roman" w:hAnsi="Times New Roman"/>
          <w:lang w:val="lt-LT"/>
        </w:rPr>
        <w:sym w:font="Symbol" w:char="F0B3"/>
      </w:r>
      <w:r w:rsidRPr="00F4223A">
        <w:rPr>
          <w:rFonts w:ascii="Times New Roman" w:hAnsi="Times New Roman"/>
          <w:lang w:val="lt-LT"/>
        </w:rPr>
        <w:t xml:space="preserve"> 1/10 000 iki </w:t>
      </w:r>
      <w:r w:rsidRPr="00F4223A">
        <w:rPr>
          <w:rFonts w:ascii="Times New Roman" w:hAnsi="Times New Roman"/>
          <w:lang w:val="lt-LT"/>
        </w:rPr>
        <w:sym w:font="Symbol" w:char="F03C"/>
      </w:r>
      <w:r w:rsidRPr="00F4223A">
        <w:rPr>
          <w:rFonts w:ascii="Times New Roman" w:hAnsi="Times New Roman"/>
          <w:lang w:val="lt-LT"/>
        </w:rPr>
        <w:t> 1/1 000), labai reti (</w:t>
      </w:r>
      <w:r w:rsidRPr="00F4223A">
        <w:rPr>
          <w:rFonts w:ascii="Times New Roman" w:hAnsi="Times New Roman"/>
          <w:lang w:val="lt-LT"/>
        </w:rPr>
        <w:sym w:font="Symbol" w:char="F03C"/>
      </w:r>
      <w:r w:rsidRPr="00F4223A">
        <w:rPr>
          <w:rFonts w:ascii="Times New Roman" w:hAnsi="Times New Roman"/>
          <w:lang w:val="lt-LT"/>
        </w:rPr>
        <w:t> 1/10 000).</w:t>
      </w:r>
    </w:p>
    <w:p w:rsidR="00F4223A" w:rsidRPr="00F4223A" w:rsidRDefault="00F4223A" w:rsidP="00F4223A">
      <w:pPr>
        <w:spacing w:after="0" w:line="240" w:lineRule="auto"/>
        <w:rPr>
          <w:rFonts w:ascii="Times New Roman" w:hAnsi="Times New Roman"/>
          <w:u w:val="single"/>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Lentelėje išvardytas nepageidaujamas poveikis ir jo dažnis yra paremti klinikinių tyrimų duomenimis. Kiekvienoje dažnio grupėje nepageidaujamas poveikis pateikiamas mažėjančio sunkumo tvarka.</w:t>
      </w:r>
    </w:p>
    <w:p w:rsidR="00F4223A" w:rsidRPr="00F4223A" w:rsidRDefault="00F4223A" w:rsidP="00F4223A">
      <w:pPr>
        <w:spacing w:after="0" w:line="240" w:lineRule="auto"/>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244"/>
      </w:tblGrid>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Organų sistemų klasė</w:t>
            </w:r>
          </w:p>
        </w:tc>
        <w:tc>
          <w:tcPr>
            <w:tcW w:w="5244" w:type="dxa"/>
          </w:tcPr>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Dažnis</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Kraujo ir limfinės sistemos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Leukopenija (3-ojo laipsnio neutropenija 19,3</w:t>
            </w:r>
            <w:r w:rsidRPr="00F4223A">
              <w:rPr>
                <w:rFonts w:ascii="Times New Roman" w:hAnsi="Times New Roman"/>
                <w:lang w:val="lt-LT"/>
              </w:rPr>
              <w:sym w:font="Symbol" w:char="F025"/>
            </w:r>
            <w:r w:rsidRPr="00F4223A">
              <w:rPr>
                <w:rFonts w:ascii="Times New Roman" w:hAnsi="Times New Roman"/>
                <w:lang w:val="lt-LT"/>
              </w:rPr>
              <w:t xml:space="preserve">, 4-ojo laipsnio </w:t>
            </w:r>
            <w:r w:rsidRPr="00F4223A">
              <w:rPr>
                <w:rFonts w:ascii="Times New Roman" w:hAnsi="Times New Roman"/>
                <w:lang w:val="lt-LT"/>
              </w:rPr>
              <w:sym w:font="Symbol" w:char="F02D"/>
            </w:r>
            <w:r w:rsidRPr="00F4223A">
              <w:rPr>
                <w:rFonts w:ascii="Times New Roman" w:hAnsi="Times New Roman"/>
                <w:lang w:val="lt-LT"/>
              </w:rPr>
              <w:t xml:space="preserve"> 6</w:t>
            </w:r>
            <w:r w:rsidRPr="00F4223A">
              <w:rPr>
                <w:rFonts w:ascii="Times New Roman" w:hAnsi="Times New Roman"/>
                <w:lang w:val="lt-LT"/>
              </w:rPr>
              <w:sym w:font="Symbol" w:char="F025"/>
            </w:r>
            <w:r w:rsidRPr="00F4223A">
              <w:rPr>
                <w:rFonts w:ascii="Times New Roman" w:hAnsi="Times New Roman"/>
                <w:lang w:val="lt-LT"/>
              </w:rPr>
              <w:t>). Kaulų čiulpų funkcijos s</w:t>
            </w:r>
            <w:r w:rsidR="003B0702">
              <w:rPr>
                <w:rFonts w:ascii="Times New Roman" w:hAnsi="Times New Roman"/>
                <w:lang w:val="lt-LT"/>
              </w:rPr>
              <w:t>l</w:t>
            </w:r>
            <w:r w:rsidRPr="00F4223A">
              <w:rPr>
                <w:rFonts w:ascii="Times New Roman" w:hAnsi="Times New Roman"/>
                <w:lang w:val="lt-LT"/>
              </w:rPr>
              <w:t>opinimas paprastai būna silpnas arba vidutinio stiprumo ir dažniausiai sąlygoja granulocitų skaičiaus pokytį (žr. 4.2</w:t>
            </w:r>
            <w:r w:rsidRPr="00F4223A">
              <w:rPr>
                <w:rFonts w:ascii="Times New Roman" w:eastAsia="MS Mincho" w:hAnsi="Times New Roman" w:cs="Times New Roman"/>
                <w:lang w:val="lt-LT" w:eastAsia="lt-LT"/>
              </w:rPr>
              <w:t xml:space="preserve"> ir 4.4 </w:t>
            </w:r>
            <w:r w:rsidRPr="00F4223A">
              <w:rPr>
                <w:rFonts w:ascii="Times New Roman" w:hAnsi="Times New Roman"/>
                <w:lang w:val="lt-LT"/>
              </w:rPr>
              <w:t xml:space="preserve"> skyrių) </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Trombocitopenija</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Anemija</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Febrilinė neutropenija</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reti</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Trombocitozė</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Imuninės sistemos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reti</w:t>
            </w:r>
          </w:p>
          <w:p w:rsidR="00F4223A" w:rsidRPr="00F4223A" w:rsidRDefault="00F4223A" w:rsidP="00F4223A">
            <w:pPr>
              <w:numPr>
                <w:ilvl w:val="0"/>
                <w:numId w:val="21"/>
              </w:numPr>
              <w:spacing w:after="0" w:line="240" w:lineRule="auto"/>
              <w:rPr>
                <w:rFonts w:ascii="Times New Roman" w:hAnsi="Times New Roman"/>
                <w:i/>
                <w:lang w:val="lt-LT"/>
              </w:rPr>
            </w:pPr>
            <w:r w:rsidRPr="00F4223A">
              <w:rPr>
                <w:rFonts w:ascii="Times New Roman" w:hAnsi="Times New Roman"/>
                <w:lang w:val="lt-LT"/>
              </w:rPr>
              <w:t>Anafilaktoidinė reakcija</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Metabolizmo ir mitybos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21"/>
              </w:numPr>
              <w:spacing w:after="0" w:line="240" w:lineRule="auto"/>
              <w:rPr>
                <w:rFonts w:ascii="Times New Roman" w:hAnsi="Times New Roman"/>
                <w:i/>
                <w:lang w:val="lt-LT"/>
              </w:rPr>
            </w:pPr>
            <w:r w:rsidRPr="00F4223A">
              <w:rPr>
                <w:rFonts w:ascii="Times New Roman" w:hAnsi="Times New Roman"/>
                <w:lang w:val="lt-LT"/>
              </w:rPr>
              <w:t>Anoreksija</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Nervų sistemos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Galvos skausmas</w:t>
            </w:r>
          </w:p>
          <w:p w:rsidR="00F4223A" w:rsidRPr="00F4223A" w:rsidRDefault="00F4223A" w:rsidP="00F4223A">
            <w:pPr>
              <w:numPr>
                <w:ilvl w:val="0"/>
                <w:numId w:val="21"/>
              </w:numPr>
              <w:spacing w:after="0" w:line="240" w:lineRule="auto"/>
              <w:rPr>
                <w:rFonts w:ascii="Times New Roman" w:hAnsi="Times New Roman"/>
                <w:lang w:val="lt-LT"/>
              </w:rPr>
            </w:pPr>
            <w:r w:rsidRPr="00F4223A">
              <w:rPr>
                <w:rFonts w:ascii="Times New Roman" w:hAnsi="Times New Roman"/>
                <w:lang w:val="lt-LT"/>
              </w:rPr>
              <w:t>Nemiga</w:t>
            </w:r>
          </w:p>
          <w:p w:rsidR="00F4223A" w:rsidRPr="00F4223A" w:rsidRDefault="00F4223A" w:rsidP="00F4223A">
            <w:pPr>
              <w:numPr>
                <w:ilvl w:val="0"/>
                <w:numId w:val="21"/>
              </w:numPr>
              <w:spacing w:after="0" w:line="240" w:lineRule="auto"/>
              <w:rPr>
                <w:rFonts w:ascii="Times New Roman" w:eastAsia="MS Mincho" w:hAnsi="Times New Roman" w:cs="Times New Roman"/>
                <w:lang w:val="lt-LT" w:eastAsia="lt-LT"/>
              </w:rPr>
            </w:pPr>
            <w:r w:rsidRPr="00F4223A">
              <w:rPr>
                <w:rFonts w:ascii="Times New Roman" w:hAnsi="Times New Roman"/>
                <w:lang w:val="lt-LT"/>
              </w:rPr>
              <w:t>Somnolencija</w:t>
            </w:r>
          </w:p>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Nedažni</w:t>
            </w:r>
          </w:p>
          <w:p w:rsidR="00F4223A" w:rsidRPr="00F4223A" w:rsidRDefault="00F4223A" w:rsidP="00F4223A">
            <w:pPr>
              <w:numPr>
                <w:ilvl w:val="0"/>
                <w:numId w:val="38"/>
              </w:numPr>
              <w:spacing w:after="0" w:line="240" w:lineRule="auto"/>
              <w:contextualSpacing/>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Smegenų insulto simptomai</w:t>
            </w:r>
          </w:p>
          <w:p w:rsidR="00F4223A" w:rsidRPr="00F4223A" w:rsidRDefault="00F4223A" w:rsidP="00F4223A">
            <w:pPr>
              <w:spacing w:after="0" w:line="240" w:lineRule="auto"/>
              <w:contextualSpacing/>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Labai reti</w:t>
            </w:r>
          </w:p>
          <w:p w:rsidR="00F4223A" w:rsidRPr="00F4223A" w:rsidRDefault="00F4223A" w:rsidP="00F4223A">
            <w:pPr>
              <w:spacing w:after="0" w:line="240" w:lineRule="auto"/>
              <w:rPr>
                <w:rFonts w:ascii="Times New Roman" w:hAnsi="Times New Roman"/>
                <w:lang w:val="lt-LT"/>
              </w:rPr>
            </w:pPr>
            <w:r w:rsidRPr="00F4223A">
              <w:rPr>
                <w:rFonts w:ascii="Times New Roman" w:eastAsia="Times New Roman" w:hAnsi="Times New Roman" w:cs="Times New Roman"/>
                <w:szCs w:val="20"/>
                <w:lang w:val="lt-LT" w:eastAsia="lt-LT"/>
              </w:rPr>
              <w:t xml:space="preserve">     </w:t>
            </w:r>
            <w:r w:rsidRPr="00F4223A">
              <w:rPr>
                <w:rFonts w:ascii="Times New Roman" w:eastAsia="Times New Roman" w:hAnsi="Times New Roman" w:cs="Times New Roman"/>
                <w:lang w:val="lt-LT" w:eastAsia="lt-LT"/>
              </w:rPr>
              <w:sym w:font="Symbol" w:char="F0B7"/>
            </w:r>
            <w:r w:rsidRPr="00F4223A">
              <w:rPr>
                <w:rFonts w:ascii="Times New Roman" w:eastAsia="Times New Roman" w:hAnsi="Times New Roman" w:cs="Times New Roman"/>
                <w:szCs w:val="20"/>
                <w:lang w:val="lt-LT" w:eastAsia="lt-LT"/>
              </w:rPr>
              <w:t xml:space="preserve">   </w:t>
            </w:r>
            <w:r w:rsidRPr="00F4223A">
              <w:rPr>
                <w:rFonts w:ascii="Times New Roman" w:eastAsia="Times New Roman" w:hAnsi="Times New Roman" w:cs="Times New Roman"/>
                <w:lang w:val="lt-LT" w:eastAsia="lt-LT"/>
              </w:rPr>
              <w:t>Užpakalinės grįžtamos encefalopatijos sindromas (žr. 4.4 skyrių)</w:t>
            </w: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Širdies sutrikimai</w:t>
            </w:r>
          </w:p>
        </w:tc>
        <w:tc>
          <w:tcPr>
            <w:tcW w:w="5244" w:type="dxa"/>
          </w:tcPr>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Nedažni</w:t>
            </w:r>
          </w:p>
          <w:p w:rsidR="00F4223A" w:rsidRPr="00F4223A" w:rsidRDefault="00F4223A" w:rsidP="00F4223A">
            <w:pPr>
              <w:numPr>
                <w:ilvl w:val="0"/>
                <w:numId w:val="38"/>
              </w:numPr>
              <w:spacing w:after="0" w:line="240" w:lineRule="auto"/>
              <w:contextualSpacing/>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Aritmijos, daugiausia skilvelinės prigimties</w:t>
            </w:r>
          </w:p>
          <w:p w:rsidR="00F4223A" w:rsidRPr="00F4223A" w:rsidRDefault="00F4223A" w:rsidP="00F4223A">
            <w:pPr>
              <w:numPr>
                <w:ilvl w:val="0"/>
                <w:numId w:val="38"/>
              </w:numPr>
              <w:spacing w:after="0" w:line="240" w:lineRule="auto"/>
              <w:contextualSpacing/>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Širdies nepakankamumas</w:t>
            </w: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Reti</w:t>
            </w:r>
          </w:p>
          <w:p w:rsidR="00F4223A" w:rsidRPr="00F4223A" w:rsidRDefault="00F4223A" w:rsidP="00F4223A">
            <w:pPr>
              <w:numPr>
                <w:ilvl w:val="0"/>
                <w:numId w:val="22"/>
              </w:numPr>
              <w:tabs>
                <w:tab w:val="num" w:pos="744"/>
              </w:tabs>
              <w:spacing w:after="0" w:line="240" w:lineRule="auto"/>
              <w:ind w:left="744"/>
              <w:rPr>
                <w:rFonts w:ascii="Times New Roman" w:hAnsi="Times New Roman"/>
                <w:lang w:val="lt-LT"/>
              </w:rPr>
            </w:pPr>
            <w:r w:rsidRPr="00F4223A">
              <w:rPr>
                <w:rFonts w:ascii="Times New Roman" w:hAnsi="Times New Roman"/>
                <w:lang w:val="lt-LT"/>
              </w:rPr>
              <w:t>Miokardo infarktas</w:t>
            </w: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Kraujagyslių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Reti</w:t>
            </w:r>
          </w:p>
          <w:p w:rsidR="00F4223A" w:rsidRPr="00F4223A" w:rsidRDefault="00F4223A" w:rsidP="00F4223A">
            <w:pPr>
              <w:numPr>
                <w:ilvl w:val="0"/>
                <w:numId w:val="22"/>
              </w:numPr>
              <w:tabs>
                <w:tab w:val="num" w:pos="744"/>
              </w:tabs>
              <w:spacing w:after="0" w:line="240" w:lineRule="auto"/>
              <w:ind w:left="744"/>
              <w:contextualSpacing/>
              <w:rPr>
                <w:rFonts w:ascii="Times New Roman" w:eastAsia="MS Mincho" w:hAnsi="Times New Roman" w:cs="Times New Roman"/>
                <w:lang w:val="lt-LT" w:eastAsia="lt-LT"/>
              </w:rPr>
            </w:pPr>
            <w:r w:rsidRPr="00F4223A">
              <w:rPr>
                <w:rFonts w:ascii="Times New Roman" w:eastAsia="MS Mincho" w:hAnsi="Times New Roman" w:cs="Times New Roman"/>
                <w:lang w:val="lt-LT" w:eastAsia="lt-LT"/>
              </w:rPr>
              <w:t>Klinikiniai per</w:t>
            </w:r>
            <w:r w:rsidR="003B0702">
              <w:rPr>
                <w:rFonts w:ascii="Times New Roman" w:eastAsia="MS Mincho" w:hAnsi="Times New Roman" w:cs="Times New Roman"/>
                <w:lang w:val="lt-LT" w:eastAsia="lt-LT"/>
              </w:rPr>
              <w:t>i</w:t>
            </w:r>
            <w:r w:rsidRPr="00F4223A">
              <w:rPr>
                <w:rFonts w:ascii="Times New Roman" w:eastAsia="MS Mincho" w:hAnsi="Times New Roman" w:cs="Times New Roman"/>
                <w:lang w:val="lt-LT" w:eastAsia="lt-LT"/>
              </w:rPr>
              <w:t>ferinio vaskulito ir gangrenos požymiai</w:t>
            </w:r>
          </w:p>
          <w:p w:rsidR="00F4223A" w:rsidRPr="00F4223A" w:rsidRDefault="00F4223A" w:rsidP="00F4223A">
            <w:pPr>
              <w:numPr>
                <w:ilvl w:val="0"/>
                <w:numId w:val="22"/>
              </w:numPr>
              <w:tabs>
                <w:tab w:val="num" w:pos="744"/>
              </w:tabs>
              <w:spacing w:after="0" w:line="240" w:lineRule="auto"/>
              <w:ind w:left="744"/>
              <w:rPr>
                <w:rFonts w:ascii="Times New Roman" w:eastAsia="MS Mincho" w:hAnsi="Times New Roman" w:cs="Times New Roman"/>
                <w:lang w:val="lt-LT" w:eastAsia="lt-LT"/>
              </w:rPr>
            </w:pPr>
            <w:r w:rsidRPr="00F4223A">
              <w:rPr>
                <w:rFonts w:ascii="Times New Roman" w:hAnsi="Times New Roman"/>
                <w:lang w:val="lt-LT"/>
              </w:rPr>
              <w:t>Hipotenzija</w:t>
            </w:r>
          </w:p>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Labai reti</w:t>
            </w:r>
          </w:p>
          <w:p w:rsidR="00F4223A" w:rsidRPr="00F4223A" w:rsidRDefault="00F4223A" w:rsidP="00F4223A">
            <w:pPr>
              <w:spacing w:after="0" w:line="240" w:lineRule="auto"/>
              <w:rPr>
                <w:rFonts w:ascii="Times New Roman" w:hAnsi="Times New Roman"/>
                <w:lang w:val="lt-LT"/>
              </w:rPr>
            </w:pPr>
            <w:r w:rsidRPr="00F4223A">
              <w:rPr>
                <w:rFonts w:ascii="Times New Roman" w:eastAsia="Times New Roman" w:hAnsi="Times New Roman" w:cs="Times New Roman"/>
                <w:szCs w:val="20"/>
                <w:lang w:val="lt-LT" w:eastAsia="lt-LT"/>
              </w:rPr>
              <w:t xml:space="preserve">     </w:t>
            </w:r>
            <w:r w:rsidRPr="00F4223A">
              <w:rPr>
                <w:rFonts w:ascii="Times New Roman" w:eastAsia="Times New Roman" w:hAnsi="Times New Roman" w:cs="Times New Roman"/>
                <w:lang w:val="lt-LT" w:eastAsia="lt-LT"/>
              </w:rPr>
              <w:sym w:font="Symbol" w:char="F0B7"/>
            </w:r>
            <w:r w:rsidRPr="00F4223A">
              <w:rPr>
                <w:rFonts w:ascii="Times New Roman" w:eastAsia="Times New Roman" w:hAnsi="Times New Roman" w:cs="Times New Roman"/>
                <w:szCs w:val="20"/>
                <w:lang w:val="lt-LT" w:eastAsia="lt-LT"/>
              </w:rPr>
              <w:t xml:space="preserve">   Padidėjusio kapiliarų pralaidumo sindromas (žr. 4.4 skyrių)</w:t>
            </w: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Kvėpavimo sistemos, krūtinės ląstos ir tarpuplaučio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22"/>
              </w:numPr>
              <w:tabs>
                <w:tab w:val="num" w:pos="744"/>
              </w:tabs>
              <w:spacing w:after="0" w:line="240" w:lineRule="auto"/>
              <w:ind w:left="744"/>
              <w:rPr>
                <w:rFonts w:ascii="Times New Roman" w:hAnsi="Times New Roman"/>
                <w:b/>
                <w:kern w:val="28"/>
                <w:lang w:val="lt-LT"/>
              </w:rPr>
            </w:pPr>
            <w:r w:rsidRPr="00F4223A">
              <w:rPr>
                <w:rFonts w:ascii="Times New Roman" w:hAnsi="Times New Roman"/>
                <w:lang w:val="lt-LT"/>
              </w:rPr>
              <w:t>Dispnėja, paprastai silpna ir greitai praeinanti</w:t>
            </w:r>
            <w:r w:rsidR="00A460E4">
              <w:rPr>
                <w:rFonts w:ascii="Times New Roman" w:hAnsi="Times New Roman"/>
                <w:lang w:val="lt-LT"/>
              </w:rPr>
              <w:t xml:space="preserve"> </w:t>
            </w:r>
            <w:r w:rsidRPr="00F4223A">
              <w:rPr>
                <w:rFonts w:ascii="Times New Roman" w:hAnsi="Times New Roman"/>
                <w:lang w:val="lt-LT"/>
              </w:rPr>
              <w:t>savaime</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lastRenderedPageBreak/>
              <w:t>Dažni</w:t>
            </w:r>
          </w:p>
          <w:p w:rsidR="00F4223A" w:rsidRPr="00F4223A" w:rsidRDefault="00F4223A" w:rsidP="00F4223A">
            <w:pPr>
              <w:numPr>
                <w:ilvl w:val="0"/>
                <w:numId w:val="23"/>
              </w:numPr>
              <w:spacing w:after="0" w:line="240" w:lineRule="auto"/>
              <w:rPr>
                <w:rFonts w:ascii="Times New Roman" w:hAnsi="Times New Roman"/>
                <w:b/>
                <w:kern w:val="28"/>
                <w:lang w:val="lt-LT"/>
              </w:rPr>
            </w:pPr>
            <w:r w:rsidRPr="00F4223A">
              <w:rPr>
                <w:rFonts w:ascii="Times New Roman" w:hAnsi="Times New Roman"/>
                <w:lang w:val="lt-LT"/>
              </w:rPr>
              <w:t>Kosulys</w:t>
            </w:r>
          </w:p>
          <w:p w:rsidR="00F4223A" w:rsidRPr="00F4223A" w:rsidRDefault="00F4223A" w:rsidP="00F4223A">
            <w:pPr>
              <w:numPr>
                <w:ilvl w:val="0"/>
                <w:numId w:val="23"/>
              </w:numPr>
              <w:spacing w:after="0" w:line="240" w:lineRule="auto"/>
              <w:rPr>
                <w:rFonts w:ascii="Times New Roman" w:hAnsi="Times New Roman"/>
                <w:b/>
                <w:kern w:val="28"/>
                <w:lang w:val="lt-LT"/>
              </w:rPr>
            </w:pPr>
            <w:r w:rsidRPr="00F4223A">
              <w:rPr>
                <w:rFonts w:ascii="Times New Roman" w:hAnsi="Times New Roman"/>
                <w:lang w:val="lt-LT"/>
              </w:rPr>
              <w:t>Rinitas</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Nedažni</w:t>
            </w:r>
          </w:p>
          <w:p w:rsidR="00F4223A" w:rsidRPr="00F4223A" w:rsidRDefault="00F4223A" w:rsidP="00F4223A">
            <w:pPr>
              <w:numPr>
                <w:ilvl w:val="0"/>
                <w:numId w:val="23"/>
              </w:numPr>
              <w:spacing w:after="0" w:line="240" w:lineRule="auto"/>
              <w:rPr>
                <w:rFonts w:ascii="Times New Roman" w:hAnsi="Times New Roman"/>
                <w:lang w:val="lt-LT"/>
              </w:rPr>
            </w:pPr>
            <w:r w:rsidRPr="00F4223A">
              <w:rPr>
                <w:rFonts w:ascii="Times New Roman" w:hAnsi="Times New Roman"/>
                <w:lang w:val="lt-LT"/>
              </w:rPr>
              <w:t xml:space="preserve">Intersticinė pneumonija (žr. 4.4 skyrių) </w:t>
            </w:r>
          </w:p>
          <w:p w:rsidR="00F4223A" w:rsidRPr="00F4223A" w:rsidRDefault="00F4223A" w:rsidP="00F4223A">
            <w:pPr>
              <w:numPr>
                <w:ilvl w:val="0"/>
                <w:numId w:val="23"/>
              </w:numPr>
              <w:spacing w:after="0" w:line="240" w:lineRule="auto"/>
              <w:rPr>
                <w:rFonts w:ascii="Times New Roman" w:hAnsi="Times New Roman"/>
                <w:lang w:val="lt-LT"/>
              </w:rPr>
            </w:pPr>
            <w:r w:rsidRPr="00F4223A">
              <w:rPr>
                <w:rFonts w:ascii="Times New Roman" w:hAnsi="Times New Roman"/>
                <w:lang w:val="lt-LT"/>
              </w:rPr>
              <w:t xml:space="preserve">Bronchų spazmas, paprastai silpnas ir trumpalaikis, tačiau gali prireikti gydymo parenteriniu būdu vartojamais </w:t>
            </w:r>
            <w:r w:rsidR="003B0702">
              <w:rPr>
                <w:rFonts w:ascii="Times New Roman" w:eastAsia="Times New Roman" w:hAnsi="Times New Roman" w:cs="Times New Roman"/>
                <w:lang w:val="lt-LT" w:eastAsia="lt-LT"/>
              </w:rPr>
              <w:t>vaistiniais preparatais</w:t>
            </w:r>
          </w:p>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Reti</w:t>
            </w:r>
          </w:p>
          <w:p w:rsidR="00F4223A" w:rsidRPr="00F4223A" w:rsidRDefault="00F4223A" w:rsidP="00F4223A">
            <w:pPr>
              <w:numPr>
                <w:ilvl w:val="0"/>
                <w:numId w:val="39"/>
              </w:numPr>
              <w:spacing w:after="0" w:line="240" w:lineRule="auto"/>
              <w:contextualSpacing/>
              <w:rPr>
                <w:rFonts w:ascii="Times New Roman" w:eastAsia="Times New Roman" w:hAnsi="Times New Roman" w:cs="Times New Roman"/>
                <w:szCs w:val="20"/>
                <w:lang w:val="lt-LT" w:eastAsia="lt-LT"/>
              </w:rPr>
            </w:pPr>
            <w:r w:rsidRPr="00F4223A">
              <w:rPr>
                <w:rFonts w:ascii="Times New Roman" w:hAnsi="Times New Roman"/>
                <w:lang w:val="lt-LT"/>
              </w:rPr>
              <w:t>Plaučių edema</w:t>
            </w:r>
          </w:p>
          <w:p w:rsidR="00F4223A" w:rsidRPr="00F4223A" w:rsidRDefault="00F4223A" w:rsidP="00F4223A">
            <w:pPr>
              <w:spacing w:after="0" w:line="240" w:lineRule="auto"/>
              <w:rPr>
                <w:rFonts w:ascii="Times New Roman" w:eastAsia="MS Mincho" w:hAnsi="Times New Roman" w:cs="Times New Roman"/>
                <w:lang w:val="lt-LT" w:eastAsia="lt-LT"/>
              </w:rPr>
            </w:pPr>
            <w:r w:rsidRPr="00F4223A">
              <w:rPr>
                <w:rFonts w:ascii="Times New Roman" w:eastAsia="Times New Roman" w:hAnsi="Times New Roman" w:cs="Times New Roman"/>
                <w:szCs w:val="20"/>
                <w:lang w:val="lt-LT" w:eastAsia="lt-LT"/>
              </w:rPr>
              <w:t>Suaugusiųjų žmonių kvėpavimo distreso sindromas (žr. 4.4 skyrių)</w:t>
            </w:r>
          </w:p>
          <w:p w:rsidR="00F4223A" w:rsidRPr="00F4223A" w:rsidRDefault="00F4223A" w:rsidP="00F4223A">
            <w:pPr>
              <w:spacing w:after="0" w:line="240" w:lineRule="auto"/>
              <w:rPr>
                <w:rFonts w:ascii="Times New Roman" w:hAnsi="Times New Roman"/>
                <w:lang w:val="lt-LT"/>
              </w:rPr>
            </w:pP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lastRenderedPageBreak/>
              <w:t>Virškinimo trakto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25"/>
              </w:numPr>
              <w:spacing w:after="0" w:line="240" w:lineRule="auto"/>
              <w:rPr>
                <w:rFonts w:ascii="Times New Roman" w:hAnsi="Times New Roman"/>
                <w:b/>
                <w:kern w:val="28"/>
                <w:lang w:val="lt-LT"/>
              </w:rPr>
            </w:pPr>
            <w:r w:rsidRPr="00F4223A">
              <w:rPr>
                <w:rFonts w:ascii="Times New Roman" w:hAnsi="Times New Roman"/>
                <w:lang w:val="lt-LT"/>
              </w:rPr>
              <w:t>Vėmimas</w:t>
            </w:r>
          </w:p>
          <w:p w:rsidR="00F4223A" w:rsidRPr="00F4223A" w:rsidRDefault="00F4223A" w:rsidP="00F4223A">
            <w:pPr>
              <w:numPr>
                <w:ilvl w:val="0"/>
                <w:numId w:val="25"/>
              </w:numPr>
              <w:spacing w:after="0" w:line="240" w:lineRule="auto"/>
              <w:rPr>
                <w:rFonts w:ascii="Times New Roman" w:hAnsi="Times New Roman"/>
                <w:b/>
                <w:kern w:val="28"/>
                <w:lang w:val="lt-LT"/>
              </w:rPr>
            </w:pPr>
            <w:r w:rsidRPr="00F4223A">
              <w:rPr>
                <w:rFonts w:ascii="Times New Roman" w:hAnsi="Times New Roman"/>
                <w:lang w:val="lt-LT"/>
              </w:rPr>
              <w:t>Pykinimas</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26"/>
              </w:numPr>
              <w:spacing w:after="0" w:line="240" w:lineRule="auto"/>
              <w:rPr>
                <w:rFonts w:ascii="Times New Roman" w:hAnsi="Times New Roman"/>
                <w:b/>
                <w:kern w:val="28"/>
                <w:lang w:val="lt-LT"/>
              </w:rPr>
            </w:pPr>
            <w:r w:rsidRPr="00F4223A">
              <w:rPr>
                <w:rFonts w:ascii="Times New Roman" w:hAnsi="Times New Roman"/>
                <w:lang w:val="lt-LT"/>
              </w:rPr>
              <w:t>Viduriavimas</w:t>
            </w:r>
          </w:p>
          <w:p w:rsidR="00F4223A" w:rsidRPr="00F4223A" w:rsidRDefault="00F4223A" w:rsidP="00F4223A">
            <w:pPr>
              <w:numPr>
                <w:ilvl w:val="0"/>
                <w:numId w:val="26"/>
              </w:numPr>
              <w:spacing w:after="0" w:line="240" w:lineRule="auto"/>
              <w:rPr>
                <w:rFonts w:ascii="Times New Roman" w:hAnsi="Times New Roman"/>
                <w:b/>
                <w:kern w:val="28"/>
                <w:lang w:val="lt-LT"/>
              </w:rPr>
            </w:pPr>
            <w:r w:rsidRPr="00F4223A">
              <w:rPr>
                <w:rFonts w:ascii="Times New Roman" w:hAnsi="Times New Roman"/>
                <w:lang w:val="lt-LT"/>
              </w:rPr>
              <w:t>Stomatitas ir burnos išopėjimas</w:t>
            </w:r>
          </w:p>
          <w:p w:rsidR="00F4223A" w:rsidRPr="00F4223A" w:rsidRDefault="00F4223A" w:rsidP="00F4223A">
            <w:pPr>
              <w:numPr>
                <w:ilvl w:val="0"/>
                <w:numId w:val="26"/>
              </w:numPr>
              <w:spacing w:after="0" w:line="240" w:lineRule="auto"/>
              <w:rPr>
                <w:rFonts w:ascii="Times New Roman" w:eastAsia="MS Mincho" w:hAnsi="Times New Roman" w:cs="Times New Roman"/>
                <w:b/>
                <w:kern w:val="28"/>
                <w:lang w:val="lt-LT" w:eastAsia="lt-LT"/>
              </w:rPr>
            </w:pPr>
            <w:r w:rsidRPr="00F4223A">
              <w:rPr>
                <w:rFonts w:ascii="Times New Roman" w:hAnsi="Times New Roman"/>
                <w:lang w:val="lt-LT"/>
              </w:rPr>
              <w:t>Vidurių užkietėjimas</w:t>
            </w:r>
          </w:p>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Labai reti</w:t>
            </w:r>
          </w:p>
          <w:p w:rsidR="00F4223A" w:rsidRPr="00F4223A" w:rsidRDefault="00F4223A" w:rsidP="00F4223A">
            <w:pPr>
              <w:numPr>
                <w:ilvl w:val="0"/>
                <w:numId w:val="39"/>
              </w:numPr>
              <w:spacing w:after="0" w:line="240" w:lineRule="auto"/>
              <w:contextualSpacing/>
              <w:rPr>
                <w:rFonts w:ascii="Times New Roman" w:hAnsi="Times New Roman"/>
                <w:b/>
                <w:kern w:val="28"/>
                <w:lang w:val="lt-LT"/>
              </w:rPr>
            </w:pPr>
            <w:r w:rsidRPr="00F4223A">
              <w:rPr>
                <w:rFonts w:ascii="Times New Roman" w:hAnsi="Times New Roman"/>
                <w:lang w:val="lt-LT"/>
              </w:rPr>
              <w:t>Išeminis kolitas</w:t>
            </w: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Kepenų, tulžies pūslės ir latakų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27"/>
              </w:numPr>
              <w:tabs>
                <w:tab w:val="num" w:pos="744"/>
              </w:tabs>
              <w:spacing w:after="0" w:line="240" w:lineRule="auto"/>
              <w:ind w:left="744"/>
              <w:rPr>
                <w:rFonts w:ascii="Times New Roman" w:hAnsi="Times New Roman"/>
                <w:b/>
                <w:kern w:val="28"/>
                <w:lang w:val="lt-LT"/>
              </w:rPr>
            </w:pPr>
            <w:r w:rsidRPr="00F4223A">
              <w:rPr>
                <w:rFonts w:ascii="Times New Roman" w:hAnsi="Times New Roman"/>
                <w:lang w:val="lt-LT"/>
              </w:rPr>
              <w:t xml:space="preserve">Kepenų transaminazių (AST ir ALT) ir šarminės fosfatazės </w:t>
            </w:r>
            <w:r w:rsidR="003B0702">
              <w:rPr>
                <w:rFonts w:ascii="Times New Roman" w:hAnsi="Times New Roman"/>
                <w:lang w:val="lt-LT"/>
              </w:rPr>
              <w:t>aktyvumo</w:t>
            </w:r>
            <w:r w:rsidR="003B0702" w:rsidRPr="00F4223A">
              <w:rPr>
                <w:rFonts w:ascii="Times New Roman" w:hAnsi="Times New Roman"/>
                <w:lang w:val="lt-LT"/>
              </w:rPr>
              <w:t xml:space="preserve"> </w:t>
            </w:r>
            <w:r w:rsidRPr="00F4223A">
              <w:rPr>
                <w:rFonts w:ascii="Times New Roman" w:hAnsi="Times New Roman"/>
                <w:lang w:val="lt-LT"/>
              </w:rPr>
              <w:t>padidėjimas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27"/>
              </w:numPr>
              <w:tabs>
                <w:tab w:val="num" w:pos="744"/>
              </w:tabs>
              <w:spacing w:after="0" w:line="240" w:lineRule="auto"/>
              <w:ind w:left="744"/>
              <w:rPr>
                <w:rFonts w:ascii="Times New Roman" w:hAnsi="Times New Roman"/>
                <w:b/>
                <w:kern w:val="28"/>
                <w:lang w:val="lt-LT"/>
              </w:rPr>
            </w:pPr>
            <w:r w:rsidRPr="00F4223A">
              <w:rPr>
                <w:rFonts w:ascii="Times New Roman" w:hAnsi="Times New Roman"/>
                <w:lang w:val="lt-LT"/>
              </w:rPr>
              <w:t>Bilirubino kiekio padidėjimas</w:t>
            </w:r>
          </w:p>
          <w:p w:rsidR="00F4223A" w:rsidRPr="00F4223A" w:rsidRDefault="00F4223A" w:rsidP="00F4223A">
            <w:pPr>
              <w:spacing w:after="0" w:line="240" w:lineRule="auto"/>
              <w:rPr>
                <w:rFonts w:ascii="Times New Roman" w:hAnsi="Times New Roman"/>
                <w:b/>
                <w:kern w:val="28"/>
                <w:lang w:val="lt-LT"/>
              </w:rPr>
            </w:pPr>
          </w:p>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Nedažni</w:t>
            </w:r>
          </w:p>
          <w:p w:rsidR="00F4223A" w:rsidRPr="00F4223A" w:rsidRDefault="00F4223A" w:rsidP="00F4223A">
            <w:pPr>
              <w:numPr>
                <w:ilvl w:val="0"/>
                <w:numId w:val="40"/>
              </w:numPr>
              <w:spacing w:after="0" w:line="240" w:lineRule="auto"/>
              <w:contextualSpacing/>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Sunkus toksinis poveikis kepenims, įskaitant kepenų nepakankamumą ir mirtį</w:t>
            </w:r>
          </w:p>
          <w:p w:rsidR="00F4223A" w:rsidRPr="00F4223A" w:rsidRDefault="00F4223A" w:rsidP="00F4223A">
            <w:pPr>
              <w:spacing w:after="0" w:line="240" w:lineRule="auto"/>
              <w:rPr>
                <w:rFonts w:ascii="Times New Roman" w:eastAsia="MS Mincho" w:hAnsi="Times New Roman" w:cs="Times New Roman"/>
                <w:i/>
                <w:iCs/>
                <w:lang w:val="lt-LT" w:eastAsia="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Reti</w:t>
            </w:r>
          </w:p>
          <w:p w:rsidR="00F4223A" w:rsidRPr="00F4223A" w:rsidRDefault="00F4223A" w:rsidP="00F4223A">
            <w:pPr>
              <w:numPr>
                <w:ilvl w:val="0"/>
                <w:numId w:val="27"/>
              </w:numPr>
              <w:tabs>
                <w:tab w:val="num" w:pos="744"/>
              </w:tabs>
              <w:spacing w:after="0" w:line="240" w:lineRule="auto"/>
              <w:ind w:left="744"/>
              <w:rPr>
                <w:rFonts w:ascii="Times New Roman" w:hAnsi="Times New Roman"/>
                <w:b/>
                <w:kern w:val="28"/>
                <w:lang w:val="lt-LT"/>
              </w:rPr>
            </w:pPr>
            <w:r w:rsidRPr="00F4223A">
              <w:rPr>
                <w:rFonts w:ascii="Times New Roman" w:hAnsi="Times New Roman"/>
                <w:lang w:val="lt-LT"/>
              </w:rPr>
              <w:t xml:space="preserve">Gama gliutamiltransferazės (GGT) </w:t>
            </w:r>
            <w:r w:rsidR="003B0702">
              <w:rPr>
                <w:rFonts w:ascii="Times New Roman" w:hAnsi="Times New Roman"/>
                <w:lang w:val="lt-LT"/>
              </w:rPr>
              <w:t>aktyvumo</w:t>
            </w:r>
            <w:r w:rsidR="003B0702" w:rsidRPr="00F4223A">
              <w:rPr>
                <w:rFonts w:ascii="Times New Roman" w:hAnsi="Times New Roman"/>
                <w:lang w:val="lt-LT"/>
              </w:rPr>
              <w:t xml:space="preserve"> </w:t>
            </w:r>
            <w:r w:rsidRPr="00F4223A">
              <w:rPr>
                <w:rFonts w:ascii="Times New Roman" w:hAnsi="Times New Roman"/>
                <w:lang w:val="lt-LT"/>
              </w:rPr>
              <w:t>padidėjimas</w:t>
            </w: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Odos ir poodinio audinio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31"/>
              </w:numPr>
              <w:spacing w:after="0" w:line="240" w:lineRule="auto"/>
              <w:rPr>
                <w:rFonts w:ascii="Times New Roman" w:hAnsi="Times New Roman"/>
                <w:b/>
                <w:kern w:val="28"/>
                <w:lang w:val="lt-LT"/>
              </w:rPr>
            </w:pPr>
            <w:r w:rsidRPr="00F4223A">
              <w:rPr>
                <w:rFonts w:ascii="Times New Roman" w:hAnsi="Times New Roman"/>
                <w:lang w:val="lt-LT"/>
              </w:rPr>
              <w:t>Alerginis odos išbėrimas, dažnai susijęs su niežuliu</w:t>
            </w:r>
          </w:p>
          <w:p w:rsidR="00F4223A" w:rsidRPr="00F4223A" w:rsidRDefault="00F4223A" w:rsidP="00F4223A">
            <w:pPr>
              <w:numPr>
                <w:ilvl w:val="0"/>
                <w:numId w:val="31"/>
              </w:numPr>
              <w:spacing w:after="0" w:line="240" w:lineRule="auto"/>
              <w:rPr>
                <w:rFonts w:ascii="Times New Roman" w:hAnsi="Times New Roman"/>
                <w:b/>
                <w:kern w:val="28"/>
                <w:lang w:val="lt-LT"/>
              </w:rPr>
            </w:pPr>
            <w:r w:rsidRPr="00F4223A">
              <w:rPr>
                <w:rFonts w:ascii="Times New Roman" w:hAnsi="Times New Roman"/>
                <w:lang w:val="lt-LT"/>
              </w:rPr>
              <w:t>Alopecija</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30"/>
              </w:numPr>
              <w:spacing w:after="0" w:line="240" w:lineRule="auto"/>
              <w:rPr>
                <w:rFonts w:ascii="Times New Roman" w:hAnsi="Times New Roman"/>
                <w:b/>
                <w:kern w:val="28"/>
                <w:lang w:val="lt-LT"/>
              </w:rPr>
            </w:pPr>
            <w:r w:rsidRPr="00F4223A">
              <w:rPr>
                <w:rFonts w:ascii="Times New Roman" w:hAnsi="Times New Roman"/>
                <w:lang w:val="lt-LT"/>
              </w:rPr>
              <w:t>Niežulys</w:t>
            </w:r>
          </w:p>
          <w:p w:rsidR="00F4223A" w:rsidRPr="00F4223A" w:rsidRDefault="00F4223A" w:rsidP="00F4223A">
            <w:pPr>
              <w:numPr>
                <w:ilvl w:val="0"/>
                <w:numId w:val="30"/>
              </w:numPr>
              <w:spacing w:after="0" w:line="240" w:lineRule="auto"/>
              <w:rPr>
                <w:rFonts w:ascii="Times New Roman" w:hAnsi="Times New Roman"/>
                <w:b/>
                <w:kern w:val="28"/>
                <w:lang w:val="lt-LT"/>
              </w:rPr>
            </w:pPr>
            <w:r w:rsidRPr="00F4223A">
              <w:rPr>
                <w:rFonts w:ascii="Times New Roman" w:hAnsi="Times New Roman"/>
                <w:lang w:val="lt-LT"/>
              </w:rPr>
              <w:t>Prakaitavimas</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Reti</w:t>
            </w:r>
          </w:p>
          <w:p w:rsidR="00F4223A" w:rsidRPr="00F4223A" w:rsidRDefault="00F4223A" w:rsidP="00F4223A">
            <w:pPr>
              <w:numPr>
                <w:ilvl w:val="0"/>
                <w:numId w:val="29"/>
              </w:numPr>
              <w:spacing w:after="0" w:line="240" w:lineRule="auto"/>
              <w:contextualSpacing/>
              <w:rPr>
                <w:rFonts w:ascii="Times New Roman" w:eastAsia="MS Mincho" w:hAnsi="Times New Roman" w:cs="Times New Roman"/>
                <w:b/>
                <w:kern w:val="28"/>
                <w:lang w:val="lt-LT" w:eastAsia="lt-LT"/>
              </w:rPr>
            </w:pPr>
            <w:r w:rsidRPr="00F4223A">
              <w:rPr>
                <w:rFonts w:ascii="Times New Roman" w:eastAsia="MS Mincho" w:hAnsi="Times New Roman" w:cs="Times New Roman"/>
                <w:kern w:val="28"/>
                <w:lang w:val="lt-LT" w:eastAsia="lt-LT"/>
              </w:rPr>
              <w:t xml:space="preserve">Sunkios odos reakcijos, įskaitant lupimąsi ir pūslinį odos bėrimą </w:t>
            </w:r>
          </w:p>
          <w:p w:rsidR="00F4223A" w:rsidRPr="00F4223A" w:rsidRDefault="00F4223A" w:rsidP="00F4223A">
            <w:pPr>
              <w:numPr>
                <w:ilvl w:val="0"/>
                <w:numId w:val="29"/>
              </w:numPr>
              <w:spacing w:after="0" w:line="240" w:lineRule="auto"/>
              <w:rPr>
                <w:rFonts w:ascii="Times New Roman" w:hAnsi="Times New Roman"/>
                <w:b/>
                <w:kern w:val="28"/>
                <w:lang w:val="lt-LT"/>
              </w:rPr>
            </w:pPr>
            <w:r w:rsidRPr="00F4223A">
              <w:rPr>
                <w:rFonts w:ascii="Times New Roman" w:hAnsi="Times New Roman"/>
                <w:lang w:val="lt-LT"/>
              </w:rPr>
              <w:t>Išopėjimas</w:t>
            </w:r>
          </w:p>
          <w:p w:rsidR="00F4223A" w:rsidRPr="00F4223A" w:rsidRDefault="00F4223A" w:rsidP="00F4223A">
            <w:pPr>
              <w:numPr>
                <w:ilvl w:val="0"/>
                <w:numId w:val="29"/>
              </w:numPr>
              <w:spacing w:after="0" w:line="240" w:lineRule="auto"/>
              <w:rPr>
                <w:rFonts w:ascii="Times New Roman" w:hAnsi="Times New Roman"/>
                <w:b/>
                <w:kern w:val="28"/>
                <w:lang w:val="lt-LT"/>
              </w:rPr>
            </w:pPr>
            <w:r w:rsidRPr="00F4223A">
              <w:rPr>
                <w:rFonts w:ascii="Times New Roman" w:hAnsi="Times New Roman"/>
                <w:lang w:val="lt-LT"/>
              </w:rPr>
              <w:t>Pūslelių ir žaizdų atsiradimas</w:t>
            </w:r>
          </w:p>
          <w:p w:rsidR="00F4223A" w:rsidRPr="00F4223A" w:rsidRDefault="00F4223A" w:rsidP="00F4223A">
            <w:pPr>
              <w:numPr>
                <w:ilvl w:val="0"/>
                <w:numId w:val="29"/>
              </w:numPr>
              <w:spacing w:after="0" w:line="240" w:lineRule="auto"/>
              <w:rPr>
                <w:rFonts w:ascii="Times New Roman" w:hAnsi="Times New Roman"/>
                <w:b/>
                <w:kern w:val="28"/>
                <w:lang w:val="lt-LT"/>
              </w:rPr>
            </w:pPr>
            <w:r w:rsidRPr="00F4223A">
              <w:rPr>
                <w:rFonts w:ascii="Times New Roman" w:hAnsi="Times New Roman"/>
                <w:lang w:val="lt-LT"/>
              </w:rPr>
              <w:t>Pleiskanojimas</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lastRenderedPageBreak/>
              <w:t>Labai reti</w:t>
            </w:r>
          </w:p>
          <w:p w:rsidR="00F4223A" w:rsidRPr="00F4223A" w:rsidRDefault="00F4223A" w:rsidP="00F4223A">
            <w:pPr>
              <w:numPr>
                <w:ilvl w:val="0"/>
                <w:numId w:val="28"/>
              </w:numPr>
              <w:spacing w:after="0" w:line="240" w:lineRule="auto"/>
              <w:rPr>
                <w:rFonts w:ascii="Times New Roman" w:eastAsia="MS Mincho" w:hAnsi="Times New Roman" w:cs="Times New Roman"/>
                <w:iCs/>
                <w:lang w:val="lt-LT" w:eastAsia="lt-LT"/>
              </w:rPr>
            </w:pPr>
            <w:r w:rsidRPr="00F4223A">
              <w:rPr>
                <w:rFonts w:ascii="Times New Roman" w:eastAsia="MS Mincho" w:hAnsi="Times New Roman" w:cs="Times New Roman"/>
                <w:iCs/>
                <w:lang w:val="lt-LT" w:eastAsia="lt-LT"/>
              </w:rPr>
              <w:t>Toksinė epidermio nekrolizė</w:t>
            </w:r>
          </w:p>
          <w:p w:rsidR="00F4223A" w:rsidRPr="00F4223A" w:rsidRDefault="003B0702" w:rsidP="00F4223A">
            <w:pPr>
              <w:numPr>
                <w:ilvl w:val="0"/>
                <w:numId w:val="28"/>
              </w:numPr>
              <w:spacing w:after="0" w:line="240" w:lineRule="auto"/>
              <w:rPr>
                <w:rFonts w:ascii="Times New Roman" w:hAnsi="Times New Roman"/>
                <w:lang w:val="lt-LT"/>
              </w:rPr>
            </w:pPr>
            <w:r>
              <w:rPr>
                <w:rFonts w:ascii="Times New Roman" w:eastAsia="Times New Roman" w:hAnsi="Times New Roman" w:cs="Times New Roman"/>
                <w:iCs/>
                <w:lang w:val="lt-LT" w:eastAsia="lt-LT"/>
              </w:rPr>
              <w:t>Stivenso-Džonsono (</w:t>
            </w:r>
            <w:r w:rsidR="00F4223A" w:rsidRPr="00F4223A">
              <w:rPr>
                <w:rFonts w:ascii="Times New Roman" w:eastAsia="MS Mincho" w:hAnsi="Times New Roman" w:cs="Times New Roman"/>
                <w:i/>
                <w:iCs/>
                <w:lang w:val="lt-LT" w:eastAsia="lt-LT"/>
              </w:rPr>
              <w:t>Stivens-Johnson</w:t>
            </w:r>
            <w:r>
              <w:rPr>
                <w:rFonts w:ascii="Times New Roman" w:eastAsia="MS Mincho" w:hAnsi="Times New Roman" w:cs="Times New Roman"/>
                <w:i/>
                <w:iCs/>
                <w:lang w:val="lt-LT" w:eastAsia="lt-LT"/>
              </w:rPr>
              <w:t>)</w:t>
            </w:r>
            <w:r w:rsidR="00F4223A" w:rsidRPr="00F4223A">
              <w:rPr>
                <w:rFonts w:ascii="Times New Roman" w:eastAsia="MS Mincho" w:hAnsi="Times New Roman" w:cs="Times New Roman"/>
                <w:iCs/>
                <w:lang w:val="lt-LT" w:eastAsia="lt-LT"/>
              </w:rPr>
              <w:t xml:space="preserve"> sindromas.</w:t>
            </w:r>
          </w:p>
        </w:tc>
      </w:tr>
      <w:tr w:rsidR="00F4223A" w:rsidRPr="00F4223A" w:rsidTr="00EE3ADC">
        <w:trPr>
          <w:cantSplit/>
        </w:trPr>
        <w:tc>
          <w:tcPr>
            <w:tcW w:w="3918"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lastRenderedPageBreak/>
              <w:t>Skeleto, raumenų ir jungiamojo audinio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28"/>
              </w:numPr>
              <w:tabs>
                <w:tab w:val="num" w:pos="744"/>
              </w:tabs>
              <w:spacing w:after="0" w:line="240" w:lineRule="auto"/>
              <w:ind w:left="744"/>
              <w:rPr>
                <w:rFonts w:ascii="Times New Roman" w:hAnsi="Times New Roman"/>
                <w:lang w:val="lt-LT"/>
              </w:rPr>
            </w:pPr>
            <w:r w:rsidRPr="00F4223A">
              <w:rPr>
                <w:rFonts w:ascii="Times New Roman" w:hAnsi="Times New Roman"/>
                <w:lang w:val="lt-LT"/>
              </w:rPr>
              <w:t>Nugaros skausmas</w:t>
            </w:r>
          </w:p>
          <w:p w:rsidR="00F4223A" w:rsidRPr="00F4223A" w:rsidRDefault="00F4223A" w:rsidP="00F4223A">
            <w:pPr>
              <w:numPr>
                <w:ilvl w:val="0"/>
                <w:numId w:val="28"/>
              </w:numPr>
              <w:tabs>
                <w:tab w:val="num" w:pos="744"/>
              </w:tabs>
              <w:spacing w:after="0" w:line="240" w:lineRule="auto"/>
              <w:ind w:left="744"/>
              <w:rPr>
                <w:rFonts w:ascii="Times New Roman" w:hAnsi="Times New Roman"/>
                <w:lang w:val="lt-LT"/>
              </w:rPr>
            </w:pPr>
            <w:r w:rsidRPr="00F4223A">
              <w:rPr>
                <w:rFonts w:ascii="Times New Roman" w:hAnsi="Times New Roman"/>
                <w:lang w:val="lt-LT"/>
              </w:rPr>
              <w:t>Mialgija</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Inkstų ir šlapimo takų sutrikimai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32"/>
              </w:numPr>
              <w:spacing w:after="0" w:line="240" w:lineRule="auto"/>
              <w:rPr>
                <w:rFonts w:ascii="Times New Roman" w:hAnsi="Times New Roman"/>
                <w:lang w:val="lt-LT"/>
              </w:rPr>
            </w:pPr>
            <w:r w:rsidRPr="00F4223A">
              <w:rPr>
                <w:rFonts w:ascii="Times New Roman" w:hAnsi="Times New Roman"/>
                <w:lang w:val="lt-LT"/>
              </w:rPr>
              <w:t>Hematurija</w:t>
            </w:r>
          </w:p>
          <w:p w:rsidR="00F4223A" w:rsidRPr="00F4223A" w:rsidRDefault="00F4223A" w:rsidP="00F4223A">
            <w:pPr>
              <w:numPr>
                <w:ilvl w:val="0"/>
                <w:numId w:val="32"/>
              </w:numPr>
              <w:spacing w:after="0" w:line="240" w:lineRule="auto"/>
              <w:rPr>
                <w:rFonts w:ascii="Times New Roman" w:eastAsia="MS Mincho" w:hAnsi="Times New Roman" w:cs="Times New Roman"/>
                <w:lang w:val="lt-LT" w:eastAsia="lt-LT"/>
              </w:rPr>
            </w:pPr>
            <w:r w:rsidRPr="00F4223A">
              <w:rPr>
                <w:rFonts w:ascii="Times New Roman" w:hAnsi="Times New Roman"/>
                <w:lang w:val="lt-LT"/>
              </w:rPr>
              <w:t>Silpna proteinurija</w:t>
            </w:r>
          </w:p>
          <w:p w:rsidR="00F4223A" w:rsidRPr="00F4223A" w:rsidRDefault="00F4223A" w:rsidP="00F4223A">
            <w:pPr>
              <w:spacing w:after="0" w:line="240" w:lineRule="auto"/>
              <w:rPr>
                <w:rFonts w:ascii="Times New Roman" w:eastAsia="MS Mincho" w:hAnsi="Times New Roman" w:cs="Times New Roman"/>
                <w:i/>
                <w:lang w:val="lt-LT" w:eastAsia="lt-LT"/>
              </w:rPr>
            </w:pPr>
            <w:r w:rsidRPr="00F4223A">
              <w:rPr>
                <w:rFonts w:ascii="Times New Roman" w:eastAsia="MS Mincho" w:hAnsi="Times New Roman" w:cs="Times New Roman"/>
                <w:i/>
                <w:lang w:val="lt-LT" w:eastAsia="lt-LT"/>
              </w:rPr>
              <w:t>Nedažni</w:t>
            </w:r>
          </w:p>
          <w:p w:rsidR="00F4223A" w:rsidRPr="00F4223A" w:rsidRDefault="00F4223A" w:rsidP="00F4223A">
            <w:pPr>
              <w:spacing w:after="0" w:line="240" w:lineRule="auto"/>
              <w:rPr>
                <w:rFonts w:ascii="Times New Roman" w:eastAsia="MS Mincho" w:hAnsi="Times New Roman" w:cs="Times New Roman"/>
                <w:lang w:val="lt-LT" w:eastAsia="lt-LT"/>
              </w:rPr>
            </w:pPr>
            <w:r w:rsidRPr="00F4223A">
              <w:rPr>
                <w:rFonts w:ascii="Times New Roman" w:eastAsia="MS Mincho" w:hAnsi="Times New Roman" w:cs="Times New Roman"/>
                <w:lang w:val="lt-LT" w:eastAsia="lt-LT"/>
              </w:rPr>
              <w:t>•</w:t>
            </w:r>
            <w:r w:rsidRPr="00F4223A">
              <w:rPr>
                <w:rFonts w:ascii="Times New Roman" w:eastAsia="MS Mincho" w:hAnsi="Times New Roman" w:cs="Times New Roman"/>
                <w:lang w:val="lt-LT" w:eastAsia="lt-LT"/>
              </w:rPr>
              <w:tab/>
              <w:t>Inkstų nepakankamumas (žr. 4.4 skyrių)</w:t>
            </w:r>
          </w:p>
          <w:p w:rsidR="00F4223A" w:rsidRPr="00F4223A" w:rsidRDefault="00F4223A" w:rsidP="00F4223A">
            <w:pPr>
              <w:spacing w:after="0" w:line="240" w:lineRule="auto"/>
              <w:rPr>
                <w:rFonts w:ascii="Times New Roman" w:hAnsi="Times New Roman"/>
                <w:lang w:val="lt-LT"/>
              </w:rPr>
            </w:pPr>
            <w:r w:rsidRPr="00F4223A">
              <w:rPr>
                <w:rFonts w:ascii="Times New Roman" w:eastAsia="MS Mincho" w:hAnsi="Times New Roman" w:cs="Times New Roman"/>
                <w:lang w:val="lt-LT" w:eastAsia="lt-LT"/>
              </w:rPr>
              <w:t>•</w:t>
            </w:r>
            <w:r w:rsidRPr="00F4223A">
              <w:rPr>
                <w:rFonts w:ascii="Times New Roman" w:eastAsia="MS Mincho" w:hAnsi="Times New Roman" w:cs="Times New Roman"/>
                <w:lang w:val="lt-LT" w:eastAsia="lt-LT"/>
              </w:rPr>
              <w:tab/>
              <w:t>Hemolizinis ureminis sindromas (žr. 4.4 skyrių).</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Bendrieji sutrikimai ir vartojimo vietos pažeidimai</w:t>
            </w:r>
          </w:p>
        </w:tc>
        <w:tc>
          <w:tcPr>
            <w:tcW w:w="5244" w:type="dxa"/>
          </w:tcPr>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Labai dažni</w:t>
            </w:r>
          </w:p>
          <w:p w:rsidR="00F4223A" w:rsidRPr="00F4223A" w:rsidRDefault="00F4223A" w:rsidP="00F4223A">
            <w:pPr>
              <w:numPr>
                <w:ilvl w:val="0"/>
                <w:numId w:val="33"/>
              </w:numPr>
              <w:tabs>
                <w:tab w:val="clear" w:pos="360"/>
                <w:tab w:val="num" w:pos="744"/>
              </w:tabs>
              <w:spacing w:after="0" w:line="240" w:lineRule="auto"/>
              <w:ind w:left="744"/>
              <w:rPr>
                <w:rFonts w:ascii="Times New Roman" w:hAnsi="Times New Roman"/>
                <w:lang w:val="lt-LT"/>
              </w:rPr>
            </w:pPr>
            <w:r w:rsidRPr="00F4223A">
              <w:rPr>
                <w:rFonts w:ascii="Times New Roman" w:hAnsi="Times New Roman"/>
                <w:lang w:val="lt-LT"/>
              </w:rPr>
              <w:t xml:space="preserve">Į gripą panašūs simptomai, dažniausi </w:t>
            </w:r>
            <w:r w:rsidRPr="00F4223A">
              <w:rPr>
                <w:rFonts w:ascii="Times New Roman" w:hAnsi="Times New Roman"/>
                <w:lang w:val="lt-LT"/>
              </w:rPr>
              <w:sym w:font="Symbol" w:char="F02D"/>
            </w:r>
            <w:r w:rsidRPr="00F4223A">
              <w:rPr>
                <w:rFonts w:ascii="Times New Roman" w:hAnsi="Times New Roman"/>
                <w:lang w:val="lt-LT"/>
              </w:rPr>
              <w:t xml:space="preserve"> karščiavimas, galvos skausmas, šalčio krėtimas, raumenų skausmas, astenija ir anoreksija. Buvo ir kosulio, rinito, negalavimo, prakaitavimo ir miego sutrikimo atvejų </w:t>
            </w:r>
          </w:p>
          <w:p w:rsidR="00F4223A" w:rsidRPr="00F4223A" w:rsidRDefault="00F4223A" w:rsidP="00F4223A">
            <w:pPr>
              <w:numPr>
                <w:ilvl w:val="0"/>
                <w:numId w:val="33"/>
              </w:numPr>
              <w:tabs>
                <w:tab w:val="clear" w:pos="360"/>
                <w:tab w:val="num" w:pos="744"/>
              </w:tabs>
              <w:spacing w:after="0" w:line="240" w:lineRule="auto"/>
              <w:ind w:left="744"/>
              <w:rPr>
                <w:rFonts w:ascii="Times New Roman" w:hAnsi="Times New Roman"/>
                <w:lang w:val="lt-LT"/>
              </w:rPr>
            </w:pPr>
            <w:r w:rsidRPr="00F4223A">
              <w:rPr>
                <w:rFonts w:ascii="Times New Roman" w:hAnsi="Times New Roman"/>
                <w:lang w:val="lt-LT"/>
              </w:rPr>
              <w:t>Edema arba periferinė edema, įskaitant veido edemą. Gydymą sustabdžius, edema paprastai išnyksta.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Dažni</w:t>
            </w:r>
          </w:p>
          <w:p w:rsidR="00F4223A" w:rsidRPr="00F4223A" w:rsidRDefault="00F4223A" w:rsidP="00F4223A">
            <w:pPr>
              <w:numPr>
                <w:ilvl w:val="0"/>
                <w:numId w:val="34"/>
              </w:numPr>
              <w:spacing w:after="0" w:line="240" w:lineRule="auto"/>
              <w:rPr>
                <w:rFonts w:ascii="Times New Roman" w:hAnsi="Times New Roman"/>
                <w:lang w:val="lt-LT"/>
              </w:rPr>
            </w:pPr>
            <w:r w:rsidRPr="00F4223A">
              <w:rPr>
                <w:rFonts w:ascii="Times New Roman" w:hAnsi="Times New Roman"/>
                <w:lang w:val="lt-LT"/>
              </w:rPr>
              <w:t>Karščiavimas</w:t>
            </w:r>
          </w:p>
          <w:p w:rsidR="00F4223A" w:rsidRPr="00F4223A" w:rsidRDefault="00F4223A" w:rsidP="00F4223A">
            <w:pPr>
              <w:numPr>
                <w:ilvl w:val="0"/>
                <w:numId w:val="34"/>
              </w:numPr>
              <w:spacing w:after="0" w:line="240" w:lineRule="auto"/>
              <w:rPr>
                <w:rFonts w:ascii="Times New Roman" w:hAnsi="Times New Roman"/>
                <w:lang w:val="lt-LT"/>
              </w:rPr>
            </w:pPr>
            <w:r w:rsidRPr="00F4223A">
              <w:rPr>
                <w:rFonts w:ascii="Times New Roman" w:hAnsi="Times New Roman"/>
                <w:lang w:val="lt-LT"/>
              </w:rPr>
              <w:t>Astenija</w:t>
            </w:r>
          </w:p>
          <w:p w:rsidR="00F4223A" w:rsidRPr="00F4223A" w:rsidRDefault="00F4223A" w:rsidP="00F4223A">
            <w:pPr>
              <w:numPr>
                <w:ilvl w:val="0"/>
                <w:numId w:val="34"/>
              </w:numPr>
              <w:spacing w:after="0" w:line="240" w:lineRule="auto"/>
              <w:rPr>
                <w:rFonts w:ascii="Times New Roman" w:hAnsi="Times New Roman"/>
                <w:lang w:val="lt-LT"/>
              </w:rPr>
            </w:pPr>
            <w:r w:rsidRPr="00F4223A">
              <w:rPr>
                <w:rFonts w:ascii="Times New Roman" w:hAnsi="Times New Roman"/>
                <w:lang w:val="lt-LT"/>
              </w:rPr>
              <w:t>Šalčio krėtimas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Reti</w:t>
            </w:r>
          </w:p>
          <w:p w:rsidR="00F4223A" w:rsidRPr="00F4223A" w:rsidRDefault="00F4223A" w:rsidP="00F4223A">
            <w:pPr>
              <w:numPr>
                <w:ilvl w:val="0"/>
                <w:numId w:val="36"/>
              </w:numPr>
              <w:tabs>
                <w:tab w:val="num" w:pos="744"/>
              </w:tabs>
              <w:spacing w:after="0" w:line="240" w:lineRule="auto"/>
              <w:ind w:left="744"/>
              <w:rPr>
                <w:rFonts w:ascii="Times New Roman" w:hAnsi="Times New Roman"/>
                <w:i/>
                <w:lang w:val="lt-LT"/>
              </w:rPr>
            </w:pPr>
            <w:r w:rsidRPr="00F4223A">
              <w:rPr>
                <w:rFonts w:ascii="Times New Roman" w:hAnsi="Times New Roman"/>
                <w:lang w:val="lt-LT"/>
              </w:rPr>
              <w:t>Injekcijos vietos reakcija, dažniausiai silpna</w:t>
            </w:r>
          </w:p>
        </w:tc>
      </w:tr>
      <w:tr w:rsidR="00F4223A" w:rsidRPr="00F4223A" w:rsidTr="00EE3ADC">
        <w:trPr>
          <w:cantSplit/>
        </w:trPr>
        <w:tc>
          <w:tcPr>
            <w:tcW w:w="3936" w:type="dxa"/>
          </w:tcPr>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Sužalojimai, apsinuodijimai ir procedūrų komplikacijos</w:t>
            </w:r>
          </w:p>
        </w:tc>
        <w:tc>
          <w:tcPr>
            <w:tcW w:w="5244" w:type="dxa"/>
          </w:tcPr>
          <w:p w:rsidR="00F4223A" w:rsidRPr="00F4223A" w:rsidRDefault="00F4223A" w:rsidP="00F4223A">
            <w:pPr>
              <w:spacing w:after="0" w:line="240" w:lineRule="auto"/>
              <w:rPr>
                <w:rFonts w:ascii="Times New Roman" w:eastAsia="Times New Roman" w:hAnsi="Times New Roman" w:cs="Times New Roman"/>
                <w:i/>
                <w:szCs w:val="20"/>
                <w:lang w:val="lt-LT" w:eastAsia="lt-LT"/>
              </w:rPr>
            </w:pPr>
            <w:r w:rsidRPr="00F4223A">
              <w:rPr>
                <w:rFonts w:ascii="Times New Roman" w:eastAsia="Times New Roman" w:hAnsi="Times New Roman" w:cs="Times New Roman"/>
                <w:i/>
                <w:szCs w:val="20"/>
                <w:lang w:val="lt-LT" w:eastAsia="lt-LT"/>
              </w:rPr>
              <w:t>Reti</w:t>
            </w:r>
          </w:p>
          <w:p w:rsidR="00F4223A" w:rsidRPr="00F4223A" w:rsidRDefault="00F4223A" w:rsidP="00F4223A">
            <w:pPr>
              <w:numPr>
                <w:ilvl w:val="0"/>
                <w:numId w:val="35"/>
              </w:numPr>
              <w:spacing w:after="0" w:line="240" w:lineRule="auto"/>
              <w:contextualSpacing/>
              <w:rPr>
                <w:rFonts w:ascii="Times New Roman" w:eastAsia="Times New Roman" w:hAnsi="Times New Roman" w:cs="Times New Roman"/>
                <w:color w:val="000000"/>
                <w:szCs w:val="20"/>
                <w:lang w:val="lt-LT" w:eastAsia="lt-LT"/>
              </w:rPr>
            </w:pPr>
            <w:r w:rsidRPr="00F4223A">
              <w:rPr>
                <w:rFonts w:ascii="Times New Roman" w:hAnsi="Times New Roman"/>
                <w:lang w:val="lt-LT"/>
              </w:rPr>
              <w:t>Toksinis radiacijos poveikis (žr. 4.5 skyrių)</w:t>
            </w:r>
          </w:p>
          <w:p w:rsidR="00F4223A" w:rsidRPr="00F4223A" w:rsidRDefault="00F4223A" w:rsidP="00F4223A">
            <w:pPr>
              <w:numPr>
                <w:ilvl w:val="0"/>
                <w:numId w:val="35"/>
              </w:numPr>
              <w:spacing w:after="0" w:line="240" w:lineRule="auto"/>
              <w:rPr>
                <w:rFonts w:ascii="Times New Roman" w:hAnsi="Times New Roman"/>
                <w:color w:val="000000"/>
                <w:lang w:val="lt-LT"/>
              </w:rPr>
            </w:pPr>
            <w:r w:rsidRPr="00F4223A">
              <w:rPr>
                <w:rFonts w:ascii="Times New Roman" w:hAnsi="Times New Roman"/>
                <w:lang w:val="lt-LT"/>
              </w:rPr>
              <w:t>Radiacijos sukeltos pažaidos atsinaujinimas</w:t>
            </w:r>
            <w:r w:rsidRPr="00F4223A" w:rsidDel="00AC7598">
              <w:rPr>
                <w:rFonts w:ascii="Times New Roman" w:eastAsia="MS Mincho" w:hAnsi="Times New Roman" w:cs="Times New Roman"/>
                <w:lang w:val="lt-LT" w:eastAsia="lt-LT"/>
              </w:rPr>
              <w:t xml:space="preserve"> </w:t>
            </w:r>
          </w:p>
        </w:tc>
      </w:tr>
    </w:tbl>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Kompleksinio krūties vėžio gydymo metu</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Gydant gemcitabino ir paklitakselio deriniu, 3-ojo ir 4-ojo laipsnio toksinis poveikis kraujui, ypač neutropenija, pasireiškia dažniau. Vis dėlto šių nepageidaujamų reakcijų padažnėjimas nebūna susijęs su infekcijos ar hemoragijos reiškinių dažnio padidėjimu. Gydant gemcitabino ir paklitakselio deriniu, dažniau pasireiškia nuovargis ir febrilinė neutropenija. Nuovargis, nesusijęs su anemija, paprastai išnyksta po pirmo gydymo kurso. </w:t>
      </w:r>
    </w:p>
    <w:p w:rsidR="00F4223A" w:rsidRPr="00F4223A" w:rsidRDefault="00F4223A" w:rsidP="00F4223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579"/>
        <w:gridCol w:w="1578"/>
        <w:gridCol w:w="1578"/>
        <w:gridCol w:w="1577"/>
      </w:tblGrid>
      <w:tr w:rsidR="00F4223A" w:rsidRPr="00F4223A" w:rsidTr="00EE3ADC">
        <w:tc>
          <w:tcPr>
            <w:tcW w:w="9286" w:type="dxa"/>
            <w:gridSpan w:val="5"/>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Paklitakselio, palyginti su jo derinio su gemcitabinu, sukelti 3-ojo ir 4-ojo laipsnio nepageidaujami reiškiniai</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p>
        </w:tc>
        <w:tc>
          <w:tcPr>
            <w:tcW w:w="6479" w:type="dxa"/>
            <w:gridSpan w:val="4"/>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Pacientų skaičius (</w:t>
            </w:r>
            <w:r w:rsidRPr="00F4223A">
              <w:rPr>
                <w:rFonts w:ascii="Times New Roman" w:hAnsi="Times New Roman"/>
                <w:lang w:val="lt-LT"/>
              </w:rPr>
              <w:sym w:font="Symbol" w:char="F025"/>
            </w:r>
            <w:r w:rsidRPr="00F4223A">
              <w:rPr>
                <w:rFonts w:ascii="Times New Roman" w:hAnsi="Times New Roman"/>
                <w:lang w:val="lt-LT"/>
              </w:rPr>
              <w:t>)</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p>
        </w:tc>
        <w:tc>
          <w:tcPr>
            <w:tcW w:w="3240" w:type="dxa"/>
            <w:gridSpan w:val="2"/>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Paklitakseliu gydoma grupė</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(n </w:t>
            </w:r>
            <w:r w:rsidRPr="00F4223A">
              <w:rPr>
                <w:rFonts w:ascii="Times New Roman" w:hAnsi="Times New Roman"/>
                <w:lang w:val="lt-LT"/>
              </w:rPr>
              <w:sym w:font="Symbol" w:char="F03D"/>
            </w:r>
            <w:r w:rsidRPr="00F4223A">
              <w:rPr>
                <w:rFonts w:ascii="Times New Roman" w:hAnsi="Times New Roman"/>
                <w:lang w:val="lt-LT"/>
              </w:rPr>
              <w:t> 259)</w:t>
            </w:r>
          </w:p>
        </w:tc>
        <w:tc>
          <w:tcPr>
            <w:tcW w:w="3239" w:type="dxa"/>
            <w:gridSpan w:val="2"/>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Gemcitabino ir paklitakselio deriniu gydoma grupė</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(n </w:t>
            </w:r>
            <w:r w:rsidRPr="00F4223A">
              <w:rPr>
                <w:rFonts w:ascii="Times New Roman" w:hAnsi="Times New Roman"/>
                <w:lang w:val="lt-LT"/>
              </w:rPr>
              <w:sym w:font="Symbol" w:char="F03D"/>
            </w:r>
            <w:r w:rsidRPr="00F4223A">
              <w:rPr>
                <w:rFonts w:ascii="Times New Roman" w:hAnsi="Times New Roman"/>
                <w:lang w:val="lt-LT"/>
              </w:rPr>
              <w:t> 262)</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b/>
                <w:lang w:val="lt-LT"/>
              </w:rPr>
            </w:pP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3-ojo laipsnio</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4-ojo laipsnio</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3-ojo laipsnio</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4-ojo laipsnio</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t>Laboratorinių tyrimų duomenys</w:t>
            </w: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19" w:type="dxa"/>
          </w:tcPr>
          <w:p w:rsidR="00F4223A" w:rsidRPr="00F4223A" w:rsidRDefault="00F4223A" w:rsidP="00F4223A">
            <w:pPr>
              <w:spacing w:after="0" w:line="240" w:lineRule="auto"/>
              <w:rPr>
                <w:rFonts w:ascii="Times New Roman" w:hAnsi="Times New Roman"/>
                <w:lang w:val="lt-LT"/>
              </w:rPr>
            </w:pP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Anemija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 (1,9)</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(0,4)</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15 (5,7)</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 (1,1)</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Trombocitopenija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14 (5,3)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(0,4)</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Neutropenija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11 (4,2)</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17 (6,6)</w:t>
            </w:r>
            <w:r w:rsidRPr="00F4223A">
              <w:rPr>
                <w:rFonts w:ascii="Times New Roman" w:hAnsi="Times New Roman"/>
                <w:vertAlign w:val="superscript"/>
                <w:lang w:val="lt-LT"/>
              </w:rPr>
              <w:sym w:font="Symbol" w:char="F02A"/>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82 (31,3)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45 (17,2)</w:t>
            </w:r>
            <w:r w:rsidRPr="00F4223A">
              <w:rPr>
                <w:rFonts w:ascii="Times New Roman" w:hAnsi="Times New Roman"/>
                <w:vertAlign w:val="superscript"/>
                <w:lang w:val="lt-LT"/>
              </w:rPr>
              <w:sym w:font="Symbol" w:char="F02A"/>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Ne laboratorinių tyrimų duomenys</w:t>
            </w: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19" w:type="dxa"/>
          </w:tcPr>
          <w:p w:rsidR="00F4223A" w:rsidRPr="00F4223A" w:rsidRDefault="00F4223A" w:rsidP="00F4223A">
            <w:pPr>
              <w:spacing w:after="0" w:line="240" w:lineRule="auto"/>
              <w:rPr>
                <w:rFonts w:ascii="Times New Roman" w:hAnsi="Times New Roman"/>
                <w:lang w:val="lt-LT"/>
              </w:rPr>
            </w:pP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Febrilinė neutropenija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 (1,2)</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12 (4,6)</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(0,4)</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Nuovargis</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 (1,2)</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(0,4)</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15 (5,7)</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 (0,8)</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Viduriavimas</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 (1,9)</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8 (3,1)</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Motorinė neuropatija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 (0,8)</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6 (2,3)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(0,4)</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Sensorinė neuropatija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9 (3,5)</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14 (5,3)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(0,4)</w:t>
            </w:r>
          </w:p>
        </w:tc>
      </w:tr>
    </w:tbl>
    <w:p w:rsidR="00F4223A" w:rsidRPr="00F4223A" w:rsidRDefault="00F4223A" w:rsidP="00F4223A">
      <w:pPr>
        <w:spacing w:after="0" w:line="240" w:lineRule="auto"/>
        <w:rPr>
          <w:rFonts w:ascii="Times New Roman" w:hAnsi="Times New Roman"/>
          <w:lang w:val="lt-LT"/>
        </w:rPr>
      </w:pPr>
      <w:r w:rsidRPr="00F4223A">
        <w:rPr>
          <w:rFonts w:ascii="Times New Roman" w:hAnsi="Times New Roman"/>
          <w:vertAlign w:val="superscript"/>
          <w:lang w:val="lt-LT"/>
        </w:rPr>
        <w:sym w:font="Symbol" w:char="F02A"/>
      </w:r>
      <w:r w:rsidRPr="00F4223A">
        <w:rPr>
          <w:rFonts w:ascii="Times New Roman" w:hAnsi="Times New Roman"/>
          <w:lang w:val="lt-LT"/>
        </w:rPr>
        <w:t xml:space="preserve"> Ilgiau negu 7 paras trunkanti 4-ojo laipsnio neutropenija pasireiškė 12,6</w:t>
      </w:r>
      <w:r w:rsidRPr="00F4223A">
        <w:rPr>
          <w:rFonts w:ascii="Times New Roman" w:hAnsi="Times New Roman"/>
          <w:lang w:val="lt-LT"/>
        </w:rPr>
        <w:sym w:font="Symbol" w:char="F025"/>
      </w:r>
      <w:r w:rsidRPr="00F4223A">
        <w:rPr>
          <w:rFonts w:ascii="Times New Roman" w:hAnsi="Times New Roman"/>
          <w:lang w:val="lt-LT"/>
        </w:rPr>
        <w:t xml:space="preserve"> pacientų, gydytų gemcitabino ir paklitakselio deriniu, ir 5</w:t>
      </w:r>
      <w:r w:rsidRPr="00F4223A">
        <w:rPr>
          <w:rFonts w:ascii="Times New Roman" w:hAnsi="Times New Roman"/>
          <w:lang w:val="lt-LT"/>
        </w:rPr>
        <w:sym w:font="Symbol" w:char="F025"/>
      </w:r>
      <w:r w:rsidRPr="00F4223A">
        <w:rPr>
          <w:rFonts w:ascii="Times New Roman" w:hAnsi="Times New Roman"/>
          <w:lang w:val="lt-LT"/>
        </w:rPr>
        <w:t xml:space="preserve"> pacientų, gydytų vien paklitakseliu</w:t>
      </w:r>
    </w:p>
    <w:p w:rsidR="00F4223A" w:rsidRPr="00F4223A" w:rsidRDefault="00F4223A" w:rsidP="00F4223A">
      <w:pPr>
        <w:spacing w:after="0" w:line="240" w:lineRule="auto"/>
        <w:rPr>
          <w:rFonts w:ascii="Times New Roman" w:hAnsi="Times New Roman"/>
          <w:b/>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Kompleksinio šlapimo pūslės vėžio gydymo metu</w:t>
      </w:r>
    </w:p>
    <w:p w:rsidR="00F4223A" w:rsidRPr="00F4223A" w:rsidRDefault="00F4223A" w:rsidP="00F4223A">
      <w:pPr>
        <w:spacing w:after="0" w:line="240" w:lineRule="auto"/>
        <w:rPr>
          <w:rFonts w:ascii="Times New Roman" w:hAnsi="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579"/>
        <w:gridCol w:w="1578"/>
        <w:gridCol w:w="1578"/>
        <w:gridCol w:w="1577"/>
      </w:tblGrid>
      <w:tr w:rsidR="00F4223A" w:rsidRPr="00F4223A" w:rsidTr="00EE3ADC">
        <w:tc>
          <w:tcPr>
            <w:tcW w:w="9286" w:type="dxa"/>
            <w:gridSpan w:val="5"/>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MVAC, palyginti su gemcitabino ir cisplatinos derinio, sukelti 3-ojo ir 4-ojo laipsnio nepageidaujami reiškiniai</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p>
        </w:tc>
        <w:tc>
          <w:tcPr>
            <w:tcW w:w="6479" w:type="dxa"/>
            <w:gridSpan w:val="4"/>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Pacientų skaičius (</w:t>
            </w:r>
            <w:r w:rsidRPr="00F4223A">
              <w:rPr>
                <w:rFonts w:ascii="Times New Roman" w:hAnsi="Times New Roman"/>
                <w:lang w:val="lt-LT"/>
              </w:rPr>
              <w:sym w:font="Symbol" w:char="F025"/>
            </w:r>
            <w:r w:rsidRPr="00F4223A">
              <w:rPr>
                <w:rFonts w:ascii="Times New Roman" w:hAnsi="Times New Roman"/>
                <w:lang w:val="lt-LT"/>
              </w:rPr>
              <w:t>)</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p>
        </w:tc>
        <w:tc>
          <w:tcPr>
            <w:tcW w:w="3240" w:type="dxa"/>
            <w:gridSpan w:val="2"/>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MVAC (metotreksatu, vinblastinu, doksorubicinu ir cisplatina) gydoma grupė</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(n </w:t>
            </w:r>
            <w:r w:rsidRPr="00F4223A">
              <w:rPr>
                <w:rFonts w:ascii="Times New Roman" w:hAnsi="Times New Roman"/>
                <w:lang w:val="lt-LT"/>
              </w:rPr>
              <w:sym w:font="Symbol" w:char="F03D"/>
            </w:r>
            <w:r w:rsidRPr="00F4223A">
              <w:rPr>
                <w:rFonts w:ascii="Times New Roman" w:hAnsi="Times New Roman"/>
                <w:lang w:val="lt-LT"/>
              </w:rPr>
              <w:t> 196)</w:t>
            </w:r>
          </w:p>
        </w:tc>
        <w:tc>
          <w:tcPr>
            <w:tcW w:w="3239" w:type="dxa"/>
            <w:gridSpan w:val="2"/>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Gemcitabino ir cisplatinos deriniu gydoma grupė</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(n </w:t>
            </w:r>
            <w:r w:rsidRPr="00F4223A">
              <w:rPr>
                <w:rFonts w:ascii="Times New Roman" w:hAnsi="Times New Roman"/>
                <w:lang w:val="lt-LT"/>
              </w:rPr>
              <w:sym w:font="Symbol" w:char="F03D"/>
            </w:r>
            <w:r w:rsidRPr="00F4223A">
              <w:rPr>
                <w:rFonts w:ascii="Times New Roman" w:hAnsi="Times New Roman"/>
                <w:lang w:val="lt-LT"/>
              </w:rPr>
              <w:t> 200)</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b/>
                <w:lang w:val="lt-LT"/>
              </w:rPr>
            </w:pP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3-ojo laipsnio</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4-ojo laipsnio</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3-ojo laipsnio</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4-ojo laipsnio</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Laboratorinių tyrimų duomenys</w:t>
            </w: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19" w:type="dxa"/>
          </w:tcPr>
          <w:p w:rsidR="00F4223A" w:rsidRPr="00F4223A" w:rsidRDefault="00F4223A" w:rsidP="00F4223A">
            <w:pPr>
              <w:spacing w:after="0" w:line="240" w:lineRule="auto"/>
              <w:rPr>
                <w:rFonts w:ascii="Times New Roman" w:hAnsi="Times New Roman"/>
                <w:lang w:val="lt-LT"/>
              </w:rPr>
            </w:pP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Anemija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30 (16)</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 (2)</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47 (24)</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7 (4)</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Trombocitopenija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15 (8)</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25 (13)</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57 (29)</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57 (29)</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Ne laboratorinių tyrimų duomenys</w:t>
            </w: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19" w:type="dxa"/>
          </w:tcPr>
          <w:p w:rsidR="00F4223A" w:rsidRPr="00F4223A" w:rsidRDefault="00F4223A" w:rsidP="00F4223A">
            <w:pPr>
              <w:spacing w:after="0" w:line="240" w:lineRule="auto"/>
              <w:rPr>
                <w:rFonts w:ascii="Times New Roman" w:hAnsi="Times New Roman"/>
                <w:lang w:val="lt-LT"/>
              </w:rPr>
            </w:pP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Pykinimas ir vėmimas</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37 (19)</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 (2)</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44 (22)</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Viduriavimas</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15 (8)</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(1)</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6 (3)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Infekcija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19 (10)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10 (5)</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 (2)</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(1)</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Stomatitas</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34 (1)</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8 (4)</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 (1)</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r>
    </w:tbl>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Kompleksinio kiaušidžių vėžio gydymo metu</w:t>
      </w:r>
    </w:p>
    <w:p w:rsidR="00F4223A" w:rsidRPr="00F4223A" w:rsidRDefault="00F4223A" w:rsidP="00F4223A">
      <w:pPr>
        <w:spacing w:after="0" w:line="240" w:lineRule="auto"/>
        <w:rPr>
          <w:rFonts w:ascii="Times New Roman" w:hAnsi="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579"/>
        <w:gridCol w:w="1578"/>
        <w:gridCol w:w="1578"/>
        <w:gridCol w:w="1577"/>
      </w:tblGrid>
      <w:tr w:rsidR="00F4223A" w:rsidRPr="00F4223A" w:rsidTr="00EE3ADC">
        <w:tc>
          <w:tcPr>
            <w:tcW w:w="9286" w:type="dxa"/>
            <w:gridSpan w:val="5"/>
          </w:tcPr>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Karboplatinos, palyginti su gemcitabino ir karboplatinos derinio, sukelti 3-ojo ir 4-ojo laipsnio nepageidaujami reiškiniai</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p>
        </w:tc>
        <w:tc>
          <w:tcPr>
            <w:tcW w:w="6479" w:type="dxa"/>
            <w:gridSpan w:val="4"/>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Pacientų skaičius (</w:t>
            </w:r>
            <w:r w:rsidRPr="00F4223A">
              <w:rPr>
                <w:rFonts w:ascii="Times New Roman" w:hAnsi="Times New Roman"/>
                <w:lang w:val="lt-LT"/>
              </w:rPr>
              <w:sym w:font="Symbol" w:char="F025"/>
            </w:r>
            <w:r w:rsidRPr="00F4223A">
              <w:rPr>
                <w:rFonts w:ascii="Times New Roman" w:hAnsi="Times New Roman"/>
                <w:lang w:val="lt-LT"/>
              </w:rPr>
              <w:t>)</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p>
        </w:tc>
        <w:tc>
          <w:tcPr>
            <w:tcW w:w="3240" w:type="dxa"/>
            <w:gridSpan w:val="2"/>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Karboplatina gydoma grupė</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(n </w:t>
            </w:r>
            <w:r w:rsidRPr="00F4223A">
              <w:rPr>
                <w:rFonts w:ascii="Times New Roman" w:hAnsi="Times New Roman"/>
                <w:lang w:val="lt-LT"/>
              </w:rPr>
              <w:sym w:font="Symbol" w:char="F03D"/>
            </w:r>
            <w:r w:rsidRPr="00F4223A">
              <w:rPr>
                <w:rFonts w:ascii="Times New Roman" w:hAnsi="Times New Roman"/>
                <w:lang w:val="lt-LT"/>
              </w:rPr>
              <w:t> 174)</w:t>
            </w:r>
          </w:p>
        </w:tc>
        <w:tc>
          <w:tcPr>
            <w:tcW w:w="3239" w:type="dxa"/>
            <w:gridSpan w:val="2"/>
          </w:tcPr>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Gemcitabino ir karboplatinos deriniu gydoma grupė</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(n </w:t>
            </w:r>
            <w:r w:rsidRPr="00F4223A">
              <w:rPr>
                <w:rFonts w:ascii="Times New Roman" w:hAnsi="Times New Roman"/>
                <w:lang w:val="lt-LT"/>
              </w:rPr>
              <w:sym w:font="Symbol" w:char="F03D"/>
            </w:r>
            <w:r w:rsidRPr="00F4223A">
              <w:rPr>
                <w:rFonts w:ascii="Times New Roman" w:hAnsi="Times New Roman"/>
                <w:lang w:val="lt-LT"/>
              </w:rPr>
              <w:t> 175)</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b/>
                <w:lang w:val="lt-LT"/>
              </w:rPr>
            </w:pP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3-ojo laipsnio</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4-ojo laipsnio</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3-ojo laipsnio</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4-ojo laipsnio</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Laboratorinių tyrimų duomenys</w:t>
            </w: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19" w:type="dxa"/>
          </w:tcPr>
          <w:p w:rsidR="00F4223A" w:rsidRPr="00F4223A" w:rsidRDefault="00F4223A" w:rsidP="00F4223A">
            <w:pPr>
              <w:spacing w:after="0" w:line="240" w:lineRule="auto"/>
              <w:rPr>
                <w:rFonts w:ascii="Times New Roman" w:hAnsi="Times New Roman"/>
                <w:lang w:val="lt-LT"/>
              </w:rPr>
            </w:pP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Anemija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10 (5,7)</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 (2,3)</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39 (22,3)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9 (5,1)</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t xml:space="preserve">          Neutropenija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19 (10,9)</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 (1,1)</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73 (41,7)</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50 (28,6)</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Trombocitopenija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18 (0,3)</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 (1,1)</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53 (30,3)</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8 (4,6)</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Leukopenija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11 (6,3)</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(0,6)</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84 (48)</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9 (5,1)</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Ne laboratorinių tyrimų duomenys</w:t>
            </w: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20" w:type="dxa"/>
          </w:tcPr>
          <w:p w:rsidR="00F4223A" w:rsidRPr="00F4223A" w:rsidRDefault="00F4223A" w:rsidP="00F4223A">
            <w:pPr>
              <w:spacing w:after="0" w:line="240" w:lineRule="auto"/>
              <w:rPr>
                <w:rFonts w:ascii="Times New Roman" w:hAnsi="Times New Roman"/>
                <w:lang w:val="lt-LT"/>
              </w:rPr>
            </w:pPr>
          </w:p>
        </w:tc>
        <w:tc>
          <w:tcPr>
            <w:tcW w:w="1619" w:type="dxa"/>
          </w:tcPr>
          <w:p w:rsidR="00F4223A" w:rsidRPr="00F4223A" w:rsidRDefault="00F4223A" w:rsidP="00F4223A">
            <w:pPr>
              <w:spacing w:after="0" w:line="240" w:lineRule="auto"/>
              <w:rPr>
                <w:rFonts w:ascii="Times New Roman" w:hAnsi="Times New Roman"/>
                <w:lang w:val="lt-LT"/>
              </w:rPr>
            </w:pP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Hemoragija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 (1,8)</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Febrilinė neutropenija</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20"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 (1,1)</w:t>
            </w:r>
          </w:p>
        </w:tc>
        <w:tc>
          <w:tcPr>
            <w:tcW w:w="1619"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r>
      <w:tr w:rsidR="00F4223A" w:rsidRPr="00F4223A" w:rsidTr="00EE3ADC">
        <w:tc>
          <w:tcPr>
            <w:tcW w:w="2807" w:type="dxa"/>
          </w:tcPr>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Su neutropenija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          nesusijusi infekcija</w:t>
            </w:r>
          </w:p>
        </w:tc>
        <w:tc>
          <w:tcPr>
            <w:tcW w:w="1620" w:type="dxa"/>
          </w:tcPr>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20" w:type="dxa"/>
          </w:tcPr>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20" w:type="dxa"/>
          </w:tcPr>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0 (0)</w:t>
            </w:r>
          </w:p>
        </w:tc>
        <w:tc>
          <w:tcPr>
            <w:tcW w:w="1619" w:type="dxa"/>
          </w:tcPr>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(0,6)</w:t>
            </w:r>
          </w:p>
        </w:tc>
      </w:tr>
    </w:tbl>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Sensorinė neuropatija gydymo deriniu metu pasireiškė dažniau, negu monoterapijos karboplatina metu.</w:t>
      </w:r>
      <w:r w:rsidRPr="00F4223A" w:rsidDel="00C6784F">
        <w:rPr>
          <w:rFonts w:ascii="Times New Roman" w:hAnsi="Times New Roman"/>
          <w:lang w:val="lt-LT"/>
        </w:rPr>
        <w:t xml:space="preserve"> </w:t>
      </w:r>
    </w:p>
    <w:p w:rsidR="00F4223A" w:rsidRPr="00F4223A" w:rsidRDefault="00F4223A" w:rsidP="00D83147">
      <w:pPr>
        <w:spacing w:after="0" w:line="240" w:lineRule="auto"/>
        <w:rPr>
          <w:rFonts w:ascii="Times New Roman" w:hAnsi="Times New Roman"/>
          <w:lang w:val="lt-LT"/>
        </w:rPr>
      </w:pPr>
    </w:p>
    <w:p w:rsidR="00A460E4" w:rsidRPr="00A460E4" w:rsidRDefault="00A460E4" w:rsidP="00D83147">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rPr>
      </w:pPr>
      <w:r w:rsidRPr="00A460E4">
        <w:rPr>
          <w:rFonts w:ascii="Times New Roman" w:eastAsia="Times New Roman" w:hAnsi="Times New Roman" w:cs="Times New Roman"/>
          <w:noProof/>
          <w:snapToGrid w:val="0"/>
          <w:szCs w:val="24"/>
          <w:u w:val="single"/>
          <w:lang w:val="lt-LT"/>
        </w:rPr>
        <w:t>Pranešimas apie įtariamas nepageidaujamas reakcijas</w:t>
      </w:r>
    </w:p>
    <w:p w:rsidR="00A460E4" w:rsidRPr="00A460E4" w:rsidRDefault="00A460E4" w:rsidP="00D8314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A460E4">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A460E4">
        <w:rPr>
          <w:rFonts w:ascii="Times New Roman" w:eastAsia="Times New Roman" w:hAnsi="Times New Roman" w:cs="Times New Roman"/>
          <w:snapToGrid w:val="0"/>
          <w:szCs w:val="24"/>
          <w:lang w:val="lt-LT"/>
        </w:rPr>
        <w:t xml:space="preserve"> </w:t>
      </w:r>
      <w:r w:rsidRPr="00A460E4">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A460E4">
          <w:rPr>
            <w:rFonts w:ascii="Times New Roman" w:eastAsia="SimSun" w:hAnsi="Times New Roman" w:cs="Times New Roman"/>
            <w:noProof/>
            <w:snapToGrid w:val="0"/>
            <w:color w:val="0000FF"/>
            <w:szCs w:val="24"/>
            <w:u w:val="single"/>
            <w:lang w:val="lt-LT"/>
          </w:rPr>
          <w:t>www.vvkt.lt</w:t>
        </w:r>
      </w:hyperlink>
      <w:r w:rsidRPr="00A460E4">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460E4">
          <w:rPr>
            <w:rFonts w:ascii="Times New Roman" w:eastAsia="SimSun" w:hAnsi="Times New Roman" w:cs="Times New Roman"/>
            <w:noProof/>
            <w:snapToGrid w:val="0"/>
            <w:color w:val="0000FF"/>
            <w:szCs w:val="24"/>
            <w:u w:val="single"/>
            <w:lang w:val="lt-LT"/>
          </w:rPr>
          <w:t>NepageidaujamaR@vvkt.lt</w:t>
        </w:r>
      </w:hyperlink>
      <w:r w:rsidRPr="00A460E4">
        <w:rPr>
          <w:rFonts w:ascii="Times New Roman" w:eastAsia="Times New Roman" w:hAnsi="Times New Roman" w:cs="Times New Roman"/>
          <w:noProof/>
          <w:snapToGrid w:val="0"/>
          <w:szCs w:val="24"/>
          <w:lang w:val="lt-LT"/>
        </w:rPr>
        <w:t>), per interneto svetainę (adresu http://www.vvkt.lt).</w:t>
      </w:r>
    </w:p>
    <w:p w:rsidR="00F4223A" w:rsidRPr="00F4223A" w:rsidRDefault="00F4223A" w:rsidP="00D83147">
      <w:pPr>
        <w:spacing w:after="0" w:line="240" w:lineRule="auto"/>
        <w:rPr>
          <w:rFonts w:ascii="Times New Roman" w:eastAsia="MS Mincho" w:hAnsi="Times New Roman" w:cs="Times New Roman"/>
          <w:lang w:val="lt-LT" w:eastAsia="lt-LT"/>
        </w:rPr>
      </w:pPr>
    </w:p>
    <w:p w:rsidR="00F4223A" w:rsidRPr="00F4223A" w:rsidRDefault="00F4223A" w:rsidP="00D83147">
      <w:pPr>
        <w:spacing w:after="0" w:line="240" w:lineRule="auto"/>
        <w:rPr>
          <w:rFonts w:ascii="Times New Roman" w:hAnsi="Times New Roman"/>
          <w:b/>
          <w:lang w:val="lt-LT"/>
        </w:rPr>
      </w:pPr>
      <w:r w:rsidRPr="00F4223A">
        <w:rPr>
          <w:rFonts w:ascii="Times New Roman" w:hAnsi="Times New Roman"/>
          <w:b/>
          <w:lang w:val="lt-LT"/>
        </w:rPr>
        <w:t>4.9</w:t>
      </w:r>
      <w:r w:rsidRPr="00F4223A">
        <w:rPr>
          <w:rFonts w:ascii="Times New Roman" w:hAnsi="Times New Roman"/>
          <w:b/>
          <w:lang w:val="lt-LT"/>
        </w:rPr>
        <w:tab/>
        <w:t>Perdozavimas</w:t>
      </w:r>
    </w:p>
    <w:p w:rsidR="00F4223A" w:rsidRPr="00F4223A" w:rsidRDefault="00F4223A" w:rsidP="00D83147">
      <w:pPr>
        <w:spacing w:after="0" w:line="240" w:lineRule="auto"/>
        <w:rPr>
          <w:rFonts w:ascii="Times New Roman" w:hAnsi="Times New Roman"/>
          <w:lang w:val="lt-LT"/>
        </w:rPr>
      </w:pPr>
    </w:p>
    <w:p w:rsidR="00F4223A" w:rsidRPr="00F4223A" w:rsidRDefault="00F4223A" w:rsidP="00D83147">
      <w:pPr>
        <w:spacing w:after="0" w:line="240" w:lineRule="auto"/>
        <w:rPr>
          <w:rFonts w:ascii="Times New Roman" w:hAnsi="Times New Roman"/>
          <w:lang w:val="lt-LT"/>
        </w:rPr>
      </w:pPr>
      <w:r w:rsidRPr="00F4223A">
        <w:rPr>
          <w:rFonts w:ascii="Times New Roman" w:hAnsi="Times New Roman"/>
          <w:lang w:val="lt-LT"/>
        </w:rPr>
        <w:t>Gemcitabino priešnuodis nežinomas. Kas antra savaitė per 30 min. į veną infuzuojamos ne didesnės kaip 5 700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dozės toksinis poveikis kliniškai buvo priimtinas. Įtarus, kad vaistinio preparato perdozuota, pacientą reikia stebėti, sekti kraujo ląstelių kiekį, prireikus </w:t>
      </w:r>
      <w:r w:rsidRPr="00F4223A">
        <w:rPr>
          <w:rFonts w:ascii="Times New Roman" w:hAnsi="Times New Roman"/>
          <w:lang w:val="lt-LT"/>
        </w:rPr>
        <w:sym w:font="Symbol" w:char="F02D"/>
      </w:r>
      <w:r w:rsidRPr="00F4223A">
        <w:rPr>
          <w:rFonts w:ascii="Times New Roman" w:hAnsi="Times New Roman"/>
          <w:lang w:val="lt-LT"/>
        </w:rPr>
        <w:t xml:space="preserve"> taikyti palaikomąjį gydymą.</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5.</w:t>
      </w:r>
      <w:r w:rsidRPr="00F4223A">
        <w:rPr>
          <w:rFonts w:ascii="Times New Roman" w:hAnsi="Times New Roman"/>
          <w:b/>
          <w:lang w:val="lt-LT"/>
        </w:rPr>
        <w:tab/>
        <w:t>FARMAKOLOGINĖS SAVYBĖS</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5.1</w:t>
      </w:r>
      <w:r w:rsidRPr="00F4223A">
        <w:rPr>
          <w:rFonts w:ascii="Times New Roman" w:hAnsi="Times New Roman"/>
          <w:b/>
          <w:lang w:val="lt-LT"/>
        </w:rPr>
        <w:tab/>
        <w:t>Farmakodinaminės savybės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Farmakoterapinė grupė – pirimidino analogai, ATC kodas – L01BC05.</w:t>
      </w:r>
    </w:p>
    <w:p w:rsidR="00F4223A" w:rsidRDefault="00F4223A" w:rsidP="00F4223A">
      <w:pPr>
        <w:spacing w:after="0" w:line="240" w:lineRule="auto"/>
        <w:rPr>
          <w:rFonts w:ascii="Times New Roman" w:hAnsi="Times New Roman"/>
          <w:i/>
          <w:lang w:val="lt-LT"/>
        </w:rPr>
      </w:pPr>
    </w:p>
    <w:p w:rsidR="008028EC" w:rsidRPr="00512BC4" w:rsidRDefault="008028EC" w:rsidP="00F4223A">
      <w:pPr>
        <w:spacing w:after="0" w:line="240" w:lineRule="auto"/>
        <w:rPr>
          <w:rFonts w:ascii="Times New Roman" w:hAnsi="Times New Roman"/>
          <w:i/>
          <w:u w:val="single"/>
          <w:lang w:val="lt-LT"/>
        </w:rPr>
      </w:pPr>
      <w:r w:rsidRPr="00512BC4">
        <w:rPr>
          <w:rFonts w:ascii="Times New Roman" w:eastAsia="Times New Roman" w:hAnsi="Times New Roman" w:cs="Times New Roman"/>
          <w:u w:val="single"/>
          <w:lang w:val="lt-LT" w:eastAsia="lt-LT"/>
        </w:rPr>
        <w:t>Veikimo mechanizmas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Metabolizmas ląstelėse ir veikimo mechanizmas. Pirimidino metabolitas gemcitabinas (dFdC), ląstelių viduje metabolizuojamas, veikiant nukleozido kinazei, į aktyvius difosfato (dFdCDF) ir trifosfato (dFdCTF) nukleozidus. Citotoksinis gemcitabino poveikis priklauso nuo dFdCDF ir dFdCTF nukleozidų sukeliamo DNR sintezės slopinimo. Visų pirma dFdCDF slopina ribonukleotido reduktazę, kuri vienintelė katalizuoja DNR sintezei būtino deoksinukleozido trifosfato (dCTF) gamybos reakcijas. Kai dFdCDF šio fermento aktyvumą užslopina, sumažėja bendras deoksinukleozidų, ypač dCTF, kiekis. Antra, dFdCTF konkuruoja su dCTF dėl įsijungimo į RNR (saviveika).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lastRenderedPageBreak/>
        <w:t xml:space="preserve">Panašiai į RNR gali įsijungti ir mažas gemcitabino kiekis. Taigi sumažėjus dCTF kiekiui ląstelių viduje didinamas dFdCTF įjungimas į DNR. Gemcitabiną pašalinti ir atitaisyti DNR grandinės ilgėjimą DNR polimerazė </w:t>
      </w:r>
      <w:r w:rsidRPr="00F4223A">
        <w:rPr>
          <w:rFonts w:ascii="Times New Roman" w:hAnsi="Times New Roman"/>
          <w:lang w:val="lt-LT"/>
        </w:rPr>
        <w:sym w:font="Symbol" w:char="F065"/>
      </w:r>
      <w:r w:rsidRPr="00F4223A">
        <w:rPr>
          <w:rFonts w:ascii="Times New Roman" w:hAnsi="Times New Roman"/>
          <w:lang w:val="lt-LT"/>
        </w:rPr>
        <w:t xml:space="preserve"> iš esmės nepajėgia. Gemcitabinui įsijungus į DNR, į ilgėjančią DNR grandinę įjungiamas vienas papildomas nukleotidas. Šis įjungimas iš esmės visiškai užslopina tolesnę DNR sintezę (slaptasis grandinės užbaigimas). Į DNR įsijungęs gemcitabinas sukelia programuotą ląstelės žūtį, vadinamą apoptoze.</w:t>
      </w:r>
    </w:p>
    <w:p w:rsidR="00F4223A" w:rsidRPr="00F4223A" w:rsidRDefault="00F4223A" w:rsidP="00F4223A">
      <w:pPr>
        <w:spacing w:after="0" w:line="240" w:lineRule="auto"/>
        <w:rPr>
          <w:rFonts w:ascii="Times New Roman" w:hAnsi="Times New Roman"/>
          <w:i/>
          <w:lang w:val="lt-LT"/>
        </w:rPr>
      </w:pPr>
    </w:p>
    <w:p w:rsidR="00F4223A" w:rsidRPr="00512BC4" w:rsidRDefault="00F4223A" w:rsidP="00F4223A">
      <w:pPr>
        <w:spacing w:after="0" w:line="240" w:lineRule="auto"/>
        <w:rPr>
          <w:rFonts w:ascii="Times New Roman" w:eastAsia="Times New Roman" w:hAnsi="Times New Roman" w:cs="Times New Roman"/>
          <w:u w:val="single"/>
          <w:lang w:val="lt-LT" w:eastAsia="lt-LT"/>
        </w:rPr>
      </w:pPr>
      <w:r w:rsidRPr="00512BC4">
        <w:rPr>
          <w:rFonts w:ascii="Times New Roman" w:eastAsia="Times New Roman" w:hAnsi="Times New Roman" w:cs="Times New Roman"/>
          <w:u w:val="single"/>
          <w:lang w:val="lt-LT" w:eastAsia="lt-LT"/>
        </w:rPr>
        <w:t>Farmakodinaminis poveikis</w:t>
      </w: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Citotoksinis aktyvumas ląstelių kultūroje</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Gemcitabinas sukelia ženklų citotoksinį poveikį daugelio kultivuojamų pelių ir žmogaus navikų ląstelėms. Jo poveikis yra specifinis ląstelių ciklo fazei. gemcitabinas pirmiausiai naikina tas ląsteles, kuriose vyksta DNR sintezė (S fazė), o tam tikromis sąlygomis blokuoja ląstelių progresavimą G</w:t>
      </w:r>
      <w:r w:rsidRPr="00F4223A">
        <w:rPr>
          <w:rFonts w:ascii="Times New Roman" w:hAnsi="Times New Roman"/>
          <w:vertAlign w:val="subscript"/>
          <w:lang w:val="lt-LT"/>
        </w:rPr>
        <w:t>1</w:t>
      </w:r>
      <w:r w:rsidRPr="00F4223A">
        <w:rPr>
          <w:rFonts w:ascii="Times New Roman" w:hAnsi="Times New Roman"/>
          <w:lang w:val="lt-LT"/>
        </w:rPr>
        <w:t xml:space="preserve">/S fazių riboje. </w:t>
      </w:r>
      <w:r w:rsidRPr="00F4223A">
        <w:rPr>
          <w:rFonts w:ascii="Times New Roman" w:hAnsi="Times New Roman"/>
          <w:i/>
          <w:lang w:val="lt-LT"/>
        </w:rPr>
        <w:t>In vitro</w:t>
      </w:r>
      <w:r w:rsidRPr="00F4223A">
        <w:rPr>
          <w:rFonts w:ascii="Times New Roman" w:hAnsi="Times New Roman"/>
          <w:lang w:val="lt-LT"/>
        </w:rPr>
        <w:t xml:space="preserve"> citotoksinis gemcitabino poveikis priklauso nuo koncentracijos dydžio ir ekspozicijos trukmės.</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Antinavikinis aktyvumas ikiklinikinių tyrimų metu</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Tyrimų su gyvūnų navikų modeliais metu antinavikinis gemcitabino aktyvumas priklausė nuo vartojimo tvarkos. Kasdien vartojamas gemcitabinas sukėlė didelį gyvūnų kritimą, o antinavikinis poveikis buvo silpnas. Tačiau nemirtinos dozės, vartojamos kas 3 arba 4 paros, sukėlė stiprų antinavikinį poveikį plačiam pelių navikų spektrui.</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eastAsia="MS Mincho" w:hAnsi="Times New Roman" w:cs="Times New Roman"/>
          <w:bCs/>
          <w:iCs/>
          <w:u w:val="single"/>
          <w:lang w:val="lt-LT" w:eastAsia="lt-LT"/>
        </w:rPr>
      </w:pPr>
      <w:r w:rsidRPr="00F4223A">
        <w:rPr>
          <w:rFonts w:ascii="Times New Roman" w:eastAsia="MS Mincho" w:hAnsi="Times New Roman" w:cs="Times New Roman"/>
          <w:iCs/>
          <w:u w:val="single"/>
          <w:lang w:val="lt-LT" w:eastAsia="lt-LT"/>
        </w:rPr>
        <w:t>Klinikinis veiksmingumas ir saugumas</w:t>
      </w: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Šlapimo pūslės vėžys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III fazės atsitiktinių imčių tyrimo, kuriame dalyvavo 405 pacientai, sergantys progresavusia arba metastazine šlapimo takų pereinamojo epitelio ląstelių karcinoma, metu skirtumo tarp gydymo gemcitabino ir cisplatinos deriniu, palyginti su gydymu metotreksato, vinblastino, adriamicino ir cisplatinos (MVAC) deriniu, nebuvo, atsižvelgiant į vidutinę išgyvenamumo trukmę (atitinkamai 12,8 mėn. ir 14,8 mėn., p </w:t>
      </w:r>
      <w:r w:rsidRPr="00F4223A">
        <w:rPr>
          <w:rFonts w:ascii="Times New Roman" w:hAnsi="Times New Roman"/>
          <w:lang w:val="lt-LT"/>
        </w:rPr>
        <w:sym w:font="Symbol" w:char="F03D"/>
      </w:r>
      <w:r w:rsidRPr="00F4223A">
        <w:rPr>
          <w:rFonts w:ascii="Times New Roman" w:hAnsi="Times New Roman"/>
          <w:lang w:val="lt-LT"/>
        </w:rPr>
        <w:t> 0,547), laikotarpį iki ligos progresavimo (atitinkamai 7,4 mėn. ir 7,6 mėn., p </w:t>
      </w:r>
      <w:r w:rsidRPr="00F4223A">
        <w:rPr>
          <w:rFonts w:ascii="Times New Roman" w:hAnsi="Times New Roman"/>
          <w:lang w:val="lt-LT"/>
        </w:rPr>
        <w:sym w:font="Symbol" w:char="F03D"/>
      </w:r>
      <w:r w:rsidRPr="00F4223A">
        <w:rPr>
          <w:rFonts w:ascii="Times New Roman" w:hAnsi="Times New Roman"/>
          <w:lang w:val="lt-LT"/>
        </w:rPr>
        <w:t> 0,842) ir atsako dažnį (atitinkamai 49,4</w:t>
      </w:r>
      <w:r w:rsidRPr="00F4223A">
        <w:rPr>
          <w:rFonts w:ascii="Times New Roman" w:hAnsi="Times New Roman"/>
          <w:lang w:val="lt-LT"/>
        </w:rPr>
        <w:sym w:font="Symbol" w:char="F025"/>
      </w:r>
      <w:r w:rsidRPr="00F4223A">
        <w:rPr>
          <w:rFonts w:ascii="Times New Roman" w:hAnsi="Times New Roman"/>
          <w:lang w:val="lt-LT"/>
        </w:rPr>
        <w:t xml:space="preserve"> ir 45,7</w:t>
      </w:r>
      <w:r w:rsidRPr="00F4223A">
        <w:rPr>
          <w:rFonts w:ascii="Times New Roman" w:hAnsi="Times New Roman"/>
          <w:lang w:val="lt-LT"/>
        </w:rPr>
        <w:sym w:font="Symbol" w:char="F025"/>
      </w:r>
      <w:r w:rsidRPr="00F4223A">
        <w:rPr>
          <w:rFonts w:ascii="Times New Roman" w:hAnsi="Times New Roman"/>
          <w:lang w:val="lt-LT"/>
        </w:rPr>
        <w:t>, p </w:t>
      </w:r>
      <w:r w:rsidRPr="00F4223A">
        <w:rPr>
          <w:rFonts w:ascii="Times New Roman" w:hAnsi="Times New Roman"/>
          <w:lang w:val="lt-LT"/>
        </w:rPr>
        <w:sym w:font="Symbol" w:char="F03D"/>
      </w:r>
      <w:r w:rsidRPr="00F4223A">
        <w:rPr>
          <w:rFonts w:ascii="Times New Roman" w:hAnsi="Times New Roman"/>
          <w:lang w:val="lt-LT"/>
        </w:rPr>
        <w:t xml:space="preserve"> 0,512). Vis dėlto toksinis gemcitabino ir cisplatinos derinio poveikis buvo priimtinesnis už MVAC derinio.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Kasos vėžys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III fazės atsitiktinių imčių tyrimo, kuriame dalyvavo 126 pacientai, sergantys progresavusiu arba metastaziniu kasos vėžiu, metu gemcitabinu gydomiems pacientams palankaus klinikinio atsako dažnis buvo reikšmingai didesnis, negu gydomiems 5-fluorouracilu (atitinkamai 23,8</w:t>
      </w:r>
      <w:r w:rsidRPr="00F4223A">
        <w:rPr>
          <w:rFonts w:ascii="Times New Roman" w:hAnsi="Times New Roman"/>
          <w:lang w:val="lt-LT"/>
        </w:rPr>
        <w:sym w:font="Symbol" w:char="F025"/>
      </w:r>
      <w:r w:rsidRPr="00F4223A">
        <w:rPr>
          <w:rFonts w:ascii="Times New Roman" w:hAnsi="Times New Roman"/>
          <w:lang w:val="lt-LT"/>
        </w:rPr>
        <w:t xml:space="preserve"> ir 4,8</w:t>
      </w:r>
      <w:r w:rsidRPr="00F4223A">
        <w:rPr>
          <w:rFonts w:ascii="Times New Roman" w:hAnsi="Times New Roman"/>
          <w:lang w:val="lt-LT"/>
        </w:rPr>
        <w:sym w:font="Symbol" w:char="F025"/>
      </w:r>
      <w:r w:rsidRPr="00F4223A">
        <w:rPr>
          <w:rFonts w:ascii="Times New Roman" w:hAnsi="Times New Roman"/>
          <w:lang w:val="lt-LT"/>
        </w:rPr>
        <w:t>; p </w:t>
      </w:r>
      <w:r w:rsidRPr="00F4223A">
        <w:rPr>
          <w:rFonts w:ascii="Times New Roman" w:hAnsi="Times New Roman"/>
          <w:lang w:val="lt-LT"/>
        </w:rPr>
        <w:sym w:font="Symbol" w:char="F03D"/>
      </w:r>
      <w:r w:rsidRPr="00F4223A">
        <w:rPr>
          <w:rFonts w:ascii="Times New Roman" w:hAnsi="Times New Roman"/>
          <w:lang w:val="lt-LT"/>
        </w:rPr>
        <w:t xml:space="preserve"> 0,0022), be to, statistikai reikšmingai pailgėjo, t. y. nuo 0,9 mėn. iki 2,3 mėn. (logaritminis ranginis p &lt; 0,0002), laikotarpis iki ligos progresavimo ir statistiškai reikšmingai pailgėjo, t. y. nuo 4,4 mėn. iki 5,7 mėn. (logaritminis ranginis p &lt; 0,0024), vidutinė išgyvenamumo trukmė.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Nesmulkialąstelinis plaučių vėžys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III fazės atsitiktinių imčių tyrimo, kuriame dalyvavo 522 pacientai, sergantys neoperuotinu lokaliu progresavusiu arba metastaziniu NSLPV, metu atsako į gydymą gemcitabino ir cisplatinos deriniu, palyginti su gydymu vien cisplatina, dažnis buvo statistiškai reikšmingai didesnis (atitinkamai 31</w:t>
      </w:r>
      <w:r w:rsidRPr="00F4223A">
        <w:rPr>
          <w:rFonts w:ascii="Times New Roman" w:hAnsi="Times New Roman"/>
          <w:lang w:val="lt-LT"/>
        </w:rPr>
        <w:sym w:font="Symbol" w:char="F025"/>
      </w:r>
      <w:r w:rsidRPr="00F4223A">
        <w:rPr>
          <w:rFonts w:ascii="Times New Roman" w:hAnsi="Times New Roman"/>
          <w:lang w:val="lt-LT"/>
        </w:rPr>
        <w:t xml:space="preserve"> ir 12</w:t>
      </w:r>
      <w:r w:rsidRPr="00F4223A">
        <w:rPr>
          <w:rFonts w:ascii="Times New Roman" w:hAnsi="Times New Roman"/>
          <w:lang w:val="lt-LT"/>
        </w:rPr>
        <w:sym w:font="Symbol" w:char="F025"/>
      </w:r>
      <w:r w:rsidRPr="00F4223A">
        <w:rPr>
          <w:rFonts w:ascii="Times New Roman" w:hAnsi="Times New Roman"/>
          <w:lang w:val="lt-LT"/>
        </w:rPr>
        <w:t xml:space="preserve">, p &lt; 0,0001). Pacientams, gydomiems gemcitabino ir cisplatinos deriniu, palyginti su gydomais vien cisplatina, </w:t>
      </w:r>
      <w:r w:rsidRPr="00F4223A">
        <w:rPr>
          <w:rFonts w:ascii="Times New Roman" w:hAnsi="Times New Roman"/>
          <w:lang w:val="lt-LT"/>
        </w:rPr>
        <w:lastRenderedPageBreak/>
        <w:t xml:space="preserve">statistiškai reikšmingai pailgėjo, t. y. nuo 3,7 mėn. iki 5,6 mėn. (logaritminis ranginis p </w:t>
      </w:r>
      <w:r w:rsidRPr="00F4223A">
        <w:rPr>
          <w:rFonts w:ascii="Times New Roman" w:hAnsi="Times New Roman"/>
          <w:lang w:val="lt-LT"/>
        </w:rPr>
        <w:sym w:font="Symbol" w:char="F03C"/>
      </w:r>
      <w:r w:rsidRPr="00F4223A">
        <w:rPr>
          <w:rFonts w:ascii="Times New Roman" w:hAnsi="Times New Roman"/>
          <w:lang w:val="lt-LT"/>
        </w:rPr>
        <w:t xml:space="preserve"> 0,0012), laikotarpis iki ligos progresavimo ir statistiškai reikšmingai pailgėjo, t. y. nuo 7,6 mėn. iki 9,1 mėn. (logaritminis ranginis p </w:t>
      </w:r>
      <w:r w:rsidRPr="00F4223A">
        <w:rPr>
          <w:rFonts w:ascii="Times New Roman" w:hAnsi="Times New Roman"/>
          <w:lang w:val="lt-LT"/>
        </w:rPr>
        <w:sym w:font="Symbol" w:char="F03C"/>
      </w:r>
      <w:r w:rsidRPr="00F4223A">
        <w:rPr>
          <w:rFonts w:ascii="Times New Roman" w:hAnsi="Times New Roman"/>
          <w:lang w:val="lt-LT"/>
        </w:rPr>
        <w:t> 0,004), vidutinė išgyvenamumo trukmė.</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Kito III fazės atsitiktinių imčių tyrimo, kuriame dalyvavo 135 pacientai, sergantys IIIB arba IV stadijos NSLPV, metu atsako į gydymą gemcitabino ir cisplatinos deriniu, palyginti su gydymu cisplatinos ir etopozido deriniu, dažnis buvo statistiškai reikšmingai didesnis (atitinkamai 40,6</w:t>
      </w:r>
      <w:r w:rsidRPr="00F4223A">
        <w:rPr>
          <w:rFonts w:ascii="Times New Roman" w:hAnsi="Times New Roman"/>
          <w:lang w:val="lt-LT"/>
        </w:rPr>
        <w:sym w:font="Symbol" w:char="F025"/>
      </w:r>
      <w:r w:rsidRPr="00F4223A">
        <w:rPr>
          <w:rFonts w:ascii="Times New Roman" w:hAnsi="Times New Roman"/>
          <w:lang w:val="lt-LT"/>
        </w:rPr>
        <w:t xml:space="preserve"> ir 21,2</w:t>
      </w:r>
      <w:r w:rsidRPr="00F4223A">
        <w:rPr>
          <w:rFonts w:ascii="Times New Roman" w:hAnsi="Times New Roman"/>
          <w:lang w:val="lt-LT"/>
        </w:rPr>
        <w:sym w:font="Symbol" w:char="F025"/>
      </w:r>
      <w:r w:rsidRPr="00F4223A">
        <w:rPr>
          <w:rFonts w:ascii="Times New Roman" w:hAnsi="Times New Roman"/>
          <w:lang w:val="lt-LT"/>
        </w:rPr>
        <w:t>, p </w:t>
      </w:r>
      <w:r w:rsidRPr="00F4223A">
        <w:rPr>
          <w:rFonts w:ascii="Times New Roman" w:hAnsi="Times New Roman"/>
          <w:lang w:val="lt-LT"/>
        </w:rPr>
        <w:sym w:font="Symbol" w:char="F03D"/>
      </w:r>
      <w:r w:rsidRPr="00F4223A">
        <w:rPr>
          <w:rFonts w:ascii="Times New Roman" w:hAnsi="Times New Roman"/>
          <w:lang w:val="lt-LT"/>
        </w:rPr>
        <w:t> 0,025). Pacientams, gydytiems gemcitabino ir cisplatinos deriniu, palyginti su gydytais etopozido ir cisplatinos deriniu, statistiškai reikšmingai pailgėjo, t. y. nuo 4,3 mėn. iki 6,9 mėn. (p </w:t>
      </w:r>
      <w:r w:rsidRPr="00F4223A">
        <w:rPr>
          <w:rFonts w:ascii="Times New Roman" w:hAnsi="Times New Roman"/>
          <w:lang w:val="lt-LT"/>
        </w:rPr>
        <w:sym w:font="Symbol" w:char="F03D"/>
      </w:r>
      <w:r w:rsidRPr="00F4223A">
        <w:rPr>
          <w:rFonts w:ascii="Times New Roman" w:hAnsi="Times New Roman"/>
          <w:lang w:val="lt-LT"/>
        </w:rPr>
        <w:t> 0,014), laikotarpis iki ligos progresavimo.</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Abiejų tyrimų metu abu gydymo būdus pacientai toleravo panašiai.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Kiaušidžių karcinoma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III fazės atsitiktinių imčių tyrimo, kuriame dalyvavo 356 pacientės, sergančios progresavusia epiteline kiaušidžių karcinoma, kuri recidyvavo praėjus mažiausiai 6 mėn. po gydymo, kurio pagrindas buvo platinos preparatas. Tiriamosios atsitiktinių imčių būdu buvo suskirstytos į grupes gydyti gemcitabino ir karboplatinos deriniu (GKD) arba vien karboplatina. Pacientėms, gydytoms GKD, palyginti su gydytomis vien karboplatina, statistiškai reikšmingai pailgėjo, t. y. nuo 5,8 mėn. iki 8,6 mėn. (logaritminis ranginis p </w:t>
      </w:r>
      <w:r w:rsidRPr="00F4223A">
        <w:rPr>
          <w:rFonts w:ascii="Times New Roman" w:hAnsi="Times New Roman"/>
          <w:lang w:val="lt-LT"/>
        </w:rPr>
        <w:sym w:font="Symbol" w:char="F03D"/>
      </w:r>
      <w:r w:rsidRPr="00F4223A">
        <w:rPr>
          <w:rFonts w:ascii="Times New Roman" w:hAnsi="Times New Roman"/>
          <w:lang w:val="lt-LT"/>
        </w:rPr>
        <w:t> 0,0038), laikotarpis iki ligos progresavimo. Gydymas GKD buvo pranašesnis už gydymą vien karboplatina, atsižvelgiant į atsako dažnį (atitinkamai 47,2</w:t>
      </w:r>
      <w:r w:rsidRPr="00F4223A">
        <w:rPr>
          <w:rFonts w:ascii="Times New Roman" w:hAnsi="Times New Roman"/>
          <w:lang w:val="lt-LT"/>
        </w:rPr>
        <w:sym w:font="Symbol" w:char="F025"/>
      </w:r>
      <w:r w:rsidRPr="00F4223A">
        <w:rPr>
          <w:rFonts w:ascii="Times New Roman" w:hAnsi="Times New Roman"/>
          <w:lang w:val="lt-LT"/>
        </w:rPr>
        <w:t xml:space="preserve"> ir 30,9</w:t>
      </w:r>
      <w:r w:rsidRPr="00F4223A">
        <w:rPr>
          <w:rFonts w:ascii="Times New Roman" w:hAnsi="Times New Roman"/>
          <w:lang w:val="lt-LT"/>
        </w:rPr>
        <w:sym w:font="Symbol" w:char="F025"/>
      </w:r>
      <w:r w:rsidRPr="00F4223A">
        <w:rPr>
          <w:rFonts w:ascii="Times New Roman" w:hAnsi="Times New Roman"/>
          <w:lang w:val="lt-LT"/>
        </w:rPr>
        <w:t>, p </w:t>
      </w:r>
      <w:r w:rsidRPr="00F4223A">
        <w:rPr>
          <w:rFonts w:ascii="Times New Roman" w:hAnsi="Times New Roman"/>
          <w:lang w:val="lt-LT"/>
        </w:rPr>
        <w:sym w:font="Symbol" w:char="F03D"/>
      </w:r>
      <w:r w:rsidRPr="00F4223A">
        <w:rPr>
          <w:rFonts w:ascii="Times New Roman" w:hAnsi="Times New Roman"/>
          <w:lang w:val="lt-LT"/>
        </w:rPr>
        <w:t> 0,0016) ir vidutinę išgyvenamumo trukmę (atitinkamai 18 mėn. ir 17,3 mėn., p </w:t>
      </w:r>
      <w:r w:rsidRPr="00F4223A">
        <w:rPr>
          <w:rFonts w:ascii="Times New Roman" w:hAnsi="Times New Roman"/>
          <w:lang w:val="lt-LT"/>
        </w:rPr>
        <w:sym w:font="Symbol" w:char="F03D"/>
      </w:r>
      <w:r w:rsidRPr="00F4223A">
        <w:rPr>
          <w:rFonts w:ascii="Times New Roman" w:hAnsi="Times New Roman"/>
          <w:lang w:val="lt-LT"/>
        </w:rPr>
        <w:t xml:space="preserve"> 0,73).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Krūties vėžys</w:t>
      </w: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lang w:val="lt-LT"/>
        </w:rPr>
        <w:t>III fazės atsitiktinių imčių tyrimo, kuriame dalyvavo 529 pacientai, sergantys neoperuotinu progresavusiu lokaliu arba metastaziniu krūties vėžiu, recidyvavusiu po adjuvantinės arba neoadjuvantinės chemoterapijos, metu gydymas gemcitabino ir paklitakselio deriniu, palyginti su gydymu vien paklitakseliu, statistiškai reikšmingai pailgino, t. y. nuo 3,98 mėn. iki 6,14 mėn. (logaritminis ranginis p </w:t>
      </w:r>
      <w:r w:rsidRPr="00F4223A">
        <w:rPr>
          <w:rFonts w:ascii="Times New Roman" w:hAnsi="Times New Roman"/>
          <w:lang w:val="lt-LT"/>
        </w:rPr>
        <w:sym w:font="Symbol" w:char="F03D"/>
      </w:r>
      <w:r w:rsidRPr="00F4223A">
        <w:rPr>
          <w:rFonts w:ascii="Times New Roman" w:hAnsi="Times New Roman"/>
          <w:lang w:val="lt-LT"/>
        </w:rPr>
        <w:t> 0,0002), laikotarpį iki ligos progresavimo. Po 377 mirčių bendra pacientų, gydytų gemcitabino ir paklitakselio deriniu, palyginti su gydytais vien paklitakseliu, bendro išgyvenamumo trukmė buvo atitinkamai 18,6 mėn. ir 15,8 mėn. (logaritminis ranginis</w:t>
      </w:r>
      <w:r w:rsidRPr="00F4223A">
        <w:rPr>
          <w:rFonts w:ascii="Times New Roman" w:hAnsi="Times New Roman"/>
          <w:i/>
          <w:lang w:val="lt-LT"/>
        </w:rPr>
        <w:t xml:space="preserve"> </w:t>
      </w:r>
      <w:r w:rsidRPr="00F4223A">
        <w:rPr>
          <w:rFonts w:ascii="Times New Roman" w:hAnsi="Times New Roman"/>
          <w:lang w:val="lt-LT"/>
        </w:rPr>
        <w:t>p </w:t>
      </w:r>
      <w:r w:rsidRPr="00F4223A">
        <w:rPr>
          <w:rFonts w:ascii="Times New Roman" w:hAnsi="Times New Roman"/>
          <w:lang w:val="lt-LT"/>
        </w:rPr>
        <w:sym w:font="Symbol" w:char="F03D"/>
      </w:r>
      <w:r w:rsidRPr="00F4223A">
        <w:rPr>
          <w:rFonts w:ascii="Times New Roman" w:hAnsi="Times New Roman"/>
          <w:lang w:val="lt-LT"/>
        </w:rPr>
        <w:t xml:space="preserve"> 0,0489; RS: 0,82), bendras atsako dažnis </w:t>
      </w:r>
      <w:r w:rsidRPr="00F4223A">
        <w:rPr>
          <w:rFonts w:ascii="Times New Roman" w:hAnsi="Times New Roman"/>
          <w:lang w:val="lt-LT"/>
        </w:rPr>
        <w:sym w:font="Symbol" w:char="F02D"/>
      </w:r>
      <w:r w:rsidRPr="00F4223A">
        <w:rPr>
          <w:rFonts w:ascii="Times New Roman" w:hAnsi="Times New Roman"/>
          <w:lang w:val="lt-LT"/>
        </w:rPr>
        <w:t xml:space="preserve"> atitinkamai 41,4</w:t>
      </w:r>
      <w:r w:rsidRPr="00F4223A">
        <w:rPr>
          <w:rFonts w:ascii="Times New Roman" w:hAnsi="Times New Roman"/>
          <w:lang w:val="lt-LT"/>
        </w:rPr>
        <w:sym w:font="Symbol" w:char="F025"/>
      </w:r>
      <w:r w:rsidRPr="00F4223A">
        <w:rPr>
          <w:rFonts w:ascii="Times New Roman" w:hAnsi="Times New Roman"/>
          <w:lang w:val="lt-LT"/>
        </w:rPr>
        <w:t xml:space="preserve"> ir 26,2</w:t>
      </w:r>
      <w:r w:rsidRPr="00F4223A">
        <w:rPr>
          <w:rFonts w:ascii="Times New Roman" w:hAnsi="Times New Roman"/>
          <w:lang w:val="lt-LT"/>
        </w:rPr>
        <w:sym w:font="Symbol" w:char="F025"/>
      </w:r>
      <w:r w:rsidRPr="00F4223A">
        <w:rPr>
          <w:rFonts w:ascii="Times New Roman" w:hAnsi="Times New Roman"/>
          <w:lang w:val="lt-LT"/>
        </w:rPr>
        <w:t>; p </w:t>
      </w:r>
      <w:r w:rsidRPr="00F4223A">
        <w:rPr>
          <w:rFonts w:ascii="Times New Roman" w:hAnsi="Times New Roman"/>
          <w:lang w:val="lt-LT"/>
        </w:rPr>
        <w:sym w:font="Symbol" w:char="F03D"/>
      </w:r>
      <w:r w:rsidRPr="00F4223A">
        <w:rPr>
          <w:rFonts w:ascii="Times New Roman" w:hAnsi="Times New Roman"/>
          <w:lang w:val="lt-LT"/>
        </w:rPr>
        <w:t xml:space="preserve"> 0,0002).</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5.2</w:t>
      </w:r>
      <w:r w:rsidRPr="00F4223A">
        <w:rPr>
          <w:rFonts w:ascii="Times New Roman" w:hAnsi="Times New Roman"/>
          <w:b/>
          <w:lang w:val="lt-LT"/>
        </w:rPr>
        <w:tab/>
        <w:t>Farmakokinetinės savybės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Gemcitabino farmakokinetika nustatinėta septyniais tyrimais, kuriuose dalyvavo 29 – 79 metų 353 pacientai: 121 moteris ir 232 vyrai. Maždaug 45</w:t>
      </w:r>
      <w:r w:rsidRPr="00F4223A">
        <w:rPr>
          <w:rFonts w:ascii="Times New Roman" w:hAnsi="Times New Roman"/>
          <w:lang w:val="lt-LT"/>
        </w:rPr>
        <w:sym w:font="Symbol" w:char="F025"/>
      </w:r>
      <w:r w:rsidRPr="00F4223A">
        <w:rPr>
          <w:rFonts w:ascii="Times New Roman" w:hAnsi="Times New Roman"/>
          <w:lang w:val="lt-LT"/>
        </w:rPr>
        <w:t xml:space="preserve"> šių tiriamųjų sirgo nesmulkialąsteliniu plaučių vėžiu, 35</w:t>
      </w:r>
      <w:r w:rsidRPr="00F4223A">
        <w:rPr>
          <w:rFonts w:ascii="Times New Roman" w:hAnsi="Times New Roman"/>
          <w:lang w:val="lt-LT"/>
        </w:rPr>
        <w:sym w:font="Symbol" w:char="F025"/>
      </w:r>
      <w:r w:rsidRPr="00F4223A">
        <w:rPr>
          <w:rFonts w:ascii="Times New Roman" w:hAnsi="Times New Roman"/>
          <w:lang w:val="lt-LT"/>
        </w:rPr>
        <w:t xml:space="preserve"> buvo nustatytas kasos vėžys. Farmakokinetikos parametrai, apskaičiuoti po per 0,4 – 1,2 val. į veną infuzuotų 500 – 2 592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dozių, nurodyti toliau. </w:t>
      </w:r>
    </w:p>
    <w:p w:rsidR="00F4223A" w:rsidRPr="00F4223A" w:rsidRDefault="00F4223A" w:rsidP="00F4223A">
      <w:pPr>
        <w:spacing w:after="0" w:line="240" w:lineRule="auto"/>
        <w:outlineLvl w:val="0"/>
        <w:rPr>
          <w:rFonts w:ascii="Times New Roman" w:hAnsi="Times New Roman"/>
          <w:i/>
          <w:lang w:val="lt-LT"/>
        </w:rPr>
      </w:pPr>
    </w:p>
    <w:p w:rsidR="00F4223A" w:rsidRPr="00F4223A" w:rsidRDefault="00F4223A" w:rsidP="00F4223A">
      <w:pPr>
        <w:spacing w:after="0" w:line="240" w:lineRule="auto"/>
        <w:outlineLvl w:val="0"/>
        <w:rPr>
          <w:rFonts w:ascii="Times New Roman" w:eastAsia="MS Mincho" w:hAnsi="Times New Roman" w:cs="Times New Roman"/>
          <w:i/>
          <w:lang w:val="lt-LT" w:eastAsia="lt-LT"/>
        </w:rPr>
      </w:pPr>
      <w:r w:rsidRPr="00F4223A">
        <w:rPr>
          <w:rFonts w:ascii="Times New Roman" w:eastAsia="MS Mincho" w:hAnsi="Times New Roman" w:cs="Times New Roman"/>
          <w:i/>
          <w:lang w:val="lt-LT" w:eastAsia="lt-LT"/>
        </w:rPr>
        <w:t>Absorbcija</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Didžiausia koncentracija kraujo plazmoje, nustatyta per 5 min. po infuzijos, buvo 3,2 – 45,5 mikrogramo/ml. Per 30 min. infuzavus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w:t>
      </w:r>
      <w:r w:rsidRPr="00F4223A">
        <w:rPr>
          <w:rFonts w:ascii="Times New Roman" w:hAnsi="Times New Roman"/>
          <w:lang w:val="lt-LT"/>
        </w:rPr>
        <w:lastRenderedPageBreak/>
        <w:t xml:space="preserve">dozę, maždaug 30 minučių po infuzijos nepakitusio preparato koncentracija kraujo plazmoje buvo didesnė negu 5 mikrogramai/ml, tolesnę valandą </w:t>
      </w:r>
      <w:r w:rsidRPr="00F4223A">
        <w:rPr>
          <w:rFonts w:ascii="Times New Roman" w:hAnsi="Times New Roman"/>
          <w:lang w:val="lt-LT"/>
        </w:rPr>
        <w:sym w:font="Symbol" w:char="F02D"/>
      </w:r>
      <w:r w:rsidRPr="00F4223A">
        <w:rPr>
          <w:rFonts w:ascii="Times New Roman" w:hAnsi="Times New Roman"/>
          <w:lang w:val="lt-LT"/>
        </w:rPr>
        <w:t xml:space="preserve"> didesnė negu 0,4 mikrogramo/ml.</w:t>
      </w:r>
    </w:p>
    <w:p w:rsidR="00F4223A" w:rsidRPr="00F4223A" w:rsidRDefault="00F4223A" w:rsidP="00F4223A">
      <w:pPr>
        <w:spacing w:after="0" w:line="240" w:lineRule="auto"/>
        <w:outlineLvl w:val="0"/>
        <w:rPr>
          <w:rFonts w:ascii="Times New Roman" w:hAnsi="Times New Roman"/>
          <w:lang w:val="lt-LT"/>
        </w:rPr>
      </w:pPr>
    </w:p>
    <w:p w:rsidR="00F4223A" w:rsidRPr="00F4223A" w:rsidRDefault="00F4223A" w:rsidP="00F4223A">
      <w:pPr>
        <w:spacing w:after="0" w:line="240" w:lineRule="auto"/>
        <w:outlineLvl w:val="0"/>
        <w:rPr>
          <w:rFonts w:ascii="Times New Roman" w:hAnsi="Times New Roman"/>
          <w:u w:val="single"/>
          <w:lang w:val="lt-LT"/>
        </w:rPr>
      </w:pPr>
      <w:r w:rsidRPr="00F4223A">
        <w:rPr>
          <w:rFonts w:ascii="Times New Roman" w:hAnsi="Times New Roman"/>
          <w:i/>
          <w:lang w:val="lt-LT"/>
        </w:rPr>
        <w:t>Pasiskirstymas</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Moterų organizme pasiskirstymo tūris centriniame skyriuje buvo 12,4 l/m</w:t>
      </w:r>
      <w:r w:rsidRPr="00F4223A">
        <w:rPr>
          <w:rFonts w:ascii="Times New Roman" w:hAnsi="Times New Roman"/>
          <w:vertAlign w:val="superscript"/>
          <w:lang w:val="lt-LT"/>
        </w:rPr>
        <w:t>2</w:t>
      </w:r>
      <w:r w:rsidRPr="00F4223A">
        <w:rPr>
          <w:rFonts w:ascii="Times New Roman" w:hAnsi="Times New Roman"/>
          <w:i/>
          <w:lang w:val="lt-LT"/>
        </w:rPr>
        <w:t>,</w:t>
      </w:r>
      <w:r w:rsidRPr="00F4223A">
        <w:rPr>
          <w:rFonts w:ascii="Times New Roman" w:hAnsi="Times New Roman"/>
          <w:lang w:val="lt-LT"/>
        </w:rPr>
        <w:t xml:space="preserve">vyrų organizme </w:t>
      </w:r>
      <w:r w:rsidRPr="00F4223A">
        <w:rPr>
          <w:rFonts w:ascii="Times New Roman" w:hAnsi="Times New Roman"/>
          <w:lang w:val="lt-LT"/>
        </w:rPr>
        <w:sym w:font="Symbol" w:char="F02D"/>
      </w:r>
      <w:r w:rsidRPr="00F4223A">
        <w:rPr>
          <w:rFonts w:ascii="Times New Roman" w:hAnsi="Times New Roman"/>
          <w:lang w:val="lt-LT"/>
        </w:rPr>
        <w:t xml:space="preserve"> 17,5 l/m</w:t>
      </w:r>
      <w:r w:rsidRPr="00F4223A">
        <w:rPr>
          <w:rFonts w:ascii="Times New Roman" w:hAnsi="Times New Roman"/>
          <w:vertAlign w:val="superscript"/>
          <w:lang w:val="lt-LT"/>
        </w:rPr>
        <w:t xml:space="preserve">2 </w:t>
      </w:r>
      <w:r w:rsidRPr="00F4223A">
        <w:rPr>
          <w:rFonts w:ascii="Times New Roman" w:hAnsi="Times New Roman"/>
          <w:lang w:val="lt-LT"/>
        </w:rPr>
        <w:t>(kintamumas atskirų žmonių organizme buvo 91,9</w:t>
      </w:r>
      <w:r w:rsidRPr="00F4223A">
        <w:rPr>
          <w:rFonts w:ascii="Times New Roman" w:hAnsi="Times New Roman"/>
          <w:lang w:val="lt-LT"/>
        </w:rPr>
        <w:sym w:font="Symbol" w:char="F025"/>
      </w:r>
      <w:r w:rsidRPr="00F4223A">
        <w:rPr>
          <w:rFonts w:ascii="Times New Roman" w:hAnsi="Times New Roman"/>
          <w:lang w:val="lt-LT"/>
        </w:rPr>
        <w:t>). Pasiskirstymo tūris periferiniame skyriuje buvo</w:t>
      </w:r>
      <w:r w:rsidRPr="00F4223A">
        <w:rPr>
          <w:rFonts w:ascii="Times New Roman" w:hAnsi="Times New Roman"/>
          <w:i/>
          <w:lang w:val="lt-LT"/>
        </w:rPr>
        <w:t xml:space="preserve"> </w:t>
      </w:r>
      <w:r w:rsidRPr="00F4223A">
        <w:rPr>
          <w:rFonts w:ascii="Times New Roman" w:hAnsi="Times New Roman"/>
          <w:lang w:val="lt-LT"/>
        </w:rPr>
        <w:t>47,4 l/m</w:t>
      </w:r>
      <w:r w:rsidRPr="00F4223A">
        <w:rPr>
          <w:rFonts w:ascii="Times New Roman" w:hAnsi="Times New Roman"/>
          <w:vertAlign w:val="superscript"/>
          <w:lang w:val="lt-LT"/>
        </w:rPr>
        <w:t>2</w:t>
      </w:r>
      <w:r w:rsidRPr="00F4223A">
        <w:rPr>
          <w:rFonts w:ascii="Times New Roman" w:hAnsi="Times New Roman"/>
          <w:i/>
          <w:lang w:val="lt-LT"/>
        </w:rPr>
        <w:t>.</w:t>
      </w:r>
      <w:r w:rsidRPr="00F4223A">
        <w:rPr>
          <w:rFonts w:ascii="Times New Roman" w:hAnsi="Times New Roman"/>
          <w:lang w:val="lt-LT"/>
        </w:rPr>
        <w:t xml:space="preserve"> Nuo lyties pasiskirstymo tūris periferiniame skyriuje nepriklausė. </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Prisijungimas prie kraujo plazmos baltymų buvo laikomas nereikšmingu.</w:t>
      </w:r>
    </w:p>
    <w:p w:rsidR="00F4223A" w:rsidRPr="00F4223A" w:rsidRDefault="00F4223A" w:rsidP="00F4223A">
      <w:pPr>
        <w:spacing w:after="0" w:line="240" w:lineRule="auto"/>
        <w:outlineLvl w:val="0"/>
        <w:rPr>
          <w:rFonts w:ascii="Times New Roman" w:hAnsi="Times New Roman"/>
          <w:i/>
          <w:lang w:val="lt-LT"/>
        </w:rPr>
      </w:pP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Pusinės eliminacijos laikas. Priklausomai nuo amžiaus ir lyties pusinė eliminacija trunka 42 – 92 min. Gydant rekomenduojama doze, visas gemcitabinas iš organizmo turėtų išsiskirti per 5 – 11 val. nuo infuzijos pradžios. Kartą per savaitę vartojamas gemcitabinas organizme nesikaupia.</w:t>
      </w:r>
    </w:p>
    <w:p w:rsidR="00F4223A" w:rsidRPr="00F4223A" w:rsidRDefault="00F4223A" w:rsidP="00F4223A">
      <w:pPr>
        <w:spacing w:after="0" w:line="240" w:lineRule="auto"/>
        <w:outlineLvl w:val="0"/>
        <w:rPr>
          <w:rFonts w:ascii="Times New Roman" w:hAnsi="Times New Roman"/>
          <w:lang w:val="lt-LT"/>
        </w:rPr>
      </w:pPr>
    </w:p>
    <w:p w:rsidR="00F4223A" w:rsidRPr="00F4223A" w:rsidRDefault="00F4223A" w:rsidP="00F4223A">
      <w:pPr>
        <w:spacing w:after="0" w:line="240" w:lineRule="auto"/>
        <w:outlineLvl w:val="0"/>
        <w:rPr>
          <w:rFonts w:ascii="Times New Roman" w:eastAsia="MS Mincho" w:hAnsi="Times New Roman" w:cs="Times New Roman"/>
          <w:iCs/>
          <w:u w:val="single"/>
          <w:lang w:val="lt-LT" w:eastAsia="lt-LT"/>
        </w:rPr>
      </w:pPr>
      <w:r w:rsidRPr="00F4223A">
        <w:rPr>
          <w:rFonts w:ascii="Times New Roman" w:eastAsia="MS Mincho" w:hAnsi="Times New Roman" w:cs="Times New Roman"/>
          <w:i/>
          <w:iCs/>
          <w:lang w:val="lt-LT" w:eastAsia="lt-LT"/>
        </w:rPr>
        <w:t>Biotransformacija</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 xml:space="preserve">Gemcitabinas kepenyse, inkstuose, kraujyje ir kituose audiniuose greitai metabolizuojamas, veikiant citidindeaminazei. </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Metabolizmo ląstelių viduje metu atsiranda gemcitabino monofosfato, difosfato ir trifosfato (atitinkamai dFdCMF, dFdCDF ir dFdCTF). dFdCDF ir dFdCDF laikomi aktyviais. Kraujo plazmoje ir šlapime šių intraląstelinių metabolitų neaptikta. Svarbiausias metabolitas 2</w:t>
      </w:r>
      <w:r w:rsidRPr="00F4223A">
        <w:rPr>
          <w:rFonts w:ascii="Times New Roman" w:hAnsi="Times New Roman"/>
          <w:lang w:val="lt-LT"/>
        </w:rPr>
        <w:sym w:font="Symbol" w:char="F0A2"/>
      </w:r>
      <w:r w:rsidRPr="00F4223A">
        <w:rPr>
          <w:rFonts w:ascii="Times New Roman" w:hAnsi="Times New Roman"/>
          <w:lang w:val="lt-LT"/>
        </w:rPr>
        <w:t>-deoksi-2</w:t>
      </w:r>
      <w:r w:rsidRPr="00F4223A">
        <w:rPr>
          <w:rFonts w:ascii="Times New Roman" w:hAnsi="Times New Roman"/>
          <w:lang w:val="lt-LT"/>
        </w:rPr>
        <w:sym w:font="Symbol" w:char="F0A2"/>
      </w:r>
      <w:r w:rsidRPr="00F4223A">
        <w:rPr>
          <w:rFonts w:ascii="Times New Roman" w:hAnsi="Times New Roman"/>
          <w:lang w:val="lt-LT"/>
        </w:rPr>
        <w:t>, 2</w:t>
      </w:r>
      <w:r w:rsidRPr="00F4223A">
        <w:rPr>
          <w:rFonts w:ascii="Times New Roman" w:hAnsi="Times New Roman"/>
          <w:lang w:val="lt-LT"/>
        </w:rPr>
        <w:sym w:font="Symbol" w:char="F0A2"/>
      </w:r>
      <w:r w:rsidRPr="00F4223A">
        <w:rPr>
          <w:rFonts w:ascii="Times New Roman" w:hAnsi="Times New Roman"/>
          <w:lang w:val="lt-LT"/>
        </w:rPr>
        <w:t>-difluorouridinas (dFdU) yra neaktyvus ir aptinkamas kraujo plazmoje ir šlapime.</w:t>
      </w:r>
    </w:p>
    <w:p w:rsidR="00F4223A" w:rsidRPr="00F4223A" w:rsidRDefault="00F4223A" w:rsidP="00F4223A">
      <w:pPr>
        <w:spacing w:after="0" w:line="240" w:lineRule="auto"/>
        <w:outlineLvl w:val="0"/>
        <w:rPr>
          <w:rFonts w:ascii="Times New Roman" w:hAnsi="Times New Roman"/>
          <w:b/>
          <w:lang w:val="lt-LT"/>
        </w:rPr>
      </w:pPr>
    </w:p>
    <w:p w:rsidR="00F4223A" w:rsidRPr="00F4223A" w:rsidRDefault="00F4223A" w:rsidP="00F4223A">
      <w:pPr>
        <w:spacing w:after="0" w:line="240" w:lineRule="auto"/>
        <w:outlineLvl w:val="0"/>
        <w:rPr>
          <w:rFonts w:ascii="Times New Roman" w:eastAsia="MS Mincho" w:hAnsi="Times New Roman" w:cs="Times New Roman"/>
          <w:iCs/>
          <w:u w:val="single"/>
          <w:lang w:val="lt-LT" w:eastAsia="lt-LT"/>
        </w:rPr>
      </w:pPr>
      <w:r w:rsidRPr="00F4223A">
        <w:rPr>
          <w:rFonts w:ascii="Times New Roman" w:eastAsia="MS Mincho" w:hAnsi="Times New Roman" w:cs="Times New Roman"/>
          <w:i/>
          <w:iCs/>
          <w:lang w:val="lt-LT" w:eastAsia="lt-LT"/>
        </w:rPr>
        <w:t>Eliminacija</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Priklausomai nuo lyties ir amžiaus sisteminis klirensas yra 29,2 – 92,2 l/val./m</w:t>
      </w:r>
      <w:r w:rsidRPr="00F4223A">
        <w:rPr>
          <w:rFonts w:ascii="Times New Roman" w:hAnsi="Times New Roman"/>
          <w:vertAlign w:val="superscript"/>
          <w:lang w:val="lt-LT"/>
        </w:rPr>
        <w:t>2</w:t>
      </w:r>
      <w:r w:rsidRPr="00F4223A">
        <w:rPr>
          <w:rFonts w:ascii="Times New Roman" w:hAnsi="Times New Roman"/>
          <w:lang w:val="lt-LT"/>
        </w:rPr>
        <w:t xml:space="preserve"> (kintamumas atskirų žmonių organizme </w:t>
      </w:r>
      <w:r w:rsidRPr="00F4223A">
        <w:rPr>
          <w:rFonts w:ascii="Times New Roman" w:hAnsi="Times New Roman"/>
          <w:lang w:val="lt-LT"/>
        </w:rPr>
        <w:sym w:font="Symbol" w:char="F02D"/>
      </w:r>
      <w:r w:rsidRPr="00F4223A">
        <w:rPr>
          <w:rFonts w:ascii="Times New Roman" w:hAnsi="Times New Roman"/>
          <w:lang w:val="lt-LT"/>
        </w:rPr>
        <w:t xml:space="preserve"> 52,2</w:t>
      </w:r>
      <w:r w:rsidRPr="00F4223A">
        <w:rPr>
          <w:rFonts w:ascii="Times New Roman" w:hAnsi="Times New Roman"/>
          <w:lang w:val="lt-LT"/>
        </w:rPr>
        <w:sym w:font="Symbol" w:char="F025"/>
      </w:r>
      <w:r w:rsidRPr="00F4223A">
        <w:rPr>
          <w:rFonts w:ascii="Times New Roman" w:hAnsi="Times New Roman"/>
          <w:lang w:val="lt-LT"/>
        </w:rPr>
        <w:t>). Moterų organizme klirensas yra maždaug 25</w:t>
      </w:r>
      <w:r w:rsidRPr="00F4223A">
        <w:rPr>
          <w:rFonts w:ascii="Times New Roman" w:hAnsi="Times New Roman"/>
          <w:lang w:val="lt-LT"/>
        </w:rPr>
        <w:sym w:font="Symbol" w:char="F025"/>
      </w:r>
      <w:r w:rsidRPr="00F4223A">
        <w:rPr>
          <w:rFonts w:ascii="Times New Roman" w:hAnsi="Times New Roman"/>
          <w:lang w:val="lt-LT"/>
        </w:rPr>
        <w:t xml:space="preserve"> mažesnis negu vyrų. Klirensas, nors ir greitas, vyrų ir moterų organizme su amžiumi mažėja. Gydant per 30 min. į veną infuzuojama rekomenduojama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gemcitabino doze, dėl mažesnio klirenso vyrų ir moterų organizme gemcitabino dozę mažinti nereikalaujama. </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Išsiskyrimas su šlapimu. Mažiau negu 10</w:t>
      </w:r>
      <w:r w:rsidRPr="00F4223A">
        <w:rPr>
          <w:rFonts w:ascii="Times New Roman" w:hAnsi="Times New Roman"/>
          <w:lang w:val="lt-LT"/>
        </w:rPr>
        <w:sym w:font="Symbol" w:char="F025"/>
      </w:r>
      <w:r w:rsidRPr="00F4223A">
        <w:rPr>
          <w:rFonts w:ascii="Times New Roman" w:hAnsi="Times New Roman"/>
          <w:lang w:val="lt-LT"/>
        </w:rPr>
        <w:t xml:space="preserve"> dozės išsiskiria nepakitusio preparato pavidalu.</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Klirensas inkstuose</w:t>
      </w:r>
      <w:r w:rsidRPr="00F4223A">
        <w:rPr>
          <w:rFonts w:ascii="Times New Roman" w:hAnsi="Times New Roman"/>
          <w:i/>
          <w:lang w:val="lt-LT"/>
        </w:rPr>
        <w:t xml:space="preserve"> </w:t>
      </w:r>
      <w:r w:rsidRPr="00F4223A">
        <w:rPr>
          <w:rFonts w:ascii="Times New Roman" w:hAnsi="Times New Roman"/>
          <w:lang w:val="lt-LT"/>
        </w:rPr>
        <w:t>yra 2 – 7 l/val./m</w:t>
      </w:r>
      <w:r w:rsidRPr="00F4223A">
        <w:rPr>
          <w:rFonts w:ascii="Times New Roman" w:hAnsi="Times New Roman"/>
          <w:vertAlign w:val="superscript"/>
          <w:lang w:val="lt-LT"/>
        </w:rPr>
        <w:t>2</w:t>
      </w:r>
      <w:r w:rsidRPr="00F4223A">
        <w:rPr>
          <w:rFonts w:ascii="Times New Roman" w:hAnsi="Times New Roman"/>
          <w:lang w:val="lt-LT"/>
        </w:rPr>
        <w:t>.</w:t>
      </w:r>
    </w:p>
    <w:p w:rsidR="00F4223A" w:rsidRPr="00F4223A" w:rsidRDefault="00F4223A" w:rsidP="00F4223A">
      <w:pPr>
        <w:spacing w:after="0" w:line="240" w:lineRule="auto"/>
        <w:outlineLvl w:val="0"/>
        <w:rPr>
          <w:rFonts w:ascii="Times New Roman" w:hAnsi="Times New Roman"/>
          <w:i/>
          <w:lang w:val="lt-LT"/>
        </w:rPr>
      </w:pP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Per savaitę po infuzijos išsiskiria 92 - 98</w:t>
      </w:r>
      <w:r w:rsidRPr="00F4223A">
        <w:rPr>
          <w:rFonts w:ascii="Times New Roman" w:hAnsi="Times New Roman"/>
          <w:lang w:val="lt-LT"/>
        </w:rPr>
        <w:sym w:font="Symbol" w:char="F025"/>
      </w:r>
      <w:r w:rsidRPr="00F4223A">
        <w:rPr>
          <w:rFonts w:ascii="Times New Roman" w:hAnsi="Times New Roman"/>
          <w:lang w:val="lt-LT"/>
        </w:rPr>
        <w:t xml:space="preserve"> pavartotos gemcitabino dozės. 99</w:t>
      </w:r>
      <w:r w:rsidRPr="00F4223A">
        <w:rPr>
          <w:rFonts w:ascii="Times New Roman" w:hAnsi="Times New Roman"/>
          <w:lang w:val="lt-LT"/>
        </w:rPr>
        <w:sym w:font="Symbol" w:char="F025"/>
      </w:r>
      <w:r w:rsidRPr="00F4223A">
        <w:rPr>
          <w:rFonts w:ascii="Times New Roman" w:hAnsi="Times New Roman"/>
          <w:lang w:val="lt-LT"/>
        </w:rPr>
        <w:t xml:space="preserve"> dozės išsiskiria su šlapimu daugiausia dFdU pavidalu ir 1</w:t>
      </w:r>
      <w:r w:rsidRPr="00F4223A">
        <w:rPr>
          <w:rFonts w:ascii="Times New Roman" w:hAnsi="Times New Roman"/>
          <w:lang w:val="lt-LT"/>
        </w:rPr>
        <w:sym w:font="Symbol" w:char="F025"/>
      </w:r>
      <w:r w:rsidRPr="00F4223A">
        <w:rPr>
          <w:rFonts w:ascii="Times New Roman" w:hAnsi="Times New Roman"/>
          <w:lang w:val="lt-LT"/>
        </w:rPr>
        <w:t xml:space="preserve"> dozės išsiskiria su išmatomis.</w:t>
      </w:r>
    </w:p>
    <w:p w:rsidR="00F4223A" w:rsidRPr="00F4223A" w:rsidRDefault="00F4223A" w:rsidP="00F4223A">
      <w:pPr>
        <w:spacing w:after="0" w:line="240" w:lineRule="auto"/>
        <w:outlineLvl w:val="0"/>
        <w:rPr>
          <w:rFonts w:ascii="Times New Roman" w:hAnsi="Times New Roman"/>
          <w:i/>
          <w:lang w:val="lt-LT"/>
        </w:rPr>
      </w:pPr>
    </w:p>
    <w:p w:rsidR="00F4223A" w:rsidRPr="00F4223A" w:rsidRDefault="00F4223A" w:rsidP="00F4223A">
      <w:pPr>
        <w:spacing w:after="0" w:line="240" w:lineRule="auto"/>
        <w:outlineLvl w:val="0"/>
        <w:rPr>
          <w:rFonts w:ascii="Times New Roman" w:hAnsi="Times New Roman"/>
          <w:u w:val="single"/>
          <w:lang w:val="lt-LT"/>
        </w:rPr>
      </w:pPr>
      <w:r w:rsidRPr="00F4223A">
        <w:rPr>
          <w:rFonts w:ascii="Times New Roman" w:hAnsi="Times New Roman"/>
          <w:i/>
          <w:lang w:val="lt-LT"/>
        </w:rPr>
        <w:t>dFdCTF kinetika</w:t>
      </w:r>
    </w:p>
    <w:p w:rsidR="00F4223A" w:rsidRPr="00F4223A" w:rsidRDefault="00F4223A" w:rsidP="00F4223A">
      <w:pPr>
        <w:spacing w:after="0" w:line="240" w:lineRule="auto"/>
        <w:outlineLvl w:val="0"/>
        <w:rPr>
          <w:rFonts w:ascii="Times New Roman" w:hAnsi="Times New Roman"/>
          <w:i/>
          <w:u w:val="single"/>
          <w:lang w:val="lt-LT"/>
        </w:rPr>
      </w:pPr>
      <w:r w:rsidRPr="00F4223A">
        <w:rPr>
          <w:rFonts w:ascii="Times New Roman" w:hAnsi="Times New Roman"/>
          <w:lang w:val="lt-LT"/>
        </w:rPr>
        <w:t>Šio metabolito galima aptikti periferinio kraujo vienabranduolėse ląstelėse ir toliau pateikta informacija liečia šias ląsteles. 30 min. į veną lašinant 35 – 350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dozę, koncentracija ląstelių viduje didėja proporcingai dozės dydžiui, pusiausvyrinė koncentracija būna 0,4 – 5 mikrogramai/ml. Jei kraujo plazmoje gemcitabino koncentracija yra didesnė negu 5 mikrogramai/ml, dFdCTF kiekis ląstelių viduje nebedidėja, vadinasi, šiose ląstelėse šio metabolito formavimasis yra įsotinamasis. </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Galutinės pusinės eliminacijos laikas yra 0,7 – 12 val.</w:t>
      </w:r>
    </w:p>
    <w:p w:rsidR="00F4223A" w:rsidRPr="00F4223A" w:rsidRDefault="00F4223A" w:rsidP="00F4223A">
      <w:pPr>
        <w:spacing w:after="0" w:line="240" w:lineRule="auto"/>
        <w:outlineLvl w:val="0"/>
        <w:rPr>
          <w:rFonts w:ascii="Times New Roman" w:hAnsi="Times New Roman"/>
          <w:i/>
          <w:u w:val="single"/>
          <w:lang w:val="lt-LT"/>
        </w:rPr>
      </w:pPr>
    </w:p>
    <w:p w:rsidR="00F4223A" w:rsidRPr="00F4223A" w:rsidRDefault="00F4223A" w:rsidP="00F4223A">
      <w:pPr>
        <w:spacing w:after="0" w:line="240" w:lineRule="auto"/>
        <w:outlineLvl w:val="0"/>
        <w:rPr>
          <w:rFonts w:ascii="Times New Roman" w:hAnsi="Times New Roman"/>
          <w:u w:val="single"/>
          <w:lang w:val="lt-LT"/>
        </w:rPr>
      </w:pPr>
      <w:r w:rsidRPr="00F4223A">
        <w:rPr>
          <w:rFonts w:ascii="Times New Roman" w:hAnsi="Times New Roman"/>
          <w:i/>
          <w:lang w:val="lt-LT"/>
        </w:rPr>
        <w:t>dFdU kinetika</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Didžiausia koncentracija kraujo plazmoje, praėjus 3 - 15 min. po per 30 min. į veną infuzuotos 1 000 mg/m</w:t>
      </w:r>
      <w:r w:rsidRPr="00F4223A">
        <w:rPr>
          <w:rFonts w:ascii="Times New Roman" w:hAnsi="Times New Roman"/>
          <w:vertAlign w:val="superscript"/>
          <w:lang w:val="lt-LT"/>
        </w:rPr>
        <w:t>2</w:t>
      </w:r>
      <w:r w:rsidRPr="00F4223A">
        <w:rPr>
          <w:rFonts w:ascii="Times New Roman" w:hAnsi="Times New Roman"/>
          <w:lang w:val="lt-LT"/>
        </w:rPr>
        <w:t xml:space="preserve"> kūno paviršiaus dozės, yra 28 – 52 mikrogramai/ml.</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 xml:space="preserve">Mažiausia koncentracija kraujo plazmoje dozuojant kartą per savaitę: 0,07 – 1,12 mikrogramo/ml be pastebimo kaupimosi. Trifazis koncentracijos mažėjimas kraujo plazmoje priklausomai nuo laiko, vidutinės pusinės eliminacijos laikas galutinės fazės metu: 65 val. (svyravimo ribos: 33 – 84 val.). </w:t>
      </w:r>
    </w:p>
    <w:p w:rsidR="00F4223A" w:rsidRPr="00F4223A" w:rsidRDefault="00F4223A" w:rsidP="00F4223A">
      <w:pPr>
        <w:spacing w:after="0" w:line="240" w:lineRule="auto"/>
        <w:outlineLvl w:val="0"/>
        <w:rPr>
          <w:rFonts w:ascii="Times New Roman" w:hAnsi="Times New Roman"/>
          <w:i/>
          <w:lang w:val="lt-LT"/>
        </w:rPr>
      </w:pPr>
      <w:r w:rsidRPr="00F4223A">
        <w:rPr>
          <w:rFonts w:ascii="Times New Roman" w:hAnsi="Times New Roman"/>
          <w:lang w:val="lt-LT"/>
        </w:rPr>
        <w:t>dFdU formavimasis iš gemcitabino: 91 - 98</w:t>
      </w:r>
      <w:r w:rsidRPr="00F4223A">
        <w:rPr>
          <w:rFonts w:ascii="Times New Roman" w:hAnsi="Times New Roman"/>
          <w:lang w:val="lt-LT"/>
        </w:rPr>
        <w:sym w:font="Symbol" w:char="F025"/>
      </w:r>
      <w:r w:rsidRPr="00F4223A">
        <w:rPr>
          <w:rFonts w:ascii="Times New Roman" w:hAnsi="Times New Roman"/>
          <w:lang w:val="lt-LT"/>
        </w:rPr>
        <w:t>.</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Vidutinis pasiskirstymo tūris centriniame skyriuje:</w:t>
      </w:r>
      <w:r w:rsidRPr="00F4223A">
        <w:rPr>
          <w:rFonts w:ascii="Times New Roman" w:hAnsi="Times New Roman"/>
          <w:i/>
          <w:lang w:val="lt-LT"/>
        </w:rPr>
        <w:t xml:space="preserve"> </w:t>
      </w:r>
      <w:r w:rsidRPr="00F4223A">
        <w:rPr>
          <w:rFonts w:ascii="Times New Roman" w:hAnsi="Times New Roman"/>
          <w:lang w:val="lt-LT"/>
        </w:rPr>
        <w:t>18 l/m</w:t>
      </w:r>
      <w:r w:rsidRPr="00F4223A">
        <w:rPr>
          <w:rFonts w:ascii="Times New Roman" w:hAnsi="Times New Roman"/>
          <w:vertAlign w:val="superscript"/>
          <w:lang w:val="lt-LT"/>
        </w:rPr>
        <w:t>2</w:t>
      </w:r>
      <w:r w:rsidRPr="00F4223A">
        <w:rPr>
          <w:rFonts w:ascii="Times New Roman" w:hAnsi="Times New Roman"/>
          <w:lang w:val="lt-LT"/>
        </w:rPr>
        <w:t xml:space="preserve"> (svyravimo ribos: 11 – 22 l/m</w:t>
      </w:r>
      <w:r w:rsidRPr="00F4223A">
        <w:rPr>
          <w:rFonts w:ascii="Times New Roman" w:hAnsi="Times New Roman"/>
          <w:vertAlign w:val="superscript"/>
          <w:lang w:val="lt-LT"/>
        </w:rPr>
        <w:t>2</w:t>
      </w:r>
      <w:r w:rsidRPr="00F4223A">
        <w:rPr>
          <w:rFonts w:ascii="Times New Roman" w:hAnsi="Times New Roman"/>
          <w:lang w:val="lt-LT"/>
        </w:rPr>
        <w:t>).</w:t>
      </w:r>
    </w:p>
    <w:p w:rsidR="00F4223A" w:rsidRPr="00F4223A" w:rsidRDefault="00F4223A" w:rsidP="00F4223A">
      <w:pPr>
        <w:spacing w:after="0" w:line="240" w:lineRule="auto"/>
        <w:outlineLvl w:val="0"/>
        <w:rPr>
          <w:rFonts w:ascii="Times New Roman" w:hAnsi="Times New Roman"/>
          <w:i/>
          <w:lang w:val="lt-LT"/>
        </w:rPr>
      </w:pPr>
      <w:r w:rsidRPr="00F4223A">
        <w:rPr>
          <w:rFonts w:ascii="Times New Roman" w:hAnsi="Times New Roman"/>
          <w:lang w:val="lt-LT"/>
        </w:rPr>
        <w:t>Vidutinis pasiskirstymo tūris tuo metu, kai koncentracija pusiausvyrinė (V</w:t>
      </w:r>
      <w:r w:rsidRPr="00F4223A">
        <w:rPr>
          <w:rFonts w:ascii="Times New Roman" w:hAnsi="Times New Roman"/>
          <w:vertAlign w:val="subscript"/>
          <w:lang w:val="lt-LT"/>
        </w:rPr>
        <w:t>ss</w:t>
      </w:r>
      <w:r w:rsidRPr="00F4223A">
        <w:rPr>
          <w:rFonts w:ascii="Times New Roman" w:hAnsi="Times New Roman"/>
          <w:lang w:val="lt-LT"/>
        </w:rPr>
        <w:t>): 150 l/m</w:t>
      </w:r>
      <w:r w:rsidRPr="00F4223A">
        <w:rPr>
          <w:rFonts w:ascii="Times New Roman" w:hAnsi="Times New Roman"/>
          <w:vertAlign w:val="superscript"/>
          <w:lang w:val="lt-LT"/>
        </w:rPr>
        <w:t>2</w:t>
      </w:r>
      <w:r w:rsidRPr="00F4223A">
        <w:rPr>
          <w:rFonts w:ascii="Times New Roman" w:hAnsi="Times New Roman"/>
          <w:lang w:val="lt-LT"/>
        </w:rPr>
        <w:t xml:space="preserve"> (svyravimo ribos: 96 - 228 l/m</w:t>
      </w:r>
      <w:r w:rsidRPr="00F4223A">
        <w:rPr>
          <w:rFonts w:ascii="Times New Roman" w:hAnsi="Times New Roman"/>
          <w:vertAlign w:val="superscript"/>
          <w:lang w:val="lt-LT"/>
        </w:rPr>
        <w:t>2</w:t>
      </w:r>
      <w:r w:rsidRPr="00F4223A">
        <w:rPr>
          <w:rFonts w:ascii="Times New Roman" w:hAnsi="Times New Roman"/>
          <w:lang w:val="lt-LT"/>
        </w:rPr>
        <w:t>).</w:t>
      </w:r>
      <w:r w:rsidRPr="00F4223A">
        <w:rPr>
          <w:rFonts w:ascii="Times New Roman" w:hAnsi="Times New Roman"/>
          <w:i/>
          <w:lang w:val="lt-LT"/>
        </w:rPr>
        <w:t xml:space="preserve"> </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Pasiskirstymas audiniuose: platus.</w:t>
      </w:r>
    </w:p>
    <w:p w:rsidR="00F4223A" w:rsidRPr="00F4223A" w:rsidRDefault="00F4223A" w:rsidP="00F4223A">
      <w:pPr>
        <w:spacing w:after="0" w:line="240" w:lineRule="auto"/>
        <w:outlineLvl w:val="0"/>
        <w:rPr>
          <w:rFonts w:ascii="Times New Roman" w:hAnsi="Times New Roman"/>
          <w:i/>
          <w:lang w:val="lt-LT"/>
        </w:rPr>
      </w:pPr>
      <w:r w:rsidRPr="00F4223A">
        <w:rPr>
          <w:rFonts w:ascii="Times New Roman" w:hAnsi="Times New Roman"/>
          <w:lang w:val="lt-LT"/>
        </w:rPr>
        <w:t>Vidutinis tariamasis klirensas: 2,5 l/val./m</w:t>
      </w:r>
      <w:r w:rsidRPr="00F4223A">
        <w:rPr>
          <w:rFonts w:ascii="Times New Roman" w:hAnsi="Times New Roman"/>
          <w:vertAlign w:val="superscript"/>
          <w:lang w:val="lt-LT"/>
        </w:rPr>
        <w:t>2</w:t>
      </w:r>
      <w:r w:rsidRPr="00F4223A">
        <w:rPr>
          <w:rFonts w:ascii="Times New Roman" w:hAnsi="Times New Roman"/>
          <w:lang w:val="lt-LT"/>
        </w:rPr>
        <w:t xml:space="preserve"> (svyravimo ribos: 1 – 4 l/val./m</w:t>
      </w:r>
      <w:r w:rsidRPr="00F4223A">
        <w:rPr>
          <w:rFonts w:ascii="Times New Roman" w:hAnsi="Times New Roman"/>
          <w:vertAlign w:val="superscript"/>
          <w:lang w:val="lt-LT"/>
        </w:rPr>
        <w:t>2</w:t>
      </w:r>
      <w:r w:rsidRPr="00F4223A">
        <w:rPr>
          <w:rFonts w:ascii="Times New Roman" w:hAnsi="Times New Roman"/>
          <w:lang w:val="lt-LT"/>
        </w:rPr>
        <w:t>).</w:t>
      </w:r>
    </w:p>
    <w:p w:rsidR="00F4223A" w:rsidRPr="00F4223A" w:rsidRDefault="00F4223A" w:rsidP="00F4223A">
      <w:pPr>
        <w:spacing w:after="0" w:line="240" w:lineRule="auto"/>
        <w:outlineLvl w:val="0"/>
        <w:rPr>
          <w:rFonts w:ascii="Times New Roman" w:hAnsi="Times New Roman"/>
          <w:lang w:val="lt-LT"/>
        </w:rPr>
      </w:pPr>
      <w:r w:rsidRPr="00F4223A">
        <w:rPr>
          <w:rFonts w:ascii="Times New Roman" w:hAnsi="Times New Roman"/>
          <w:lang w:val="lt-LT"/>
        </w:rPr>
        <w:t>Išsiskyrimas su šlapimu: išsiskiria visas kiekis.</w:t>
      </w:r>
    </w:p>
    <w:p w:rsidR="00F4223A" w:rsidRPr="00F4223A" w:rsidRDefault="00F4223A" w:rsidP="00F4223A">
      <w:pPr>
        <w:spacing w:after="0" w:line="240" w:lineRule="auto"/>
        <w:outlineLvl w:val="0"/>
        <w:rPr>
          <w:rFonts w:ascii="Times New Roman" w:hAnsi="Times New Roman"/>
          <w:i/>
          <w:lang w:val="lt-LT"/>
        </w:rPr>
      </w:pPr>
    </w:p>
    <w:p w:rsidR="00F4223A" w:rsidRPr="00F4223A" w:rsidRDefault="00F4223A" w:rsidP="00F4223A">
      <w:pPr>
        <w:spacing w:after="0" w:line="240" w:lineRule="auto"/>
        <w:outlineLvl w:val="0"/>
        <w:rPr>
          <w:rFonts w:ascii="Times New Roman" w:hAnsi="Times New Roman"/>
          <w:u w:val="single"/>
          <w:lang w:val="lt-LT"/>
        </w:rPr>
      </w:pPr>
      <w:r w:rsidRPr="00F4223A">
        <w:rPr>
          <w:rFonts w:ascii="Times New Roman" w:hAnsi="Times New Roman"/>
          <w:lang w:val="lt-LT"/>
        </w:rPr>
        <w:t>Gemcitabino ir paklitakselio derinys</w:t>
      </w:r>
    </w:p>
    <w:p w:rsidR="00F4223A" w:rsidRPr="00F4223A" w:rsidRDefault="00F4223A" w:rsidP="00F4223A">
      <w:pPr>
        <w:spacing w:after="0" w:line="240" w:lineRule="auto"/>
        <w:outlineLvl w:val="0"/>
        <w:rPr>
          <w:rFonts w:ascii="Times New Roman" w:hAnsi="Times New Roman"/>
          <w:i/>
          <w:lang w:val="lt-LT"/>
        </w:rPr>
      </w:pPr>
      <w:r w:rsidRPr="00F4223A">
        <w:rPr>
          <w:rFonts w:ascii="Times New Roman" w:hAnsi="Times New Roman"/>
          <w:lang w:val="lt-LT"/>
        </w:rPr>
        <w:t>Gemcitabino vartojant kartu su paklitakseliu, nė vieno šių preparatų farmakokinetika nekinta.</w:t>
      </w:r>
    </w:p>
    <w:p w:rsidR="00F4223A" w:rsidRPr="00F4223A" w:rsidRDefault="00F4223A" w:rsidP="00F4223A">
      <w:pPr>
        <w:spacing w:after="0" w:line="240" w:lineRule="auto"/>
        <w:ind w:left="567" w:hanging="567"/>
        <w:outlineLvl w:val="0"/>
        <w:rPr>
          <w:rFonts w:ascii="Times New Roman" w:hAnsi="Times New Roman"/>
          <w:b/>
          <w:lang w:val="lt-LT"/>
        </w:rPr>
      </w:pPr>
    </w:p>
    <w:p w:rsidR="00F4223A" w:rsidRPr="00F4223A" w:rsidRDefault="00F4223A" w:rsidP="00F4223A">
      <w:pPr>
        <w:spacing w:after="0" w:line="240" w:lineRule="auto"/>
        <w:outlineLvl w:val="0"/>
        <w:rPr>
          <w:rFonts w:ascii="Times New Roman" w:hAnsi="Times New Roman"/>
          <w:u w:val="single"/>
          <w:lang w:val="lt-LT"/>
        </w:rPr>
      </w:pPr>
      <w:r w:rsidRPr="00F4223A">
        <w:rPr>
          <w:rFonts w:ascii="Times New Roman" w:hAnsi="Times New Roman"/>
          <w:i/>
          <w:lang w:val="lt-LT"/>
        </w:rPr>
        <w:t>Gemcitabino ir karboplatinos derinys</w:t>
      </w:r>
    </w:p>
    <w:p w:rsidR="00F4223A" w:rsidRPr="00F4223A" w:rsidRDefault="00F4223A" w:rsidP="00F4223A">
      <w:pPr>
        <w:spacing w:after="0" w:line="240" w:lineRule="auto"/>
        <w:outlineLvl w:val="0"/>
        <w:rPr>
          <w:rFonts w:ascii="Times New Roman" w:hAnsi="Times New Roman"/>
          <w:i/>
          <w:lang w:val="lt-LT"/>
        </w:rPr>
      </w:pPr>
      <w:r w:rsidRPr="00F4223A">
        <w:rPr>
          <w:rFonts w:ascii="Times New Roman" w:hAnsi="Times New Roman"/>
          <w:lang w:val="lt-LT"/>
        </w:rPr>
        <w:t>Kartu su karboplatina vartojamo gemcitabino farmakokinetika nekinta.</w:t>
      </w:r>
    </w:p>
    <w:p w:rsidR="00F4223A" w:rsidRPr="00F4223A" w:rsidRDefault="00F4223A" w:rsidP="00F4223A">
      <w:pPr>
        <w:spacing w:after="0" w:line="240" w:lineRule="auto"/>
        <w:ind w:left="567" w:hanging="567"/>
        <w:outlineLvl w:val="0"/>
        <w:rPr>
          <w:rFonts w:ascii="Times New Roman" w:hAnsi="Times New Roman"/>
          <w:b/>
          <w:i/>
          <w:lang w:val="lt-LT"/>
        </w:rPr>
      </w:pPr>
    </w:p>
    <w:p w:rsidR="00F4223A" w:rsidRPr="00F4223A" w:rsidRDefault="00F4223A" w:rsidP="00F4223A">
      <w:pPr>
        <w:spacing w:after="0" w:line="240" w:lineRule="auto"/>
        <w:ind w:left="567" w:hanging="567"/>
        <w:outlineLvl w:val="0"/>
        <w:rPr>
          <w:rFonts w:ascii="Times New Roman" w:hAnsi="Times New Roman"/>
          <w:u w:val="single"/>
          <w:lang w:val="lt-LT"/>
        </w:rPr>
      </w:pPr>
      <w:r w:rsidRPr="00F4223A">
        <w:rPr>
          <w:rFonts w:ascii="Times New Roman" w:hAnsi="Times New Roman"/>
          <w:i/>
          <w:lang w:val="lt-LT"/>
        </w:rPr>
        <w:t>Inkstų funkcijos sutrikimas</w:t>
      </w:r>
    </w:p>
    <w:p w:rsidR="00F4223A" w:rsidRPr="00F4223A" w:rsidRDefault="00F4223A" w:rsidP="00F4223A">
      <w:pPr>
        <w:spacing w:after="0" w:line="240" w:lineRule="auto"/>
        <w:ind w:hanging="27"/>
        <w:outlineLvl w:val="0"/>
        <w:rPr>
          <w:rFonts w:ascii="Times New Roman" w:hAnsi="Times New Roman"/>
          <w:lang w:val="lt-LT"/>
        </w:rPr>
      </w:pPr>
      <w:r w:rsidRPr="00F4223A">
        <w:rPr>
          <w:rFonts w:ascii="Times New Roman" w:hAnsi="Times New Roman"/>
          <w:lang w:val="lt-LT"/>
        </w:rPr>
        <w:t>Lengvas arba vidutinio sunkumo inkstų funkcijos sutrikimas (glomerulų filtracijos greitis 30 – 80 ml/min.) pastovaus reikšmingo poveikio gemcitabino farmakokinetikai nedaro.</w:t>
      </w:r>
    </w:p>
    <w:p w:rsidR="00F4223A" w:rsidRPr="00F4223A" w:rsidRDefault="00F4223A" w:rsidP="00F4223A">
      <w:pPr>
        <w:spacing w:after="0" w:line="240" w:lineRule="auto"/>
        <w:ind w:left="567" w:hanging="567"/>
        <w:outlineLvl w:val="0"/>
        <w:rPr>
          <w:rFonts w:ascii="Times New Roman" w:hAnsi="Times New Roman"/>
          <w:b/>
          <w:lang w:val="lt-LT"/>
        </w:rPr>
      </w:pPr>
    </w:p>
    <w:p w:rsidR="00F4223A" w:rsidRPr="00F4223A" w:rsidRDefault="00F4223A" w:rsidP="00F4223A">
      <w:pPr>
        <w:spacing w:after="0" w:line="240" w:lineRule="auto"/>
        <w:ind w:left="567" w:hanging="567"/>
        <w:outlineLvl w:val="0"/>
        <w:rPr>
          <w:rFonts w:ascii="Times New Roman" w:hAnsi="Times New Roman"/>
          <w:lang w:val="lt-LT"/>
        </w:rPr>
      </w:pPr>
      <w:r w:rsidRPr="00F4223A">
        <w:rPr>
          <w:rFonts w:ascii="Times New Roman" w:hAnsi="Times New Roman"/>
          <w:b/>
          <w:lang w:val="lt-LT"/>
        </w:rPr>
        <w:t>5.3</w:t>
      </w:r>
      <w:r w:rsidRPr="00F4223A">
        <w:rPr>
          <w:rFonts w:ascii="Times New Roman" w:hAnsi="Times New Roman"/>
          <w:b/>
          <w:lang w:val="lt-LT"/>
        </w:rPr>
        <w:tab/>
        <w:t>Ikiklinikinių saugumo tyrimų duomenys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6 mėnesių trukmės toksinio kartotinių dozių poveikio tyrimų metu svarbiausias poveikis, pasireiškęs pelėms ir šunims, buvo nuo vartojimo būdo ir dozės priklausomas kraujodaros slopinimas, kuris buvo laikinas.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Mutacijos tyrimų </w:t>
      </w:r>
      <w:r w:rsidRPr="00F4223A">
        <w:rPr>
          <w:rFonts w:ascii="Times New Roman" w:hAnsi="Times New Roman"/>
          <w:i/>
          <w:lang w:val="lt-LT"/>
        </w:rPr>
        <w:t xml:space="preserve">in vitro </w:t>
      </w:r>
      <w:r w:rsidRPr="00F4223A">
        <w:rPr>
          <w:rFonts w:ascii="Times New Roman" w:hAnsi="Times New Roman"/>
          <w:lang w:val="lt-LT"/>
        </w:rPr>
        <w:t xml:space="preserve">bei kaulų čiulpų mikrobranduolių tyrimų </w:t>
      </w:r>
      <w:r w:rsidRPr="00F4223A">
        <w:rPr>
          <w:rFonts w:ascii="Times New Roman" w:hAnsi="Times New Roman"/>
          <w:i/>
          <w:lang w:val="lt-LT"/>
        </w:rPr>
        <w:t>in vivo</w:t>
      </w:r>
      <w:r w:rsidRPr="00F4223A">
        <w:rPr>
          <w:rFonts w:ascii="Times New Roman" w:hAnsi="Times New Roman"/>
          <w:lang w:val="lt-LT"/>
        </w:rPr>
        <w:t xml:space="preserve"> metu gemcitabinas darė mutageninį poveikį. Ilgalaikių tyrimų, kuriais būtų nustatinėjama, ar gemcitabinas gali sukelti kancerogeninį poveikį, neatlikta.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Poveikio vaisingumui tyrimų metu gemcitabinas pelių patinams sukėlė laikiną hipospermatogenezę. Patelių vaisingumui poveikio nedarė.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Ikiklinikinių tyrimų su gyvūnais duomenys rodo toksinį poveikį reprodukcijai, pvz., sklaidos trūkumus, kitokį poveikį embriono ir vaisiaus vystymuisi, vaikingumo eigai ar vystymuisi perinataliniu ir postnataliniu laikotarpiu.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w:t>
      </w:r>
      <w:r w:rsidRPr="00F4223A">
        <w:rPr>
          <w:rFonts w:ascii="Times New Roman" w:hAnsi="Times New Roman"/>
          <w:b/>
          <w:lang w:val="lt-LT"/>
        </w:rPr>
        <w:tab/>
        <w:t>FARMACINĖ INFORMACIJA</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6.1</w:t>
      </w:r>
      <w:r w:rsidRPr="00F4223A">
        <w:rPr>
          <w:rFonts w:ascii="Times New Roman" w:hAnsi="Times New Roman"/>
          <w:b/>
          <w:lang w:val="lt-LT"/>
        </w:rPr>
        <w:tab/>
        <w:t>Pagalbinių medžiagų sąrašas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Vandenilio chlorido rūgštis (pH sureguliavimui)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Injekcinis vanduo</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6.2</w:t>
      </w:r>
      <w:r w:rsidRPr="00F4223A">
        <w:rPr>
          <w:rFonts w:ascii="Times New Roman" w:hAnsi="Times New Roman"/>
          <w:b/>
          <w:lang w:val="lt-LT"/>
        </w:rPr>
        <w:tab/>
        <w:t>Nesuderinamumas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Šio vaistinio preparato negalima maišyti su kitais, išskyrus </w:t>
      </w:r>
      <w:r w:rsidR="00D97727">
        <w:rPr>
          <w:rFonts w:ascii="Times New Roman" w:hAnsi="Times New Roman"/>
          <w:lang w:val="lt-LT"/>
        </w:rPr>
        <w:t>nurodytus</w:t>
      </w:r>
      <w:r w:rsidR="00D97727" w:rsidRPr="00F4223A">
        <w:rPr>
          <w:rFonts w:ascii="Times New Roman" w:hAnsi="Times New Roman"/>
          <w:lang w:val="lt-LT"/>
        </w:rPr>
        <w:t xml:space="preserve"> </w:t>
      </w:r>
      <w:r w:rsidRPr="00F4223A">
        <w:rPr>
          <w:rFonts w:ascii="Times New Roman" w:hAnsi="Times New Roman"/>
          <w:lang w:val="lt-LT"/>
        </w:rPr>
        <w:t xml:space="preserve">6.6 skyriuje.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6.3</w:t>
      </w:r>
      <w:r w:rsidRPr="00F4223A">
        <w:rPr>
          <w:rFonts w:ascii="Times New Roman" w:hAnsi="Times New Roman"/>
          <w:b/>
          <w:lang w:val="lt-LT"/>
        </w:rPr>
        <w:tab/>
        <w:t>Tinkamumo laikas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 xml:space="preserve">Neatidarytuose </w:t>
      </w:r>
      <w:r w:rsidR="00D97727">
        <w:rPr>
          <w:rFonts w:ascii="Times New Roman" w:hAnsi="Times New Roman"/>
          <w:i/>
          <w:lang w:val="lt-LT"/>
        </w:rPr>
        <w:t xml:space="preserve">flakonuose </w:t>
      </w:r>
      <w:r w:rsidRPr="00F4223A">
        <w:rPr>
          <w:rFonts w:ascii="Times New Roman" w:hAnsi="Times New Roman"/>
          <w:i/>
          <w:lang w:val="lt-LT"/>
        </w:rPr>
        <w:t>esantis koncentratas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18 mėnesių</w:t>
      </w:r>
    </w:p>
    <w:p w:rsidR="00F4223A" w:rsidRPr="00F4223A" w:rsidRDefault="00F4223A" w:rsidP="00F4223A">
      <w:pPr>
        <w:spacing w:after="0" w:line="240" w:lineRule="auto"/>
        <w:rPr>
          <w:rFonts w:ascii="Times New Roman" w:hAnsi="Times New Roman"/>
          <w:lang w:val="lt-LT"/>
        </w:rPr>
      </w:pPr>
    </w:p>
    <w:p w:rsidR="00F4223A" w:rsidRPr="00F4223A" w:rsidRDefault="00D97727" w:rsidP="00F4223A">
      <w:pPr>
        <w:spacing w:after="0" w:line="240" w:lineRule="auto"/>
        <w:rPr>
          <w:rFonts w:ascii="Times New Roman" w:hAnsi="Times New Roman"/>
          <w:i/>
          <w:lang w:val="lt-LT"/>
        </w:rPr>
      </w:pPr>
      <w:r>
        <w:rPr>
          <w:rFonts w:ascii="Times New Roman" w:hAnsi="Times New Roman"/>
          <w:i/>
          <w:lang w:val="lt-LT"/>
        </w:rPr>
        <w:t xml:space="preserve">Flakoną </w:t>
      </w:r>
      <w:r w:rsidR="00F4223A" w:rsidRPr="00F4223A">
        <w:rPr>
          <w:rFonts w:ascii="Times New Roman" w:hAnsi="Times New Roman"/>
          <w:i/>
          <w:lang w:val="lt-LT"/>
        </w:rPr>
        <w:t>pirmą kartą atidarius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Įrodyta, kad preparato, laikomo 25 </w:t>
      </w:r>
      <w:r w:rsidRPr="00F4223A">
        <w:rPr>
          <w:rFonts w:ascii="Times New Roman" w:hAnsi="Times New Roman"/>
          <w:lang w:val="lt-LT"/>
        </w:rPr>
        <w:sym w:font="Symbol" w:char="F0B0"/>
      </w:r>
      <w:r w:rsidRPr="00F4223A">
        <w:rPr>
          <w:rFonts w:ascii="Times New Roman" w:hAnsi="Times New Roman"/>
          <w:lang w:val="lt-LT"/>
        </w:rPr>
        <w:t>C</w:t>
      </w:r>
      <w:r w:rsidR="00B93355">
        <w:rPr>
          <w:rFonts w:ascii="Times New Roman" w:hAnsi="Times New Roman"/>
          <w:lang w:val="lt-LT"/>
        </w:rPr>
        <w:t xml:space="preserve"> ar </w:t>
      </w:r>
      <w:r w:rsidR="00644607" w:rsidRPr="00F4223A">
        <w:rPr>
          <w:rFonts w:ascii="Times New Roman" w:hAnsi="Times New Roman"/>
          <w:lang w:val="lt-LT"/>
        </w:rPr>
        <w:t>2 </w:t>
      </w:r>
      <w:r w:rsidR="00644607" w:rsidRPr="00F4223A">
        <w:rPr>
          <w:rFonts w:ascii="Times New Roman" w:hAnsi="Times New Roman"/>
          <w:lang w:val="lt-LT"/>
        </w:rPr>
        <w:sym w:font="Symbol" w:char="F0B0"/>
      </w:r>
      <w:r w:rsidR="00644607" w:rsidRPr="00F4223A">
        <w:rPr>
          <w:rFonts w:ascii="Times New Roman" w:hAnsi="Times New Roman"/>
          <w:lang w:val="lt-LT"/>
        </w:rPr>
        <w:t>C – 8 </w:t>
      </w:r>
      <w:r w:rsidR="00644607" w:rsidRPr="00F4223A">
        <w:rPr>
          <w:rFonts w:ascii="Times New Roman" w:hAnsi="Times New Roman"/>
          <w:lang w:val="lt-LT"/>
        </w:rPr>
        <w:sym w:font="Symbol" w:char="F0B0"/>
      </w:r>
      <w:r w:rsidR="00644607" w:rsidRPr="00F4223A">
        <w:rPr>
          <w:rFonts w:ascii="Times New Roman" w:hAnsi="Times New Roman"/>
          <w:lang w:val="lt-LT"/>
        </w:rPr>
        <w:t>C</w:t>
      </w:r>
      <w:r w:rsidR="00644607">
        <w:rPr>
          <w:rFonts w:ascii="Times New Roman" w:hAnsi="Times New Roman"/>
          <w:lang w:val="lt-LT"/>
        </w:rPr>
        <w:t xml:space="preserve"> </w:t>
      </w:r>
      <w:r w:rsidRPr="00F4223A">
        <w:rPr>
          <w:rFonts w:ascii="Times New Roman" w:hAnsi="Times New Roman"/>
          <w:lang w:val="lt-LT"/>
        </w:rPr>
        <w:t>temperatūroje, fizinis ir cheminis stabilumas nekinta 28 paras.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Mikrobiologiniu požiūriu, po </w:t>
      </w:r>
      <w:r w:rsidR="00D97727">
        <w:rPr>
          <w:rFonts w:ascii="Times New Roman" w:hAnsi="Times New Roman"/>
          <w:lang w:val="lt-LT"/>
        </w:rPr>
        <w:t>flakono</w:t>
      </w:r>
      <w:r w:rsidR="00D97727" w:rsidRPr="00F4223A">
        <w:rPr>
          <w:rFonts w:ascii="Times New Roman" w:hAnsi="Times New Roman"/>
          <w:lang w:val="lt-LT"/>
        </w:rPr>
        <w:t xml:space="preserve"> </w:t>
      </w:r>
      <w:r w:rsidRPr="00F4223A">
        <w:rPr>
          <w:rFonts w:ascii="Times New Roman" w:hAnsi="Times New Roman"/>
          <w:lang w:val="lt-LT"/>
        </w:rPr>
        <w:t>atidarymo preparatą reikia vartoti nedelsiant, nebent atidarymo metodas garantuoja apsaugą nuo mikrobiologinio užterštumo. Jeigu nevartojama nedelsiant, už laikymo laiką ir sąlygas atsako gydantis medikas.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Infuzinis tirpalas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Įrodyta, kad 0,9</w:t>
      </w:r>
      <w:r w:rsidRPr="00F4223A">
        <w:rPr>
          <w:rFonts w:ascii="Times New Roman" w:hAnsi="Times New Roman"/>
          <w:lang w:val="lt-LT"/>
        </w:rPr>
        <w:sym w:font="Symbol" w:char="F025"/>
      </w:r>
      <w:r w:rsidRPr="00F4223A">
        <w:rPr>
          <w:rFonts w:ascii="Times New Roman" w:hAnsi="Times New Roman"/>
          <w:lang w:val="lt-LT"/>
        </w:rPr>
        <w:t xml:space="preserve"> natrio chlorido tirpalu praskiesto preparato ( iki galutinės gemcitabino koncentracijos 2-25 mg/ml (2</w:t>
      </w:r>
      <w:r w:rsidR="00D97727">
        <w:rPr>
          <w:rFonts w:ascii="Times New Roman" w:hAnsi="Times New Roman"/>
          <w:lang w:val="lt-LT"/>
        </w:rPr>
        <w:t> </w:t>
      </w:r>
      <w:r w:rsidRPr="00F4223A">
        <w:rPr>
          <w:rFonts w:ascii="Times New Roman" w:hAnsi="Times New Roman"/>
          <w:lang w:val="lt-LT"/>
        </w:rPr>
        <w:t>mg/ml, 12</w:t>
      </w:r>
      <w:r w:rsidR="00D97727">
        <w:rPr>
          <w:rFonts w:ascii="Times New Roman" w:hAnsi="Times New Roman"/>
          <w:lang w:val="lt-LT"/>
        </w:rPr>
        <w:t> </w:t>
      </w:r>
      <w:r w:rsidRPr="00F4223A">
        <w:rPr>
          <w:rFonts w:ascii="Times New Roman" w:hAnsi="Times New Roman"/>
          <w:lang w:val="lt-LT"/>
        </w:rPr>
        <w:t>mg/ml ir 25</w:t>
      </w:r>
      <w:r w:rsidR="00D97727">
        <w:rPr>
          <w:rFonts w:ascii="Times New Roman" w:hAnsi="Times New Roman"/>
          <w:lang w:val="lt-LT"/>
        </w:rPr>
        <w:t> </w:t>
      </w:r>
      <w:r w:rsidRPr="00F4223A">
        <w:rPr>
          <w:rFonts w:ascii="Times New Roman" w:hAnsi="Times New Roman"/>
          <w:lang w:val="lt-LT"/>
        </w:rPr>
        <w:t>mg/ml)), laikomo 2 </w:t>
      </w:r>
      <w:r w:rsidRPr="00F4223A">
        <w:rPr>
          <w:rFonts w:ascii="Times New Roman" w:hAnsi="Times New Roman"/>
          <w:lang w:val="lt-LT"/>
        </w:rPr>
        <w:sym w:font="Symbol" w:char="F0B0"/>
      </w:r>
      <w:r w:rsidRPr="00F4223A">
        <w:rPr>
          <w:rFonts w:ascii="Times New Roman" w:hAnsi="Times New Roman"/>
          <w:lang w:val="lt-LT"/>
        </w:rPr>
        <w:t>C – 8 </w:t>
      </w:r>
      <w:r w:rsidRPr="00F4223A">
        <w:rPr>
          <w:rFonts w:ascii="Times New Roman" w:hAnsi="Times New Roman"/>
          <w:lang w:val="lt-LT"/>
        </w:rPr>
        <w:sym w:font="Symbol" w:char="F0B0"/>
      </w:r>
      <w:r w:rsidRPr="00F4223A">
        <w:rPr>
          <w:rFonts w:ascii="Times New Roman" w:hAnsi="Times New Roman"/>
          <w:lang w:val="lt-LT"/>
        </w:rPr>
        <w:t>C temperatūroje ar maždaug 25 </w:t>
      </w:r>
      <w:r w:rsidRPr="00F4223A">
        <w:rPr>
          <w:rFonts w:ascii="Times New Roman" w:hAnsi="Times New Roman"/>
          <w:lang w:val="lt-LT"/>
        </w:rPr>
        <w:sym w:font="Symbol" w:char="F0B0"/>
      </w:r>
      <w:r w:rsidRPr="00F4223A">
        <w:rPr>
          <w:rFonts w:ascii="Times New Roman" w:hAnsi="Times New Roman"/>
          <w:lang w:val="lt-LT"/>
        </w:rPr>
        <w:t>C temperatūroje cheminis ir fizinis stabilumas nekinta 28 paras. Supakuoti į PVC arba PE infuzijų maišelius, praskiesti tirpalai yra stabilūs.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Mikrobiologiniu požiūriu, praskiestą preparatą reikia infuzuoti nedelsiant. Jeigu jis tuoj pat nevartojamas, už laikymo trukmę ir sąlygas prieš vartojimą yra atsakingas gydantis medikas, tačiau paprastai ilgiau negu 24 val. 2 </w:t>
      </w:r>
      <w:r w:rsidRPr="00F4223A">
        <w:rPr>
          <w:rFonts w:ascii="Times New Roman" w:hAnsi="Times New Roman"/>
          <w:lang w:val="lt-LT"/>
        </w:rPr>
        <w:sym w:font="Symbol" w:char="F0B0"/>
      </w:r>
      <w:r w:rsidRPr="00F4223A">
        <w:rPr>
          <w:rFonts w:ascii="Times New Roman" w:hAnsi="Times New Roman"/>
          <w:lang w:val="lt-LT"/>
        </w:rPr>
        <w:t>C – 8 </w:t>
      </w:r>
      <w:r w:rsidRPr="00F4223A">
        <w:rPr>
          <w:rFonts w:ascii="Times New Roman" w:hAnsi="Times New Roman"/>
          <w:lang w:val="lt-LT"/>
        </w:rPr>
        <w:sym w:font="Symbol" w:char="F0B0"/>
      </w:r>
      <w:r w:rsidRPr="00F4223A">
        <w:rPr>
          <w:rFonts w:ascii="Times New Roman" w:hAnsi="Times New Roman"/>
          <w:lang w:val="lt-LT"/>
        </w:rPr>
        <w:t xml:space="preserve">C temperatūroje laikyti negalima, nebent preparatas būtų skiestas kontroliuojamomis ir validuotomis aseptinėmis sąlygomis.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6.4</w:t>
      </w:r>
      <w:r w:rsidRPr="00F4223A">
        <w:rPr>
          <w:rFonts w:ascii="Times New Roman" w:hAnsi="Times New Roman"/>
          <w:b/>
          <w:lang w:val="lt-LT"/>
        </w:rPr>
        <w:tab/>
        <w:t>Specialios laikymo sąlygos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en-GB"/>
        </w:rPr>
      </w:pPr>
      <w:r w:rsidRPr="00F4223A">
        <w:rPr>
          <w:rFonts w:ascii="Times New Roman" w:hAnsi="Times New Roman"/>
          <w:lang w:val="lt-LT"/>
        </w:rPr>
        <w:t xml:space="preserve">Laikyti šaldytuve </w:t>
      </w:r>
      <w:r w:rsidRPr="00F4223A">
        <w:rPr>
          <w:rFonts w:ascii="Times New Roman" w:hAnsi="Times New Roman"/>
          <w:lang w:val="en-GB"/>
        </w:rPr>
        <w:t>(2</w:t>
      </w:r>
      <w:r w:rsidRPr="00F4223A">
        <w:rPr>
          <w:rFonts w:ascii="Times New Roman" w:hAnsi="Times New Roman"/>
          <w:lang w:val="en-GB"/>
        </w:rPr>
        <w:sym w:font="Symbol" w:char="F0B0"/>
      </w:r>
      <w:r w:rsidRPr="00F4223A">
        <w:rPr>
          <w:rFonts w:ascii="Times New Roman" w:hAnsi="Times New Roman"/>
          <w:lang w:val="en-GB"/>
        </w:rPr>
        <w:t>C – 8</w:t>
      </w:r>
      <w:r w:rsidRPr="00F4223A">
        <w:rPr>
          <w:rFonts w:ascii="Times New Roman" w:hAnsi="Times New Roman"/>
          <w:lang w:val="en-GB"/>
        </w:rPr>
        <w:sym w:font="Symbol" w:char="F0B0"/>
      </w:r>
      <w:r w:rsidRPr="00F4223A">
        <w:rPr>
          <w:rFonts w:ascii="Times New Roman" w:hAnsi="Times New Roman"/>
          <w:lang w:val="en-GB"/>
        </w:rPr>
        <w:t>C).</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Pirmą kartą atidaryto ir praskiesto vaistinio preparato laikymo sąlygos </w:t>
      </w:r>
      <w:r w:rsidR="00D97727">
        <w:rPr>
          <w:rFonts w:ascii="Times New Roman" w:hAnsi="Times New Roman"/>
          <w:lang w:val="lt-LT"/>
        </w:rPr>
        <w:t>pateikiamos</w:t>
      </w:r>
      <w:r w:rsidR="00D97727" w:rsidRPr="00F4223A">
        <w:rPr>
          <w:rFonts w:ascii="Times New Roman" w:hAnsi="Times New Roman"/>
          <w:lang w:val="lt-LT"/>
        </w:rPr>
        <w:t xml:space="preserve"> </w:t>
      </w:r>
      <w:r w:rsidRPr="00F4223A">
        <w:rPr>
          <w:rFonts w:ascii="Times New Roman" w:hAnsi="Times New Roman"/>
          <w:lang w:val="lt-LT"/>
        </w:rPr>
        <w:t>6.3 skyriuje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6.5</w:t>
      </w:r>
      <w:r w:rsidRPr="00F4223A">
        <w:rPr>
          <w:rFonts w:ascii="Times New Roman" w:hAnsi="Times New Roman"/>
          <w:b/>
          <w:lang w:val="lt-LT"/>
        </w:rPr>
        <w:tab/>
      </w:r>
      <w:r w:rsidRPr="00F4223A">
        <w:rPr>
          <w:rFonts w:ascii="Times New Roman" w:eastAsia="MS Mincho" w:hAnsi="Times New Roman" w:cs="Times New Roman"/>
          <w:b/>
          <w:lang w:val="lt-LT" w:eastAsia="lt-LT"/>
        </w:rPr>
        <w:t>Talpyklės pobūdis</w:t>
      </w:r>
      <w:r w:rsidRPr="00F4223A">
        <w:rPr>
          <w:rFonts w:ascii="Times New Roman" w:hAnsi="Times New Roman"/>
          <w:b/>
          <w:lang w:val="lt-LT"/>
        </w:rPr>
        <w:t xml:space="preserve"> ir jos turinys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Bespalvio stiklo </w:t>
      </w:r>
      <w:r w:rsidR="00D97727">
        <w:rPr>
          <w:rFonts w:ascii="Times New Roman" w:hAnsi="Times New Roman"/>
          <w:lang w:val="lt-LT"/>
        </w:rPr>
        <w:t>flakonai</w:t>
      </w:r>
      <w:r w:rsidR="00D97727" w:rsidRPr="00F4223A">
        <w:rPr>
          <w:rFonts w:ascii="Times New Roman" w:hAnsi="Times New Roman"/>
          <w:lang w:val="lt-LT"/>
        </w:rPr>
        <w:t xml:space="preserve"> </w:t>
      </w:r>
      <w:r w:rsidRPr="00F4223A">
        <w:rPr>
          <w:rFonts w:ascii="Times New Roman" w:hAnsi="Times New Roman"/>
          <w:lang w:val="lt-LT"/>
        </w:rPr>
        <w:t xml:space="preserve">(I tipo), užkimšti bromobutilo gumos kamščiu ir užplombuoti aliumininiu dangteliu su polipropileniniu disku. </w:t>
      </w:r>
      <w:r w:rsidR="00D97727">
        <w:rPr>
          <w:rFonts w:ascii="Times New Roman" w:hAnsi="Times New Roman"/>
          <w:lang w:val="lt-LT"/>
        </w:rPr>
        <w:t>Flakonai</w:t>
      </w:r>
      <w:r w:rsidR="00D97727" w:rsidRPr="00F4223A">
        <w:rPr>
          <w:rFonts w:ascii="Times New Roman" w:hAnsi="Times New Roman"/>
          <w:lang w:val="lt-LT"/>
        </w:rPr>
        <w:t xml:space="preserve"> </w:t>
      </w:r>
      <w:r w:rsidRPr="00F4223A">
        <w:rPr>
          <w:rFonts w:ascii="Times New Roman" w:hAnsi="Times New Roman"/>
          <w:lang w:val="lt-LT"/>
        </w:rPr>
        <w:t>supakuoti įdėti arba neįdėti į apsauginius plastikinius įdėklus.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Pakuotės dydis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00D97727">
        <w:rPr>
          <w:rFonts w:ascii="Times New Roman" w:hAnsi="Times New Roman"/>
          <w:lang w:val="lt-LT"/>
        </w:rPr>
        <w:t>x</w:t>
      </w:r>
      <w:r w:rsidR="00D97727" w:rsidRPr="00F4223A">
        <w:rPr>
          <w:rFonts w:ascii="Times New Roman" w:hAnsi="Times New Roman"/>
          <w:lang w:val="lt-LT"/>
        </w:rPr>
        <w:t xml:space="preserve"> </w:t>
      </w:r>
      <w:r w:rsidRPr="00F4223A">
        <w:rPr>
          <w:rFonts w:ascii="Times New Roman" w:hAnsi="Times New Roman"/>
          <w:lang w:val="lt-LT"/>
        </w:rPr>
        <w:t>5 ml</w:t>
      </w:r>
      <w:r w:rsidR="00D97727">
        <w:rPr>
          <w:rFonts w:ascii="Times New Roman" w:hAnsi="Times New Roman"/>
          <w:lang w:val="lt-LT"/>
        </w:rPr>
        <w:t xml:space="preserve"> flakonas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00D97727">
        <w:rPr>
          <w:rFonts w:ascii="Times New Roman" w:hAnsi="Times New Roman"/>
          <w:lang w:val="lt-LT"/>
        </w:rPr>
        <w:t xml:space="preserve">x </w:t>
      </w:r>
      <w:r w:rsidRPr="00F4223A">
        <w:rPr>
          <w:rFonts w:ascii="Times New Roman" w:hAnsi="Times New Roman"/>
          <w:lang w:val="lt-LT"/>
        </w:rPr>
        <w:t>25 ml</w:t>
      </w:r>
      <w:r w:rsidR="00D97727">
        <w:rPr>
          <w:rFonts w:ascii="Times New Roman" w:hAnsi="Times New Roman"/>
          <w:lang w:val="lt-LT"/>
        </w:rPr>
        <w:t xml:space="preserve"> flakonas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00D97727">
        <w:rPr>
          <w:rFonts w:ascii="Times New Roman" w:hAnsi="Times New Roman"/>
          <w:lang w:val="lt-LT"/>
        </w:rPr>
        <w:t xml:space="preserve">x </w:t>
      </w:r>
      <w:r w:rsidRPr="00F4223A">
        <w:rPr>
          <w:rFonts w:ascii="Times New Roman" w:hAnsi="Times New Roman"/>
          <w:lang w:val="lt-LT"/>
        </w:rPr>
        <w:t>50 ml</w:t>
      </w:r>
      <w:r w:rsidR="00D97727">
        <w:rPr>
          <w:rFonts w:ascii="Times New Roman" w:hAnsi="Times New Roman"/>
          <w:lang w:val="lt-LT"/>
        </w:rPr>
        <w:t xml:space="preserve"> flakonas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Gali būti tiekiamos ne visų dydžių pakuotės.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6.6</w:t>
      </w:r>
      <w:r w:rsidRPr="00F4223A">
        <w:rPr>
          <w:rFonts w:ascii="Times New Roman" w:hAnsi="Times New Roman"/>
          <w:b/>
          <w:lang w:val="lt-LT"/>
        </w:rPr>
        <w:tab/>
        <w:t>Specialūs reikalavimai atliekoms tvarkyti ir vaistiniam preparatui ruošti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Vaistinio preparato ruošimas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Ruošiant infuzinį tirpalą </w:t>
      </w:r>
      <w:r w:rsidR="002F6D3D">
        <w:rPr>
          <w:rFonts w:ascii="Times New Roman" w:hAnsi="Times New Roman"/>
          <w:lang w:val="lt-LT"/>
        </w:rPr>
        <w:t xml:space="preserve">ir tvarkant atliekas </w:t>
      </w:r>
      <w:r w:rsidRPr="00F4223A">
        <w:rPr>
          <w:rFonts w:ascii="Times New Roman" w:hAnsi="Times New Roman"/>
          <w:lang w:val="lt-LT"/>
        </w:rPr>
        <w:t xml:space="preserve">būtina laikytis įprastinių darbo su citostatiniais preparatais atsargumo priemonių. Nėščioms darbuotojoms su šiuo preparatu dirbti negalima. Infuzinį tirpalą reikia ruošti saugioje patalpoje, apsivilkus apsauginį apdarą ir užsimovus apsaugines pirštines. Jeigu saugios patalpos nėra, reikia būti su kauke ir apsauginiais akininiais.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Jeigu preparato patenka į akis, jis gali sukelti sunkų dirginimą. Akis nedelsiant būtina kruopščiai praplauti vandeniu. Jeigu dirginimas nepraeina, reikia kreiptis į gydytoją. Jeigu preparato patenka ant odos, reikia kruopščiai nuplauti vandeniu.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Skiedimo instrukcija</w:t>
      </w:r>
    </w:p>
    <w:p w:rsidR="00F4223A" w:rsidRPr="00F4223A" w:rsidRDefault="00F4223A" w:rsidP="00F4223A">
      <w:pPr>
        <w:tabs>
          <w:tab w:val="left" w:pos="357"/>
        </w:tabs>
        <w:spacing w:after="0" w:line="240" w:lineRule="auto"/>
        <w:rPr>
          <w:rFonts w:ascii="Times New Roman" w:hAnsi="Times New Roman"/>
          <w:lang w:val="lt-LT"/>
        </w:rPr>
      </w:pPr>
      <w:r w:rsidRPr="00F4223A">
        <w:rPr>
          <w:rFonts w:ascii="Times New Roman" w:hAnsi="Times New Roman"/>
          <w:lang w:val="lt-LT"/>
        </w:rPr>
        <w:t>Įteisintas Gemcitabine Actavis koncentrato infuziniam tirpalui skiediklis yra natrio chlorido 9 mg/ml (0,9</w:t>
      </w:r>
      <w:r w:rsidRPr="00F4223A">
        <w:rPr>
          <w:rFonts w:ascii="Times New Roman" w:hAnsi="Times New Roman"/>
          <w:lang w:val="lt-LT"/>
        </w:rPr>
        <w:sym w:font="Symbol" w:char="F025"/>
      </w:r>
      <w:r w:rsidRPr="00F4223A">
        <w:rPr>
          <w:rFonts w:ascii="Times New Roman" w:hAnsi="Times New Roman"/>
          <w:lang w:val="lt-LT"/>
        </w:rPr>
        <w:t xml:space="preserve">) injekcinis tirpalas, kuriame konservantų nėra. </w:t>
      </w:r>
    </w:p>
    <w:p w:rsidR="00F4223A" w:rsidRPr="00F4223A" w:rsidRDefault="00F4223A" w:rsidP="00F4223A">
      <w:pPr>
        <w:tabs>
          <w:tab w:val="left" w:pos="357"/>
        </w:tabs>
        <w:spacing w:after="0" w:line="240" w:lineRule="auto"/>
        <w:rPr>
          <w:rFonts w:ascii="Times New Roman" w:hAnsi="Times New Roman"/>
          <w:lang w:val="lt-LT"/>
        </w:rPr>
      </w:pPr>
    </w:p>
    <w:p w:rsidR="00F4223A" w:rsidRDefault="00F4223A" w:rsidP="00D97727">
      <w:pPr>
        <w:pStyle w:val="Sraopastraipa"/>
        <w:numPr>
          <w:ilvl w:val="0"/>
          <w:numId w:val="43"/>
        </w:numPr>
        <w:tabs>
          <w:tab w:val="left" w:pos="0"/>
        </w:tabs>
        <w:spacing w:after="0" w:line="240" w:lineRule="auto"/>
        <w:ind w:hanging="720"/>
        <w:rPr>
          <w:rFonts w:ascii="Times New Roman" w:hAnsi="Times New Roman"/>
          <w:lang w:val="lt-LT"/>
        </w:rPr>
      </w:pPr>
      <w:r w:rsidRPr="00D97727">
        <w:rPr>
          <w:rFonts w:ascii="Times New Roman" w:hAnsi="Times New Roman"/>
          <w:lang w:val="lt-LT"/>
        </w:rPr>
        <w:t>Gemcitabino tirpalą skiedžiant intraveninei infuzijai, reikia naudoti aseptinę techniką.</w:t>
      </w:r>
    </w:p>
    <w:p w:rsidR="00644607" w:rsidRPr="00D97727" w:rsidRDefault="00644607" w:rsidP="00D97727">
      <w:pPr>
        <w:tabs>
          <w:tab w:val="left" w:pos="0"/>
        </w:tabs>
        <w:spacing w:after="0" w:line="240" w:lineRule="auto"/>
        <w:ind w:left="360"/>
        <w:rPr>
          <w:rFonts w:ascii="Times New Roman" w:hAnsi="Times New Roman"/>
          <w:lang w:val="lt-LT"/>
        </w:rPr>
      </w:pPr>
    </w:p>
    <w:p w:rsidR="00F4223A" w:rsidRDefault="00F4223A" w:rsidP="00D97727">
      <w:pPr>
        <w:pStyle w:val="Sraopastraipa"/>
        <w:numPr>
          <w:ilvl w:val="0"/>
          <w:numId w:val="43"/>
        </w:numPr>
        <w:tabs>
          <w:tab w:val="left" w:pos="0"/>
        </w:tabs>
        <w:spacing w:after="0" w:line="240" w:lineRule="auto"/>
        <w:ind w:hanging="720"/>
        <w:rPr>
          <w:rFonts w:ascii="Times New Roman" w:hAnsi="Times New Roman"/>
          <w:lang w:val="lt-LT"/>
        </w:rPr>
      </w:pPr>
      <w:r w:rsidRPr="00D97727">
        <w:rPr>
          <w:rFonts w:ascii="Times New Roman" w:hAnsi="Times New Roman"/>
          <w:lang w:val="lt-LT"/>
        </w:rPr>
        <w:t>Praskie</w:t>
      </w:r>
      <w:r w:rsidR="00644607" w:rsidRPr="00D97727">
        <w:rPr>
          <w:rFonts w:ascii="Times New Roman" w:hAnsi="Times New Roman"/>
          <w:lang w:val="lt-LT"/>
        </w:rPr>
        <w:t>s</w:t>
      </w:r>
      <w:r w:rsidRPr="00D97727">
        <w:rPr>
          <w:rFonts w:ascii="Times New Roman" w:hAnsi="Times New Roman"/>
          <w:lang w:val="lt-LT"/>
        </w:rPr>
        <w:t>tas koncentratas yra skaidrus, bespalvis arba blankiai gelsvas tirpalas.</w:t>
      </w:r>
    </w:p>
    <w:p w:rsidR="00644607" w:rsidRDefault="00644607" w:rsidP="00D97727">
      <w:pPr>
        <w:spacing w:after="0" w:line="240" w:lineRule="auto"/>
        <w:rPr>
          <w:rFonts w:ascii="Times New Roman" w:hAnsi="Times New Roman"/>
          <w:lang w:val="lt-LT"/>
        </w:rPr>
      </w:pPr>
    </w:p>
    <w:p w:rsidR="00F4223A" w:rsidRPr="00F4223A" w:rsidRDefault="00644607" w:rsidP="00D97727">
      <w:pPr>
        <w:spacing w:after="0" w:line="240" w:lineRule="auto"/>
        <w:ind w:left="720" w:hanging="720"/>
        <w:rPr>
          <w:rFonts w:ascii="Times New Roman" w:hAnsi="Times New Roman"/>
          <w:lang w:val="lt-LT"/>
        </w:rPr>
      </w:pPr>
      <w:r>
        <w:rPr>
          <w:rFonts w:ascii="Times New Roman" w:hAnsi="Times New Roman"/>
          <w:lang w:val="lt-LT"/>
        </w:rPr>
        <w:t>-</w:t>
      </w:r>
      <w:r>
        <w:rPr>
          <w:rFonts w:ascii="Times New Roman" w:hAnsi="Times New Roman"/>
          <w:lang w:val="lt-LT"/>
        </w:rPr>
        <w:tab/>
      </w:r>
      <w:r w:rsidR="00F4223A" w:rsidRPr="00F4223A">
        <w:rPr>
          <w:rFonts w:ascii="Times New Roman" w:hAnsi="Times New Roman"/>
          <w:lang w:val="lt-LT"/>
        </w:rPr>
        <w:t>Prieš vartojimą parenteriniu</w:t>
      </w:r>
      <w:r w:rsidR="00B722E0">
        <w:rPr>
          <w:rFonts w:ascii="Times New Roman" w:hAnsi="Times New Roman"/>
          <w:lang w:val="lt-LT"/>
        </w:rPr>
        <w:t>s</w:t>
      </w:r>
      <w:r w:rsidR="00F4223A" w:rsidRPr="00F4223A">
        <w:rPr>
          <w:rFonts w:ascii="Times New Roman" w:hAnsi="Times New Roman"/>
          <w:lang w:val="lt-LT"/>
        </w:rPr>
        <w:t xml:space="preserve"> vaistinius preparatus reikia apžiūrėti, ar nėra medžiagos dalelių ar spalvos pokyčių. Jeigu medžiagos dalelių yra, vartoti negalima.</w:t>
      </w:r>
    </w:p>
    <w:p w:rsidR="00644607" w:rsidRPr="00D97727" w:rsidRDefault="00644607" w:rsidP="00D97727">
      <w:pPr>
        <w:spacing w:after="0" w:line="240" w:lineRule="auto"/>
        <w:rPr>
          <w:rFonts w:ascii="Times New Roman" w:hAnsi="Times New Roman"/>
          <w:lang w:val="lt-LT"/>
        </w:rPr>
      </w:pPr>
    </w:p>
    <w:p w:rsidR="00F4223A" w:rsidRPr="00D97727" w:rsidRDefault="00F4223A" w:rsidP="00D97727">
      <w:pPr>
        <w:pStyle w:val="Sraopastraipa"/>
        <w:numPr>
          <w:ilvl w:val="0"/>
          <w:numId w:val="43"/>
        </w:numPr>
        <w:spacing w:after="0" w:line="240" w:lineRule="auto"/>
        <w:ind w:left="709" w:hanging="709"/>
        <w:rPr>
          <w:rFonts w:ascii="Times New Roman" w:hAnsi="Times New Roman"/>
          <w:lang w:val="lt-LT"/>
        </w:rPr>
      </w:pPr>
      <w:r w:rsidRPr="00D97727">
        <w:rPr>
          <w:rFonts w:ascii="Times New Roman" w:hAnsi="Times New Roman"/>
          <w:lang w:val="lt-LT"/>
        </w:rPr>
        <w:t xml:space="preserve">Nesuvartotą </w:t>
      </w:r>
      <w:r w:rsidR="002F6D3D">
        <w:rPr>
          <w:rFonts w:ascii="Times New Roman" w:hAnsi="Times New Roman"/>
          <w:lang w:val="lt-LT"/>
        </w:rPr>
        <w:t xml:space="preserve">vaistinį </w:t>
      </w:r>
      <w:r w:rsidRPr="00D97727">
        <w:rPr>
          <w:rFonts w:ascii="Times New Roman" w:hAnsi="Times New Roman"/>
          <w:lang w:val="lt-LT"/>
        </w:rPr>
        <w:t>preparatą ir atliekas reikia tvarkyti laikantis vietinių reikalavimų.</w:t>
      </w:r>
    </w:p>
    <w:p w:rsidR="00F4223A" w:rsidRPr="00F4223A" w:rsidRDefault="00F4223A" w:rsidP="00F4223A">
      <w:pPr>
        <w:spacing w:after="0" w:line="240" w:lineRule="auto"/>
        <w:ind w:left="567" w:hanging="567"/>
        <w:rPr>
          <w:rFonts w:ascii="Times New Roman" w:hAnsi="Times New Roman"/>
          <w:b/>
          <w:lang w:val="lt-LT"/>
        </w:rPr>
      </w:pPr>
    </w:p>
    <w:p w:rsidR="00F4223A" w:rsidRPr="00F4223A" w:rsidRDefault="00F4223A" w:rsidP="00F4223A">
      <w:pPr>
        <w:spacing w:after="0" w:line="240" w:lineRule="auto"/>
        <w:ind w:left="567" w:hanging="567"/>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7.</w:t>
      </w:r>
      <w:r w:rsidRPr="00F4223A">
        <w:rPr>
          <w:rFonts w:ascii="Times New Roman" w:hAnsi="Times New Roman"/>
          <w:b/>
          <w:lang w:val="lt-LT"/>
        </w:rPr>
        <w:tab/>
      </w:r>
      <w:r w:rsidR="0069096F">
        <w:rPr>
          <w:rFonts w:ascii="Times New Roman" w:hAnsi="Times New Roman"/>
          <w:b/>
          <w:lang w:val="lt-LT"/>
        </w:rPr>
        <w:t>REGISTRUOTOJAS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Actavis Group PTC ehf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Reykjavikurvegi 76-78</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220 Hafnarfjörður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Islandija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8.</w:t>
      </w:r>
      <w:r w:rsidRPr="00F4223A">
        <w:rPr>
          <w:rFonts w:ascii="Times New Roman" w:hAnsi="Times New Roman"/>
          <w:b/>
          <w:lang w:val="lt-LT"/>
        </w:rPr>
        <w:tab/>
      </w:r>
      <w:r w:rsidR="0069096F">
        <w:rPr>
          <w:rFonts w:ascii="Times New Roman" w:hAnsi="Times New Roman"/>
          <w:b/>
          <w:lang w:val="lt-LT"/>
        </w:rPr>
        <w:t>REGISTRACIJOS</w:t>
      </w:r>
      <w:r w:rsidR="0069096F" w:rsidRPr="00F4223A">
        <w:rPr>
          <w:rFonts w:ascii="Times New Roman" w:hAnsi="Times New Roman"/>
          <w:b/>
          <w:lang w:val="lt-LT"/>
        </w:rPr>
        <w:t xml:space="preserve"> </w:t>
      </w:r>
      <w:r w:rsidRPr="00F4223A">
        <w:rPr>
          <w:rFonts w:ascii="Times New Roman" w:eastAsia="MS Mincho" w:hAnsi="Times New Roman" w:cs="Times New Roman"/>
          <w:b/>
          <w:lang w:val="lt-LT" w:eastAsia="lt-LT"/>
        </w:rPr>
        <w:t>PAŽYMĖJIMO</w:t>
      </w:r>
      <w:r w:rsidRPr="00F4223A">
        <w:rPr>
          <w:rFonts w:ascii="Times New Roman" w:hAnsi="Times New Roman"/>
          <w:b/>
          <w:lang w:val="lt-LT"/>
        </w:rPr>
        <w:t xml:space="preserve"> NUMERIS</w:t>
      </w:r>
      <w:r w:rsidR="002F6D3D">
        <w:rPr>
          <w:rFonts w:ascii="Times New Roman" w:hAnsi="Times New Roman"/>
          <w:b/>
          <w:lang w:val="lt-LT"/>
        </w:rPr>
        <w:t xml:space="preserve"> (-IAI)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 ml – LT/1/11/2701/001</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25 ml – LT/1/11/2701/002</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50 ml – LT/1/11/2701/003</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9.</w:t>
      </w:r>
      <w:r w:rsidRPr="00F4223A">
        <w:rPr>
          <w:rFonts w:ascii="Times New Roman" w:hAnsi="Times New Roman"/>
          <w:b/>
          <w:lang w:val="lt-LT"/>
        </w:rPr>
        <w:tab/>
      </w:r>
      <w:r w:rsidR="0069096F">
        <w:rPr>
          <w:rFonts w:ascii="Times New Roman" w:hAnsi="Times New Roman"/>
          <w:b/>
          <w:lang w:val="lt-LT"/>
        </w:rPr>
        <w:t>REGISTRAVIMO / PERREGISTRAVIMO</w:t>
      </w:r>
      <w:r w:rsidRPr="00F4223A">
        <w:rPr>
          <w:rFonts w:ascii="Times New Roman" w:hAnsi="Times New Roman"/>
          <w:b/>
          <w:lang w:val="lt-LT"/>
        </w:rPr>
        <w:t xml:space="preserve"> DATA</w:t>
      </w:r>
    </w:p>
    <w:p w:rsidR="00F4223A" w:rsidRPr="00F4223A" w:rsidRDefault="00F4223A" w:rsidP="00F4223A">
      <w:pPr>
        <w:spacing w:after="0" w:line="240" w:lineRule="auto"/>
        <w:rPr>
          <w:rFonts w:ascii="Times New Roman" w:hAnsi="Times New Roman"/>
          <w:lang w:val="lt-LT"/>
        </w:rPr>
      </w:pPr>
    </w:p>
    <w:p w:rsidR="00F4223A" w:rsidRPr="00F4223A" w:rsidRDefault="0069096F" w:rsidP="00F4223A">
      <w:pPr>
        <w:spacing w:after="0" w:line="240" w:lineRule="auto"/>
        <w:rPr>
          <w:rFonts w:ascii="Times New Roman" w:eastAsia="MS Mincho" w:hAnsi="Times New Roman" w:cs="Times New Roman"/>
          <w:lang w:val="lt-LT" w:eastAsia="lt-LT"/>
        </w:rPr>
      </w:pPr>
      <w:r>
        <w:rPr>
          <w:rFonts w:ascii="Times New Roman" w:eastAsia="Times New Roman" w:hAnsi="Times New Roman" w:cs="Times New Roman"/>
          <w:szCs w:val="20"/>
          <w:lang w:val="lt-LT" w:eastAsia="lt-LT"/>
        </w:rPr>
        <w:lastRenderedPageBreak/>
        <w:t>Registravimo data</w:t>
      </w:r>
      <w:r w:rsidR="00F4223A" w:rsidRPr="00F4223A">
        <w:rPr>
          <w:rFonts w:ascii="Times New Roman" w:eastAsia="Times New Roman" w:hAnsi="Times New Roman" w:cs="Times New Roman"/>
          <w:szCs w:val="20"/>
          <w:lang w:val="lt-LT" w:eastAsia="lt-LT"/>
        </w:rPr>
        <w:t xml:space="preserve"> </w:t>
      </w:r>
      <w:r w:rsidR="00F4223A" w:rsidRPr="00F4223A">
        <w:rPr>
          <w:rFonts w:ascii="Times New Roman" w:eastAsia="MS Mincho" w:hAnsi="Times New Roman" w:cs="Times New Roman"/>
          <w:lang w:val="lt-LT" w:eastAsia="lt-LT"/>
        </w:rPr>
        <w:t>2011 m. lapkričio mėn. 22 d.</w:t>
      </w:r>
    </w:p>
    <w:p w:rsidR="00D83147" w:rsidRPr="00D83147" w:rsidRDefault="00D83147" w:rsidP="00D83147">
      <w:pPr>
        <w:spacing w:after="0" w:line="240" w:lineRule="auto"/>
        <w:rPr>
          <w:rFonts w:ascii="Times New Roman" w:eastAsia="Times New Roman" w:hAnsi="Times New Roman" w:cs="Times New Roman"/>
          <w:lang w:val="lt-LT" w:eastAsia="lt-LT"/>
        </w:rPr>
      </w:pPr>
      <w:r w:rsidRPr="00D83147">
        <w:rPr>
          <w:rFonts w:ascii="Times New Roman" w:eastAsia="Times New Roman" w:hAnsi="Times New Roman" w:cs="Times New Roman"/>
          <w:noProof/>
          <w:snapToGrid w:val="0"/>
          <w:lang w:val="lt-LT"/>
        </w:rPr>
        <w:t xml:space="preserve">Paskutinio </w:t>
      </w:r>
      <w:r w:rsidRPr="00D83147">
        <w:rPr>
          <w:rFonts w:ascii="Times New Roman" w:eastAsia="Times New Roman" w:hAnsi="Times New Roman" w:cs="Times New Roman"/>
          <w:noProof/>
          <w:snapToGrid w:val="0"/>
          <w:szCs w:val="24"/>
          <w:lang w:val="lt-LT"/>
        </w:rPr>
        <w:t>perregistravimo data 2016 m. sausio mėn. 4 d.</w:t>
      </w:r>
    </w:p>
    <w:p w:rsidR="00F4223A" w:rsidRDefault="00F4223A" w:rsidP="00F4223A">
      <w:pPr>
        <w:spacing w:after="0" w:line="240" w:lineRule="auto"/>
        <w:rPr>
          <w:rFonts w:ascii="Times New Roman" w:hAnsi="Times New Roman"/>
          <w:lang w:val="lt-LT"/>
        </w:rPr>
      </w:pPr>
    </w:p>
    <w:p w:rsidR="00D83147" w:rsidRPr="00F4223A" w:rsidRDefault="00D83147"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10.</w:t>
      </w:r>
      <w:r w:rsidRPr="00F4223A">
        <w:rPr>
          <w:rFonts w:ascii="Times New Roman" w:hAnsi="Times New Roman"/>
          <w:b/>
          <w:lang w:val="lt-LT"/>
        </w:rPr>
        <w:tab/>
        <w:t>TEKSTO PERŽIŪROS DATA</w:t>
      </w:r>
    </w:p>
    <w:p w:rsidR="00F4223A" w:rsidRDefault="00F4223A" w:rsidP="00F4223A">
      <w:pPr>
        <w:spacing w:after="0" w:line="240" w:lineRule="auto"/>
        <w:rPr>
          <w:rFonts w:ascii="Times New Roman" w:hAnsi="Times New Roman"/>
          <w:lang w:val="lt-LT"/>
        </w:rPr>
      </w:pPr>
    </w:p>
    <w:p w:rsidR="00D83147" w:rsidRPr="00D83147" w:rsidRDefault="00D83147" w:rsidP="00D83147">
      <w:pPr>
        <w:spacing w:after="0" w:line="240" w:lineRule="auto"/>
        <w:rPr>
          <w:rFonts w:ascii="Times New Roman" w:eastAsia="Times New Roman" w:hAnsi="Times New Roman" w:cs="Times New Roman"/>
          <w:lang w:val="lt-LT" w:eastAsia="lt-LT"/>
        </w:rPr>
      </w:pPr>
      <w:r w:rsidRPr="00D83147">
        <w:rPr>
          <w:rFonts w:ascii="Times New Roman" w:eastAsia="Times New Roman" w:hAnsi="Times New Roman" w:cs="Times New Roman"/>
          <w:noProof/>
          <w:snapToGrid w:val="0"/>
          <w:szCs w:val="24"/>
          <w:lang w:val="lt-LT"/>
        </w:rPr>
        <w:t>2016 m. sausio mėn. 4 d.</w:t>
      </w:r>
    </w:p>
    <w:p w:rsidR="00D83147" w:rsidRPr="00F4223A" w:rsidRDefault="00D83147" w:rsidP="00F4223A">
      <w:pPr>
        <w:spacing w:after="0" w:line="240" w:lineRule="auto"/>
        <w:rPr>
          <w:rFonts w:ascii="Times New Roman" w:hAnsi="Times New Roman"/>
          <w:lang w:val="lt-LT"/>
        </w:rPr>
      </w:pPr>
    </w:p>
    <w:p w:rsidR="0069096F" w:rsidRPr="00F4223A" w:rsidRDefault="0069096F"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u w:val="single"/>
          <w:lang w:val="lt-LT"/>
        </w:rPr>
      </w:pPr>
      <w:r w:rsidRPr="00F4223A">
        <w:rPr>
          <w:rFonts w:ascii="Times New Roman" w:hAnsi="Times New Roman"/>
          <w:noProof/>
          <w:lang w:val="lt-LT"/>
        </w:rPr>
        <w:t>Išsami informacija apie šį vaistinį preparatą</w:t>
      </w:r>
      <w:r w:rsidRPr="00F4223A">
        <w:rPr>
          <w:rFonts w:ascii="Times New Roman" w:hAnsi="Times New Roman"/>
          <w:lang w:val="lt-LT"/>
        </w:rPr>
        <w:t xml:space="preserve"> pateikiama Valstybinės vaistų kontrolės tarnybos prie Lietuvos Respublikos </w:t>
      </w:r>
      <w:r w:rsidRPr="00F4223A">
        <w:rPr>
          <w:rFonts w:ascii="Times New Roman" w:hAnsi="Times New Roman"/>
          <w:noProof/>
          <w:lang w:val="lt-LT"/>
        </w:rPr>
        <w:t xml:space="preserve"> </w:t>
      </w:r>
      <w:r w:rsidRPr="00F4223A">
        <w:rPr>
          <w:rFonts w:ascii="Times New Roman" w:hAnsi="Times New Roman"/>
          <w:lang w:val="lt-LT"/>
        </w:rPr>
        <w:t xml:space="preserve">sveikatos apsaugos ministerijos </w:t>
      </w:r>
      <w:r w:rsidRPr="00F4223A">
        <w:rPr>
          <w:rFonts w:ascii="Times New Roman" w:hAnsi="Times New Roman"/>
          <w:noProof/>
          <w:lang w:val="lt-LT"/>
        </w:rPr>
        <w:t>tinklalapyje</w:t>
      </w:r>
      <w:r w:rsidRPr="00F4223A">
        <w:rPr>
          <w:rFonts w:ascii="Times New Roman" w:hAnsi="Times New Roman"/>
          <w:i/>
          <w:lang w:val="lt-LT"/>
        </w:rPr>
        <w:t xml:space="preserve"> </w:t>
      </w:r>
      <w:r w:rsidRPr="00F4223A">
        <w:rPr>
          <w:rFonts w:ascii="Times New Roman" w:hAnsi="Times New Roman"/>
          <w:color w:val="0000FF"/>
          <w:u w:val="single"/>
          <w:lang w:val="lt-LT"/>
        </w:rPr>
        <w:t>http://www.vvkt.lt/</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tabs>
          <w:tab w:val="left" w:pos="567"/>
        </w:tabs>
        <w:spacing w:after="0" w:line="240" w:lineRule="auto"/>
        <w:ind w:left="567" w:hanging="567"/>
        <w:jc w:val="center"/>
        <w:outlineLvl w:val="0"/>
        <w:rPr>
          <w:rFonts w:ascii="Times New Roman" w:hAnsi="Times New Roman"/>
          <w:b/>
          <w:caps/>
          <w:lang w:val="lt-LT"/>
        </w:rPr>
      </w:pPr>
      <w:bookmarkStart w:id="1" w:name="_Toc129243128"/>
      <w:bookmarkStart w:id="2" w:name="_Toc129243253"/>
    </w:p>
    <w:p w:rsidR="00F4223A" w:rsidRPr="00F4223A" w:rsidRDefault="00F4223A" w:rsidP="00F4223A">
      <w:pPr>
        <w:tabs>
          <w:tab w:val="left" w:pos="567"/>
        </w:tabs>
        <w:spacing w:after="0" w:line="240" w:lineRule="auto"/>
        <w:ind w:left="567" w:hanging="567"/>
        <w:jc w:val="center"/>
        <w:outlineLvl w:val="0"/>
        <w:rPr>
          <w:rFonts w:ascii="Times New Roman" w:hAnsi="Times New Roman"/>
          <w:b/>
          <w:caps/>
          <w:lang w:val="lt-LT"/>
        </w:rPr>
      </w:pPr>
      <w:r w:rsidRPr="00F4223A">
        <w:rPr>
          <w:rFonts w:ascii="Times New Roman" w:hAnsi="Times New Roman"/>
          <w:b/>
          <w:caps/>
          <w:lang w:val="lt-LT"/>
        </w:rPr>
        <w:t>II PRIEDAS</w:t>
      </w:r>
    </w:p>
    <w:p w:rsidR="00F4223A" w:rsidRPr="00F4223A" w:rsidRDefault="00F4223A" w:rsidP="00F4223A">
      <w:pPr>
        <w:tabs>
          <w:tab w:val="left" w:pos="567"/>
        </w:tabs>
        <w:spacing w:after="0" w:line="240" w:lineRule="auto"/>
        <w:ind w:left="567" w:hanging="567"/>
        <w:jc w:val="center"/>
        <w:outlineLvl w:val="0"/>
        <w:rPr>
          <w:rFonts w:ascii="Times New Roman" w:hAnsi="Times New Roman"/>
          <w:b/>
          <w:caps/>
          <w:lang w:val="lt-LT"/>
        </w:rPr>
      </w:pPr>
    </w:p>
    <w:p w:rsidR="00F4223A" w:rsidRPr="00F4223A" w:rsidRDefault="0069096F" w:rsidP="00F4223A">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w:t>
      </w:r>
      <w:r w:rsidRPr="00F4223A">
        <w:rPr>
          <w:rFonts w:ascii="Times New Roman" w:hAnsi="Times New Roman"/>
          <w:b/>
          <w:caps/>
          <w:lang w:val="lt-LT"/>
        </w:rPr>
        <w:t xml:space="preserve"> </w:t>
      </w:r>
      <w:r w:rsidR="00F4223A" w:rsidRPr="00F4223A">
        <w:rPr>
          <w:rFonts w:ascii="Times New Roman" w:hAnsi="Times New Roman"/>
          <w:b/>
          <w:caps/>
          <w:lang w:val="lt-LT"/>
        </w:rPr>
        <w:t>SĄLYGOS</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tabs>
          <w:tab w:val="left" w:pos="1440"/>
        </w:tabs>
        <w:spacing w:after="0" w:line="240" w:lineRule="auto"/>
        <w:ind w:left="1437" w:hanging="870"/>
        <w:rPr>
          <w:rFonts w:ascii="Times New Roman" w:hAnsi="Times New Roman"/>
          <w:b/>
          <w:lang w:val="lt-LT"/>
        </w:rPr>
      </w:pPr>
      <w:r w:rsidRPr="00F4223A">
        <w:rPr>
          <w:rFonts w:ascii="Times New Roman" w:hAnsi="Times New Roman"/>
          <w:b/>
          <w:lang w:val="lt-LT"/>
        </w:rPr>
        <w:t>A.</w:t>
      </w:r>
      <w:r w:rsidRPr="00F4223A">
        <w:rPr>
          <w:rFonts w:ascii="Times New Roman" w:eastAsia="Times New Roman" w:hAnsi="Times New Roman" w:cs="Times New Roman"/>
          <w:b/>
          <w:lang w:val="lt-LT" w:eastAsia="lt-LT"/>
        </w:rPr>
        <w:tab/>
      </w:r>
      <w:r w:rsidR="002F6D3D" w:rsidRPr="002F6D3D">
        <w:rPr>
          <w:rFonts w:ascii="Times New Roman" w:eastAsia="Times New Roman" w:hAnsi="Times New Roman" w:cs="Times New Roman"/>
          <w:b/>
          <w:lang w:val="lt-LT" w:eastAsia="lt-LT"/>
        </w:rPr>
        <w:t xml:space="preserve">GAMINTOJAS (-AI), ATSAKINGAS (-I) </w:t>
      </w:r>
      <w:r w:rsidRPr="00F4223A">
        <w:rPr>
          <w:rFonts w:ascii="Times New Roman" w:hAnsi="Times New Roman"/>
          <w:b/>
          <w:lang w:val="lt-LT"/>
        </w:rPr>
        <w:t>UŽ SERIJŲ IŠLEIDIMĄ</w:t>
      </w: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ind w:firstLine="567"/>
        <w:rPr>
          <w:rFonts w:ascii="Times New Roman" w:hAnsi="Times New Roman"/>
          <w:b/>
          <w:lang w:val="lt-LT"/>
        </w:rPr>
      </w:pPr>
      <w:r w:rsidRPr="00F4223A">
        <w:rPr>
          <w:rFonts w:ascii="Times New Roman" w:hAnsi="Times New Roman"/>
          <w:b/>
          <w:lang w:val="lt-LT"/>
        </w:rPr>
        <w:t>B.</w:t>
      </w:r>
      <w:r w:rsidRPr="00F4223A">
        <w:rPr>
          <w:rFonts w:ascii="Times New Roman" w:eastAsia="Times New Roman" w:hAnsi="Times New Roman" w:cs="Times New Roman"/>
          <w:b/>
          <w:lang w:val="lt-LT" w:eastAsia="lt-LT"/>
        </w:rPr>
        <w:tab/>
        <w:t>TIEKIMO IR VARTOJIMO</w:t>
      </w:r>
      <w:r w:rsidRPr="00F4223A">
        <w:rPr>
          <w:rFonts w:ascii="Times New Roman" w:hAnsi="Times New Roman"/>
          <w:b/>
          <w:lang w:val="lt-LT"/>
        </w:rPr>
        <w:t xml:space="preserve"> SĄLYGOS</w:t>
      </w:r>
      <w:r w:rsidRPr="00F4223A">
        <w:rPr>
          <w:rFonts w:ascii="Times New Roman" w:eastAsia="Times New Roman" w:hAnsi="Times New Roman" w:cs="Times New Roman"/>
          <w:b/>
          <w:lang w:val="lt-LT" w:eastAsia="lt-LT"/>
        </w:rPr>
        <w:t xml:space="preserve"> IR APRIBOJIMAI</w:t>
      </w:r>
    </w:p>
    <w:bookmarkEnd w:id="1"/>
    <w:bookmarkEnd w:id="2"/>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lang w:val="lt-LT"/>
        </w:rPr>
        <w:br w:type="page"/>
      </w:r>
      <w:r w:rsidRPr="00F4223A">
        <w:rPr>
          <w:rFonts w:ascii="Times New Roman" w:hAnsi="Times New Roman"/>
          <w:b/>
          <w:lang w:val="lt-LT"/>
        </w:rPr>
        <w:lastRenderedPageBreak/>
        <w:t>A.</w:t>
      </w:r>
      <w:r w:rsidRPr="00F4223A">
        <w:rPr>
          <w:rFonts w:ascii="Times New Roman" w:hAnsi="Times New Roman"/>
          <w:b/>
          <w:lang w:val="lt-LT"/>
        </w:rPr>
        <w:tab/>
      </w:r>
      <w:r w:rsidR="002F6D3D" w:rsidRPr="002F6D3D">
        <w:rPr>
          <w:rFonts w:ascii="Times New Roman" w:eastAsia="MS Mincho" w:hAnsi="Times New Roman" w:cs="Times New Roman"/>
          <w:b/>
          <w:lang w:val="lt-LT" w:eastAsia="lt-LT"/>
        </w:rPr>
        <w:t xml:space="preserve">GAMINTOJAS (-AI), ATSAKINGAS (-I) </w:t>
      </w:r>
      <w:r w:rsidRPr="00F4223A">
        <w:rPr>
          <w:rFonts w:ascii="Times New Roman" w:hAnsi="Times New Roman"/>
          <w:b/>
          <w:lang w:val="lt-LT"/>
        </w:rPr>
        <w:t>UŽ SERIJŲ IŠLEIDIMĄ</w:t>
      </w:r>
    </w:p>
    <w:p w:rsidR="00F4223A" w:rsidRPr="00F4223A" w:rsidRDefault="00F4223A" w:rsidP="00F4223A">
      <w:pPr>
        <w:spacing w:after="0" w:line="240" w:lineRule="auto"/>
        <w:rPr>
          <w:rFonts w:ascii="Times New Roman" w:hAnsi="Times New Roman"/>
          <w:lang w:val="lt-LT"/>
        </w:rPr>
      </w:pPr>
    </w:p>
    <w:p w:rsidR="002F6D3D" w:rsidRPr="003913F4" w:rsidRDefault="002F6D3D" w:rsidP="002F6D3D">
      <w:pPr>
        <w:tabs>
          <w:tab w:val="left" w:pos="567"/>
        </w:tabs>
        <w:spacing w:after="0" w:line="240" w:lineRule="auto"/>
        <w:jc w:val="both"/>
        <w:rPr>
          <w:rFonts w:ascii="Times New Roman" w:eastAsia="Times New Roman" w:hAnsi="Times New Roman" w:cs="Times New Roman"/>
          <w:snapToGrid w:val="0"/>
          <w:szCs w:val="24"/>
          <w:lang w:val="lt-LT"/>
        </w:rPr>
      </w:pPr>
      <w:r w:rsidRPr="003913F4">
        <w:rPr>
          <w:rFonts w:ascii="Times New Roman" w:eastAsia="Times New Roman" w:hAnsi="Times New Roman" w:cs="Times New Roman"/>
          <w:noProof/>
          <w:snapToGrid w:val="0"/>
          <w:szCs w:val="24"/>
          <w:u w:val="single"/>
          <w:lang w:val="lt-LT"/>
        </w:rPr>
        <w:t>Gamintojo (-ų), atsakingo (-ų) už serijų išleidimą, pavadinimas (-ai) ir adresas (-ai)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Actavis Italy S.p.A. -Nerviano Plant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Viale Pasteur 10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20014 Nerviano (MI)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Italija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eastAsia="MS Mincho" w:hAnsi="Times New Roman" w:cs="Times New Roman"/>
          <w:b/>
          <w:lang w:val="lt-LT" w:eastAsia="lt-LT"/>
        </w:rPr>
        <w:t>B.</w:t>
      </w:r>
      <w:r w:rsidRPr="00F4223A">
        <w:rPr>
          <w:rFonts w:ascii="Times New Roman" w:hAnsi="Times New Roman"/>
          <w:b/>
          <w:lang w:val="lt-LT"/>
        </w:rPr>
        <w:tab/>
        <w:t>TIEKIMO IR VARTOJIMO SĄLYGOS AR APRIBOJIMAI</w:t>
      </w:r>
      <w:r w:rsidRPr="00F4223A">
        <w:rPr>
          <w:rFonts w:ascii="Times New Roman" w:eastAsia="MS Mincho" w:hAnsi="Times New Roman" w:cs="Times New Roman"/>
          <w:b/>
          <w:lang w:val="lt-LT" w:eastAsia="lt-LT"/>
        </w:rPr>
        <w:t xml:space="preserve">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Receptinis vaistinis preparatas.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III PRIEDAS</w:t>
      </w:r>
    </w:p>
    <w:p w:rsidR="00F4223A" w:rsidRPr="00F4223A" w:rsidRDefault="00F4223A" w:rsidP="00F4223A">
      <w:pPr>
        <w:spacing w:after="0" w:line="240" w:lineRule="auto"/>
        <w:jc w:val="center"/>
        <w:rPr>
          <w:rFonts w:ascii="Times New Roman" w:hAnsi="Times New Roman"/>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ŽENKLINIMAS IR PAKUOTĖS LAPELIS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b/>
          <w:lang w:val="lt-LT"/>
        </w:rPr>
        <w:t>A. ŽENKLINIMAS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4223A">
        <w:rPr>
          <w:rFonts w:ascii="Times New Roman" w:hAnsi="Times New Roman"/>
          <w:b/>
          <w:lang w:val="lt-LT"/>
        </w:rPr>
        <w:t>INFORMACIJA ANT IŠORINĖS PAKUOTĖS</w:t>
      </w: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 xml:space="preserve">KARTONINĖ 5 ml, 25 ml ir 50 ml </w:t>
      </w:r>
      <w:r w:rsidR="002F6D3D">
        <w:rPr>
          <w:rFonts w:ascii="Times New Roman" w:hAnsi="Times New Roman"/>
          <w:b/>
          <w:lang w:val="lt-LT"/>
        </w:rPr>
        <w:t>FLAKONŲ</w:t>
      </w:r>
      <w:r w:rsidR="002F6D3D" w:rsidRPr="00F4223A">
        <w:rPr>
          <w:rFonts w:ascii="Times New Roman" w:hAnsi="Times New Roman"/>
          <w:b/>
          <w:lang w:val="lt-LT"/>
        </w:rPr>
        <w:t xml:space="preserve"> </w:t>
      </w:r>
      <w:r w:rsidRPr="00F4223A">
        <w:rPr>
          <w:rFonts w:ascii="Times New Roman" w:hAnsi="Times New Roman"/>
          <w:b/>
          <w:lang w:val="lt-LT"/>
        </w:rPr>
        <w:t>DĖŽUTĖ</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1.</w:t>
      </w:r>
      <w:r w:rsidRPr="00F4223A">
        <w:rPr>
          <w:rFonts w:ascii="Times New Roman" w:hAnsi="Times New Roman"/>
          <w:b/>
          <w:lang w:val="lt-LT"/>
        </w:rPr>
        <w:tab/>
        <w:t>VAISTINIO PREPARATO PAVADINIMAS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Gemcitabine Actavis 40 mg/ml koncentratas infuziniam tirpalui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4223A">
        <w:rPr>
          <w:rFonts w:ascii="Times New Roman" w:hAnsi="Times New Roman"/>
          <w:b/>
          <w:lang w:val="lt-LT"/>
        </w:rPr>
        <w:t>2.</w:t>
      </w:r>
      <w:r w:rsidRPr="00F4223A">
        <w:rPr>
          <w:rFonts w:ascii="Times New Roman" w:hAnsi="Times New Roman"/>
          <w:b/>
          <w:lang w:val="lt-LT"/>
        </w:rPr>
        <w:tab/>
        <w:t>VEIKLIOJI (-IOS) MEDŽIAGA (-OS) IR JOS (-Ų) KIEKIS (-IAI)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 ml yra 40 mg gemcitabino (hidrochlorido pavidalu).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Kiekviename 5 ml </w:t>
      </w:r>
      <w:r w:rsidR="002F6D3D">
        <w:rPr>
          <w:rFonts w:ascii="Times New Roman" w:hAnsi="Times New Roman"/>
          <w:lang w:val="lt-LT"/>
        </w:rPr>
        <w:t>flakone</w:t>
      </w:r>
      <w:r w:rsidR="002F6D3D" w:rsidRPr="00F4223A">
        <w:rPr>
          <w:rFonts w:ascii="Times New Roman" w:hAnsi="Times New Roman"/>
          <w:lang w:val="lt-LT"/>
        </w:rPr>
        <w:t xml:space="preserve"> </w:t>
      </w:r>
      <w:r w:rsidRPr="00F4223A">
        <w:rPr>
          <w:rFonts w:ascii="Times New Roman" w:hAnsi="Times New Roman"/>
          <w:lang w:val="lt-LT"/>
        </w:rPr>
        <w:t>yra 200 mg gemcitabino (hidrochlorido pavidalu).</w:t>
      </w:r>
    </w:p>
    <w:p w:rsidR="00F4223A" w:rsidRPr="00F4223A" w:rsidRDefault="00F4223A" w:rsidP="00F4223A">
      <w:pPr>
        <w:spacing w:after="0" w:line="240" w:lineRule="auto"/>
        <w:rPr>
          <w:rFonts w:ascii="Times New Roman" w:hAnsi="Times New Roman"/>
          <w:highlight w:val="lightGray"/>
          <w:lang w:val="lt-LT"/>
        </w:rPr>
      </w:pPr>
      <w:r w:rsidRPr="00F4223A">
        <w:rPr>
          <w:rFonts w:ascii="Times New Roman" w:hAnsi="Times New Roman"/>
          <w:highlight w:val="lightGray"/>
          <w:lang w:val="lt-LT"/>
        </w:rPr>
        <w:t xml:space="preserve">Kiekviename 25 ml </w:t>
      </w:r>
      <w:r w:rsidR="002F6D3D">
        <w:rPr>
          <w:rFonts w:ascii="Times New Roman" w:hAnsi="Times New Roman"/>
          <w:highlight w:val="lightGray"/>
          <w:lang w:val="lt-LT"/>
        </w:rPr>
        <w:t>flakone</w:t>
      </w:r>
      <w:r w:rsidR="002F6D3D" w:rsidRPr="00F4223A">
        <w:rPr>
          <w:rFonts w:ascii="Times New Roman" w:hAnsi="Times New Roman"/>
          <w:highlight w:val="lightGray"/>
          <w:lang w:val="lt-LT"/>
        </w:rPr>
        <w:t xml:space="preserve"> </w:t>
      </w:r>
      <w:r w:rsidRPr="00F4223A">
        <w:rPr>
          <w:rFonts w:ascii="Times New Roman" w:hAnsi="Times New Roman"/>
          <w:highlight w:val="lightGray"/>
          <w:lang w:val="lt-LT"/>
        </w:rPr>
        <w:t>yra 1 g gemcitabino (hidrochlorido pavidalu).</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highlight w:val="lightGray"/>
          <w:lang w:val="lt-LT"/>
        </w:rPr>
        <w:t xml:space="preserve">Kiekviename 50 ml </w:t>
      </w:r>
      <w:r w:rsidR="002F6D3D">
        <w:rPr>
          <w:rFonts w:ascii="Times New Roman" w:hAnsi="Times New Roman"/>
          <w:highlight w:val="lightGray"/>
          <w:lang w:val="lt-LT"/>
        </w:rPr>
        <w:t>flakone</w:t>
      </w:r>
      <w:r w:rsidR="002F6D3D" w:rsidRPr="00F4223A">
        <w:rPr>
          <w:rFonts w:ascii="Times New Roman" w:hAnsi="Times New Roman"/>
          <w:highlight w:val="lightGray"/>
          <w:lang w:val="lt-LT"/>
        </w:rPr>
        <w:t xml:space="preserve"> </w:t>
      </w:r>
      <w:r w:rsidRPr="00F4223A">
        <w:rPr>
          <w:rFonts w:ascii="Times New Roman" w:hAnsi="Times New Roman"/>
          <w:highlight w:val="lightGray"/>
          <w:lang w:val="lt-LT"/>
        </w:rPr>
        <w:t>yra 2 g gemcitabino (hidrochlorido pavidalu).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F4223A">
        <w:rPr>
          <w:rFonts w:ascii="Times New Roman" w:hAnsi="Times New Roman"/>
          <w:b/>
          <w:lang w:val="lt-LT"/>
        </w:rPr>
        <w:t>3.</w:t>
      </w:r>
      <w:r w:rsidRPr="00F4223A">
        <w:rPr>
          <w:rFonts w:ascii="Times New Roman" w:hAnsi="Times New Roman"/>
          <w:b/>
          <w:lang w:val="lt-LT"/>
        </w:rPr>
        <w:tab/>
        <w:t>PAGALBINIŲ MEDŽIAGŲ SĄRAŠAS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Pagalbinės medžiagos: vandenilio chlorido rūgštis (pH sureguliavimui)</w:t>
      </w:r>
      <w:r w:rsidR="002F6D3D">
        <w:rPr>
          <w:rFonts w:ascii="Times New Roman" w:hAnsi="Times New Roman"/>
          <w:lang w:val="lt-LT"/>
        </w:rPr>
        <w:t>,</w:t>
      </w:r>
      <w:r w:rsidRPr="00F4223A">
        <w:rPr>
          <w:rFonts w:ascii="Times New Roman" w:hAnsi="Times New Roman"/>
          <w:lang w:val="lt-LT"/>
        </w:rPr>
        <w:t xml:space="preserve"> injekcinis vanduo</w:t>
      </w:r>
      <w:r w:rsidR="002F6D3D">
        <w:rPr>
          <w:rFonts w:ascii="Times New Roman" w:hAnsi="Times New Roman"/>
          <w:lang w:val="lt-LT"/>
        </w:rPr>
        <w:t>.</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4.</w:t>
      </w:r>
      <w:r w:rsidRPr="00F4223A">
        <w:rPr>
          <w:rFonts w:ascii="Times New Roman" w:hAnsi="Times New Roman"/>
          <w:b/>
          <w:lang w:val="lt-LT"/>
        </w:rPr>
        <w:tab/>
        <w:t>FARMACINĖ FORMA IR KIEKIS PAKUOTĖJE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Koncentratas infuziniam tirpalui.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1x 5 ml </w:t>
      </w:r>
      <w:r w:rsidR="002F6D3D">
        <w:rPr>
          <w:rFonts w:ascii="Times New Roman" w:hAnsi="Times New Roman"/>
          <w:lang w:val="lt-LT"/>
        </w:rPr>
        <w:t>flakonas</w:t>
      </w:r>
      <w:r w:rsidR="002F6D3D" w:rsidRPr="00F4223A">
        <w:rPr>
          <w:rFonts w:ascii="Times New Roman" w:hAnsi="Times New Roman"/>
          <w:lang w:val="lt-LT"/>
        </w:rPr>
        <w:t xml:space="preserve">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200 mg/5 ml</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highlight w:val="lightGray"/>
          <w:lang w:val="lt-LT"/>
        </w:rPr>
      </w:pPr>
      <w:r w:rsidRPr="00F4223A">
        <w:rPr>
          <w:rFonts w:ascii="Times New Roman" w:hAnsi="Times New Roman"/>
          <w:highlight w:val="lightGray"/>
          <w:lang w:val="lt-LT"/>
        </w:rPr>
        <w:t xml:space="preserve">1x 25 ml </w:t>
      </w:r>
      <w:r w:rsidR="002F6D3D">
        <w:rPr>
          <w:rFonts w:ascii="Times New Roman" w:hAnsi="Times New Roman"/>
          <w:highlight w:val="lightGray"/>
          <w:lang w:val="lt-LT"/>
        </w:rPr>
        <w:t>flakonas</w:t>
      </w:r>
    </w:p>
    <w:p w:rsidR="00F4223A" w:rsidRPr="00F4223A" w:rsidRDefault="00F4223A" w:rsidP="00F4223A">
      <w:pPr>
        <w:spacing w:after="0" w:line="240" w:lineRule="auto"/>
        <w:rPr>
          <w:rFonts w:ascii="Times New Roman" w:hAnsi="Times New Roman"/>
          <w:highlight w:val="lightGray"/>
          <w:lang w:val="lt-LT"/>
        </w:rPr>
      </w:pPr>
      <w:r w:rsidRPr="00F4223A">
        <w:rPr>
          <w:rFonts w:ascii="Times New Roman" w:hAnsi="Times New Roman"/>
          <w:highlight w:val="lightGray"/>
          <w:lang w:val="lt-LT"/>
        </w:rPr>
        <w:t>1 g/25 ml</w:t>
      </w:r>
    </w:p>
    <w:p w:rsidR="00F4223A" w:rsidRPr="00F4223A" w:rsidRDefault="00F4223A" w:rsidP="00F4223A">
      <w:pPr>
        <w:spacing w:after="0" w:line="240" w:lineRule="auto"/>
        <w:rPr>
          <w:rFonts w:ascii="Times New Roman" w:hAnsi="Times New Roman"/>
          <w:highlight w:val="lightGray"/>
          <w:lang w:val="lt-LT"/>
        </w:rPr>
      </w:pPr>
    </w:p>
    <w:p w:rsidR="00F4223A" w:rsidRPr="00F4223A" w:rsidRDefault="00F4223A" w:rsidP="00F4223A">
      <w:pPr>
        <w:spacing w:after="0" w:line="240" w:lineRule="auto"/>
        <w:rPr>
          <w:rFonts w:ascii="Times New Roman" w:hAnsi="Times New Roman"/>
          <w:highlight w:val="lightGray"/>
          <w:lang w:val="lt-LT"/>
        </w:rPr>
      </w:pPr>
      <w:r w:rsidRPr="00F4223A">
        <w:rPr>
          <w:rFonts w:ascii="Times New Roman" w:hAnsi="Times New Roman"/>
          <w:highlight w:val="lightGray"/>
          <w:lang w:val="lt-LT"/>
        </w:rPr>
        <w:t xml:space="preserve">1x50 ml </w:t>
      </w:r>
      <w:r w:rsidR="002F6D3D">
        <w:rPr>
          <w:rFonts w:ascii="Times New Roman" w:hAnsi="Times New Roman"/>
          <w:highlight w:val="lightGray"/>
          <w:lang w:val="lt-LT"/>
        </w:rPr>
        <w:t>flakonas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highlight w:val="lightGray"/>
          <w:lang w:val="lt-LT"/>
        </w:rPr>
        <w:t>2 g/50 ml</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F4223A">
        <w:rPr>
          <w:rFonts w:ascii="Times New Roman" w:hAnsi="Times New Roman"/>
          <w:b/>
          <w:lang w:val="lt-LT"/>
        </w:rPr>
        <w:t>5.</w:t>
      </w:r>
      <w:r w:rsidRPr="00F4223A">
        <w:rPr>
          <w:rFonts w:ascii="Times New Roman" w:hAnsi="Times New Roman"/>
          <w:b/>
          <w:lang w:val="lt-LT"/>
        </w:rPr>
        <w:tab/>
        <w:t>VARTOJIMO METODAS IR BŪDAS (-AI)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Prieš vartojimą būtina praskiesti.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Leisti į veną.</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Vienkartiniam vartojimui.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Prieš vartojimą perskaitykite pakuotės lapelį.</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F4223A">
        <w:rPr>
          <w:rFonts w:ascii="Times New Roman" w:hAnsi="Times New Roman"/>
          <w:b/>
          <w:lang w:val="lt-LT"/>
        </w:rPr>
        <w:t>6.</w:t>
      </w:r>
      <w:r w:rsidRPr="00F4223A">
        <w:rPr>
          <w:rFonts w:ascii="Times New Roman" w:hAnsi="Times New Roman"/>
          <w:b/>
          <w:lang w:val="lt-LT"/>
        </w:rPr>
        <w:tab/>
        <w:t xml:space="preserve">SPECIALUS ĮSPĖJIMAS, KAD VAISTINĮ PREPARATĄ BŪTINA LAIKYTI VAIKAMS </w:t>
      </w:r>
      <w:r w:rsidRPr="00F4223A">
        <w:rPr>
          <w:rFonts w:ascii="Times New Roman" w:eastAsia="MS Mincho" w:hAnsi="Times New Roman" w:cs="Times New Roman"/>
          <w:b/>
          <w:bCs/>
          <w:lang w:val="lt-LT" w:eastAsia="lt-LT"/>
        </w:rPr>
        <w:t xml:space="preserve">NEPASTEBIMOJE IR </w:t>
      </w:r>
      <w:r w:rsidRPr="00F4223A">
        <w:rPr>
          <w:rFonts w:ascii="Times New Roman" w:hAnsi="Times New Roman"/>
          <w:b/>
          <w:lang w:val="lt-LT"/>
        </w:rPr>
        <w:t>NEPASIEKIAMOJE VIETOJE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Laikyti vaikams </w:t>
      </w:r>
      <w:r w:rsidRPr="00F4223A">
        <w:rPr>
          <w:rFonts w:ascii="Times New Roman" w:eastAsia="MS Mincho" w:hAnsi="Times New Roman" w:cs="Times New Roman"/>
          <w:iCs/>
          <w:lang w:val="lt-LT" w:eastAsia="lt-LT"/>
        </w:rPr>
        <w:t xml:space="preserve">nepastebimoje ir </w:t>
      </w:r>
      <w:r w:rsidRPr="00F4223A">
        <w:rPr>
          <w:rFonts w:ascii="Times New Roman" w:hAnsi="Times New Roman"/>
          <w:lang w:val="lt-LT"/>
        </w:rPr>
        <w:t>nepasiekiamoje vietoje.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F4223A">
        <w:rPr>
          <w:rFonts w:ascii="Times New Roman" w:hAnsi="Times New Roman"/>
          <w:b/>
          <w:lang w:val="lt-LT"/>
        </w:rPr>
        <w:t>7.</w:t>
      </w:r>
      <w:r w:rsidRPr="00F4223A">
        <w:rPr>
          <w:rFonts w:ascii="Times New Roman" w:hAnsi="Times New Roman"/>
          <w:b/>
          <w:lang w:val="lt-LT"/>
        </w:rPr>
        <w:tab/>
        <w:t>KITAS (-I) SPECIALUS (-ŪS) ĮSPĖJIMAS (-AI) (JEI REIKIA)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Citotoksinis preparatas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highlight w:val="lightGray"/>
          <w:lang w:val="lt-LT"/>
        </w:rPr>
      </w:pPr>
      <w:r w:rsidRPr="00F4223A">
        <w:rPr>
          <w:rFonts w:ascii="Times New Roman" w:hAnsi="Times New Roman"/>
          <w:b/>
          <w:lang w:val="lt-LT"/>
        </w:rPr>
        <w:t>8.</w:t>
      </w:r>
      <w:r w:rsidRPr="00F4223A">
        <w:rPr>
          <w:rFonts w:ascii="Times New Roman" w:hAnsi="Times New Roman"/>
          <w:b/>
          <w:lang w:val="lt-LT"/>
        </w:rPr>
        <w:tab/>
        <w:t>TINKAMUMO LAIKAS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lang w:val="lt-LT"/>
        </w:rPr>
        <w:t xml:space="preserve">Tinka iki {mm.MMMM} </w:t>
      </w:r>
      <w:r w:rsidRPr="00F4223A">
        <w:rPr>
          <w:rFonts w:ascii="Times New Roman" w:hAnsi="Times New Roman"/>
          <w:i/>
          <w:lang w:val="lt-LT"/>
        </w:rPr>
        <w:t>[mėnuo, metai]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Praskiesto preparato tinkamumo laikas nurodytas pakuotės lapelyje.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9.</w:t>
      </w:r>
      <w:r w:rsidRPr="00F4223A">
        <w:rPr>
          <w:rFonts w:ascii="Times New Roman" w:hAnsi="Times New Roman"/>
          <w:b/>
          <w:lang w:val="lt-LT"/>
        </w:rPr>
        <w:tab/>
      </w:r>
      <w:r w:rsidRPr="00F4223A">
        <w:rPr>
          <w:rFonts w:ascii="Times New Roman" w:hAnsi="Times New Roman"/>
          <w:b/>
          <w:caps/>
          <w:lang w:val="lt-LT"/>
        </w:rPr>
        <w:t>SPECIALIOS laikymo sąlygos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Laikyti šaldytuve.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F4223A">
        <w:rPr>
          <w:rFonts w:ascii="Times New Roman" w:hAnsi="Times New Roman"/>
          <w:b/>
          <w:lang w:val="lt-LT"/>
        </w:rPr>
        <w:t>10.</w:t>
      </w:r>
      <w:r w:rsidRPr="00F4223A">
        <w:rPr>
          <w:rFonts w:ascii="Times New Roman" w:hAnsi="Times New Roman"/>
          <w:b/>
          <w:lang w:val="lt-LT"/>
        </w:rPr>
        <w:tab/>
      </w:r>
      <w:r w:rsidRPr="00F4223A">
        <w:rPr>
          <w:rFonts w:ascii="Times New Roman" w:hAnsi="Times New Roman"/>
          <w:b/>
          <w:caps/>
          <w:lang w:val="lt-LT"/>
        </w:rPr>
        <w:t>specialios atsargumo priemonės DĖL NESUVARTOTO VAISTINIO PREPARATO AR JO ATLIEK</w:t>
      </w:r>
      <w:r w:rsidRPr="00F4223A">
        <w:rPr>
          <w:rFonts w:ascii="Times New Roman" w:hAnsi="Times New Roman"/>
          <w:b/>
          <w:lang w:val="lt-LT"/>
        </w:rPr>
        <w:t>Ų</w:t>
      </w:r>
      <w:r w:rsidRPr="00F4223A">
        <w:rPr>
          <w:rFonts w:ascii="Times New Roman" w:hAnsi="Times New Roman"/>
          <w:caps/>
          <w:lang w:val="lt-LT"/>
        </w:rPr>
        <w:t xml:space="preserve"> </w:t>
      </w:r>
      <w:r w:rsidRPr="00F4223A">
        <w:rPr>
          <w:rFonts w:ascii="Times New Roman" w:hAnsi="Times New Roman"/>
          <w:b/>
          <w:caps/>
          <w:lang w:val="lt-LT"/>
        </w:rPr>
        <w:t>TVARKYMO (jei reikia)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Nesuvartotą preparatą reikia tvarkyti laikantis įprastinių citotoksinių preparatų tvarkymo taisyklių.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4223A">
        <w:rPr>
          <w:rFonts w:ascii="Times New Roman" w:hAnsi="Times New Roman"/>
          <w:b/>
          <w:lang w:val="lt-LT"/>
        </w:rPr>
        <w:t>11.</w:t>
      </w:r>
      <w:r w:rsidRPr="00F4223A">
        <w:rPr>
          <w:rFonts w:ascii="Times New Roman" w:hAnsi="Times New Roman"/>
          <w:b/>
          <w:lang w:val="lt-LT"/>
        </w:rPr>
        <w:tab/>
      </w:r>
      <w:r w:rsidR="0069096F">
        <w:rPr>
          <w:rFonts w:ascii="Times New Roman" w:hAnsi="Times New Roman"/>
          <w:b/>
          <w:caps/>
          <w:lang w:val="lt-LT"/>
        </w:rPr>
        <w:t>REGISTRUOTOJO</w:t>
      </w:r>
      <w:r w:rsidRPr="00F4223A">
        <w:rPr>
          <w:rFonts w:ascii="Times New Roman" w:hAnsi="Times New Roman"/>
          <w:b/>
          <w:caps/>
          <w:lang w:val="lt-LT"/>
        </w:rPr>
        <w:t xml:space="preserve"> pavadinimas ir adresas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Actavis Group PTC ehf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Reykjavikurvegi 76-78</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220 Hafnarfjörður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Islandija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12.</w:t>
      </w:r>
      <w:r w:rsidRPr="00F4223A">
        <w:rPr>
          <w:rFonts w:ascii="Times New Roman" w:hAnsi="Times New Roman"/>
          <w:b/>
          <w:lang w:val="lt-LT"/>
        </w:rPr>
        <w:tab/>
      </w:r>
      <w:r w:rsidR="0069096F">
        <w:rPr>
          <w:rFonts w:ascii="Times New Roman" w:hAnsi="Times New Roman"/>
          <w:b/>
          <w:caps/>
          <w:lang w:val="lt-LT"/>
        </w:rPr>
        <w:t>REGISTRACIJOS PAŽYMĖJIMO</w:t>
      </w:r>
      <w:r w:rsidRPr="00F4223A">
        <w:rPr>
          <w:rFonts w:ascii="Times New Roman" w:hAnsi="Times New Roman"/>
          <w:b/>
          <w:caps/>
          <w:lang w:val="lt-LT"/>
        </w:rPr>
        <w:t xml:space="preserve"> numeris</w:t>
      </w:r>
      <w:r w:rsidRPr="00F4223A">
        <w:rPr>
          <w:rFonts w:ascii="Times New Roman" w:hAnsi="Times New Roman"/>
          <w:b/>
          <w:lang w:val="lt-LT"/>
        </w:rPr>
        <w:t xml:space="preserve"> </w:t>
      </w:r>
      <w:r w:rsidR="002F6D3D">
        <w:rPr>
          <w:rFonts w:ascii="Times New Roman" w:hAnsi="Times New Roman"/>
          <w:b/>
          <w:lang w:val="lt-LT"/>
        </w:rPr>
        <w:t>(-IAI)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 ml – LT/1/11/2701/001</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25 ml – LT/1/11/2701/002</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50 ml – LT/1/11/2701/003</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13.</w:t>
      </w:r>
      <w:r w:rsidRPr="00F4223A">
        <w:rPr>
          <w:rFonts w:ascii="Times New Roman" w:hAnsi="Times New Roman"/>
          <w:b/>
          <w:lang w:val="lt-LT"/>
        </w:rPr>
        <w:tab/>
        <w:t>SERIJOS NUMERIS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Serija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14.</w:t>
      </w:r>
      <w:r w:rsidRPr="00F4223A">
        <w:rPr>
          <w:rFonts w:ascii="Times New Roman" w:hAnsi="Times New Roman"/>
          <w:b/>
          <w:lang w:val="lt-LT"/>
        </w:rPr>
        <w:tab/>
        <w:t>PARDAVIMO (IŠDAVIMO)</w:t>
      </w:r>
      <w:r w:rsidRPr="00F4223A">
        <w:rPr>
          <w:rFonts w:ascii="Times New Roman" w:hAnsi="Times New Roman"/>
          <w:b/>
          <w:caps/>
          <w:lang w:val="lt-LT"/>
        </w:rPr>
        <w:t xml:space="preserve"> tvarka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Receptinis vaistinis preparatas.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15.</w:t>
      </w:r>
      <w:r w:rsidRPr="00F4223A">
        <w:rPr>
          <w:rFonts w:ascii="Times New Roman" w:hAnsi="Times New Roman"/>
          <w:b/>
          <w:lang w:val="lt-LT"/>
        </w:rPr>
        <w:tab/>
      </w:r>
      <w:r w:rsidRPr="00F4223A">
        <w:rPr>
          <w:rFonts w:ascii="Times New Roman" w:hAnsi="Times New Roman"/>
          <w:b/>
          <w:caps/>
          <w:lang w:val="lt-LT"/>
        </w:rPr>
        <w:t>vartojimo instrukcijA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F4223A">
        <w:rPr>
          <w:rFonts w:ascii="Times New Roman" w:hAnsi="Times New Roman"/>
          <w:b/>
          <w:lang w:val="lt-LT"/>
        </w:rPr>
        <w:t>16.</w:t>
      </w:r>
      <w:r w:rsidRPr="00F4223A">
        <w:rPr>
          <w:rFonts w:ascii="Times New Roman" w:hAnsi="Times New Roman"/>
          <w:b/>
          <w:lang w:val="lt-LT"/>
        </w:rPr>
        <w:tab/>
        <w:t>INFORMACIJA BRAILIO RAŠTU</w:t>
      </w:r>
    </w:p>
    <w:p w:rsidR="00F4223A" w:rsidRPr="00F4223A" w:rsidRDefault="00F4223A" w:rsidP="00F4223A">
      <w:pPr>
        <w:spacing w:after="0" w:line="240" w:lineRule="auto"/>
        <w:rPr>
          <w:rFonts w:ascii="Times New Roman" w:hAnsi="Times New Roman"/>
          <w:lang w:val="lt-LT"/>
        </w:rPr>
      </w:pPr>
    </w:p>
    <w:p w:rsidR="002F6D3D" w:rsidRPr="00132846" w:rsidRDefault="002F6D3D" w:rsidP="002F6D3D">
      <w:pPr>
        <w:tabs>
          <w:tab w:val="left" w:pos="567"/>
        </w:tabs>
        <w:spacing w:after="0" w:line="260" w:lineRule="exact"/>
        <w:rPr>
          <w:rFonts w:ascii="Times New Roman" w:eastAsia="Times New Roman" w:hAnsi="Times New Roman" w:cs="Times New Roman"/>
          <w:snapToGrid w:val="0"/>
          <w:szCs w:val="24"/>
          <w:lang w:val="lt-LT"/>
        </w:rPr>
      </w:pPr>
      <w:r w:rsidRPr="00132846">
        <w:rPr>
          <w:rFonts w:ascii="Times New Roman" w:eastAsia="Times New Roman" w:hAnsi="Times New Roman" w:cs="Times New Roman"/>
          <w:noProof/>
          <w:snapToGrid w:val="0"/>
          <w:szCs w:val="24"/>
          <w:highlight w:val="lightGray"/>
          <w:lang w:val="lt-LT"/>
        </w:rPr>
        <w:t>Priimtas pagrindimas informacijos Brailio raštu nepateikti.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b/>
          <w:lang w:val="lt-LT"/>
        </w:rPr>
        <w:br w:type="page"/>
      </w: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4223A">
        <w:rPr>
          <w:rFonts w:ascii="Times New Roman" w:hAnsi="Times New Roman"/>
          <w:b/>
          <w:caps/>
          <w:lang w:val="lt-LT"/>
        </w:rPr>
        <w:t xml:space="preserve">Minimali informacija ant mažų </w:t>
      </w:r>
      <w:r w:rsidRPr="00F4223A">
        <w:rPr>
          <w:rFonts w:ascii="Times New Roman" w:hAnsi="Times New Roman"/>
          <w:b/>
          <w:lang w:val="lt-LT"/>
        </w:rPr>
        <w:t>VIDINIŲ</w:t>
      </w:r>
      <w:r w:rsidRPr="00F4223A">
        <w:rPr>
          <w:rFonts w:ascii="Times New Roman" w:hAnsi="Times New Roman"/>
          <w:lang w:val="lt-LT"/>
        </w:rPr>
        <w:t xml:space="preserve"> </w:t>
      </w:r>
      <w:r w:rsidRPr="00F4223A">
        <w:rPr>
          <w:rFonts w:ascii="Times New Roman" w:hAnsi="Times New Roman"/>
          <w:b/>
          <w:caps/>
          <w:lang w:val="lt-LT"/>
        </w:rPr>
        <w:t>pakuočių</w:t>
      </w: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rsidR="00F4223A" w:rsidRPr="00F4223A" w:rsidRDefault="002F6D3D" w:rsidP="00F4223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FLAKONŲ</w:t>
      </w:r>
      <w:r w:rsidRPr="00F4223A">
        <w:rPr>
          <w:rFonts w:ascii="Times New Roman" w:hAnsi="Times New Roman"/>
          <w:b/>
          <w:lang w:val="lt-LT"/>
        </w:rPr>
        <w:t xml:space="preserve"> </w:t>
      </w:r>
      <w:r w:rsidR="00F4223A" w:rsidRPr="00F4223A">
        <w:rPr>
          <w:rFonts w:ascii="Times New Roman" w:hAnsi="Times New Roman"/>
          <w:b/>
          <w:lang w:val="lt-LT"/>
        </w:rPr>
        <w:t>ETIKETĖ</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F4223A">
        <w:rPr>
          <w:rFonts w:ascii="Times New Roman" w:hAnsi="Times New Roman"/>
          <w:b/>
          <w:lang w:val="lt-LT"/>
        </w:rPr>
        <w:t>1.</w:t>
      </w:r>
      <w:r w:rsidRPr="00F4223A">
        <w:rPr>
          <w:rFonts w:ascii="Times New Roman" w:hAnsi="Times New Roman"/>
          <w:b/>
          <w:lang w:val="lt-LT"/>
        </w:rPr>
        <w:tab/>
      </w:r>
      <w:r w:rsidRPr="00F4223A">
        <w:rPr>
          <w:rFonts w:ascii="Times New Roman" w:hAnsi="Times New Roman"/>
          <w:b/>
          <w:caps/>
          <w:lang w:val="lt-LT"/>
        </w:rPr>
        <w:t>Vaistinio preparato pavadinimas ir vartojimo būdas (-ai)</w:t>
      </w:r>
    </w:p>
    <w:p w:rsidR="00F4223A" w:rsidRPr="00F4223A" w:rsidRDefault="00F4223A" w:rsidP="00F4223A">
      <w:pPr>
        <w:spacing w:after="0" w:line="240" w:lineRule="auto"/>
        <w:ind w:left="567" w:hanging="567"/>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Gemcitabine Actavis 40 mg/ml koncentratas infuziniam tirpalui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i.v.</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F4223A">
        <w:rPr>
          <w:rFonts w:ascii="Times New Roman" w:hAnsi="Times New Roman"/>
          <w:b/>
          <w:lang w:val="lt-LT"/>
        </w:rPr>
        <w:t>2.</w:t>
      </w:r>
      <w:r w:rsidRPr="00F4223A">
        <w:rPr>
          <w:rFonts w:ascii="Times New Roman" w:hAnsi="Times New Roman"/>
          <w:b/>
          <w:lang w:val="lt-LT"/>
        </w:rPr>
        <w:tab/>
      </w:r>
      <w:r w:rsidRPr="00F4223A">
        <w:rPr>
          <w:rFonts w:ascii="Times New Roman" w:hAnsi="Times New Roman"/>
          <w:b/>
          <w:caps/>
          <w:lang w:val="lt-LT"/>
        </w:rPr>
        <w:t>vartojimo metodas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Prieš vartojimą praskiesti.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F4223A">
        <w:rPr>
          <w:rFonts w:ascii="Times New Roman" w:hAnsi="Times New Roman"/>
          <w:b/>
          <w:lang w:val="lt-LT"/>
        </w:rPr>
        <w:t>3.</w:t>
      </w:r>
      <w:r w:rsidRPr="00F4223A">
        <w:rPr>
          <w:rFonts w:ascii="Times New Roman" w:hAnsi="Times New Roman"/>
          <w:b/>
          <w:lang w:val="lt-LT"/>
        </w:rPr>
        <w:tab/>
      </w:r>
      <w:r w:rsidRPr="00F4223A">
        <w:rPr>
          <w:rFonts w:ascii="Times New Roman" w:hAnsi="Times New Roman"/>
          <w:b/>
          <w:caps/>
          <w:lang w:val="lt-LT"/>
        </w:rPr>
        <w:t>tinkamumo laikas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lang w:val="lt-LT"/>
        </w:rPr>
        <w:t xml:space="preserve">Tinka iki {mm.MMMM} </w:t>
      </w:r>
      <w:r w:rsidRPr="00F4223A">
        <w:rPr>
          <w:rFonts w:ascii="Times New Roman" w:hAnsi="Times New Roman"/>
          <w:i/>
          <w:lang w:val="lt-LT"/>
        </w:rPr>
        <w:t>[mėnuo, metai]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highlight w:val="lightGray"/>
          <w:lang w:val="lt-LT"/>
        </w:rPr>
      </w:pPr>
      <w:r w:rsidRPr="00F4223A">
        <w:rPr>
          <w:rFonts w:ascii="Times New Roman" w:hAnsi="Times New Roman"/>
          <w:b/>
          <w:lang w:val="lt-LT"/>
        </w:rPr>
        <w:t>4.</w:t>
      </w:r>
      <w:r w:rsidRPr="00F4223A">
        <w:rPr>
          <w:rFonts w:ascii="Times New Roman" w:hAnsi="Times New Roman"/>
          <w:b/>
          <w:lang w:val="lt-LT"/>
        </w:rPr>
        <w:tab/>
      </w:r>
      <w:r w:rsidRPr="00F4223A">
        <w:rPr>
          <w:rFonts w:ascii="Times New Roman" w:hAnsi="Times New Roman"/>
          <w:b/>
          <w:caps/>
          <w:lang w:val="lt-LT"/>
        </w:rPr>
        <w:t>serijos numeris</w:t>
      </w: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spacing w:after="0" w:line="240" w:lineRule="auto"/>
        <w:ind w:right="113"/>
        <w:rPr>
          <w:rFonts w:ascii="Times New Roman" w:hAnsi="Times New Roman"/>
          <w:lang w:val="lt-LT"/>
        </w:rPr>
      </w:pPr>
      <w:r w:rsidRPr="00F4223A">
        <w:rPr>
          <w:rFonts w:ascii="Times New Roman" w:hAnsi="Times New Roman"/>
          <w:lang w:val="lt-LT"/>
        </w:rPr>
        <w:t>Serija</w:t>
      </w: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highlight w:val="lightGray"/>
          <w:lang w:val="lt-LT"/>
        </w:rPr>
      </w:pPr>
      <w:r w:rsidRPr="00F4223A">
        <w:rPr>
          <w:rFonts w:ascii="Times New Roman" w:hAnsi="Times New Roman"/>
          <w:b/>
          <w:lang w:val="lt-LT"/>
        </w:rPr>
        <w:t>5.</w:t>
      </w:r>
      <w:r w:rsidRPr="00F4223A">
        <w:rPr>
          <w:rFonts w:ascii="Times New Roman" w:hAnsi="Times New Roman"/>
          <w:b/>
          <w:lang w:val="lt-LT"/>
        </w:rPr>
        <w:tab/>
      </w:r>
      <w:r w:rsidRPr="00F4223A">
        <w:rPr>
          <w:rFonts w:ascii="Times New Roman" w:hAnsi="Times New Roman"/>
          <w:b/>
          <w:caps/>
          <w:lang w:val="lt-LT"/>
        </w:rPr>
        <w:t>kiekis</w:t>
      </w:r>
      <w:r w:rsidRPr="00F4223A">
        <w:rPr>
          <w:rFonts w:ascii="Times New Roman" w:hAnsi="Times New Roman"/>
          <w:b/>
          <w:lang w:val="lt-LT"/>
        </w:rPr>
        <w:t xml:space="preserve"> (MASĖ, TŪRIS ARBA VIENETAI)</w:t>
      </w: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spacing w:after="0" w:line="240" w:lineRule="auto"/>
        <w:ind w:right="113"/>
        <w:rPr>
          <w:rFonts w:ascii="Times New Roman" w:hAnsi="Times New Roman"/>
          <w:lang w:val="lt-LT"/>
        </w:rPr>
      </w:pPr>
      <w:r w:rsidRPr="00F4223A">
        <w:rPr>
          <w:rFonts w:ascii="Times New Roman" w:hAnsi="Times New Roman"/>
          <w:lang w:val="lt-LT"/>
        </w:rPr>
        <w:t xml:space="preserve">5 ml </w:t>
      </w:r>
      <w:r w:rsidR="002F6D3D">
        <w:rPr>
          <w:rFonts w:ascii="Times New Roman" w:hAnsi="Times New Roman"/>
          <w:lang w:val="lt-LT"/>
        </w:rPr>
        <w:t>flakonas</w:t>
      </w:r>
    </w:p>
    <w:p w:rsidR="00F4223A" w:rsidRPr="00F4223A" w:rsidRDefault="00F4223A" w:rsidP="00F4223A">
      <w:pPr>
        <w:spacing w:after="0" w:line="240" w:lineRule="auto"/>
        <w:ind w:right="113"/>
        <w:rPr>
          <w:rFonts w:ascii="Times New Roman" w:hAnsi="Times New Roman"/>
          <w:lang w:val="lt-LT"/>
        </w:rPr>
      </w:pPr>
      <w:r w:rsidRPr="00F4223A">
        <w:rPr>
          <w:rFonts w:ascii="Times New Roman" w:hAnsi="Times New Roman"/>
          <w:lang w:val="lt-LT"/>
        </w:rPr>
        <w:t>200 mg/5 ml</w:t>
      </w: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spacing w:after="0" w:line="240" w:lineRule="auto"/>
        <w:ind w:right="113"/>
        <w:rPr>
          <w:rFonts w:ascii="Times New Roman" w:hAnsi="Times New Roman"/>
          <w:highlight w:val="lightGray"/>
          <w:lang w:val="lt-LT"/>
        </w:rPr>
      </w:pPr>
      <w:r w:rsidRPr="00F4223A">
        <w:rPr>
          <w:rFonts w:ascii="Times New Roman" w:hAnsi="Times New Roman"/>
          <w:highlight w:val="lightGray"/>
          <w:lang w:val="lt-LT"/>
        </w:rPr>
        <w:t xml:space="preserve">25 ml </w:t>
      </w:r>
      <w:r w:rsidR="002F6D3D">
        <w:rPr>
          <w:rFonts w:ascii="Times New Roman" w:hAnsi="Times New Roman"/>
          <w:highlight w:val="lightGray"/>
          <w:lang w:val="lt-LT"/>
        </w:rPr>
        <w:t>flakonas</w:t>
      </w:r>
    </w:p>
    <w:p w:rsidR="00F4223A" w:rsidRPr="00F4223A" w:rsidRDefault="00F4223A" w:rsidP="00F4223A">
      <w:pPr>
        <w:spacing w:after="0" w:line="240" w:lineRule="auto"/>
        <w:ind w:right="113"/>
        <w:rPr>
          <w:rFonts w:ascii="Times New Roman" w:hAnsi="Times New Roman"/>
          <w:highlight w:val="lightGray"/>
          <w:lang w:val="lt-LT"/>
        </w:rPr>
      </w:pPr>
      <w:r w:rsidRPr="00F4223A">
        <w:rPr>
          <w:rFonts w:ascii="Times New Roman" w:hAnsi="Times New Roman"/>
          <w:highlight w:val="lightGray"/>
          <w:lang w:val="lt-LT"/>
        </w:rPr>
        <w:t>1 g/25 ml</w:t>
      </w:r>
    </w:p>
    <w:p w:rsidR="00F4223A" w:rsidRPr="00F4223A" w:rsidRDefault="00F4223A" w:rsidP="00F4223A">
      <w:pPr>
        <w:spacing w:after="0" w:line="240" w:lineRule="auto"/>
        <w:ind w:right="113"/>
        <w:rPr>
          <w:rFonts w:ascii="Times New Roman" w:hAnsi="Times New Roman"/>
          <w:highlight w:val="lightGray"/>
          <w:lang w:val="lt-LT"/>
        </w:rPr>
      </w:pPr>
    </w:p>
    <w:p w:rsidR="00F4223A" w:rsidRPr="00F4223A" w:rsidRDefault="00F4223A" w:rsidP="00F4223A">
      <w:pPr>
        <w:spacing w:after="0" w:line="240" w:lineRule="auto"/>
        <w:ind w:right="113"/>
        <w:rPr>
          <w:rFonts w:ascii="Times New Roman" w:hAnsi="Times New Roman"/>
          <w:highlight w:val="lightGray"/>
          <w:lang w:val="lt-LT"/>
        </w:rPr>
      </w:pPr>
      <w:r w:rsidRPr="00F4223A">
        <w:rPr>
          <w:rFonts w:ascii="Times New Roman" w:hAnsi="Times New Roman"/>
          <w:highlight w:val="lightGray"/>
          <w:lang w:val="lt-LT"/>
        </w:rPr>
        <w:t xml:space="preserve">50 ml </w:t>
      </w:r>
      <w:r w:rsidR="002F6D3D">
        <w:rPr>
          <w:rFonts w:ascii="Times New Roman" w:hAnsi="Times New Roman"/>
          <w:highlight w:val="lightGray"/>
          <w:lang w:val="lt-LT"/>
        </w:rPr>
        <w:t>flakonas</w:t>
      </w:r>
    </w:p>
    <w:p w:rsidR="00F4223A" w:rsidRPr="00F4223A" w:rsidRDefault="00F4223A" w:rsidP="00F4223A">
      <w:pPr>
        <w:spacing w:after="0" w:line="240" w:lineRule="auto"/>
        <w:ind w:right="113"/>
        <w:rPr>
          <w:rFonts w:ascii="Times New Roman" w:hAnsi="Times New Roman"/>
          <w:lang w:val="lt-LT"/>
        </w:rPr>
      </w:pPr>
      <w:r w:rsidRPr="00F4223A">
        <w:rPr>
          <w:rFonts w:ascii="Times New Roman" w:hAnsi="Times New Roman"/>
          <w:highlight w:val="lightGray"/>
          <w:lang w:val="lt-LT"/>
        </w:rPr>
        <w:t>2 g/50 ml</w:t>
      </w: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spacing w:after="0" w:line="240" w:lineRule="auto"/>
        <w:ind w:right="113"/>
        <w:rPr>
          <w:rFonts w:ascii="Times New Roman" w:hAnsi="Times New Roman"/>
          <w:lang w:val="lt-LT"/>
        </w:rPr>
      </w:pPr>
    </w:p>
    <w:p w:rsidR="00F4223A" w:rsidRPr="00F4223A" w:rsidRDefault="00F4223A" w:rsidP="00F422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highlight w:val="lightGray"/>
          <w:lang w:val="lt-LT"/>
        </w:rPr>
      </w:pPr>
      <w:r w:rsidRPr="00F4223A">
        <w:rPr>
          <w:rFonts w:ascii="Times New Roman" w:hAnsi="Times New Roman"/>
          <w:b/>
          <w:lang w:val="lt-LT"/>
        </w:rPr>
        <w:t>6.</w:t>
      </w:r>
      <w:r w:rsidRPr="00F4223A">
        <w:rPr>
          <w:rFonts w:ascii="Times New Roman" w:hAnsi="Times New Roman"/>
          <w:b/>
          <w:lang w:val="lt-LT"/>
        </w:rPr>
        <w:tab/>
        <w:t>KITA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Citotoksinis preparatas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Actavis Group PTC ehf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br w:type="page"/>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B. PAKUOTĖS LAPELIS</w:t>
      </w: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lang w:val="lt-LT"/>
        </w:rPr>
        <w:br w:type="page"/>
      </w:r>
      <w:r w:rsidRPr="00F4223A">
        <w:rPr>
          <w:rFonts w:ascii="Times New Roman" w:eastAsia="MS Mincho" w:hAnsi="Times New Roman" w:cs="Times New Roman"/>
          <w:b/>
          <w:lang w:val="lt-LT" w:eastAsia="lt-LT"/>
        </w:rPr>
        <w:t>Pakuotės lapelis: informacija vartotojui</w:t>
      </w:r>
    </w:p>
    <w:p w:rsidR="00F4223A" w:rsidRPr="00F4223A" w:rsidRDefault="00F4223A" w:rsidP="00F4223A">
      <w:pPr>
        <w:spacing w:after="0" w:line="240" w:lineRule="auto"/>
        <w:jc w:val="center"/>
        <w:rPr>
          <w:rFonts w:ascii="Times New Roman" w:hAnsi="Times New Roman"/>
          <w:b/>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Gemcitabine Actavis 40 mg/ml koncentratas infuziniam tirpalui</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Gemcitabinas</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Atidžiai perskaitykite visą šį lapelį, prieš pradėdami vartoti vaistą.</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Neišmeskite šio lapelio, nes vėl gali prireikti jį perskaityti.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Jeigu kiltų daugiau klausimų, kreipkitės į gydytoją</w:t>
      </w:r>
      <w:r w:rsidRPr="00F4223A">
        <w:rPr>
          <w:rFonts w:ascii="Times New Roman" w:eastAsia="MS Mincho" w:hAnsi="Times New Roman" w:cs="Times New Roman"/>
          <w:lang w:val="lt-LT" w:eastAsia="lt-LT"/>
        </w:rPr>
        <w:t>,</w:t>
      </w:r>
      <w:r w:rsidRPr="00F4223A">
        <w:rPr>
          <w:rFonts w:ascii="Times New Roman" w:hAnsi="Times New Roman"/>
          <w:lang w:val="lt-LT"/>
        </w:rPr>
        <w:t xml:space="preserve"> vaistininką</w:t>
      </w:r>
      <w:r w:rsidRPr="00F4223A">
        <w:rPr>
          <w:rFonts w:ascii="Times New Roman" w:eastAsia="MS Mincho" w:hAnsi="Times New Roman" w:cs="Times New Roman"/>
          <w:lang w:val="lt-LT" w:eastAsia="lt-LT"/>
        </w:rPr>
        <w:t xml:space="preserve"> arba slaugytoją</w:t>
      </w:r>
      <w:r w:rsidRPr="00F4223A">
        <w:rPr>
          <w:rFonts w:ascii="Times New Roman" w:hAnsi="Times New Roman"/>
          <w:lang w:val="lt-LT"/>
        </w:rPr>
        <w:t>.</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Šis vaistas skirtas </w:t>
      </w:r>
      <w:r w:rsidRPr="00F4223A">
        <w:rPr>
          <w:rFonts w:ascii="Times New Roman" w:eastAsia="MS Mincho" w:hAnsi="Times New Roman" w:cs="Times New Roman"/>
          <w:lang w:val="lt-LT" w:eastAsia="lt-LT"/>
        </w:rPr>
        <w:t xml:space="preserve">tik </w:t>
      </w:r>
      <w:r w:rsidRPr="00F4223A">
        <w:rPr>
          <w:rFonts w:ascii="Times New Roman" w:hAnsi="Times New Roman"/>
          <w:lang w:val="lt-LT"/>
        </w:rPr>
        <w:t xml:space="preserve">Jums, todėl kitiems žmonėms jo duoti negalima. Vaistas gali jiems pakenkti (net tiems, kurių ligos </w:t>
      </w:r>
      <w:r w:rsidRPr="00F4223A">
        <w:rPr>
          <w:rFonts w:ascii="Times New Roman" w:eastAsia="MS Mincho" w:hAnsi="Times New Roman" w:cs="Times New Roman"/>
          <w:lang w:val="lt-LT" w:eastAsia="lt-LT"/>
        </w:rPr>
        <w:t>požymiai</w:t>
      </w:r>
      <w:r w:rsidRPr="00F4223A">
        <w:rPr>
          <w:rFonts w:ascii="Times New Roman" w:hAnsi="Times New Roman"/>
          <w:lang w:val="lt-LT"/>
        </w:rPr>
        <w:t xml:space="preserve"> yra tokie patys kaip Jūsų).</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Jeigu pasireiškė šalutinis poveikis </w:t>
      </w:r>
      <w:r w:rsidRPr="00F4223A">
        <w:rPr>
          <w:rFonts w:ascii="Times New Roman" w:eastAsia="MS Mincho" w:hAnsi="Times New Roman" w:cs="Times New Roman"/>
          <w:lang w:val="lt-LT" w:eastAsia="lt-LT"/>
        </w:rPr>
        <w:t>(net jeigu jis</w:t>
      </w:r>
      <w:r w:rsidRPr="00F4223A">
        <w:rPr>
          <w:rFonts w:ascii="Times New Roman" w:hAnsi="Times New Roman"/>
          <w:lang w:val="lt-LT"/>
        </w:rPr>
        <w:t xml:space="preserve"> šiame lapelyje </w:t>
      </w:r>
      <w:r w:rsidRPr="00F4223A">
        <w:rPr>
          <w:rFonts w:ascii="Times New Roman" w:eastAsia="MS Mincho" w:hAnsi="Times New Roman" w:cs="Times New Roman"/>
          <w:lang w:val="lt-LT" w:eastAsia="lt-LT"/>
        </w:rPr>
        <w:t>nenurodytas), kreipkitės į gydytoją, vaistininką arba slaugytoją. Žr. 4 skyrių.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Apie ką rašoma šiame lapelyje?</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1.</w:t>
      </w:r>
      <w:r w:rsidRPr="00F4223A">
        <w:rPr>
          <w:rFonts w:ascii="Times New Roman" w:hAnsi="Times New Roman"/>
          <w:lang w:val="lt-LT"/>
        </w:rPr>
        <w:tab/>
        <w:t>Kas yra Gemcitabine Actavis ir kam jis vartojamas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2.</w:t>
      </w:r>
      <w:r w:rsidRPr="00F4223A">
        <w:rPr>
          <w:rFonts w:ascii="Times New Roman" w:hAnsi="Times New Roman"/>
          <w:lang w:val="lt-LT"/>
        </w:rPr>
        <w:tab/>
        <w:t xml:space="preserve">Kas žinotina prieš vartojant Gemcitabine Actavis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3.</w:t>
      </w:r>
      <w:r w:rsidRPr="00F4223A">
        <w:rPr>
          <w:rFonts w:ascii="Times New Roman" w:hAnsi="Times New Roman"/>
          <w:lang w:val="lt-LT"/>
        </w:rPr>
        <w:tab/>
        <w:t xml:space="preserve">Kaip vartoti Gemcitabine Actavis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4.</w:t>
      </w:r>
      <w:r w:rsidRPr="00F4223A">
        <w:rPr>
          <w:rFonts w:ascii="Times New Roman" w:hAnsi="Times New Roman"/>
          <w:lang w:val="lt-LT"/>
        </w:rPr>
        <w:tab/>
        <w:t>Galimas šalutinis poveikis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5.</w:t>
      </w:r>
      <w:r w:rsidRPr="00F4223A">
        <w:rPr>
          <w:rFonts w:ascii="Times New Roman" w:hAnsi="Times New Roman"/>
          <w:lang w:val="lt-LT"/>
        </w:rPr>
        <w:tab/>
        <w:t xml:space="preserve">Kaip laikyti Gemcitabine Actavis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6.</w:t>
      </w:r>
      <w:r w:rsidRPr="00F4223A">
        <w:rPr>
          <w:rFonts w:ascii="Times New Roman" w:hAnsi="Times New Roman"/>
          <w:lang w:val="lt-LT"/>
        </w:rPr>
        <w:tab/>
      </w:r>
      <w:r w:rsidRPr="00F4223A">
        <w:rPr>
          <w:rFonts w:ascii="Times New Roman" w:eastAsia="MS Mincho" w:hAnsi="Times New Roman" w:cs="Times New Roman"/>
          <w:lang w:val="lt-LT" w:eastAsia="lt-LT"/>
        </w:rPr>
        <w:t>Pakuotės turinys ir kita</w:t>
      </w:r>
      <w:r w:rsidRPr="00F4223A">
        <w:rPr>
          <w:rFonts w:ascii="Times New Roman" w:hAnsi="Times New Roman"/>
          <w:lang w:val="lt-LT"/>
        </w:rPr>
        <w:t xml:space="preserve"> informacija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ind w:left="567" w:hanging="567"/>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1.</w:t>
      </w:r>
      <w:r w:rsidRPr="00F4223A">
        <w:rPr>
          <w:rFonts w:ascii="Times New Roman" w:eastAsia="MS Mincho" w:hAnsi="Times New Roman" w:cs="Times New Roman"/>
          <w:b/>
          <w:lang w:val="lt-LT" w:eastAsia="lt-LT"/>
        </w:rPr>
        <w:tab/>
      </w:r>
      <w:r w:rsidRPr="00F4223A">
        <w:rPr>
          <w:rFonts w:ascii="Times New Roman" w:eastAsia="Times New Roman" w:hAnsi="Times New Roman" w:cs="Times New Roman"/>
          <w:b/>
          <w:szCs w:val="20"/>
          <w:lang w:val="lt-LT" w:eastAsia="lt-LT"/>
        </w:rPr>
        <w:t>Kas yra Gemcitabine Actavis ir kam jis vartojamas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Gemcitabine Actavis koncentratas infuziniam tirpalui (Gemcitabine Actavis) priklauso vaistų, vadinamų citotoksiniais, grupei. Šie vaistai naikina besidalijančias ląsteles, tarp jų ir vėžines.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Priklausomai nuo vėžio rūšies galima gydyti vien Gemcitabine Actavis arba jo deriniu su kitais priešvėžiniais vaistais.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Gemcitabine Actavis </w:t>
      </w:r>
      <w:r w:rsidRPr="00F4223A">
        <w:rPr>
          <w:rFonts w:ascii="Times New Roman" w:hAnsi="Times New Roman"/>
          <w:noProof/>
          <w:lang w:val="lt-LT" w:eastAsia="lt-LT"/>
        </w:rPr>
        <mc:AlternateContent>
          <mc:Choice Requires="wps">
            <w:drawing>
              <wp:anchor distT="0" distB="0" distL="114300" distR="114300" simplePos="0" relativeHeight="251659264" behindDoc="0" locked="0" layoutInCell="0" allowOverlap="1" wp14:anchorId="65AEA25A" wp14:editId="77973C72">
                <wp:simplePos x="0" y="0"/>
                <wp:positionH relativeFrom="column">
                  <wp:posOffset>-6626860</wp:posOffset>
                </wp:positionH>
                <wp:positionV relativeFrom="paragraph">
                  <wp:posOffset>1174750</wp:posOffset>
                </wp:positionV>
                <wp:extent cx="5055870" cy="55880"/>
                <wp:effectExtent l="12065" t="12700" r="8890" b="76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5870" cy="5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9A74"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8pt,92.5pt" to="-123.7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HoHgIAADYEAAAOAAAAZHJzL2Uyb0RvYy54bWysU02P2yAQvVfqf0DcE9tZJ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" o:allowincell="f"/>
            </w:pict>
          </mc:Fallback>
        </mc:AlternateContent>
      </w:r>
      <w:r w:rsidRPr="00F4223A">
        <w:rPr>
          <w:rFonts w:ascii="Times New Roman" w:hAnsi="Times New Roman"/>
          <w:noProof/>
          <w:lang w:val="lt-LT" w:eastAsia="lt-LT"/>
        </w:rPr>
        <mc:AlternateContent>
          <mc:Choice Requires="wps">
            <w:drawing>
              <wp:anchor distT="0" distB="0" distL="114300" distR="114300" simplePos="0" relativeHeight="251661312" behindDoc="0" locked="0" layoutInCell="0" allowOverlap="1" wp14:anchorId="7FF6D4E0" wp14:editId="3B519222">
                <wp:simplePos x="0" y="0"/>
                <wp:positionH relativeFrom="column">
                  <wp:posOffset>-1571625</wp:posOffset>
                </wp:positionH>
                <wp:positionV relativeFrom="paragraph">
                  <wp:posOffset>565150</wp:posOffset>
                </wp:positionV>
                <wp:extent cx="635" cy="280035"/>
                <wp:effectExtent l="9525" t="12700" r="889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0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608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4.5pt" to="-12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" o:allowincell="f"/>
            </w:pict>
          </mc:Fallback>
        </mc:AlternateContent>
      </w:r>
      <w:r w:rsidRPr="00F4223A">
        <w:rPr>
          <w:rFonts w:ascii="Times New Roman" w:hAnsi="Times New Roman"/>
          <w:noProof/>
          <w:lang w:val="lt-LT" w:eastAsia="lt-LT"/>
        </w:rPr>
        <mc:AlternateContent>
          <mc:Choice Requires="wps">
            <w:drawing>
              <wp:anchor distT="0" distB="0" distL="114300" distR="114300" simplePos="0" relativeHeight="251660288" behindDoc="0" locked="0" layoutInCell="0" allowOverlap="1" wp14:anchorId="435FE676" wp14:editId="51191AFA">
                <wp:simplePos x="0" y="0"/>
                <wp:positionH relativeFrom="column">
                  <wp:posOffset>-1571625</wp:posOffset>
                </wp:positionH>
                <wp:positionV relativeFrom="paragraph">
                  <wp:posOffset>806450</wp:posOffset>
                </wp:positionV>
                <wp:extent cx="400050" cy="483235"/>
                <wp:effectExtent l="9525" t="6350" r="952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83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5257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63.5pt" to="-92.2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DYFQIAACw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" o:allowincell="f"/>
            </w:pict>
          </mc:Fallback>
        </mc:AlternateContent>
      </w:r>
      <w:r w:rsidRPr="00F4223A">
        <w:rPr>
          <w:rFonts w:ascii="Times New Roman" w:hAnsi="Times New Roman"/>
          <w:lang w:val="lt-LT"/>
        </w:rPr>
        <w:t>gydomas šių rūšių vėžys: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sym w:font="Symbol" w:char="F0B7"/>
      </w:r>
      <w:r w:rsidRPr="00F4223A">
        <w:rPr>
          <w:rFonts w:ascii="Times New Roman" w:hAnsi="Times New Roman"/>
          <w:lang w:val="lt-LT"/>
        </w:rPr>
        <w:tab/>
        <w:t>nesmulkialąstelinis plaučių vėžys, derinant arba nederinant su cisplatina;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sym w:font="Symbol" w:char="F0B7"/>
      </w:r>
      <w:r w:rsidRPr="00F4223A">
        <w:rPr>
          <w:rFonts w:ascii="Times New Roman" w:hAnsi="Times New Roman"/>
          <w:lang w:val="lt-LT"/>
        </w:rPr>
        <w:tab/>
        <w:t>kasos vėžys;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sym w:font="Symbol" w:char="F0B7"/>
      </w:r>
      <w:r w:rsidRPr="00F4223A">
        <w:rPr>
          <w:rFonts w:ascii="Times New Roman" w:hAnsi="Times New Roman"/>
          <w:lang w:val="lt-LT"/>
        </w:rPr>
        <w:tab/>
        <w:t>krūties vėžys, derinant su paklitakseliu;</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sym w:font="Symbol" w:char="F0B7"/>
      </w:r>
      <w:r w:rsidRPr="00F4223A">
        <w:rPr>
          <w:rFonts w:ascii="Times New Roman" w:hAnsi="Times New Roman"/>
          <w:lang w:val="lt-LT"/>
        </w:rPr>
        <w:tab/>
        <w:t>kiaušidžių vėžys, derinant su karboplatina;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sym w:font="Symbol" w:char="F0B7"/>
      </w:r>
      <w:r w:rsidRPr="00F4223A">
        <w:rPr>
          <w:rFonts w:ascii="Times New Roman" w:hAnsi="Times New Roman"/>
          <w:lang w:val="lt-LT"/>
        </w:rPr>
        <w:tab/>
        <w:t>šlapimo pūslės vėžys, derinant su cisplatina.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ind w:left="567" w:hanging="567"/>
        <w:rPr>
          <w:rFonts w:ascii="Times New Roman" w:eastAsia="Times New Roman" w:hAnsi="Times New Roman" w:cs="Times New Roman"/>
          <w:b/>
          <w:szCs w:val="20"/>
          <w:lang w:val="lt-LT" w:eastAsia="lt-LT"/>
        </w:rPr>
      </w:pPr>
      <w:r w:rsidRPr="00F4223A">
        <w:rPr>
          <w:rFonts w:ascii="Times New Roman" w:eastAsia="MS Mincho" w:hAnsi="Times New Roman" w:cs="Times New Roman"/>
          <w:b/>
          <w:lang w:val="lt-LT" w:eastAsia="lt-LT"/>
        </w:rPr>
        <w:t>2.</w:t>
      </w:r>
      <w:r w:rsidRPr="00F4223A">
        <w:rPr>
          <w:rFonts w:ascii="Times New Roman" w:eastAsia="MS Mincho" w:hAnsi="Times New Roman" w:cs="Times New Roman"/>
          <w:b/>
          <w:lang w:val="lt-LT" w:eastAsia="lt-LT"/>
        </w:rPr>
        <w:tab/>
      </w:r>
      <w:r w:rsidRPr="00F4223A">
        <w:rPr>
          <w:rFonts w:ascii="Times New Roman" w:eastAsia="Times New Roman" w:hAnsi="Times New Roman" w:cs="Times New Roman"/>
          <w:b/>
          <w:szCs w:val="20"/>
          <w:lang w:val="lt-LT" w:eastAsia="lt-LT"/>
        </w:rPr>
        <w:t>Kas žinotina prieš vartojant Gemcitabine Actavis</w:t>
      </w:r>
    </w:p>
    <w:p w:rsidR="00F4223A" w:rsidRPr="00F4223A" w:rsidRDefault="00F4223A" w:rsidP="00F4223A">
      <w:pPr>
        <w:spacing w:after="0" w:line="240" w:lineRule="auto"/>
        <w:ind w:left="567" w:hanging="567"/>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Gemcitabine Actavis vartoti negalima:</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jeigu yra alergija gemcitabinui arba bet kuriai pagalbinei </w:t>
      </w:r>
      <w:r w:rsidRPr="00F4223A">
        <w:rPr>
          <w:rFonts w:ascii="Times New Roman" w:eastAsia="MS Mincho" w:hAnsi="Times New Roman" w:cs="Times New Roman"/>
          <w:lang w:val="lt-LT" w:eastAsia="lt-LT"/>
        </w:rPr>
        <w:t>šio vaisto</w:t>
      </w:r>
      <w:r w:rsidRPr="00F4223A">
        <w:rPr>
          <w:rFonts w:ascii="Times New Roman" w:hAnsi="Times New Roman"/>
          <w:lang w:val="lt-LT"/>
        </w:rPr>
        <w:t xml:space="preserve"> medžiagai</w:t>
      </w:r>
      <w:r w:rsidRPr="00F4223A">
        <w:rPr>
          <w:rFonts w:ascii="Times New Roman" w:eastAsia="MS Mincho" w:hAnsi="Times New Roman" w:cs="Times New Roman"/>
          <w:lang w:val="lt-LT" w:eastAsia="lt-LT"/>
        </w:rPr>
        <w:t xml:space="preserve"> (jos išvardytos 6 skyriuje)</w:t>
      </w:r>
      <w:r w:rsidR="008028EC">
        <w:rPr>
          <w:rFonts w:ascii="Times New Roman" w:eastAsia="MS Mincho" w:hAnsi="Times New Roman" w:cs="Times New Roman"/>
          <w:lang w:val="lt-LT" w:eastAsia="lt-LT"/>
        </w:rPr>
        <w:t>;</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jeigu krūtimi maitinate kūdikį.</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eastAsia="Times New Roman" w:hAnsi="Times New Roman" w:cs="Times New Roman"/>
          <w:b/>
          <w:szCs w:val="20"/>
          <w:lang w:val="lt-LT" w:eastAsia="lt-LT"/>
        </w:rPr>
        <w:t>Įspėjimai ir</w:t>
      </w:r>
      <w:r w:rsidRPr="00F4223A">
        <w:rPr>
          <w:rFonts w:ascii="Times New Roman" w:hAnsi="Times New Roman"/>
          <w:b/>
          <w:lang w:val="lt-LT"/>
        </w:rPr>
        <w:t xml:space="preserve"> atsargumo </w:t>
      </w:r>
      <w:r w:rsidRPr="00F4223A">
        <w:rPr>
          <w:rFonts w:ascii="Times New Roman" w:eastAsia="Times New Roman" w:hAnsi="Times New Roman" w:cs="Times New Roman"/>
          <w:b/>
          <w:szCs w:val="20"/>
          <w:lang w:val="lt-LT" w:eastAsia="lt-LT"/>
        </w:rPr>
        <w:t>priemonės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Prieš pirmos dozės infuziją Jums paims kraujo tyrimui, kad galėtų nustatyti, ar pakankama yra inkstų ir kepenų veikla. Kraują tirs prieš kiekvieną infuziją, kad galėtų nustatyti, ar pakankamas yra kraujo ląstelių kiekis, kad būtų galima gydyti gemcitabinu. Priklausomai nuo bendrosios Jūsų būklės ir tuo atveju, kai kraujo ląstelių kiekis yra per mažas, gydytojas gali nuspręsti keisti dozę arba gydymą atidėti. Kad būtų galima sekti inkstų ir kepenų veiklą, Jums periodiškai reikės atlikinėti kraujo tyrimus.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Pasitarkite su gydytoju, prieš pradėdami vartoti Gemcitabine Actavis:</w:t>
      </w:r>
    </w:p>
    <w:p w:rsidR="00F4223A" w:rsidRPr="00F4223A" w:rsidRDefault="00F4223A" w:rsidP="00F4223A">
      <w:pPr>
        <w:spacing w:after="0" w:line="240" w:lineRule="auto"/>
        <w:ind w:left="720" w:hanging="720"/>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jeigu sergate arba anksčiau sirgote kepenų, širdies ar kraujagyslių liga</w:t>
      </w:r>
      <w:r w:rsidRPr="00F4223A">
        <w:rPr>
          <w:rFonts w:ascii="Times New Roman" w:eastAsia="MS Mincho" w:hAnsi="Times New Roman" w:cs="Times New Roman"/>
          <w:lang w:val="lt-LT" w:eastAsia="lt-LT"/>
        </w:rPr>
        <w:t xml:space="preserve"> ar turėjote problemų su inkstais;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jeigu neseniai Jums buvo taikyta arba bus taikoma radioterapij</w:t>
      </w:r>
      <w:r w:rsidR="00981E8B">
        <w:rPr>
          <w:rFonts w:ascii="Times New Roman" w:hAnsi="Times New Roman"/>
          <w:lang w:val="lt-LT"/>
        </w:rPr>
        <w:t>a</w:t>
      </w:r>
      <w:r w:rsidRPr="00F4223A">
        <w:rPr>
          <w:rFonts w:ascii="Times New Roman" w:hAnsi="Times New Roman"/>
          <w:lang w:val="lt-LT"/>
        </w:rPr>
        <w:t>;</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jeigu neseniai Jus skiepijo;</w:t>
      </w:r>
    </w:p>
    <w:p w:rsidR="00F4223A" w:rsidRPr="00F4223A" w:rsidRDefault="00F4223A" w:rsidP="0069096F">
      <w:pPr>
        <w:spacing w:after="0" w:line="240" w:lineRule="auto"/>
        <w:ind w:left="709" w:hanging="709"/>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jeigu pasunkėjo kvėpavimas, jaučiate dideli silpnumą ir esate labai išblyškęs (tai gali būti inkstų nepakankamumo </w:t>
      </w:r>
      <w:r w:rsidRPr="00F4223A">
        <w:rPr>
          <w:rFonts w:ascii="Times New Roman" w:eastAsia="MS Mincho" w:hAnsi="Times New Roman" w:cs="Times New Roman"/>
          <w:lang w:val="lt-LT" w:eastAsia="lt-LT"/>
        </w:rPr>
        <w:t xml:space="preserve">ar problemų su Jūsų plaučiais  </w:t>
      </w:r>
      <w:r w:rsidRPr="00F4223A">
        <w:rPr>
          <w:rFonts w:ascii="Times New Roman" w:hAnsi="Times New Roman"/>
          <w:lang w:val="lt-LT"/>
        </w:rPr>
        <w:t>požymis);</w:t>
      </w:r>
    </w:p>
    <w:p w:rsidR="00F4223A" w:rsidRPr="00F4223A" w:rsidRDefault="00F4223A" w:rsidP="0069096F">
      <w:pPr>
        <w:spacing w:after="0" w:line="240" w:lineRule="auto"/>
        <w:ind w:left="709" w:hanging="709"/>
        <w:rPr>
          <w:rFonts w:ascii="Times New Roman" w:eastAsia="MS Mincho" w:hAnsi="Times New Roman" w:cs="Times New Roman"/>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nedelsiant kreipkitės į gydytoją, jei gydymo šiuo vaistu metu patiriate galvos skausmą, sumišimą, traukulius, regėjimo sutrikimus ar regėjimo pokyčius. Tai gali būti labai retas šalutinis poveikis nervų sistemai, kuris vadinamas užpakalinės grįžtamosios encefalopatijos sindromu.</w:t>
      </w:r>
    </w:p>
    <w:p w:rsidR="00F4223A" w:rsidRPr="00F4223A" w:rsidRDefault="00F4223A" w:rsidP="0069096F">
      <w:pPr>
        <w:spacing w:after="0" w:line="240" w:lineRule="auto"/>
        <w:ind w:left="709" w:hanging="709"/>
        <w:rPr>
          <w:rFonts w:ascii="Times New Roman" w:eastAsia="Times New Roman" w:hAnsi="Times New Roman" w:cs="Times New Roman"/>
          <w:szCs w:val="20"/>
          <w:lang w:val="lt-LT" w:eastAsia="lt-LT"/>
        </w:rPr>
      </w:pPr>
      <w:r w:rsidRPr="00F4223A">
        <w:rPr>
          <w:rFonts w:ascii="Times New Roman" w:eastAsia="MS Mincho" w:hAnsi="Times New Roman" w:cs="Times New Roman"/>
          <w:lang w:val="lt-LT" w:eastAsia="lt-LT"/>
        </w:rPr>
        <w:t>-</w:t>
      </w:r>
      <w:r w:rsidRPr="00F4223A">
        <w:rPr>
          <w:rFonts w:ascii="Times New Roman" w:eastAsia="MS Mincho" w:hAnsi="Times New Roman" w:cs="Times New Roman"/>
          <w:lang w:val="lt-LT" w:eastAsia="lt-LT"/>
        </w:rPr>
        <w:tab/>
      </w:r>
      <w:r w:rsidRPr="00F4223A">
        <w:rPr>
          <w:rFonts w:ascii="Times New Roman" w:eastAsia="Times New Roman" w:hAnsi="Times New Roman" w:cs="Times New Roman"/>
          <w:lang w:val="lt-LT" w:eastAsia="lt-LT"/>
        </w:rPr>
        <w:t>jeigu Jums vystosi bendras patinimas, trūksta oro ar priaugate svorio – tai gali būti požymis, kad skysčiai iš Jūsų kraujagyslių sunkiasi į audinius.</w:t>
      </w:r>
    </w:p>
    <w:p w:rsidR="00F4223A" w:rsidRPr="00F4223A" w:rsidRDefault="00F4223A" w:rsidP="00F4223A">
      <w:pPr>
        <w:spacing w:after="0" w:line="240" w:lineRule="auto"/>
        <w:ind w:left="567" w:hanging="567"/>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eastAsia="Times New Roman" w:hAnsi="Times New Roman" w:cs="Times New Roman"/>
          <w:b/>
          <w:lang w:val="lt-LT" w:eastAsia="lt-LT"/>
        </w:rPr>
      </w:pPr>
      <w:r w:rsidRPr="00F4223A">
        <w:rPr>
          <w:rFonts w:ascii="Times New Roman" w:eastAsia="Times New Roman" w:hAnsi="Times New Roman" w:cs="Times New Roman"/>
          <w:b/>
          <w:lang w:val="lt-LT" w:eastAsia="lt-LT"/>
        </w:rPr>
        <w:t>Vaikams ir paaugliams</w:t>
      </w:r>
    </w:p>
    <w:p w:rsidR="00F4223A" w:rsidRPr="00F4223A" w:rsidRDefault="00F4223A" w:rsidP="00F4223A">
      <w:pPr>
        <w:spacing w:after="0" w:line="240" w:lineRule="auto"/>
        <w:rPr>
          <w:rFonts w:ascii="Times New Roman" w:eastAsia="Times New Roman" w:hAnsi="Times New Roman" w:cs="Times New Roman"/>
          <w:lang w:val="lt-LT" w:eastAsia="lt-LT"/>
        </w:rPr>
      </w:pPr>
      <w:r w:rsidRPr="00F4223A">
        <w:rPr>
          <w:rFonts w:ascii="Times New Roman" w:eastAsia="Times New Roman" w:hAnsi="Times New Roman" w:cs="Times New Roman"/>
          <w:lang w:val="lt-LT" w:eastAsia="lt-LT"/>
        </w:rPr>
        <w:t>Šis vaistas neskirtas vartoti vaikams ir paaugliams iki 18 metų, nes nepakanka saugumo ir veiksmingumo duomenų.</w:t>
      </w:r>
    </w:p>
    <w:p w:rsidR="00F4223A" w:rsidRPr="00F4223A" w:rsidRDefault="00F4223A" w:rsidP="00F4223A">
      <w:pPr>
        <w:spacing w:after="0" w:line="240" w:lineRule="auto"/>
        <w:rPr>
          <w:rFonts w:ascii="Times New Roman" w:eastAsia="MS Mincho" w:hAnsi="Times New Roman" w:cs="Times New Roman"/>
          <w:b/>
          <w:lang w:val="lt-LT" w:eastAsia="lt-LT"/>
        </w:rPr>
      </w:pPr>
    </w:p>
    <w:p w:rsidR="00F4223A" w:rsidRPr="00F4223A" w:rsidRDefault="00F4223A" w:rsidP="00F4223A">
      <w:pPr>
        <w:spacing w:after="0" w:line="240" w:lineRule="auto"/>
        <w:rPr>
          <w:rFonts w:ascii="Times New Roman" w:eastAsia="Times New Roman" w:hAnsi="Times New Roman" w:cs="Times New Roman"/>
          <w:b/>
          <w:szCs w:val="20"/>
          <w:lang w:val="lt-LT" w:eastAsia="lt-LT"/>
        </w:rPr>
      </w:pPr>
      <w:r w:rsidRPr="00F4223A">
        <w:rPr>
          <w:rFonts w:ascii="Times New Roman" w:eastAsia="Times New Roman" w:hAnsi="Times New Roman" w:cs="Times New Roman"/>
          <w:b/>
          <w:szCs w:val="20"/>
          <w:lang w:val="lt-LT" w:eastAsia="lt-LT"/>
        </w:rPr>
        <w:t>Kiti vaistai ir Gemcitabine Actavis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Jeigu vartojate arba neseniai vartojote kitų vaistų įskaitant vakcinas ir be recepto įsigytus </w:t>
      </w:r>
      <w:r w:rsidRPr="00F4223A">
        <w:rPr>
          <w:rFonts w:ascii="Times New Roman" w:eastAsia="Times New Roman" w:hAnsi="Times New Roman" w:cs="Times New Roman"/>
          <w:noProof/>
          <w:szCs w:val="20"/>
          <w:lang w:val="lt-LT" w:eastAsia="lt-LT"/>
        </w:rPr>
        <w:t xml:space="preserve">vaistus, </w:t>
      </w:r>
      <w:r w:rsidRPr="00F4223A">
        <w:rPr>
          <w:rFonts w:ascii="Times New Roman" w:eastAsia="Times New Roman" w:hAnsi="Times New Roman" w:cs="Times New Roman"/>
          <w:noProof/>
          <w:lang w:val="lt-LT" w:eastAsia="lt-LT"/>
        </w:rPr>
        <w:t>arba jei Jums neseniai buvo atlikta arba planuojama atlikti radioterapija</w:t>
      </w:r>
      <w:r w:rsidRPr="00F4223A">
        <w:rPr>
          <w:rFonts w:ascii="Times New Roman" w:eastAsia="Times New Roman" w:hAnsi="Times New Roman" w:cs="Times New Roman"/>
          <w:noProof/>
          <w:szCs w:val="20"/>
          <w:lang w:val="lt-LT" w:eastAsia="lt-LT"/>
        </w:rPr>
        <w:t xml:space="preserve"> arba dėl to nesate tikri, apie tai</w:t>
      </w:r>
      <w:r w:rsidRPr="00F4223A">
        <w:rPr>
          <w:rFonts w:ascii="Times New Roman" w:hAnsi="Times New Roman"/>
          <w:lang w:val="lt-LT"/>
        </w:rPr>
        <w:t xml:space="preserve"> pasakykite gydytojui arba vaistininkui.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Nėštumas</w:t>
      </w:r>
      <w:r w:rsidRPr="00F4223A">
        <w:rPr>
          <w:rFonts w:ascii="Times New Roman" w:eastAsia="MS Mincho" w:hAnsi="Times New Roman" w:cs="Times New Roman"/>
          <w:b/>
          <w:lang w:val="lt-LT" w:eastAsia="lt-LT"/>
        </w:rPr>
        <w:t>,</w:t>
      </w:r>
      <w:r w:rsidRPr="00F4223A">
        <w:rPr>
          <w:rFonts w:ascii="Times New Roman" w:hAnsi="Times New Roman"/>
          <w:b/>
          <w:lang w:val="lt-LT"/>
        </w:rPr>
        <w:t xml:space="preserve"> žindymo laikotarpis</w:t>
      </w:r>
      <w:r w:rsidRPr="00F4223A">
        <w:rPr>
          <w:rFonts w:ascii="Times New Roman" w:eastAsia="MS Mincho" w:hAnsi="Times New Roman" w:cs="Times New Roman"/>
          <w:b/>
          <w:lang w:val="lt-LT" w:eastAsia="lt-LT"/>
        </w:rPr>
        <w:t xml:space="preserve"> ir vaisingumas</w:t>
      </w:r>
    </w:p>
    <w:p w:rsidR="00F4223A" w:rsidRPr="00F4223A" w:rsidRDefault="00F4223A" w:rsidP="00F4223A">
      <w:pPr>
        <w:spacing w:after="0" w:line="240" w:lineRule="auto"/>
        <w:rPr>
          <w:rFonts w:ascii="Times New Roman" w:hAnsi="Times New Roman"/>
          <w:b/>
          <w:lang w:val="lt-LT"/>
        </w:rPr>
      </w:pPr>
      <w:r w:rsidRPr="00F4223A">
        <w:rPr>
          <w:rFonts w:ascii="Times New Roman" w:eastAsia="Times New Roman" w:hAnsi="Times New Roman" w:cs="Times New Roman"/>
          <w:b/>
          <w:szCs w:val="20"/>
          <w:lang w:val="lt-LT" w:eastAsia="lt-LT"/>
        </w:rPr>
        <w:t>Nėštumas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Jeigu esate nėščia</w:t>
      </w:r>
      <w:r w:rsidRPr="00F4223A">
        <w:rPr>
          <w:rFonts w:ascii="Times New Roman" w:eastAsia="Times New Roman" w:hAnsi="Times New Roman" w:cs="Times New Roman"/>
          <w:szCs w:val="20"/>
          <w:lang w:val="lt-LT" w:eastAsia="lt-LT"/>
        </w:rPr>
        <w:t>, žindote kūdikį</w:t>
      </w:r>
      <w:r w:rsidRPr="00F4223A">
        <w:rPr>
          <w:rFonts w:ascii="Times New Roman" w:hAnsi="Times New Roman"/>
          <w:lang w:val="lt-LT"/>
        </w:rPr>
        <w:t xml:space="preserve"> arba </w:t>
      </w:r>
      <w:r w:rsidRPr="00F4223A">
        <w:rPr>
          <w:rFonts w:ascii="Times New Roman" w:eastAsia="Times New Roman" w:hAnsi="Times New Roman" w:cs="Times New Roman"/>
          <w:szCs w:val="20"/>
          <w:lang w:val="lt-LT" w:eastAsia="lt-LT"/>
        </w:rPr>
        <w:t>manote, kad galbūt esate nėščia arba planuojate pastoti, tai prieš vartodama šį vaistą pasitarkite su gydytoju</w:t>
      </w:r>
      <w:r w:rsidRPr="00F4223A">
        <w:rPr>
          <w:rFonts w:ascii="Times New Roman" w:hAnsi="Times New Roman"/>
          <w:lang w:val="lt-LT"/>
        </w:rPr>
        <w:t>. Nėštumo metu Gemcitabine Actavis vartoti reikia vengti. Jūsų gydytojas Jus informuos apie gemcitabino vartojimo nėštumo metu galimą riziką.</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eastAsia="MS Mincho" w:hAnsi="Times New Roman" w:cs="Times New Roman"/>
          <w:lang w:val="lt-LT" w:eastAsia="lt-LT"/>
        </w:rPr>
      </w:pPr>
      <w:r w:rsidRPr="00F4223A">
        <w:rPr>
          <w:rFonts w:ascii="Times New Roman" w:eastAsia="MS Mincho" w:hAnsi="Times New Roman" w:cs="Times New Roman"/>
          <w:b/>
          <w:lang w:val="lt-LT" w:eastAsia="lt-LT"/>
        </w:rPr>
        <w:t>Žindymas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Jeigu krūtimi maitinate kūdikį, pasakykite gydytojui.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Gydymo Gemcitabine Actavis metu žindymą turite nutraukti.</w:t>
      </w:r>
      <w:r w:rsidRPr="00F4223A" w:rsidDel="007745DB">
        <w:rPr>
          <w:rFonts w:ascii="Times New Roman" w:hAnsi="Times New Roman"/>
          <w:lang w:val="lt-LT"/>
        </w:rPr>
        <w:t xml:space="preserve">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Times New Roman" w:hAnsi="Times New Roman" w:cs="Times New Roman"/>
          <w:b/>
          <w:lang w:val="lt-LT" w:eastAsia="lt-LT"/>
        </w:rPr>
      </w:pPr>
      <w:r w:rsidRPr="00F4223A">
        <w:rPr>
          <w:rFonts w:ascii="Times New Roman" w:eastAsia="Times New Roman" w:hAnsi="Times New Roman" w:cs="Times New Roman"/>
          <w:b/>
          <w:lang w:val="lt-LT" w:eastAsia="lt-LT"/>
        </w:rPr>
        <w:t>Vaisingumas</w:t>
      </w:r>
    </w:p>
    <w:p w:rsidR="00F4223A" w:rsidRPr="00F4223A" w:rsidRDefault="00F4223A" w:rsidP="00F4223A">
      <w:pPr>
        <w:spacing w:after="0" w:line="240" w:lineRule="auto"/>
        <w:rPr>
          <w:rFonts w:ascii="Times New Roman" w:eastAsia="MS Mincho" w:hAnsi="Times New Roman" w:cs="Times New Roman"/>
          <w:lang w:val="lt-LT" w:eastAsia="lt-LT"/>
        </w:rPr>
      </w:pPr>
      <w:r w:rsidRPr="00F4223A">
        <w:rPr>
          <w:rFonts w:ascii="Times New Roman" w:hAnsi="Times New Roman"/>
          <w:lang w:val="lt-LT"/>
        </w:rPr>
        <w:t xml:space="preserve">Gydymo Gemcitabine Actavis metu ir mažiausiai 6 mėn. po jo vyrams patariama </w:t>
      </w:r>
      <w:r w:rsidRPr="00F4223A">
        <w:rPr>
          <w:rFonts w:ascii="Times New Roman" w:eastAsia="Times New Roman" w:hAnsi="Times New Roman" w:cs="Times New Roman"/>
          <w:lang w:val="lt-LT" w:eastAsia="lt-LT"/>
        </w:rPr>
        <w:t>moters neapvaisinti. Jeigu gydymo metu arba 6 mėn. laikotarpiu po jo ją apvaisintumėte, kreipkitės į gydytoją arba vaistininką patarimo. Prieš gydymą vyrams patariama kreiptis patarimo dėl spermos konservavimo</w:t>
      </w:r>
      <w:r w:rsidR="00981E8B">
        <w:rPr>
          <w:rFonts w:ascii="Times New Roman" w:eastAsia="Times New Roman" w:hAnsi="Times New Roman" w:cs="Times New Roman"/>
          <w:lang w:val="lt-LT" w:eastAsia="lt-LT"/>
        </w:rPr>
        <w:t xml:space="preserve">. </w:t>
      </w:r>
    </w:p>
    <w:p w:rsidR="00F4223A" w:rsidRPr="00F4223A" w:rsidRDefault="00F4223A" w:rsidP="00F4223A">
      <w:pPr>
        <w:spacing w:after="0" w:line="240" w:lineRule="auto"/>
        <w:rPr>
          <w:rFonts w:ascii="Times New Roman" w:eastAsia="MS Mincho" w:hAnsi="Times New Roman" w:cs="Times New Roman"/>
          <w:b/>
          <w:lang w:val="lt-LT" w:eastAsia="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Vairavimas ir mechanizmų valdymas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Gemcitabine Actavis gali sukelti mieguistumą. Šio vaisto sudėtyje esantis alkoholio kiekis gali trikdyti Jūsų gebėjimą vairuoti ir valdyti mechanizmus. Nevairuokite automobilio ir nevaldykite mechanizmų tol, kol nebūsite tikri, kad gydymas Gemcitabine Actavis Jūsų budrumo nesutrikdė.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ind w:left="567" w:hanging="567"/>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3.</w:t>
      </w:r>
      <w:r w:rsidRPr="00F4223A">
        <w:rPr>
          <w:rFonts w:ascii="Times New Roman" w:eastAsia="MS Mincho" w:hAnsi="Times New Roman" w:cs="Times New Roman"/>
          <w:b/>
          <w:lang w:val="lt-LT" w:eastAsia="lt-LT"/>
        </w:rPr>
        <w:tab/>
        <w:t>Kaip vartoti Gemcitabine Actavis</w:t>
      </w:r>
    </w:p>
    <w:p w:rsidR="00F4223A" w:rsidRPr="00F4223A" w:rsidRDefault="00F4223A" w:rsidP="00F4223A">
      <w:pPr>
        <w:spacing w:after="0" w:line="240" w:lineRule="auto"/>
        <w:ind w:left="567" w:hanging="567"/>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hAnsi="Times New Roman"/>
          <w:lang w:val="lt-LT"/>
        </w:rPr>
      </w:pPr>
      <w:r w:rsidRPr="00F4223A">
        <w:rPr>
          <w:rFonts w:ascii="Times New Roman" w:eastAsia="MS Mincho" w:hAnsi="Times New Roman" w:cs="Times New Roman"/>
          <w:lang w:val="lt-LT" w:eastAsia="lt-LT"/>
        </w:rPr>
        <w:t>Rekomenduojama</w:t>
      </w:r>
      <w:r w:rsidRPr="00F4223A">
        <w:rPr>
          <w:rFonts w:ascii="Times New Roman" w:hAnsi="Times New Roman"/>
          <w:lang w:val="lt-LT"/>
        </w:rPr>
        <w:t xml:space="preserve"> Gemcitabine Actavis dozė yra 1 000-1 250 mg/m</w:t>
      </w:r>
      <w:r w:rsidRPr="00F4223A">
        <w:rPr>
          <w:rFonts w:ascii="Times New Roman" w:hAnsi="Times New Roman"/>
          <w:vertAlign w:val="superscript"/>
          <w:lang w:val="lt-LT"/>
        </w:rPr>
        <w:t xml:space="preserve">2 </w:t>
      </w:r>
      <w:r w:rsidRPr="00F4223A">
        <w:rPr>
          <w:rFonts w:ascii="Times New Roman" w:hAnsi="Times New Roman"/>
          <w:lang w:val="lt-LT"/>
        </w:rPr>
        <w:t xml:space="preserve">kūno paviršiaus ploto. Kūno paviršiaus plotą apskaičiuos pamatavę Jūsų ūgį ir kūno svorį. Jūsų gydytojas, atsižvelgęs į apskaičiuotą kūno paviršiaus plotą, nustatys tikslią dozę. Priklausomai nuo bendrosios Jūsų būklės ir kraujo ląstelių kiekio gydytojas gali keisti šią dozę arba atidėti gydymą.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tabs>
          <w:tab w:val="left" w:pos="0"/>
        </w:tabs>
        <w:spacing w:after="0" w:line="240" w:lineRule="auto"/>
        <w:rPr>
          <w:rFonts w:ascii="Times New Roman" w:hAnsi="Times New Roman"/>
          <w:lang w:val="lt-LT"/>
        </w:rPr>
      </w:pPr>
      <w:r w:rsidRPr="00F4223A">
        <w:rPr>
          <w:rFonts w:ascii="Times New Roman" w:hAnsi="Times New Roman"/>
          <w:lang w:val="lt-LT"/>
        </w:rPr>
        <w:t xml:space="preserve">Kaip dažnai Jums infuzuos Gemcitabine Actavis, priklausys nuo gydomo vėžio rūšies.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Prieš infuziją klinikinis farmacininkas arba gydytojas Gemcitabine Actavis koncentratą infuziniam tirpalui praskies.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Gemcitabine Actavis tirpalą visada Jums lašins į vieną iš Jūsų venų. Infuzija truks maždaug 30 minučių.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Šio vaisto nerekomenduojama vartoti jaunesniems kaip 18 metų vaikams.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Jeigu kiltų daugiau klausimų dėl šio vaisto vartojimo, kreipkitės į gydytoją arba vaistininką.</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4.</w:t>
      </w:r>
      <w:r w:rsidRPr="00F4223A">
        <w:rPr>
          <w:rFonts w:ascii="Times New Roman" w:eastAsia="MS Mincho" w:hAnsi="Times New Roman" w:cs="Times New Roman"/>
          <w:b/>
          <w:lang w:val="lt-LT" w:eastAsia="lt-LT"/>
        </w:rPr>
        <w:tab/>
      </w:r>
      <w:r w:rsidRPr="00F4223A">
        <w:rPr>
          <w:rFonts w:ascii="Times New Roman" w:eastAsia="Times New Roman" w:hAnsi="Times New Roman" w:cs="Times New Roman"/>
          <w:b/>
          <w:szCs w:val="20"/>
          <w:lang w:val="lt-LT" w:eastAsia="lt-LT"/>
        </w:rPr>
        <w:t>Galimas šalutinis poveikis</w:t>
      </w:r>
    </w:p>
    <w:p w:rsidR="00F4223A" w:rsidRPr="00F4223A" w:rsidRDefault="00F4223A" w:rsidP="00F4223A">
      <w:pPr>
        <w:spacing w:after="0" w:line="240" w:lineRule="auto"/>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hAnsi="Times New Roman"/>
          <w:lang w:val="lt-LT"/>
        </w:rPr>
      </w:pPr>
      <w:r w:rsidRPr="00F4223A">
        <w:rPr>
          <w:rFonts w:ascii="Times New Roman" w:eastAsia="Times New Roman" w:hAnsi="Times New Roman" w:cs="Times New Roman"/>
          <w:szCs w:val="20"/>
          <w:lang w:val="lt-LT" w:eastAsia="lt-LT"/>
        </w:rPr>
        <w:t>Šis vaistas</w:t>
      </w:r>
      <w:r w:rsidRPr="00F4223A">
        <w:rPr>
          <w:rFonts w:ascii="Times New Roman" w:hAnsi="Times New Roman"/>
          <w:lang w:val="lt-LT"/>
        </w:rPr>
        <w:t>, kaip ir kiti, gali sukelti šalutinį poveikį, nors jis pasireiškia ne visiems žmonėms.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Jeigu pasireiškia kuri nors iš toliau išvardytų būklių, turite nedelsdami kreiptis į savo gydytoją.</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Karščiavimas arba infekcinė liga (dažnas</w:t>
      </w:r>
      <w:r w:rsidRPr="00F4223A">
        <w:rPr>
          <w:rFonts w:ascii="Times New Roman" w:eastAsia="MS Mincho" w:hAnsi="Times New Roman" w:cs="Times New Roman"/>
          <w:lang w:val="lt-LT" w:eastAsia="lt-LT"/>
        </w:rPr>
        <w:t xml:space="preserve">, gali pasireikšti </w:t>
      </w:r>
      <w:r w:rsidR="00981E8B">
        <w:rPr>
          <w:rFonts w:ascii="Times New Roman" w:eastAsia="MS Mincho" w:hAnsi="Times New Roman" w:cs="Times New Roman"/>
          <w:lang w:val="lt-LT" w:eastAsia="lt-LT"/>
        </w:rPr>
        <w:t>mažiau kaip</w:t>
      </w:r>
      <w:r w:rsidRPr="00F4223A">
        <w:rPr>
          <w:rFonts w:ascii="Times New Roman" w:eastAsia="MS Mincho" w:hAnsi="Times New Roman" w:cs="Times New Roman"/>
          <w:lang w:val="lt-LT" w:eastAsia="lt-LT"/>
        </w:rPr>
        <w:t xml:space="preserve"> 1 iš 10 žmonių</w:t>
      </w:r>
      <w:r w:rsidRPr="00F4223A">
        <w:rPr>
          <w:rFonts w:ascii="Times New Roman" w:hAnsi="Times New Roman"/>
          <w:lang w:val="lt-LT"/>
        </w:rPr>
        <w:t>): jeigu kūno temperatūra yra 38</w:t>
      </w:r>
      <w:r w:rsidRPr="00F4223A">
        <w:rPr>
          <w:rFonts w:ascii="Times New Roman" w:hAnsi="Times New Roman"/>
          <w:lang w:val="lt-LT"/>
        </w:rPr>
        <w:sym w:font="Symbol" w:char="F0B0"/>
      </w:r>
      <w:r w:rsidRPr="00F4223A">
        <w:rPr>
          <w:rFonts w:ascii="Times New Roman" w:hAnsi="Times New Roman"/>
          <w:lang w:val="lt-LT"/>
        </w:rPr>
        <w:t> C arba aukštesnė, prakaituojate arba atsiranda kitokių infekcinės ligos simptomų, kadangi tokiu atveju baltųjų kraujo ląstelių kiekis gali būti mažesnis už normalų (labai dažnas).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Nereguliarus širdies ritmas (aritmija) (</w:t>
      </w:r>
      <w:r w:rsidRPr="00F4223A">
        <w:rPr>
          <w:rFonts w:ascii="Times New Roman" w:eastAsia="MS Mincho" w:hAnsi="Times New Roman" w:cs="Times New Roman"/>
          <w:lang w:val="lt-LT" w:eastAsia="lt-LT"/>
        </w:rPr>
        <w:t xml:space="preserve">nedažnas (gali pasireikšti </w:t>
      </w:r>
      <w:r w:rsidR="00981E8B">
        <w:rPr>
          <w:rFonts w:ascii="Times New Roman" w:eastAsia="MS Mincho" w:hAnsi="Times New Roman" w:cs="Times New Roman"/>
          <w:lang w:val="lt-LT" w:eastAsia="lt-LT"/>
        </w:rPr>
        <w:t>mažiau kaip</w:t>
      </w:r>
      <w:r w:rsidRPr="00F4223A">
        <w:rPr>
          <w:rFonts w:ascii="Times New Roman" w:eastAsia="MS Mincho" w:hAnsi="Times New Roman" w:cs="Times New Roman"/>
          <w:lang w:val="lt-LT" w:eastAsia="lt-LT"/>
        </w:rPr>
        <w:t xml:space="preserve"> 1 iš 100 žmonių</w:t>
      </w:r>
      <w:r w:rsidRPr="00F4223A">
        <w:rPr>
          <w:rFonts w:ascii="Times New Roman" w:hAnsi="Times New Roman"/>
          <w:lang w:val="lt-LT"/>
        </w:rPr>
        <w:t xml:space="preserve">). </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Burnos skausmas, paraudimas, patinimas, opelės (dažnas</w:t>
      </w:r>
      <w:r w:rsidRPr="00F4223A">
        <w:rPr>
          <w:rFonts w:ascii="Times New Roman" w:eastAsia="MS Mincho" w:hAnsi="Times New Roman" w:cs="Times New Roman"/>
          <w:lang w:val="lt-LT" w:eastAsia="lt-LT"/>
        </w:rPr>
        <w:t xml:space="preserve">, gali pasireikšti </w:t>
      </w:r>
      <w:r w:rsidR="00981E8B">
        <w:rPr>
          <w:rFonts w:ascii="Times New Roman" w:eastAsia="MS Mincho" w:hAnsi="Times New Roman" w:cs="Times New Roman"/>
          <w:lang w:val="lt-LT" w:eastAsia="lt-LT"/>
        </w:rPr>
        <w:t>mažiau kaip</w:t>
      </w:r>
      <w:r w:rsidRPr="00F4223A">
        <w:rPr>
          <w:rFonts w:ascii="Times New Roman" w:eastAsia="MS Mincho" w:hAnsi="Times New Roman" w:cs="Times New Roman"/>
          <w:lang w:val="lt-LT" w:eastAsia="lt-LT"/>
        </w:rPr>
        <w:t xml:space="preserve"> 1 iš 10 žmonių)).</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Alerginė reakcija: pasireiškė odos išbėrimas (labai</w:t>
      </w:r>
      <w:r w:rsidR="00981E8B">
        <w:rPr>
          <w:rFonts w:ascii="Times New Roman" w:hAnsi="Times New Roman"/>
          <w:lang w:val="lt-LT"/>
        </w:rPr>
        <w:t xml:space="preserve"> dažnas</w:t>
      </w:r>
      <w:r w:rsidRPr="00F4223A">
        <w:rPr>
          <w:rFonts w:ascii="Times New Roman" w:hAnsi="Times New Roman"/>
          <w:lang w:val="lt-LT"/>
        </w:rPr>
        <w:t xml:space="preserve"> </w:t>
      </w:r>
      <w:r w:rsidRPr="00F4223A">
        <w:rPr>
          <w:rFonts w:ascii="Times New Roman" w:eastAsia="MS Mincho" w:hAnsi="Times New Roman" w:cs="Times New Roman"/>
          <w:lang w:val="lt-LT" w:eastAsia="lt-LT"/>
        </w:rPr>
        <w:t>(gali pasireikšti daugiau nei 1 žmogui iš 10)),</w:t>
      </w:r>
      <w:r w:rsidRPr="00F4223A">
        <w:rPr>
          <w:rFonts w:ascii="Times New Roman" w:hAnsi="Times New Roman"/>
          <w:lang w:val="lt-LT"/>
        </w:rPr>
        <w:t xml:space="preserve"> </w:t>
      </w:r>
      <w:r w:rsidR="00125C45" w:rsidRPr="00F4223A">
        <w:rPr>
          <w:rFonts w:ascii="Times New Roman" w:hAnsi="Times New Roman"/>
          <w:lang w:val="lt-LT"/>
        </w:rPr>
        <w:t>niež</w:t>
      </w:r>
      <w:r w:rsidR="00125C45">
        <w:rPr>
          <w:rFonts w:ascii="Times New Roman" w:hAnsi="Times New Roman"/>
          <w:lang w:val="lt-LT"/>
        </w:rPr>
        <w:t>ėjimas</w:t>
      </w:r>
      <w:r w:rsidR="00125C45" w:rsidRPr="00F4223A">
        <w:rPr>
          <w:rFonts w:ascii="Times New Roman" w:hAnsi="Times New Roman"/>
          <w:lang w:val="lt-LT"/>
        </w:rPr>
        <w:t xml:space="preserve"> </w:t>
      </w:r>
      <w:r w:rsidRPr="00F4223A">
        <w:rPr>
          <w:rFonts w:ascii="Times New Roman" w:hAnsi="Times New Roman"/>
          <w:lang w:val="lt-LT"/>
        </w:rPr>
        <w:t>(dažnas</w:t>
      </w:r>
      <w:r w:rsidRPr="00F4223A">
        <w:rPr>
          <w:rFonts w:ascii="Times New Roman" w:eastAsia="MS Mincho" w:hAnsi="Times New Roman" w:cs="Times New Roman"/>
          <w:lang w:val="lt-LT" w:eastAsia="lt-LT"/>
        </w:rPr>
        <w:t xml:space="preserve"> gali pasireikšti </w:t>
      </w:r>
      <w:r w:rsidR="00981E8B">
        <w:rPr>
          <w:rFonts w:ascii="Times New Roman" w:eastAsia="MS Mincho" w:hAnsi="Times New Roman" w:cs="Times New Roman"/>
          <w:lang w:val="lt-LT" w:eastAsia="lt-LT"/>
        </w:rPr>
        <w:t>mažiau kaip</w:t>
      </w:r>
      <w:r w:rsidRPr="00F4223A">
        <w:rPr>
          <w:rFonts w:ascii="Times New Roman" w:eastAsia="MS Mincho" w:hAnsi="Times New Roman" w:cs="Times New Roman"/>
          <w:lang w:val="lt-LT" w:eastAsia="lt-LT"/>
        </w:rPr>
        <w:t xml:space="preserve"> 1 iš 10 žmonių)),</w:t>
      </w:r>
      <w:r w:rsidRPr="00F4223A">
        <w:rPr>
          <w:rFonts w:ascii="Times New Roman" w:hAnsi="Times New Roman"/>
          <w:lang w:val="lt-LT"/>
        </w:rPr>
        <w:t xml:space="preserve"> arba karščiavimas (labai dažnas</w:t>
      </w:r>
      <w:r w:rsidRPr="00F4223A">
        <w:rPr>
          <w:rFonts w:ascii="Times New Roman" w:eastAsia="MS Mincho" w:hAnsi="Times New Roman" w:cs="Times New Roman"/>
          <w:lang w:val="lt-LT" w:eastAsia="lt-LT"/>
        </w:rPr>
        <w:t xml:space="preserve"> (gali pasireikšti daugiau nei 1 iš 10)).</w:t>
      </w:r>
    </w:p>
    <w:p w:rsidR="00F4223A" w:rsidRPr="00F4223A" w:rsidRDefault="00F4223A" w:rsidP="00F4223A">
      <w:pPr>
        <w:spacing w:after="0" w:line="240" w:lineRule="auto"/>
        <w:ind w:left="567" w:hanging="567"/>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 xml:space="preserve">Anafilaksinės reakcijos (padidinto jautrumo/alerginės reakcijos): odos </w:t>
      </w:r>
      <w:r w:rsidR="00E20DD8">
        <w:rPr>
          <w:rFonts w:ascii="Times New Roman" w:eastAsia="Times New Roman" w:hAnsi="Times New Roman" w:cs="Times New Roman"/>
          <w:szCs w:val="20"/>
          <w:lang w:val="lt-LT" w:eastAsia="lt-LT"/>
        </w:rPr>
        <w:t>iš</w:t>
      </w:r>
      <w:r w:rsidRPr="00F4223A">
        <w:rPr>
          <w:rFonts w:ascii="Times New Roman" w:eastAsia="Times New Roman" w:hAnsi="Times New Roman" w:cs="Times New Roman"/>
          <w:szCs w:val="20"/>
          <w:lang w:val="lt-LT" w:eastAsia="lt-LT"/>
        </w:rPr>
        <w:t xml:space="preserve">bėrimas, įskaitant paraudusią niežtinčią odą; rankų, pėdų, kulkšnių, veido, lūpų, burnos ar gerklės patinimas (dėl ko pasunkėja rijimas ir kvėpavimas), </w:t>
      </w:r>
      <w:r w:rsidR="00E20DD8">
        <w:rPr>
          <w:rFonts w:ascii="Times New Roman" w:eastAsia="Times New Roman" w:hAnsi="Times New Roman" w:cs="Times New Roman"/>
          <w:szCs w:val="20"/>
          <w:lang w:val="lt-LT" w:eastAsia="lt-LT"/>
        </w:rPr>
        <w:t>gargimas</w:t>
      </w:r>
      <w:r w:rsidRPr="00F4223A">
        <w:rPr>
          <w:rFonts w:ascii="Times New Roman" w:eastAsia="Times New Roman" w:hAnsi="Times New Roman" w:cs="Times New Roman"/>
          <w:szCs w:val="20"/>
          <w:lang w:val="lt-LT" w:eastAsia="lt-LT"/>
        </w:rPr>
        <w:t xml:space="preserve">, greitas širdies plakimas (tachikardija) ir pojūtis, kad apalpsite (netikėtas sąmonės praradimas dėl nepakankamo kraujo kiekio smegenyse) (labai retas (gali pasireikšti </w:t>
      </w:r>
      <w:r w:rsidR="00981E8B">
        <w:rPr>
          <w:rFonts w:ascii="Times New Roman" w:eastAsia="Times New Roman" w:hAnsi="Times New Roman" w:cs="Times New Roman"/>
          <w:szCs w:val="20"/>
          <w:lang w:val="lt-LT" w:eastAsia="lt-LT"/>
        </w:rPr>
        <w:t>mažiau kaip</w:t>
      </w:r>
      <w:r w:rsidRPr="00F4223A">
        <w:rPr>
          <w:rFonts w:ascii="Times New Roman" w:eastAsia="Times New Roman" w:hAnsi="Times New Roman" w:cs="Times New Roman"/>
          <w:szCs w:val="20"/>
          <w:lang w:val="lt-LT" w:eastAsia="lt-LT"/>
        </w:rPr>
        <w:t xml:space="preserve"> 1 iš 10000 žmonių)).</w:t>
      </w:r>
    </w:p>
    <w:p w:rsidR="00F4223A" w:rsidRPr="00F4223A" w:rsidRDefault="00F4223A" w:rsidP="00F4223A">
      <w:pPr>
        <w:spacing w:after="0" w:line="240" w:lineRule="auto"/>
        <w:ind w:left="567" w:hanging="567"/>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 xml:space="preserve">Širdies priepuolis (miokardo infarktas) (retas (gali pasireikšti </w:t>
      </w:r>
      <w:r w:rsidR="00981E8B">
        <w:rPr>
          <w:rFonts w:ascii="Times New Roman" w:eastAsia="Times New Roman" w:hAnsi="Times New Roman" w:cs="Times New Roman"/>
          <w:szCs w:val="20"/>
          <w:lang w:val="lt-LT" w:eastAsia="lt-LT"/>
        </w:rPr>
        <w:t>mažiau kaip</w:t>
      </w:r>
      <w:r w:rsidRPr="00F4223A">
        <w:rPr>
          <w:rFonts w:ascii="Times New Roman" w:eastAsia="Times New Roman" w:hAnsi="Times New Roman" w:cs="Times New Roman"/>
          <w:szCs w:val="20"/>
          <w:lang w:val="lt-LT" w:eastAsia="lt-LT"/>
        </w:rPr>
        <w:t xml:space="preserve"> 1 </w:t>
      </w:r>
      <w:r w:rsidR="00C7653D">
        <w:rPr>
          <w:rFonts w:ascii="Times New Roman" w:eastAsia="Times New Roman" w:hAnsi="Times New Roman" w:cs="Times New Roman"/>
          <w:szCs w:val="20"/>
          <w:lang w:val="lt-LT" w:eastAsia="lt-LT"/>
        </w:rPr>
        <w:t>žmogui</w:t>
      </w:r>
      <w:r w:rsidRPr="00F4223A">
        <w:rPr>
          <w:rFonts w:ascii="Times New Roman" w:eastAsia="Times New Roman" w:hAnsi="Times New Roman" w:cs="Times New Roman"/>
          <w:szCs w:val="20"/>
          <w:lang w:val="lt-LT" w:eastAsia="lt-LT"/>
        </w:rPr>
        <w:t xml:space="preserve"> iš 1000).</w:t>
      </w:r>
    </w:p>
    <w:p w:rsidR="00F4223A" w:rsidRPr="00F4223A" w:rsidRDefault="00F4223A" w:rsidP="00F4223A">
      <w:pPr>
        <w:spacing w:after="0" w:line="240" w:lineRule="auto"/>
        <w:ind w:left="567" w:hanging="567"/>
        <w:rPr>
          <w:rFonts w:ascii="Times New Roman" w:eastAsia="MS Mincho" w:hAnsi="Times New Roman" w:cs="Times New Roman"/>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 xml:space="preserve">Hemolizinis ureminis sindromas: didžiulis nuovargis ir silpnumas, purpura ar nedideli </w:t>
      </w:r>
      <w:r w:rsidR="00C7653D">
        <w:rPr>
          <w:rFonts w:ascii="Times New Roman" w:eastAsia="Times New Roman" w:hAnsi="Times New Roman" w:cs="Times New Roman"/>
          <w:szCs w:val="20"/>
          <w:lang w:val="lt-LT" w:eastAsia="lt-LT"/>
        </w:rPr>
        <w:t>kraujosruvų</w:t>
      </w:r>
      <w:r w:rsidR="00C7653D" w:rsidRPr="00F4223A">
        <w:rPr>
          <w:rFonts w:ascii="Times New Roman" w:eastAsia="Times New Roman" w:hAnsi="Times New Roman" w:cs="Times New Roman"/>
          <w:szCs w:val="20"/>
          <w:lang w:val="lt-LT" w:eastAsia="lt-LT"/>
        </w:rPr>
        <w:t xml:space="preserve"> </w:t>
      </w:r>
      <w:r w:rsidRPr="00F4223A">
        <w:rPr>
          <w:rFonts w:ascii="Times New Roman" w:eastAsia="Times New Roman" w:hAnsi="Times New Roman" w:cs="Times New Roman"/>
          <w:szCs w:val="20"/>
          <w:lang w:val="lt-LT" w:eastAsia="lt-LT"/>
        </w:rPr>
        <w:t>plotai odoje (</w:t>
      </w:r>
      <w:r w:rsidR="00C7653D">
        <w:rPr>
          <w:rFonts w:ascii="Times New Roman" w:eastAsia="Times New Roman" w:hAnsi="Times New Roman" w:cs="Times New Roman"/>
          <w:szCs w:val="20"/>
          <w:lang w:val="lt-LT" w:eastAsia="lt-LT"/>
        </w:rPr>
        <w:t>mėlynės</w:t>
      </w:r>
      <w:r w:rsidRPr="00F4223A">
        <w:rPr>
          <w:rFonts w:ascii="Times New Roman" w:eastAsia="Times New Roman" w:hAnsi="Times New Roman" w:cs="Times New Roman"/>
          <w:szCs w:val="20"/>
          <w:lang w:val="lt-LT" w:eastAsia="lt-LT"/>
        </w:rPr>
        <w:t xml:space="preserve">),  ūminis inkstų nepakankamumas (sumažėjęs/išnykęs šlapinimasis) ir infekcijos požymiai. Gali būti mirtinas (nedažnas (gali pasireikšti </w:t>
      </w:r>
      <w:r w:rsidR="00981E8B">
        <w:rPr>
          <w:rFonts w:ascii="Times New Roman" w:eastAsia="Times New Roman" w:hAnsi="Times New Roman" w:cs="Times New Roman"/>
          <w:szCs w:val="20"/>
          <w:lang w:val="lt-LT" w:eastAsia="lt-LT"/>
        </w:rPr>
        <w:t>mažiau kaip</w:t>
      </w:r>
      <w:r w:rsidRPr="00F4223A">
        <w:rPr>
          <w:rFonts w:ascii="Times New Roman" w:eastAsia="Times New Roman" w:hAnsi="Times New Roman" w:cs="Times New Roman"/>
          <w:szCs w:val="20"/>
          <w:lang w:val="lt-LT" w:eastAsia="lt-LT"/>
        </w:rPr>
        <w:t xml:space="preserve"> 1 </w:t>
      </w:r>
      <w:r w:rsidR="00C7653D">
        <w:rPr>
          <w:rFonts w:ascii="Times New Roman" w:eastAsia="Times New Roman" w:hAnsi="Times New Roman" w:cs="Times New Roman"/>
          <w:szCs w:val="20"/>
          <w:lang w:val="lt-LT" w:eastAsia="lt-LT"/>
        </w:rPr>
        <w:t>žmogui</w:t>
      </w:r>
      <w:r w:rsidRPr="00F4223A">
        <w:rPr>
          <w:rFonts w:ascii="Times New Roman" w:eastAsia="Times New Roman" w:hAnsi="Times New Roman" w:cs="Times New Roman"/>
          <w:szCs w:val="20"/>
          <w:lang w:val="lt-LT" w:eastAsia="lt-LT"/>
        </w:rPr>
        <w:t xml:space="preserve"> iš 100)).</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Nuovargis, alpulys, dusulys, išblyškimas (tokiu atveju hemoglobino kiekis gali būti mažesnis už normalų</w:t>
      </w:r>
      <w:r w:rsidRPr="00F4223A">
        <w:rPr>
          <w:rFonts w:ascii="Times New Roman" w:eastAsia="MS Mincho" w:hAnsi="Times New Roman" w:cs="Times New Roman"/>
          <w:lang w:val="lt-LT" w:eastAsia="lt-LT"/>
        </w:rPr>
        <w:t xml:space="preserve"> (gali pasireikšti daugiau nei 1 žmogui iš 10)).</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Kraujavimas iš dantenų, nosies ar burnos arba bet koks nesustojantis kraujavimas, šviesiai raudonas arba šviesiai rožinis šlapimas, netikėtos mėlynės, nes tokiu atveju kraujo plokštelių kiekis gali būti mažesnis už normalų (labai dažnas</w:t>
      </w:r>
      <w:r w:rsidRPr="00F4223A">
        <w:rPr>
          <w:rFonts w:ascii="Times New Roman" w:eastAsia="MS Mincho" w:hAnsi="Times New Roman" w:cs="Times New Roman"/>
          <w:lang w:val="lt-LT" w:eastAsia="lt-LT"/>
        </w:rPr>
        <w:t xml:space="preserve"> (gali pasireikšti daugiau nei 1 žmogui iš 10)).</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Kvėpavimo pasunkėjimas (netrukus po Gemcitabine Actavis infuzijos silpnas kvėpavimo pasunkėjimas, kuris greitai praeina, pasireiškia labai dažnai, tačiau nedažnai arba retai galimas sunkesnis plaučių sutrikimas). </w:t>
      </w:r>
    </w:p>
    <w:p w:rsidR="00F4223A" w:rsidRPr="00F4223A" w:rsidRDefault="00F4223A" w:rsidP="00F4223A">
      <w:pPr>
        <w:tabs>
          <w:tab w:val="left" w:pos="567"/>
        </w:tabs>
        <w:spacing w:after="0" w:line="240" w:lineRule="auto"/>
        <w:ind w:left="567" w:hanging="567"/>
        <w:rPr>
          <w:rFonts w:ascii="Times New Roman" w:eastAsia="Times New Roman" w:hAnsi="Times New Roman" w:cs="Times New Roman"/>
          <w:lang w:val="lt-LT" w:eastAsia="lt-LT"/>
        </w:rPr>
      </w:pPr>
      <w:r w:rsidRPr="00F4223A">
        <w:rPr>
          <w:rFonts w:ascii="Times New Roman" w:eastAsia="Times New Roman" w:hAnsi="Times New Roman" w:cs="Times New Roman"/>
          <w:lang w:val="lt-LT" w:eastAsia="lt-LT"/>
        </w:rPr>
        <w:t>-</w:t>
      </w:r>
      <w:r w:rsidRPr="00F4223A">
        <w:rPr>
          <w:rFonts w:ascii="Times New Roman" w:eastAsia="Times New Roman" w:hAnsi="Times New Roman" w:cs="Times New Roman"/>
          <w:lang w:val="lt-LT" w:eastAsia="lt-LT"/>
        </w:rPr>
        <w:tab/>
        <w:t xml:space="preserve">Galvos skausmas su regos pokyčiais, </w:t>
      </w:r>
      <w:r w:rsidR="00F31D1A">
        <w:rPr>
          <w:rFonts w:ascii="Times New Roman" w:eastAsia="Times New Roman" w:hAnsi="Times New Roman" w:cs="Times New Roman"/>
          <w:lang w:val="lt-LT" w:eastAsia="lt-LT"/>
        </w:rPr>
        <w:t>sumišimu</w:t>
      </w:r>
      <w:r w:rsidRPr="00F4223A">
        <w:rPr>
          <w:rFonts w:ascii="Times New Roman" w:eastAsia="Times New Roman" w:hAnsi="Times New Roman" w:cs="Times New Roman"/>
          <w:lang w:val="lt-LT" w:eastAsia="lt-LT"/>
        </w:rPr>
        <w:t xml:space="preserve">, traukuliais ar trūkčiojimais (užpakalinis grįžtamasis encefalopatinis sindromas) (labai retas, gali pasireikšti </w:t>
      </w:r>
      <w:r w:rsidR="00981E8B">
        <w:rPr>
          <w:rFonts w:ascii="Times New Roman" w:eastAsia="Times New Roman" w:hAnsi="Times New Roman" w:cs="Times New Roman"/>
          <w:lang w:val="lt-LT" w:eastAsia="lt-LT"/>
        </w:rPr>
        <w:t>mažiau kaip</w:t>
      </w:r>
      <w:r w:rsidRPr="00F4223A">
        <w:rPr>
          <w:rFonts w:ascii="Times New Roman" w:eastAsia="Times New Roman" w:hAnsi="Times New Roman" w:cs="Times New Roman"/>
          <w:lang w:val="lt-LT" w:eastAsia="lt-LT"/>
        </w:rPr>
        <w:t xml:space="preserve"> 1 iš 10</w:t>
      </w:r>
      <w:r w:rsidR="00F31D1A">
        <w:rPr>
          <w:rFonts w:ascii="Times New Roman" w:eastAsia="Times New Roman" w:hAnsi="Times New Roman" w:cs="Times New Roman"/>
          <w:lang w:val="lt-LT" w:eastAsia="lt-LT"/>
        </w:rPr>
        <w:t> </w:t>
      </w:r>
      <w:r w:rsidRPr="00F4223A">
        <w:rPr>
          <w:rFonts w:ascii="Times New Roman" w:eastAsia="Times New Roman" w:hAnsi="Times New Roman" w:cs="Times New Roman"/>
          <w:lang w:val="lt-LT" w:eastAsia="lt-LT"/>
        </w:rPr>
        <w:t>000 žmonių).</w:t>
      </w:r>
    </w:p>
    <w:p w:rsidR="00F4223A" w:rsidRPr="00F4223A" w:rsidRDefault="00F4223A" w:rsidP="00F4223A">
      <w:pPr>
        <w:tabs>
          <w:tab w:val="left" w:pos="567"/>
        </w:tabs>
        <w:spacing w:after="0" w:line="240" w:lineRule="auto"/>
        <w:ind w:left="567" w:hanging="567"/>
        <w:rPr>
          <w:rFonts w:ascii="Times New Roman" w:eastAsia="Times New Roman" w:hAnsi="Times New Roman" w:cs="Times New Roman"/>
          <w:i/>
          <w:lang w:val="lt-LT" w:eastAsia="lt-LT"/>
        </w:rPr>
      </w:pPr>
      <w:r w:rsidRPr="00F4223A">
        <w:rPr>
          <w:rFonts w:ascii="Times New Roman" w:eastAsia="Times New Roman" w:hAnsi="Times New Roman" w:cs="Times New Roman"/>
          <w:lang w:val="lt-LT" w:eastAsia="lt-LT"/>
        </w:rPr>
        <w:t>-</w:t>
      </w:r>
      <w:r w:rsidRPr="00F4223A">
        <w:rPr>
          <w:rFonts w:ascii="Times New Roman" w:eastAsia="Times New Roman" w:hAnsi="Times New Roman" w:cs="Times New Roman"/>
          <w:lang w:val="lt-LT" w:eastAsia="lt-LT"/>
        </w:rPr>
        <w:tab/>
        <w:t xml:space="preserve">Bendras patinimas, apsunkintas kvėpavimas ar svorio padidėjimas, nes iš kraujagyslių į audinius gali sunktis skystis (padidėjęs kapiliarų pralaidumo sindromas) (labai retas, gali pasireikšti </w:t>
      </w:r>
      <w:r w:rsidR="00981E8B">
        <w:rPr>
          <w:rFonts w:ascii="Times New Roman" w:eastAsia="Times New Roman" w:hAnsi="Times New Roman" w:cs="Times New Roman"/>
          <w:lang w:val="lt-LT" w:eastAsia="lt-LT"/>
        </w:rPr>
        <w:t>mažiau kaip</w:t>
      </w:r>
      <w:r w:rsidRPr="00F4223A">
        <w:rPr>
          <w:rFonts w:ascii="Times New Roman" w:eastAsia="Times New Roman" w:hAnsi="Times New Roman" w:cs="Times New Roman"/>
          <w:lang w:val="lt-LT" w:eastAsia="lt-LT"/>
        </w:rPr>
        <w:t xml:space="preserve"> 1 iš 10</w:t>
      </w:r>
      <w:r w:rsidR="00F31D1A">
        <w:rPr>
          <w:rFonts w:ascii="Times New Roman" w:eastAsia="Times New Roman" w:hAnsi="Times New Roman" w:cs="Times New Roman"/>
          <w:lang w:val="lt-LT" w:eastAsia="lt-LT"/>
        </w:rPr>
        <w:t> </w:t>
      </w:r>
      <w:r w:rsidRPr="00F4223A">
        <w:rPr>
          <w:rFonts w:ascii="Times New Roman" w:eastAsia="Times New Roman" w:hAnsi="Times New Roman" w:cs="Times New Roman"/>
          <w:lang w:val="lt-LT" w:eastAsia="lt-LT"/>
        </w:rPr>
        <w:t>000 žmonių).</w:t>
      </w:r>
    </w:p>
    <w:p w:rsidR="00F4223A" w:rsidRPr="00F4223A" w:rsidRDefault="00F4223A" w:rsidP="00F4223A">
      <w:pPr>
        <w:spacing w:after="0" w:line="240" w:lineRule="auto"/>
        <w:ind w:left="567" w:hanging="567"/>
        <w:rPr>
          <w:rFonts w:ascii="Times New Roman" w:eastAsia="MS Mincho" w:hAnsi="Times New Roman" w:cs="Times New Roman"/>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 xml:space="preserve">Pavojingos gyvybei odos reakcijos (toksinė epidermio nekrolizė (TEN), </w:t>
      </w:r>
      <w:r w:rsidR="00F31D1A">
        <w:rPr>
          <w:rFonts w:ascii="Times New Roman" w:eastAsia="Times New Roman" w:hAnsi="Times New Roman" w:cs="Times New Roman"/>
          <w:szCs w:val="20"/>
          <w:lang w:val="lt-LT" w:eastAsia="lt-LT"/>
        </w:rPr>
        <w:t>Stivenso-Džonsono (</w:t>
      </w:r>
      <w:r w:rsidRPr="00512BC4">
        <w:rPr>
          <w:rFonts w:ascii="Times New Roman" w:eastAsia="Times New Roman" w:hAnsi="Times New Roman" w:cs="Times New Roman"/>
          <w:i/>
          <w:szCs w:val="20"/>
          <w:lang w:val="lt-LT" w:eastAsia="lt-LT"/>
        </w:rPr>
        <w:t>St</w:t>
      </w:r>
      <w:r w:rsidR="00F31D1A" w:rsidRPr="00512BC4">
        <w:rPr>
          <w:rFonts w:ascii="Times New Roman" w:eastAsia="Times New Roman" w:hAnsi="Times New Roman" w:cs="Times New Roman"/>
          <w:i/>
          <w:szCs w:val="20"/>
          <w:lang w:val="lt-LT" w:eastAsia="lt-LT"/>
        </w:rPr>
        <w:t>e</w:t>
      </w:r>
      <w:r w:rsidRPr="00512BC4">
        <w:rPr>
          <w:rFonts w:ascii="Times New Roman" w:eastAsia="Times New Roman" w:hAnsi="Times New Roman" w:cs="Times New Roman"/>
          <w:i/>
          <w:szCs w:val="20"/>
          <w:lang w:val="lt-LT" w:eastAsia="lt-LT"/>
        </w:rPr>
        <w:t>vens-Johnson</w:t>
      </w:r>
      <w:r w:rsidR="00F31D1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 xml:space="preserve"> sindromas (SJS), stiprus </w:t>
      </w:r>
      <w:r w:rsidR="00F31D1A">
        <w:rPr>
          <w:rFonts w:ascii="Times New Roman" w:eastAsia="Times New Roman" w:hAnsi="Times New Roman" w:cs="Times New Roman"/>
          <w:szCs w:val="20"/>
          <w:lang w:val="lt-LT" w:eastAsia="lt-LT"/>
        </w:rPr>
        <w:t>iš</w:t>
      </w:r>
      <w:r w:rsidRPr="00F4223A">
        <w:rPr>
          <w:rFonts w:ascii="Times New Roman" w:eastAsia="Times New Roman" w:hAnsi="Times New Roman" w:cs="Times New Roman"/>
          <w:szCs w:val="20"/>
          <w:lang w:val="lt-LT" w:eastAsia="lt-LT"/>
        </w:rPr>
        <w:t xml:space="preserve">bėrimas su niežėjimu, pūslėmis ir odos lupimusi. Odos </w:t>
      </w:r>
      <w:r w:rsidR="00F31D1A">
        <w:rPr>
          <w:rFonts w:ascii="Times New Roman" w:eastAsia="Times New Roman" w:hAnsi="Times New Roman" w:cs="Times New Roman"/>
          <w:szCs w:val="20"/>
          <w:lang w:val="lt-LT" w:eastAsia="lt-LT"/>
        </w:rPr>
        <w:t>iš</w:t>
      </w:r>
      <w:r w:rsidRPr="00F4223A">
        <w:rPr>
          <w:rFonts w:ascii="Times New Roman" w:eastAsia="Times New Roman" w:hAnsi="Times New Roman" w:cs="Times New Roman"/>
          <w:szCs w:val="20"/>
          <w:lang w:val="lt-LT" w:eastAsia="lt-LT"/>
        </w:rPr>
        <w:t xml:space="preserve">bėrimas dažnai būna lydymas į gripą panašių simptomų (labai retas (gali pasireikšti </w:t>
      </w:r>
      <w:r w:rsidR="00981E8B">
        <w:rPr>
          <w:rFonts w:ascii="Times New Roman" w:eastAsia="Times New Roman" w:hAnsi="Times New Roman" w:cs="Times New Roman"/>
          <w:szCs w:val="20"/>
          <w:lang w:val="lt-LT" w:eastAsia="lt-LT"/>
        </w:rPr>
        <w:t>mažiau kaip</w:t>
      </w:r>
      <w:r w:rsidRPr="00F4223A">
        <w:rPr>
          <w:rFonts w:ascii="Times New Roman" w:eastAsia="Times New Roman" w:hAnsi="Times New Roman" w:cs="Times New Roman"/>
          <w:szCs w:val="20"/>
          <w:lang w:val="lt-LT" w:eastAsia="lt-LT"/>
        </w:rPr>
        <w:t xml:space="preserve"> 1 iš 10</w:t>
      </w:r>
      <w:r w:rsidR="00F31D1A">
        <w:rPr>
          <w:rFonts w:ascii="Times New Roman" w:eastAsia="Times New Roman" w:hAnsi="Times New Roman" w:cs="Times New Roman"/>
          <w:szCs w:val="20"/>
          <w:lang w:val="lt-LT" w:eastAsia="lt-LT"/>
        </w:rPr>
        <w:t> </w:t>
      </w:r>
      <w:r w:rsidRPr="00F4223A">
        <w:rPr>
          <w:rFonts w:ascii="Times New Roman" w:eastAsia="Times New Roman" w:hAnsi="Times New Roman" w:cs="Times New Roman"/>
          <w:szCs w:val="20"/>
          <w:lang w:val="lt-LT" w:eastAsia="lt-LT"/>
        </w:rPr>
        <w:t>000 žmonių)).</w:t>
      </w:r>
    </w:p>
    <w:p w:rsidR="00F4223A" w:rsidRPr="00F4223A" w:rsidRDefault="00F4223A" w:rsidP="00F4223A">
      <w:pPr>
        <w:spacing w:after="0" w:line="240" w:lineRule="auto"/>
        <w:rPr>
          <w:rFonts w:ascii="Times New Roman" w:eastAsia="MS Mincho" w:hAnsi="Times New Roman" w:cs="Times New Roman"/>
          <w:b/>
          <w:lang w:val="lt-LT" w:eastAsia="lt-LT"/>
        </w:rPr>
      </w:pPr>
    </w:p>
    <w:p w:rsidR="00F4223A" w:rsidRPr="00F4223A" w:rsidRDefault="00F4223A" w:rsidP="00F4223A">
      <w:pPr>
        <w:spacing w:after="0" w:line="240" w:lineRule="auto"/>
        <w:rPr>
          <w:rFonts w:ascii="Times New Roman" w:hAnsi="Times New Roman"/>
          <w:b/>
          <w:lang w:val="lt-LT"/>
        </w:rPr>
      </w:pPr>
      <w:r w:rsidRPr="00F4223A">
        <w:rPr>
          <w:rFonts w:ascii="Times New Roman" w:eastAsia="MS Mincho" w:hAnsi="Times New Roman" w:cs="Times New Roman"/>
          <w:b/>
          <w:lang w:val="lt-LT" w:eastAsia="lt-LT"/>
        </w:rPr>
        <w:t xml:space="preserve">Kitas </w:t>
      </w:r>
      <w:r w:rsidRPr="00F4223A">
        <w:rPr>
          <w:rFonts w:ascii="Times New Roman" w:hAnsi="Times New Roman"/>
          <w:b/>
          <w:lang w:val="lt-LT"/>
        </w:rPr>
        <w:t xml:space="preserve">Gemcitabine Actavis </w:t>
      </w:r>
      <w:r w:rsidRPr="00F4223A">
        <w:rPr>
          <w:rFonts w:ascii="Times New Roman" w:eastAsia="MS Mincho" w:hAnsi="Times New Roman" w:cs="Times New Roman"/>
          <w:b/>
          <w:lang w:val="lt-LT" w:eastAsia="lt-LT"/>
        </w:rPr>
        <w:t>šalutinis poveikis</w:t>
      </w:r>
      <w:r w:rsidRPr="00F4223A">
        <w:rPr>
          <w:rFonts w:ascii="Times New Roman" w:hAnsi="Times New Roman"/>
          <w:b/>
          <w:lang w:val="lt-LT"/>
        </w:rPr>
        <w:t>.</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Labai dažnas šalutinis poveikis</w:t>
      </w:r>
      <w:r w:rsidRPr="00F4223A">
        <w:rPr>
          <w:rFonts w:ascii="Times New Roman" w:eastAsia="MS Mincho" w:hAnsi="Times New Roman" w:cs="Times New Roman"/>
          <w:b/>
          <w:lang w:val="lt-LT" w:eastAsia="lt-LT"/>
        </w:rPr>
        <w:t xml:space="preserve"> </w:t>
      </w:r>
      <w:r w:rsidRPr="00F4223A">
        <w:rPr>
          <w:rFonts w:ascii="Times New Roman" w:eastAsia="Times New Roman" w:hAnsi="Times New Roman" w:cs="Times New Roman"/>
          <w:b/>
          <w:szCs w:val="20"/>
          <w:lang w:val="lt-LT" w:eastAsia="lt-LT"/>
        </w:rPr>
        <w:t>(gali pasireikšti daugiau nei 1 žmogui iš 10)</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Mažas baltųjų kraujo ląstelių kiekis.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Sunkus kvėpavimas.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Vėmimas.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Pykinimas.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Plaukų slinkimas.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Kepenų veiklos sutrikimas (jį rodo kraujo tyrimų duomenų nuokrypis nuo normos).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Kraujas šlapime.</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Nenormalūs šlapimo tyrimų duomenys, t. y. baltymas šlapime.</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Į gripo panašūs simptomai, įskaitant karščiavimą.</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Edema (kulkšnių, pirštų, pėdų, veido patinimas).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Dažnas šalutinis poveikis</w:t>
      </w:r>
      <w:r w:rsidRPr="00F4223A">
        <w:rPr>
          <w:rFonts w:ascii="Times New Roman" w:eastAsia="MS Mincho" w:hAnsi="Times New Roman" w:cs="Times New Roman"/>
          <w:b/>
          <w:lang w:val="lt-LT" w:eastAsia="lt-LT"/>
        </w:rPr>
        <w:t xml:space="preserve"> </w:t>
      </w:r>
      <w:r w:rsidRPr="00F4223A">
        <w:rPr>
          <w:rFonts w:ascii="Times New Roman" w:eastAsia="Times New Roman" w:hAnsi="Times New Roman" w:cs="Times New Roman"/>
          <w:b/>
          <w:szCs w:val="20"/>
          <w:lang w:val="lt-LT" w:eastAsia="lt-LT"/>
        </w:rPr>
        <w:t xml:space="preserve">(gali pasireikšti </w:t>
      </w:r>
      <w:r w:rsidR="00981E8B">
        <w:rPr>
          <w:rFonts w:ascii="Times New Roman" w:eastAsia="Times New Roman" w:hAnsi="Times New Roman" w:cs="Times New Roman"/>
          <w:b/>
          <w:szCs w:val="20"/>
          <w:lang w:val="lt-LT" w:eastAsia="lt-LT"/>
        </w:rPr>
        <w:t>mažiau kaip</w:t>
      </w:r>
      <w:r w:rsidRPr="00F4223A">
        <w:rPr>
          <w:rFonts w:ascii="Times New Roman" w:eastAsia="Times New Roman" w:hAnsi="Times New Roman" w:cs="Times New Roman"/>
          <w:b/>
          <w:szCs w:val="20"/>
          <w:lang w:val="lt-LT" w:eastAsia="lt-LT"/>
        </w:rPr>
        <w:t xml:space="preserve"> 1 iš 10 žmonių)</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Anoreksija (apetito nebuvimas).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Galvos skausmas.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Nemiga.</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Mieguistumas.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Kosulys.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Sekreto tekėjimas iš nosies.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Vidurių užkietėjimas.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Viduriavimas.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r>
      <w:r w:rsidR="00125C45" w:rsidRPr="00F4223A">
        <w:rPr>
          <w:rFonts w:ascii="Times New Roman" w:hAnsi="Times New Roman"/>
          <w:lang w:val="lt-LT"/>
        </w:rPr>
        <w:t>Niež</w:t>
      </w:r>
      <w:r w:rsidR="00125C45">
        <w:rPr>
          <w:rFonts w:ascii="Times New Roman" w:hAnsi="Times New Roman"/>
          <w:lang w:val="lt-LT"/>
        </w:rPr>
        <w:t>ėjimas</w:t>
      </w:r>
      <w:r w:rsidRPr="00F4223A">
        <w:rPr>
          <w:rFonts w:ascii="Times New Roman" w:hAnsi="Times New Roman"/>
          <w:lang w:val="lt-LT"/>
        </w:rPr>
        <w:t>.</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Prakaitavimas.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Raumenų skausmas.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Nugaros skausmas.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Karščiavimas.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Silpnumas.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Šalčio krėtimas.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Nedažnas šalutinis poveikis</w:t>
      </w:r>
      <w:r w:rsidRPr="00F4223A">
        <w:rPr>
          <w:rFonts w:ascii="Times New Roman" w:eastAsia="MS Mincho" w:hAnsi="Times New Roman" w:cs="Times New Roman"/>
          <w:b/>
          <w:lang w:val="lt-LT" w:eastAsia="lt-LT"/>
        </w:rPr>
        <w:t xml:space="preserve"> </w:t>
      </w:r>
      <w:r w:rsidRPr="00F4223A">
        <w:rPr>
          <w:rFonts w:ascii="Times New Roman" w:eastAsia="Times New Roman" w:hAnsi="Times New Roman" w:cs="Times New Roman"/>
          <w:b/>
          <w:szCs w:val="20"/>
          <w:lang w:val="lt-LT" w:eastAsia="lt-LT"/>
        </w:rPr>
        <w:t xml:space="preserve">(gali pasireikšti </w:t>
      </w:r>
      <w:r w:rsidR="00981E8B">
        <w:rPr>
          <w:rFonts w:ascii="Times New Roman" w:eastAsia="Times New Roman" w:hAnsi="Times New Roman" w:cs="Times New Roman"/>
          <w:b/>
          <w:szCs w:val="20"/>
          <w:lang w:val="lt-LT" w:eastAsia="lt-LT"/>
        </w:rPr>
        <w:t>mažiau kaip</w:t>
      </w:r>
      <w:r w:rsidRPr="00F4223A">
        <w:rPr>
          <w:rFonts w:ascii="Times New Roman" w:eastAsia="Times New Roman" w:hAnsi="Times New Roman" w:cs="Times New Roman"/>
          <w:b/>
          <w:szCs w:val="20"/>
          <w:lang w:val="lt-LT" w:eastAsia="lt-LT"/>
        </w:rPr>
        <w:t xml:space="preserve"> 1 iš 100 žmonių)</w:t>
      </w:r>
    </w:p>
    <w:p w:rsidR="00F4223A" w:rsidRDefault="00F4223A" w:rsidP="00F4223A">
      <w:pPr>
        <w:spacing w:after="0" w:line="240" w:lineRule="auto"/>
        <w:rPr>
          <w:rFonts w:ascii="Times New Roman" w:eastAsia="MS Mincho" w:hAnsi="Times New Roman" w:cs="Times New Roman"/>
          <w:lang w:val="lt-LT" w:eastAsia="lt-LT"/>
        </w:rPr>
      </w:pPr>
      <w:r w:rsidRPr="00F4223A">
        <w:rPr>
          <w:rFonts w:ascii="Times New Roman" w:eastAsia="MS Mincho" w:hAnsi="Times New Roman" w:cs="Times New Roman"/>
          <w:lang w:val="lt-LT" w:eastAsia="lt-LT"/>
        </w:rPr>
        <w:t>-</w:t>
      </w:r>
      <w:r w:rsidRPr="00F4223A">
        <w:rPr>
          <w:rFonts w:ascii="Times New Roman" w:eastAsia="MS Mincho" w:hAnsi="Times New Roman" w:cs="Times New Roman"/>
          <w:lang w:val="lt-LT" w:eastAsia="lt-LT"/>
        </w:rPr>
        <w:tab/>
        <w:t>Insultas</w:t>
      </w:r>
      <w:r w:rsidR="00F31D1A">
        <w:rPr>
          <w:rFonts w:ascii="Times New Roman" w:eastAsia="MS Mincho" w:hAnsi="Times New Roman" w:cs="Times New Roman"/>
          <w:lang w:val="lt-LT" w:eastAsia="lt-LT"/>
        </w:rPr>
        <w:t>.</w:t>
      </w:r>
    </w:p>
    <w:p w:rsidR="00F31D1A" w:rsidRPr="00F4223A" w:rsidRDefault="00F31D1A" w:rsidP="00F4223A">
      <w:pPr>
        <w:spacing w:after="0" w:line="240" w:lineRule="auto"/>
        <w:rPr>
          <w:rFonts w:ascii="Times New Roman" w:eastAsia="MS Mincho" w:hAnsi="Times New Roman" w:cs="Times New Roman"/>
          <w:lang w:val="lt-LT" w:eastAsia="lt-LT"/>
        </w:rPr>
      </w:pPr>
      <w:r>
        <w:rPr>
          <w:rFonts w:ascii="Times New Roman" w:eastAsia="MS Mincho" w:hAnsi="Times New Roman" w:cs="Times New Roman"/>
          <w:lang w:val="lt-LT" w:eastAsia="lt-LT"/>
        </w:rPr>
        <w:t>-</w:t>
      </w:r>
      <w:r>
        <w:rPr>
          <w:rFonts w:ascii="Times New Roman" w:eastAsia="MS Mincho" w:hAnsi="Times New Roman" w:cs="Times New Roman"/>
          <w:lang w:val="lt-LT" w:eastAsia="lt-LT"/>
        </w:rPr>
        <w:tab/>
        <w:t>Širdies nepakankamumas.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Intersticinis pneumonitas (alveolių [plaučių oro maišelių] randėjimas).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Kvėpavimo takų spazmas (švokštimas).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Krūtinės ląstos rentgenogramos pokyčiai (plaučių randėjimas).</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Sunkus kepenų pažeidimas, įskaitant kepenų nepakankamumą, galintis kelti grėsmę gyvybei.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Inkstų nepakankamumas.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Retas šalutinis poveikis</w:t>
      </w:r>
      <w:r w:rsidRPr="00F4223A">
        <w:rPr>
          <w:rFonts w:ascii="Times New Roman" w:eastAsia="MS Mincho" w:hAnsi="Times New Roman" w:cs="Times New Roman"/>
          <w:b/>
          <w:lang w:val="lt-LT" w:eastAsia="lt-LT"/>
        </w:rPr>
        <w:t xml:space="preserve"> </w:t>
      </w:r>
      <w:r w:rsidRPr="00F4223A">
        <w:rPr>
          <w:rFonts w:ascii="Times New Roman" w:eastAsia="Times New Roman" w:hAnsi="Times New Roman" w:cs="Times New Roman"/>
          <w:b/>
          <w:szCs w:val="20"/>
          <w:lang w:val="lt-LT" w:eastAsia="lt-LT"/>
        </w:rPr>
        <w:t xml:space="preserve">(gali pasireikšti </w:t>
      </w:r>
      <w:r w:rsidR="00981E8B">
        <w:rPr>
          <w:rFonts w:ascii="Times New Roman" w:eastAsia="Times New Roman" w:hAnsi="Times New Roman" w:cs="Times New Roman"/>
          <w:b/>
          <w:szCs w:val="20"/>
          <w:lang w:val="lt-LT" w:eastAsia="lt-LT"/>
        </w:rPr>
        <w:t>mažiau kaip</w:t>
      </w:r>
      <w:r w:rsidRPr="00F4223A">
        <w:rPr>
          <w:rFonts w:ascii="Times New Roman" w:eastAsia="Times New Roman" w:hAnsi="Times New Roman" w:cs="Times New Roman"/>
          <w:b/>
          <w:szCs w:val="20"/>
          <w:lang w:val="lt-LT" w:eastAsia="lt-LT"/>
        </w:rPr>
        <w:t xml:space="preserve"> 1 iš 1000 žmonių)</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Mažas kraujospūdis.</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Rankų ar kojų pirštų gangrena.</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hAnsi="Times New Roman"/>
          <w:lang w:val="lt-LT"/>
        </w:rPr>
        <w:t>-</w:t>
      </w:r>
      <w:r w:rsidRPr="00F4223A">
        <w:rPr>
          <w:rFonts w:ascii="Times New Roman" w:hAnsi="Times New Roman"/>
          <w:lang w:val="lt-LT"/>
        </w:rPr>
        <w:tab/>
        <w:t>Skysčio sankaupa plaučiuose</w:t>
      </w:r>
      <w:r w:rsidR="00F31D1A">
        <w:rPr>
          <w:rFonts w:ascii="Times New Roman" w:hAnsi="Times New Roman"/>
          <w:lang w:val="lt-LT"/>
        </w:rPr>
        <w:t>.</w:t>
      </w:r>
    </w:p>
    <w:p w:rsidR="00F4223A" w:rsidRPr="00F4223A" w:rsidRDefault="00F4223A" w:rsidP="00F4223A">
      <w:pPr>
        <w:spacing w:after="0" w:line="240" w:lineRule="auto"/>
        <w:ind w:left="720" w:hanging="720"/>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w:t>
      </w:r>
      <w:r w:rsidRPr="00F4223A">
        <w:rPr>
          <w:rFonts w:ascii="Times New Roman" w:eastAsia="Times New Roman" w:hAnsi="Times New Roman" w:cs="Times New Roman"/>
          <w:szCs w:val="20"/>
          <w:lang w:val="lt-LT" w:eastAsia="lt-LT"/>
        </w:rPr>
        <w:tab/>
        <w:t xml:space="preserve">Suaugusių žmonių kvėpavimo distreso sindromas (sunkus plaučių uždegimas, sukeliantis kvėpavimo nepakankamumą).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Odos pleiskanojimas, išopėjimas ar pūslių formavimasis.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Injekcijos vietos reakcija.</w:t>
      </w:r>
    </w:p>
    <w:p w:rsidR="00F4223A" w:rsidRPr="00F4223A" w:rsidRDefault="00F4223A" w:rsidP="00F4223A">
      <w:pPr>
        <w:spacing w:after="0" w:line="240" w:lineRule="auto"/>
        <w:ind w:left="709" w:hanging="709"/>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Toksinis radiacijos poveikis, t. y. plaučių oro maišelių randėjimas, susijęs su gydymu radioaktyviaisiais spinduliais.</w:t>
      </w:r>
    </w:p>
    <w:p w:rsidR="00F4223A" w:rsidRPr="00F4223A" w:rsidRDefault="00F4223A" w:rsidP="00F4223A">
      <w:pPr>
        <w:spacing w:after="0" w:line="240" w:lineRule="auto"/>
        <w:ind w:left="709" w:hanging="709"/>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Radiacijos sukeltos pažaidos atsinaujinimas (odos išbėrimas, panašus į stiprų nudegimą nuo saulės), galintis atsirasti ant odos ploto, kuris anksčiau buvo švitintas radioaktyviaisiais spinduliais. </w:t>
      </w:r>
    </w:p>
    <w:p w:rsidR="00F4223A" w:rsidRPr="00F4223A" w:rsidRDefault="00F4223A" w:rsidP="00F4223A">
      <w:pPr>
        <w:spacing w:after="0" w:line="240" w:lineRule="auto"/>
        <w:ind w:left="709" w:hanging="709"/>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 xml:space="preserve">Labai retas šalutinis poveikis </w:t>
      </w:r>
      <w:r w:rsidRPr="00F4223A">
        <w:rPr>
          <w:rFonts w:ascii="Times New Roman" w:eastAsia="Times New Roman" w:hAnsi="Times New Roman" w:cs="Times New Roman"/>
          <w:b/>
          <w:szCs w:val="20"/>
          <w:lang w:val="lt-LT" w:eastAsia="lt-LT"/>
        </w:rPr>
        <w:t xml:space="preserve">(gali pasireikšti </w:t>
      </w:r>
      <w:r w:rsidR="00981E8B">
        <w:rPr>
          <w:rFonts w:ascii="Times New Roman" w:eastAsia="Times New Roman" w:hAnsi="Times New Roman" w:cs="Times New Roman"/>
          <w:b/>
          <w:szCs w:val="20"/>
          <w:lang w:val="lt-LT" w:eastAsia="lt-LT"/>
        </w:rPr>
        <w:t>mažiau kaip</w:t>
      </w:r>
      <w:r w:rsidRPr="00F4223A">
        <w:rPr>
          <w:rFonts w:ascii="Times New Roman" w:eastAsia="Times New Roman" w:hAnsi="Times New Roman" w:cs="Times New Roman"/>
          <w:b/>
          <w:szCs w:val="20"/>
          <w:lang w:val="lt-LT" w:eastAsia="lt-LT"/>
        </w:rPr>
        <w:t xml:space="preserve"> 1 iš 10000  žmonių)</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Kraujo plokštelių kiekio padidėjimas.</w:t>
      </w:r>
    </w:p>
    <w:p w:rsidR="00F4223A" w:rsidRPr="00F4223A" w:rsidRDefault="00F4223A" w:rsidP="00F4223A">
      <w:pPr>
        <w:spacing w:after="0" w:line="240" w:lineRule="auto"/>
        <w:ind w:left="720" w:hanging="720"/>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Išeminis kolitas (storosios žarnos gleivinės uždegimas, pasireiškęs dėl sumažėjusio aprūpino krauju).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Jums gali atsirasti bet kuris iš minėtų simptomų ir (arba) būklių. Jeigu bet kuris minėtas šalutinis poveikis pasireiškia, turite kuo greičiau pasakyti savo gydytojui.</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eastAsia="Times New Roman" w:hAnsi="Times New Roman" w:cs="Times New Roman"/>
          <w:b/>
          <w:szCs w:val="24"/>
          <w:lang w:val="lt-LT" w:eastAsia="lt-LT"/>
        </w:rPr>
      </w:pPr>
      <w:r w:rsidRPr="00F4223A">
        <w:rPr>
          <w:rFonts w:ascii="Times New Roman" w:eastAsia="Times New Roman" w:hAnsi="Times New Roman" w:cs="Times New Roman"/>
          <w:b/>
          <w:noProof/>
          <w:szCs w:val="24"/>
          <w:lang w:val="lt-LT" w:eastAsia="lt-LT"/>
        </w:rPr>
        <w:t>Pranešimas apie šalutinį poveikį</w:t>
      </w:r>
    </w:p>
    <w:p w:rsidR="00F4223A" w:rsidRPr="00F4223A" w:rsidRDefault="00F4223A" w:rsidP="00125C45">
      <w:pPr>
        <w:spacing w:after="0" w:line="240" w:lineRule="auto"/>
        <w:rPr>
          <w:rFonts w:ascii="Times New Roman" w:eastAsia="MS Mincho" w:hAnsi="Times New Roman" w:cs="Times New Roman"/>
          <w:lang w:val="lt-LT" w:eastAsia="lt-LT"/>
        </w:rPr>
      </w:pPr>
      <w:r w:rsidRPr="00F4223A">
        <w:rPr>
          <w:rFonts w:ascii="Times New Roman" w:eastAsia="Times New Roman" w:hAnsi="Times New Roman" w:cs="Times New Roman"/>
          <w:noProof/>
          <w:szCs w:val="24"/>
          <w:lang w:val="lt-LT" w:eastAsia="lt-LT"/>
        </w:rPr>
        <w:t xml:space="preserve">Jeigu pasireiškė šalutinis poveikis, įskaitant šiame lapelyje nenurodytą, pasakykite gydytojui, vaistininkui arba </w:t>
      </w:r>
      <w:r w:rsidRPr="00F4223A">
        <w:rPr>
          <w:rFonts w:ascii="Times New Roman" w:eastAsia="Times New Roman" w:hAnsi="Times New Roman" w:cs="Times New Roman"/>
          <w:lang w:val="lt-LT" w:eastAsia="lt-LT"/>
        </w:rPr>
        <w:t>slaugytojui.</w:t>
      </w:r>
      <w:r w:rsidRPr="00F4223A">
        <w:rPr>
          <w:rFonts w:ascii="Times New Roman" w:eastAsia="Times New Roman" w:hAnsi="Times New Roman" w:cs="Times New Roman"/>
          <w:noProof/>
          <w:szCs w:val="24"/>
          <w:lang w:val="lt-LT" w:eastAsia="lt-LT"/>
        </w:rPr>
        <w:t xml:space="preserve"> </w:t>
      </w:r>
      <w:r w:rsidR="00125C45" w:rsidRPr="00125C45">
        <w:rPr>
          <w:rFonts w:ascii="Times New Roman" w:eastAsia="Times New Roman" w:hAnsi="Times New Roman" w:cs="Times New Roman"/>
          <w:noProof/>
          <w:szCs w:val="24"/>
          <w:lang w:val="lt-LT" w:eastAsia="lt-LT"/>
        </w:rPr>
        <w:t xml:space="preserve">Apie šalutinį poveikį taip pat galite pranešti Valstybinei vaistų kontrolės tarnybai prie Lietuvos Respublikos sveikatos apsaugos ministerijos nemokamu telefonu 8 800 73568 arba užpildyti interneto svetainėje </w:t>
      </w:r>
      <w:hyperlink r:id="rId9" w:history="1">
        <w:r w:rsidR="00125C45" w:rsidRPr="00125C45">
          <w:rPr>
            <w:rStyle w:val="Hipersaitas"/>
            <w:rFonts w:ascii="Times New Roman" w:eastAsia="Times New Roman" w:hAnsi="Times New Roman"/>
            <w:noProof/>
            <w:szCs w:val="24"/>
            <w:lang w:val="lt-LT" w:eastAsia="lt-LT"/>
          </w:rPr>
          <w:t>www.vvkt.lt</w:t>
        </w:r>
      </w:hyperlink>
      <w:r w:rsidR="00125C45" w:rsidRPr="00125C45">
        <w:rPr>
          <w:rFonts w:ascii="Times New Roman" w:eastAsia="Times New Roman" w:hAnsi="Times New Roman" w:cs="Times New Roman"/>
          <w:noProof/>
          <w:szCs w:val="24"/>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125C45" w:rsidRPr="00125C45">
          <w:rPr>
            <w:rStyle w:val="Hipersaitas"/>
            <w:rFonts w:ascii="Times New Roman" w:eastAsia="Times New Roman" w:hAnsi="Times New Roman"/>
            <w:noProof/>
            <w:szCs w:val="24"/>
            <w:lang w:val="lt-LT" w:eastAsia="lt-LT"/>
          </w:rPr>
          <w:t>NepageidaujamaR@vvkt.lt</w:t>
        </w:r>
      </w:hyperlink>
      <w:r w:rsidR="00125C45" w:rsidRPr="00125C45">
        <w:rPr>
          <w:rFonts w:ascii="Times New Roman" w:eastAsia="Times New Roman" w:hAnsi="Times New Roman" w:cs="Times New Roman"/>
          <w:noProof/>
          <w:szCs w:val="24"/>
          <w:lang w:val="lt-LT" w:eastAsia="lt-LT"/>
        </w:rPr>
        <w:t xml:space="preserve">, taip pat per Valstybinės vaistų kontrolės tarnybos prie Lietuvos Respublikos sveikatos apsaugos ministerijos interneto svetainę (adresu </w:t>
      </w:r>
      <w:hyperlink r:id="rId11" w:history="1">
        <w:r w:rsidR="00125C45" w:rsidRPr="00125C45">
          <w:rPr>
            <w:rStyle w:val="Hipersaitas"/>
            <w:rFonts w:ascii="Times New Roman" w:eastAsia="Times New Roman" w:hAnsi="Times New Roman"/>
            <w:noProof/>
            <w:szCs w:val="24"/>
            <w:lang w:val="lt-LT" w:eastAsia="lt-LT"/>
          </w:rPr>
          <w:t>http://www.vvkt.lt</w:t>
        </w:r>
      </w:hyperlink>
      <w:r w:rsidR="00125C45" w:rsidRPr="00125C45">
        <w:rPr>
          <w:rFonts w:ascii="Times New Roman" w:eastAsia="Times New Roman" w:hAnsi="Times New Roman" w:cs="Times New Roman"/>
          <w:noProof/>
          <w:szCs w:val="24"/>
          <w:lang w:val="lt-LT" w:eastAsia="lt-LT"/>
        </w:rPr>
        <w:t>). Pranešdami apie šalutinį poveikį galite mums padėti gauti daugiau informacijos apie šio vaisto saugumą.</w:t>
      </w:r>
    </w:p>
    <w:p w:rsidR="00F4223A" w:rsidRDefault="00F4223A" w:rsidP="00F4223A">
      <w:pPr>
        <w:spacing w:after="0" w:line="240" w:lineRule="auto"/>
        <w:rPr>
          <w:rFonts w:ascii="Times New Roman" w:eastAsia="MS Mincho" w:hAnsi="Times New Roman" w:cs="Times New Roman"/>
          <w:lang w:val="lt-LT" w:eastAsia="lt-LT"/>
        </w:rPr>
      </w:pPr>
    </w:p>
    <w:p w:rsidR="00D83147" w:rsidRPr="00F4223A" w:rsidRDefault="00D83147" w:rsidP="00F4223A">
      <w:pPr>
        <w:spacing w:after="0" w:line="240" w:lineRule="auto"/>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5.</w:t>
      </w:r>
      <w:r w:rsidRPr="00F4223A">
        <w:rPr>
          <w:rFonts w:ascii="Times New Roman" w:eastAsia="MS Mincho" w:hAnsi="Times New Roman" w:cs="Times New Roman"/>
          <w:b/>
          <w:lang w:val="lt-LT" w:eastAsia="lt-LT"/>
        </w:rPr>
        <w:tab/>
      </w:r>
      <w:r w:rsidRPr="00F4223A">
        <w:rPr>
          <w:rFonts w:ascii="Times New Roman" w:eastAsia="Times New Roman" w:hAnsi="Times New Roman" w:cs="Times New Roman"/>
          <w:b/>
          <w:szCs w:val="20"/>
          <w:lang w:val="lt-LT" w:eastAsia="lt-LT"/>
        </w:rPr>
        <w:t>Kaip laikyti Gemcitabine Actavis</w:t>
      </w:r>
    </w:p>
    <w:p w:rsidR="00F4223A" w:rsidRPr="00F4223A" w:rsidRDefault="00F4223A" w:rsidP="00F4223A">
      <w:pPr>
        <w:spacing w:after="0" w:line="240" w:lineRule="auto"/>
        <w:rPr>
          <w:rFonts w:ascii="Times New Roman" w:eastAsia="MS Mincho" w:hAnsi="Times New Roman" w:cs="Times New Roman"/>
          <w:lang w:val="lt-LT" w:eastAsia="lt-LT"/>
        </w:rPr>
      </w:pPr>
    </w:p>
    <w:p w:rsidR="00F4223A" w:rsidRPr="00F4223A" w:rsidRDefault="00F4223A" w:rsidP="00F4223A">
      <w:pPr>
        <w:spacing w:after="0" w:line="240" w:lineRule="auto"/>
        <w:rPr>
          <w:rFonts w:ascii="Times New Roman" w:hAnsi="Times New Roman"/>
          <w:lang w:val="lt-LT"/>
        </w:rPr>
      </w:pPr>
      <w:r w:rsidRPr="00F4223A">
        <w:rPr>
          <w:rFonts w:ascii="Times New Roman" w:eastAsia="Times New Roman" w:hAnsi="Times New Roman" w:cs="Times New Roman"/>
          <w:szCs w:val="20"/>
          <w:lang w:val="lt-LT" w:eastAsia="lt-LT"/>
        </w:rPr>
        <w:t>Šį vaistą laikykite</w:t>
      </w:r>
      <w:r w:rsidRPr="00F4223A">
        <w:rPr>
          <w:rFonts w:ascii="Times New Roman" w:hAnsi="Times New Roman"/>
          <w:lang w:val="lt-LT"/>
        </w:rPr>
        <w:t xml:space="preserve"> vaikams </w:t>
      </w:r>
      <w:r w:rsidRPr="00F4223A">
        <w:rPr>
          <w:rFonts w:ascii="Times New Roman" w:eastAsia="Times New Roman" w:hAnsi="Times New Roman" w:cs="Times New Roman"/>
          <w:szCs w:val="20"/>
          <w:lang w:val="lt-LT" w:eastAsia="lt-LT"/>
        </w:rPr>
        <w:t xml:space="preserve">nepastebimoje ir </w:t>
      </w:r>
      <w:r w:rsidRPr="00F4223A">
        <w:rPr>
          <w:rFonts w:ascii="Times New Roman" w:hAnsi="Times New Roman"/>
          <w:lang w:val="lt-LT"/>
        </w:rPr>
        <w:t>nepasiekiamoje vietoje.</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 xml:space="preserve">Neatidaryti </w:t>
      </w:r>
      <w:r w:rsidR="002F6D3D">
        <w:rPr>
          <w:rFonts w:ascii="Times New Roman" w:hAnsi="Times New Roman"/>
          <w:i/>
          <w:lang w:val="lt-LT"/>
        </w:rPr>
        <w:t>flakonai</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Laikyti šaldytuve (2</w:t>
      </w:r>
      <w:r w:rsidRPr="00F4223A">
        <w:rPr>
          <w:rFonts w:ascii="Times New Roman" w:hAnsi="Times New Roman"/>
          <w:lang w:val="lt-LT"/>
        </w:rPr>
        <w:sym w:font="Symbol" w:char="F0B0"/>
      </w:r>
      <w:r w:rsidRPr="00F4223A">
        <w:rPr>
          <w:rFonts w:ascii="Times New Roman" w:hAnsi="Times New Roman"/>
          <w:lang w:val="lt-LT"/>
        </w:rPr>
        <w:t>C – 8</w:t>
      </w:r>
      <w:r w:rsidRPr="00F4223A">
        <w:rPr>
          <w:rFonts w:ascii="Times New Roman" w:hAnsi="Times New Roman"/>
          <w:lang w:val="lt-LT"/>
        </w:rPr>
        <w:sym w:font="Symbol" w:char="F0B0"/>
      </w:r>
      <w:r w:rsidRPr="00F4223A">
        <w:rPr>
          <w:rFonts w:ascii="Times New Roman" w:hAnsi="Times New Roman"/>
          <w:lang w:val="lt-LT"/>
        </w:rPr>
        <w:t>C).</w:t>
      </w:r>
    </w:p>
    <w:p w:rsidR="00F4223A" w:rsidRPr="00F4223A" w:rsidRDefault="00F4223A" w:rsidP="00F4223A">
      <w:pPr>
        <w:spacing w:after="0" w:line="240" w:lineRule="auto"/>
        <w:rPr>
          <w:rFonts w:ascii="Times New Roman" w:hAnsi="Times New Roman"/>
          <w:lang w:val="lt-LT"/>
        </w:rPr>
      </w:pPr>
    </w:p>
    <w:p w:rsidR="00F4223A" w:rsidRPr="00F4223A" w:rsidRDefault="002F6D3D" w:rsidP="00F4223A">
      <w:pPr>
        <w:spacing w:after="0" w:line="240" w:lineRule="auto"/>
        <w:rPr>
          <w:rFonts w:ascii="Times New Roman" w:hAnsi="Times New Roman"/>
          <w:i/>
          <w:lang w:val="lt-LT"/>
        </w:rPr>
      </w:pPr>
      <w:r>
        <w:rPr>
          <w:rFonts w:ascii="Times New Roman" w:hAnsi="Times New Roman"/>
          <w:i/>
          <w:lang w:val="lt-LT"/>
        </w:rPr>
        <w:t>Flakoną</w:t>
      </w:r>
      <w:r w:rsidRPr="00F4223A">
        <w:rPr>
          <w:rFonts w:ascii="Times New Roman" w:hAnsi="Times New Roman"/>
          <w:i/>
          <w:lang w:val="lt-LT"/>
        </w:rPr>
        <w:t xml:space="preserve"> </w:t>
      </w:r>
      <w:r w:rsidR="00F4223A" w:rsidRPr="00F4223A">
        <w:rPr>
          <w:rFonts w:ascii="Times New Roman" w:hAnsi="Times New Roman"/>
          <w:i/>
          <w:lang w:val="lt-LT"/>
        </w:rPr>
        <w:t>pirmą kartą atidarius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Įrodyta, kad preparato, laikomo 25 </w:t>
      </w:r>
      <w:r w:rsidRPr="00F4223A">
        <w:rPr>
          <w:rFonts w:ascii="Times New Roman" w:hAnsi="Times New Roman"/>
          <w:lang w:val="lt-LT"/>
        </w:rPr>
        <w:sym w:font="Symbol" w:char="F0B0"/>
      </w:r>
      <w:r w:rsidRPr="00F4223A">
        <w:rPr>
          <w:rFonts w:ascii="Times New Roman" w:hAnsi="Times New Roman"/>
          <w:lang w:val="lt-LT"/>
        </w:rPr>
        <w:t xml:space="preserve">C </w:t>
      </w:r>
      <w:r w:rsidR="00E02AE2">
        <w:rPr>
          <w:rFonts w:ascii="Times New Roman" w:hAnsi="Times New Roman"/>
          <w:lang w:val="lt-LT"/>
        </w:rPr>
        <w:t xml:space="preserve">ar </w:t>
      </w:r>
      <w:r w:rsidR="00E02AE2" w:rsidRPr="00E02AE2">
        <w:rPr>
          <w:rFonts w:ascii="Times New Roman" w:hAnsi="Times New Roman"/>
          <w:lang w:val="lt-LT"/>
        </w:rPr>
        <w:t>2</w:t>
      </w:r>
      <w:r w:rsidR="00E02AE2" w:rsidRPr="00E02AE2">
        <w:rPr>
          <w:rFonts w:ascii="Times New Roman" w:hAnsi="Times New Roman"/>
          <w:lang w:val="lt-LT"/>
        </w:rPr>
        <w:sym w:font="Symbol" w:char="F0B0"/>
      </w:r>
      <w:r w:rsidR="00E02AE2" w:rsidRPr="00E02AE2">
        <w:rPr>
          <w:rFonts w:ascii="Times New Roman" w:hAnsi="Times New Roman"/>
          <w:lang w:val="lt-LT"/>
        </w:rPr>
        <w:t>C – 8</w:t>
      </w:r>
      <w:r w:rsidR="00E02AE2" w:rsidRPr="00E02AE2">
        <w:rPr>
          <w:rFonts w:ascii="Times New Roman" w:hAnsi="Times New Roman"/>
          <w:lang w:val="lt-LT"/>
        </w:rPr>
        <w:sym w:font="Symbol" w:char="F0B0"/>
      </w:r>
      <w:r w:rsidR="00E02AE2" w:rsidRPr="00E02AE2">
        <w:rPr>
          <w:rFonts w:ascii="Times New Roman" w:hAnsi="Times New Roman"/>
          <w:lang w:val="lt-LT"/>
        </w:rPr>
        <w:t>C</w:t>
      </w:r>
      <w:r w:rsidR="00E02AE2">
        <w:rPr>
          <w:rFonts w:ascii="Times New Roman" w:hAnsi="Times New Roman"/>
          <w:lang w:val="lt-LT"/>
        </w:rPr>
        <w:t xml:space="preserve"> </w:t>
      </w:r>
      <w:r w:rsidRPr="00F4223A">
        <w:rPr>
          <w:rFonts w:ascii="Times New Roman" w:hAnsi="Times New Roman"/>
          <w:lang w:val="lt-LT"/>
        </w:rPr>
        <w:t>temperatūroje cheminis ir fizinis stabilumas nekinta 28 paras.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Mikrobiologiniu požiūriu, po </w:t>
      </w:r>
      <w:r w:rsidR="002F6D3D">
        <w:rPr>
          <w:rFonts w:ascii="Times New Roman" w:hAnsi="Times New Roman"/>
          <w:lang w:val="lt-LT"/>
        </w:rPr>
        <w:t>flakono</w:t>
      </w:r>
      <w:r w:rsidR="002F6D3D" w:rsidRPr="00F4223A">
        <w:rPr>
          <w:rFonts w:ascii="Times New Roman" w:hAnsi="Times New Roman"/>
          <w:lang w:val="lt-LT"/>
        </w:rPr>
        <w:t xml:space="preserve"> </w:t>
      </w:r>
      <w:r w:rsidRPr="00F4223A">
        <w:rPr>
          <w:rFonts w:ascii="Times New Roman" w:hAnsi="Times New Roman"/>
          <w:lang w:val="lt-LT"/>
        </w:rPr>
        <w:t xml:space="preserve">atidarymo preparatą reikia vartoti nedelsiant, nebent atidarymo metodas garantuoja apsaugą nuo mikrobiologinio užterštumo. Jeigu nevartojama nedelsiant, už laikymo laiką ir sąlygas atsako gydantis medikas.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Infuzinis tirpalas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Įrodyta, kad 0,9</w:t>
      </w:r>
      <w:r w:rsidRPr="00F4223A">
        <w:rPr>
          <w:rFonts w:ascii="Times New Roman" w:hAnsi="Times New Roman"/>
          <w:lang w:val="lt-LT"/>
        </w:rPr>
        <w:sym w:font="Symbol" w:char="F025"/>
      </w:r>
      <w:r w:rsidRPr="00F4223A">
        <w:rPr>
          <w:rFonts w:ascii="Times New Roman" w:hAnsi="Times New Roman"/>
          <w:lang w:val="lt-LT"/>
        </w:rPr>
        <w:t xml:space="preserve"> natrio chlorido tirpalu praskiesto preparato ( iki galutinės gemcitabino koncentracijos 2-25 mg/ml (2</w:t>
      </w:r>
      <w:r w:rsidR="002F6D3D">
        <w:rPr>
          <w:rFonts w:ascii="Times New Roman" w:hAnsi="Times New Roman"/>
          <w:lang w:val="lt-LT"/>
        </w:rPr>
        <w:t> </w:t>
      </w:r>
      <w:r w:rsidRPr="00F4223A">
        <w:rPr>
          <w:rFonts w:ascii="Times New Roman" w:hAnsi="Times New Roman"/>
          <w:lang w:val="lt-LT"/>
        </w:rPr>
        <w:t>mg/ml, 12</w:t>
      </w:r>
      <w:r w:rsidR="002F6D3D">
        <w:rPr>
          <w:rFonts w:ascii="Times New Roman" w:hAnsi="Times New Roman"/>
          <w:lang w:val="lt-LT"/>
        </w:rPr>
        <w:t> </w:t>
      </w:r>
      <w:r w:rsidRPr="00F4223A">
        <w:rPr>
          <w:rFonts w:ascii="Times New Roman" w:hAnsi="Times New Roman"/>
          <w:lang w:val="lt-LT"/>
        </w:rPr>
        <w:t>mg/ml ir 25</w:t>
      </w:r>
      <w:r w:rsidR="002F6D3D">
        <w:rPr>
          <w:rFonts w:ascii="Times New Roman" w:hAnsi="Times New Roman"/>
          <w:lang w:val="lt-LT"/>
        </w:rPr>
        <w:t> </w:t>
      </w:r>
      <w:r w:rsidRPr="00F4223A">
        <w:rPr>
          <w:rFonts w:ascii="Times New Roman" w:hAnsi="Times New Roman"/>
          <w:lang w:val="lt-LT"/>
        </w:rPr>
        <w:t>mg/ml)), laikomo 2 </w:t>
      </w:r>
      <w:r w:rsidRPr="00F4223A">
        <w:rPr>
          <w:rFonts w:ascii="Times New Roman" w:hAnsi="Times New Roman"/>
          <w:lang w:val="lt-LT"/>
        </w:rPr>
        <w:sym w:font="Symbol" w:char="F0B0"/>
      </w:r>
      <w:r w:rsidRPr="00F4223A">
        <w:rPr>
          <w:rFonts w:ascii="Times New Roman" w:hAnsi="Times New Roman"/>
          <w:lang w:val="lt-LT"/>
        </w:rPr>
        <w:t>C – 8 </w:t>
      </w:r>
      <w:r w:rsidRPr="00F4223A">
        <w:rPr>
          <w:rFonts w:ascii="Times New Roman" w:hAnsi="Times New Roman"/>
          <w:lang w:val="lt-LT"/>
        </w:rPr>
        <w:sym w:font="Symbol" w:char="F0B0"/>
      </w:r>
      <w:r w:rsidRPr="00F4223A">
        <w:rPr>
          <w:rFonts w:ascii="Times New Roman" w:hAnsi="Times New Roman"/>
          <w:lang w:val="lt-LT"/>
        </w:rPr>
        <w:t>C temperatūroje ar maždaug 25 </w:t>
      </w:r>
      <w:r w:rsidRPr="00F4223A">
        <w:rPr>
          <w:rFonts w:ascii="Times New Roman" w:hAnsi="Times New Roman"/>
          <w:lang w:val="lt-LT"/>
        </w:rPr>
        <w:sym w:font="Symbol" w:char="F0B0"/>
      </w:r>
      <w:r w:rsidRPr="00F4223A">
        <w:rPr>
          <w:rFonts w:ascii="Times New Roman" w:hAnsi="Times New Roman"/>
          <w:lang w:val="lt-LT"/>
        </w:rPr>
        <w:t>C temperatūroje cheminis ir fizinis stabilumas nekinta 28 paras. Supakuoti į PVC arba PE infuzijų maišelius, praskiesti tirpalai yra stabilūs.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Mikrobiologiniu požiūriu, praskiestą preparatą reikia infuzuoti nedelsiant. Jeigu jis tuoj pat nevartojamas, už laikymo trukmę ir sąlygas prieš vartojimą yra atsakingas gydantis medikas, tačiau paprastai ilgiau negu 24 val. 2 </w:t>
      </w:r>
      <w:r w:rsidRPr="00F4223A">
        <w:rPr>
          <w:rFonts w:ascii="Times New Roman" w:hAnsi="Times New Roman"/>
          <w:lang w:val="lt-LT"/>
        </w:rPr>
        <w:sym w:font="Symbol" w:char="F0B0"/>
      </w:r>
      <w:r w:rsidRPr="00F4223A">
        <w:rPr>
          <w:rFonts w:ascii="Times New Roman" w:hAnsi="Times New Roman"/>
          <w:lang w:val="lt-LT"/>
        </w:rPr>
        <w:t>C – 8 </w:t>
      </w:r>
      <w:r w:rsidRPr="00F4223A">
        <w:rPr>
          <w:rFonts w:ascii="Times New Roman" w:hAnsi="Times New Roman"/>
          <w:lang w:val="lt-LT"/>
        </w:rPr>
        <w:sym w:font="Symbol" w:char="F0B0"/>
      </w:r>
      <w:r w:rsidRPr="00F4223A">
        <w:rPr>
          <w:rFonts w:ascii="Times New Roman" w:hAnsi="Times New Roman"/>
          <w:lang w:val="lt-LT"/>
        </w:rPr>
        <w:t xml:space="preserve">C temperatūroje laikyti negalima, nebent preparatas būtų skiestas kontroliuojamomis ir validuotomis aseptinėmis sąlygomis.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Ant etiketės ir kartono dėžutės po „Tinka iki“ nurodytam tinkamumo laikui pasibaigus, </w:t>
      </w:r>
      <w:r w:rsidR="002F6D3D">
        <w:rPr>
          <w:rFonts w:ascii="Times New Roman" w:hAnsi="Times New Roman"/>
          <w:lang w:val="lt-LT"/>
        </w:rPr>
        <w:t>šio vaisto</w:t>
      </w:r>
      <w:r w:rsidRPr="00F4223A">
        <w:rPr>
          <w:rFonts w:ascii="Times New Roman" w:hAnsi="Times New Roman"/>
          <w:lang w:val="lt-LT"/>
        </w:rPr>
        <w:t xml:space="preserve"> vartoti negalima. Vaistas tinka vartoti iki paskutinės nurodyto mėnesio dienos.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Jeigu yra dalelių požymių, </w:t>
      </w:r>
      <w:r w:rsidRPr="00F4223A">
        <w:rPr>
          <w:rFonts w:ascii="Times New Roman" w:eastAsia="MS Mincho" w:hAnsi="Times New Roman" w:cs="Times New Roman"/>
          <w:lang w:val="lt-LT" w:eastAsia="lt-LT"/>
        </w:rPr>
        <w:t>šio vaisto</w:t>
      </w:r>
      <w:r w:rsidRPr="00F4223A">
        <w:rPr>
          <w:rFonts w:ascii="Times New Roman" w:hAnsi="Times New Roman"/>
          <w:lang w:val="lt-LT"/>
        </w:rPr>
        <w:t xml:space="preserve"> vartoti negalima.  </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eastAsia="MS Mincho" w:hAnsi="Times New Roman" w:cs="Times New Roman"/>
          <w:b/>
          <w:lang w:val="lt-LT" w:eastAsia="lt-LT"/>
        </w:rPr>
      </w:pPr>
      <w:r w:rsidRPr="00F4223A">
        <w:rPr>
          <w:rFonts w:ascii="Times New Roman" w:eastAsia="MS Mincho" w:hAnsi="Times New Roman" w:cs="Times New Roman"/>
          <w:b/>
          <w:lang w:val="lt-LT" w:eastAsia="lt-LT"/>
        </w:rPr>
        <w:t>6.</w:t>
      </w:r>
      <w:r w:rsidRPr="00F4223A">
        <w:rPr>
          <w:rFonts w:ascii="Times New Roman" w:eastAsia="MS Mincho" w:hAnsi="Times New Roman" w:cs="Times New Roman"/>
          <w:b/>
          <w:lang w:val="lt-LT" w:eastAsia="lt-LT"/>
        </w:rPr>
        <w:tab/>
      </w:r>
      <w:r w:rsidRPr="00F4223A">
        <w:rPr>
          <w:rFonts w:ascii="Times New Roman" w:eastAsia="Times New Roman" w:hAnsi="Times New Roman" w:cs="Times New Roman"/>
          <w:b/>
          <w:szCs w:val="20"/>
          <w:lang w:val="lt-LT" w:eastAsia="lt-LT"/>
        </w:rPr>
        <w:t>Pakuotės turinys ir kita informacija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Gemcitabine Actavis sudėtis</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Veiklioji medžiaga yra gemcitabinas (gemcitabino hidrochlorido pavidalu). Kiekviename koncentrato infuziniam tirpalui ml yra 40 mg gemcitabino. Kiekviename 5</w:t>
      </w:r>
      <w:r w:rsidR="002F6D3D">
        <w:rPr>
          <w:rFonts w:ascii="Times New Roman" w:hAnsi="Times New Roman"/>
          <w:lang w:val="lt-LT"/>
        </w:rPr>
        <w:t> </w:t>
      </w:r>
      <w:r w:rsidRPr="00F4223A">
        <w:rPr>
          <w:rFonts w:ascii="Times New Roman" w:hAnsi="Times New Roman"/>
          <w:lang w:val="lt-LT"/>
        </w:rPr>
        <w:t xml:space="preserve">ml </w:t>
      </w:r>
      <w:r w:rsidR="002F6D3D">
        <w:rPr>
          <w:rFonts w:ascii="Times New Roman" w:hAnsi="Times New Roman"/>
          <w:lang w:val="lt-LT"/>
        </w:rPr>
        <w:t>flakone</w:t>
      </w:r>
      <w:r w:rsidRPr="00F4223A">
        <w:rPr>
          <w:rFonts w:ascii="Times New Roman" w:hAnsi="Times New Roman"/>
          <w:lang w:val="lt-LT"/>
        </w:rPr>
        <w:t xml:space="preserve"> yra 200 mg gemcitabi</w:t>
      </w:r>
      <w:r w:rsidR="005E4EBB">
        <w:rPr>
          <w:rFonts w:ascii="Times New Roman" w:hAnsi="Times New Roman"/>
          <w:lang w:val="lt-LT"/>
        </w:rPr>
        <w:t>n</w:t>
      </w:r>
      <w:r w:rsidRPr="00F4223A">
        <w:rPr>
          <w:rFonts w:ascii="Times New Roman" w:hAnsi="Times New Roman"/>
          <w:lang w:val="lt-LT"/>
        </w:rPr>
        <w:t xml:space="preserve">o (gemcitabino hidrochlorido pavidalu). Kiekviename 25 ml </w:t>
      </w:r>
      <w:r w:rsidR="002F6D3D">
        <w:rPr>
          <w:rFonts w:ascii="Times New Roman" w:hAnsi="Times New Roman"/>
          <w:lang w:val="lt-LT"/>
        </w:rPr>
        <w:t>flakone</w:t>
      </w:r>
      <w:r w:rsidR="002F6D3D" w:rsidRPr="00F4223A">
        <w:rPr>
          <w:rFonts w:ascii="Times New Roman" w:hAnsi="Times New Roman"/>
          <w:lang w:val="lt-LT"/>
        </w:rPr>
        <w:t xml:space="preserve"> </w:t>
      </w:r>
      <w:r w:rsidRPr="00F4223A">
        <w:rPr>
          <w:rFonts w:ascii="Times New Roman" w:hAnsi="Times New Roman"/>
          <w:lang w:val="lt-LT"/>
        </w:rPr>
        <w:t>yra 1 g gemcitabino (gemcitabino hidrochlorido pavidalu). Kiekviename 50</w:t>
      </w:r>
      <w:r w:rsidR="002F6D3D">
        <w:rPr>
          <w:rFonts w:ascii="Times New Roman" w:hAnsi="Times New Roman"/>
          <w:lang w:val="lt-LT"/>
        </w:rPr>
        <w:t> </w:t>
      </w:r>
      <w:r w:rsidRPr="00F4223A">
        <w:rPr>
          <w:rFonts w:ascii="Times New Roman" w:hAnsi="Times New Roman"/>
          <w:lang w:val="lt-LT"/>
        </w:rPr>
        <w:t xml:space="preserve">ml </w:t>
      </w:r>
      <w:r w:rsidR="002F6D3D">
        <w:rPr>
          <w:rFonts w:ascii="Times New Roman" w:hAnsi="Times New Roman"/>
          <w:lang w:val="lt-LT"/>
        </w:rPr>
        <w:t>flakone</w:t>
      </w:r>
      <w:r w:rsidR="002F6D3D" w:rsidRPr="00F4223A">
        <w:rPr>
          <w:rFonts w:ascii="Times New Roman" w:hAnsi="Times New Roman"/>
          <w:lang w:val="lt-LT"/>
        </w:rPr>
        <w:t xml:space="preserve"> </w:t>
      </w:r>
      <w:r w:rsidRPr="00F4223A">
        <w:rPr>
          <w:rFonts w:ascii="Times New Roman" w:hAnsi="Times New Roman"/>
          <w:lang w:val="lt-LT"/>
        </w:rPr>
        <w:t xml:space="preserve">yra 2 g gemcitabino (gemcitabino hidrochlorido pavidalu). </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w:t>
      </w:r>
      <w:r w:rsidRPr="00F4223A">
        <w:rPr>
          <w:rFonts w:ascii="Times New Roman" w:hAnsi="Times New Roman"/>
          <w:lang w:val="lt-LT"/>
        </w:rPr>
        <w:tab/>
        <w:t xml:space="preserve">Pagalbinės medžiagos yra vandenilio chlorido rūgštis (pH sureguliavimui) ir injekcinis vanduo. </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lang w:val="lt-LT"/>
        </w:rPr>
      </w:pPr>
      <w:r w:rsidRPr="00F4223A">
        <w:rPr>
          <w:rFonts w:ascii="Times New Roman" w:hAnsi="Times New Roman"/>
          <w:b/>
          <w:lang w:val="lt-LT"/>
        </w:rPr>
        <w:t>Gemcitabine Actavis išvaizda ir kiekis pakuotėje</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Gemcitabine Actavis koncentratas infuziniam tirpalui yra skaidrus, bespalvis arba blankiai geltonas tirpalas.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Gemcitabine Actavis tiekiamas bespalvio stiklo </w:t>
      </w:r>
      <w:r w:rsidR="0037578C">
        <w:rPr>
          <w:rFonts w:ascii="Times New Roman" w:hAnsi="Times New Roman"/>
          <w:lang w:val="lt-LT"/>
        </w:rPr>
        <w:t>flakonais</w:t>
      </w:r>
      <w:r w:rsidRPr="00F4223A">
        <w:rPr>
          <w:rFonts w:ascii="Times New Roman" w:hAnsi="Times New Roman"/>
          <w:lang w:val="lt-LT"/>
        </w:rPr>
        <w:t xml:space="preserve">, užkimštais guminiu kamščiu ir užplombuotais aliumininiu dangteliu su polipropileniniu disku. </w:t>
      </w:r>
    </w:p>
    <w:p w:rsidR="00F4223A" w:rsidRPr="00F4223A" w:rsidRDefault="0037578C" w:rsidP="00F4223A">
      <w:pPr>
        <w:spacing w:after="0" w:line="240" w:lineRule="auto"/>
        <w:rPr>
          <w:rFonts w:ascii="Times New Roman" w:hAnsi="Times New Roman"/>
          <w:lang w:val="lt-LT"/>
        </w:rPr>
      </w:pPr>
      <w:r>
        <w:rPr>
          <w:rFonts w:ascii="Times New Roman" w:hAnsi="Times New Roman"/>
          <w:lang w:val="lt-LT"/>
        </w:rPr>
        <w:t>Flakonai</w:t>
      </w:r>
      <w:r w:rsidRPr="00F4223A">
        <w:rPr>
          <w:rFonts w:ascii="Times New Roman" w:hAnsi="Times New Roman"/>
          <w:lang w:val="lt-LT"/>
        </w:rPr>
        <w:t xml:space="preserve"> </w:t>
      </w:r>
      <w:r w:rsidR="00F4223A" w:rsidRPr="00F4223A">
        <w:rPr>
          <w:rFonts w:ascii="Times New Roman" w:hAnsi="Times New Roman"/>
          <w:lang w:val="lt-LT"/>
        </w:rPr>
        <w:t xml:space="preserve">supakuoti įdėti arba neįdėti į apsauginius plastikinius įdėklus. </w:t>
      </w:r>
    </w:p>
    <w:p w:rsidR="00F4223A" w:rsidRPr="00F4223A" w:rsidRDefault="00F4223A" w:rsidP="00F4223A">
      <w:pPr>
        <w:spacing w:after="0" w:line="240" w:lineRule="auto"/>
        <w:rPr>
          <w:rFonts w:ascii="Times New Roman" w:hAnsi="Times New Roman"/>
          <w:i/>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Pakuotės dydis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0037578C">
        <w:rPr>
          <w:rFonts w:ascii="Times New Roman" w:hAnsi="Times New Roman"/>
          <w:lang w:val="lt-LT"/>
        </w:rPr>
        <w:t>x</w:t>
      </w:r>
      <w:r w:rsidR="0037578C" w:rsidRPr="00F4223A">
        <w:rPr>
          <w:rFonts w:ascii="Times New Roman" w:hAnsi="Times New Roman"/>
          <w:lang w:val="lt-LT"/>
        </w:rPr>
        <w:t xml:space="preserve"> </w:t>
      </w:r>
      <w:r w:rsidRPr="00F4223A">
        <w:rPr>
          <w:rFonts w:ascii="Times New Roman" w:hAnsi="Times New Roman"/>
          <w:lang w:val="lt-LT"/>
        </w:rPr>
        <w:t>5 ml</w:t>
      </w:r>
      <w:r w:rsidR="0037578C">
        <w:rPr>
          <w:rFonts w:ascii="Times New Roman" w:hAnsi="Times New Roman"/>
          <w:lang w:val="lt-LT"/>
        </w:rPr>
        <w:t xml:space="preserve"> flakonas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0037578C">
        <w:rPr>
          <w:rFonts w:ascii="Times New Roman" w:hAnsi="Times New Roman"/>
          <w:lang w:val="lt-LT"/>
        </w:rPr>
        <w:t>x</w:t>
      </w:r>
      <w:r w:rsidR="0037578C" w:rsidRPr="00F4223A">
        <w:rPr>
          <w:rFonts w:ascii="Times New Roman" w:hAnsi="Times New Roman"/>
          <w:lang w:val="lt-LT"/>
        </w:rPr>
        <w:t xml:space="preserve"> </w:t>
      </w:r>
      <w:r w:rsidRPr="00F4223A">
        <w:rPr>
          <w:rFonts w:ascii="Times New Roman" w:hAnsi="Times New Roman"/>
          <w:lang w:val="lt-LT"/>
        </w:rPr>
        <w:t>25 ml</w:t>
      </w:r>
      <w:r w:rsidR="0037578C">
        <w:rPr>
          <w:rFonts w:ascii="Times New Roman" w:hAnsi="Times New Roman"/>
          <w:lang w:val="lt-LT"/>
        </w:rPr>
        <w:t xml:space="preserve"> flakonas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1 </w:t>
      </w:r>
      <w:r w:rsidR="0037578C">
        <w:rPr>
          <w:rFonts w:ascii="Times New Roman" w:hAnsi="Times New Roman"/>
          <w:lang w:val="lt-LT"/>
        </w:rPr>
        <w:t>x</w:t>
      </w:r>
      <w:r w:rsidR="0037578C" w:rsidRPr="00F4223A">
        <w:rPr>
          <w:rFonts w:ascii="Times New Roman" w:hAnsi="Times New Roman"/>
          <w:lang w:val="lt-LT"/>
        </w:rPr>
        <w:t xml:space="preserve"> </w:t>
      </w:r>
      <w:r w:rsidRPr="00F4223A">
        <w:rPr>
          <w:rFonts w:ascii="Times New Roman" w:hAnsi="Times New Roman"/>
          <w:lang w:val="lt-LT"/>
        </w:rPr>
        <w:t>50 ml</w:t>
      </w:r>
      <w:r w:rsidR="0037578C">
        <w:rPr>
          <w:rFonts w:ascii="Times New Roman" w:hAnsi="Times New Roman"/>
          <w:lang w:val="lt-LT"/>
        </w:rPr>
        <w:t xml:space="preserve"> flakonas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Gali būti tiekiamos ne visų dydžių pakuotės.</w:t>
      </w:r>
    </w:p>
    <w:p w:rsidR="00F4223A" w:rsidRPr="00F4223A" w:rsidRDefault="00F4223A" w:rsidP="00F4223A">
      <w:pPr>
        <w:spacing w:after="0" w:line="240" w:lineRule="auto"/>
        <w:rPr>
          <w:rFonts w:ascii="Times New Roman" w:hAnsi="Times New Roman"/>
          <w:lang w:val="lt-LT"/>
        </w:rPr>
      </w:pPr>
    </w:p>
    <w:p w:rsidR="00F4223A" w:rsidRPr="00F4223A" w:rsidRDefault="00E02AE2" w:rsidP="00F4223A">
      <w:pPr>
        <w:spacing w:after="0" w:line="240" w:lineRule="auto"/>
        <w:rPr>
          <w:rFonts w:ascii="Times New Roman" w:hAnsi="Times New Roman"/>
          <w:b/>
          <w:lang w:val="lt-LT"/>
        </w:rPr>
      </w:pPr>
      <w:r>
        <w:rPr>
          <w:rFonts w:ascii="Times New Roman" w:hAnsi="Times New Roman"/>
          <w:b/>
          <w:lang w:val="lt-LT"/>
        </w:rPr>
        <w:t>Registruotojas</w:t>
      </w:r>
      <w:r w:rsidR="00F4223A" w:rsidRPr="00F4223A">
        <w:rPr>
          <w:rFonts w:ascii="Times New Roman" w:hAnsi="Times New Roman"/>
          <w:b/>
          <w:lang w:val="lt-LT"/>
        </w:rPr>
        <w:t xml:space="preserve"> ir gamintojas</w:t>
      </w:r>
    </w:p>
    <w:p w:rsidR="00F4223A" w:rsidRPr="00F4223A" w:rsidRDefault="00F4223A" w:rsidP="00F4223A">
      <w:pPr>
        <w:spacing w:after="0" w:line="240" w:lineRule="auto"/>
        <w:rPr>
          <w:rFonts w:ascii="Times New Roman" w:hAnsi="Times New Roman"/>
          <w:lang w:val="lt-LT"/>
        </w:rPr>
      </w:pPr>
    </w:p>
    <w:p w:rsidR="00F4223A" w:rsidRPr="00F4223A" w:rsidRDefault="00E02AE2" w:rsidP="00F4223A">
      <w:pPr>
        <w:spacing w:after="0" w:line="240" w:lineRule="auto"/>
        <w:rPr>
          <w:rFonts w:ascii="Times New Roman" w:hAnsi="Times New Roman"/>
          <w:i/>
          <w:lang w:val="lt-LT"/>
        </w:rPr>
      </w:pPr>
      <w:r>
        <w:rPr>
          <w:rFonts w:ascii="Times New Roman" w:hAnsi="Times New Roman"/>
          <w:i/>
          <w:lang w:val="lt-LT"/>
        </w:rPr>
        <w:t>Registruotojas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Actavis Group PTC ehf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Reykjavikurvegi 76-78</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220 Hafnarfjörður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Islandija</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i/>
          <w:lang w:val="lt-LT"/>
        </w:rPr>
        <w:t>Gamintojas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Actavis Italy S.p.A. -Nerviano Plant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Viale Pasteur 10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20014 Nerviano (MI)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Italija</w:t>
      </w:r>
    </w:p>
    <w:p w:rsidR="00F4223A" w:rsidRPr="00F4223A" w:rsidRDefault="00F4223A" w:rsidP="00F4223A">
      <w:pPr>
        <w:spacing w:after="0" w:line="240" w:lineRule="auto"/>
        <w:rPr>
          <w:rFonts w:ascii="Times New Roman" w:hAnsi="Times New Roman"/>
          <w:b/>
          <w:lang w:val="lt-LT"/>
        </w:rPr>
      </w:pPr>
    </w:p>
    <w:p w:rsidR="00F4223A" w:rsidRPr="00F4223A" w:rsidRDefault="00F4223A" w:rsidP="00F4223A">
      <w:pPr>
        <w:spacing w:after="0" w:line="240" w:lineRule="auto"/>
        <w:rPr>
          <w:rFonts w:ascii="Times New Roman" w:eastAsia="Times New Roman" w:hAnsi="Times New Roman" w:cs="Times New Roman"/>
          <w:noProof/>
          <w:szCs w:val="20"/>
          <w:lang w:val="lt-LT" w:eastAsia="lt-LT"/>
        </w:rPr>
      </w:pPr>
      <w:r w:rsidRPr="00F4223A">
        <w:rPr>
          <w:rFonts w:ascii="Times New Roman" w:eastAsia="Times New Roman" w:hAnsi="Times New Roman" w:cs="Times New Roman"/>
          <w:noProof/>
          <w:szCs w:val="20"/>
          <w:lang w:val="lt-LT" w:eastAsia="lt-LT"/>
        </w:rPr>
        <w:t xml:space="preserve">Jeigu apie šį vaistą norite sužinoti daugiau, kreipkitės į vietinį </w:t>
      </w:r>
      <w:r w:rsidR="00E02AE2">
        <w:rPr>
          <w:rFonts w:ascii="Times New Roman" w:eastAsia="Times New Roman" w:hAnsi="Times New Roman" w:cs="Times New Roman"/>
          <w:noProof/>
          <w:szCs w:val="20"/>
          <w:lang w:val="lt-LT" w:eastAsia="lt-LT"/>
        </w:rPr>
        <w:t>registruotojo</w:t>
      </w:r>
      <w:r w:rsidRPr="00F4223A">
        <w:rPr>
          <w:rFonts w:ascii="Times New Roman" w:eastAsia="Times New Roman" w:hAnsi="Times New Roman" w:cs="Times New Roman"/>
          <w:noProof/>
          <w:szCs w:val="20"/>
          <w:lang w:val="lt-LT" w:eastAsia="lt-LT"/>
        </w:rPr>
        <w:t xml:space="preserve"> atstovą.</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UAB „Actavis Baltics“</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Senasis Ukmergės kelias 4</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Užubalių k., Avižienių sen.,</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LT-14130 Vilniaus raj.,</w:t>
      </w:r>
    </w:p>
    <w:p w:rsidR="00F4223A" w:rsidRPr="00F4223A" w:rsidRDefault="00F4223A" w:rsidP="00F4223A">
      <w:pPr>
        <w:spacing w:after="0" w:line="240" w:lineRule="auto"/>
        <w:rPr>
          <w:rFonts w:ascii="Times New Roman" w:eastAsia="Times New Roman" w:hAnsi="Times New Roman" w:cs="Times New Roman"/>
          <w:szCs w:val="20"/>
          <w:lang w:val="lt-LT" w:eastAsia="lt-LT"/>
        </w:rPr>
      </w:pPr>
      <w:r w:rsidRPr="00F4223A">
        <w:rPr>
          <w:rFonts w:ascii="Times New Roman" w:eastAsia="Times New Roman" w:hAnsi="Times New Roman" w:cs="Times New Roman"/>
          <w:szCs w:val="20"/>
          <w:lang w:val="lt-LT" w:eastAsia="lt-LT"/>
        </w:rPr>
        <w:t>+370 5 260 9615</w:t>
      </w:r>
    </w:p>
    <w:p w:rsidR="00F4223A" w:rsidRDefault="00F4223A" w:rsidP="00F4223A">
      <w:pPr>
        <w:spacing w:after="0" w:line="240" w:lineRule="auto"/>
        <w:rPr>
          <w:rFonts w:ascii="Times New Roman" w:eastAsia="MS Mincho" w:hAnsi="Times New Roman" w:cs="Times New Roman"/>
          <w:b/>
          <w:lang w:val="lt-LT" w:eastAsia="lt-LT"/>
        </w:rPr>
      </w:pPr>
    </w:p>
    <w:p w:rsidR="00E02AE2" w:rsidRPr="005E4EBB" w:rsidRDefault="00E02AE2" w:rsidP="00F4223A">
      <w:pPr>
        <w:spacing w:after="0" w:line="240" w:lineRule="auto"/>
        <w:rPr>
          <w:rFonts w:ascii="Times New Roman" w:eastAsia="MS Mincho" w:hAnsi="Times New Roman" w:cs="Times New Roman"/>
          <w:b/>
          <w:lang w:val="lt-LT" w:eastAsia="lt-LT"/>
        </w:rPr>
      </w:pPr>
      <w:r w:rsidRPr="005E4EBB">
        <w:rPr>
          <w:rFonts w:ascii="Times New Roman" w:eastAsia="MS Mincho" w:hAnsi="Times New Roman" w:cs="Times New Roman"/>
          <w:b/>
          <w:lang w:val="lt-LT" w:eastAsia="lt-LT"/>
        </w:rPr>
        <w:t>Šis vaistas EEE valstybėse narėse registruotas tokiais pavadinimais:</w:t>
      </w:r>
    </w:p>
    <w:p w:rsidR="00E02AE2" w:rsidRPr="00D97727" w:rsidRDefault="00E02AE2" w:rsidP="00E02AE2">
      <w:pPr>
        <w:numPr>
          <w:ilvl w:val="12"/>
          <w:numId w:val="0"/>
        </w:numPr>
        <w:spacing w:after="0" w:line="240" w:lineRule="auto"/>
        <w:ind w:right="-2"/>
        <w:rPr>
          <w:rFonts w:ascii="Times New Roman" w:eastAsia="Times New Roman" w:hAnsi="Times New Roman" w:cs="Times New Roman"/>
          <w:szCs w:val="20"/>
          <w:lang w:val="lt-LT"/>
        </w:rPr>
      </w:pPr>
      <w:r w:rsidRPr="00D97727">
        <w:rPr>
          <w:rFonts w:ascii="Times New Roman" w:eastAsia="Times New Roman" w:hAnsi="Times New Roman" w:cs="Times New Roman"/>
          <w:szCs w:val="20"/>
          <w:lang w:val="lt-LT"/>
        </w:rPr>
        <w:t>Nyderlandai</w:t>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t>Gemcitabine Actavis 40 mg/ml, concentraat voor oplossing voor infusie</w:t>
      </w:r>
    </w:p>
    <w:p w:rsidR="00E02AE2" w:rsidRPr="00D97727" w:rsidRDefault="00E02AE2" w:rsidP="00E02AE2">
      <w:pPr>
        <w:tabs>
          <w:tab w:val="left" w:pos="567"/>
        </w:tabs>
        <w:spacing w:after="0" w:line="260" w:lineRule="exact"/>
        <w:rPr>
          <w:rFonts w:ascii="Times New Roman" w:eastAsia="Times New Roman" w:hAnsi="Times New Roman" w:cs="Times New Roman"/>
          <w:bCs/>
          <w:szCs w:val="20"/>
          <w:lang w:val="lt-LT"/>
        </w:rPr>
      </w:pPr>
      <w:r w:rsidRPr="00D97727">
        <w:rPr>
          <w:rFonts w:ascii="Times New Roman" w:eastAsia="Times New Roman" w:hAnsi="Times New Roman" w:cs="Times New Roman"/>
          <w:szCs w:val="20"/>
          <w:lang w:val="lt-LT"/>
        </w:rPr>
        <w:t>Austrija</w:t>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bCs/>
          <w:szCs w:val="20"/>
          <w:lang w:val="lt-LT"/>
        </w:rPr>
        <w:t>Gemalata 40 mg/ml Konzentrat zur Herstellung einer Infusionslösung</w:t>
      </w:r>
    </w:p>
    <w:p w:rsidR="00E02AE2" w:rsidRPr="00D97727" w:rsidRDefault="00E02AE2" w:rsidP="00D97727">
      <w:pPr>
        <w:numPr>
          <w:ilvl w:val="12"/>
          <w:numId w:val="0"/>
        </w:numPr>
        <w:spacing w:after="0" w:line="240" w:lineRule="auto"/>
        <w:ind w:left="2160" w:right="-2" w:hanging="2160"/>
        <w:rPr>
          <w:rFonts w:ascii="Times New Roman" w:eastAsia="Times New Roman" w:hAnsi="Times New Roman" w:cs="Times New Roman"/>
          <w:szCs w:val="20"/>
          <w:lang w:val="lt-LT"/>
        </w:rPr>
      </w:pPr>
      <w:r w:rsidRPr="00D97727">
        <w:rPr>
          <w:rFonts w:ascii="Times New Roman" w:eastAsia="Times New Roman" w:hAnsi="Times New Roman" w:cs="Times New Roman"/>
          <w:szCs w:val="20"/>
          <w:lang w:val="lt-LT"/>
        </w:rPr>
        <w:t>Vokietija</w:t>
      </w:r>
      <w:r w:rsidRPr="00D97727">
        <w:rPr>
          <w:rFonts w:ascii="Times New Roman" w:eastAsia="Times New Roman" w:hAnsi="Times New Roman" w:cs="Times New Roman"/>
          <w:szCs w:val="20"/>
          <w:lang w:val="lt-LT"/>
        </w:rPr>
        <w:tab/>
        <w:t xml:space="preserve">Gemcitabin Aurobindo 40 mg/ml </w:t>
      </w:r>
      <w:r w:rsidRPr="00D97727">
        <w:rPr>
          <w:rFonts w:ascii="Times New Roman" w:eastAsia="Times New Roman" w:hAnsi="Times New Roman" w:cs="Times New Roman"/>
          <w:bCs/>
          <w:szCs w:val="20"/>
          <w:lang w:val="lt-LT"/>
        </w:rPr>
        <w:t>Konzentrat zur Herstellung einer Infusionslösung</w:t>
      </w:r>
    </w:p>
    <w:p w:rsidR="00E02AE2" w:rsidRPr="00D97727" w:rsidRDefault="00E02AE2" w:rsidP="00E02AE2">
      <w:pPr>
        <w:numPr>
          <w:ilvl w:val="12"/>
          <w:numId w:val="0"/>
        </w:numPr>
        <w:spacing w:after="0" w:line="240" w:lineRule="auto"/>
        <w:ind w:right="-2"/>
        <w:rPr>
          <w:rFonts w:ascii="Times New Roman" w:eastAsia="Times New Roman" w:hAnsi="Times New Roman" w:cs="Times New Roman"/>
          <w:szCs w:val="20"/>
          <w:lang w:val="lt-LT"/>
        </w:rPr>
      </w:pPr>
      <w:r w:rsidRPr="00D97727">
        <w:rPr>
          <w:rFonts w:ascii="Times New Roman" w:eastAsia="Times New Roman" w:hAnsi="Times New Roman" w:cs="Times New Roman"/>
          <w:szCs w:val="20"/>
          <w:lang w:val="lt-LT"/>
        </w:rPr>
        <w:t>Danija, Lenkija</w:t>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t>Gemcitabine Actavis, 40 mg/ml</w:t>
      </w:r>
    </w:p>
    <w:p w:rsidR="00E02AE2" w:rsidRPr="00D97727" w:rsidRDefault="00E02AE2" w:rsidP="00E02AE2">
      <w:pPr>
        <w:numPr>
          <w:ilvl w:val="12"/>
          <w:numId w:val="0"/>
        </w:numPr>
        <w:spacing w:after="0" w:line="240" w:lineRule="auto"/>
        <w:ind w:right="-2"/>
        <w:rPr>
          <w:rFonts w:ascii="Times New Roman" w:eastAsia="Times New Roman" w:hAnsi="Times New Roman" w:cs="Times New Roman"/>
          <w:szCs w:val="20"/>
          <w:lang w:val="lt-LT"/>
        </w:rPr>
      </w:pPr>
      <w:r w:rsidRPr="00D97727">
        <w:rPr>
          <w:rFonts w:ascii="Times New Roman" w:eastAsia="Times New Roman" w:hAnsi="Times New Roman" w:cs="Times New Roman"/>
          <w:szCs w:val="20"/>
          <w:lang w:val="lt-LT"/>
        </w:rPr>
        <w:t>Graikija</w:t>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bCs/>
          <w:szCs w:val="20"/>
          <w:lang w:val="lt-LT"/>
        </w:rPr>
        <w:t>Gemcitabine Actavis</w:t>
      </w:r>
    </w:p>
    <w:p w:rsidR="00E02AE2" w:rsidRPr="00D97727" w:rsidRDefault="00E02AE2" w:rsidP="00E02AE2">
      <w:pPr>
        <w:numPr>
          <w:ilvl w:val="12"/>
          <w:numId w:val="0"/>
        </w:numPr>
        <w:spacing w:after="0" w:line="240" w:lineRule="auto"/>
        <w:ind w:right="-2"/>
        <w:rPr>
          <w:rFonts w:ascii="Times New Roman" w:eastAsia="Times New Roman" w:hAnsi="Times New Roman" w:cs="Times New Roman"/>
          <w:szCs w:val="20"/>
          <w:lang w:val="lt-LT"/>
        </w:rPr>
      </w:pPr>
      <w:r w:rsidRPr="00D97727">
        <w:rPr>
          <w:rFonts w:ascii="Times New Roman" w:eastAsia="Times New Roman" w:hAnsi="Times New Roman" w:cs="Times New Roman"/>
          <w:szCs w:val="20"/>
          <w:lang w:val="lt-LT"/>
        </w:rPr>
        <w:t>Suomija, Švedija, Danija</w:t>
      </w:r>
      <w:r w:rsidRPr="00D97727">
        <w:rPr>
          <w:rFonts w:ascii="Times New Roman" w:eastAsia="Times New Roman" w:hAnsi="Times New Roman" w:cs="Times New Roman"/>
          <w:szCs w:val="20"/>
          <w:lang w:val="lt-LT"/>
        </w:rPr>
        <w:tab/>
        <w:t>Gitrabin</w:t>
      </w:r>
    </w:p>
    <w:p w:rsidR="00E02AE2" w:rsidRPr="00D97727" w:rsidRDefault="00E02AE2" w:rsidP="00E02AE2">
      <w:pPr>
        <w:tabs>
          <w:tab w:val="left" w:pos="567"/>
        </w:tabs>
        <w:spacing w:after="0" w:line="260" w:lineRule="exact"/>
        <w:rPr>
          <w:rFonts w:ascii="Times New Roman" w:eastAsia="Times New Roman" w:hAnsi="Times New Roman" w:cs="Times New Roman"/>
          <w:szCs w:val="20"/>
          <w:lang w:val="lt-LT"/>
        </w:rPr>
      </w:pPr>
      <w:r w:rsidRPr="00D97727">
        <w:rPr>
          <w:rFonts w:ascii="Times New Roman" w:eastAsia="Times New Roman" w:hAnsi="Times New Roman" w:cs="Times New Roman"/>
          <w:szCs w:val="20"/>
          <w:lang w:val="lt-LT"/>
        </w:rPr>
        <w:t>Lietuva</w:t>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r>
      <w:r w:rsidRPr="00D97727">
        <w:rPr>
          <w:rFonts w:ascii="Times New Roman" w:eastAsia="Times New Roman" w:hAnsi="Times New Roman" w:cs="Times New Roman"/>
          <w:szCs w:val="20"/>
          <w:lang w:val="lt-LT"/>
        </w:rPr>
        <w:tab/>
        <w:t>Gemcitabine Actavis 40 mg/ml koncentratas infuziniam tirpalui</w:t>
      </w:r>
    </w:p>
    <w:p w:rsidR="00E02AE2" w:rsidRDefault="00E02AE2" w:rsidP="00F4223A">
      <w:pPr>
        <w:spacing w:after="0" w:line="240" w:lineRule="auto"/>
        <w:rPr>
          <w:rFonts w:ascii="Times New Roman" w:eastAsia="MS Mincho" w:hAnsi="Times New Roman" w:cs="Times New Roman"/>
          <w:b/>
          <w:lang w:val="lt-LT" w:eastAsia="lt-LT"/>
        </w:rPr>
      </w:pPr>
    </w:p>
    <w:p w:rsidR="00E02AE2" w:rsidRPr="00F4223A" w:rsidRDefault="00E02AE2" w:rsidP="00F4223A">
      <w:pPr>
        <w:spacing w:after="0" w:line="240" w:lineRule="auto"/>
        <w:rPr>
          <w:rFonts w:ascii="Times New Roman" w:eastAsia="MS Mincho" w:hAnsi="Times New Roman" w:cs="Times New Roman"/>
          <w:b/>
          <w:lang w:val="lt-LT" w:eastAsia="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b/>
          <w:lang w:val="lt-LT"/>
        </w:rPr>
        <w:t xml:space="preserve">Šis pakuotės lapelis paskutinį kartą </w:t>
      </w:r>
      <w:r w:rsidRPr="00F4223A">
        <w:rPr>
          <w:rFonts w:ascii="Times New Roman" w:eastAsia="MS Mincho" w:hAnsi="Times New Roman" w:cs="Times New Roman"/>
          <w:b/>
          <w:lang w:val="lt-LT" w:eastAsia="lt-LT"/>
        </w:rPr>
        <w:t xml:space="preserve">peržiūrėtas </w:t>
      </w:r>
      <w:r w:rsidR="00D83147">
        <w:rPr>
          <w:rFonts w:ascii="Times New Roman" w:eastAsia="MS Mincho" w:hAnsi="Times New Roman" w:cs="Times New Roman"/>
          <w:b/>
          <w:lang w:val="lt-LT" w:eastAsia="lt-LT"/>
        </w:rPr>
        <w:t>2016-01-04</w:t>
      </w:r>
    </w:p>
    <w:p w:rsidR="00F4223A" w:rsidRDefault="00F4223A" w:rsidP="00F4223A">
      <w:pPr>
        <w:spacing w:after="0" w:line="240" w:lineRule="auto"/>
        <w:rPr>
          <w:rFonts w:ascii="Times New Roman" w:hAnsi="Times New Roman"/>
          <w:lang w:val="lt-LT"/>
        </w:rPr>
      </w:pPr>
    </w:p>
    <w:p w:rsidR="00D83147" w:rsidRPr="00F4223A" w:rsidRDefault="00D83147"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eastAsia="Times New Roman" w:hAnsi="Times New Roman" w:cs="Times New Roman"/>
          <w:lang w:val="lt-LT" w:eastAsia="lt-LT"/>
        </w:rPr>
        <w:t>Išsami informacija apie šį vaistą</w:t>
      </w:r>
      <w:r w:rsidRPr="00F4223A">
        <w:rPr>
          <w:rFonts w:ascii="Times New Roman" w:hAnsi="Times New Roman"/>
          <w:lang w:val="lt-LT"/>
        </w:rPr>
        <w:t xml:space="preserve"> pateikiama Valstybinės vaistų kontrolės tarnybos prie Lietuvos Respublikos sveikatos apsaugos ministerijos </w:t>
      </w:r>
      <w:r w:rsidRPr="00F4223A">
        <w:rPr>
          <w:rFonts w:ascii="Times New Roman" w:eastAsia="Times New Roman" w:hAnsi="Times New Roman" w:cs="Times New Roman"/>
          <w:lang w:val="lt-LT" w:eastAsia="lt-LT"/>
        </w:rPr>
        <w:t>tinklalapyje</w:t>
      </w:r>
      <w:r w:rsidRPr="00F4223A">
        <w:rPr>
          <w:rFonts w:ascii="Times New Roman" w:hAnsi="Times New Roman"/>
          <w:i/>
          <w:lang w:val="lt-LT"/>
        </w:rPr>
        <w:t xml:space="preserve"> </w:t>
      </w:r>
      <w:r w:rsidRPr="00F4223A">
        <w:rPr>
          <w:rFonts w:ascii="Times New Roman" w:hAnsi="Times New Roman"/>
          <w:color w:val="0000FF"/>
          <w:lang w:val="lt-LT"/>
        </w:rPr>
        <w:t>http://www.vvkt.lt/</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w:t>
      </w:r>
    </w:p>
    <w:p w:rsidR="00F4223A" w:rsidRPr="00F4223A" w:rsidRDefault="00F4223A" w:rsidP="00F4223A">
      <w:pPr>
        <w:spacing w:after="0" w:line="240" w:lineRule="auto"/>
        <w:rPr>
          <w:rFonts w:ascii="Times New Roman" w:hAnsi="Times New Roman"/>
          <w:lang w:val="lt-LT"/>
        </w:rPr>
      </w:pPr>
    </w:p>
    <w:p w:rsidR="00F4223A" w:rsidRPr="00F4223A" w:rsidRDefault="0037578C" w:rsidP="00F4223A">
      <w:pPr>
        <w:spacing w:after="0" w:line="240" w:lineRule="auto"/>
        <w:rPr>
          <w:rFonts w:ascii="Times New Roman" w:hAnsi="Times New Roman"/>
          <w:lang w:val="lt-LT"/>
        </w:rPr>
      </w:pPr>
      <w:r>
        <w:rPr>
          <w:rFonts w:ascii="Times New Roman" w:hAnsi="Times New Roman"/>
          <w:lang w:val="lt-LT"/>
        </w:rPr>
        <w:t>Toliau</w:t>
      </w:r>
      <w:r w:rsidRPr="00F4223A">
        <w:rPr>
          <w:rFonts w:ascii="Times New Roman" w:hAnsi="Times New Roman"/>
          <w:lang w:val="lt-LT"/>
        </w:rPr>
        <w:t xml:space="preserve"> </w:t>
      </w:r>
      <w:r w:rsidR="00F4223A" w:rsidRPr="00F4223A">
        <w:rPr>
          <w:rFonts w:ascii="Times New Roman" w:hAnsi="Times New Roman"/>
          <w:lang w:val="lt-LT"/>
        </w:rPr>
        <w:t>pateikta informacija skirta tik sveikatos priežiūros specialistams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jc w:val="center"/>
        <w:rPr>
          <w:rFonts w:ascii="Times New Roman" w:hAnsi="Times New Roman"/>
          <w:b/>
          <w:lang w:val="lt-LT"/>
        </w:rPr>
      </w:pPr>
      <w:r w:rsidRPr="00F4223A">
        <w:rPr>
          <w:rFonts w:ascii="Times New Roman" w:hAnsi="Times New Roman"/>
          <w:b/>
          <w:lang w:val="lt-LT"/>
        </w:rPr>
        <w:t>Vartojimo instrukcija</w:t>
      </w:r>
    </w:p>
    <w:p w:rsidR="00F4223A" w:rsidRPr="00F4223A" w:rsidRDefault="0037578C" w:rsidP="00512BC4">
      <w:pPr>
        <w:spacing w:after="0" w:line="240" w:lineRule="auto"/>
        <w:jc w:val="center"/>
        <w:rPr>
          <w:rFonts w:ascii="Times New Roman" w:hAnsi="Times New Roman"/>
          <w:lang w:val="lt-LT"/>
        </w:rPr>
      </w:pPr>
      <w:r w:rsidRPr="00F4223A">
        <w:rPr>
          <w:rFonts w:ascii="Times New Roman" w:hAnsi="Times New Roman"/>
          <w:b/>
          <w:lang w:val="lt-LT"/>
        </w:rPr>
        <w:t>Gemcitabine Actavis 40 mg/ml koncentratas infuziniam tirpalui</w:t>
      </w:r>
    </w:p>
    <w:p w:rsidR="00F4223A" w:rsidRPr="00F4223A" w:rsidRDefault="00F4223A" w:rsidP="00F4223A">
      <w:pPr>
        <w:spacing w:after="0" w:line="240" w:lineRule="auto"/>
        <w:jc w:val="center"/>
        <w:rPr>
          <w:rFonts w:ascii="Times New Roman" w:hAnsi="Times New Roman"/>
          <w:lang w:val="lt-LT"/>
        </w:rPr>
      </w:pPr>
      <w:r w:rsidRPr="00F4223A">
        <w:rPr>
          <w:rFonts w:ascii="Times New Roman" w:hAnsi="Times New Roman"/>
          <w:lang w:val="lt-LT"/>
        </w:rPr>
        <w:t>Citotoksinis preparatas</w:t>
      </w:r>
    </w:p>
    <w:p w:rsidR="00F4223A" w:rsidRPr="00F4223A" w:rsidRDefault="00F4223A" w:rsidP="00F4223A">
      <w:pPr>
        <w:spacing w:after="0" w:line="240" w:lineRule="auto"/>
        <w:rPr>
          <w:rFonts w:ascii="Times New Roman" w:hAnsi="Times New Roman"/>
          <w:b/>
          <w:i/>
          <w:lang w:val="lt-LT"/>
        </w:rPr>
      </w:pPr>
    </w:p>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Vaistinio preparato ruošimas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Ruošiant infuzinį tirpalą </w:t>
      </w:r>
      <w:r w:rsidR="00B00F26">
        <w:rPr>
          <w:rFonts w:ascii="Times New Roman" w:hAnsi="Times New Roman"/>
          <w:lang w:val="lt-LT"/>
        </w:rPr>
        <w:t xml:space="preserve">ir tvarkant atliekas </w:t>
      </w:r>
      <w:r w:rsidRPr="00F4223A">
        <w:rPr>
          <w:rFonts w:ascii="Times New Roman" w:hAnsi="Times New Roman"/>
          <w:lang w:val="lt-LT"/>
        </w:rPr>
        <w:t xml:space="preserve">būtina laikytis įprastinių darbo su citostatiniais preparatais atsargumo priemonių. Nėščioms darbuotojoms su šiuo preparatu dirbti negalima. Infuzinį tirpalą reikia ruošti saugioje patalpoje, apsivilkus apsauginį apdarą ir užsimovus apsaugines pirštines. Jeigu saugios patalpos nėra, reikia būti su kauke ir apsauginiais akininiais. </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Jeigu preparato patenka į akis, jis gali sukelti sunkų dirginimą. Akis nedelsiant būtina kruopščiai praplauti vandeniu. Jeigu dirginimas nepraeina, reikia kreiptis į gydytoją. Jeigu preparato patenka ant odos, reikia kruopščiai nuplauti vandeniu.</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Skiedimo instrukcija</w:t>
      </w:r>
    </w:p>
    <w:p w:rsidR="00F4223A" w:rsidRPr="00F4223A" w:rsidRDefault="00F4223A" w:rsidP="00F4223A">
      <w:pPr>
        <w:tabs>
          <w:tab w:val="left" w:pos="357"/>
        </w:tabs>
        <w:spacing w:after="0" w:line="240" w:lineRule="auto"/>
        <w:rPr>
          <w:rFonts w:ascii="Times New Roman" w:hAnsi="Times New Roman"/>
          <w:lang w:val="lt-LT"/>
        </w:rPr>
      </w:pPr>
      <w:r w:rsidRPr="00F4223A">
        <w:rPr>
          <w:rFonts w:ascii="Times New Roman" w:hAnsi="Times New Roman"/>
          <w:lang w:val="lt-LT"/>
        </w:rPr>
        <w:t>Įteisintas Gemcitabine Actavis koncentrato infuziniam tirpalui skiediklis yra natrio chlorido 9 mg/ml (0,9</w:t>
      </w:r>
      <w:r w:rsidRPr="00F4223A">
        <w:rPr>
          <w:rFonts w:ascii="Times New Roman" w:hAnsi="Times New Roman"/>
          <w:lang w:val="lt-LT"/>
        </w:rPr>
        <w:sym w:font="Symbol" w:char="F025"/>
      </w:r>
      <w:r w:rsidRPr="00F4223A">
        <w:rPr>
          <w:rFonts w:ascii="Times New Roman" w:hAnsi="Times New Roman"/>
          <w:lang w:val="lt-LT"/>
        </w:rPr>
        <w:t>) injekcinis tirpalas, kuriame konservantų nėra.</w:t>
      </w:r>
    </w:p>
    <w:p w:rsidR="00F4223A" w:rsidRPr="00F4223A" w:rsidRDefault="00F4223A" w:rsidP="00F4223A">
      <w:pPr>
        <w:tabs>
          <w:tab w:val="left" w:pos="357"/>
        </w:tabs>
        <w:spacing w:after="0" w:line="240" w:lineRule="auto"/>
        <w:rPr>
          <w:rFonts w:ascii="Times New Roman" w:hAnsi="Times New Roman"/>
          <w:lang w:val="lt-LT"/>
        </w:rPr>
      </w:pPr>
    </w:p>
    <w:p w:rsidR="00F4223A" w:rsidRPr="00F4223A" w:rsidRDefault="00F4223A" w:rsidP="00F4223A">
      <w:pPr>
        <w:tabs>
          <w:tab w:val="left" w:pos="0"/>
        </w:tabs>
        <w:spacing w:after="0" w:line="240" w:lineRule="auto"/>
        <w:rPr>
          <w:rFonts w:ascii="Times New Roman" w:hAnsi="Times New Roman"/>
          <w:lang w:val="lt-LT"/>
        </w:rPr>
      </w:pPr>
      <w:r w:rsidRPr="00F4223A">
        <w:rPr>
          <w:rFonts w:ascii="Times New Roman" w:hAnsi="Times New Roman"/>
          <w:lang w:val="lt-LT"/>
        </w:rPr>
        <w:t>1.</w:t>
      </w:r>
      <w:r w:rsidRPr="00F4223A">
        <w:rPr>
          <w:rFonts w:ascii="Times New Roman" w:hAnsi="Times New Roman"/>
          <w:lang w:val="lt-LT"/>
        </w:rPr>
        <w:tab/>
        <w:t>Gemcitabino tirpalą skiedžiant intraveninei infuzijai, reikia naudoti aseptinę techniką.</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2.</w:t>
      </w:r>
      <w:r w:rsidRPr="00F4223A">
        <w:rPr>
          <w:rFonts w:ascii="Times New Roman" w:hAnsi="Times New Roman"/>
          <w:lang w:val="lt-LT"/>
        </w:rPr>
        <w:tab/>
        <w:t>Praskiestas koncentratas yra skaidrus, bespalvis arba blankiai gelsvas tirpalas.</w:t>
      </w: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3.</w:t>
      </w:r>
      <w:r w:rsidRPr="00F4223A">
        <w:rPr>
          <w:rFonts w:ascii="Times New Roman" w:hAnsi="Times New Roman"/>
          <w:lang w:val="lt-LT"/>
        </w:rPr>
        <w:tab/>
        <w:t>Prieš vartojimą parenteriniu</w:t>
      </w:r>
      <w:r w:rsidR="00B00F26">
        <w:rPr>
          <w:rFonts w:ascii="Times New Roman" w:hAnsi="Times New Roman"/>
          <w:lang w:val="lt-LT"/>
        </w:rPr>
        <w:t>s</w:t>
      </w:r>
      <w:r w:rsidRPr="00F4223A">
        <w:rPr>
          <w:rFonts w:ascii="Times New Roman" w:hAnsi="Times New Roman"/>
          <w:lang w:val="lt-LT"/>
        </w:rPr>
        <w:t xml:space="preserve"> vaistinius preparatus reikia apžiūrėti, ar nėra medžiagos dalelių ar spalvos pokyčių. Jeigu medžiagos dalelių yra, vartoti negalima.</w:t>
      </w:r>
    </w:p>
    <w:p w:rsidR="00F4223A" w:rsidRPr="00F4223A" w:rsidRDefault="00F4223A" w:rsidP="00F4223A">
      <w:pPr>
        <w:spacing w:after="0" w:line="240" w:lineRule="auto"/>
        <w:ind w:left="567" w:hanging="567"/>
        <w:rPr>
          <w:rFonts w:ascii="Times New Roman" w:hAnsi="Times New Roman"/>
          <w:lang w:val="lt-LT"/>
        </w:rPr>
      </w:pPr>
    </w:p>
    <w:p w:rsidR="00F4223A" w:rsidRPr="00F4223A" w:rsidRDefault="00F4223A" w:rsidP="00F4223A">
      <w:pPr>
        <w:spacing w:after="0" w:line="240" w:lineRule="auto"/>
        <w:ind w:left="567" w:hanging="567"/>
        <w:rPr>
          <w:rFonts w:ascii="Times New Roman" w:hAnsi="Times New Roman"/>
          <w:lang w:val="lt-LT"/>
        </w:rPr>
      </w:pPr>
      <w:r w:rsidRPr="00F4223A">
        <w:rPr>
          <w:rFonts w:ascii="Times New Roman" w:hAnsi="Times New Roman"/>
          <w:lang w:val="lt-LT"/>
        </w:rPr>
        <w:t xml:space="preserve">Nesuvartotą </w:t>
      </w:r>
      <w:r w:rsidR="00B00F26">
        <w:rPr>
          <w:rFonts w:ascii="Times New Roman" w:hAnsi="Times New Roman"/>
          <w:lang w:val="lt-LT"/>
        </w:rPr>
        <w:t xml:space="preserve">vaistinį </w:t>
      </w:r>
      <w:r w:rsidRPr="00F4223A">
        <w:rPr>
          <w:rFonts w:ascii="Times New Roman" w:hAnsi="Times New Roman"/>
          <w:lang w:val="lt-LT"/>
        </w:rPr>
        <w:t>preparatą ir atliekas reikia tvarkyti laikantis vietinių reikalavimų.</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b/>
          <w:i/>
          <w:lang w:val="lt-LT"/>
        </w:rPr>
      </w:pPr>
      <w:r w:rsidRPr="00F4223A">
        <w:rPr>
          <w:rFonts w:ascii="Times New Roman" w:hAnsi="Times New Roman"/>
          <w:b/>
          <w:i/>
          <w:lang w:val="lt-LT"/>
        </w:rPr>
        <w:t>Laikymo sąlygos</w:t>
      </w:r>
    </w:p>
    <w:p w:rsidR="00F4223A" w:rsidRPr="00F4223A" w:rsidRDefault="00F4223A" w:rsidP="00F4223A">
      <w:pPr>
        <w:spacing w:after="0" w:line="240" w:lineRule="auto"/>
        <w:rPr>
          <w:rFonts w:ascii="Times New Roman" w:hAnsi="Times New Roman"/>
          <w:b/>
          <w:i/>
          <w:lang w:val="lt-LT"/>
        </w:rPr>
      </w:pPr>
    </w:p>
    <w:p w:rsidR="00F4223A" w:rsidRPr="00F4223A" w:rsidRDefault="00B00F26" w:rsidP="00F4223A">
      <w:pPr>
        <w:spacing w:after="0" w:line="240" w:lineRule="auto"/>
        <w:rPr>
          <w:rFonts w:ascii="Times New Roman" w:hAnsi="Times New Roman"/>
          <w:i/>
          <w:lang w:val="lt-LT"/>
        </w:rPr>
      </w:pPr>
      <w:r>
        <w:rPr>
          <w:rFonts w:ascii="Times New Roman" w:hAnsi="Times New Roman"/>
          <w:i/>
          <w:lang w:val="lt-LT"/>
        </w:rPr>
        <w:t>Flakoną</w:t>
      </w:r>
      <w:r w:rsidRPr="00F4223A">
        <w:rPr>
          <w:rFonts w:ascii="Times New Roman" w:hAnsi="Times New Roman"/>
          <w:i/>
          <w:lang w:val="lt-LT"/>
        </w:rPr>
        <w:t xml:space="preserve"> </w:t>
      </w:r>
      <w:r w:rsidR="00F4223A" w:rsidRPr="00F4223A">
        <w:rPr>
          <w:rFonts w:ascii="Times New Roman" w:hAnsi="Times New Roman"/>
          <w:i/>
          <w:lang w:val="lt-LT"/>
        </w:rPr>
        <w:t>pirmą kartą atidarius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Įrodyta, kad preparato, laikomo 25 </w:t>
      </w:r>
      <w:r w:rsidRPr="00F4223A">
        <w:rPr>
          <w:rFonts w:ascii="Times New Roman" w:hAnsi="Times New Roman"/>
          <w:lang w:val="lt-LT"/>
        </w:rPr>
        <w:sym w:font="Symbol" w:char="F0B0"/>
      </w:r>
      <w:r w:rsidRPr="00F4223A">
        <w:rPr>
          <w:rFonts w:ascii="Times New Roman" w:hAnsi="Times New Roman"/>
          <w:lang w:val="lt-LT"/>
        </w:rPr>
        <w:t>C temperatūroje, fizinis ir cheminis stabilumas nekinta 28 paras.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 xml:space="preserve">Mikrobiologiniu požiūriu, po </w:t>
      </w:r>
      <w:r w:rsidR="000B0885">
        <w:rPr>
          <w:rFonts w:ascii="Times New Roman" w:hAnsi="Times New Roman"/>
          <w:lang w:val="lt-LT"/>
        </w:rPr>
        <w:t>flakono</w:t>
      </w:r>
      <w:r w:rsidR="000B0885" w:rsidRPr="00F4223A">
        <w:rPr>
          <w:rFonts w:ascii="Times New Roman" w:hAnsi="Times New Roman"/>
          <w:lang w:val="lt-LT"/>
        </w:rPr>
        <w:t xml:space="preserve"> </w:t>
      </w:r>
      <w:r w:rsidRPr="00F4223A">
        <w:rPr>
          <w:rFonts w:ascii="Times New Roman" w:hAnsi="Times New Roman"/>
          <w:lang w:val="lt-LT"/>
        </w:rPr>
        <w:t>atidarymo preparatą reikia vartoti nedelsiant, nebent atidarymo metodas garantuoja apsaugą nuo mikrobiologinio užterštumo. Jeigu nevartojama nedelsiant, už laikymo laiką ir sąlygas atsako gydantis medikas.</w:t>
      </w:r>
    </w:p>
    <w:p w:rsidR="00F4223A" w:rsidRPr="00F4223A" w:rsidRDefault="00F4223A" w:rsidP="00F4223A">
      <w:pPr>
        <w:spacing w:after="0" w:line="240" w:lineRule="auto"/>
        <w:rPr>
          <w:rFonts w:ascii="Times New Roman" w:hAnsi="Times New Roman"/>
          <w:lang w:val="lt-LT"/>
        </w:rPr>
      </w:pPr>
    </w:p>
    <w:p w:rsidR="00F4223A" w:rsidRPr="00F4223A" w:rsidRDefault="00F4223A" w:rsidP="00F4223A">
      <w:pPr>
        <w:spacing w:after="0" w:line="240" w:lineRule="auto"/>
        <w:rPr>
          <w:rFonts w:ascii="Times New Roman" w:hAnsi="Times New Roman"/>
          <w:i/>
          <w:lang w:val="lt-LT"/>
        </w:rPr>
      </w:pPr>
      <w:r w:rsidRPr="00F4223A">
        <w:rPr>
          <w:rFonts w:ascii="Times New Roman" w:hAnsi="Times New Roman"/>
          <w:i/>
          <w:lang w:val="lt-LT"/>
        </w:rPr>
        <w:t>Infuzinis tirpalas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Įrodyta, kad 0,9</w:t>
      </w:r>
      <w:r w:rsidRPr="00F4223A">
        <w:rPr>
          <w:rFonts w:ascii="Times New Roman" w:hAnsi="Times New Roman"/>
          <w:lang w:val="lt-LT"/>
        </w:rPr>
        <w:sym w:font="Symbol" w:char="F025"/>
      </w:r>
      <w:r w:rsidRPr="00F4223A">
        <w:rPr>
          <w:rFonts w:ascii="Times New Roman" w:hAnsi="Times New Roman"/>
          <w:lang w:val="lt-LT"/>
        </w:rPr>
        <w:t xml:space="preserve"> natrio chlorido tirpalu praskiesto preparato ( iki galutinės gemcitabino koncentracijos 2-25 mg/ml (2</w:t>
      </w:r>
      <w:r w:rsidR="000B0885">
        <w:rPr>
          <w:rFonts w:ascii="Times New Roman" w:hAnsi="Times New Roman"/>
          <w:lang w:val="lt-LT"/>
        </w:rPr>
        <w:t> </w:t>
      </w:r>
      <w:r w:rsidRPr="00F4223A">
        <w:rPr>
          <w:rFonts w:ascii="Times New Roman" w:hAnsi="Times New Roman"/>
          <w:lang w:val="lt-LT"/>
        </w:rPr>
        <w:t>mg/ml, 12</w:t>
      </w:r>
      <w:r w:rsidR="000B0885">
        <w:rPr>
          <w:rFonts w:ascii="Times New Roman" w:hAnsi="Times New Roman"/>
          <w:lang w:val="lt-LT"/>
        </w:rPr>
        <w:t> </w:t>
      </w:r>
      <w:r w:rsidRPr="00F4223A">
        <w:rPr>
          <w:rFonts w:ascii="Times New Roman" w:hAnsi="Times New Roman"/>
          <w:lang w:val="lt-LT"/>
        </w:rPr>
        <w:t>mg/ml ir 25</w:t>
      </w:r>
      <w:r w:rsidR="000B0885">
        <w:rPr>
          <w:rFonts w:ascii="Times New Roman" w:hAnsi="Times New Roman"/>
          <w:lang w:val="lt-LT"/>
        </w:rPr>
        <w:t> </w:t>
      </w:r>
      <w:r w:rsidRPr="00F4223A">
        <w:rPr>
          <w:rFonts w:ascii="Times New Roman" w:hAnsi="Times New Roman"/>
          <w:lang w:val="lt-LT"/>
        </w:rPr>
        <w:t>mg/ml)), laikomo 2 </w:t>
      </w:r>
      <w:r w:rsidRPr="00F4223A">
        <w:rPr>
          <w:rFonts w:ascii="Times New Roman" w:hAnsi="Times New Roman"/>
          <w:lang w:val="lt-LT"/>
        </w:rPr>
        <w:sym w:font="Symbol" w:char="F0B0"/>
      </w:r>
      <w:r w:rsidRPr="00F4223A">
        <w:rPr>
          <w:rFonts w:ascii="Times New Roman" w:hAnsi="Times New Roman"/>
          <w:lang w:val="lt-LT"/>
        </w:rPr>
        <w:t>C – 8 </w:t>
      </w:r>
      <w:r w:rsidRPr="00F4223A">
        <w:rPr>
          <w:rFonts w:ascii="Times New Roman" w:hAnsi="Times New Roman"/>
          <w:lang w:val="lt-LT"/>
        </w:rPr>
        <w:sym w:font="Symbol" w:char="F0B0"/>
      </w:r>
      <w:r w:rsidRPr="00F4223A">
        <w:rPr>
          <w:rFonts w:ascii="Times New Roman" w:hAnsi="Times New Roman"/>
          <w:lang w:val="lt-LT"/>
        </w:rPr>
        <w:t>C temperatūroje ar maždaug 25 </w:t>
      </w:r>
      <w:r w:rsidRPr="00F4223A">
        <w:rPr>
          <w:rFonts w:ascii="Times New Roman" w:hAnsi="Times New Roman"/>
          <w:lang w:val="lt-LT"/>
        </w:rPr>
        <w:sym w:font="Symbol" w:char="F0B0"/>
      </w:r>
      <w:r w:rsidRPr="00F4223A">
        <w:rPr>
          <w:rFonts w:ascii="Times New Roman" w:hAnsi="Times New Roman"/>
          <w:lang w:val="lt-LT"/>
        </w:rPr>
        <w:t>C temperatūroje cheminis ir fizinis stabilumas nekinta 28 paras. Supakuoti į PVC arba PE infuzijų maišelius, praskiesti tirpalai yra stabilūs.</w:t>
      </w:r>
    </w:p>
    <w:p w:rsidR="00F4223A" w:rsidRPr="00F4223A" w:rsidRDefault="00F4223A" w:rsidP="00F4223A">
      <w:pPr>
        <w:spacing w:after="0" w:line="240" w:lineRule="auto"/>
        <w:rPr>
          <w:rFonts w:ascii="Times New Roman" w:hAnsi="Times New Roman"/>
          <w:lang w:val="lt-LT"/>
        </w:rPr>
      </w:pPr>
      <w:r w:rsidRPr="00F4223A">
        <w:rPr>
          <w:rFonts w:ascii="Times New Roman" w:hAnsi="Times New Roman"/>
          <w:lang w:val="lt-LT"/>
        </w:rPr>
        <w:t>Mikrobiologiniu požiūriu, praskiestą preparatą reikia infuzuoti nedelsiant. Jeigu jis tuoj pat nevartojamas, už laikymo trukmę ir sąlygas prieš vartojimą yra atsakingas gydantis medikas, tačiau paprastai ilgiau negu 24 val. 2 </w:t>
      </w:r>
      <w:r w:rsidRPr="00F4223A">
        <w:rPr>
          <w:rFonts w:ascii="Times New Roman" w:hAnsi="Times New Roman"/>
          <w:lang w:val="lt-LT"/>
        </w:rPr>
        <w:sym w:font="Symbol" w:char="F0B0"/>
      </w:r>
      <w:r w:rsidRPr="00F4223A">
        <w:rPr>
          <w:rFonts w:ascii="Times New Roman" w:hAnsi="Times New Roman"/>
          <w:lang w:val="lt-LT"/>
        </w:rPr>
        <w:t>C – 8 </w:t>
      </w:r>
      <w:r w:rsidRPr="00F4223A">
        <w:rPr>
          <w:rFonts w:ascii="Times New Roman" w:hAnsi="Times New Roman"/>
          <w:lang w:val="lt-LT"/>
        </w:rPr>
        <w:sym w:font="Symbol" w:char="F0B0"/>
      </w:r>
      <w:r w:rsidRPr="00F4223A">
        <w:rPr>
          <w:rFonts w:ascii="Times New Roman" w:hAnsi="Times New Roman"/>
          <w:lang w:val="lt-LT"/>
        </w:rPr>
        <w:t xml:space="preserve">C temperatūroje laikyti negalima, nebent preparatas būtų skiestas kontroliuojamomis ir valiuotomis aseptinėmis sąlygomis.    </w:t>
      </w:r>
    </w:p>
    <w:p w:rsidR="00F4223A" w:rsidRDefault="00F4223A" w:rsidP="00F4223A">
      <w:pPr>
        <w:spacing w:after="0" w:line="240" w:lineRule="auto"/>
        <w:rPr>
          <w:rFonts w:ascii="Times New Roman" w:hAnsi="Times New Roman"/>
          <w:lang w:val="lt-LT"/>
        </w:rPr>
      </w:pPr>
    </w:p>
    <w:p w:rsidR="00D83147" w:rsidRPr="00F4223A" w:rsidRDefault="00D83147" w:rsidP="00F4223A">
      <w:pPr>
        <w:spacing w:after="0" w:line="240" w:lineRule="auto"/>
        <w:rPr>
          <w:rFonts w:ascii="Times New Roman" w:hAnsi="Times New Roman"/>
          <w:lang w:val="lt-LT"/>
        </w:rPr>
      </w:pPr>
    </w:p>
    <w:sectPr w:rsidR="00D83147" w:rsidRPr="00F4223A" w:rsidSect="00EE3ADC">
      <w:footerReference w:type="even" r:id="rId12"/>
      <w:footerReference w:type="default" r:id="rId13"/>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AD0" w:rsidRDefault="00B17AD0">
      <w:pPr>
        <w:spacing w:after="0" w:line="240" w:lineRule="auto"/>
      </w:pPr>
      <w:r>
        <w:separator/>
      </w:r>
    </w:p>
  </w:endnote>
  <w:endnote w:type="continuationSeparator" w:id="0">
    <w:p w:rsidR="00B17AD0" w:rsidRDefault="00B1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3D" w:rsidRDefault="00E5233D" w:rsidP="00EE3A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E5233D" w:rsidRDefault="00E5233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3D" w:rsidRPr="004C66FF" w:rsidRDefault="00E5233D" w:rsidP="00EE3ADC">
    <w:pPr>
      <w:pStyle w:val="Porat"/>
      <w:framePr w:wrap="around" w:vAnchor="text" w:hAnchor="margin" w:xAlign="right" w:y="1"/>
      <w:rPr>
        <w:rStyle w:val="Puslapionumeris"/>
        <w:sz w:val="20"/>
      </w:rPr>
    </w:pPr>
    <w:r w:rsidRPr="004C66FF">
      <w:rPr>
        <w:rStyle w:val="Puslapionumeris"/>
        <w:sz w:val="20"/>
      </w:rPr>
      <w:fldChar w:fldCharType="begin"/>
    </w:r>
    <w:r w:rsidRPr="004C66FF">
      <w:rPr>
        <w:rStyle w:val="Puslapionumeris"/>
        <w:sz w:val="20"/>
      </w:rPr>
      <w:instrText xml:space="preserve">PAGE  </w:instrText>
    </w:r>
    <w:r w:rsidRPr="004C66FF">
      <w:rPr>
        <w:rStyle w:val="Puslapionumeris"/>
        <w:sz w:val="20"/>
      </w:rPr>
      <w:fldChar w:fldCharType="separate"/>
    </w:r>
    <w:r w:rsidR="001F3357">
      <w:rPr>
        <w:rStyle w:val="Puslapionumeris"/>
        <w:noProof/>
        <w:sz w:val="20"/>
      </w:rPr>
      <w:t>3</w:t>
    </w:r>
    <w:r w:rsidRPr="004C66FF">
      <w:rPr>
        <w:rStyle w:val="Puslapionumeris"/>
        <w:sz w:val="20"/>
      </w:rPr>
      <w:fldChar w:fldCharType="end"/>
    </w:r>
  </w:p>
  <w:p w:rsidR="00E5233D" w:rsidRDefault="00E5233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AD0" w:rsidRDefault="00B17AD0">
      <w:pPr>
        <w:spacing w:after="0" w:line="240" w:lineRule="auto"/>
      </w:pPr>
      <w:r>
        <w:separator/>
      </w:r>
    </w:p>
  </w:footnote>
  <w:footnote w:type="continuationSeparator" w:id="0">
    <w:p w:rsidR="00B17AD0" w:rsidRDefault="00B17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66C4D2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425EA9"/>
    <w:multiLevelType w:val="hybridMultilevel"/>
    <w:tmpl w:val="A2BC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64FE0"/>
    <w:multiLevelType w:val="hybridMultilevel"/>
    <w:tmpl w:val="27508D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97F86"/>
    <w:multiLevelType w:val="hybridMultilevel"/>
    <w:tmpl w:val="21B0ABF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9013B"/>
    <w:multiLevelType w:val="hybridMultilevel"/>
    <w:tmpl w:val="A72CBDB6"/>
    <w:lvl w:ilvl="0" w:tplc="04270001">
      <w:start w:val="1"/>
      <w:numFmt w:val="bullet"/>
      <w:lvlText w:val=""/>
      <w:lvlJc w:val="left"/>
      <w:pPr>
        <w:tabs>
          <w:tab w:val="num" w:pos="977"/>
        </w:tabs>
        <w:ind w:left="977" w:hanging="360"/>
      </w:pPr>
      <w:rPr>
        <w:rFonts w:ascii="Symbol" w:hAnsi="Symbol" w:hint="default"/>
      </w:rPr>
    </w:lvl>
    <w:lvl w:ilvl="1" w:tplc="04270003" w:tentative="1">
      <w:start w:val="1"/>
      <w:numFmt w:val="bullet"/>
      <w:lvlText w:val="o"/>
      <w:lvlJc w:val="left"/>
      <w:pPr>
        <w:tabs>
          <w:tab w:val="num" w:pos="1697"/>
        </w:tabs>
        <w:ind w:left="1697" w:hanging="360"/>
      </w:pPr>
      <w:rPr>
        <w:rFonts w:ascii="Courier New" w:hAnsi="Courier New" w:hint="default"/>
      </w:rPr>
    </w:lvl>
    <w:lvl w:ilvl="2" w:tplc="04270005" w:tentative="1">
      <w:start w:val="1"/>
      <w:numFmt w:val="bullet"/>
      <w:lvlText w:val=""/>
      <w:lvlJc w:val="left"/>
      <w:pPr>
        <w:tabs>
          <w:tab w:val="num" w:pos="2417"/>
        </w:tabs>
        <w:ind w:left="2417" w:hanging="360"/>
      </w:pPr>
      <w:rPr>
        <w:rFonts w:ascii="Wingdings" w:hAnsi="Wingdings" w:hint="default"/>
      </w:rPr>
    </w:lvl>
    <w:lvl w:ilvl="3" w:tplc="04270001" w:tentative="1">
      <w:start w:val="1"/>
      <w:numFmt w:val="bullet"/>
      <w:lvlText w:val=""/>
      <w:lvlJc w:val="left"/>
      <w:pPr>
        <w:tabs>
          <w:tab w:val="num" w:pos="3137"/>
        </w:tabs>
        <w:ind w:left="3137" w:hanging="360"/>
      </w:pPr>
      <w:rPr>
        <w:rFonts w:ascii="Symbol" w:hAnsi="Symbol" w:hint="default"/>
      </w:rPr>
    </w:lvl>
    <w:lvl w:ilvl="4" w:tplc="04270003" w:tentative="1">
      <w:start w:val="1"/>
      <w:numFmt w:val="bullet"/>
      <w:lvlText w:val="o"/>
      <w:lvlJc w:val="left"/>
      <w:pPr>
        <w:tabs>
          <w:tab w:val="num" w:pos="3857"/>
        </w:tabs>
        <w:ind w:left="3857" w:hanging="360"/>
      </w:pPr>
      <w:rPr>
        <w:rFonts w:ascii="Courier New" w:hAnsi="Courier New" w:hint="default"/>
      </w:rPr>
    </w:lvl>
    <w:lvl w:ilvl="5" w:tplc="04270005" w:tentative="1">
      <w:start w:val="1"/>
      <w:numFmt w:val="bullet"/>
      <w:lvlText w:val=""/>
      <w:lvlJc w:val="left"/>
      <w:pPr>
        <w:tabs>
          <w:tab w:val="num" w:pos="4577"/>
        </w:tabs>
        <w:ind w:left="4577" w:hanging="360"/>
      </w:pPr>
      <w:rPr>
        <w:rFonts w:ascii="Wingdings" w:hAnsi="Wingdings" w:hint="default"/>
      </w:rPr>
    </w:lvl>
    <w:lvl w:ilvl="6" w:tplc="04270001" w:tentative="1">
      <w:start w:val="1"/>
      <w:numFmt w:val="bullet"/>
      <w:lvlText w:val=""/>
      <w:lvlJc w:val="left"/>
      <w:pPr>
        <w:tabs>
          <w:tab w:val="num" w:pos="5297"/>
        </w:tabs>
        <w:ind w:left="5297" w:hanging="360"/>
      </w:pPr>
      <w:rPr>
        <w:rFonts w:ascii="Symbol" w:hAnsi="Symbol" w:hint="default"/>
      </w:rPr>
    </w:lvl>
    <w:lvl w:ilvl="7" w:tplc="04270003" w:tentative="1">
      <w:start w:val="1"/>
      <w:numFmt w:val="bullet"/>
      <w:lvlText w:val="o"/>
      <w:lvlJc w:val="left"/>
      <w:pPr>
        <w:tabs>
          <w:tab w:val="num" w:pos="6017"/>
        </w:tabs>
        <w:ind w:left="6017" w:hanging="360"/>
      </w:pPr>
      <w:rPr>
        <w:rFonts w:ascii="Courier New" w:hAnsi="Courier New" w:hint="default"/>
      </w:rPr>
    </w:lvl>
    <w:lvl w:ilvl="8" w:tplc="04270005" w:tentative="1">
      <w:start w:val="1"/>
      <w:numFmt w:val="bullet"/>
      <w:lvlText w:val=""/>
      <w:lvlJc w:val="left"/>
      <w:pPr>
        <w:tabs>
          <w:tab w:val="num" w:pos="6737"/>
        </w:tabs>
        <w:ind w:left="6737" w:hanging="360"/>
      </w:pPr>
      <w:rPr>
        <w:rFonts w:ascii="Wingdings" w:hAnsi="Wingdings" w:hint="default"/>
      </w:rPr>
    </w:lvl>
  </w:abstractNum>
  <w:abstractNum w:abstractNumId="5" w15:restartNumberingAfterBreak="0">
    <w:nsid w:val="0E1C7C79"/>
    <w:multiLevelType w:val="hybridMultilevel"/>
    <w:tmpl w:val="1854A1F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91932"/>
    <w:multiLevelType w:val="hybridMultilevel"/>
    <w:tmpl w:val="F15299FE"/>
    <w:lvl w:ilvl="0" w:tplc="E758A8D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E03C3"/>
    <w:multiLevelType w:val="hybridMultilevel"/>
    <w:tmpl w:val="026C40D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E6163"/>
    <w:multiLevelType w:val="hybridMultilevel"/>
    <w:tmpl w:val="C244376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A7ECC"/>
    <w:multiLevelType w:val="hybridMultilevel"/>
    <w:tmpl w:val="EC16873A"/>
    <w:lvl w:ilvl="0" w:tplc="1B66972C">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40188"/>
    <w:multiLevelType w:val="hybridMultilevel"/>
    <w:tmpl w:val="E3A60F0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92062"/>
    <w:multiLevelType w:val="hybridMultilevel"/>
    <w:tmpl w:val="3118BB7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A6EFD"/>
    <w:multiLevelType w:val="hybridMultilevel"/>
    <w:tmpl w:val="54F6FB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71703"/>
    <w:multiLevelType w:val="hybridMultilevel"/>
    <w:tmpl w:val="FB467744"/>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77833"/>
    <w:multiLevelType w:val="hybridMultilevel"/>
    <w:tmpl w:val="41DAD6F6"/>
    <w:lvl w:ilvl="0" w:tplc="04270001">
      <w:start w:val="1"/>
      <w:numFmt w:val="bullet"/>
      <w:lvlText w:val=""/>
      <w:lvlJc w:val="left"/>
      <w:pPr>
        <w:tabs>
          <w:tab w:val="num" w:pos="977"/>
        </w:tabs>
        <w:ind w:left="977" w:hanging="360"/>
      </w:pPr>
      <w:rPr>
        <w:rFonts w:ascii="Symbol" w:hAnsi="Symbol" w:hint="default"/>
      </w:rPr>
    </w:lvl>
    <w:lvl w:ilvl="1" w:tplc="04270003" w:tentative="1">
      <w:start w:val="1"/>
      <w:numFmt w:val="bullet"/>
      <w:lvlText w:val="o"/>
      <w:lvlJc w:val="left"/>
      <w:pPr>
        <w:tabs>
          <w:tab w:val="num" w:pos="1697"/>
        </w:tabs>
        <w:ind w:left="1697" w:hanging="360"/>
      </w:pPr>
      <w:rPr>
        <w:rFonts w:ascii="Courier New" w:hAnsi="Courier New" w:hint="default"/>
      </w:rPr>
    </w:lvl>
    <w:lvl w:ilvl="2" w:tplc="04270005" w:tentative="1">
      <w:start w:val="1"/>
      <w:numFmt w:val="bullet"/>
      <w:lvlText w:val=""/>
      <w:lvlJc w:val="left"/>
      <w:pPr>
        <w:tabs>
          <w:tab w:val="num" w:pos="2417"/>
        </w:tabs>
        <w:ind w:left="2417" w:hanging="360"/>
      </w:pPr>
      <w:rPr>
        <w:rFonts w:ascii="Wingdings" w:hAnsi="Wingdings" w:hint="default"/>
      </w:rPr>
    </w:lvl>
    <w:lvl w:ilvl="3" w:tplc="04270001" w:tentative="1">
      <w:start w:val="1"/>
      <w:numFmt w:val="bullet"/>
      <w:lvlText w:val=""/>
      <w:lvlJc w:val="left"/>
      <w:pPr>
        <w:tabs>
          <w:tab w:val="num" w:pos="3137"/>
        </w:tabs>
        <w:ind w:left="3137" w:hanging="360"/>
      </w:pPr>
      <w:rPr>
        <w:rFonts w:ascii="Symbol" w:hAnsi="Symbol" w:hint="default"/>
      </w:rPr>
    </w:lvl>
    <w:lvl w:ilvl="4" w:tplc="04270003" w:tentative="1">
      <w:start w:val="1"/>
      <w:numFmt w:val="bullet"/>
      <w:lvlText w:val="o"/>
      <w:lvlJc w:val="left"/>
      <w:pPr>
        <w:tabs>
          <w:tab w:val="num" w:pos="3857"/>
        </w:tabs>
        <w:ind w:left="3857" w:hanging="360"/>
      </w:pPr>
      <w:rPr>
        <w:rFonts w:ascii="Courier New" w:hAnsi="Courier New" w:hint="default"/>
      </w:rPr>
    </w:lvl>
    <w:lvl w:ilvl="5" w:tplc="04270005" w:tentative="1">
      <w:start w:val="1"/>
      <w:numFmt w:val="bullet"/>
      <w:lvlText w:val=""/>
      <w:lvlJc w:val="left"/>
      <w:pPr>
        <w:tabs>
          <w:tab w:val="num" w:pos="4577"/>
        </w:tabs>
        <w:ind w:left="4577" w:hanging="360"/>
      </w:pPr>
      <w:rPr>
        <w:rFonts w:ascii="Wingdings" w:hAnsi="Wingdings" w:hint="default"/>
      </w:rPr>
    </w:lvl>
    <w:lvl w:ilvl="6" w:tplc="04270001" w:tentative="1">
      <w:start w:val="1"/>
      <w:numFmt w:val="bullet"/>
      <w:lvlText w:val=""/>
      <w:lvlJc w:val="left"/>
      <w:pPr>
        <w:tabs>
          <w:tab w:val="num" w:pos="5297"/>
        </w:tabs>
        <w:ind w:left="5297" w:hanging="360"/>
      </w:pPr>
      <w:rPr>
        <w:rFonts w:ascii="Symbol" w:hAnsi="Symbol" w:hint="default"/>
      </w:rPr>
    </w:lvl>
    <w:lvl w:ilvl="7" w:tplc="04270003" w:tentative="1">
      <w:start w:val="1"/>
      <w:numFmt w:val="bullet"/>
      <w:lvlText w:val="o"/>
      <w:lvlJc w:val="left"/>
      <w:pPr>
        <w:tabs>
          <w:tab w:val="num" w:pos="6017"/>
        </w:tabs>
        <w:ind w:left="6017" w:hanging="360"/>
      </w:pPr>
      <w:rPr>
        <w:rFonts w:ascii="Courier New" w:hAnsi="Courier New" w:hint="default"/>
      </w:rPr>
    </w:lvl>
    <w:lvl w:ilvl="8" w:tplc="04270005" w:tentative="1">
      <w:start w:val="1"/>
      <w:numFmt w:val="bullet"/>
      <w:lvlText w:val=""/>
      <w:lvlJc w:val="left"/>
      <w:pPr>
        <w:tabs>
          <w:tab w:val="num" w:pos="6737"/>
        </w:tabs>
        <w:ind w:left="6737" w:hanging="360"/>
      </w:pPr>
      <w:rPr>
        <w:rFonts w:ascii="Wingdings" w:hAnsi="Wingdings" w:hint="default"/>
      </w:rPr>
    </w:lvl>
  </w:abstractNum>
  <w:abstractNum w:abstractNumId="15" w15:restartNumberingAfterBreak="0">
    <w:nsid w:val="25FC6600"/>
    <w:multiLevelType w:val="hybridMultilevel"/>
    <w:tmpl w:val="E7846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55D47"/>
    <w:multiLevelType w:val="hybridMultilevel"/>
    <w:tmpl w:val="0F5EC58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653B4"/>
    <w:multiLevelType w:val="hybridMultilevel"/>
    <w:tmpl w:val="EB5A8056"/>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A758E"/>
    <w:multiLevelType w:val="hybridMultilevel"/>
    <w:tmpl w:val="104A258E"/>
    <w:lvl w:ilvl="0" w:tplc="C374E97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8A32E0"/>
    <w:multiLevelType w:val="hybridMultilevel"/>
    <w:tmpl w:val="3D80E2CE"/>
    <w:lvl w:ilvl="0" w:tplc="04270001">
      <w:start w:val="1"/>
      <w:numFmt w:val="bullet"/>
      <w:lvlText w:val=""/>
      <w:lvlJc w:val="left"/>
      <w:pPr>
        <w:tabs>
          <w:tab w:val="num" w:pos="977"/>
        </w:tabs>
        <w:ind w:left="977" w:hanging="360"/>
      </w:pPr>
      <w:rPr>
        <w:rFonts w:ascii="Symbol" w:hAnsi="Symbol" w:hint="default"/>
      </w:rPr>
    </w:lvl>
    <w:lvl w:ilvl="1" w:tplc="04270003" w:tentative="1">
      <w:start w:val="1"/>
      <w:numFmt w:val="bullet"/>
      <w:lvlText w:val="o"/>
      <w:lvlJc w:val="left"/>
      <w:pPr>
        <w:tabs>
          <w:tab w:val="num" w:pos="1697"/>
        </w:tabs>
        <w:ind w:left="1697" w:hanging="360"/>
      </w:pPr>
      <w:rPr>
        <w:rFonts w:ascii="Courier New" w:hAnsi="Courier New" w:hint="default"/>
      </w:rPr>
    </w:lvl>
    <w:lvl w:ilvl="2" w:tplc="04270005" w:tentative="1">
      <w:start w:val="1"/>
      <w:numFmt w:val="bullet"/>
      <w:lvlText w:val=""/>
      <w:lvlJc w:val="left"/>
      <w:pPr>
        <w:tabs>
          <w:tab w:val="num" w:pos="2417"/>
        </w:tabs>
        <w:ind w:left="2417" w:hanging="360"/>
      </w:pPr>
      <w:rPr>
        <w:rFonts w:ascii="Wingdings" w:hAnsi="Wingdings" w:hint="default"/>
      </w:rPr>
    </w:lvl>
    <w:lvl w:ilvl="3" w:tplc="04270001" w:tentative="1">
      <w:start w:val="1"/>
      <w:numFmt w:val="bullet"/>
      <w:lvlText w:val=""/>
      <w:lvlJc w:val="left"/>
      <w:pPr>
        <w:tabs>
          <w:tab w:val="num" w:pos="3137"/>
        </w:tabs>
        <w:ind w:left="3137" w:hanging="360"/>
      </w:pPr>
      <w:rPr>
        <w:rFonts w:ascii="Symbol" w:hAnsi="Symbol" w:hint="default"/>
      </w:rPr>
    </w:lvl>
    <w:lvl w:ilvl="4" w:tplc="04270003" w:tentative="1">
      <w:start w:val="1"/>
      <w:numFmt w:val="bullet"/>
      <w:lvlText w:val="o"/>
      <w:lvlJc w:val="left"/>
      <w:pPr>
        <w:tabs>
          <w:tab w:val="num" w:pos="3857"/>
        </w:tabs>
        <w:ind w:left="3857" w:hanging="360"/>
      </w:pPr>
      <w:rPr>
        <w:rFonts w:ascii="Courier New" w:hAnsi="Courier New" w:hint="default"/>
      </w:rPr>
    </w:lvl>
    <w:lvl w:ilvl="5" w:tplc="04270005" w:tentative="1">
      <w:start w:val="1"/>
      <w:numFmt w:val="bullet"/>
      <w:lvlText w:val=""/>
      <w:lvlJc w:val="left"/>
      <w:pPr>
        <w:tabs>
          <w:tab w:val="num" w:pos="4577"/>
        </w:tabs>
        <w:ind w:left="4577" w:hanging="360"/>
      </w:pPr>
      <w:rPr>
        <w:rFonts w:ascii="Wingdings" w:hAnsi="Wingdings" w:hint="default"/>
      </w:rPr>
    </w:lvl>
    <w:lvl w:ilvl="6" w:tplc="04270001" w:tentative="1">
      <w:start w:val="1"/>
      <w:numFmt w:val="bullet"/>
      <w:lvlText w:val=""/>
      <w:lvlJc w:val="left"/>
      <w:pPr>
        <w:tabs>
          <w:tab w:val="num" w:pos="5297"/>
        </w:tabs>
        <w:ind w:left="5297" w:hanging="360"/>
      </w:pPr>
      <w:rPr>
        <w:rFonts w:ascii="Symbol" w:hAnsi="Symbol" w:hint="default"/>
      </w:rPr>
    </w:lvl>
    <w:lvl w:ilvl="7" w:tplc="04270003" w:tentative="1">
      <w:start w:val="1"/>
      <w:numFmt w:val="bullet"/>
      <w:lvlText w:val="o"/>
      <w:lvlJc w:val="left"/>
      <w:pPr>
        <w:tabs>
          <w:tab w:val="num" w:pos="6017"/>
        </w:tabs>
        <w:ind w:left="6017" w:hanging="360"/>
      </w:pPr>
      <w:rPr>
        <w:rFonts w:ascii="Courier New" w:hAnsi="Courier New" w:hint="default"/>
      </w:rPr>
    </w:lvl>
    <w:lvl w:ilvl="8" w:tplc="04270005" w:tentative="1">
      <w:start w:val="1"/>
      <w:numFmt w:val="bullet"/>
      <w:lvlText w:val=""/>
      <w:lvlJc w:val="left"/>
      <w:pPr>
        <w:tabs>
          <w:tab w:val="num" w:pos="6737"/>
        </w:tabs>
        <w:ind w:left="6737" w:hanging="360"/>
      </w:pPr>
      <w:rPr>
        <w:rFonts w:ascii="Wingdings" w:hAnsi="Wingdings" w:hint="default"/>
      </w:rPr>
    </w:lvl>
  </w:abstractNum>
  <w:abstractNum w:abstractNumId="20" w15:restartNumberingAfterBreak="0">
    <w:nsid w:val="3991238A"/>
    <w:multiLevelType w:val="hybridMultilevel"/>
    <w:tmpl w:val="2F1A57EA"/>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DF2D62"/>
    <w:multiLevelType w:val="hybridMultilevel"/>
    <w:tmpl w:val="5504F800"/>
    <w:lvl w:ilvl="0" w:tplc="06AC4D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AC27F2"/>
    <w:multiLevelType w:val="hybridMultilevel"/>
    <w:tmpl w:val="DABAB57A"/>
    <w:lvl w:ilvl="0" w:tplc="573AB67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FF32AA"/>
    <w:multiLevelType w:val="hybridMultilevel"/>
    <w:tmpl w:val="D80286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67D5C"/>
    <w:multiLevelType w:val="hybridMultilevel"/>
    <w:tmpl w:val="ACD88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B7CA4"/>
    <w:multiLevelType w:val="hybridMultilevel"/>
    <w:tmpl w:val="03ECE1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794B4B"/>
    <w:multiLevelType w:val="hybridMultilevel"/>
    <w:tmpl w:val="6A0EF894"/>
    <w:lvl w:ilvl="0" w:tplc="04270001">
      <w:start w:val="1"/>
      <w:numFmt w:val="bullet"/>
      <w:lvlText w:val=""/>
      <w:lvlJc w:val="left"/>
      <w:pPr>
        <w:tabs>
          <w:tab w:val="num" w:pos="977"/>
        </w:tabs>
        <w:ind w:left="977" w:hanging="360"/>
      </w:pPr>
      <w:rPr>
        <w:rFonts w:ascii="Symbol" w:hAnsi="Symbol" w:hint="default"/>
      </w:rPr>
    </w:lvl>
    <w:lvl w:ilvl="1" w:tplc="04270003" w:tentative="1">
      <w:start w:val="1"/>
      <w:numFmt w:val="bullet"/>
      <w:lvlText w:val="o"/>
      <w:lvlJc w:val="left"/>
      <w:pPr>
        <w:tabs>
          <w:tab w:val="num" w:pos="1697"/>
        </w:tabs>
        <w:ind w:left="1697" w:hanging="360"/>
      </w:pPr>
      <w:rPr>
        <w:rFonts w:ascii="Courier New" w:hAnsi="Courier New" w:hint="default"/>
      </w:rPr>
    </w:lvl>
    <w:lvl w:ilvl="2" w:tplc="04270005" w:tentative="1">
      <w:start w:val="1"/>
      <w:numFmt w:val="bullet"/>
      <w:lvlText w:val=""/>
      <w:lvlJc w:val="left"/>
      <w:pPr>
        <w:tabs>
          <w:tab w:val="num" w:pos="2417"/>
        </w:tabs>
        <w:ind w:left="2417" w:hanging="360"/>
      </w:pPr>
      <w:rPr>
        <w:rFonts w:ascii="Wingdings" w:hAnsi="Wingdings" w:hint="default"/>
      </w:rPr>
    </w:lvl>
    <w:lvl w:ilvl="3" w:tplc="04270001" w:tentative="1">
      <w:start w:val="1"/>
      <w:numFmt w:val="bullet"/>
      <w:lvlText w:val=""/>
      <w:lvlJc w:val="left"/>
      <w:pPr>
        <w:tabs>
          <w:tab w:val="num" w:pos="3137"/>
        </w:tabs>
        <w:ind w:left="3137" w:hanging="360"/>
      </w:pPr>
      <w:rPr>
        <w:rFonts w:ascii="Symbol" w:hAnsi="Symbol" w:hint="default"/>
      </w:rPr>
    </w:lvl>
    <w:lvl w:ilvl="4" w:tplc="04270003" w:tentative="1">
      <w:start w:val="1"/>
      <w:numFmt w:val="bullet"/>
      <w:lvlText w:val="o"/>
      <w:lvlJc w:val="left"/>
      <w:pPr>
        <w:tabs>
          <w:tab w:val="num" w:pos="3857"/>
        </w:tabs>
        <w:ind w:left="3857" w:hanging="360"/>
      </w:pPr>
      <w:rPr>
        <w:rFonts w:ascii="Courier New" w:hAnsi="Courier New" w:hint="default"/>
      </w:rPr>
    </w:lvl>
    <w:lvl w:ilvl="5" w:tplc="04270005" w:tentative="1">
      <w:start w:val="1"/>
      <w:numFmt w:val="bullet"/>
      <w:lvlText w:val=""/>
      <w:lvlJc w:val="left"/>
      <w:pPr>
        <w:tabs>
          <w:tab w:val="num" w:pos="4577"/>
        </w:tabs>
        <w:ind w:left="4577" w:hanging="360"/>
      </w:pPr>
      <w:rPr>
        <w:rFonts w:ascii="Wingdings" w:hAnsi="Wingdings" w:hint="default"/>
      </w:rPr>
    </w:lvl>
    <w:lvl w:ilvl="6" w:tplc="04270001" w:tentative="1">
      <w:start w:val="1"/>
      <w:numFmt w:val="bullet"/>
      <w:lvlText w:val=""/>
      <w:lvlJc w:val="left"/>
      <w:pPr>
        <w:tabs>
          <w:tab w:val="num" w:pos="5297"/>
        </w:tabs>
        <w:ind w:left="5297" w:hanging="360"/>
      </w:pPr>
      <w:rPr>
        <w:rFonts w:ascii="Symbol" w:hAnsi="Symbol" w:hint="default"/>
      </w:rPr>
    </w:lvl>
    <w:lvl w:ilvl="7" w:tplc="04270003" w:tentative="1">
      <w:start w:val="1"/>
      <w:numFmt w:val="bullet"/>
      <w:lvlText w:val="o"/>
      <w:lvlJc w:val="left"/>
      <w:pPr>
        <w:tabs>
          <w:tab w:val="num" w:pos="6017"/>
        </w:tabs>
        <w:ind w:left="6017" w:hanging="360"/>
      </w:pPr>
      <w:rPr>
        <w:rFonts w:ascii="Courier New" w:hAnsi="Courier New" w:hint="default"/>
      </w:rPr>
    </w:lvl>
    <w:lvl w:ilvl="8" w:tplc="04270005" w:tentative="1">
      <w:start w:val="1"/>
      <w:numFmt w:val="bullet"/>
      <w:lvlText w:val=""/>
      <w:lvlJc w:val="left"/>
      <w:pPr>
        <w:tabs>
          <w:tab w:val="num" w:pos="6737"/>
        </w:tabs>
        <w:ind w:left="6737" w:hanging="360"/>
      </w:pPr>
      <w:rPr>
        <w:rFonts w:ascii="Wingdings" w:hAnsi="Wingdings" w:hint="default"/>
      </w:rPr>
    </w:lvl>
  </w:abstractNum>
  <w:abstractNum w:abstractNumId="27" w15:restartNumberingAfterBreak="0">
    <w:nsid w:val="4A415878"/>
    <w:multiLevelType w:val="hybridMultilevel"/>
    <w:tmpl w:val="041A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87164"/>
    <w:multiLevelType w:val="hybridMultilevel"/>
    <w:tmpl w:val="CBBED1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035388"/>
    <w:multiLevelType w:val="hybridMultilevel"/>
    <w:tmpl w:val="A8C4D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4E2768"/>
    <w:multiLevelType w:val="hybridMultilevel"/>
    <w:tmpl w:val="F6F81462"/>
    <w:lvl w:ilvl="0" w:tplc="04270001">
      <w:start w:val="1"/>
      <w:numFmt w:val="bullet"/>
      <w:lvlText w:val=""/>
      <w:lvlJc w:val="left"/>
      <w:pPr>
        <w:tabs>
          <w:tab w:val="num" w:pos="977"/>
        </w:tabs>
        <w:ind w:left="977" w:hanging="360"/>
      </w:pPr>
      <w:rPr>
        <w:rFonts w:ascii="Symbol" w:hAnsi="Symbol" w:hint="default"/>
      </w:rPr>
    </w:lvl>
    <w:lvl w:ilvl="1" w:tplc="04270003" w:tentative="1">
      <w:start w:val="1"/>
      <w:numFmt w:val="bullet"/>
      <w:lvlText w:val="o"/>
      <w:lvlJc w:val="left"/>
      <w:pPr>
        <w:tabs>
          <w:tab w:val="num" w:pos="1697"/>
        </w:tabs>
        <w:ind w:left="1697" w:hanging="360"/>
      </w:pPr>
      <w:rPr>
        <w:rFonts w:ascii="Courier New" w:hAnsi="Courier New" w:hint="default"/>
      </w:rPr>
    </w:lvl>
    <w:lvl w:ilvl="2" w:tplc="04270005" w:tentative="1">
      <w:start w:val="1"/>
      <w:numFmt w:val="bullet"/>
      <w:lvlText w:val=""/>
      <w:lvlJc w:val="left"/>
      <w:pPr>
        <w:tabs>
          <w:tab w:val="num" w:pos="2417"/>
        </w:tabs>
        <w:ind w:left="2417" w:hanging="360"/>
      </w:pPr>
      <w:rPr>
        <w:rFonts w:ascii="Wingdings" w:hAnsi="Wingdings" w:hint="default"/>
      </w:rPr>
    </w:lvl>
    <w:lvl w:ilvl="3" w:tplc="04270001" w:tentative="1">
      <w:start w:val="1"/>
      <w:numFmt w:val="bullet"/>
      <w:lvlText w:val=""/>
      <w:lvlJc w:val="left"/>
      <w:pPr>
        <w:tabs>
          <w:tab w:val="num" w:pos="3137"/>
        </w:tabs>
        <w:ind w:left="3137" w:hanging="360"/>
      </w:pPr>
      <w:rPr>
        <w:rFonts w:ascii="Symbol" w:hAnsi="Symbol" w:hint="default"/>
      </w:rPr>
    </w:lvl>
    <w:lvl w:ilvl="4" w:tplc="04270003" w:tentative="1">
      <w:start w:val="1"/>
      <w:numFmt w:val="bullet"/>
      <w:lvlText w:val="o"/>
      <w:lvlJc w:val="left"/>
      <w:pPr>
        <w:tabs>
          <w:tab w:val="num" w:pos="3857"/>
        </w:tabs>
        <w:ind w:left="3857" w:hanging="360"/>
      </w:pPr>
      <w:rPr>
        <w:rFonts w:ascii="Courier New" w:hAnsi="Courier New" w:hint="default"/>
      </w:rPr>
    </w:lvl>
    <w:lvl w:ilvl="5" w:tplc="04270005" w:tentative="1">
      <w:start w:val="1"/>
      <w:numFmt w:val="bullet"/>
      <w:lvlText w:val=""/>
      <w:lvlJc w:val="left"/>
      <w:pPr>
        <w:tabs>
          <w:tab w:val="num" w:pos="4577"/>
        </w:tabs>
        <w:ind w:left="4577" w:hanging="360"/>
      </w:pPr>
      <w:rPr>
        <w:rFonts w:ascii="Wingdings" w:hAnsi="Wingdings" w:hint="default"/>
      </w:rPr>
    </w:lvl>
    <w:lvl w:ilvl="6" w:tplc="04270001" w:tentative="1">
      <w:start w:val="1"/>
      <w:numFmt w:val="bullet"/>
      <w:lvlText w:val=""/>
      <w:lvlJc w:val="left"/>
      <w:pPr>
        <w:tabs>
          <w:tab w:val="num" w:pos="5297"/>
        </w:tabs>
        <w:ind w:left="5297" w:hanging="360"/>
      </w:pPr>
      <w:rPr>
        <w:rFonts w:ascii="Symbol" w:hAnsi="Symbol" w:hint="default"/>
      </w:rPr>
    </w:lvl>
    <w:lvl w:ilvl="7" w:tplc="04270003" w:tentative="1">
      <w:start w:val="1"/>
      <w:numFmt w:val="bullet"/>
      <w:lvlText w:val="o"/>
      <w:lvlJc w:val="left"/>
      <w:pPr>
        <w:tabs>
          <w:tab w:val="num" w:pos="6017"/>
        </w:tabs>
        <w:ind w:left="6017" w:hanging="360"/>
      </w:pPr>
      <w:rPr>
        <w:rFonts w:ascii="Courier New" w:hAnsi="Courier New" w:hint="default"/>
      </w:rPr>
    </w:lvl>
    <w:lvl w:ilvl="8" w:tplc="04270005" w:tentative="1">
      <w:start w:val="1"/>
      <w:numFmt w:val="bullet"/>
      <w:lvlText w:val=""/>
      <w:lvlJc w:val="left"/>
      <w:pPr>
        <w:tabs>
          <w:tab w:val="num" w:pos="6737"/>
        </w:tabs>
        <w:ind w:left="6737" w:hanging="360"/>
      </w:pPr>
      <w:rPr>
        <w:rFonts w:ascii="Wingdings" w:hAnsi="Wingdings" w:hint="default"/>
      </w:rPr>
    </w:lvl>
  </w:abstractNum>
  <w:abstractNum w:abstractNumId="31" w15:restartNumberingAfterBreak="0">
    <w:nsid w:val="5878297A"/>
    <w:multiLevelType w:val="hybridMultilevel"/>
    <w:tmpl w:val="D916B6E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2" w15:restartNumberingAfterBreak="0">
    <w:nsid w:val="5A301A6E"/>
    <w:multiLevelType w:val="hybridMultilevel"/>
    <w:tmpl w:val="5418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115EA1"/>
    <w:multiLevelType w:val="hybridMultilevel"/>
    <w:tmpl w:val="BD16900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8368A7"/>
    <w:multiLevelType w:val="hybridMultilevel"/>
    <w:tmpl w:val="45ECC53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20AAD"/>
    <w:multiLevelType w:val="hybridMultilevel"/>
    <w:tmpl w:val="6F4C45D8"/>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015C8"/>
    <w:multiLevelType w:val="hybridMultilevel"/>
    <w:tmpl w:val="8222EFDC"/>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12E91"/>
    <w:multiLevelType w:val="hybridMultilevel"/>
    <w:tmpl w:val="364427B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85549"/>
    <w:multiLevelType w:val="hybridMultilevel"/>
    <w:tmpl w:val="3A6006C0"/>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237A73"/>
    <w:multiLevelType w:val="hybridMultilevel"/>
    <w:tmpl w:val="CDA6E67E"/>
    <w:lvl w:ilvl="0" w:tplc="1DD025DA">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6156EE"/>
    <w:multiLevelType w:val="hybridMultilevel"/>
    <w:tmpl w:val="6316D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4C7FDD"/>
    <w:multiLevelType w:val="hybridMultilevel"/>
    <w:tmpl w:val="2974A9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AE1F90"/>
    <w:multiLevelType w:val="hybridMultilevel"/>
    <w:tmpl w:val="D25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8"/>
  </w:num>
  <w:num w:numId="4">
    <w:abstractNumId w:val="34"/>
  </w:num>
  <w:num w:numId="5">
    <w:abstractNumId w:val="11"/>
  </w:num>
  <w:num w:numId="6">
    <w:abstractNumId w:val="24"/>
  </w:num>
  <w:num w:numId="7">
    <w:abstractNumId w:val="36"/>
  </w:num>
  <w:num w:numId="8">
    <w:abstractNumId w:val="20"/>
  </w:num>
  <w:num w:numId="9">
    <w:abstractNumId w:val="10"/>
  </w:num>
  <w:num w:numId="10">
    <w:abstractNumId w:val="16"/>
  </w:num>
  <w:num w:numId="11">
    <w:abstractNumId w:val="17"/>
  </w:num>
  <w:num w:numId="12">
    <w:abstractNumId w:val="38"/>
  </w:num>
  <w:num w:numId="13">
    <w:abstractNumId w:val="13"/>
  </w:num>
  <w:num w:numId="14">
    <w:abstractNumId w:val="3"/>
  </w:num>
  <w:num w:numId="15">
    <w:abstractNumId w:val="35"/>
  </w:num>
  <w:num w:numId="16">
    <w:abstractNumId w:val="15"/>
  </w:num>
  <w:num w:numId="17">
    <w:abstractNumId w:val="39"/>
  </w:num>
  <w:num w:numId="18">
    <w:abstractNumId w:val="29"/>
  </w:num>
  <w:num w:numId="19">
    <w:abstractNumId w:val="22"/>
  </w:num>
  <w:num w:numId="20">
    <w:abstractNumId w:val="6"/>
  </w:num>
  <w:num w:numId="21">
    <w:abstractNumId w:val="12"/>
  </w:num>
  <w:num w:numId="22">
    <w:abstractNumId w:val="30"/>
  </w:num>
  <w:num w:numId="23">
    <w:abstractNumId w:val="25"/>
  </w:num>
  <w:num w:numId="24">
    <w:abstractNumId w:val="32"/>
  </w:num>
  <w:num w:numId="25">
    <w:abstractNumId w:val="23"/>
  </w:num>
  <w:num w:numId="26">
    <w:abstractNumId w:val="5"/>
  </w:num>
  <w:num w:numId="27">
    <w:abstractNumId w:val="14"/>
  </w:num>
  <w:num w:numId="28">
    <w:abstractNumId w:val="19"/>
  </w:num>
  <w:num w:numId="29">
    <w:abstractNumId w:val="2"/>
  </w:num>
  <w:num w:numId="30">
    <w:abstractNumId w:val="7"/>
  </w:num>
  <w:num w:numId="31">
    <w:abstractNumId w:val="41"/>
  </w:num>
  <w:num w:numId="32">
    <w:abstractNumId w:val="28"/>
  </w:num>
  <w:num w:numId="33">
    <w:abstractNumId w:val="33"/>
  </w:num>
  <w:num w:numId="34">
    <w:abstractNumId w:val="37"/>
  </w:num>
  <w:num w:numId="35">
    <w:abstractNumId w:val="4"/>
  </w:num>
  <w:num w:numId="36">
    <w:abstractNumId w:val="26"/>
  </w:num>
  <w:num w:numId="37">
    <w:abstractNumId w:val="18"/>
  </w:num>
  <w:num w:numId="38">
    <w:abstractNumId w:val="27"/>
  </w:num>
  <w:num w:numId="39">
    <w:abstractNumId w:val="42"/>
  </w:num>
  <w:num w:numId="40">
    <w:abstractNumId w:val="1"/>
  </w:num>
  <w:num w:numId="41">
    <w:abstractNumId w:val="31"/>
  </w:num>
  <w:num w:numId="42">
    <w:abstractNumId w:val="0"/>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IgHOGIxzJ9gOiZ4SAuns1GdMKsuJ9voJWPXy29yZ8vnSPXe9twow51/6FdkGvP/TOT2yXAoAxUY20JslsRFO2A==" w:salt="/jX6ES2Awg1JB2r5zqIMO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23A"/>
    <w:rsid w:val="0007100D"/>
    <w:rsid w:val="000B0885"/>
    <w:rsid w:val="00125C45"/>
    <w:rsid w:val="0016322F"/>
    <w:rsid w:val="001F3357"/>
    <w:rsid w:val="002F1223"/>
    <w:rsid w:val="002F6D3D"/>
    <w:rsid w:val="0037578C"/>
    <w:rsid w:val="003B0702"/>
    <w:rsid w:val="00512BC4"/>
    <w:rsid w:val="00536920"/>
    <w:rsid w:val="005E4EBB"/>
    <w:rsid w:val="00644607"/>
    <w:rsid w:val="0069096F"/>
    <w:rsid w:val="007E2008"/>
    <w:rsid w:val="008028EC"/>
    <w:rsid w:val="00981E8B"/>
    <w:rsid w:val="00986C1B"/>
    <w:rsid w:val="009F062E"/>
    <w:rsid w:val="00A460E4"/>
    <w:rsid w:val="00A61864"/>
    <w:rsid w:val="00B00F26"/>
    <w:rsid w:val="00B17AD0"/>
    <w:rsid w:val="00B722E0"/>
    <w:rsid w:val="00B93355"/>
    <w:rsid w:val="00C14F43"/>
    <w:rsid w:val="00C7653D"/>
    <w:rsid w:val="00CE4C6E"/>
    <w:rsid w:val="00D83147"/>
    <w:rsid w:val="00D97727"/>
    <w:rsid w:val="00E02AE2"/>
    <w:rsid w:val="00E20DD8"/>
    <w:rsid w:val="00E5233D"/>
    <w:rsid w:val="00EE3ADC"/>
    <w:rsid w:val="00F31D1A"/>
    <w:rsid w:val="00F4223A"/>
    <w:rsid w:val="00F52402"/>
    <w:rsid w:val="00F8606C"/>
    <w:rsid w:val="00FA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FAA8B48-2118-44F0-A110-6F6A577C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F4223A"/>
    <w:pPr>
      <w:keepNext/>
      <w:spacing w:after="0" w:line="240" w:lineRule="auto"/>
      <w:outlineLvl w:val="0"/>
    </w:pPr>
    <w:rPr>
      <w:rFonts w:ascii="Times New Roman" w:eastAsia="MS Mincho" w:hAnsi="Times New Roman" w:cs="Times New Roman"/>
      <w:b/>
      <w:szCs w:val="20"/>
      <w:lang w:val="lt-LT" w:eastAsia="lt-LT"/>
    </w:rPr>
  </w:style>
  <w:style w:type="paragraph" w:styleId="Antrat2">
    <w:name w:val="heading 2"/>
    <w:basedOn w:val="prastasis"/>
    <w:next w:val="prastasis"/>
    <w:link w:val="Antrat2Diagrama"/>
    <w:autoRedefine/>
    <w:uiPriority w:val="99"/>
    <w:qFormat/>
    <w:rsid w:val="00F4223A"/>
    <w:pPr>
      <w:keepNext/>
      <w:spacing w:after="0" w:line="240" w:lineRule="auto"/>
      <w:outlineLvl w:val="1"/>
    </w:pPr>
    <w:rPr>
      <w:rFonts w:ascii="Times New Roman" w:eastAsia="MS Mincho" w:hAnsi="Times New Roman" w:cs="Times New Roman"/>
      <w:b/>
      <w:szCs w:val="20"/>
      <w:lang w:val="lt-LT" w:eastAsia="lt-LT"/>
    </w:rPr>
  </w:style>
  <w:style w:type="paragraph" w:styleId="Antrat3">
    <w:name w:val="heading 3"/>
    <w:basedOn w:val="prastasis"/>
    <w:next w:val="prastasis"/>
    <w:link w:val="Antrat3Diagrama"/>
    <w:autoRedefine/>
    <w:uiPriority w:val="99"/>
    <w:qFormat/>
    <w:rsid w:val="00F4223A"/>
    <w:pPr>
      <w:keepNext/>
      <w:spacing w:after="0" w:line="240" w:lineRule="auto"/>
      <w:outlineLvl w:val="2"/>
    </w:pPr>
    <w:rPr>
      <w:rFonts w:ascii="Times New Roman" w:eastAsia="MS Mincho" w:hAnsi="Times New Roman" w:cs="Times New Roman"/>
      <w:i/>
      <w:lang w:val="lt-LT" w:eastAsia="lt-LT"/>
    </w:rPr>
  </w:style>
  <w:style w:type="paragraph" w:styleId="Antrat7">
    <w:name w:val="heading 7"/>
    <w:basedOn w:val="prastasis"/>
    <w:next w:val="prastasis"/>
    <w:link w:val="Antrat7Diagrama"/>
    <w:uiPriority w:val="99"/>
    <w:qFormat/>
    <w:rsid w:val="00F4223A"/>
    <w:pPr>
      <w:keepNext/>
      <w:spacing w:after="0" w:line="240" w:lineRule="auto"/>
      <w:outlineLvl w:val="6"/>
    </w:pPr>
    <w:rPr>
      <w:rFonts w:ascii="Times New Roman" w:eastAsia="MS Mincho" w:hAnsi="Times New Roman" w:cs="Times New Roman"/>
      <w:i/>
      <w:iCs/>
      <w:szCs w:val="20"/>
      <w:lang w:val="lt-LT"/>
    </w:rPr>
  </w:style>
  <w:style w:type="paragraph" w:styleId="Antrat8">
    <w:name w:val="heading 8"/>
    <w:basedOn w:val="prastasis"/>
    <w:next w:val="prastasis"/>
    <w:link w:val="Antrat8Diagrama"/>
    <w:uiPriority w:val="99"/>
    <w:qFormat/>
    <w:rsid w:val="00F4223A"/>
    <w:pPr>
      <w:keepNext/>
      <w:spacing w:after="0" w:line="240" w:lineRule="auto"/>
      <w:outlineLvl w:val="7"/>
    </w:pPr>
    <w:rPr>
      <w:rFonts w:ascii="Times New Roman" w:eastAsia="MS Mincho" w:hAnsi="Times New Roman" w:cs="Times New Roman"/>
      <w:b/>
      <w:b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4223A"/>
    <w:rPr>
      <w:rFonts w:ascii="Times New Roman" w:eastAsia="MS Mincho"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F4223A"/>
    <w:rPr>
      <w:rFonts w:ascii="Times New Roman" w:eastAsia="MS Mincho"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F4223A"/>
    <w:rPr>
      <w:rFonts w:ascii="Times New Roman" w:eastAsia="MS Mincho" w:hAnsi="Times New Roman" w:cs="Times New Roman"/>
      <w:i/>
      <w:lang w:val="lt-LT" w:eastAsia="lt-LT"/>
    </w:rPr>
  </w:style>
  <w:style w:type="character" w:customStyle="1" w:styleId="Antrat7Diagrama">
    <w:name w:val="Antraštė 7 Diagrama"/>
    <w:basedOn w:val="Numatytasispastraiposriftas"/>
    <w:link w:val="Antrat7"/>
    <w:uiPriority w:val="99"/>
    <w:rsid w:val="00F4223A"/>
    <w:rPr>
      <w:rFonts w:ascii="Times New Roman" w:eastAsia="MS Mincho" w:hAnsi="Times New Roman" w:cs="Times New Roman"/>
      <w:i/>
      <w:iCs/>
      <w:szCs w:val="20"/>
      <w:lang w:val="lt-LT"/>
    </w:rPr>
  </w:style>
  <w:style w:type="character" w:customStyle="1" w:styleId="Antrat8Diagrama">
    <w:name w:val="Antraštė 8 Diagrama"/>
    <w:basedOn w:val="Numatytasispastraiposriftas"/>
    <w:link w:val="Antrat8"/>
    <w:uiPriority w:val="99"/>
    <w:rsid w:val="00F4223A"/>
    <w:rPr>
      <w:rFonts w:ascii="Times New Roman" w:eastAsia="MS Mincho" w:hAnsi="Times New Roman" w:cs="Times New Roman"/>
      <w:b/>
      <w:bCs/>
      <w:szCs w:val="20"/>
      <w:lang w:val="lt-LT"/>
    </w:rPr>
  </w:style>
  <w:style w:type="numbering" w:customStyle="1" w:styleId="NoList1">
    <w:name w:val="No List1"/>
    <w:next w:val="Sraonra"/>
    <w:uiPriority w:val="99"/>
    <w:semiHidden/>
    <w:unhideWhenUsed/>
    <w:rsid w:val="00F4223A"/>
  </w:style>
  <w:style w:type="paragraph" w:styleId="Pagrindinistekstas">
    <w:name w:val="Body Text"/>
    <w:basedOn w:val="prastasis"/>
    <w:link w:val="PagrindinistekstasDiagrama"/>
    <w:uiPriority w:val="99"/>
    <w:rsid w:val="00F4223A"/>
    <w:pPr>
      <w:spacing w:after="120" w:line="240" w:lineRule="auto"/>
    </w:pPr>
    <w:rPr>
      <w:rFonts w:ascii="Times New Roman" w:eastAsia="MS Mincho"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F4223A"/>
    <w:rPr>
      <w:rFonts w:ascii="Times New Roman" w:eastAsia="MS Mincho" w:hAnsi="Times New Roman" w:cs="Times New Roman"/>
      <w:szCs w:val="20"/>
      <w:lang w:val="lt-LT" w:eastAsia="lt-LT"/>
    </w:rPr>
  </w:style>
  <w:style w:type="paragraph" w:styleId="Porat">
    <w:name w:val="footer"/>
    <w:basedOn w:val="prastasis"/>
    <w:link w:val="PoratDiagrama"/>
    <w:uiPriority w:val="99"/>
    <w:rsid w:val="00F4223A"/>
    <w:pPr>
      <w:tabs>
        <w:tab w:val="center" w:pos="4153"/>
        <w:tab w:val="right" w:pos="8306"/>
      </w:tabs>
      <w:spacing w:after="0" w:line="240" w:lineRule="auto"/>
    </w:pPr>
    <w:rPr>
      <w:rFonts w:ascii="Times New Roman" w:eastAsia="MS Mincho" w:hAnsi="Times New Roman" w:cs="Times New Roman"/>
      <w:szCs w:val="20"/>
      <w:lang w:val="lt-LT" w:eastAsia="lt-LT"/>
    </w:rPr>
  </w:style>
  <w:style w:type="character" w:customStyle="1" w:styleId="PoratDiagrama">
    <w:name w:val="Poraštė Diagrama"/>
    <w:basedOn w:val="Numatytasispastraiposriftas"/>
    <w:link w:val="Porat"/>
    <w:uiPriority w:val="99"/>
    <w:rsid w:val="00F4223A"/>
    <w:rPr>
      <w:rFonts w:ascii="Times New Roman" w:eastAsia="MS Mincho" w:hAnsi="Times New Roman" w:cs="Times New Roman"/>
      <w:szCs w:val="20"/>
      <w:lang w:val="lt-LT" w:eastAsia="lt-LT"/>
    </w:rPr>
  </w:style>
  <w:style w:type="character" w:styleId="Puslapionumeris">
    <w:name w:val="page number"/>
    <w:basedOn w:val="Numatytasispastraiposriftas"/>
    <w:uiPriority w:val="99"/>
    <w:rsid w:val="00F4223A"/>
    <w:rPr>
      <w:rFonts w:cs="Times New Roman"/>
    </w:rPr>
  </w:style>
  <w:style w:type="paragraph" w:styleId="Pavadinimas">
    <w:name w:val="Title"/>
    <w:basedOn w:val="prastasis"/>
    <w:link w:val="PavadinimasDiagrama"/>
    <w:autoRedefine/>
    <w:uiPriority w:val="99"/>
    <w:qFormat/>
    <w:rsid w:val="00F4223A"/>
    <w:pPr>
      <w:spacing w:after="0" w:line="240" w:lineRule="auto"/>
      <w:jc w:val="center"/>
      <w:outlineLvl w:val="0"/>
    </w:pPr>
    <w:rPr>
      <w:rFonts w:ascii="Times New Roman" w:eastAsia="MS Mincho"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F4223A"/>
    <w:rPr>
      <w:rFonts w:ascii="Times New Roman" w:eastAsia="MS Mincho" w:hAnsi="Times New Roman" w:cs="Times New Roman"/>
      <w:b/>
      <w:kern w:val="28"/>
      <w:szCs w:val="20"/>
      <w:lang w:val="lt-LT" w:eastAsia="lt-LT"/>
    </w:rPr>
  </w:style>
  <w:style w:type="paragraph" w:customStyle="1" w:styleId="mdTblEntryMod">
    <w:name w:val="md_Tbl Entry/Mod"/>
    <w:basedOn w:val="prastasis"/>
    <w:uiPriority w:val="99"/>
    <w:rsid w:val="00F4223A"/>
    <w:pPr>
      <w:keepNext/>
      <w:keepLines/>
      <w:spacing w:after="0" w:line="259" w:lineRule="atLeast"/>
    </w:pPr>
    <w:rPr>
      <w:rFonts w:ascii="Times New Roman" w:eastAsia="MS Mincho" w:hAnsi="Times New Roman" w:cs="Times New Roman"/>
      <w:sz w:val="20"/>
      <w:szCs w:val="20"/>
    </w:rPr>
  </w:style>
  <w:style w:type="paragraph" w:styleId="Debesliotekstas">
    <w:name w:val="Balloon Text"/>
    <w:basedOn w:val="prastasis"/>
    <w:link w:val="DebesliotekstasDiagrama"/>
    <w:uiPriority w:val="99"/>
    <w:semiHidden/>
    <w:rsid w:val="00F4223A"/>
    <w:pPr>
      <w:spacing w:after="0" w:line="240" w:lineRule="auto"/>
    </w:pPr>
    <w:rPr>
      <w:rFonts w:ascii="Tahoma" w:eastAsia="MS Mincho"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F4223A"/>
    <w:rPr>
      <w:rFonts w:ascii="Tahoma" w:eastAsia="MS Mincho" w:hAnsi="Tahoma" w:cs="Times New Roman"/>
      <w:sz w:val="16"/>
      <w:szCs w:val="16"/>
      <w:lang w:val="lt-LT" w:eastAsia="lt-LT"/>
    </w:rPr>
  </w:style>
  <w:style w:type="character" w:styleId="Komentaronuoroda">
    <w:name w:val="annotation reference"/>
    <w:basedOn w:val="Numatytasispastraiposriftas"/>
    <w:uiPriority w:val="99"/>
    <w:semiHidden/>
    <w:rsid w:val="00F4223A"/>
    <w:rPr>
      <w:rFonts w:cs="Times New Roman"/>
      <w:sz w:val="16"/>
      <w:szCs w:val="16"/>
    </w:rPr>
  </w:style>
  <w:style w:type="paragraph" w:styleId="Komentarotekstas">
    <w:name w:val="annotation text"/>
    <w:basedOn w:val="prastasis"/>
    <w:link w:val="KomentarotekstasDiagrama"/>
    <w:uiPriority w:val="99"/>
    <w:semiHidden/>
    <w:rsid w:val="00F4223A"/>
    <w:pPr>
      <w:spacing w:after="0" w:line="240" w:lineRule="auto"/>
    </w:pPr>
    <w:rPr>
      <w:rFonts w:ascii="Times New Roman" w:eastAsia="MS Mincho"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F4223A"/>
    <w:rPr>
      <w:rFonts w:ascii="Times New Roman" w:eastAsia="MS Mincho"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F4223A"/>
    <w:rPr>
      <w:b/>
      <w:bCs/>
    </w:rPr>
  </w:style>
  <w:style w:type="character" w:customStyle="1" w:styleId="KomentarotemaDiagrama">
    <w:name w:val="Komentaro tema Diagrama"/>
    <w:basedOn w:val="KomentarotekstasDiagrama"/>
    <w:link w:val="Komentarotema"/>
    <w:uiPriority w:val="99"/>
    <w:semiHidden/>
    <w:rsid w:val="00F4223A"/>
    <w:rPr>
      <w:rFonts w:ascii="Times New Roman" w:eastAsia="MS Mincho" w:hAnsi="Times New Roman" w:cs="Times New Roman"/>
      <w:b/>
      <w:bCs/>
      <w:sz w:val="20"/>
      <w:szCs w:val="20"/>
      <w:lang w:val="lt-LT" w:eastAsia="lt-LT"/>
    </w:rPr>
  </w:style>
  <w:style w:type="table" w:styleId="Lentelstinklelis">
    <w:name w:val="Table Grid"/>
    <w:basedOn w:val="prastojilentel"/>
    <w:uiPriority w:val="99"/>
    <w:rsid w:val="00F4223A"/>
    <w:pPr>
      <w:spacing w:after="0" w:line="240" w:lineRule="auto"/>
    </w:pPr>
    <w:rPr>
      <w:rFonts w:ascii="Times New Roman" w:eastAsia="MS Mincho"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F4223A"/>
    <w:pPr>
      <w:tabs>
        <w:tab w:val="center" w:pos="4819"/>
        <w:tab w:val="right" w:pos="9638"/>
      </w:tabs>
      <w:spacing w:after="0" w:line="240" w:lineRule="auto"/>
    </w:pPr>
    <w:rPr>
      <w:rFonts w:ascii="Times New Roman" w:eastAsia="MS Mincho" w:hAnsi="Times New Roman" w:cs="Times New Roman"/>
      <w:szCs w:val="20"/>
      <w:lang w:val="lt-LT" w:eastAsia="lt-LT"/>
    </w:rPr>
  </w:style>
  <w:style w:type="character" w:customStyle="1" w:styleId="AntratsDiagrama">
    <w:name w:val="Antraštės Diagrama"/>
    <w:basedOn w:val="Numatytasispastraiposriftas"/>
    <w:link w:val="Antrats"/>
    <w:uiPriority w:val="99"/>
    <w:rsid w:val="00F4223A"/>
    <w:rPr>
      <w:rFonts w:ascii="Times New Roman" w:eastAsia="MS Mincho" w:hAnsi="Times New Roman" w:cs="Times New Roman"/>
      <w:szCs w:val="20"/>
      <w:lang w:val="lt-LT" w:eastAsia="lt-LT"/>
    </w:rPr>
  </w:style>
  <w:style w:type="character" w:styleId="Hipersaitas">
    <w:name w:val="Hyperlink"/>
    <w:basedOn w:val="Numatytasispastraiposriftas"/>
    <w:uiPriority w:val="99"/>
    <w:rsid w:val="00F4223A"/>
    <w:rPr>
      <w:rFonts w:cs="Times New Roman"/>
      <w:color w:val="0000FF"/>
      <w:u w:val="single"/>
    </w:rPr>
  </w:style>
  <w:style w:type="paragraph" w:customStyle="1" w:styleId="BTEMEASMCA">
    <w:name w:val="BT EMEA_SMCA"/>
    <w:basedOn w:val="prastasis"/>
    <w:link w:val="BTEMEASMCAChar"/>
    <w:autoRedefine/>
    <w:uiPriority w:val="99"/>
    <w:rsid w:val="00F4223A"/>
    <w:pPr>
      <w:spacing w:after="0" w:line="240" w:lineRule="auto"/>
    </w:pPr>
    <w:rPr>
      <w:rFonts w:ascii="Times New Roman" w:eastAsia="MS Mincho" w:hAnsi="Times New Roman" w:cs="Times New Roman"/>
      <w:noProof/>
      <w:lang w:val="lt-LT"/>
    </w:rPr>
  </w:style>
  <w:style w:type="paragraph" w:customStyle="1" w:styleId="TTEMEASMCA">
    <w:name w:val="TT EMEA_SMCA"/>
    <w:basedOn w:val="Antrat1"/>
    <w:link w:val="TTEMEASMCAChar"/>
    <w:autoRedefine/>
    <w:uiPriority w:val="99"/>
    <w:rsid w:val="00F4223A"/>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uiPriority w:val="99"/>
    <w:locked/>
    <w:rsid w:val="00F4223A"/>
    <w:rPr>
      <w:rFonts w:ascii="Times New Roman" w:eastAsia="MS Mincho" w:hAnsi="Times New Roman" w:cs="Times New Roman"/>
      <w:b/>
      <w:caps/>
    </w:rPr>
  </w:style>
  <w:style w:type="character" w:customStyle="1" w:styleId="BTEMEASMCAChar">
    <w:name w:val="BT EMEA_SMCA Char"/>
    <w:basedOn w:val="Numatytasispastraiposriftas"/>
    <w:link w:val="BTEMEASMCA"/>
    <w:uiPriority w:val="99"/>
    <w:locked/>
    <w:rsid w:val="00F4223A"/>
    <w:rPr>
      <w:rFonts w:ascii="Times New Roman" w:eastAsia="MS Mincho" w:hAnsi="Times New Roman" w:cs="Times New Roman"/>
      <w:noProof/>
      <w:lang w:val="lt-LT"/>
    </w:rPr>
  </w:style>
  <w:style w:type="paragraph" w:customStyle="1" w:styleId="Pataisymai1">
    <w:name w:val="Pataisymai1"/>
    <w:hidden/>
    <w:uiPriority w:val="99"/>
    <w:semiHidden/>
    <w:rsid w:val="00F4223A"/>
    <w:pPr>
      <w:spacing w:after="0" w:line="240" w:lineRule="auto"/>
    </w:pPr>
    <w:rPr>
      <w:rFonts w:ascii="Times New Roman" w:eastAsia="MS Mincho" w:hAnsi="Times New Roman" w:cs="Times New Roman"/>
      <w:szCs w:val="20"/>
      <w:lang w:val="lt-LT" w:eastAsia="lt-LT"/>
    </w:rPr>
  </w:style>
  <w:style w:type="paragraph" w:customStyle="1" w:styleId="Sraopastraipa1">
    <w:name w:val="Sąrašo pastraipa1"/>
    <w:basedOn w:val="prastasis"/>
    <w:uiPriority w:val="34"/>
    <w:qFormat/>
    <w:rsid w:val="00F4223A"/>
    <w:pPr>
      <w:spacing w:after="0" w:line="240" w:lineRule="auto"/>
      <w:ind w:left="720"/>
      <w:contextualSpacing/>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F42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8249">
      <w:bodyDiv w:val="1"/>
      <w:marLeft w:val="0"/>
      <w:marRight w:val="0"/>
      <w:marTop w:val="0"/>
      <w:marBottom w:val="0"/>
      <w:divBdr>
        <w:top w:val="none" w:sz="0" w:space="0" w:color="auto"/>
        <w:left w:val="none" w:sz="0" w:space="0" w:color="auto"/>
        <w:bottom w:val="none" w:sz="0" w:space="0" w:color="auto"/>
        <w:right w:val="none" w:sz="0" w:space="0" w:color="auto"/>
      </w:divBdr>
    </w:div>
    <w:div w:id="2653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41470</Words>
  <Characters>23638</Characters>
  <Application>Microsoft Office Word</Application>
  <DocSecurity>8</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64979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Birutė Valkauskaitė</cp:lastModifiedBy>
  <cp:revision>3</cp:revision>
  <dcterms:created xsi:type="dcterms:W3CDTF">2016-01-07T12:35:00Z</dcterms:created>
  <dcterms:modified xsi:type="dcterms:W3CDTF">2016-01-07T12:35:00Z</dcterms:modified>
</cp:coreProperties>
</file>