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A1" w:rsidRDefault="00B751A1" w:rsidP="00B751A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bookmarkStart w:id="0" w:name="_Toc129243138"/>
      <w:bookmarkStart w:id="1" w:name="_Toc129243263"/>
      <w:r>
        <w:rPr>
          <w:rFonts w:ascii="Times New Roman" w:eastAsia="Calibri" w:hAnsi="Times New Roman" w:cs="Times New Roman"/>
          <w:b/>
        </w:rPr>
        <w:t>Pakuotės lapelis: informacija vartotojui</w:t>
      </w:r>
      <w:bookmarkEnd w:id="0"/>
      <w:bookmarkEnd w:id="1"/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ja-JP"/>
        </w:rPr>
      </w:pPr>
      <w:proofErr w:type="spellStart"/>
      <w:r>
        <w:rPr>
          <w:rFonts w:ascii="Times New Roman" w:eastAsia="MS Mincho" w:hAnsi="Times New Roman" w:cs="Times New Roman"/>
          <w:b/>
          <w:lang w:eastAsia="ja-JP"/>
        </w:rPr>
        <w:t>Maalox</w:t>
      </w:r>
      <w:proofErr w:type="spellEnd"/>
      <w:r>
        <w:rPr>
          <w:rFonts w:ascii="Times New Roman" w:eastAsia="MS Mincho" w:hAnsi="Times New Roman" w:cs="Times New Roman"/>
          <w:b/>
          <w:lang w:eastAsia="ja-JP"/>
        </w:rPr>
        <w:t xml:space="preserve"> 460 mg/400 mg/</w:t>
      </w:r>
      <w:r>
        <w:rPr>
          <w:rFonts w:ascii="Times New Roman" w:eastAsia="Calibri" w:hAnsi="Times New Roman" w:cs="Times New Roman"/>
          <w:b/>
        </w:rPr>
        <w:t>4,3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  <w:b/>
          <w:lang w:eastAsia="ja-JP"/>
        </w:rPr>
        <w:t>ml geriamoji suspensija</w:t>
      </w:r>
    </w:p>
    <w:p w:rsidR="00B751A1" w:rsidRDefault="00B751A1" w:rsidP="00B751A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aliuminio </w:t>
      </w:r>
      <w:proofErr w:type="spellStart"/>
      <w:r>
        <w:rPr>
          <w:rFonts w:ascii="Times New Roman" w:eastAsia="Calibri" w:hAnsi="Times New Roman" w:cs="Times New Roman"/>
        </w:rPr>
        <w:t>hidroksidas</w:t>
      </w:r>
      <w:proofErr w:type="spellEnd"/>
      <w:r>
        <w:rPr>
          <w:rFonts w:ascii="Times New Roman" w:eastAsia="Calibri" w:hAnsi="Times New Roman" w:cs="Times New Roman"/>
        </w:rPr>
        <w:t xml:space="preserve">, magnio </w:t>
      </w:r>
      <w:proofErr w:type="spellStart"/>
      <w:r>
        <w:rPr>
          <w:rFonts w:ascii="Times New Roman" w:eastAsia="Calibri" w:hAnsi="Times New Roman" w:cs="Times New Roman"/>
        </w:rPr>
        <w:t>hidroksidas</w:t>
      </w:r>
      <w:proofErr w:type="spellEnd"/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Atidžiai perskaitykite visą šį lapelį, prieš pradėdami vartoti šį vaistą, nes jame pateikiama Jums svarbi informacija.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Visada vartokite šį vaistą tiksliai kaip aprašyta šiame lapelyje arba kaip nurodė gydytojas arba vaistininkas. </w:t>
      </w:r>
    </w:p>
    <w:p w:rsidR="00B751A1" w:rsidRDefault="00B751A1" w:rsidP="00B751A1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Neišmeskite šio lapelio, nes vėl gali prireikti jį perskaityti.</w:t>
      </w:r>
    </w:p>
    <w:p w:rsidR="00B751A1" w:rsidRDefault="00B751A1" w:rsidP="00B751A1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norite sužinoti daugiau arba pasitarti, kreipkitės į vaistininką.</w:t>
      </w:r>
    </w:p>
    <w:p w:rsidR="00B751A1" w:rsidRDefault="00B751A1" w:rsidP="00B751A1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pasireiškė šalutinis poveikis (net jeigu jis šiame lapelyje nenurodytas), kreipkitės į gydytoją arba vaistininką. Žr. 4 skyrių.</w:t>
      </w:r>
    </w:p>
    <w:p w:rsidR="00B751A1" w:rsidRDefault="00B751A1" w:rsidP="00B751A1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per 10 dienų Jūsų savijauta nepagerėjo arba net pablogėjo, kreipkitės į gydytoją.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Apie ką rašoma šiame lapelyje?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B751A1" w:rsidRDefault="00B751A1" w:rsidP="00B751A1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  <w:r>
        <w:rPr>
          <w:rFonts w:ascii="Times New Roman" w:eastAsia="Calibri" w:hAnsi="Times New Roman" w:cs="Times New Roman"/>
        </w:rPr>
        <w:tab/>
        <w:t xml:space="preserve">Kas yra </w:t>
      </w:r>
      <w:proofErr w:type="spellStart"/>
      <w:r>
        <w:rPr>
          <w:rFonts w:ascii="Times New Roman" w:eastAsia="Calibri" w:hAnsi="Times New Roman" w:cs="Times New Roman"/>
        </w:rPr>
        <w:t>Maalox</w:t>
      </w:r>
      <w:proofErr w:type="spellEnd"/>
      <w:r>
        <w:rPr>
          <w:rFonts w:ascii="Times New Roman" w:eastAsia="Calibri" w:hAnsi="Times New Roman" w:cs="Times New Roman"/>
        </w:rPr>
        <w:t xml:space="preserve"> ir kam jis vartojamas</w:t>
      </w:r>
    </w:p>
    <w:p w:rsidR="00B751A1" w:rsidRDefault="00B751A1" w:rsidP="00B751A1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  <w:r>
        <w:rPr>
          <w:rFonts w:ascii="Times New Roman" w:eastAsia="Calibri" w:hAnsi="Times New Roman" w:cs="Times New Roman"/>
        </w:rPr>
        <w:tab/>
        <w:t xml:space="preserve">Kas žinotina prieš vartojant </w:t>
      </w:r>
      <w:proofErr w:type="spellStart"/>
      <w:r>
        <w:rPr>
          <w:rFonts w:ascii="Times New Roman" w:eastAsia="Calibri" w:hAnsi="Times New Roman" w:cs="Times New Roman"/>
        </w:rPr>
        <w:t>Maalox</w:t>
      </w:r>
      <w:proofErr w:type="spellEnd"/>
    </w:p>
    <w:p w:rsidR="00B751A1" w:rsidRDefault="00B751A1" w:rsidP="00B751A1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</w:t>
      </w:r>
      <w:r>
        <w:rPr>
          <w:rFonts w:ascii="Times New Roman" w:eastAsia="Calibri" w:hAnsi="Times New Roman" w:cs="Times New Roman"/>
        </w:rPr>
        <w:tab/>
        <w:t xml:space="preserve">Kaip vartoti </w:t>
      </w:r>
      <w:proofErr w:type="spellStart"/>
      <w:r>
        <w:rPr>
          <w:rFonts w:ascii="Times New Roman" w:eastAsia="Calibri" w:hAnsi="Times New Roman" w:cs="Times New Roman"/>
        </w:rPr>
        <w:t>Maalox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</w:p>
    <w:p w:rsidR="00B751A1" w:rsidRDefault="00B751A1" w:rsidP="00B751A1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</w:t>
      </w:r>
      <w:r>
        <w:rPr>
          <w:rFonts w:ascii="Times New Roman" w:eastAsia="Calibri" w:hAnsi="Times New Roman" w:cs="Times New Roman"/>
        </w:rPr>
        <w:tab/>
        <w:t>Galimas šalutinis poveikis</w:t>
      </w:r>
    </w:p>
    <w:p w:rsidR="00B751A1" w:rsidRDefault="00B751A1" w:rsidP="00B751A1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</w:t>
      </w:r>
      <w:r>
        <w:rPr>
          <w:rFonts w:ascii="Times New Roman" w:eastAsia="Calibri" w:hAnsi="Times New Roman" w:cs="Times New Roman"/>
        </w:rPr>
        <w:tab/>
        <w:t xml:space="preserve">Kaip laikyti </w:t>
      </w:r>
      <w:proofErr w:type="spellStart"/>
      <w:r>
        <w:rPr>
          <w:rFonts w:ascii="Times New Roman" w:eastAsia="Calibri" w:hAnsi="Times New Roman" w:cs="Times New Roman"/>
        </w:rPr>
        <w:t>Maalox</w:t>
      </w:r>
      <w:proofErr w:type="spellEnd"/>
    </w:p>
    <w:p w:rsidR="00B751A1" w:rsidRDefault="00B751A1" w:rsidP="00B751A1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</w:t>
      </w:r>
      <w:r>
        <w:rPr>
          <w:rFonts w:ascii="Times New Roman" w:eastAsia="Calibri" w:hAnsi="Times New Roman" w:cs="Times New Roman"/>
        </w:rPr>
        <w:tab/>
        <w:t>Pakuotės turinys ir kita informacija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2" w:name="_Toc129243139"/>
      <w:bookmarkStart w:id="3" w:name="_Toc129243264"/>
      <w:r>
        <w:rPr>
          <w:rFonts w:ascii="Times New Roman" w:eastAsia="Calibri" w:hAnsi="Times New Roman" w:cs="Times New Roman"/>
          <w:b/>
        </w:rPr>
        <w:t>1.</w:t>
      </w:r>
      <w:r>
        <w:rPr>
          <w:rFonts w:ascii="Times New Roman" w:eastAsia="Calibri" w:hAnsi="Times New Roman" w:cs="Times New Roman"/>
          <w:b/>
        </w:rPr>
        <w:tab/>
        <w:t xml:space="preserve">Kas yra </w:t>
      </w:r>
      <w:proofErr w:type="spellStart"/>
      <w:r>
        <w:rPr>
          <w:rFonts w:ascii="Times New Roman" w:eastAsia="Calibri" w:hAnsi="Times New Roman" w:cs="Times New Roman"/>
          <w:b/>
        </w:rPr>
        <w:t>Maalox</w:t>
      </w:r>
      <w:proofErr w:type="spellEnd"/>
      <w:r>
        <w:rPr>
          <w:rFonts w:ascii="Times New Roman" w:eastAsia="Calibri" w:hAnsi="Times New Roman" w:cs="Times New Roman"/>
          <w:b/>
        </w:rPr>
        <w:t xml:space="preserve"> ir kam jis vartojamas</w:t>
      </w:r>
      <w:bookmarkEnd w:id="2"/>
      <w:bookmarkEnd w:id="3"/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Šis vaistas vartojamas rėmens ir skrandžio turinio kilimo į stemplę simptomams malšinti suaugusiems ir paaugliams nuo 15 metų.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spacing w:val="20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Rėmenį ir skrandžio turinio kilimą į stemplę gali sukelti kai kurie maisto produktai (pvz., rūgštūs, aštrūs ir kt.), alkoholiniai gėrimai ir kai kurie vaistai (pvz., aspirinas, vaistai nuo uždegimo). Prireikus nedvejodami pasitarkite su gydytoju arba vaistininku.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</w:pPr>
      <w:r>
        <w:rPr>
          <w:rFonts w:ascii="Times New Roman" w:eastAsia="Calibri" w:hAnsi="Times New Roman" w:cs="Times New Roman"/>
        </w:rPr>
        <w:t>Kad ligos simptomų pasireikštų rečiau, reikia:</w:t>
      </w:r>
    </w:p>
    <w:p w:rsidR="00B751A1" w:rsidRDefault="00B751A1" w:rsidP="00B751A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nepersivalgyti riebaus maisto;</w:t>
      </w:r>
    </w:p>
    <w:p w:rsidR="00B751A1" w:rsidRDefault="00B751A1" w:rsidP="00B751A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vengti kai kurių maisto produktų, pvz., šokolado, aštrių patiekalų, pipirų, vaisių sulčių, sodos gėrimų;</w:t>
      </w:r>
    </w:p>
    <w:p w:rsidR="00B751A1" w:rsidRDefault="00B751A1" w:rsidP="00B751A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valgyti įvairų maistą;</w:t>
      </w:r>
    </w:p>
    <w:p w:rsidR="00B751A1" w:rsidRDefault="00B751A1" w:rsidP="00B751A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reguliuoti kūno svorį ir reguliariai mankštintis;</w:t>
      </w:r>
    </w:p>
    <w:p w:rsidR="00B751A1" w:rsidRDefault="00B751A1" w:rsidP="00B751A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nedirbti sunkaus fizinio darbo tuoj po valgio;</w:t>
      </w:r>
    </w:p>
    <w:p w:rsidR="00B751A1" w:rsidRDefault="00B751A1" w:rsidP="00B751A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nerūkyti ir nevartoti per daug alkoholinių gėrimų.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ind w:right="-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per 10 dienų Jūsų savijauta nepagerėjo arba net pablogėjo, kreipkitės į gydytoją.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4" w:name="_Toc129243140"/>
      <w:bookmarkStart w:id="5" w:name="_Toc129243265"/>
      <w:r>
        <w:rPr>
          <w:rFonts w:ascii="Times New Roman" w:eastAsia="Calibri" w:hAnsi="Times New Roman" w:cs="Times New Roman"/>
          <w:b/>
        </w:rPr>
        <w:t>2.</w:t>
      </w:r>
      <w:r>
        <w:rPr>
          <w:rFonts w:ascii="Times New Roman" w:eastAsia="Calibri" w:hAnsi="Times New Roman" w:cs="Times New Roman"/>
          <w:b/>
        </w:rPr>
        <w:tab/>
        <w:t xml:space="preserve">Kas žinotina prieš vartojant </w:t>
      </w:r>
      <w:bookmarkEnd w:id="4"/>
      <w:bookmarkEnd w:id="5"/>
      <w:proofErr w:type="spellStart"/>
      <w:r>
        <w:rPr>
          <w:rFonts w:ascii="Times New Roman" w:eastAsia="Calibri" w:hAnsi="Times New Roman" w:cs="Times New Roman"/>
          <w:b/>
        </w:rPr>
        <w:t>Maalox</w:t>
      </w:r>
      <w:proofErr w:type="spellEnd"/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Maalox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vartoti draudžiama:</w:t>
      </w:r>
    </w:p>
    <w:p w:rsidR="00B751A1" w:rsidRDefault="00B751A1" w:rsidP="00B751A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jeigu yra alergija magnio </w:t>
      </w:r>
      <w:proofErr w:type="spellStart"/>
      <w:r>
        <w:rPr>
          <w:rFonts w:ascii="Times New Roman" w:eastAsia="Calibri" w:hAnsi="Times New Roman" w:cs="Times New Roman"/>
        </w:rPr>
        <w:t>hidroksidui</w:t>
      </w:r>
      <w:proofErr w:type="spellEnd"/>
      <w:r>
        <w:rPr>
          <w:rFonts w:ascii="Times New Roman" w:eastAsia="Calibri" w:hAnsi="Times New Roman" w:cs="Times New Roman"/>
        </w:rPr>
        <w:t xml:space="preserve"> ar aliuminio </w:t>
      </w:r>
      <w:proofErr w:type="spellStart"/>
      <w:r>
        <w:rPr>
          <w:rFonts w:ascii="Times New Roman" w:eastAsia="Calibri" w:hAnsi="Times New Roman" w:cs="Times New Roman"/>
        </w:rPr>
        <w:t>hidroksidui</w:t>
      </w:r>
      <w:proofErr w:type="spellEnd"/>
      <w:r>
        <w:rPr>
          <w:rFonts w:ascii="Times New Roman" w:eastAsia="Calibri" w:hAnsi="Times New Roman" w:cs="Times New Roman"/>
        </w:rPr>
        <w:t xml:space="preserve"> arba bet kuriai pagalbinei šio vaisto medžiagai (jos išvardytos 6 skyriuje);</w:t>
      </w:r>
    </w:p>
    <w:p w:rsidR="00B751A1" w:rsidRDefault="00B751A1" w:rsidP="00B751A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sergama sunkia inkstų liga;</w:t>
      </w:r>
    </w:p>
    <w:p w:rsidR="00B751A1" w:rsidRDefault="00B751A1" w:rsidP="00B751A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stipriai skauda pilvą arba įtariamas žarnų nepraeinamumas.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 abejojate, pasitarkite su gydytoju arba vaistininku.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Įspėjimai ir atsargumo priemonės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Pasitarkite su gydytoju arba vaistininku, prieš pradėdami vartoti </w:t>
      </w:r>
      <w:proofErr w:type="spellStart"/>
      <w:r>
        <w:rPr>
          <w:rFonts w:ascii="Times New Roman" w:eastAsia="Calibri" w:hAnsi="Times New Roman" w:cs="Times New Roman"/>
        </w:rPr>
        <w:t>Maalox</w:t>
      </w:r>
      <w:proofErr w:type="spellEnd"/>
      <w:r>
        <w:rPr>
          <w:rFonts w:ascii="Times New Roman" w:eastAsia="Calibri" w:hAnsi="Times New Roman" w:cs="Times New Roman"/>
        </w:rPr>
        <w:t>, jeigu:</w:t>
      </w:r>
    </w:p>
    <w:p w:rsidR="00B751A1" w:rsidRDefault="00B751A1" w:rsidP="00B751A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mažėja kūno svoris;</w:t>
      </w:r>
    </w:p>
    <w:p w:rsidR="00B751A1" w:rsidRDefault="00B751A1" w:rsidP="00B751A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kraujuoja arba anksčiau yra kraujavę iš virškinimo trakto;</w:t>
      </w:r>
    </w:p>
    <w:p w:rsidR="00B751A1" w:rsidRDefault="00B751A1" w:rsidP="00B751A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sutrikęs rijimas arba nuolat jaučiate nemalonų pojūtį pilve;</w:t>
      </w:r>
    </w:p>
    <w:p w:rsidR="00B751A1" w:rsidRDefault="00B751A1" w:rsidP="00B751A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virškinimo sutrikimų atsirado pirmą kartą arba jie neseniai pakito;</w:t>
      </w:r>
    </w:p>
    <w:p w:rsidR="00B751A1" w:rsidRDefault="00B751A1" w:rsidP="00B751A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sergate inkstų liga.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Pacientams, kuriems nustatytas inkstų funkcijos sutrikimas, jaunesniems kaip 2 metų vaikams, senyviems pacientams bei kitiems pacientams, kuriems yra fosforo trūkumo pavojus, prieš pradedant vartoti </w:t>
      </w:r>
      <w:proofErr w:type="spellStart"/>
      <w:r>
        <w:rPr>
          <w:rFonts w:ascii="Times New Roman" w:eastAsia="Calibri" w:hAnsi="Times New Roman" w:cs="Times New Roman"/>
        </w:rPr>
        <w:t>Maalox</w:t>
      </w:r>
      <w:proofErr w:type="spellEnd"/>
      <w:r>
        <w:rPr>
          <w:rFonts w:ascii="Times New Roman" w:eastAsia="Calibri" w:hAnsi="Times New Roman" w:cs="Times New Roman"/>
        </w:rPr>
        <w:t xml:space="preserve"> reikia kreiptis į gydytoją.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 per 10 dienų simptomai nepalengvėjo arba pasunkėjo, nepasidarė retesni arba padažnėjo, didinti dozės negalima. Kreipkitės į gydytoją arba vaistininką.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u w:val="single"/>
        </w:rPr>
        <w:t>Vaikai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Mažiems vaikams magnio </w:t>
      </w:r>
      <w:proofErr w:type="spellStart"/>
      <w:r>
        <w:rPr>
          <w:rFonts w:ascii="Times New Roman" w:eastAsia="Calibri" w:hAnsi="Times New Roman" w:cs="Times New Roman"/>
        </w:rPr>
        <w:t>hidroksido</w:t>
      </w:r>
      <w:proofErr w:type="spellEnd"/>
      <w:r>
        <w:rPr>
          <w:rFonts w:ascii="Times New Roman" w:eastAsia="Calibri" w:hAnsi="Times New Roman" w:cs="Times New Roman"/>
        </w:rPr>
        <w:t xml:space="preserve"> vartojimas gali sukelti </w:t>
      </w:r>
      <w:proofErr w:type="spellStart"/>
      <w:r>
        <w:rPr>
          <w:rFonts w:ascii="Times New Roman" w:eastAsia="Calibri" w:hAnsi="Times New Roman" w:cs="Times New Roman"/>
        </w:rPr>
        <w:t>hipermagnezemiją</w:t>
      </w:r>
      <w:proofErr w:type="spellEnd"/>
      <w:r>
        <w:rPr>
          <w:rFonts w:ascii="Times New Roman" w:eastAsia="Calibri" w:hAnsi="Times New Roman" w:cs="Times New Roman"/>
        </w:rPr>
        <w:t>, ypač jeigu jų inkstų funkcija sutrikusi arba jiems išsivysčiusi dehidratacija.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Kiti vaistai ir </w:t>
      </w:r>
      <w:proofErr w:type="spellStart"/>
      <w:r>
        <w:rPr>
          <w:rFonts w:ascii="Times New Roman" w:eastAsia="Calibri" w:hAnsi="Times New Roman" w:cs="Times New Roman"/>
          <w:b/>
          <w:bCs/>
        </w:rPr>
        <w:t>Maalox</w:t>
      </w:r>
      <w:proofErr w:type="spellEnd"/>
    </w:p>
    <w:p w:rsidR="00B751A1" w:rsidRDefault="00B751A1" w:rsidP="00B751A1">
      <w:pPr>
        <w:spacing w:after="0" w:line="240" w:lineRule="auto"/>
      </w:pPr>
      <w:r>
        <w:rPr>
          <w:rFonts w:ascii="Times New Roman" w:eastAsia="Calibri" w:hAnsi="Times New Roman" w:cs="Times New Roman"/>
        </w:rPr>
        <w:t>Jeigu vartojate ar neseniai vartojote kitų vaistų arba dėl to nesate tikri, apie tai pasakykite gydytojui arba vaistininkui.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240" w:lineRule="auto"/>
      </w:pPr>
      <w:proofErr w:type="spellStart"/>
      <w:r>
        <w:rPr>
          <w:rFonts w:ascii="Times New Roman" w:eastAsia="Calibri" w:hAnsi="Times New Roman" w:cs="Times New Roman"/>
        </w:rPr>
        <w:t>Maalox</w:t>
      </w:r>
      <w:proofErr w:type="spellEnd"/>
      <w:r>
        <w:rPr>
          <w:rFonts w:ascii="Times New Roman" w:eastAsia="Calibri" w:hAnsi="Times New Roman" w:cs="Times New Roman"/>
        </w:rPr>
        <w:t xml:space="preserve"> ir kai kurių kitų vaistų sudėtyje yra skrandžio rūgštį neutralizuojančių medžiagų – aliuminio </w:t>
      </w:r>
      <w:proofErr w:type="spellStart"/>
      <w:r>
        <w:rPr>
          <w:rFonts w:ascii="Times New Roman" w:eastAsia="Calibri" w:hAnsi="Times New Roman" w:cs="Times New Roman"/>
        </w:rPr>
        <w:t>hidroksido</w:t>
      </w:r>
      <w:proofErr w:type="spellEnd"/>
      <w:r>
        <w:rPr>
          <w:rFonts w:ascii="Times New Roman" w:eastAsia="Calibri" w:hAnsi="Times New Roman" w:cs="Times New Roman"/>
        </w:rPr>
        <w:t xml:space="preserve"> ir magnio </w:t>
      </w:r>
      <w:proofErr w:type="spellStart"/>
      <w:r>
        <w:rPr>
          <w:rFonts w:ascii="Times New Roman" w:eastAsia="Calibri" w:hAnsi="Times New Roman" w:cs="Times New Roman"/>
        </w:rPr>
        <w:t>hidroksido</w:t>
      </w:r>
      <w:proofErr w:type="spellEnd"/>
      <w:r>
        <w:rPr>
          <w:rFonts w:ascii="Times New Roman" w:eastAsia="Calibri" w:hAnsi="Times New Roman" w:cs="Times New Roman"/>
        </w:rPr>
        <w:t>. Norint išvengti perdozavimo, tokių vaistų negalima vartoti kartu.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</w:pPr>
      <w:r>
        <w:rPr>
          <w:rFonts w:ascii="Times New Roman" w:eastAsia="Times New Roman" w:hAnsi="Times New Roman" w:cs="Times New Roman"/>
          <w:lang w:eastAsia="fr-FR"/>
        </w:rPr>
        <w:t xml:space="preserve">Jeigu vartojate ar neseniai vartojote bet kurį iš toliau išvardytų vaistų arba dėl to nesate tikri, apie tai pasakykite gydytojui arba vaistininkui, nes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Maalox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gali keisti kai kurių vaistų poveikį arba jie −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Maalox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poveikį. Ypač svarbu pasakyti apie: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t xml:space="preserve">vaistus, vartojamus nuo širdies ligų, tokius kaip </w:t>
      </w:r>
      <w:proofErr w:type="spellStart"/>
      <w:r>
        <w:rPr>
          <w:rFonts w:ascii="Times New Roman" w:eastAsia="Times New Roman" w:hAnsi="Times New Roman" w:cs="Times New Roman"/>
        </w:rPr>
        <w:t>digoksinas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chinidinas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metoprololis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atenololis</w:t>
      </w:r>
      <w:proofErr w:type="spellEnd"/>
      <w:r>
        <w:rPr>
          <w:rFonts w:ascii="Times New Roman" w:eastAsia="Times New Roman" w:hAnsi="Times New Roman" w:cs="Times New Roman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</w:rPr>
        <w:t>propranololis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t>vaistus, vartojamus mažakraujystei gydyti, tokius kaip geležies druskos;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t xml:space="preserve">vaistus, vartojamus skrandžio opoms ir padidėjusiam rūgštingumui gydyti, tokius kaip </w:t>
      </w:r>
      <w:proofErr w:type="spellStart"/>
      <w:r>
        <w:rPr>
          <w:rFonts w:ascii="Times New Roman" w:eastAsia="Times New Roman" w:hAnsi="Times New Roman" w:cs="Times New Roman"/>
        </w:rPr>
        <w:t>ranitidinas</w:t>
      </w:r>
      <w:proofErr w:type="spellEnd"/>
      <w:r>
        <w:rPr>
          <w:rFonts w:ascii="Times New Roman" w:eastAsia="Times New Roman" w:hAnsi="Times New Roman" w:cs="Times New Roman"/>
        </w:rPr>
        <w:t xml:space="preserve"> ar </w:t>
      </w:r>
      <w:proofErr w:type="spellStart"/>
      <w:r>
        <w:rPr>
          <w:rFonts w:ascii="Times New Roman" w:eastAsia="Times New Roman" w:hAnsi="Times New Roman" w:cs="Times New Roman"/>
        </w:rPr>
        <w:t>cimetidinas</w:t>
      </w:r>
      <w:proofErr w:type="spellEnd"/>
      <w:r>
        <w:rPr>
          <w:rFonts w:ascii="Times New Roman" w:eastAsia="Times New Roman" w:hAnsi="Times New Roman" w:cs="Times New Roman"/>
        </w:rPr>
        <w:t xml:space="preserve"> (H</w:t>
      </w:r>
      <w:r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 xml:space="preserve"> antagonistai);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t xml:space="preserve">vaistus, vartojamus maliarijai gydyti, tokius kaip </w:t>
      </w:r>
      <w:proofErr w:type="spellStart"/>
      <w:r>
        <w:rPr>
          <w:rFonts w:ascii="Times New Roman" w:eastAsia="Times New Roman" w:hAnsi="Times New Roman" w:cs="Times New Roman"/>
        </w:rPr>
        <w:t>chlorokvinas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t xml:space="preserve">vaistus, vartojamus tam tikriems kaulų sutrikimams gydyti, tokius kaip </w:t>
      </w:r>
      <w:proofErr w:type="spellStart"/>
      <w:r>
        <w:rPr>
          <w:rFonts w:ascii="Times New Roman" w:eastAsia="Times New Roman" w:hAnsi="Times New Roman" w:cs="Times New Roman"/>
        </w:rPr>
        <w:t>bisfosfonatai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t xml:space="preserve">vaistus, vartojamus tam tikroms alerginėms, uždegiminėms ar nenormalioms imuninėms reakcijoms gydyti, tokius kaip </w:t>
      </w:r>
      <w:proofErr w:type="spellStart"/>
      <w:r>
        <w:rPr>
          <w:rFonts w:ascii="Times New Roman" w:eastAsia="Times New Roman" w:hAnsi="Times New Roman" w:cs="Times New Roman"/>
        </w:rPr>
        <w:t>gliukokortikoidai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t>vaistus, vartojamus inkstų sutrikimams gydyti, tokius kaip citratai;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t xml:space="preserve">vaistus, vartojamus tuberkuliozei gydyti, tokius kaip </w:t>
      </w:r>
      <w:proofErr w:type="spellStart"/>
      <w:r>
        <w:rPr>
          <w:rFonts w:ascii="Times New Roman" w:eastAsia="Times New Roman" w:hAnsi="Times New Roman" w:cs="Times New Roman"/>
        </w:rPr>
        <w:t>etambutolis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izoniazidas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t xml:space="preserve">vaistus, vartojamus infekcijoms gydyti, tokius kaip </w:t>
      </w:r>
      <w:proofErr w:type="spellStart"/>
      <w:r>
        <w:rPr>
          <w:rFonts w:ascii="Times New Roman" w:eastAsia="Times New Roman" w:hAnsi="Times New Roman" w:cs="Times New Roman"/>
        </w:rPr>
        <w:t>fluorochinolonai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linkozamidai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ketokonazolas</w:t>
      </w:r>
      <w:proofErr w:type="spellEnd"/>
      <w:r>
        <w:rPr>
          <w:rFonts w:ascii="Times New Roman" w:eastAsia="Times New Roman" w:hAnsi="Times New Roman" w:cs="Times New Roman"/>
        </w:rPr>
        <w:t xml:space="preserve">, ciklinai, </w:t>
      </w:r>
      <w:proofErr w:type="spellStart"/>
      <w:r>
        <w:rPr>
          <w:rFonts w:ascii="Times New Roman" w:eastAsia="Times New Roman" w:hAnsi="Times New Roman" w:cs="Times New Roman"/>
        </w:rPr>
        <w:t>cefalosporinai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cefpodoksimas</w:t>
      </w:r>
      <w:proofErr w:type="spellEnd"/>
      <w:r>
        <w:rPr>
          <w:rFonts w:ascii="Times New Roman" w:eastAsia="Times New Roman" w:hAnsi="Times New Roman" w:cs="Times New Roman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</w:rPr>
        <w:t>cefdiniras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dolutegraviras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elvitegraviras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raltegraviro</w:t>
      </w:r>
      <w:proofErr w:type="spellEnd"/>
      <w:r>
        <w:rPr>
          <w:rFonts w:ascii="Times New Roman" w:eastAsia="Times New Roman" w:hAnsi="Times New Roman" w:cs="Times New Roman"/>
        </w:rPr>
        <w:t xml:space="preserve"> kalio druska, antivirusinis sudėtinis vaistas </w:t>
      </w:r>
      <w:proofErr w:type="spellStart"/>
      <w:r>
        <w:rPr>
          <w:rFonts w:ascii="Times New Roman" w:eastAsia="Times New Roman" w:hAnsi="Times New Roman" w:cs="Times New Roman"/>
        </w:rPr>
        <w:t>tenofoviro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alafenamido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fumaratas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emtricitabinas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biktegraviro</w:t>
      </w:r>
      <w:proofErr w:type="spellEnd"/>
      <w:r>
        <w:rPr>
          <w:rFonts w:ascii="Times New Roman" w:eastAsia="Times New Roman" w:hAnsi="Times New Roman" w:cs="Times New Roman"/>
        </w:rPr>
        <w:t xml:space="preserve"> natrio druska, </w:t>
      </w:r>
      <w:proofErr w:type="spellStart"/>
      <w:r>
        <w:rPr>
          <w:rFonts w:ascii="Times New Roman" w:eastAsia="Times New Roman" w:hAnsi="Times New Roman" w:cs="Times New Roman"/>
        </w:rPr>
        <w:t>rilpivirinas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t xml:space="preserve">vaistus, vartojamus psichikos ligoms (psichozėms) gydyti, tokius kaip </w:t>
      </w:r>
      <w:proofErr w:type="spellStart"/>
      <w:r>
        <w:rPr>
          <w:rFonts w:ascii="Times New Roman" w:eastAsia="Times New Roman" w:hAnsi="Times New Roman" w:cs="Times New Roman"/>
        </w:rPr>
        <w:t>fenotiazinai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neuroleptikai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t xml:space="preserve">vaistus, vartojamus padidėjusiam kalio kiekiui organizme gydyti, tokius kaip </w:t>
      </w:r>
      <w:proofErr w:type="spellStart"/>
      <w:r>
        <w:rPr>
          <w:rFonts w:ascii="Times New Roman" w:eastAsia="Times New Roman" w:hAnsi="Times New Roman" w:cs="Times New Roman"/>
        </w:rPr>
        <w:t>polistireno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sulfonatas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t xml:space="preserve">vaistus, vartojamus skausmui malšinti, tokius kaip </w:t>
      </w:r>
      <w:proofErr w:type="spellStart"/>
      <w:r>
        <w:rPr>
          <w:rFonts w:ascii="Times New Roman" w:eastAsia="Times New Roman" w:hAnsi="Times New Roman" w:cs="Times New Roman"/>
        </w:rPr>
        <w:t>diflunisalis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indometacinas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t xml:space="preserve">dantų priežiūrai vartojamus vaistus, tokius kaip natrio </w:t>
      </w:r>
      <w:proofErr w:type="spellStart"/>
      <w:r>
        <w:rPr>
          <w:rFonts w:ascii="Times New Roman" w:eastAsia="Times New Roman" w:hAnsi="Times New Roman" w:cs="Times New Roman"/>
        </w:rPr>
        <w:t>fluoruras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t xml:space="preserve">vaistus, vartojamus esant susilpnėjusiai skydliaukės veiklai, tokius kaip </w:t>
      </w:r>
      <w:proofErr w:type="spellStart"/>
      <w:r>
        <w:rPr>
          <w:rFonts w:ascii="Times New Roman" w:eastAsia="Times New Roman" w:hAnsi="Times New Roman" w:cs="Times New Roman"/>
        </w:rPr>
        <w:t>levotiroksinas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t xml:space="preserve">vaistus, vartojamus esant sąnarių skausmams ir organizme vykstant nenormalioms cheminėms reakcijoms, tokius kaip </w:t>
      </w:r>
      <w:proofErr w:type="spellStart"/>
      <w:r>
        <w:rPr>
          <w:rFonts w:ascii="Times New Roman" w:eastAsia="Times New Roman" w:hAnsi="Times New Roman" w:cs="Times New Roman"/>
        </w:rPr>
        <w:t>penicilaminas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t xml:space="preserve">vaistus, vartojamus cholesterolio kiekiui mažinti, tokius kaip </w:t>
      </w:r>
      <w:proofErr w:type="spellStart"/>
      <w:r>
        <w:rPr>
          <w:rFonts w:ascii="Times New Roman" w:eastAsia="Times New Roman" w:hAnsi="Times New Roman" w:cs="Times New Roman"/>
        </w:rPr>
        <w:t>rozuvastatinas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t xml:space="preserve">vaistus, vartojamus vėžiui gydyti, tokius kaip </w:t>
      </w:r>
      <w:proofErr w:type="spellStart"/>
      <w:r>
        <w:rPr>
          <w:rFonts w:ascii="Times New Roman" w:eastAsia="Times New Roman" w:hAnsi="Times New Roman" w:cs="Times New Roman"/>
        </w:rPr>
        <w:t>nilotinibas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dazatinibo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monohidratas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t xml:space="preserve">vaistus, vartojamus kraujo sutrikimams gydyti, tokius kaip </w:t>
      </w:r>
      <w:proofErr w:type="spellStart"/>
      <w:r>
        <w:rPr>
          <w:rFonts w:ascii="Times New Roman" w:eastAsia="Times New Roman" w:hAnsi="Times New Roman" w:cs="Times New Roman"/>
        </w:rPr>
        <w:t>eltrombopago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olaminas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751A1" w:rsidRDefault="00B751A1" w:rsidP="00B751A1">
      <w:pPr>
        <w:numPr>
          <w:ilvl w:val="1"/>
          <w:numId w:val="8"/>
        </w:numPr>
        <w:tabs>
          <w:tab w:val="left" w:pos="9072"/>
        </w:tabs>
        <w:spacing w:after="0" w:line="240" w:lineRule="auto"/>
        <w:ind w:right="-48"/>
      </w:pPr>
      <w:r>
        <w:rPr>
          <w:rFonts w:ascii="Times New Roman" w:eastAsia="Times New Roman" w:hAnsi="Times New Roman" w:cs="Times New Roman"/>
        </w:rPr>
        <w:lastRenderedPageBreak/>
        <w:t>vaistus, vartojamus dideliam kraujospūdžiui plaučiuose (</w:t>
      </w:r>
      <w:proofErr w:type="spellStart"/>
      <w:r>
        <w:rPr>
          <w:rFonts w:ascii="Times New Roman" w:eastAsia="Times New Roman" w:hAnsi="Times New Roman" w:cs="Times New Roman"/>
        </w:rPr>
        <w:t>plautinei</w:t>
      </w:r>
      <w:proofErr w:type="spellEnd"/>
      <w:r>
        <w:rPr>
          <w:rFonts w:ascii="Times New Roman" w:eastAsia="Times New Roman" w:hAnsi="Times New Roman" w:cs="Times New Roman"/>
        </w:rPr>
        <w:t xml:space="preserve"> hipertenzijai) gydyti, tokius kaip </w:t>
      </w:r>
      <w:proofErr w:type="spellStart"/>
      <w:r>
        <w:rPr>
          <w:rFonts w:ascii="Times New Roman" w:eastAsia="Times New Roman" w:hAnsi="Times New Roman" w:cs="Times New Roman"/>
        </w:rPr>
        <w:t>riociguatas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751A1" w:rsidRDefault="00B751A1" w:rsidP="00B751A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51A1" w:rsidRDefault="00B751A1" w:rsidP="00B751A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Atsargumo dėlei tarp bet kokio per burną vartojamo vaisto ir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</w:rPr>
        <w:t>antacidinio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vaisto vartojimo turi būti bent 2 valandų (vartojant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</w:rPr>
        <w:t>fluorochinolonų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– 4 valandų) intervalas.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Vaikams ir paaugliams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Maalox</w:t>
      </w:r>
      <w:proofErr w:type="spellEnd"/>
      <w:r>
        <w:rPr>
          <w:rFonts w:ascii="Times New Roman" w:eastAsia="Calibri" w:hAnsi="Times New Roman" w:cs="Times New Roman"/>
        </w:rPr>
        <w:t xml:space="preserve"> nerekomenduojama vartoti vaikams ir paaugliams iki 15 metų.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Maalox</w:t>
      </w:r>
      <w:proofErr w:type="spellEnd"/>
      <w:r>
        <w:rPr>
          <w:rFonts w:ascii="Times New Roman" w:eastAsia="Calibri" w:hAnsi="Times New Roman" w:cs="Times New Roman"/>
          <w:b/>
        </w:rPr>
        <w:t xml:space="preserve"> vartojimas su maistu ir gėrimais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Duomenys neaktualūs.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Nėštumas, žindymo laikotarpis ir vaisingumas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esate nėščia, žindote kūdikį, manote, kad galbūt esate nėščia arba planuojate pastoti, tai prieš vartodama šį vaistą pasitarkite su gydytoju arba vaistininku.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Nėščioms moterims </w:t>
      </w:r>
      <w:proofErr w:type="spellStart"/>
      <w:r>
        <w:rPr>
          <w:rFonts w:ascii="Times New Roman" w:eastAsia="Calibri" w:hAnsi="Times New Roman" w:cs="Times New Roman"/>
        </w:rPr>
        <w:t>Maalox</w:t>
      </w:r>
      <w:proofErr w:type="spellEnd"/>
      <w:r>
        <w:rPr>
          <w:rFonts w:ascii="Times New Roman" w:eastAsia="Calibri" w:hAnsi="Times New Roman" w:cs="Times New Roman"/>
        </w:rPr>
        <w:t xml:space="preserve"> geriamąją suspensiją galima vartoti tik pasitarus su gydytoju.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Vartojant </w:t>
      </w:r>
      <w:proofErr w:type="spellStart"/>
      <w:r>
        <w:rPr>
          <w:rFonts w:ascii="Times New Roman" w:eastAsia="Calibri" w:hAnsi="Times New Roman" w:cs="Times New Roman"/>
          <w:bCs/>
        </w:rPr>
        <w:t>Maalox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</w:rPr>
        <w:t>geriamąją suspensiją, žindyti galima.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Vairavimas ir mechanizmų valdymas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Duomenys neaktualūs.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Maalox</w:t>
      </w:r>
      <w:proofErr w:type="spellEnd"/>
      <w:r>
        <w:rPr>
          <w:rFonts w:ascii="Times New Roman" w:eastAsia="Calibri" w:hAnsi="Times New Roman" w:cs="Times New Roman"/>
          <w:b/>
        </w:rPr>
        <w:t xml:space="preserve"> sudėtyje yra sacharozės, </w:t>
      </w:r>
      <w:proofErr w:type="spellStart"/>
      <w:r>
        <w:rPr>
          <w:rFonts w:ascii="Times New Roman" w:eastAsia="Calibri" w:hAnsi="Times New Roman" w:cs="Times New Roman"/>
          <w:b/>
        </w:rPr>
        <w:t>sorbitolio</w:t>
      </w:r>
      <w:proofErr w:type="spellEnd"/>
      <w:r>
        <w:rPr>
          <w:rFonts w:ascii="Times New Roman" w:eastAsia="Calibri" w:hAnsi="Times New Roman" w:cs="Times New Roman"/>
          <w:b/>
        </w:rPr>
        <w:t xml:space="preserve"> ir natrio. 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gydytojas Jums yra sakęs, kad netoleruojate kokių nors angliavandenių, kreipkitės į jį prieš pradėdami vartoti šį vaistą.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Pr="00215245" w:rsidRDefault="00B751A1" w:rsidP="00B751A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15245">
        <w:rPr>
          <w:rFonts w:ascii="Times New Roman" w:eastAsia="Times New Roman" w:hAnsi="Times New Roman" w:cs="Times New Roman"/>
          <w:szCs w:val="20"/>
          <w:lang w:eastAsia="lt-LT"/>
        </w:rPr>
        <w:t>Kiekviename šio vais</w:t>
      </w:r>
      <w:r>
        <w:rPr>
          <w:rFonts w:ascii="Times New Roman" w:eastAsia="Times New Roman" w:hAnsi="Times New Roman" w:cs="Times New Roman"/>
          <w:szCs w:val="20"/>
          <w:lang w:eastAsia="lt-LT"/>
        </w:rPr>
        <w:t>t</w:t>
      </w:r>
      <w:r w:rsidRPr="00215245">
        <w:rPr>
          <w:rFonts w:ascii="Times New Roman" w:eastAsia="Times New Roman" w:hAnsi="Times New Roman" w:cs="Times New Roman"/>
          <w:szCs w:val="20"/>
          <w:lang w:eastAsia="lt-LT"/>
        </w:rPr>
        <w:t xml:space="preserve">o </w:t>
      </w:r>
      <w:r>
        <w:rPr>
          <w:rFonts w:ascii="Times New Roman" w:eastAsia="Times New Roman" w:hAnsi="Times New Roman" w:cs="Times New Roman"/>
          <w:szCs w:val="20"/>
          <w:lang w:eastAsia="lt-LT"/>
        </w:rPr>
        <w:t>paketėlyje</w:t>
      </w:r>
      <w:r w:rsidRPr="00215245">
        <w:rPr>
          <w:rFonts w:ascii="Times New Roman" w:eastAsia="Times New Roman" w:hAnsi="Times New Roman" w:cs="Times New Roman"/>
          <w:szCs w:val="20"/>
          <w:lang w:eastAsia="lt-LT"/>
        </w:rPr>
        <w:t xml:space="preserve"> yra </w:t>
      </w:r>
      <w:r>
        <w:rPr>
          <w:rFonts w:ascii="Times New Roman" w:eastAsia="Calibri" w:hAnsi="Times New Roman" w:cs="Times New Roman"/>
        </w:rPr>
        <w:t xml:space="preserve">140 mg </w:t>
      </w:r>
      <w:proofErr w:type="spellStart"/>
      <w:r w:rsidRPr="00215245">
        <w:rPr>
          <w:rFonts w:ascii="Times New Roman" w:eastAsia="Times New Roman" w:hAnsi="Times New Roman" w:cs="Times New Roman"/>
          <w:szCs w:val="20"/>
          <w:lang w:eastAsia="lt-LT"/>
        </w:rPr>
        <w:t>sorbitolio</w:t>
      </w:r>
      <w:proofErr w:type="spellEnd"/>
      <w:r w:rsidRPr="00215245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:rsidR="00B751A1" w:rsidRPr="00DA11AB" w:rsidRDefault="00B751A1" w:rsidP="00B751A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proofErr w:type="spellStart"/>
      <w:r w:rsidRPr="00215245">
        <w:rPr>
          <w:rFonts w:ascii="Times New Roman" w:eastAsia="Times New Roman" w:hAnsi="Times New Roman" w:cs="Times New Roman"/>
          <w:szCs w:val="20"/>
          <w:lang w:eastAsia="lt-LT"/>
        </w:rPr>
        <w:t>Sorbitolis</w:t>
      </w:r>
      <w:proofErr w:type="spellEnd"/>
      <w:r w:rsidRPr="00215245">
        <w:rPr>
          <w:rFonts w:ascii="Times New Roman" w:eastAsia="Times New Roman" w:hAnsi="Times New Roman" w:cs="Times New Roman"/>
          <w:szCs w:val="20"/>
          <w:lang w:eastAsia="lt-LT"/>
        </w:rPr>
        <w:t xml:space="preserve"> yra fruktozės šaltinis. Jeigu gydytojas yra sakęs, kad Jūs (ar Jūsų vaikas) netoleruojate kokių nors angliavandenių, ar Jums nustatytas retas genetinis sutrikimas įgimtas fruktozės </w:t>
      </w:r>
      <w:proofErr w:type="spellStart"/>
      <w:r w:rsidRPr="00215245">
        <w:rPr>
          <w:rFonts w:ascii="Times New Roman" w:eastAsia="Times New Roman" w:hAnsi="Times New Roman" w:cs="Times New Roman"/>
          <w:szCs w:val="20"/>
          <w:lang w:eastAsia="lt-LT"/>
        </w:rPr>
        <w:t>netoleravimas</w:t>
      </w:r>
      <w:proofErr w:type="spellEnd"/>
      <w:r w:rsidRPr="00215245">
        <w:rPr>
          <w:rFonts w:ascii="Times New Roman" w:eastAsia="Times New Roman" w:hAnsi="Times New Roman" w:cs="Times New Roman"/>
          <w:szCs w:val="20"/>
          <w:lang w:eastAsia="lt-LT"/>
        </w:rPr>
        <w:t xml:space="preserve"> (ĮFN), kurio atveju organizmas negali suskaidyti fruktozės, prieš vartodami šio vaisto (ar prieš duodami jo Jūsų vaikui), pasakykite gydytojui.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 w:rsidRPr="00903D46">
        <w:rPr>
          <w:rFonts w:ascii="Times New Roman" w:eastAsia="Calibri" w:hAnsi="Times New Roman" w:cs="Times New Roman"/>
        </w:rPr>
        <w:t>Šio vaisto 1</w:t>
      </w:r>
      <w:r>
        <w:rPr>
          <w:rFonts w:ascii="Times New Roman" w:eastAsia="Calibri" w:hAnsi="Times New Roman" w:cs="Times New Roman"/>
        </w:rPr>
        <w:t xml:space="preserve"> paketėlyje </w:t>
      </w:r>
      <w:r w:rsidRPr="00903D46">
        <w:rPr>
          <w:rFonts w:ascii="Times New Roman" w:eastAsia="Calibri" w:hAnsi="Times New Roman" w:cs="Times New Roman"/>
        </w:rPr>
        <w:t>yra mažiau kaip 1</w:t>
      </w:r>
      <w:r>
        <w:rPr>
          <w:rFonts w:ascii="Times New Roman" w:eastAsia="Calibri" w:hAnsi="Times New Roman" w:cs="Times New Roman"/>
        </w:rPr>
        <w:t> </w:t>
      </w:r>
      <w:proofErr w:type="spellStart"/>
      <w:r w:rsidRPr="00903D46">
        <w:rPr>
          <w:rFonts w:ascii="Times New Roman" w:eastAsia="Calibri" w:hAnsi="Times New Roman" w:cs="Times New Roman"/>
        </w:rPr>
        <w:t>mmol</w:t>
      </w:r>
      <w:proofErr w:type="spellEnd"/>
      <w:r w:rsidRPr="00903D46">
        <w:rPr>
          <w:rFonts w:ascii="Times New Roman" w:eastAsia="Calibri" w:hAnsi="Times New Roman" w:cs="Times New Roman"/>
        </w:rPr>
        <w:t xml:space="preserve"> (23</w:t>
      </w:r>
      <w:r>
        <w:rPr>
          <w:rFonts w:ascii="Times New Roman" w:eastAsia="Calibri" w:hAnsi="Times New Roman" w:cs="Times New Roman"/>
        </w:rPr>
        <w:t> </w:t>
      </w:r>
      <w:r w:rsidRPr="00903D46">
        <w:rPr>
          <w:rFonts w:ascii="Times New Roman" w:eastAsia="Calibri" w:hAnsi="Times New Roman" w:cs="Times New Roman"/>
        </w:rPr>
        <w:t>mg) natrio, t.</w:t>
      </w:r>
      <w:r>
        <w:rPr>
          <w:rFonts w:ascii="Times New Roman" w:eastAsia="Calibri" w:hAnsi="Times New Roman" w:cs="Times New Roman"/>
        </w:rPr>
        <w:t> </w:t>
      </w:r>
      <w:r w:rsidRPr="00903D46">
        <w:rPr>
          <w:rFonts w:ascii="Times New Roman" w:eastAsia="Calibri" w:hAnsi="Times New Roman" w:cs="Times New Roman"/>
        </w:rPr>
        <w:t>y. jis beveik neturi reikšmės.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6" w:name="_Toc129243141"/>
      <w:bookmarkStart w:id="7" w:name="_Toc129243266"/>
      <w:r>
        <w:rPr>
          <w:rFonts w:ascii="Times New Roman" w:eastAsia="Calibri" w:hAnsi="Times New Roman" w:cs="Times New Roman"/>
          <w:b/>
        </w:rPr>
        <w:t>3.</w:t>
      </w:r>
      <w:r>
        <w:rPr>
          <w:rFonts w:ascii="Times New Roman" w:eastAsia="Calibri" w:hAnsi="Times New Roman" w:cs="Times New Roman"/>
          <w:b/>
        </w:rPr>
        <w:tab/>
        <w:t xml:space="preserve">Kaip vartoti </w:t>
      </w:r>
      <w:bookmarkEnd w:id="6"/>
      <w:bookmarkEnd w:id="7"/>
      <w:proofErr w:type="spellStart"/>
      <w:r>
        <w:rPr>
          <w:rFonts w:ascii="Times New Roman" w:eastAsia="Calibri" w:hAnsi="Times New Roman" w:cs="Times New Roman"/>
          <w:b/>
        </w:rPr>
        <w:t>Maalox</w:t>
      </w:r>
      <w:proofErr w:type="spellEnd"/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Visada vartokite šį vaistą tiksliai kaip aprašyta šiame lapelyje arba kaip nurodė gydytojas arba vaistininkas. Jeigu abejojate, kreipkitės į gydytoją arba vaistininką.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Šis vaistas vartojamas per burną. Jis skirtas tik vyresniems kaip 15 metų žmonėms.</w:t>
      </w:r>
    </w:p>
    <w:p w:rsidR="00B751A1" w:rsidRDefault="00B751A1" w:rsidP="00B751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Gerti 1 arba 2 paketėlių turinį pajutus rėmenį arba skrandžio turinio kilimą į stemplę. </w:t>
      </w:r>
    </w:p>
    <w:p w:rsidR="00B751A1" w:rsidRDefault="00B751A1" w:rsidP="00B751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Negalima vartoti daugiau kaip 8 paketėlių per parą. </w:t>
      </w:r>
    </w:p>
    <w:p w:rsidR="00B751A1" w:rsidRDefault="00B751A1" w:rsidP="00B751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Prieš atplėšdami paketėlį, švelniai jį paspaudykite. Geriamąją suspensiją vartokite neskiestą.</w:t>
      </w:r>
    </w:p>
    <w:p w:rsidR="00B751A1" w:rsidRDefault="00B751A1" w:rsidP="00B751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u w:val="single"/>
        </w:rPr>
        <w:t>Šio vaisto negalima vartoti ilgiau kaip 10 dienų.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Ką daryti pavartojus per didelę </w:t>
      </w:r>
      <w:proofErr w:type="spellStart"/>
      <w:r>
        <w:rPr>
          <w:rFonts w:ascii="Times New Roman" w:eastAsia="Calibri" w:hAnsi="Times New Roman" w:cs="Times New Roman"/>
          <w:b/>
          <w:bCs/>
        </w:rPr>
        <w:t>Maalox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dozę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Dėl to nerimauti nereikėtų.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Pamiršus pavartoti </w:t>
      </w:r>
      <w:proofErr w:type="spellStart"/>
      <w:r>
        <w:rPr>
          <w:rFonts w:ascii="Times New Roman" w:eastAsia="Calibri" w:hAnsi="Times New Roman" w:cs="Times New Roman"/>
          <w:b/>
          <w:bCs/>
        </w:rPr>
        <w:t>Maalox</w:t>
      </w:r>
      <w:proofErr w:type="spellEnd"/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Dėl to nerimauti nereikėtų.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Nustojus vartoti </w:t>
      </w:r>
      <w:proofErr w:type="spellStart"/>
      <w:r>
        <w:rPr>
          <w:rFonts w:ascii="Times New Roman" w:eastAsia="Calibri" w:hAnsi="Times New Roman" w:cs="Times New Roman"/>
          <w:b/>
        </w:rPr>
        <w:t>Maalox</w:t>
      </w:r>
      <w:proofErr w:type="spellEnd"/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kiltų daugiau klausimų dėl šio vaisto vartojimo, kreipkitės į gydytoją arba vaistininką.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8" w:name="_Toc129243142"/>
      <w:bookmarkStart w:id="9" w:name="_Toc129243267"/>
      <w:r>
        <w:rPr>
          <w:rFonts w:ascii="Times New Roman" w:eastAsia="Calibri" w:hAnsi="Times New Roman" w:cs="Times New Roman"/>
          <w:b/>
        </w:rPr>
        <w:lastRenderedPageBreak/>
        <w:t>4.</w:t>
      </w:r>
      <w:r>
        <w:rPr>
          <w:rFonts w:ascii="Times New Roman" w:eastAsia="Calibri" w:hAnsi="Times New Roman" w:cs="Times New Roman"/>
          <w:b/>
        </w:rPr>
        <w:tab/>
        <w:t>Galimas šalutinis poveikis</w:t>
      </w:r>
      <w:bookmarkEnd w:id="8"/>
      <w:bookmarkEnd w:id="9"/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Šis vaistas, kaip ir visi kiti, gali sukelti šalutinį poveikį, nors jis pasireiškia ne visiems žmonėms.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Gauta pranešimų apie toliau išvardytą šalutinį poveikį.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B751A1" w:rsidRDefault="00B751A1" w:rsidP="00B751A1">
      <w:pPr>
        <w:spacing w:after="0" w:line="240" w:lineRule="auto"/>
        <w:rPr>
          <w:b/>
          <w:bCs/>
          <w:noProof/>
          <w:snapToGrid w:val="0"/>
        </w:rPr>
      </w:pPr>
      <w:r w:rsidRPr="00810F90">
        <w:rPr>
          <w:rFonts w:ascii="Times New Roman" w:hAnsi="Times New Roman" w:cs="Times New Roman"/>
          <w:b/>
          <w:bCs/>
          <w:noProof/>
          <w:snapToGrid w:val="0"/>
        </w:rPr>
        <w:t>Nedažni šalutinio poveikio reiškiniai (gali pasireikšti rečiau kaip 1 iš 100 asmenų):</w:t>
      </w:r>
      <w:r w:rsidRPr="005D554B">
        <w:rPr>
          <w:b/>
          <w:bCs/>
          <w:noProof/>
          <w:snapToGrid w:val="0"/>
        </w:rPr>
        <w:t xml:space="preserve"> </w:t>
      </w:r>
    </w:p>
    <w:p w:rsidR="00B751A1" w:rsidRDefault="00B751A1" w:rsidP="00B751A1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viduriavimas arba vidurių užkietėjimas.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B751A1" w:rsidRDefault="00B751A1" w:rsidP="00B751A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napToGrid w:val="0"/>
        </w:rPr>
      </w:pPr>
      <w:r w:rsidRPr="00E206E0">
        <w:rPr>
          <w:rFonts w:ascii="Times New Roman" w:eastAsia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 xml:space="preserve">): 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B751A1" w:rsidRDefault="00B751A1" w:rsidP="00B751A1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bCs/>
        </w:rPr>
      </w:pPr>
      <w:proofErr w:type="spellStart"/>
      <w:r>
        <w:rPr>
          <w:rFonts w:ascii="Times New Roman" w:eastAsia="Calibri" w:hAnsi="Times New Roman" w:cs="Times New Roman"/>
          <w:bCs/>
        </w:rPr>
        <w:t>hipermagnezemija</w:t>
      </w:r>
      <w:proofErr w:type="spellEnd"/>
      <w:r>
        <w:rPr>
          <w:rFonts w:ascii="Times New Roman" w:eastAsia="Calibri" w:hAnsi="Times New Roman" w:cs="Times New Roman"/>
          <w:bCs/>
        </w:rPr>
        <w:t xml:space="preserve"> (magnio perteklius kraujyje). Nustatyta po ilgalaikio vartojimo pacientams, kurių inkstų funkcija sutrikusi.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B751A1" w:rsidRDefault="00B751A1" w:rsidP="00B751A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napToGrid w:val="0"/>
        </w:rPr>
      </w:pP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D</w:t>
      </w:r>
      <w:r w:rsidRPr="006F543C">
        <w:rPr>
          <w:rFonts w:ascii="Times New Roman" w:eastAsia="Times New Roman" w:hAnsi="Times New Roman" w:cs="Times New Roman"/>
          <w:b/>
          <w:bCs/>
          <w:noProof/>
          <w:snapToGrid w:val="0"/>
        </w:rPr>
        <w:t xml:space="preserve">ažnis nežinomas (negali būti apskaičiuotas pagal turimus duomenis): </w:t>
      </w:r>
    </w:p>
    <w:p w:rsidR="00B751A1" w:rsidRDefault="00B751A1" w:rsidP="00B751A1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padidėjusio jautrumo reakcijos, pavyzdžiui: niežėjimas, dilgėlinė, </w:t>
      </w:r>
      <w:proofErr w:type="spellStart"/>
      <w:r>
        <w:rPr>
          <w:rFonts w:ascii="Times New Roman" w:eastAsia="Calibri" w:hAnsi="Times New Roman" w:cs="Times New Roman"/>
          <w:bCs/>
        </w:rPr>
        <w:t>angioneurozinė</w:t>
      </w:r>
      <w:proofErr w:type="spellEnd"/>
      <w:r>
        <w:rPr>
          <w:rFonts w:ascii="Times New Roman" w:eastAsia="Calibri" w:hAnsi="Times New Roman" w:cs="Times New Roman"/>
          <w:bCs/>
        </w:rPr>
        <w:t xml:space="preserve"> edema (staigus tinimas) ir anafilaksinės reakcijos;</w:t>
      </w:r>
    </w:p>
    <w:p w:rsidR="00B751A1" w:rsidRDefault="00B751A1" w:rsidP="00B751A1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>
        <w:rPr>
          <w:rFonts w:ascii="Times New Roman" w:eastAsia="Calibri" w:hAnsi="Times New Roman" w:cs="Times New Roman"/>
          <w:bCs/>
        </w:rPr>
        <w:t>hiperaliuminemija</w:t>
      </w:r>
      <w:proofErr w:type="spellEnd"/>
      <w:r>
        <w:rPr>
          <w:rFonts w:ascii="Times New Roman" w:eastAsia="Calibri" w:hAnsi="Times New Roman" w:cs="Times New Roman"/>
          <w:bCs/>
        </w:rPr>
        <w:t xml:space="preserve"> (aliuminio perteklius kraujyje);</w:t>
      </w:r>
    </w:p>
    <w:p w:rsidR="00B751A1" w:rsidRDefault="00B751A1" w:rsidP="00B751A1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>
        <w:rPr>
          <w:rFonts w:ascii="Times New Roman" w:eastAsia="Calibri" w:hAnsi="Times New Roman" w:cs="Times New Roman"/>
          <w:bCs/>
        </w:rPr>
        <w:t>hipofosfatemija</w:t>
      </w:r>
      <w:proofErr w:type="spellEnd"/>
      <w:r>
        <w:rPr>
          <w:rFonts w:ascii="Times New Roman" w:eastAsia="Calibri" w:hAnsi="Times New Roman" w:cs="Times New Roman"/>
          <w:bCs/>
        </w:rPr>
        <w:t xml:space="preserve"> (fosforo koncentracijos kraujyje sumažėjimas). Dėl to padidėja kaulų </w:t>
      </w:r>
      <w:proofErr w:type="spellStart"/>
      <w:r>
        <w:rPr>
          <w:rFonts w:ascii="Times New Roman" w:eastAsia="Calibri" w:hAnsi="Times New Roman" w:cs="Times New Roman"/>
          <w:bCs/>
        </w:rPr>
        <w:t>rezorbcija</w:t>
      </w:r>
      <w:proofErr w:type="spellEnd"/>
      <w:r>
        <w:rPr>
          <w:rFonts w:ascii="Times New Roman" w:eastAsia="Calibri" w:hAnsi="Times New Roman" w:cs="Times New Roman"/>
          <w:bCs/>
        </w:rPr>
        <w:t xml:space="preserve">, pasireiškia </w:t>
      </w:r>
      <w:proofErr w:type="spellStart"/>
      <w:r>
        <w:rPr>
          <w:rFonts w:ascii="Times New Roman" w:eastAsia="Calibri" w:hAnsi="Times New Roman" w:cs="Times New Roman"/>
          <w:bCs/>
        </w:rPr>
        <w:t>hiperkalciurija</w:t>
      </w:r>
      <w:proofErr w:type="spellEnd"/>
      <w:r>
        <w:rPr>
          <w:rFonts w:ascii="Times New Roman" w:eastAsia="Calibri" w:hAnsi="Times New Roman" w:cs="Times New Roman"/>
          <w:bCs/>
        </w:rPr>
        <w:t xml:space="preserve"> (didelis kalcio kiekis šlapime) ir </w:t>
      </w:r>
      <w:proofErr w:type="spellStart"/>
      <w:r>
        <w:rPr>
          <w:rFonts w:ascii="Times New Roman" w:eastAsia="Calibri" w:hAnsi="Times New Roman" w:cs="Times New Roman"/>
          <w:bCs/>
        </w:rPr>
        <w:t>osteomaliacija</w:t>
      </w:r>
      <w:proofErr w:type="spellEnd"/>
      <w:r>
        <w:rPr>
          <w:rFonts w:ascii="Times New Roman" w:eastAsia="Calibri" w:hAnsi="Times New Roman" w:cs="Times New Roman"/>
          <w:bCs/>
        </w:rPr>
        <w:t xml:space="preserve"> (kaulų suminkštėjimas);</w:t>
      </w:r>
    </w:p>
    <w:p w:rsidR="00B751A1" w:rsidRDefault="00B751A1" w:rsidP="00B751A1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pilvo skausmas.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Pranešimas apie šalutinį poveikį</w:t>
      </w:r>
    </w:p>
    <w:p w:rsidR="00B751A1" w:rsidRDefault="00B751A1" w:rsidP="00B751A1">
      <w:pPr>
        <w:spacing w:after="0" w:line="240" w:lineRule="auto"/>
      </w:pPr>
      <w:r>
        <w:rPr>
          <w:rFonts w:ascii="Times New Roman" w:eastAsia="Times New Roman" w:hAnsi="Times New Roman" w:cs="Times New Roman"/>
          <w:szCs w:val="24"/>
        </w:rPr>
        <w:t>Jeigu pasireiškė šalutinis poveikis, įskaitant šiame lapelyje nenurodytą, pasakykite gydytojui arba vaistininkui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7722B1">
        <w:rPr>
          <w:rFonts w:ascii="Times New Roman" w:eastAsia="Times New Roman" w:hAnsi="Times New Roman" w:cs="Times New Roman"/>
          <w:szCs w:val="24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7722B1">
        <w:rPr>
          <w:rFonts w:ascii="Times New Roman" w:eastAsia="Times New Roman" w:hAnsi="Times New Roman" w:cs="Times New Roman"/>
          <w:szCs w:val="24"/>
        </w:rPr>
        <w:t>NepageidaujamaR@vvkt.lt</w:t>
      </w:r>
      <w:proofErr w:type="spellEnd"/>
      <w:r w:rsidRPr="007722B1">
        <w:rPr>
          <w:rFonts w:ascii="Times New Roman" w:eastAsia="Times New Roman" w:hAnsi="Times New Roman" w:cs="Times New Roman"/>
          <w:szCs w:val="24"/>
        </w:rPr>
        <w:t xml:space="preserve">) arba nemokamu telefonu 8 800 73 568. </w:t>
      </w:r>
      <w:hyperlink r:id="rId5"/>
      <w:r>
        <w:rPr>
          <w:rFonts w:ascii="Times New Roman" w:eastAsia="Times New Roman" w:hAnsi="Times New Roman" w:cs="Times New Roman"/>
          <w:szCs w:val="24"/>
        </w:rPr>
        <w:t>Pranešdami apie šalutinį poveikį galite mums padėti gauti daugiau informacijos apie šio vaisto saugumą.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10" w:name="_Toc129243143"/>
      <w:bookmarkStart w:id="11" w:name="_Toc129243268"/>
      <w:r>
        <w:rPr>
          <w:rFonts w:ascii="Times New Roman" w:eastAsia="Calibri" w:hAnsi="Times New Roman" w:cs="Times New Roman"/>
          <w:b/>
        </w:rPr>
        <w:t>5.</w:t>
      </w:r>
      <w:r>
        <w:rPr>
          <w:rFonts w:ascii="Times New Roman" w:eastAsia="Calibri" w:hAnsi="Times New Roman" w:cs="Times New Roman"/>
          <w:b/>
        </w:rPr>
        <w:tab/>
        <w:t xml:space="preserve">Kaip laikyti </w:t>
      </w:r>
      <w:bookmarkEnd w:id="10"/>
      <w:bookmarkEnd w:id="11"/>
      <w:proofErr w:type="spellStart"/>
      <w:r>
        <w:rPr>
          <w:rFonts w:ascii="Times New Roman" w:eastAsia="Calibri" w:hAnsi="Times New Roman" w:cs="Times New Roman"/>
          <w:b/>
        </w:rPr>
        <w:t>Maalox</w:t>
      </w:r>
      <w:proofErr w:type="spellEnd"/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Šį vaistą laikykite vaikams nepastebimoje ir nepasiekiamoje vietoje.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Šiam vaistui specialių laikymo sąlygų nereikia.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Ant dėžutės po „Tinka iki“ ir paketėlio po „EXP“ nurodytam tinkamumo laikui pasibaigus, šio vaisto vartoti negalima. Vaistas tinkamas vartoti iki paskutinės nurodyto mėnesio dienos.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12" w:name="_Toc129243144"/>
      <w:bookmarkStart w:id="13" w:name="_Toc129243269"/>
      <w:r>
        <w:rPr>
          <w:rFonts w:ascii="Times New Roman" w:eastAsia="Calibri" w:hAnsi="Times New Roman" w:cs="Times New Roman"/>
          <w:b/>
        </w:rPr>
        <w:t>6.</w:t>
      </w:r>
      <w:r>
        <w:rPr>
          <w:rFonts w:ascii="Times New Roman" w:eastAsia="Calibri" w:hAnsi="Times New Roman" w:cs="Times New Roman"/>
          <w:b/>
        </w:rPr>
        <w:tab/>
        <w:t>Pakuotės turinys ir kita informacija</w:t>
      </w:r>
      <w:bookmarkEnd w:id="12"/>
      <w:bookmarkEnd w:id="13"/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Maalox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sudėtis</w:t>
      </w:r>
    </w:p>
    <w:p w:rsidR="00B751A1" w:rsidRDefault="00B751A1" w:rsidP="00B751A1">
      <w:pPr>
        <w:tabs>
          <w:tab w:val="left" w:pos="540"/>
          <w:tab w:val="left" w:pos="720"/>
        </w:tabs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ab/>
        <w:t xml:space="preserve">Veikliosios medžiagos yra aliuminio </w:t>
      </w:r>
      <w:proofErr w:type="spellStart"/>
      <w:r>
        <w:rPr>
          <w:rFonts w:ascii="Times New Roman" w:eastAsia="Calibri" w:hAnsi="Times New Roman" w:cs="Times New Roman"/>
        </w:rPr>
        <w:t>hidroksidas</w:t>
      </w:r>
      <w:proofErr w:type="spellEnd"/>
      <w:r>
        <w:rPr>
          <w:rFonts w:ascii="Times New Roman" w:eastAsia="Calibri" w:hAnsi="Times New Roman" w:cs="Times New Roman"/>
        </w:rPr>
        <w:t xml:space="preserve"> ir magnio </w:t>
      </w:r>
      <w:proofErr w:type="spellStart"/>
      <w:r>
        <w:rPr>
          <w:rFonts w:ascii="Times New Roman" w:eastAsia="Calibri" w:hAnsi="Times New Roman" w:cs="Times New Roman"/>
        </w:rPr>
        <w:t>hidroksidas</w:t>
      </w:r>
      <w:proofErr w:type="spellEnd"/>
      <w:r>
        <w:rPr>
          <w:rFonts w:ascii="Times New Roman" w:eastAsia="Calibri" w:hAnsi="Times New Roman" w:cs="Times New Roman"/>
        </w:rPr>
        <w:t xml:space="preserve">. 4,3 ml geriamosios suspensijos paketėlyje yra 460 mg aliuminio </w:t>
      </w:r>
      <w:proofErr w:type="spellStart"/>
      <w:r>
        <w:rPr>
          <w:rFonts w:ascii="Times New Roman" w:eastAsia="Calibri" w:hAnsi="Times New Roman" w:cs="Times New Roman"/>
        </w:rPr>
        <w:t>hidroksido</w:t>
      </w:r>
      <w:proofErr w:type="spellEnd"/>
      <w:r>
        <w:rPr>
          <w:rFonts w:ascii="Times New Roman" w:eastAsia="Calibri" w:hAnsi="Times New Roman" w:cs="Times New Roman"/>
        </w:rPr>
        <w:t xml:space="preserve"> (hidratuoto aliuminio oksido pavidalu) ir 400 mg magnio </w:t>
      </w:r>
      <w:proofErr w:type="spellStart"/>
      <w:r>
        <w:rPr>
          <w:rFonts w:ascii="Times New Roman" w:eastAsia="Calibri" w:hAnsi="Times New Roman" w:cs="Times New Roman"/>
        </w:rPr>
        <w:t>hidroksido</w:t>
      </w:r>
      <w:proofErr w:type="spellEnd"/>
      <w:r>
        <w:rPr>
          <w:rFonts w:ascii="Times New Roman" w:eastAsia="Calibri" w:hAnsi="Times New Roman" w:cs="Times New Roman"/>
        </w:rPr>
        <w:t>.</w:t>
      </w:r>
    </w:p>
    <w:p w:rsidR="00B751A1" w:rsidRDefault="00B751A1" w:rsidP="00B751A1">
      <w:pPr>
        <w:spacing w:after="0" w:line="240" w:lineRule="auto"/>
        <w:ind w:left="540" w:hanging="540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-</w:t>
      </w:r>
      <w:r>
        <w:rPr>
          <w:rFonts w:ascii="Times New Roman" w:eastAsia="MS Mincho" w:hAnsi="Times New Roman" w:cs="Times New Roman"/>
          <w:lang w:eastAsia="ja-JP"/>
        </w:rPr>
        <w:tab/>
        <w:t xml:space="preserve">Pagalbinės medžiagos yra sacharozės 64 % tirpalas, skystasis </w:t>
      </w:r>
      <w:proofErr w:type="spellStart"/>
      <w:r>
        <w:rPr>
          <w:rFonts w:ascii="Times New Roman" w:eastAsia="MS Mincho" w:hAnsi="Times New Roman" w:cs="Times New Roman"/>
          <w:lang w:eastAsia="ja-JP"/>
        </w:rPr>
        <w:t>sorbitolis</w:t>
      </w:r>
      <w:proofErr w:type="spellEnd"/>
      <w:r>
        <w:rPr>
          <w:rFonts w:ascii="Times New Roman" w:eastAsia="MS Mincho" w:hAnsi="Times New Roman" w:cs="Times New Roman"/>
          <w:lang w:eastAsia="ja-JP"/>
        </w:rPr>
        <w:t xml:space="preserve"> (nesikristalizuojantis) (E420), </w:t>
      </w:r>
      <w:proofErr w:type="spellStart"/>
      <w:r>
        <w:rPr>
          <w:rFonts w:ascii="Times New Roman" w:eastAsia="MS Mincho" w:hAnsi="Times New Roman" w:cs="Times New Roman"/>
          <w:lang w:eastAsia="ja-JP"/>
        </w:rPr>
        <w:t>ksantano</w:t>
      </w:r>
      <w:proofErr w:type="spellEnd"/>
      <w:r>
        <w:rPr>
          <w:rFonts w:ascii="Times New Roman" w:eastAsia="MS Mincho" w:hAnsi="Times New Roman" w:cs="Times New Roman"/>
          <w:lang w:eastAsia="ja-JP"/>
        </w:rPr>
        <w:t xml:space="preserve"> lipai, </w:t>
      </w:r>
      <w:proofErr w:type="spellStart"/>
      <w:r>
        <w:rPr>
          <w:rFonts w:ascii="Times New Roman" w:eastAsia="MS Mincho" w:hAnsi="Times New Roman" w:cs="Times New Roman"/>
          <w:lang w:eastAsia="ja-JP"/>
        </w:rPr>
        <w:t>guaras</w:t>
      </w:r>
      <w:proofErr w:type="spellEnd"/>
      <w:r>
        <w:rPr>
          <w:rFonts w:ascii="Times New Roman" w:eastAsia="MS Mincho" w:hAnsi="Times New Roman" w:cs="Times New Roman"/>
          <w:lang w:eastAsia="ja-JP"/>
        </w:rPr>
        <w:t>, natūrali citrinų ir žaliųjų citrinų skonio medžiaga, natrio chloridas, vandenilio peroksido 30 % tirpalas.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lastRenderedPageBreak/>
        <w:t>Maalox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išvaizda ir kiekis pakuotėje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Maalox</w:t>
      </w:r>
      <w:proofErr w:type="spellEnd"/>
      <w:r>
        <w:rPr>
          <w:rFonts w:ascii="Times New Roman" w:eastAsia="Calibri" w:hAnsi="Times New Roman" w:cs="Times New Roman"/>
        </w:rPr>
        <w:t xml:space="preserve"> suspensija yra homogeninė, nuo baltos iki švelniai geltonos spalvos.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iCs/>
          <w:color w:val="000000"/>
        </w:rPr>
      </w:pPr>
      <w:r>
        <w:rPr>
          <w:rFonts w:ascii="Times New Roman" w:eastAsia="Calibri" w:hAnsi="Times New Roman" w:cs="Times New Roman"/>
        </w:rPr>
        <w:t xml:space="preserve">4,3 ml geriamosios suspensijos </w:t>
      </w:r>
      <w:proofErr w:type="spellStart"/>
      <w:r>
        <w:rPr>
          <w:rFonts w:ascii="Times New Roman" w:eastAsia="Calibri" w:hAnsi="Times New Roman" w:cs="Times New Roman"/>
        </w:rPr>
        <w:t>vienadoziame</w:t>
      </w:r>
      <w:proofErr w:type="spellEnd"/>
      <w:r>
        <w:rPr>
          <w:rFonts w:ascii="Times New Roman" w:eastAsia="Calibri" w:hAnsi="Times New Roman" w:cs="Times New Roman"/>
        </w:rPr>
        <w:t xml:space="preserve"> paketėlyje iš polipropileno, aliuminio ir polietileno arba </w:t>
      </w:r>
      <w:proofErr w:type="spellStart"/>
      <w:r>
        <w:rPr>
          <w:rFonts w:ascii="Times New Roman" w:eastAsia="Calibri" w:hAnsi="Times New Roman" w:cs="Times New Roman"/>
        </w:rPr>
        <w:t>vienadoziame</w:t>
      </w:r>
      <w:proofErr w:type="spellEnd"/>
      <w:r>
        <w:rPr>
          <w:rFonts w:ascii="Times New Roman" w:eastAsia="Calibri" w:hAnsi="Times New Roman" w:cs="Times New Roman"/>
        </w:rPr>
        <w:t xml:space="preserve"> paketėlyje iš polietileno </w:t>
      </w:r>
      <w:proofErr w:type="spellStart"/>
      <w:r>
        <w:rPr>
          <w:rFonts w:ascii="Times New Roman" w:eastAsia="Calibri" w:hAnsi="Times New Roman" w:cs="Times New Roman"/>
        </w:rPr>
        <w:t>tereftalato</w:t>
      </w:r>
      <w:proofErr w:type="spellEnd"/>
      <w:r>
        <w:rPr>
          <w:rFonts w:ascii="Times New Roman" w:eastAsia="Calibri" w:hAnsi="Times New Roman" w:cs="Times New Roman"/>
        </w:rPr>
        <w:t xml:space="preserve"> poliesterio, aliuminio ir polietileno.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iCs/>
          <w:color w:val="000000"/>
        </w:rPr>
      </w:pPr>
      <w:r>
        <w:rPr>
          <w:rFonts w:ascii="Times New Roman" w:eastAsia="Calibri" w:hAnsi="Times New Roman" w:cs="Times New Roman"/>
          <w:iCs/>
          <w:color w:val="000000"/>
        </w:rPr>
        <w:t xml:space="preserve">Dėžutėje yra 20 </w:t>
      </w:r>
      <w:proofErr w:type="spellStart"/>
      <w:r>
        <w:rPr>
          <w:rFonts w:ascii="Times New Roman" w:eastAsia="Calibri" w:hAnsi="Times New Roman" w:cs="Times New Roman"/>
          <w:iCs/>
          <w:color w:val="000000"/>
        </w:rPr>
        <w:t>vienadozių</w:t>
      </w:r>
      <w:proofErr w:type="spellEnd"/>
      <w:r>
        <w:rPr>
          <w:rFonts w:ascii="Times New Roman" w:eastAsia="Calibri" w:hAnsi="Times New Roman" w:cs="Times New Roman"/>
          <w:iCs/>
          <w:color w:val="000000"/>
        </w:rPr>
        <w:t xml:space="preserve"> paketėlių.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bCs/>
        </w:rPr>
        <w:t>Registruotojas ir gamintojas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Registruotojas</w:t>
      </w:r>
    </w:p>
    <w:p w:rsidR="00B751A1" w:rsidRPr="00AE5541" w:rsidRDefault="00B751A1" w:rsidP="00B751A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5541">
        <w:rPr>
          <w:rFonts w:ascii="Times New Roman" w:hAnsi="Times New Roman" w:cs="Times New Roman"/>
        </w:rPr>
        <w:t>Opella</w:t>
      </w:r>
      <w:proofErr w:type="spellEnd"/>
      <w:r w:rsidRPr="00AE5541">
        <w:rPr>
          <w:rFonts w:ascii="Times New Roman" w:hAnsi="Times New Roman" w:cs="Times New Roman"/>
        </w:rPr>
        <w:t xml:space="preserve"> </w:t>
      </w:r>
      <w:proofErr w:type="spellStart"/>
      <w:r w:rsidRPr="00AE5541">
        <w:rPr>
          <w:rFonts w:ascii="Times New Roman" w:hAnsi="Times New Roman" w:cs="Times New Roman"/>
        </w:rPr>
        <w:t>Healthcare</w:t>
      </w:r>
      <w:proofErr w:type="spellEnd"/>
      <w:r w:rsidRPr="00AE5541">
        <w:rPr>
          <w:rFonts w:ascii="Times New Roman" w:hAnsi="Times New Roman" w:cs="Times New Roman"/>
        </w:rPr>
        <w:t xml:space="preserve"> France SAS</w:t>
      </w:r>
    </w:p>
    <w:p w:rsidR="00B751A1" w:rsidRPr="00E626A0" w:rsidRDefault="00B751A1" w:rsidP="00B751A1">
      <w:pPr>
        <w:spacing w:after="0" w:line="240" w:lineRule="auto"/>
        <w:rPr>
          <w:rFonts w:ascii="Times New Roman" w:hAnsi="Times New Roman" w:cs="Times New Roman"/>
        </w:rPr>
      </w:pPr>
      <w:r w:rsidRPr="00E626A0">
        <w:rPr>
          <w:rFonts w:ascii="Times New Roman" w:hAnsi="Times New Roman" w:cs="Times New Roman"/>
        </w:rPr>
        <w:t xml:space="preserve">157 </w:t>
      </w:r>
      <w:proofErr w:type="spellStart"/>
      <w:r w:rsidRPr="00E626A0">
        <w:rPr>
          <w:rFonts w:ascii="Times New Roman" w:hAnsi="Times New Roman" w:cs="Times New Roman"/>
        </w:rPr>
        <w:t>Avenue</w:t>
      </w:r>
      <w:proofErr w:type="spellEnd"/>
      <w:r w:rsidRPr="00E626A0">
        <w:rPr>
          <w:rFonts w:ascii="Times New Roman" w:hAnsi="Times New Roman" w:cs="Times New Roman"/>
        </w:rPr>
        <w:t xml:space="preserve"> </w:t>
      </w:r>
      <w:proofErr w:type="spellStart"/>
      <w:r w:rsidRPr="00E626A0">
        <w:rPr>
          <w:rFonts w:ascii="Times New Roman" w:hAnsi="Times New Roman" w:cs="Times New Roman"/>
        </w:rPr>
        <w:t>Charles</w:t>
      </w:r>
      <w:proofErr w:type="spellEnd"/>
      <w:r w:rsidRPr="00E626A0">
        <w:rPr>
          <w:rFonts w:ascii="Times New Roman" w:hAnsi="Times New Roman" w:cs="Times New Roman"/>
        </w:rPr>
        <w:t xml:space="preserve"> De </w:t>
      </w:r>
      <w:proofErr w:type="spellStart"/>
      <w:r w:rsidRPr="00E626A0">
        <w:rPr>
          <w:rFonts w:ascii="Times New Roman" w:hAnsi="Times New Roman" w:cs="Times New Roman"/>
        </w:rPr>
        <w:t>Gaulle</w:t>
      </w:r>
      <w:proofErr w:type="spellEnd"/>
      <w:r w:rsidRPr="00E626A0">
        <w:rPr>
          <w:rFonts w:ascii="Times New Roman" w:hAnsi="Times New Roman" w:cs="Times New Roman"/>
        </w:rPr>
        <w:t xml:space="preserve"> </w:t>
      </w:r>
    </w:p>
    <w:p w:rsidR="00B751A1" w:rsidRDefault="00B751A1" w:rsidP="00B751A1">
      <w:pPr>
        <w:spacing w:after="0" w:line="240" w:lineRule="auto"/>
        <w:rPr>
          <w:rFonts w:ascii="Times New Roman" w:hAnsi="Times New Roman" w:cs="Times New Roman"/>
        </w:rPr>
      </w:pPr>
      <w:r w:rsidRPr="00E626A0">
        <w:rPr>
          <w:rFonts w:ascii="Times New Roman" w:hAnsi="Times New Roman" w:cs="Times New Roman"/>
        </w:rPr>
        <w:t xml:space="preserve">92200 </w:t>
      </w:r>
      <w:proofErr w:type="spellStart"/>
      <w:r w:rsidRPr="00E626A0">
        <w:rPr>
          <w:rFonts w:ascii="Times New Roman" w:hAnsi="Times New Roman" w:cs="Times New Roman"/>
        </w:rPr>
        <w:t>Neuilly-sur-Seine</w:t>
      </w:r>
      <w:proofErr w:type="spellEnd"/>
      <w:r w:rsidRPr="00E626A0">
        <w:rPr>
          <w:rFonts w:ascii="Times New Roman" w:hAnsi="Times New Roman" w:cs="Times New Roman"/>
        </w:rPr>
        <w:t xml:space="preserve"> </w:t>
      </w:r>
    </w:p>
    <w:p w:rsidR="00B751A1" w:rsidRPr="00AE5541" w:rsidRDefault="00B751A1" w:rsidP="00B751A1">
      <w:pPr>
        <w:spacing w:after="0" w:line="240" w:lineRule="auto"/>
        <w:rPr>
          <w:rFonts w:ascii="Times New Roman" w:hAnsi="Times New Roman" w:cs="Times New Roman"/>
        </w:rPr>
      </w:pPr>
      <w:r w:rsidRPr="00AE5541">
        <w:rPr>
          <w:rFonts w:ascii="Times New Roman" w:hAnsi="Times New Roman" w:cs="Times New Roman"/>
        </w:rPr>
        <w:t>Prancūzija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Gamintojas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 xml:space="preserve">A. </w:t>
      </w:r>
      <w:proofErr w:type="spellStart"/>
      <w:r>
        <w:rPr>
          <w:rFonts w:ascii="Times New Roman" w:eastAsia="Calibri" w:hAnsi="Times New Roman" w:cs="Times New Roman"/>
          <w:bCs/>
          <w:iCs/>
        </w:rPr>
        <w:t>Nattermann</w:t>
      </w:r>
      <w:proofErr w:type="spellEnd"/>
      <w:r>
        <w:rPr>
          <w:rFonts w:ascii="Times New Roman" w:eastAsia="Calibri" w:hAnsi="Times New Roman" w:cs="Times New Roman"/>
          <w:bCs/>
          <w:iCs/>
        </w:rPr>
        <w:t xml:space="preserve"> &amp; </w:t>
      </w:r>
      <w:proofErr w:type="spellStart"/>
      <w:r>
        <w:rPr>
          <w:rFonts w:ascii="Times New Roman" w:eastAsia="Calibri" w:hAnsi="Times New Roman" w:cs="Times New Roman"/>
          <w:bCs/>
          <w:iCs/>
        </w:rPr>
        <w:t>Cie</w:t>
      </w:r>
      <w:proofErr w:type="spellEnd"/>
      <w:r>
        <w:rPr>
          <w:rFonts w:ascii="Times New Roman" w:eastAsia="Calibri" w:hAnsi="Times New Roman" w:cs="Times New Roman"/>
          <w:bCs/>
          <w:iCs/>
        </w:rPr>
        <w:t xml:space="preserve">. </w:t>
      </w:r>
      <w:proofErr w:type="spellStart"/>
      <w:r>
        <w:rPr>
          <w:rFonts w:ascii="Times New Roman" w:eastAsia="Calibri" w:hAnsi="Times New Roman" w:cs="Times New Roman"/>
          <w:bCs/>
          <w:iCs/>
        </w:rPr>
        <w:t>GmbH</w:t>
      </w:r>
      <w:proofErr w:type="spellEnd"/>
      <w:r>
        <w:rPr>
          <w:rFonts w:ascii="Times New Roman" w:eastAsia="Calibri" w:hAnsi="Times New Roman" w:cs="Times New Roman"/>
          <w:bCs/>
          <w:iCs/>
        </w:rPr>
        <w:t xml:space="preserve"> </w:t>
      </w:r>
    </w:p>
    <w:p w:rsidR="00B751A1" w:rsidRDefault="00B751A1" w:rsidP="00B751A1">
      <w:pPr>
        <w:tabs>
          <w:tab w:val="left" w:pos="123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Nattermannallee</w:t>
      </w:r>
      <w:proofErr w:type="spellEnd"/>
      <w:r>
        <w:rPr>
          <w:rFonts w:ascii="Times New Roman" w:eastAsia="Calibri" w:hAnsi="Times New Roman" w:cs="Times New Roman"/>
        </w:rPr>
        <w:t xml:space="preserve"> 1 </w:t>
      </w:r>
    </w:p>
    <w:p w:rsidR="00B751A1" w:rsidRDefault="00B751A1" w:rsidP="00B751A1">
      <w:pPr>
        <w:tabs>
          <w:tab w:val="left" w:pos="123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50829 – </w:t>
      </w:r>
      <w:proofErr w:type="spellStart"/>
      <w:r>
        <w:rPr>
          <w:rFonts w:ascii="Times New Roman" w:eastAsia="Calibri" w:hAnsi="Times New Roman" w:cs="Times New Roman"/>
        </w:rPr>
        <w:t>Koln</w:t>
      </w:r>
      <w:proofErr w:type="spellEnd"/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 xml:space="preserve">Vokietija 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arba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</w:p>
    <w:p w:rsidR="00B751A1" w:rsidRPr="006D4BC1" w:rsidRDefault="00B751A1" w:rsidP="00B751A1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proofErr w:type="spellStart"/>
      <w:r w:rsidRPr="006D4BC1">
        <w:rPr>
          <w:rStyle w:val="normaltextrun"/>
          <w:rFonts w:ascii="Times New Roman" w:hAnsi="Times New Roman" w:cs="Times New Roman"/>
          <w:shd w:val="clear" w:color="auto" w:fill="FFFFFF"/>
        </w:rPr>
        <w:t>Opella</w:t>
      </w:r>
      <w:proofErr w:type="spellEnd"/>
      <w:r w:rsidRPr="006D4BC1"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D4BC1">
        <w:rPr>
          <w:rStyle w:val="normaltextrun"/>
          <w:rFonts w:ascii="Times New Roman" w:hAnsi="Times New Roman" w:cs="Times New Roman"/>
          <w:shd w:val="clear" w:color="auto" w:fill="FFFFFF"/>
        </w:rPr>
        <w:t>Healthcare</w:t>
      </w:r>
      <w:proofErr w:type="spellEnd"/>
      <w:r w:rsidRPr="006D4BC1"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D4BC1">
        <w:rPr>
          <w:rStyle w:val="normaltextrun"/>
          <w:rFonts w:ascii="Times New Roman" w:hAnsi="Times New Roman" w:cs="Times New Roman"/>
          <w:shd w:val="clear" w:color="auto" w:fill="FFFFFF"/>
        </w:rPr>
        <w:t>Italy</w:t>
      </w:r>
      <w:proofErr w:type="spellEnd"/>
      <w:r w:rsidRPr="006D4BC1"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D4BC1">
        <w:rPr>
          <w:rStyle w:val="normaltextrun"/>
          <w:rFonts w:ascii="Times New Roman" w:hAnsi="Times New Roman" w:cs="Times New Roman"/>
          <w:shd w:val="clear" w:color="auto" w:fill="FFFFFF"/>
        </w:rPr>
        <w:t>S.r.l</w:t>
      </w:r>
      <w:proofErr w:type="spellEnd"/>
      <w:r w:rsidRPr="006D4BC1">
        <w:rPr>
          <w:rStyle w:val="normaltextrun"/>
          <w:rFonts w:ascii="Times New Roman" w:hAnsi="Times New Roman" w:cs="Times New Roman"/>
          <w:shd w:val="clear" w:color="auto" w:fill="FFFFFF"/>
        </w:rPr>
        <w:t>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proofErr w:type="spellStart"/>
      <w:r>
        <w:rPr>
          <w:rFonts w:ascii="Times New Roman" w:eastAsia="Calibri" w:hAnsi="Times New Roman" w:cs="Times New Roman"/>
          <w:bCs/>
          <w:iCs/>
        </w:rPr>
        <w:t>Viale</w:t>
      </w:r>
      <w:proofErr w:type="spellEnd"/>
      <w:r>
        <w:rPr>
          <w:rFonts w:ascii="Times New Roman" w:eastAsia="Calibri" w:hAnsi="Times New Roman" w:cs="Times New Roman"/>
          <w:bCs/>
          <w:iCs/>
        </w:rPr>
        <w:t xml:space="preserve"> Europa 11 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 xml:space="preserve">21040 </w:t>
      </w:r>
      <w:proofErr w:type="spellStart"/>
      <w:r>
        <w:rPr>
          <w:rFonts w:ascii="Times New Roman" w:eastAsia="Calibri" w:hAnsi="Times New Roman" w:cs="Times New Roman"/>
          <w:bCs/>
          <w:iCs/>
        </w:rPr>
        <w:t>Origgio</w:t>
      </w:r>
      <w:proofErr w:type="spellEnd"/>
      <w:r>
        <w:rPr>
          <w:rFonts w:ascii="Times New Roman" w:eastAsia="Calibri" w:hAnsi="Times New Roman" w:cs="Times New Roman"/>
          <w:bCs/>
          <w:iCs/>
        </w:rPr>
        <w:t xml:space="preserve"> (VA)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bookmarkStart w:id="14" w:name="OLE_LINK3"/>
      <w:r>
        <w:rPr>
          <w:rFonts w:ascii="Times New Roman" w:eastAsia="Calibri" w:hAnsi="Times New Roman" w:cs="Times New Roman"/>
          <w:bCs/>
          <w:iCs/>
        </w:rPr>
        <w:t>Italija</w:t>
      </w:r>
      <w:bookmarkEnd w:id="14"/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</w:p>
    <w:p w:rsidR="00B751A1" w:rsidRPr="00AE5541" w:rsidRDefault="00B751A1" w:rsidP="00B751A1">
      <w:pPr>
        <w:spacing w:after="0" w:line="240" w:lineRule="auto"/>
        <w:rPr>
          <w:rFonts w:ascii="Times New Roman" w:hAnsi="Times New Roman" w:cs="Times New Roman"/>
        </w:rPr>
      </w:pPr>
      <w:r w:rsidRPr="00AE5541">
        <w:rPr>
          <w:rFonts w:ascii="Times New Roman" w:hAnsi="Times New Roman" w:cs="Times New Roman"/>
        </w:rPr>
        <w:t>Jeigu apie šį vaistą norite sužinoti daugiau, kreipkitės į vietinį registruotojo atstovą:</w:t>
      </w:r>
    </w:p>
    <w:p w:rsidR="00B751A1" w:rsidRDefault="00B751A1" w:rsidP="00B751A1">
      <w:pPr>
        <w:spacing w:after="0" w:line="240" w:lineRule="auto"/>
        <w:rPr>
          <w:rFonts w:ascii="Times New Roman" w:hAnsi="Times New Roman" w:cs="Times New Roman"/>
        </w:rPr>
      </w:pPr>
    </w:p>
    <w:p w:rsidR="00B751A1" w:rsidRPr="00AE5541" w:rsidRDefault="00B751A1" w:rsidP="00B751A1">
      <w:pPr>
        <w:spacing w:after="0" w:line="240" w:lineRule="auto"/>
        <w:rPr>
          <w:rFonts w:ascii="Times New Roman" w:hAnsi="Times New Roman" w:cs="Times New Roman"/>
        </w:rPr>
      </w:pPr>
      <w:r w:rsidRPr="00AE5541">
        <w:rPr>
          <w:rFonts w:ascii="Times New Roman" w:hAnsi="Times New Roman" w:cs="Times New Roman"/>
        </w:rPr>
        <w:t xml:space="preserve">UAB „STADA </w:t>
      </w:r>
      <w:proofErr w:type="spellStart"/>
      <w:r w:rsidRPr="00AE5541">
        <w:rPr>
          <w:rFonts w:ascii="Times New Roman" w:hAnsi="Times New Roman" w:cs="Times New Roman"/>
        </w:rPr>
        <w:t>Baltics</w:t>
      </w:r>
      <w:proofErr w:type="spellEnd"/>
      <w:r w:rsidRPr="00AE5541">
        <w:rPr>
          <w:rFonts w:ascii="Times New Roman" w:hAnsi="Times New Roman" w:cs="Times New Roman"/>
        </w:rPr>
        <w:t>“</w:t>
      </w:r>
    </w:p>
    <w:p w:rsidR="00B751A1" w:rsidRPr="00AE5541" w:rsidRDefault="00B751A1" w:rsidP="00B751A1">
      <w:pPr>
        <w:spacing w:after="0" w:line="240" w:lineRule="auto"/>
        <w:rPr>
          <w:rFonts w:ascii="Times New Roman" w:hAnsi="Times New Roman" w:cs="Times New Roman"/>
        </w:rPr>
      </w:pPr>
      <w:r w:rsidRPr="00AE5541">
        <w:rPr>
          <w:rFonts w:ascii="Times New Roman" w:hAnsi="Times New Roman" w:cs="Times New Roman"/>
        </w:rPr>
        <w:t>A. Goštauto g. 40A</w:t>
      </w:r>
    </w:p>
    <w:p w:rsidR="00B751A1" w:rsidRPr="00AE5541" w:rsidRDefault="00B751A1" w:rsidP="00B751A1">
      <w:pPr>
        <w:spacing w:after="0" w:line="240" w:lineRule="auto"/>
        <w:rPr>
          <w:rFonts w:ascii="Times New Roman" w:hAnsi="Times New Roman" w:cs="Times New Roman"/>
        </w:rPr>
      </w:pPr>
      <w:r w:rsidRPr="00AE5541">
        <w:rPr>
          <w:rFonts w:ascii="Times New Roman" w:hAnsi="Times New Roman" w:cs="Times New Roman"/>
        </w:rPr>
        <w:t>03163 Vilnius, Lietuva</w:t>
      </w:r>
    </w:p>
    <w:p w:rsidR="00B751A1" w:rsidRPr="00AE5541" w:rsidRDefault="00B751A1" w:rsidP="00B751A1">
      <w:pPr>
        <w:spacing w:after="0" w:line="240" w:lineRule="auto"/>
        <w:rPr>
          <w:rFonts w:ascii="Times New Roman" w:hAnsi="Times New Roman" w:cs="Times New Roman"/>
        </w:rPr>
      </w:pPr>
      <w:r w:rsidRPr="00AE5541">
        <w:rPr>
          <w:rFonts w:ascii="Times New Roman" w:hAnsi="Times New Roman" w:cs="Times New Roman"/>
        </w:rPr>
        <w:t>Tel. +370 52603926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stada.baltics@stada.com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</w:pPr>
      <w:r>
        <w:rPr>
          <w:rFonts w:ascii="Times New Roman" w:eastAsia="Calibri" w:hAnsi="Times New Roman" w:cs="Times New Roman"/>
          <w:b/>
          <w:bCs/>
        </w:rPr>
        <w:t>Šis pakuotės lapelis</w:t>
      </w:r>
      <w:r>
        <w:rPr>
          <w:rFonts w:ascii="Times New Roman" w:eastAsia="Calibri" w:hAnsi="Times New Roman" w:cs="Times New Roman"/>
          <w:b/>
        </w:rPr>
        <w:t xml:space="preserve"> paskutinį kartą peržiūrėtas 2023-07-15.</w:t>
      </w: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51A1" w:rsidRDefault="00B751A1" w:rsidP="00B751A1">
      <w:pPr>
        <w:spacing w:after="0" w:line="240" w:lineRule="auto"/>
      </w:pPr>
      <w:r>
        <w:rPr>
          <w:rFonts w:ascii="Times New Roman" w:eastAsia="Calibri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6">
        <w:r>
          <w:rPr>
            <w:rStyle w:val="Internetosaitas"/>
            <w:rFonts w:ascii="Times New Roman" w:eastAsia="Calibri" w:hAnsi="Times New Roman" w:cs="Times New Roman"/>
          </w:rPr>
          <w:t>http://www.vvkt.lt</w:t>
        </w:r>
      </w:hyperlink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  <w:color w:val="0000FF"/>
          <w:u w:val="single"/>
        </w:rPr>
      </w:pPr>
    </w:p>
    <w:p w:rsidR="00B751A1" w:rsidRDefault="00B751A1" w:rsidP="00B751A1">
      <w:pPr>
        <w:spacing w:after="0" w:line="240" w:lineRule="auto"/>
        <w:rPr>
          <w:rFonts w:ascii="Times New Roman" w:eastAsia="Calibri" w:hAnsi="Times New Roman" w:cs="Times New Roman"/>
        </w:rPr>
      </w:pPr>
    </w:p>
    <w:p w:rsidR="009041DB" w:rsidRDefault="009041DB">
      <w:bookmarkStart w:id="15" w:name="_GoBack"/>
      <w:bookmarkEnd w:id="15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541E"/>
    <w:multiLevelType w:val="multilevel"/>
    <w:tmpl w:val="9A6ED9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2929DC"/>
    <w:multiLevelType w:val="multilevel"/>
    <w:tmpl w:val="20FCC52A"/>
    <w:lvl w:ilvl="0">
      <w:start w:val="12"/>
      <w:numFmt w:val="bullet"/>
      <w:lvlText w:val="-"/>
      <w:lvlJc w:val="left"/>
      <w:pPr>
        <w:tabs>
          <w:tab w:val="num" w:pos="462"/>
        </w:tabs>
        <w:ind w:left="462" w:hanging="360"/>
      </w:pPr>
      <w:rPr>
        <w:rFonts w:ascii="Times New Roman" w:hAnsi="Times New Roman"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E5272C"/>
    <w:multiLevelType w:val="multilevel"/>
    <w:tmpl w:val="0232B52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164E0F"/>
    <w:multiLevelType w:val="multilevel"/>
    <w:tmpl w:val="B96860CA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7434AE"/>
    <w:multiLevelType w:val="multilevel"/>
    <w:tmpl w:val="6A969A6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7812F2"/>
    <w:multiLevelType w:val="multilevel"/>
    <w:tmpl w:val="F676A9FA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2A44706"/>
    <w:multiLevelType w:val="multilevel"/>
    <w:tmpl w:val="EE6C5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2A4E26"/>
    <w:multiLevelType w:val="multilevel"/>
    <w:tmpl w:val="BCCC72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A1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B751A1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10F9B-BB4F-49D2-80CE-8502CACD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51A1"/>
    <w:pPr>
      <w:spacing w:after="200" w:line="276" w:lineRule="auto"/>
    </w:pPr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basedOn w:val="Numatytasispastraiposriftas"/>
    <w:uiPriority w:val="99"/>
    <w:unhideWhenUsed/>
    <w:rsid w:val="00B751A1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B7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/" TargetMode="External"/><Relationship Id="rId5" Type="http://schemas.openxmlformats.org/officeDocument/2006/relationships/hyperlink" Target="mailto:NepageidaujamaR@vvk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7594</Words>
  <Characters>4329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2023-09-06T10:54:00Z</dcterms:created>
  <dcterms:modified xsi:type="dcterms:W3CDTF">2023-09-06T10:54:00Z</dcterms:modified>
</cp:coreProperties>
</file>