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53" w:rsidRPr="002E56BA" w:rsidRDefault="00821B53" w:rsidP="00821B5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0" w:name="_Toc129243138"/>
      <w:bookmarkStart w:id="1" w:name="_Toc129243263"/>
      <w:r w:rsidRPr="002E56BA">
        <w:rPr>
          <w:rFonts w:ascii="Times New Roman" w:eastAsia="Times New Roman" w:hAnsi="Times New Roman" w:cs="Times New Roman"/>
          <w:b/>
          <w:lang w:eastAsia="x-none"/>
        </w:rPr>
        <w:t>Pakuotės lapelis: informacija vartotojui</w:t>
      </w:r>
      <w:bookmarkEnd w:id="0"/>
      <w:bookmarkEnd w:id="1"/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>Maalox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E56BA">
        <w:rPr>
          <w:rFonts w:ascii="Times New Roman" w:eastAsia="Times New Roman" w:hAnsi="Times New Roman" w:cs="Times New Roman"/>
          <w:b/>
          <w:lang w:eastAsia="lt-LT"/>
        </w:rPr>
        <w:t>400 mg/400 mg kramtomosios tabletės (be cukraus)</w:t>
      </w:r>
    </w:p>
    <w:p w:rsidR="00821B53" w:rsidRPr="002E56BA" w:rsidRDefault="00821B53" w:rsidP="00821B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</w:t>
      </w:r>
      <w:r w:rsidRPr="002E56BA">
        <w:rPr>
          <w:rFonts w:ascii="Times New Roman" w:eastAsia="Times New Roman" w:hAnsi="Times New Roman" w:cs="Times New Roman"/>
          <w:lang w:eastAsia="lt-LT"/>
        </w:rPr>
        <w:t>liuminio hidroksidas, magnio hidroksidas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 xml:space="preserve">Visada vartokite šį vaistą tiksliai kaip aprašyta šiame lapelyje arba kaip nurodė gydytojas arba vaistininkas. </w:t>
      </w:r>
    </w:p>
    <w:p w:rsidR="00821B53" w:rsidRPr="002E56BA" w:rsidRDefault="00821B53" w:rsidP="00821B53">
      <w:pPr>
        <w:pStyle w:val="Sraopastraipa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821B53" w:rsidRPr="002E56BA" w:rsidRDefault="00821B53" w:rsidP="00821B53">
      <w:pPr>
        <w:pStyle w:val="Sraopastraipa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821B53" w:rsidRPr="002E56BA" w:rsidRDefault="00821B53" w:rsidP="00821B53">
      <w:pPr>
        <w:pStyle w:val="Sraopastraipa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821B53" w:rsidRPr="002E56BA" w:rsidRDefault="00821B53" w:rsidP="00821B5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1.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>Kas yra Maalox ir kam jis vartojamas</w:t>
      </w: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2.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Maalox </w:t>
      </w: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3.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 xml:space="preserve">Kaip vartoti Maalox </w:t>
      </w: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4.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5.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 xml:space="preserve">Kaip laikyti Maalox </w:t>
      </w:r>
    </w:p>
    <w:p w:rsidR="00821B53" w:rsidRPr="002E56BA" w:rsidRDefault="00821B53" w:rsidP="00821B5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6.</w:t>
      </w:r>
      <w:r w:rsidRPr="002E56BA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2" w:name="_Toc129243139"/>
      <w:bookmarkStart w:id="3" w:name="_Toc129243264"/>
      <w:r w:rsidRPr="002E56BA">
        <w:rPr>
          <w:rFonts w:ascii="Times New Roman" w:eastAsia="Times New Roman" w:hAnsi="Times New Roman" w:cs="Times New Roman"/>
          <w:b/>
          <w:lang w:eastAsia="x-none"/>
        </w:rPr>
        <w:t>1.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>Kas yra Maalox ir kam jis vartojamas</w:t>
      </w:r>
      <w:bookmarkEnd w:id="2"/>
      <w:bookmarkEnd w:id="3"/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Šis vaistas vartojamas rėmens ir skrandžio turinio kilimo į stemplę simptomams malšinti suaugusiems ir paaugliams nuo 15 metų.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Rėmenį ir skrandžio turinio kilimą į stemplę gali sukelti kai kurie maisto produktai (pvz., rūgštūs, aštrūs ir kt.), alkoholiniai gėrimai ir kai kurie vaistai (pvz., aspirinas, vaistai nuo uždegimo). Prireikus nedvejodami pasitarkite su gydytoju arba vaistininku.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Kad ligos simptomų pasireikštų rečiau, reik</w:t>
      </w:r>
      <w:r>
        <w:rPr>
          <w:rFonts w:ascii="Times New Roman" w:eastAsia="Times New Roman" w:hAnsi="Times New Roman" w:cs="Times New Roman"/>
          <w:lang w:eastAsia="x-none"/>
        </w:rPr>
        <w:t>ia</w:t>
      </w:r>
      <w:r w:rsidRPr="002E56BA">
        <w:rPr>
          <w:rFonts w:ascii="Times New Roman" w:eastAsia="Times New Roman" w:hAnsi="Times New Roman" w:cs="Times New Roman"/>
          <w:lang w:eastAsia="x-none"/>
        </w:rPr>
        <w:t>: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nepersivalgyti riebaus maisto;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vengti kai kurių maisto produktų, pvz., šokolado, aštrių patiekalų, pipirų, vaisių sulčių, sodos gėrimų;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valgyti įvairų maistą;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reguliuoti kūno svorį ir reguliariai mankštintis;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nedirbti sunkaus fizinio darbo tuoj po valgio;</w:t>
      </w:r>
    </w:p>
    <w:p w:rsidR="00821B53" w:rsidRPr="002E56BA" w:rsidRDefault="00821B53" w:rsidP="00821B53">
      <w:pPr>
        <w:numPr>
          <w:ilvl w:val="0"/>
          <w:numId w:val="1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nerūkyti ir nevartoti per daug alkoholinių gėrimų.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4" w:name="_Toc129243140"/>
      <w:bookmarkStart w:id="5" w:name="_Toc129243265"/>
      <w:r w:rsidRPr="002E56BA">
        <w:rPr>
          <w:rFonts w:ascii="Times New Roman" w:eastAsia="Times New Roman" w:hAnsi="Times New Roman" w:cs="Times New Roman"/>
          <w:b/>
          <w:lang w:eastAsia="x-none"/>
        </w:rPr>
        <w:t>2.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 xml:space="preserve">Kas žinotina prieš vartojant </w:t>
      </w:r>
      <w:bookmarkEnd w:id="4"/>
      <w:bookmarkEnd w:id="5"/>
      <w:r w:rsidRPr="002E56BA">
        <w:rPr>
          <w:rFonts w:ascii="Times New Roman" w:eastAsia="Times New Roman" w:hAnsi="Times New Roman" w:cs="Times New Roman"/>
          <w:b/>
          <w:lang w:eastAsia="x-none"/>
        </w:rPr>
        <w:t>Maalox (be cukraus)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 xml:space="preserve">Maalox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2E56BA">
        <w:rPr>
          <w:rFonts w:ascii="Times New Roman" w:eastAsia="Times New Roman" w:hAnsi="Times New Roman" w:cs="Times New Roman"/>
          <w:b/>
          <w:bCs/>
        </w:rPr>
        <w:t>:</w:t>
      </w:r>
    </w:p>
    <w:p w:rsidR="00821B53" w:rsidRPr="002E56BA" w:rsidRDefault="00821B53" w:rsidP="00821B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yra alergija magnio hidroksidui ar aliuminio hidroksidui arba bet kuriai pagalbinei šio vaisto medžiagai (jos išvardytos 6 skyriuje);</w:t>
      </w:r>
    </w:p>
    <w:p w:rsidR="00821B53" w:rsidRPr="002E56BA" w:rsidRDefault="00821B53" w:rsidP="00821B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sergama sunkia inkstų liga;</w:t>
      </w:r>
    </w:p>
    <w:p w:rsidR="00821B53" w:rsidRPr="002E56BA" w:rsidRDefault="00821B53" w:rsidP="00821B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stipriai skauda pilvą arba įtariamas žarnų nepraeinamumas.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Pasitarkite su gydytoju arba vaistininku, prieš pradėdami vartoti Maalox, jeigu:</w:t>
      </w:r>
    </w:p>
    <w:p w:rsidR="00821B53" w:rsidRPr="002E56BA" w:rsidRDefault="00821B53" w:rsidP="00821B53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mažėja kūno svoris;</w:t>
      </w:r>
    </w:p>
    <w:p w:rsidR="00821B53" w:rsidRPr="002E56BA" w:rsidRDefault="00821B53" w:rsidP="00821B53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kraujuoja arba anksčiau yra kraujavę iš virškinimo trakto;</w:t>
      </w:r>
    </w:p>
    <w:p w:rsidR="00821B53" w:rsidRPr="002E56BA" w:rsidRDefault="00821B53" w:rsidP="00821B53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lastRenderedPageBreak/>
        <w:t>sutrikęs rijimas arba nuolat jaučiate nemalonų pojūtį pilve;</w:t>
      </w:r>
    </w:p>
    <w:p w:rsidR="00821B53" w:rsidRPr="002E56BA" w:rsidRDefault="00821B53" w:rsidP="00821B53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virškinimo sutrikimų atsirado pirmą kartą arba jie neseniai pakito;</w:t>
      </w:r>
    </w:p>
    <w:p w:rsidR="00821B53" w:rsidRPr="002E56BA" w:rsidRDefault="00821B53" w:rsidP="00821B53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sergate inkstų liga.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Pacientams, kuriems nustatytas inkstų funkcijos sutrikimas, jaunesniems kaip 2 metų vaikams, senyviems pacientams bei kitiems pacientams, kuriems yra fosforo trūkumo pavojus, prieš pradedant vartoti Maalox (be cukraus) reikia kreiptis į gydytoją.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Jei per 10 dienų simptomai nepalengvėjo arba pasunkėjo, nepasidarė retesni arba padažnėjo, didinti dozės negalima. Kreipkitės į gydytoją arba vaistininką.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2E56BA">
        <w:rPr>
          <w:rFonts w:ascii="Times New Roman" w:eastAsia="Calibri" w:hAnsi="Times New Roman" w:cs="Times New Roman"/>
          <w:u w:val="single"/>
        </w:rPr>
        <w:t>Vaikai</w:t>
      </w:r>
    </w:p>
    <w:p w:rsidR="00821B53" w:rsidRPr="002E56BA" w:rsidRDefault="00821B53" w:rsidP="00821B53">
      <w:pPr>
        <w:spacing w:after="0" w:line="240" w:lineRule="auto"/>
        <w:rPr>
          <w:rFonts w:ascii="Times New Roman" w:eastAsia="Calibri" w:hAnsi="Times New Roman" w:cs="Times New Roman"/>
        </w:rPr>
      </w:pPr>
      <w:r w:rsidRPr="002E56BA">
        <w:rPr>
          <w:rFonts w:ascii="Times New Roman" w:eastAsia="Calibri" w:hAnsi="Times New Roman" w:cs="Times New Roman"/>
        </w:rPr>
        <w:t>Mažiems vaikams magnio hidroksido vartojimas gali sukelti hipermagnezemiją, ypač jeigu jų inkstų funkcija sutrikusi arba jiems išsivysčiusi dehidratacija.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2E56BA">
        <w:rPr>
          <w:rFonts w:ascii="Times New Roman" w:eastAsia="Times New Roman" w:hAnsi="Times New Roman" w:cs="Times New Roman"/>
          <w:b/>
          <w:bCs/>
          <w:lang w:eastAsia="lt-LT"/>
        </w:rPr>
        <w:t xml:space="preserve">Kiti vaistai ir Maalox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Maalox (be cukraus) ir kai kurių kitų vaistų sudėtyje yra skrandžio rūgštį neutralizuojančių medžiagų – aliuminio hidroksido ir magnio hidroksido. Norint išvengti perdozavimo, tokių vaistų negalima vartoti kartu.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E56BA">
        <w:rPr>
          <w:rFonts w:ascii="Times New Roman" w:eastAsia="Times New Roman" w:hAnsi="Times New Roman" w:cs="Times New Roman"/>
          <w:lang w:eastAsia="fr-FR"/>
        </w:rPr>
        <w:t xml:space="preserve">Jeigu vartojate ar neseniai vartojote bet kurį iš toliau išvardytų vaistų arba dėl to nesate tikri, 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apie tai pasakykite gydytojui arba vaistininkui, </w:t>
      </w:r>
      <w:r w:rsidRPr="002E56BA">
        <w:rPr>
          <w:rFonts w:ascii="Times New Roman" w:eastAsia="Times New Roman" w:hAnsi="Times New Roman" w:cs="Times New Roman"/>
          <w:lang w:eastAsia="fr-FR"/>
        </w:rPr>
        <w:t xml:space="preserve">nes Maalox gali keisti kai kurių vaistų poveikį arba jie − Maalox poveikį.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E56BA">
        <w:rPr>
          <w:rFonts w:ascii="Times New Roman" w:eastAsia="Times New Roman" w:hAnsi="Times New Roman" w:cs="Times New Roman"/>
          <w:lang w:eastAsia="fr-FR"/>
        </w:rPr>
        <w:t>Ypač svarbu pasakyti apie: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nuo širdies ligų, tokius kaip digoksinas, chinidinas, metoprololis, atenololis ir propranololis;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mažakraujystei gydyti, tokius kaip geležies druskos;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skrandžio opoms ir padidėjusiam rūgštingumui gydyti, tokius kaip ranitidinas ar cimetidinas (H</w:t>
      </w:r>
      <w:r w:rsidRPr="002E56BA">
        <w:rPr>
          <w:rFonts w:ascii="Times New Roman" w:eastAsia="Times New Roman" w:hAnsi="Times New Roman" w:cs="Times New Roman"/>
          <w:vertAlign w:val="subscript"/>
        </w:rPr>
        <w:t>2</w:t>
      </w:r>
      <w:r w:rsidRPr="002E56BA">
        <w:rPr>
          <w:rFonts w:ascii="Times New Roman" w:eastAsia="Times New Roman" w:hAnsi="Times New Roman" w:cs="Times New Roman"/>
        </w:rPr>
        <w:t xml:space="preserve"> antagonistai);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maliarijai gydyti, tokius kaip chlorokvinas;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tam tikriems kaulų sutrikimams gydyti, tokius kaip bisfosfonatai;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tam tikroms alerginėms, uždegiminėms ar nenormalioms imuninėms reakcijoms gydyti, tokius kaip gliukokortikoidai;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inkstų sutrikimams gydyti, tokius kaip citratai;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tuberkuliozei gydyti, tokius kaip etambutolis, izoniazidas;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infekcijoms gydyti, tokius kaip fluorochinolonai, linkozamidai, ketokonazolas, ciklinai, cefalosporinai (cefpodoksimas ir cefdiniras), dolutegraviras, elvitegraviras, raltegraviro kalio druska, antivirusinis sudėtinis vaistas tenofoviro alafenamido fumaratas/emtricitabinas/biktegraviro natrio druska, rilpivirinas;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psichikos ligoms (psichozėms) gydyti, tokius kaip fenotiazinai, neuroleptikai;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padidėjusiam kalio kiekiui organizme gydyti, tokius kaip polistireno sulfonatas;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skausmui malšinti, tokius kaip diflunisalis, indometacinas;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dantų priežiūrai vartojamus vaistus, tokius kaip natrio fluoruras;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esant susilpnėjusiai skydliaukės veiklai, tokius kaip levotiroksinas;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 xml:space="preserve">vaistus, vartojamus esant sąnarių </w:t>
      </w:r>
      <w:r>
        <w:rPr>
          <w:rFonts w:ascii="Times New Roman" w:eastAsia="Times New Roman" w:hAnsi="Times New Roman" w:cs="Times New Roman"/>
        </w:rPr>
        <w:t>skausmams</w:t>
      </w:r>
      <w:r w:rsidRPr="002E56BA">
        <w:rPr>
          <w:rFonts w:ascii="Times New Roman" w:eastAsia="Times New Roman" w:hAnsi="Times New Roman" w:cs="Times New Roman"/>
        </w:rPr>
        <w:t xml:space="preserve"> ir organizme vykstant nenormalioms cheminėms reakcijoms, tokius kaip penicilaminas;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cholesterolio kiekiui mažinti, tokius kaip rozuvastatinas;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vėžiui gydyti, tokius kaip nilotinibas, dazatinibo monohidratas;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kraujo sutrikimams gydyti, tokius kaip eltrombopag</w:t>
      </w:r>
      <w:r>
        <w:rPr>
          <w:rFonts w:ascii="Times New Roman" w:eastAsia="Times New Roman" w:hAnsi="Times New Roman" w:cs="Times New Roman"/>
        </w:rPr>
        <w:t>o</w:t>
      </w:r>
      <w:r w:rsidRPr="002E56BA">
        <w:rPr>
          <w:rFonts w:ascii="Times New Roman" w:eastAsia="Times New Roman" w:hAnsi="Times New Roman" w:cs="Times New Roman"/>
        </w:rPr>
        <w:t xml:space="preserve"> olaminas;</w:t>
      </w:r>
    </w:p>
    <w:p w:rsidR="00821B53" w:rsidRPr="002E56BA" w:rsidRDefault="00821B53" w:rsidP="00821B53">
      <w:pPr>
        <w:numPr>
          <w:ilvl w:val="1"/>
          <w:numId w:val="11"/>
        </w:numPr>
        <w:tabs>
          <w:tab w:val="left" w:pos="9072"/>
        </w:tabs>
        <w:spacing w:after="0" w:line="240" w:lineRule="auto"/>
        <w:ind w:right="-48"/>
        <w:rPr>
          <w:rFonts w:ascii="Times New Roman" w:eastAsia="Times New Roman" w:hAnsi="Times New Roman" w:cs="Times New Roman"/>
        </w:rPr>
      </w:pPr>
      <w:r w:rsidRPr="002E56BA">
        <w:rPr>
          <w:rFonts w:ascii="Times New Roman" w:eastAsia="Times New Roman" w:hAnsi="Times New Roman" w:cs="Times New Roman"/>
        </w:rPr>
        <w:t>vaistus, vartojamus dideliam kraujospūdžiui plaučiuose (plautinei hipertenzijai) gydyti, tokius kaip riociguatas.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B53" w:rsidRPr="00A00586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A00586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Atsargumo dėlei tarp bet kokio per burną vartojamo vaisto ir antacidinio vaisto vartojimo turi būti bent 2 valandų (vartojant fluorochinolonų – 4 valandų) intervalas.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Maalox nerekomenduojama vartoti vaikams ir paaugliams iki 15 metų.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>Maalox (be cukraus)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E56BA">
        <w:rPr>
          <w:rFonts w:ascii="Times New Roman" w:eastAsia="Times New Roman" w:hAnsi="Times New Roman" w:cs="Times New Roman"/>
          <w:b/>
          <w:lang w:eastAsia="lt-LT"/>
        </w:rPr>
        <w:t>vartojimas su maistu ir gėrimais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Duomenys neaktualūs.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Nėščioms moterims Maalox kramtomąsias tabletes galima vartoti tik pasitarus su gydytoju.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 xml:space="preserve">Vartojant </w:t>
      </w:r>
      <w:r w:rsidRPr="002E56BA">
        <w:rPr>
          <w:rFonts w:ascii="Times New Roman" w:eastAsia="Times New Roman" w:hAnsi="Times New Roman" w:cs="Times New Roman"/>
          <w:bCs/>
          <w:lang w:eastAsia="x-none"/>
        </w:rPr>
        <w:t>Maalox</w:t>
      </w:r>
      <w:r w:rsidRPr="002E56BA">
        <w:rPr>
          <w:rFonts w:ascii="Times New Roman" w:eastAsia="Times New Roman" w:hAnsi="Times New Roman" w:cs="Times New Roman"/>
          <w:lang w:eastAsia="x-none"/>
        </w:rPr>
        <w:t xml:space="preserve"> kramtomąsias tabletes, žindyti galima.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Duomenys neaktualūs.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AE536C" w:rsidRDefault="00821B53" w:rsidP="00821B53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AE536C">
        <w:rPr>
          <w:rFonts w:ascii="Times New Roman" w:eastAsia="Times New Roman" w:hAnsi="Times New Roman"/>
          <w:b/>
          <w:bCs/>
          <w:lang w:eastAsia="lt-LT"/>
        </w:rPr>
        <w:t>Maalox sudėtyje yra benzilo alkoholio</w:t>
      </w:r>
      <w:r>
        <w:rPr>
          <w:rFonts w:ascii="Times New Roman" w:eastAsia="Times New Roman" w:hAnsi="Times New Roman"/>
          <w:b/>
          <w:bCs/>
          <w:lang w:eastAsia="lt-LT"/>
        </w:rPr>
        <w:t>, sorbitolio, maltitolio ir natrio</w:t>
      </w: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1421">
        <w:rPr>
          <w:rFonts w:ascii="Times New Roman" w:eastAsia="Times New Roman" w:hAnsi="Times New Roman"/>
          <w:lang w:eastAsia="lt-LT"/>
        </w:rPr>
        <w:t>Kiekvienoje šio vaisto kramtomojoje tabletėje yra 0,000068</w:t>
      </w:r>
      <w:r>
        <w:rPr>
          <w:rFonts w:ascii="Times New Roman" w:eastAsia="Times New Roman" w:hAnsi="Times New Roman"/>
          <w:lang w:eastAsia="lt-LT"/>
        </w:rPr>
        <w:t> </w:t>
      </w:r>
      <w:r w:rsidRPr="00551421">
        <w:rPr>
          <w:rFonts w:ascii="Times New Roman" w:eastAsia="Times New Roman" w:hAnsi="Times New Roman"/>
          <w:lang w:eastAsia="lt-LT"/>
        </w:rPr>
        <w:t>mg benzilo alkoholio.</w:t>
      </w: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D11F5">
        <w:rPr>
          <w:rFonts w:ascii="Times New Roman" w:eastAsia="Times New Roman" w:hAnsi="Times New Roman"/>
          <w:lang w:eastAsia="lt-LT"/>
        </w:rPr>
        <w:t>Benzilo alkoholis gali sukelti alerginių reakcijų.</w:t>
      </w: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D11F5">
        <w:rPr>
          <w:rFonts w:ascii="Times New Roman" w:eastAsia="Times New Roman" w:hAnsi="Times New Roman"/>
          <w:lang w:eastAsia="lt-LT"/>
        </w:rPr>
        <w:t>Mažiems vaikams benzilo alkoholis siejamas su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sunkaus šalutinio poveikio, įskaitant kvėpavimo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sutrikimą (vadinamąjį žiobčiojimo sindromą),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rizika</w:t>
      </w:r>
      <w:r w:rsidRPr="00551421">
        <w:rPr>
          <w:rFonts w:ascii="Times New Roman" w:eastAsia="Times New Roman" w:hAnsi="Times New Roman"/>
          <w:lang w:eastAsia="lt-LT"/>
        </w:rPr>
        <w:t>.</w:t>
      </w: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D11F5">
        <w:rPr>
          <w:rFonts w:ascii="Times New Roman" w:eastAsia="Times New Roman" w:hAnsi="Times New Roman"/>
          <w:lang w:eastAsia="lt-LT"/>
        </w:rPr>
        <w:t>Pasitarkite su gydytoju arba vaistininku, jeigu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esate nėščia arba žindote kūdikį, kadangi didelis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benzilo alkoholio kiekis gali kauptis Jūsų organizme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ir sukelti šalutinį poveikį (vadinamąją metabolinę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acidozę).</w:t>
      </w: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D11F5">
        <w:rPr>
          <w:rFonts w:ascii="Times New Roman" w:eastAsia="Times New Roman" w:hAnsi="Times New Roman"/>
          <w:lang w:eastAsia="lt-LT"/>
        </w:rPr>
        <w:t>Pasitarkite su gydytoju arba vaistininku, jeigu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sergate kepenų arba inkstų ligomis, kadangi didelis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benzilo alkoholio kiekis gali kauptis Jūsų organizme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ir sukelti šalutinį poveikį (vadinamąją metabolinę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acidozę).</w:t>
      </w: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821B53" w:rsidRPr="00551421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1421">
        <w:rPr>
          <w:rFonts w:ascii="Times New Roman" w:eastAsia="Times New Roman" w:hAnsi="Times New Roman"/>
          <w:lang w:eastAsia="lt-LT"/>
        </w:rPr>
        <w:t>Kiekvienoje šio vaisto kramtomojoje tabletėje yra 110</w:t>
      </w:r>
      <w:r>
        <w:rPr>
          <w:rFonts w:ascii="Times New Roman" w:eastAsia="Times New Roman" w:hAnsi="Times New Roman"/>
          <w:lang w:eastAsia="lt-LT"/>
        </w:rPr>
        <w:t> </w:t>
      </w:r>
      <w:r w:rsidRPr="00551421">
        <w:rPr>
          <w:rFonts w:ascii="Times New Roman" w:eastAsia="Times New Roman" w:hAnsi="Times New Roman"/>
          <w:lang w:eastAsia="lt-LT"/>
        </w:rPr>
        <w:t>mg sorbitolio.</w:t>
      </w: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D11F5">
        <w:rPr>
          <w:rFonts w:ascii="Times New Roman" w:eastAsia="Times New Roman" w:hAnsi="Times New Roman"/>
          <w:lang w:eastAsia="lt-LT"/>
        </w:rPr>
        <w:t>Sorbitolis yra fruktozės šaltinis. Jeigu gydytojas yra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sakęs, kad Jūs (ar Jūsų vaikas) netoleruojate kokių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nors angliavandenių, ar Jums nustatytas retas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genetinis sutrikimas įgimtas fruktozės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netoleravimas (ĮFN), kurio atveju organizmas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negali suskaidyti fruktozės, prieš vartodami šio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vaisto (ar prieš duodami jo Jūsų vaikui), pasakykite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AD11F5">
        <w:rPr>
          <w:rFonts w:ascii="Times New Roman" w:eastAsia="Times New Roman" w:hAnsi="Times New Roman"/>
          <w:lang w:eastAsia="lt-LT"/>
        </w:rPr>
        <w:t>gydytojui.</w:t>
      </w: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:rsidR="00821B53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8379DA" w:rsidRDefault="00821B53" w:rsidP="00821B53">
      <w:pPr>
        <w:spacing w:after="0" w:line="240" w:lineRule="auto"/>
        <w:rPr>
          <w:rFonts w:ascii="Times New Roman" w:eastAsia="Calibri" w:hAnsi="Times New Roman" w:cs="Times New Roman"/>
        </w:rPr>
      </w:pPr>
      <w:r w:rsidRPr="00903D46">
        <w:rPr>
          <w:rFonts w:ascii="Times New Roman" w:eastAsia="Calibri" w:hAnsi="Times New Roman" w:cs="Times New Roman"/>
        </w:rPr>
        <w:t>Šio vaisto 1</w:t>
      </w:r>
      <w:r>
        <w:rPr>
          <w:rFonts w:ascii="Times New Roman" w:eastAsia="Calibri" w:hAnsi="Times New Roman" w:cs="Times New Roman"/>
        </w:rPr>
        <w:t> tabletėje</w:t>
      </w:r>
      <w:r w:rsidRPr="00903D46">
        <w:rPr>
          <w:rFonts w:ascii="Times New Roman" w:eastAsia="Calibri" w:hAnsi="Times New Roman" w:cs="Times New Roman"/>
        </w:rPr>
        <w:t xml:space="preserve"> yra mažiau kaip 1</w:t>
      </w:r>
      <w:r>
        <w:rPr>
          <w:rFonts w:ascii="Times New Roman" w:eastAsia="Calibri" w:hAnsi="Times New Roman" w:cs="Times New Roman"/>
        </w:rPr>
        <w:t> </w:t>
      </w:r>
      <w:r w:rsidRPr="00903D46">
        <w:rPr>
          <w:rFonts w:ascii="Times New Roman" w:eastAsia="Calibri" w:hAnsi="Times New Roman" w:cs="Times New Roman"/>
        </w:rPr>
        <w:t>mmol (23</w:t>
      </w:r>
      <w:r>
        <w:rPr>
          <w:rFonts w:ascii="Times New Roman" w:eastAsia="Calibri" w:hAnsi="Times New Roman" w:cs="Times New Roman"/>
        </w:rPr>
        <w:t> </w:t>
      </w:r>
      <w:r w:rsidRPr="00903D46">
        <w:rPr>
          <w:rFonts w:ascii="Times New Roman" w:eastAsia="Calibri" w:hAnsi="Times New Roman" w:cs="Times New Roman"/>
        </w:rPr>
        <w:t>mg) natrio, t.</w:t>
      </w:r>
      <w:r>
        <w:rPr>
          <w:rFonts w:ascii="Times New Roman" w:eastAsia="Calibri" w:hAnsi="Times New Roman" w:cs="Times New Roman"/>
        </w:rPr>
        <w:t> </w:t>
      </w:r>
      <w:r w:rsidRPr="00903D46">
        <w:rPr>
          <w:rFonts w:ascii="Times New Roman" w:eastAsia="Calibri" w:hAnsi="Times New Roman" w:cs="Times New Roman"/>
        </w:rPr>
        <w:t>y. jis beveik neturi reikšmės.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Maalox tabletės tinka cukriniu diabetu sergantiems pacientams.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6" w:name="_Toc129243141"/>
      <w:bookmarkStart w:id="7" w:name="_Toc129243266"/>
      <w:r w:rsidRPr="002E56BA">
        <w:rPr>
          <w:rFonts w:ascii="Times New Roman" w:eastAsia="Times New Roman" w:hAnsi="Times New Roman" w:cs="Times New Roman"/>
          <w:b/>
          <w:lang w:eastAsia="x-none"/>
        </w:rPr>
        <w:t>3.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 xml:space="preserve">Kaip vartoti </w:t>
      </w:r>
      <w:bookmarkEnd w:id="6"/>
      <w:bookmarkEnd w:id="7"/>
      <w:r w:rsidRPr="002E56BA">
        <w:rPr>
          <w:rFonts w:ascii="Times New Roman" w:eastAsia="Times New Roman" w:hAnsi="Times New Roman" w:cs="Times New Roman"/>
          <w:b/>
          <w:lang w:eastAsia="x-none"/>
        </w:rPr>
        <w:t xml:space="preserve">Maalox </w:t>
      </w:r>
    </w:p>
    <w:p w:rsidR="00821B53" w:rsidRPr="002E56BA" w:rsidRDefault="00821B53" w:rsidP="00821B5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Šis vaistas vartojamas per burną. Jis skirtas tik vyresniems kaip 15 metų žmonėms.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Sučiulpti arba sukramtyti 1</w:t>
      </w:r>
      <w:r w:rsidRPr="002E56BA">
        <w:rPr>
          <w:rFonts w:ascii="Times New Roman" w:eastAsia="Times New Roman" w:hAnsi="Times New Roman" w:cs="Times New Roman"/>
          <w:lang w:eastAsia="x-none"/>
        </w:rPr>
        <w:noBreakHyphen/>
        <w:t xml:space="preserve">2 kramtomąsias tabletes pajutus rėmenį arba skrandžio turinio kilimą į stemplę.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Vaisto negalima vartoti daugiau kaip 6 kartus per parą.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Negalima vartoti daugiau kaip 12 kramtomųjų tablečių per parą.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Šio vaisto negalima vartoti ilgiau kaip 10 dienų.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lastRenderedPageBreak/>
        <w:t>Ką daryti pavartojus per didelę Maalox dozę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Dėl to nerimauti nereikėtų.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 xml:space="preserve">Pamiršus pavartoti Maalox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E56BA">
        <w:rPr>
          <w:rFonts w:ascii="Times New Roman" w:eastAsia="Times New Roman" w:hAnsi="Times New Roman" w:cs="Times New Roman"/>
          <w:lang w:eastAsia="x-none"/>
        </w:rPr>
        <w:t>Negalima vartoti dvigubos dozės norint kompensuoti praleistą tabletę.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b/>
          <w:lang w:eastAsia="lt-LT"/>
        </w:rPr>
        <w:t xml:space="preserve">Nustojus vartoti Maalox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8" w:name="_Toc129243142"/>
      <w:bookmarkStart w:id="9" w:name="_Toc129243267"/>
      <w:r w:rsidRPr="002E56BA">
        <w:rPr>
          <w:rFonts w:ascii="Times New Roman" w:eastAsia="Times New Roman" w:hAnsi="Times New Roman" w:cs="Times New Roman"/>
          <w:b/>
          <w:lang w:eastAsia="x-none"/>
        </w:rPr>
        <w:t>4.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>Galimas šalutinis poveikis</w:t>
      </w:r>
      <w:bookmarkEnd w:id="8"/>
      <w:bookmarkEnd w:id="9"/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>Gauta pranešimų apie toliau išvardytą šalutinį poveikį.</w:t>
      </w:r>
    </w:p>
    <w:p w:rsidR="00821B53" w:rsidRPr="002E56BA" w:rsidRDefault="00821B53" w:rsidP="00821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 xml:space="preserve"> </w:t>
      </w:r>
      <w:r w:rsidRPr="00FE2C5F">
        <w:rPr>
          <w:rFonts w:ascii="Times New Roman" w:eastAsia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:rsidR="00821B53" w:rsidRPr="002E56BA" w:rsidRDefault="00821B53" w:rsidP="00821B53">
      <w:pPr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>viduriavimas arba vidurių užkietėjimas.</w:t>
      </w:r>
    </w:p>
    <w:p w:rsidR="00821B53" w:rsidRPr="002E56BA" w:rsidRDefault="00821B53" w:rsidP="00821B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821B53" w:rsidRPr="002E56BA" w:rsidRDefault="00821B53" w:rsidP="00821B53">
      <w:pPr>
        <w:pStyle w:val="Sraopastraip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 w:rsidRPr="00FE2C5F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 w:rsidRPr="00FE2C5F">
        <w:rPr>
          <w:rFonts w:ascii="Times New Roman" w:eastAsia="Calibri" w:hAnsi="Times New Roman" w:cs="Times New Roman"/>
          <w:bCs/>
        </w:rPr>
        <w:t>: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2E56BA">
        <w:rPr>
          <w:rFonts w:ascii="Times New Roman" w:eastAsia="Calibri" w:hAnsi="Times New Roman" w:cs="Times New Roman"/>
          <w:bCs/>
        </w:rPr>
        <w:t>hipermagnezemija (magnio perteklius kraujyje). Nustatyta po ilgalaikio vartojimo pacientams, kurių inkstų funkcija sutrikusi.</w:t>
      </w:r>
    </w:p>
    <w:p w:rsidR="00821B53" w:rsidRPr="002E56BA" w:rsidRDefault="00821B53" w:rsidP="00821B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1B53" w:rsidRPr="002E56BA" w:rsidRDefault="00821B53" w:rsidP="00821B5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FE2C5F">
        <w:rPr>
          <w:rFonts w:ascii="Times New Roman" w:eastAsia="Times New Roman" w:hAnsi="Times New Roman" w:cs="Times New Roman"/>
          <w:b/>
          <w:bCs/>
          <w:noProof/>
          <w:snapToGrid w:val="0"/>
        </w:rPr>
        <w:t>Šalutini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o poveikio reiškiniai, kurių </w:t>
      </w:r>
      <w:r w:rsidRPr="00FE2C5F"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dažnis nežinomas (negali būti apskaičiuotas pagal turimus duomenis): </w:t>
      </w:r>
      <w:r w:rsidRPr="002E56BA">
        <w:rPr>
          <w:rFonts w:ascii="Times New Roman" w:eastAsia="Times New Roman" w:hAnsi="Times New Roman" w:cs="Times New Roman"/>
          <w:bCs/>
        </w:rPr>
        <w:t>padidėjusio jautrumo reakcijos, pavyzdžiui: niežėjimas, dilgėlinė, angioneurozinė edema (staigus tinimas) ir anafilaksinės reakcijos;</w:t>
      </w:r>
    </w:p>
    <w:p w:rsidR="00821B53" w:rsidRPr="002E56BA" w:rsidRDefault="00821B53" w:rsidP="00821B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>hiperaliuminemija (aliuminio perteklius kraujyje);</w:t>
      </w:r>
    </w:p>
    <w:p w:rsidR="00821B53" w:rsidRPr="002E56BA" w:rsidRDefault="00821B53" w:rsidP="00821B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>hipofosfatemija (fosforo koncentracijos kraujyje sumažėjimas). Dėl to padidėja kaulų rezorbcija, pasireiškia hiperkalciurija (didelis kalcio kiekis šlapime) ir osteomaliacija (kaulų suminkštėjimas);</w:t>
      </w:r>
    </w:p>
    <w:p w:rsidR="00821B53" w:rsidRPr="002E56BA" w:rsidRDefault="00821B53" w:rsidP="00821B5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56BA">
        <w:rPr>
          <w:rFonts w:ascii="Times New Roman" w:eastAsia="Times New Roman" w:hAnsi="Times New Roman" w:cs="Times New Roman"/>
          <w:bCs/>
        </w:rPr>
        <w:t>pilvo skausmas.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2E56BA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:rsidR="00821B53" w:rsidRDefault="00821B53" w:rsidP="00821B53">
      <w:pPr>
        <w:pStyle w:val="BTEMEASMCA"/>
        <w:rPr>
          <w:sz w:val="22"/>
          <w:lang w:val="lt-LT" w:eastAsia="en-US"/>
        </w:rPr>
      </w:pPr>
      <w:r w:rsidRPr="00FD004F">
        <w:rPr>
          <w:snapToGrid w:val="0"/>
          <w:sz w:val="22"/>
          <w:szCs w:val="22"/>
          <w:lang w:val="lt-LT" w:eastAsia="en-US"/>
        </w:rPr>
        <w:t xml:space="preserve">Jeigu pasireiškė šalutinis poveikis, įskaitant šiame lapelyje nenurodytą, pasakykite gydytojui arba vaistininkui. </w:t>
      </w:r>
      <w:r w:rsidRPr="00FD004F">
        <w:rPr>
          <w:sz w:val="22"/>
          <w:lang w:val="lt-LT"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FD004F">
        <w:rPr>
          <w:color w:val="0000FF"/>
          <w:sz w:val="22"/>
          <w:u w:val="single"/>
          <w:lang w:val="lt-LT" w:eastAsia="en-US"/>
        </w:rPr>
        <w:t>https://vapris.vvkt.lt/vvkt-web/public/nrv</w:t>
      </w:r>
      <w:r w:rsidRPr="00FD004F">
        <w:rPr>
          <w:sz w:val="22"/>
          <w:lang w:val="lt-LT" w:eastAsia="en-US"/>
        </w:rPr>
        <w:t xml:space="preserve"> arba užpildant Paciento pranešimo apie įtariamą nepageidaujamą reakciją (ĮNR) formą, kuri skelbiama </w:t>
      </w:r>
      <w:r w:rsidRPr="00FD004F">
        <w:rPr>
          <w:color w:val="0000FF"/>
          <w:sz w:val="22"/>
          <w:u w:val="single"/>
          <w:lang w:val="lt-LT" w:eastAsia="en-US"/>
        </w:rPr>
        <w:t>https://www.vvkt.lt/index.php?4004286486</w:t>
      </w:r>
      <w:r w:rsidRPr="00FD004F">
        <w:rPr>
          <w:sz w:val="22"/>
          <w:lang w:val="lt-LT" w:eastAsia="en-US"/>
        </w:rPr>
        <w:t xml:space="preserve">, ir atsiunčiant elektroniniu paštu (adresu </w:t>
      </w:r>
      <w:r w:rsidRPr="00FD004F">
        <w:rPr>
          <w:color w:val="0000FF"/>
          <w:sz w:val="22"/>
          <w:u w:val="single"/>
          <w:lang w:val="lt-LT" w:eastAsia="en-US"/>
        </w:rPr>
        <w:t>NepageidaujamaR@vvkt.lt</w:t>
      </w:r>
      <w:r w:rsidRPr="00FD004F">
        <w:rPr>
          <w:sz w:val="22"/>
          <w:lang w:val="lt-LT" w:eastAsia="en-US"/>
        </w:rPr>
        <w:t>) arba nemokamu telefonu 8 800 73 568. Pranešdami apie šalutinį poveikį galite mums padėti gauti daugiau informacijos apie šio vaisto saugumą.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Calibri" w:hAnsi="Times New Roman" w:cs="Times New Roman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0" w:name="_Toc129243143"/>
      <w:bookmarkStart w:id="11" w:name="_Toc129243268"/>
      <w:r w:rsidRPr="002E56BA">
        <w:rPr>
          <w:rFonts w:ascii="Times New Roman" w:eastAsia="Times New Roman" w:hAnsi="Times New Roman" w:cs="Times New Roman"/>
          <w:b/>
          <w:lang w:eastAsia="x-none"/>
        </w:rPr>
        <w:t>5.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 xml:space="preserve">Kaip laikyti </w:t>
      </w:r>
      <w:bookmarkEnd w:id="10"/>
      <w:bookmarkEnd w:id="11"/>
      <w:r w:rsidRPr="002E56BA">
        <w:rPr>
          <w:rFonts w:ascii="Times New Roman" w:eastAsia="Times New Roman" w:hAnsi="Times New Roman" w:cs="Times New Roman"/>
          <w:b/>
          <w:lang w:eastAsia="x-none"/>
        </w:rPr>
        <w:t xml:space="preserve">Maalox 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Šiam vaistui specialių laikymo sąlygų nereikia.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Ant dėžutės po „Tinka iki“ ir lizdinės plokštelės po “EXP“ nurodytam tinkamumo laikui pasibaigus, šio vaisto vartoti negalima. Vaistas tinkamas vartoti iki paskutinės nurodyto mėnesio dienos.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2" w:name="_Toc129243144"/>
      <w:bookmarkStart w:id="13" w:name="_Toc129243269"/>
      <w:r w:rsidRPr="002E56BA">
        <w:rPr>
          <w:rFonts w:ascii="Times New Roman" w:eastAsia="Times New Roman" w:hAnsi="Times New Roman" w:cs="Times New Roman"/>
          <w:b/>
          <w:lang w:eastAsia="x-none"/>
        </w:rPr>
        <w:t>6.</w:t>
      </w:r>
      <w:r w:rsidRPr="002E56BA">
        <w:rPr>
          <w:rFonts w:ascii="Times New Roman" w:eastAsia="Times New Roman" w:hAnsi="Times New Roman" w:cs="Times New Roman"/>
          <w:b/>
          <w:lang w:eastAsia="x-none"/>
        </w:rPr>
        <w:tab/>
        <w:t>Pakuotės turinys ir kita informacija</w:t>
      </w:r>
      <w:bookmarkEnd w:id="12"/>
      <w:bookmarkEnd w:id="13"/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lastRenderedPageBreak/>
        <w:t>Maalox sudėtis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Veikliosios medžiagos yra magnio hidroksidas ir aliuminio hidroksidas. Vienoje kramtomojoje tabletėje yra 400 mg magnio hidroksido ir 400 mg aliuminio hidroksido (hidratuoto aliuminio oksido pavidalu).</w:t>
      </w:r>
    </w:p>
    <w:p w:rsidR="00821B53" w:rsidRPr="002E56BA" w:rsidRDefault="00821B53" w:rsidP="00821B53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2E56BA">
        <w:rPr>
          <w:rFonts w:ascii="Times New Roman" w:eastAsia="MS Mincho" w:hAnsi="Times New Roman" w:cs="Times New Roman"/>
          <w:lang w:eastAsia="ja-JP"/>
        </w:rPr>
        <w:t>Pagalbinės medžiagos yra skystasis sorbitolis (nesikristalizuojantis) (E420), maltitolis (E965), glicerolis, sacharino natrio druska, citrinų skonio medžiaga, talkas, magnio stearatas.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>Maalox išvaizda ir kiekis pakuotėje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Maalox (be cukraus) tabletės yra nuožulnios, apvalios, su įspaudu, nuo baltos iki gelsvos spalvos, citrinų skonio.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Dėžutė, kurioje yra 20 arba 40 kramtomųjų tablečių aliuminio folijos ir PVC lizdinėse plokštelėse.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Lizdinėje plokštelėje yra 10 kramtomųjų tablečių.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E56BA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56BA">
        <w:rPr>
          <w:rFonts w:ascii="Times New Roman" w:eastAsia="Times New Roman" w:hAnsi="Times New Roman" w:cs="Times New Roman"/>
          <w:i/>
        </w:rPr>
        <w:t>Registruotojas</w:t>
      </w:r>
    </w:p>
    <w:p w:rsidR="00821B53" w:rsidRPr="004D313A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4D313A">
        <w:rPr>
          <w:rFonts w:ascii="Times New Roman" w:hAnsi="Times New Roman" w:cs="Times New Roman"/>
        </w:rPr>
        <w:t>Opella Healthcare France SAS</w:t>
      </w:r>
    </w:p>
    <w:p w:rsidR="00821B53" w:rsidRPr="00570FF9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570FF9">
        <w:rPr>
          <w:rFonts w:ascii="Times New Roman" w:hAnsi="Times New Roman" w:cs="Times New Roman"/>
        </w:rPr>
        <w:t xml:space="preserve">157 Avenue Charles De Gaulle </w:t>
      </w:r>
    </w:p>
    <w:p w:rsidR="00821B5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570FF9">
        <w:rPr>
          <w:rFonts w:ascii="Times New Roman" w:hAnsi="Times New Roman" w:cs="Times New Roman"/>
        </w:rPr>
        <w:t>92200 Neuilly-sur-Seine</w:t>
      </w:r>
    </w:p>
    <w:p w:rsidR="00821B53" w:rsidRPr="004D313A" w:rsidRDefault="00821B53" w:rsidP="00821B53">
      <w:pPr>
        <w:spacing w:after="0" w:line="240" w:lineRule="auto"/>
        <w:rPr>
          <w:rFonts w:ascii="Times New Roman" w:hAnsi="Times New Roman" w:cs="Times New Roman"/>
        </w:rPr>
      </w:pPr>
    </w:p>
    <w:p w:rsidR="00821B5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4D313A">
        <w:rPr>
          <w:rFonts w:ascii="Times New Roman" w:hAnsi="Times New Roman" w:cs="Times New Roman"/>
        </w:rPr>
        <w:t>Prancūzija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2E56BA">
        <w:rPr>
          <w:rFonts w:ascii="Times New Roman" w:eastAsia="Times New Roman" w:hAnsi="Times New Roman" w:cs="Times New Roman"/>
          <w:i/>
        </w:rPr>
        <w:t>Gamintojas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 xml:space="preserve">Sanofi </w:t>
      </w:r>
      <w:r>
        <w:rPr>
          <w:rFonts w:ascii="Times New Roman" w:eastAsia="Times New Roman" w:hAnsi="Times New Roman" w:cs="Times New Roman"/>
          <w:lang w:eastAsia="lt-LT"/>
        </w:rPr>
        <w:t>S.r.l.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S</w:t>
      </w:r>
      <w:r>
        <w:rPr>
          <w:rFonts w:ascii="Times New Roman" w:eastAsia="Times New Roman" w:hAnsi="Times New Roman" w:cs="Times New Roman"/>
          <w:lang w:eastAsia="lt-LT"/>
        </w:rPr>
        <w:t xml:space="preserve">trada </w:t>
      </w:r>
      <w:r w:rsidRPr="002E56BA">
        <w:rPr>
          <w:rFonts w:ascii="Times New Roman" w:eastAsia="Times New Roman" w:hAnsi="Times New Roman" w:cs="Times New Roman"/>
          <w:lang w:eastAsia="lt-LT"/>
        </w:rPr>
        <w:t>S</w:t>
      </w:r>
      <w:r>
        <w:rPr>
          <w:rFonts w:ascii="Times New Roman" w:eastAsia="Times New Roman" w:hAnsi="Times New Roman" w:cs="Times New Roman"/>
          <w:lang w:eastAsia="lt-LT"/>
        </w:rPr>
        <w:t>tatale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 17</w:t>
      </w:r>
      <w:r>
        <w:rPr>
          <w:rFonts w:ascii="Times New Roman" w:eastAsia="Times New Roman" w:hAnsi="Times New Roman" w:cs="Times New Roman"/>
          <w:lang w:eastAsia="lt-LT"/>
        </w:rPr>
        <w:t>,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 KM 22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67019 Scoppito (AQ)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E56BA">
        <w:rPr>
          <w:rFonts w:ascii="Times New Roman" w:eastAsia="Times New Roman" w:hAnsi="Times New Roman" w:cs="Times New Roman"/>
          <w:lang w:eastAsia="lt-LT"/>
        </w:rPr>
        <w:t>Italija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2163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221633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:rsidR="00821B53" w:rsidRDefault="00821B53" w:rsidP="00821B53">
      <w:pPr>
        <w:spacing w:after="0" w:line="240" w:lineRule="auto"/>
        <w:rPr>
          <w:rFonts w:ascii="Times New Roman" w:hAnsi="Times New Roman" w:cs="Times New Roman"/>
        </w:rPr>
      </w:pPr>
    </w:p>
    <w:p w:rsidR="00821B53" w:rsidRPr="0022163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221633">
        <w:rPr>
          <w:rFonts w:ascii="Times New Roman" w:hAnsi="Times New Roman" w:cs="Times New Roman"/>
        </w:rPr>
        <w:t>UAB „STADA Baltics“</w:t>
      </w:r>
    </w:p>
    <w:p w:rsidR="00821B53" w:rsidRPr="0022163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221633">
        <w:rPr>
          <w:rFonts w:ascii="Times New Roman" w:hAnsi="Times New Roman" w:cs="Times New Roman"/>
        </w:rPr>
        <w:t>A. Goštauto g. 40A</w:t>
      </w:r>
    </w:p>
    <w:p w:rsidR="00821B53" w:rsidRPr="0022163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221633">
        <w:rPr>
          <w:rFonts w:ascii="Times New Roman" w:hAnsi="Times New Roman" w:cs="Times New Roman"/>
        </w:rPr>
        <w:t>03163 Vilnius, Lietuva</w:t>
      </w:r>
    </w:p>
    <w:p w:rsidR="00821B53" w:rsidRPr="00221633" w:rsidRDefault="00821B53" w:rsidP="00821B53">
      <w:pPr>
        <w:spacing w:after="0" w:line="240" w:lineRule="auto"/>
        <w:rPr>
          <w:rFonts w:ascii="Times New Roman" w:hAnsi="Times New Roman" w:cs="Times New Roman"/>
        </w:rPr>
      </w:pPr>
      <w:r w:rsidRPr="00221633">
        <w:rPr>
          <w:rFonts w:ascii="Times New Roman" w:hAnsi="Times New Roman" w:cs="Times New Roman"/>
        </w:rPr>
        <w:t>Tel. +370 52603926</w:t>
      </w:r>
    </w:p>
    <w:p w:rsidR="00821B53" w:rsidRDefault="00821B53" w:rsidP="00821B5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stada.baltics@stada.com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2E56BA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2E56BA">
        <w:rPr>
          <w:rFonts w:ascii="Times New Roman" w:eastAsia="Times New Roman" w:hAnsi="Times New Roman" w:cs="Times New Roman"/>
          <w:b/>
          <w:lang w:eastAsia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2023-07-15.</w:t>
      </w: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lt-LT"/>
        </w:rPr>
      </w:pPr>
      <w:r w:rsidRPr="002E56BA">
        <w:rPr>
          <w:rFonts w:ascii="Times New Roman" w:eastAsia="Calibri" w:hAnsi="Times New Roman" w:cs="Times New Roman"/>
        </w:rPr>
        <w:t>Išsami informacija apie šį vaistą</w:t>
      </w:r>
      <w:r w:rsidRPr="002E56BA">
        <w:rPr>
          <w:rFonts w:ascii="Times New Roman" w:eastAsia="Times New Roman" w:hAnsi="Times New Roman" w:cs="Times New Roman"/>
          <w:lang w:eastAsia="lt-LT"/>
        </w:rPr>
        <w:t xml:space="preserve"> pateikiama Valstybinės vaistų kontrolės tarnybos prie Lietuvos Respublikos sveikatos apsaugos ministerijos </w:t>
      </w:r>
      <w:r w:rsidRPr="002E56BA">
        <w:rPr>
          <w:rFonts w:ascii="Times New Roman" w:eastAsia="Calibri" w:hAnsi="Times New Roman" w:cs="Times New Roman"/>
        </w:rPr>
        <w:t xml:space="preserve">tinklalapyje </w:t>
      </w:r>
      <w:hyperlink r:id="rId5" w:history="1">
        <w:r w:rsidRPr="002E56BA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http://www.vvkt.lt/</w:t>
        </w:r>
      </w:hyperlink>
    </w:p>
    <w:p w:rsidR="00821B53" w:rsidRPr="002E56BA" w:rsidRDefault="00821B53" w:rsidP="00821B53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lt-LT"/>
        </w:rPr>
      </w:pPr>
    </w:p>
    <w:p w:rsidR="009041DB" w:rsidRDefault="009041DB">
      <w:bookmarkStart w:id="14" w:name="_GoBack"/>
      <w:bookmarkEnd w:id="14"/>
    </w:p>
    <w:sectPr w:rsidR="009041DB" w:rsidSect="006952EE">
      <w:footerReference w:type="even" r:id="rId6"/>
      <w:footerReference w:type="default" r:id="rId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2B" w:rsidRDefault="00821B53" w:rsidP="006952E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405E2B" w:rsidRDefault="00821B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2B" w:rsidRPr="00674AC8" w:rsidRDefault="00821B53" w:rsidP="006952EE">
    <w:pPr>
      <w:pStyle w:val="Porat"/>
      <w:framePr w:wrap="around" w:vAnchor="text" w:hAnchor="margin" w:xAlign="center" w:y="1"/>
      <w:rPr>
        <w:rStyle w:val="Puslapionumeris"/>
        <w:rFonts w:ascii="Times New Roman" w:hAnsi="Times New Roman" w:cs="Times New Roman"/>
        <w:sz w:val="20"/>
        <w:szCs w:val="20"/>
      </w:rPr>
    </w:pPr>
    <w:r w:rsidRPr="00674AC8">
      <w:rPr>
        <w:rStyle w:val="Puslapionumeris"/>
        <w:rFonts w:ascii="Times New Roman" w:hAnsi="Times New Roman" w:cs="Times New Roman"/>
        <w:sz w:val="20"/>
        <w:szCs w:val="20"/>
      </w:rPr>
      <w:fldChar w:fldCharType="begin"/>
    </w:r>
    <w:r w:rsidRPr="00674AC8">
      <w:rPr>
        <w:rStyle w:val="Puslapionumeris"/>
        <w:rFonts w:ascii="Times New Roman" w:hAnsi="Times New Roman" w:cs="Times New Roman"/>
        <w:sz w:val="20"/>
        <w:szCs w:val="20"/>
      </w:rPr>
      <w:instrText xml:space="preserve">PAGE  </w:instrText>
    </w:r>
    <w:r w:rsidRPr="00674AC8">
      <w:rPr>
        <w:rStyle w:val="Puslapionumeris"/>
        <w:rFonts w:ascii="Times New Roman" w:hAnsi="Times New Roman" w:cs="Times New Roman"/>
        <w:sz w:val="20"/>
        <w:szCs w:val="20"/>
      </w:rPr>
      <w:fldChar w:fldCharType="separate"/>
    </w:r>
    <w:r>
      <w:rPr>
        <w:rStyle w:val="Puslapionumeris"/>
        <w:rFonts w:ascii="Times New Roman" w:hAnsi="Times New Roman" w:cs="Times New Roman"/>
        <w:noProof/>
        <w:sz w:val="20"/>
        <w:szCs w:val="20"/>
      </w:rPr>
      <w:t>5</w:t>
    </w:r>
    <w:r w:rsidRPr="00674AC8">
      <w:rPr>
        <w:rStyle w:val="Puslapionumeris"/>
        <w:rFonts w:ascii="Times New Roman" w:hAnsi="Times New Roman" w:cs="Times New Roman"/>
        <w:sz w:val="20"/>
        <w:szCs w:val="20"/>
      </w:rPr>
      <w:fldChar w:fldCharType="end"/>
    </w:r>
  </w:p>
  <w:p w:rsidR="00405E2B" w:rsidRDefault="00821B53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7B"/>
    <w:multiLevelType w:val="hybridMultilevel"/>
    <w:tmpl w:val="6B38AFBC"/>
    <w:lvl w:ilvl="0" w:tplc="C79C276E">
      <w:start w:val="1"/>
      <w:numFmt w:val="bullet"/>
      <w:lvlText w:val="-"/>
      <w:lvlJc w:val="left"/>
      <w:pPr>
        <w:tabs>
          <w:tab w:val="num" w:pos="720"/>
        </w:tabs>
        <w:ind w:left="648" w:hanging="648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B29"/>
    <w:multiLevelType w:val="hybridMultilevel"/>
    <w:tmpl w:val="40A0BF4C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48A"/>
    <w:multiLevelType w:val="hybridMultilevel"/>
    <w:tmpl w:val="B8CE25F8"/>
    <w:lvl w:ilvl="0" w:tplc="B1CED16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10E2"/>
    <w:multiLevelType w:val="hybridMultilevel"/>
    <w:tmpl w:val="E2A45F76"/>
    <w:lvl w:ilvl="0" w:tplc="BD04D6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D8A"/>
    <w:multiLevelType w:val="hybridMultilevel"/>
    <w:tmpl w:val="0E505AE2"/>
    <w:lvl w:ilvl="0" w:tplc="41C0B8B4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5E63"/>
    <w:multiLevelType w:val="hybridMultilevel"/>
    <w:tmpl w:val="95AA4038"/>
    <w:lvl w:ilvl="0" w:tplc="311A08E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25996"/>
    <w:multiLevelType w:val="hybridMultilevel"/>
    <w:tmpl w:val="5E74D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A73551"/>
    <w:multiLevelType w:val="hybridMultilevel"/>
    <w:tmpl w:val="4E1601C4"/>
    <w:lvl w:ilvl="0" w:tplc="4294B9B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6FA0"/>
    <w:multiLevelType w:val="hybridMultilevel"/>
    <w:tmpl w:val="31969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B00112"/>
    <w:multiLevelType w:val="hybridMultilevel"/>
    <w:tmpl w:val="81029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83009"/>
    <w:multiLevelType w:val="hybridMultilevel"/>
    <w:tmpl w:val="DAF80FCE"/>
    <w:lvl w:ilvl="0" w:tplc="3FEA57A6">
      <w:start w:val="12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6A829F7A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53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21B53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5837-4015-4901-B17F-9E3CCEF9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1B53"/>
    <w:pPr>
      <w:spacing w:after="200" w:line="27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21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1B53"/>
    <w:rPr>
      <w:rFonts w:eastAsiaTheme="minorHAnsi"/>
    </w:rPr>
  </w:style>
  <w:style w:type="character" w:styleId="Puslapionumeris">
    <w:name w:val="page number"/>
    <w:basedOn w:val="Numatytasispastraiposriftas"/>
    <w:rsid w:val="00821B53"/>
  </w:style>
  <w:style w:type="paragraph" w:styleId="Sraopastraipa">
    <w:name w:val="List Paragraph"/>
    <w:basedOn w:val="prastasis"/>
    <w:uiPriority w:val="34"/>
    <w:qFormat/>
    <w:rsid w:val="00821B53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821B5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rsid w:val="00821B53"/>
    <w:rPr>
      <w:rFonts w:ascii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8029</Words>
  <Characters>4578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2023-09-06T10:57:00Z</dcterms:created>
  <dcterms:modified xsi:type="dcterms:W3CDTF">2023-09-06T10:58:00Z</dcterms:modified>
</cp:coreProperties>
</file>