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285D2" w14:textId="77777777" w:rsidR="00173463" w:rsidRPr="00842A24" w:rsidRDefault="00173463" w:rsidP="00173463">
      <w:bookmarkStart w:id="0" w:name="_GoBack"/>
      <w:bookmarkEnd w:id="0"/>
    </w:p>
    <w:p w14:paraId="03E46B29" w14:textId="77777777" w:rsidR="00173463" w:rsidRPr="00842A24" w:rsidRDefault="00173463" w:rsidP="00173463"/>
    <w:p w14:paraId="6CEFBB44" w14:textId="77777777" w:rsidR="00173463" w:rsidRPr="00842A24" w:rsidRDefault="00173463" w:rsidP="00173463"/>
    <w:p w14:paraId="43F00275" w14:textId="77777777" w:rsidR="00173463" w:rsidRPr="00842A24" w:rsidRDefault="00173463" w:rsidP="00173463"/>
    <w:p w14:paraId="699B2BED" w14:textId="77777777" w:rsidR="00173463" w:rsidRPr="00842A24" w:rsidRDefault="00173463" w:rsidP="00173463"/>
    <w:p w14:paraId="00F112BF" w14:textId="77777777" w:rsidR="00173463" w:rsidRPr="00842A24" w:rsidRDefault="00173463" w:rsidP="00173463"/>
    <w:p w14:paraId="3B68CF3A" w14:textId="77777777" w:rsidR="00173463" w:rsidRPr="00842A24" w:rsidRDefault="00173463" w:rsidP="00173463"/>
    <w:p w14:paraId="3EE2B37F" w14:textId="77777777" w:rsidR="00173463" w:rsidRPr="00842A24" w:rsidRDefault="00173463" w:rsidP="00173463"/>
    <w:p w14:paraId="1A0CE2C2" w14:textId="77777777" w:rsidR="00173463" w:rsidRPr="00842A24" w:rsidRDefault="00173463" w:rsidP="00173463"/>
    <w:p w14:paraId="7B63FB39" w14:textId="77777777" w:rsidR="00173463" w:rsidRPr="00842A24" w:rsidRDefault="00173463" w:rsidP="00173463"/>
    <w:p w14:paraId="45A9B63D" w14:textId="77777777" w:rsidR="00173463" w:rsidRPr="00842A24" w:rsidRDefault="00173463" w:rsidP="009E4666">
      <w:pPr>
        <w:pStyle w:val="BTEMEASMCA"/>
      </w:pPr>
    </w:p>
    <w:p w14:paraId="1AC117CE" w14:textId="77777777" w:rsidR="00173463" w:rsidRPr="00842A24" w:rsidRDefault="00173463" w:rsidP="009E4666">
      <w:pPr>
        <w:pStyle w:val="BTEMEASMCA"/>
      </w:pPr>
    </w:p>
    <w:p w14:paraId="7CBB04E9" w14:textId="77777777" w:rsidR="00173463" w:rsidRPr="00842A24" w:rsidRDefault="00173463" w:rsidP="009E4666">
      <w:pPr>
        <w:pStyle w:val="BTEMEASMCA"/>
      </w:pPr>
    </w:p>
    <w:p w14:paraId="2DB85F00" w14:textId="77777777" w:rsidR="00173463" w:rsidRPr="00842A24" w:rsidRDefault="00173463" w:rsidP="009E4666">
      <w:pPr>
        <w:pStyle w:val="BTEMEASMCA"/>
      </w:pPr>
    </w:p>
    <w:p w14:paraId="15213C53" w14:textId="77777777" w:rsidR="00173463" w:rsidRPr="00842A24" w:rsidRDefault="00173463" w:rsidP="009E4666">
      <w:pPr>
        <w:pStyle w:val="BTEMEASMCA"/>
      </w:pPr>
    </w:p>
    <w:p w14:paraId="3713EDE8" w14:textId="77777777" w:rsidR="00173463" w:rsidRPr="00842A24" w:rsidRDefault="00173463" w:rsidP="009E4666">
      <w:pPr>
        <w:pStyle w:val="BTEMEASMCA"/>
      </w:pPr>
    </w:p>
    <w:p w14:paraId="129AA823" w14:textId="77777777" w:rsidR="00173463" w:rsidRPr="00842A24" w:rsidRDefault="00173463" w:rsidP="009E4666">
      <w:pPr>
        <w:pStyle w:val="BTEMEASMCA"/>
      </w:pPr>
    </w:p>
    <w:p w14:paraId="52310BCC" w14:textId="77777777" w:rsidR="00173463" w:rsidRPr="00842A24" w:rsidRDefault="00173463" w:rsidP="009E4666">
      <w:pPr>
        <w:pStyle w:val="BTEMEASMCA"/>
      </w:pPr>
    </w:p>
    <w:p w14:paraId="3E9E7D15" w14:textId="77777777" w:rsidR="00173463" w:rsidRPr="00842A24" w:rsidRDefault="00173463" w:rsidP="009E4666">
      <w:pPr>
        <w:pStyle w:val="BTEMEASMCA"/>
      </w:pPr>
    </w:p>
    <w:p w14:paraId="61315EA7" w14:textId="77777777" w:rsidR="00173463" w:rsidRPr="00842A24" w:rsidRDefault="00173463" w:rsidP="009E4666">
      <w:pPr>
        <w:pStyle w:val="BTEMEASMCA"/>
      </w:pPr>
    </w:p>
    <w:p w14:paraId="3E090635" w14:textId="77777777" w:rsidR="00173463" w:rsidRPr="00842A24" w:rsidRDefault="00173463" w:rsidP="009E4666">
      <w:pPr>
        <w:pStyle w:val="BTEMEASMCA"/>
      </w:pPr>
    </w:p>
    <w:p w14:paraId="7B3FFB6A" w14:textId="77777777" w:rsidR="00173463" w:rsidRPr="00842A24" w:rsidRDefault="00173463" w:rsidP="009E4666">
      <w:pPr>
        <w:pStyle w:val="BTEMEASMCA"/>
      </w:pPr>
    </w:p>
    <w:p w14:paraId="609CFB61" w14:textId="77777777" w:rsidR="00173463" w:rsidRPr="00842A24" w:rsidRDefault="00173463" w:rsidP="009E4666">
      <w:pPr>
        <w:pStyle w:val="BTEMEASMCA"/>
      </w:pPr>
    </w:p>
    <w:p w14:paraId="0164AB68" w14:textId="1F898E10" w:rsidR="00173463" w:rsidRPr="00842A24" w:rsidRDefault="00173463" w:rsidP="00173463">
      <w:pPr>
        <w:pStyle w:val="TTEMEASMCA"/>
        <w:rPr>
          <w:b w:val="0"/>
          <w:caps w:val="0"/>
          <w:lang w:val="lt-LT"/>
        </w:rPr>
      </w:pPr>
      <w:bookmarkStart w:id="1" w:name="_Toc129243096"/>
      <w:bookmarkStart w:id="2" w:name="_Toc129243221"/>
      <w:r w:rsidRPr="00842A24">
        <w:rPr>
          <w:lang w:val="lt-LT"/>
        </w:rPr>
        <w:t>I PRIEDAS</w:t>
      </w:r>
      <w:bookmarkEnd w:id="1"/>
      <w:bookmarkEnd w:id="2"/>
    </w:p>
    <w:p w14:paraId="0E106F3B" w14:textId="77777777" w:rsidR="00173463" w:rsidRPr="00842A24" w:rsidRDefault="00173463" w:rsidP="009E4666">
      <w:pPr>
        <w:pStyle w:val="BTEMEASMCA"/>
      </w:pPr>
    </w:p>
    <w:p w14:paraId="2787D1A0" w14:textId="7E3682EB" w:rsidR="00173463" w:rsidRPr="00842A24" w:rsidRDefault="00173463" w:rsidP="00173463">
      <w:pPr>
        <w:pStyle w:val="TTEMEASMCA"/>
        <w:rPr>
          <w:b w:val="0"/>
          <w:caps w:val="0"/>
          <w:lang w:val="lt-LT"/>
        </w:rPr>
      </w:pPr>
      <w:bookmarkStart w:id="3" w:name="_Toc129243097"/>
      <w:bookmarkStart w:id="4" w:name="_Toc129243222"/>
      <w:r w:rsidRPr="00842A24">
        <w:rPr>
          <w:lang w:val="lt-LT"/>
        </w:rPr>
        <w:t>PREPARATO CHARAKTERISTIKŲ SANTRAUKA</w:t>
      </w:r>
      <w:bookmarkEnd w:id="3"/>
      <w:bookmarkEnd w:id="4"/>
    </w:p>
    <w:p w14:paraId="2081A608" w14:textId="77777777" w:rsidR="00173463" w:rsidRPr="00842A24" w:rsidRDefault="00173463" w:rsidP="00173463">
      <w:pPr>
        <w:pStyle w:val="PI-1EMEASMCA"/>
      </w:pPr>
      <w:r w:rsidRPr="00842A24">
        <w:br w:type="page"/>
      </w:r>
      <w:bookmarkStart w:id="5" w:name="_Toc129243098"/>
      <w:bookmarkStart w:id="6" w:name="_Toc129243223"/>
      <w:r w:rsidRPr="00842A24">
        <w:lastRenderedPageBreak/>
        <w:t>1.</w:t>
      </w:r>
      <w:r w:rsidRPr="00842A24">
        <w:tab/>
        <w:t>VAISTINIO PREPARATO PAVADINIMAS</w:t>
      </w:r>
      <w:bookmarkEnd w:id="5"/>
      <w:bookmarkEnd w:id="6"/>
    </w:p>
    <w:p w14:paraId="28CB33E6" w14:textId="77777777" w:rsidR="00173463" w:rsidRPr="00842A24" w:rsidRDefault="00173463" w:rsidP="009E4666">
      <w:pPr>
        <w:pStyle w:val="BTEMEASMCA"/>
      </w:pPr>
    </w:p>
    <w:p w14:paraId="1692B61E" w14:textId="77777777" w:rsidR="00173463" w:rsidRPr="00842A24" w:rsidRDefault="00173463" w:rsidP="009E4666">
      <w:pPr>
        <w:pStyle w:val="BTEMEASMCA"/>
      </w:pPr>
      <w:r w:rsidRPr="00842A24">
        <w:t>Exemestane Accord 25 mg plėvele dengtos tabletės</w:t>
      </w:r>
    </w:p>
    <w:p w14:paraId="15615788" w14:textId="77777777" w:rsidR="00173463" w:rsidRPr="00842A24" w:rsidRDefault="00173463" w:rsidP="009E4666">
      <w:pPr>
        <w:pStyle w:val="BTEMEASMCA"/>
      </w:pPr>
    </w:p>
    <w:p w14:paraId="5267C832" w14:textId="77777777" w:rsidR="00173463" w:rsidRPr="00842A24" w:rsidRDefault="00173463" w:rsidP="009E4666">
      <w:pPr>
        <w:pStyle w:val="BTEMEASMCA"/>
      </w:pPr>
    </w:p>
    <w:p w14:paraId="727808CE" w14:textId="77CC9BD2" w:rsidR="00173463" w:rsidRPr="00842A24" w:rsidRDefault="00173463" w:rsidP="00173463">
      <w:pPr>
        <w:pStyle w:val="PI-1EMEASMCA"/>
        <w:rPr>
          <w:b w:val="0"/>
        </w:rPr>
      </w:pPr>
      <w:bookmarkStart w:id="7" w:name="_Toc129243099"/>
      <w:bookmarkStart w:id="8" w:name="_Toc129243224"/>
      <w:r w:rsidRPr="00842A24">
        <w:t>2.</w:t>
      </w:r>
      <w:r w:rsidRPr="00842A24">
        <w:tab/>
        <w:t>KOKYBINĖ IR KIEKYBINĖ SUDĖTIS</w:t>
      </w:r>
      <w:bookmarkEnd w:id="7"/>
      <w:bookmarkEnd w:id="8"/>
    </w:p>
    <w:p w14:paraId="01F6B8E2" w14:textId="77777777" w:rsidR="00173463" w:rsidRPr="00842A24" w:rsidRDefault="00173463" w:rsidP="009E4666">
      <w:pPr>
        <w:pStyle w:val="BTEMEASMCA"/>
      </w:pPr>
    </w:p>
    <w:p w14:paraId="711F54E5" w14:textId="77777777" w:rsidR="00173463" w:rsidRPr="00842A24" w:rsidRDefault="00173463" w:rsidP="00173463">
      <w:r w:rsidRPr="00842A24">
        <w:t>Kiekvienoje plėvele dengtoje tabletėje yra 25 mg eksemestano.</w:t>
      </w:r>
    </w:p>
    <w:p w14:paraId="5A08C822" w14:textId="77777777" w:rsidR="00173463" w:rsidRPr="00842A24" w:rsidRDefault="00173463" w:rsidP="00173463">
      <w:pPr>
        <w:rPr>
          <w:color w:val="000000"/>
        </w:rPr>
      </w:pPr>
      <w:r w:rsidRPr="00842A24">
        <w:t>Pagalbinė (-s) medžiaga (-os), kurios (-ių) poveikis žinomas:</w:t>
      </w:r>
    </w:p>
    <w:p w14:paraId="1DF2A356" w14:textId="77777777" w:rsidR="00173463" w:rsidRPr="00842A24" w:rsidRDefault="00173463" w:rsidP="00173463">
      <w:pPr>
        <w:rPr>
          <w:color w:val="000000"/>
          <w:szCs w:val="22"/>
        </w:rPr>
      </w:pPr>
      <w:r w:rsidRPr="00842A24">
        <w:t xml:space="preserve">Kiekvienoje plėvele dengtoje tabletėje yra </w:t>
      </w:r>
      <w:r w:rsidRPr="00842A24">
        <w:rPr>
          <w:color w:val="000000"/>
          <w:szCs w:val="22"/>
        </w:rPr>
        <w:t xml:space="preserve">90,4 mg manitolio. </w:t>
      </w:r>
    </w:p>
    <w:p w14:paraId="0070CBB3" w14:textId="77777777" w:rsidR="00173463" w:rsidRPr="00842A24" w:rsidRDefault="00173463" w:rsidP="00173463">
      <w:pPr>
        <w:rPr>
          <w:color w:val="000000"/>
        </w:rPr>
      </w:pPr>
    </w:p>
    <w:p w14:paraId="02434103" w14:textId="77777777" w:rsidR="00173463" w:rsidRPr="00842A24" w:rsidRDefault="00173463" w:rsidP="009E4666">
      <w:pPr>
        <w:pStyle w:val="BTEMEASMCA"/>
      </w:pPr>
      <w:r w:rsidRPr="00842A24">
        <w:t>Visos pagalbinės medžiagos išvardytos 6.1 skyriuje.</w:t>
      </w:r>
    </w:p>
    <w:p w14:paraId="6921BF4B" w14:textId="77777777" w:rsidR="00173463" w:rsidRPr="00842A24" w:rsidRDefault="00173463" w:rsidP="009E4666">
      <w:pPr>
        <w:pStyle w:val="BTEMEASMCA"/>
      </w:pPr>
    </w:p>
    <w:p w14:paraId="4EB49638" w14:textId="77777777" w:rsidR="00173463" w:rsidRPr="00842A24" w:rsidRDefault="00173463" w:rsidP="009E4666">
      <w:pPr>
        <w:pStyle w:val="BTEMEASMCA"/>
      </w:pPr>
    </w:p>
    <w:p w14:paraId="00F3B824" w14:textId="0F63EAC8" w:rsidR="00173463" w:rsidRPr="00842A24" w:rsidRDefault="00173463" w:rsidP="00173463">
      <w:pPr>
        <w:pStyle w:val="PI-1EMEASMCA"/>
        <w:rPr>
          <w:b w:val="0"/>
        </w:rPr>
      </w:pPr>
      <w:bookmarkStart w:id="9" w:name="_Toc129243100"/>
      <w:bookmarkStart w:id="10" w:name="_Toc129243225"/>
      <w:r w:rsidRPr="00842A24">
        <w:t>3.</w:t>
      </w:r>
      <w:r w:rsidRPr="00842A24">
        <w:tab/>
        <w:t>FARMACINĖ FORMA</w:t>
      </w:r>
      <w:bookmarkEnd w:id="9"/>
      <w:bookmarkEnd w:id="10"/>
    </w:p>
    <w:p w14:paraId="20EBEFBB" w14:textId="77777777" w:rsidR="00173463" w:rsidRPr="00842A24" w:rsidRDefault="00173463" w:rsidP="009E4666">
      <w:pPr>
        <w:pStyle w:val="BTEMEASMCA"/>
      </w:pPr>
    </w:p>
    <w:p w14:paraId="1658AAAF" w14:textId="77777777" w:rsidR="00173463" w:rsidRPr="00842A24" w:rsidRDefault="00173463" w:rsidP="00173463">
      <w:r w:rsidRPr="00842A24">
        <w:t>Plėvele dengta tabletė.</w:t>
      </w:r>
    </w:p>
    <w:p w14:paraId="6298C112" w14:textId="77777777" w:rsidR="00173463" w:rsidRPr="00842A24" w:rsidRDefault="00173463" w:rsidP="00173463"/>
    <w:p w14:paraId="1933A84B" w14:textId="77777777" w:rsidR="00173463" w:rsidRPr="00842A24" w:rsidRDefault="00173463" w:rsidP="00173463">
      <w:r w:rsidRPr="00842A24">
        <w:t>Tabletės yra baltos arba beveik baltos, apvalios, abipus išgaubtos, dengtos plėvele, vienoje jų pusėje įspausta „E25“, o kita pusė - lygi.</w:t>
      </w:r>
    </w:p>
    <w:p w14:paraId="6DCC11D2" w14:textId="77777777" w:rsidR="00173463" w:rsidRPr="00842A24" w:rsidRDefault="00173463" w:rsidP="009E4666">
      <w:pPr>
        <w:pStyle w:val="BTEMEASMCA"/>
      </w:pPr>
    </w:p>
    <w:p w14:paraId="48D4978E" w14:textId="77777777" w:rsidR="00173463" w:rsidRPr="00842A24" w:rsidRDefault="00173463" w:rsidP="009E4666">
      <w:pPr>
        <w:pStyle w:val="BTEMEASMCA"/>
      </w:pPr>
    </w:p>
    <w:p w14:paraId="1EC6FC94" w14:textId="78CA16B9" w:rsidR="00173463" w:rsidRPr="00842A24" w:rsidRDefault="00173463" w:rsidP="00173463">
      <w:pPr>
        <w:pStyle w:val="PI-1EMEASMCA"/>
        <w:rPr>
          <w:b w:val="0"/>
        </w:rPr>
      </w:pPr>
      <w:bookmarkStart w:id="11" w:name="_Toc129243101"/>
      <w:bookmarkStart w:id="12" w:name="_Toc129243226"/>
      <w:r w:rsidRPr="00842A24">
        <w:t>4.</w:t>
      </w:r>
      <w:r w:rsidRPr="00842A24">
        <w:tab/>
        <w:t>KLINIKINĖ INFORMACIJA</w:t>
      </w:r>
      <w:bookmarkEnd w:id="11"/>
      <w:bookmarkEnd w:id="12"/>
    </w:p>
    <w:p w14:paraId="52D47303" w14:textId="77777777" w:rsidR="00173463" w:rsidRPr="00842A24" w:rsidRDefault="00173463" w:rsidP="009E4666">
      <w:pPr>
        <w:pStyle w:val="BTEMEASMCA"/>
      </w:pPr>
    </w:p>
    <w:p w14:paraId="3B4D0B3D" w14:textId="000FBAC0" w:rsidR="00173463" w:rsidRPr="00842A24" w:rsidRDefault="00173463" w:rsidP="00173463">
      <w:pPr>
        <w:pStyle w:val="PI-2EMEASMCA"/>
        <w:rPr>
          <w:b w:val="0"/>
        </w:rPr>
      </w:pPr>
      <w:bookmarkStart w:id="13" w:name="_Toc129243102"/>
      <w:bookmarkStart w:id="14" w:name="_Toc129243227"/>
      <w:r w:rsidRPr="00842A24">
        <w:t>4.1</w:t>
      </w:r>
      <w:r w:rsidRPr="00842A24">
        <w:tab/>
        <w:t>Terapinės indikacijos</w:t>
      </w:r>
      <w:bookmarkEnd w:id="13"/>
      <w:bookmarkEnd w:id="14"/>
    </w:p>
    <w:p w14:paraId="15B4F223" w14:textId="77777777" w:rsidR="00173463" w:rsidRPr="00842A24" w:rsidRDefault="00173463" w:rsidP="009E4666">
      <w:pPr>
        <w:pStyle w:val="BTEMEASMCA"/>
      </w:pPr>
    </w:p>
    <w:p w14:paraId="59B9ED6C" w14:textId="77777777" w:rsidR="00173463" w:rsidRPr="00842A24" w:rsidRDefault="00173463" w:rsidP="00173463">
      <w:r w:rsidRPr="00842A24">
        <w:t>Exemestane Accord skirtas adjuvantiniam ankstyvojo invazinio krūties vėžio (EBC), kuriame yra estrogenų receptorių, gydymui moterims po menopauzės, kurioms 2-3 metus buvo taikomas pradinis adjuvantinis gydymas tamoksifenu.</w:t>
      </w:r>
    </w:p>
    <w:p w14:paraId="4CD637BA" w14:textId="77777777" w:rsidR="00173463" w:rsidRPr="00842A24" w:rsidRDefault="00173463" w:rsidP="00173463"/>
    <w:p w14:paraId="5124BF33" w14:textId="77777777" w:rsidR="00173463" w:rsidRPr="00842A24" w:rsidRDefault="00173463" w:rsidP="00173463">
      <w:r w:rsidRPr="00842A24">
        <w:rPr>
          <w:color w:val="000000"/>
        </w:rPr>
        <w:t xml:space="preserve">Exemestane Accord skirtas </w:t>
      </w:r>
      <w:r w:rsidRPr="00842A24">
        <w:t>progresavusio krūties vėžio gydymui moterims po natūralios ar dirbtiniu būdu sukeltos menopauzės</w:t>
      </w:r>
      <w:r w:rsidRPr="00842A24">
        <w:rPr>
          <w:color w:val="000000"/>
        </w:rPr>
        <w:t xml:space="preserve">, jei po gydymo antiestrogenais liga progresavo. </w:t>
      </w:r>
      <w:r w:rsidRPr="00842A24">
        <w:t>Krūties vėžio, kurio audinyje estrogenų receptorių nėra, gydymo šiuo vaistiniu preparatu veiksmingumas neįrodytas.</w:t>
      </w:r>
    </w:p>
    <w:p w14:paraId="09C7DF32" w14:textId="77777777" w:rsidR="00173463" w:rsidRPr="00842A24" w:rsidRDefault="00173463" w:rsidP="009E4666">
      <w:pPr>
        <w:pStyle w:val="BTEMEASMCA"/>
      </w:pPr>
    </w:p>
    <w:p w14:paraId="53CA4892" w14:textId="1ED01DDB" w:rsidR="00173463" w:rsidRPr="00842A24" w:rsidRDefault="00173463" w:rsidP="00173463">
      <w:pPr>
        <w:pStyle w:val="PI-2EMEASMCA"/>
        <w:rPr>
          <w:b w:val="0"/>
        </w:rPr>
      </w:pPr>
      <w:bookmarkStart w:id="15" w:name="_Toc129243103"/>
      <w:bookmarkStart w:id="16" w:name="_Toc129243228"/>
      <w:r w:rsidRPr="00842A24">
        <w:t>4.2</w:t>
      </w:r>
      <w:r w:rsidRPr="00842A24">
        <w:tab/>
        <w:t>Dozavimas ir vartojimo metodas</w:t>
      </w:r>
      <w:bookmarkEnd w:id="15"/>
      <w:bookmarkEnd w:id="16"/>
    </w:p>
    <w:p w14:paraId="124EE6DA" w14:textId="77777777" w:rsidR="00173463" w:rsidRPr="00842A24" w:rsidRDefault="00173463" w:rsidP="00173463"/>
    <w:p w14:paraId="77FAFC8E" w14:textId="77777777" w:rsidR="00173463" w:rsidRPr="00842A24" w:rsidRDefault="00173463" w:rsidP="00173463">
      <w:r w:rsidRPr="00842A24">
        <w:t>Dozavimas</w:t>
      </w:r>
    </w:p>
    <w:p w14:paraId="72B7B8BD" w14:textId="77777777" w:rsidR="00173463" w:rsidRPr="00842A24" w:rsidRDefault="00173463" w:rsidP="00173463">
      <w:r w:rsidRPr="00842A24">
        <w:rPr>
          <w:u w:val="single"/>
        </w:rPr>
        <w:t>Suaugusieji ir senyvi pacientai</w:t>
      </w:r>
    </w:p>
    <w:p w14:paraId="0D370CE5" w14:textId="178F22EC" w:rsidR="00173463" w:rsidRPr="00842A24" w:rsidRDefault="00173463" w:rsidP="00173463">
      <w:r w:rsidRPr="00842A24">
        <w:t xml:space="preserve">Rekomenduojama Exemestane Accord dozė – viena 25 mg tabletė vieną kartą per parą, </w:t>
      </w:r>
      <w:r w:rsidR="00F4612E" w:rsidRPr="00842A24">
        <w:t xml:space="preserve">pageidautina, </w:t>
      </w:r>
      <w:r w:rsidRPr="00842A24">
        <w:t>po valgio.</w:t>
      </w:r>
    </w:p>
    <w:p w14:paraId="13F665C4" w14:textId="77777777" w:rsidR="00173463" w:rsidRPr="00842A24" w:rsidRDefault="00173463" w:rsidP="00173463"/>
    <w:p w14:paraId="6EAAC8FF" w14:textId="3CD87735" w:rsidR="00173463" w:rsidRPr="00842A24" w:rsidRDefault="00173463" w:rsidP="00173463">
      <w:r w:rsidRPr="00842A24">
        <w:t>Pacientėms, sergančioms ankstyvąja krūties vėžio stadija, Exemestane Accord vartojamas iki penkerių metų, kol tęsiasi pagalbinis sekvencinis hormoninis gydymas (tamoksifenu, o vėliau eksemestanu) arba, atsiradus tum</w:t>
      </w:r>
      <w:r w:rsidR="00450A3F" w:rsidRPr="00842A24">
        <w:t>o</w:t>
      </w:r>
      <w:r w:rsidRPr="00842A24">
        <w:t>ro recidyvui, trumpiau.</w:t>
      </w:r>
    </w:p>
    <w:p w14:paraId="28EDD2B4" w14:textId="77777777" w:rsidR="00173463" w:rsidRPr="00842A24" w:rsidRDefault="00173463" w:rsidP="00173463"/>
    <w:p w14:paraId="46B904CE" w14:textId="77777777" w:rsidR="00173463" w:rsidRPr="00842A24" w:rsidRDefault="00173463" w:rsidP="00173463">
      <w:r w:rsidRPr="00842A24">
        <w:t>Pacientėms, sergančioms vėlyvosiomis krūties vėžio stadijomis, gydymas Exemestane Accord tęsiamas tol, kol navikas progresuoja.</w:t>
      </w:r>
    </w:p>
    <w:p w14:paraId="42FA1C44" w14:textId="77777777" w:rsidR="00173463" w:rsidRPr="00842A24" w:rsidRDefault="00173463" w:rsidP="00173463"/>
    <w:p w14:paraId="101B36D8" w14:textId="77777777" w:rsidR="00173463" w:rsidRPr="00842A24" w:rsidRDefault="00173463" w:rsidP="00173463">
      <w:r w:rsidRPr="00842A24">
        <w:t xml:space="preserve">Pacientėms, sergančioms kepenų ar inkstų nepakankamumu, dozės koreguoti nereikia (žr. 5.2 skyrių). </w:t>
      </w:r>
    </w:p>
    <w:p w14:paraId="7F13C3A6" w14:textId="77777777" w:rsidR="00173463" w:rsidRPr="00842A24" w:rsidRDefault="00173463" w:rsidP="00173463"/>
    <w:p w14:paraId="3445A693" w14:textId="77777777" w:rsidR="00173463" w:rsidRPr="00842A24" w:rsidRDefault="00173463" w:rsidP="00173463">
      <w:r w:rsidRPr="00842A24">
        <w:rPr>
          <w:u w:val="single"/>
        </w:rPr>
        <w:t>Vaikų populiacija</w:t>
      </w:r>
    </w:p>
    <w:p w14:paraId="6F142533" w14:textId="77777777" w:rsidR="00173463" w:rsidRPr="00842A24" w:rsidRDefault="00173463" w:rsidP="00173463">
      <w:r w:rsidRPr="00842A24">
        <w:t>Vaikams šio vaistinio preparato vartoti nerekomenduojama.</w:t>
      </w:r>
    </w:p>
    <w:p w14:paraId="72E40086" w14:textId="77777777" w:rsidR="00173463" w:rsidRPr="00842A24" w:rsidRDefault="00173463" w:rsidP="009E4666">
      <w:pPr>
        <w:pStyle w:val="BTEMEASMCA"/>
      </w:pPr>
    </w:p>
    <w:p w14:paraId="2FF4FD35" w14:textId="518E2D80" w:rsidR="00173463" w:rsidRPr="00842A24" w:rsidRDefault="00173463" w:rsidP="00707B40">
      <w:pPr>
        <w:pStyle w:val="PI-2EMEASMCA"/>
        <w:rPr>
          <w:b w:val="0"/>
        </w:rPr>
      </w:pPr>
      <w:bookmarkStart w:id="17" w:name="_Toc129243104"/>
      <w:bookmarkStart w:id="18" w:name="_Toc129243229"/>
      <w:r w:rsidRPr="00842A24">
        <w:t>4.3</w:t>
      </w:r>
      <w:r w:rsidRPr="00842A24">
        <w:tab/>
        <w:t>Kontraindikacijos</w:t>
      </w:r>
      <w:bookmarkEnd w:id="17"/>
      <w:bookmarkEnd w:id="18"/>
    </w:p>
    <w:p w14:paraId="64A29CB7" w14:textId="77777777" w:rsidR="00173463" w:rsidRPr="00842A24" w:rsidRDefault="00173463" w:rsidP="00A20BB7">
      <w:pPr>
        <w:pStyle w:val="BTEMEASMCA"/>
      </w:pPr>
    </w:p>
    <w:p w14:paraId="4D62F6BD" w14:textId="0E930CEF" w:rsidR="00173463" w:rsidRPr="00842A24" w:rsidRDefault="00173463" w:rsidP="00E5770F">
      <w:pPr>
        <w:keepNext/>
      </w:pPr>
      <w:r w:rsidRPr="00842A24">
        <w:lastRenderedPageBreak/>
        <w:t>Exemestane Accord tabletes vartoti negalima, jei padidėjęs organizmo jautrumas veikliajai arba bet kuriai 6.1 skyriuje nurodytai pagalbinei medžiagai moterims prieš menopauzę, taip pat nėščiosioms arba žindyvėms.</w:t>
      </w:r>
    </w:p>
    <w:p w14:paraId="68A09DD4" w14:textId="77777777" w:rsidR="00173463" w:rsidRPr="00842A24" w:rsidRDefault="00173463" w:rsidP="009E4666">
      <w:pPr>
        <w:pStyle w:val="BTEMEASMCA"/>
      </w:pPr>
    </w:p>
    <w:p w14:paraId="74D3C0CE" w14:textId="1307B777" w:rsidR="00173463" w:rsidRPr="00842A24" w:rsidRDefault="00173463" w:rsidP="00173463">
      <w:pPr>
        <w:pStyle w:val="PI-2EMEASMCA"/>
        <w:rPr>
          <w:b w:val="0"/>
        </w:rPr>
      </w:pPr>
      <w:bookmarkStart w:id="19" w:name="_Toc129243105"/>
      <w:bookmarkStart w:id="20" w:name="_Toc129243230"/>
      <w:r w:rsidRPr="00842A24">
        <w:t>4.4</w:t>
      </w:r>
      <w:r w:rsidRPr="00842A24">
        <w:tab/>
        <w:t>Specialūs įspėjimai ir atsargumo priemonės</w:t>
      </w:r>
      <w:bookmarkEnd w:id="19"/>
      <w:bookmarkEnd w:id="20"/>
    </w:p>
    <w:p w14:paraId="7A988329" w14:textId="77777777" w:rsidR="00173463" w:rsidRPr="00842A24" w:rsidRDefault="00173463" w:rsidP="009E4666">
      <w:pPr>
        <w:pStyle w:val="BTEMEASMCA"/>
      </w:pPr>
    </w:p>
    <w:p w14:paraId="47ECC47D" w14:textId="77777777" w:rsidR="00173463" w:rsidRPr="00842A24" w:rsidRDefault="00173463" w:rsidP="00173463">
      <w:r w:rsidRPr="00842A24">
        <w:t>Eksemestano neskirti moterims, kurių endokrininės sistemos būklė yra prieš menopauzę. Jei įvertinus klinikinę būklę tikslinga, reikia ištirti LH, FSH ir estradiolio koncentracijas ir įsitikinti, ar endokrininės sistemos būklė yra po menopauzės.</w:t>
      </w:r>
    </w:p>
    <w:p w14:paraId="613ACE58" w14:textId="77777777" w:rsidR="00173463" w:rsidRPr="00842A24" w:rsidRDefault="00173463" w:rsidP="00173463"/>
    <w:p w14:paraId="280AE521" w14:textId="77777777" w:rsidR="00173463" w:rsidRPr="00842A24" w:rsidRDefault="00173463" w:rsidP="00173463">
      <w:r w:rsidRPr="00842A24">
        <w:t>Pacientės, kurių kepenų arba inkstų funkcija sutrikusi, eksemestano turi vartoti atsargiai.</w:t>
      </w:r>
    </w:p>
    <w:p w14:paraId="513D0AE4" w14:textId="77777777" w:rsidR="00173463" w:rsidRPr="00842A24" w:rsidRDefault="00173463" w:rsidP="009E4666">
      <w:pPr>
        <w:pStyle w:val="BTEMEASMCA"/>
        <w:rPr>
          <w:color w:val="000000"/>
        </w:rPr>
      </w:pPr>
      <w:r w:rsidRPr="00842A24">
        <w:t>Eksemestanas labai sumažina estrogenų kiekį, be to nustatyta, kad eksemestano vartojančioms pacientėms sumažėja kaulų mineralinis tankis (KMT) ir padaugėja kaulų lūžių (žr. 5.1 skyrių). Jeigu Exemestane Accord yra vartojamas kaip moterų, sergančių osteoporoze ar turinčių jai polinkį adjuvantinis gydymas, gydymo pradžioje reikia įvertinti pradinį kaulų mineralizacijos sveikatos įvertinimą,</w:t>
      </w:r>
      <w:r w:rsidRPr="00842A24">
        <w:rPr>
          <w:color w:val="000000"/>
        </w:rPr>
        <w:t xml:space="preserve"> remiantis dabartinėmis klinikinėmis gairėmis ir praktika. Pacientams, su progresavusia liga, kaulų mineralinis tankis kiekvienu atveju turi būti įvertintas individualiai. Nors reikiamų duomenų, rodančių, kokią įtaką gydymas eksemestanu daro kaulų mineraliniam tankiui, negauta, pacientes, gydomas Exemestane Accord, reikia atidžiai stebėti, o pacientėms, kurioms pavojus yra padidėjęs, turi būti pradėtas tinkamas osteoporozės gydymas arba profilaktika. </w:t>
      </w:r>
    </w:p>
    <w:p w14:paraId="2DD7BA00" w14:textId="77777777" w:rsidR="00173463" w:rsidRPr="00842A24" w:rsidRDefault="00173463" w:rsidP="009E4666">
      <w:pPr>
        <w:pStyle w:val="BTEMEASMCA"/>
      </w:pPr>
    </w:p>
    <w:p w14:paraId="48075E6D" w14:textId="3A63D8A8" w:rsidR="00173463" w:rsidRPr="00842A24" w:rsidRDefault="00173463" w:rsidP="009E4666">
      <w:pPr>
        <w:pStyle w:val="BTEMEASMCA"/>
      </w:pPr>
      <w:r w:rsidRPr="00842A24">
        <w:rPr>
          <w:color w:val="000000"/>
        </w:rPr>
        <w:t xml:space="preserve">Prieš pradedant gydymą aromatazės inhibitoriais, reikia pagalvoti apie įprastinį </w:t>
      </w:r>
      <w:r w:rsidRPr="00842A24">
        <w:t xml:space="preserve">25-hidroksi vitamino D </w:t>
      </w:r>
      <w:r w:rsidRPr="00842A24">
        <w:rPr>
          <w:color w:val="000000"/>
        </w:rPr>
        <w:t>kiekio</w:t>
      </w:r>
      <w:r w:rsidRPr="00842A24">
        <w:rPr>
          <w:rFonts w:cs="Tahoma"/>
          <w:color w:val="00377E"/>
          <w:szCs w:val="42"/>
        </w:rPr>
        <w:t xml:space="preserve"> </w:t>
      </w:r>
      <w:r w:rsidRPr="00842A24">
        <w:rPr>
          <w:rFonts w:cs="Tahoma"/>
          <w:szCs w:val="42"/>
        </w:rPr>
        <w:t>patikrinimą, nes labai dažnai moterims,</w:t>
      </w:r>
      <w:r w:rsidRPr="00842A24">
        <w:rPr>
          <w:rFonts w:cs="Tahoma"/>
          <w:color w:val="00377E"/>
          <w:szCs w:val="42"/>
        </w:rPr>
        <w:t xml:space="preserve"> </w:t>
      </w:r>
      <w:r w:rsidRPr="00842A24">
        <w:t xml:space="preserve">sergančioms ankstyvosiomis krūties vėžio stadijomis,  yra didelis jo trūkumas. Moterims, kurioms trūksta vitamino D, reikia papildomai skirti  vitamino D. </w:t>
      </w:r>
    </w:p>
    <w:p w14:paraId="62B7CC40" w14:textId="40239FD2" w:rsidR="00707B40" w:rsidRPr="00842A24" w:rsidRDefault="00707B40" w:rsidP="009E4666">
      <w:pPr>
        <w:pStyle w:val="BTEMEASMCA"/>
      </w:pPr>
    </w:p>
    <w:p w14:paraId="31B71CB2" w14:textId="6775A18C" w:rsidR="00707B40" w:rsidRPr="00E5770F" w:rsidRDefault="00707B40" w:rsidP="009E4666">
      <w:pPr>
        <w:pStyle w:val="BTEMEASMCA"/>
      </w:pPr>
      <w:r w:rsidRPr="00E5770F">
        <w:t>Natris</w:t>
      </w:r>
    </w:p>
    <w:p w14:paraId="26C36721" w14:textId="0CAACD4E" w:rsidR="00707B40" w:rsidRPr="00842A24" w:rsidRDefault="00707B40" w:rsidP="009E4666">
      <w:pPr>
        <w:pStyle w:val="BTEMEASMCA"/>
      </w:pPr>
      <w:r w:rsidRPr="00842A24">
        <w:t>Šio vaist</w:t>
      </w:r>
      <w:r w:rsidR="005A6353" w:rsidRPr="00842A24">
        <w:t>ini</w:t>
      </w:r>
      <w:r w:rsidRPr="00842A24">
        <w:t>o</w:t>
      </w:r>
      <w:r w:rsidR="005A6353" w:rsidRPr="00842A24">
        <w:t xml:space="preserve"> preparato tabletėje</w:t>
      </w:r>
      <w:r w:rsidRPr="00842A24">
        <w:t xml:space="preserve"> yra mažiau kaip 1</w:t>
      </w:r>
      <w:r w:rsidR="005A6353" w:rsidRPr="00842A24">
        <w:t> </w:t>
      </w:r>
      <w:r w:rsidRPr="00842A24">
        <w:t>mmol (23</w:t>
      </w:r>
      <w:r w:rsidR="005A6353" w:rsidRPr="00842A24">
        <w:t> </w:t>
      </w:r>
      <w:r w:rsidRPr="00842A24">
        <w:t>mg) natrio, t. y. jis beveik neturi reikšmės.</w:t>
      </w:r>
    </w:p>
    <w:p w14:paraId="5DBE5FED" w14:textId="77777777" w:rsidR="00173463" w:rsidRPr="00842A24" w:rsidRDefault="00173463" w:rsidP="009E4666">
      <w:pPr>
        <w:pStyle w:val="BTEMEASMCA"/>
      </w:pPr>
    </w:p>
    <w:p w14:paraId="6B72E940" w14:textId="61C32E06" w:rsidR="00173463" w:rsidRPr="00842A24" w:rsidRDefault="00173463" w:rsidP="00173463">
      <w:pPr>
        <w:pStyle w:val="PI-2EMEASMCA"/>
      </w:pPr>
      <w:bookmarkStart w:id="21" w:name="_Toc129243106"/>
      <w:bookmarkStart w:id="22" w:name="_Toc129243231"/>
      <w:r w:rsidRPr="00842A24">
        <w:t>4.5</w:t>
      </w:r>
      <w:r w:rsidRPr="00842A24">
        <w:tab/>
        <w:t>Sąveika su kitais vaistiniais preparatais ir kitokia sąveika</w:t>
      </w:r>
      <w:bookmarkEnd w:id="21"/>
      <w:bookmarkEnd w:id="22"/>
    </w:p>
    <w:p w14:paraId="326B3A81" w14:textId="77777777" w:rsidR="00173463" w:rsidRPr="00842A24" w:rsidRDefault="00173463" w:rsidP="009E4666">
      <w:pPr>
        <w:pStyle w:val="BTEMEASMCA"/>
      </w:pPr>
    </w:p>
    <w:p w14:paraId="56B04340" w14:textId="2A55A838" w:rsidR="00173463" w:rsidRPr="00842A24" w:rsidRDefault="00173463" w:rsidP="00173463">
      <w:r w:rsidRPr="00842A24">
        <w:rPr>
          <w:i/>
        </w:rPr>
        <w:t>In vitro</w:t>
      </w:r>
      <w:r w:rsidRPr="00842A24">
        <w:t xml:space="preserve"> tyrimų duomenimis, šis vaistinis preparatas metabolizuojamas citochromo P450 </w:t>
      </w:r>
      <w:r w:rsidR="00F4612E" w:rsidRPr="00842A24">
        <w:t xml:space="preserve">CYP3A4 </w:t>
      </w:r>
      <w:r w:rsidRPr="00842A24">
        <w:t>ir aldoketoreduktazės (žr. 5.2 skyrių), o pagrindinių CYP fermentų neslopina. Atliekant klinikinės farmakokinetikos tyrimą, ketokonazolu specifiškai nuslopinus CYP 3A4 aktyvumą, eksemestano farmakokinetika reikšmingai nepakito.</w:t>
      </w:r>
    </w:p>
    <w:p w14:paraId="4310C6AA" w14:textId="77777777" w:rsidR="00173463" w:rsidRPr="00842A24" w:rsidRDefault="00173463" w:rsidP="00173463"/>
    <w:p w14:paraId="75A24E7B" w14:textId="77777777" w:rsidR="00173463" w:rsidRPr="00842A24" w:rsidRDefault="00173463" w:rsidP="00173463">
      <w:pPr>
        <w:rPr>
          <w:color w:val="000000"/>
        </w:rPr>
      </w:pPr>
      <w:r w:rsidRPr="00842A24">
        <w:t>Vaistų sąveikos tyrimo duomenimis, kartu su stipraus CYP450 induktoriaus rifampicino 600 mg paros doze pavartojus vienkartinę 25 mg eksemestano dozę, eksemestano AUC sumažėjo 54% ir Cmax – 41%. Nors šios sąveikos reikšmė klinikai neįvertinta, kartu vartojami vaistiniai preparatai, pavyzdžiui, rifampicinas, vaistiniai preparatai nuo traukulių (pvz., fenitoinas ir karbamazepinas) ir augaliniai vaistiniai preparatai, kurių sudėtyje yra jonažolės (</w:t>
      </w:r>
      <w:r w:rsidRPr="00842A24">
        <w:rPr>
          <w:i/>
        </w:rPr>
        <w:t>Hypericum perforatum</w:t>
      </w:r>
      <w:r w:rsidRPr="00842A24">
        <w:t>), kurie sužadina CYP3A4, gali mažinti Exemestane Accord veiksmingumą.</w:t>
      </w:r>
    </w:p>
    <w:p w14:paraId="6EA9C602" w14:textId="77777777" w:rsidR="00173463" w:rsidRPr="00842A24" w:rsidRDefault="00173463" w:rsidP="00173463">
      <w:r w:rsidRPr="00842A24">
        <w:rPr>
          <w:color w:val="000000"/>
        </w:rPr>
        <w:t xml:space="preserve">Exemestane Accord kartu su siauro terapinio spektro vaistiniais preparatais, metabolizuojamais dalyvaujant CYP 3A4, reikia vartoti atsargiai. Klinikinės eksemestano vartojimo kartu su kitais priešvėžiniais vaistiniais preparatais patirties nėra. </w:t>
      </w:r>
    </w:p>
    <w:p w14:paraId="021E285A" w14:textId="77777777" w:rsidR="00173463" w:rsidRPr="00842A24" w:rsidRDefault="00173463" w:rsidP="00173463"/>
    <w:p w14:paraId="59FEAE47" w14:textId="77777777" w:rsidR="00173463" w:rsidRPr="00842A24" w:rsidRDefault="00173463" w:rsidP="00173463">
      <w:r w:rsidRPr="00842A24">
        <w:t xml:space="preserve">Exemestane Accord neskirti kartu su vaistiniais preparatais, kurių sudėtyje yra estrogenų, kadangi šie gali susilpninti jo farmakologinį poveikį. </w:t>
      </w:r>
    </w:p>
    <w:p w14:paraId="1A70D2BB" w14:textId="77777777" w:rsidR="00173463" w:rsidRPr="00842A24" w:rsidRDefault="00173463" w:rsidP="009E4666">
      <w:pPr>
        <w:pStyle w:val="BTEMEASMCA"/>
      </w:pPr>
    </w:p>
    <w:p w14:paraId="755120DA" w14:textId="35F05155" w:rsidR="00173463" w:rsidRPr="00842A24" w:rsidRDefault="00173463" w:rsidP="005A6353">
      <w:pPr>
        <w:pStyle w:val="PI-2EMEASMCA"/>
      </w:pPr>
      <w:bookmarkStart w:id="23" w:name="_Toc129243107"/>
      <w:bookmarkStart w:id="24" w:name="_Toc129243232"/>
      <w:r w:rsidRPr="00842A24">
        <w:t>4.6</w:t>
      </w:r>
      <w:r w:rsidRPr="00842A24">
        <w:tab/>
      </w:r>
      <w:r w:rsidRPr="00842A24">
        <w:rPr>
          <w:szCs w:val="24"/>
        </w:rPr>
        <w:t>Vaisingumas, nėštumo</w:t>
      </w:r>
      <w:r w:rsidRPr="00842A24">
        <w:t xml:space="preserve"> ir žindymo laikotarpis</w:t>
      </w:r>
      <w:bookmarkEnd w:id="23"/>
      <w:bookmarkEnd w:id="24"/>
    </w:p>
    <w:p w14:paraId="446651FE" w14:textId="77777777" w:rsidR="00173463" w:rsidRPr="00842A24" w:rsidRDefault="00173463" w:rsidP="00A20BB7">
      <w:pPr>
        <w:pStyle w:val="BTEMEASMCA"/>
      </w:pPr>
    </w:p>
    <w:p w14:paraId="24644E6C" w14:textId="77777777" w:rsidR="00173463" w:rsidRPr="00842A24" w:rsidRDefault="00173463" w:rsidP="00E5770F">
      <w:pPr>
        <w:keepNext/>
        <w:rPr>
          <w:u w:val="single"/>
        </w:rPr>
      </w:pPr>
      <w:r w:rsidRPr="00842A24">
        <w:rPr>
          <w:u w:val="single"/>
        </w:rPr>
        <w:t>Nėštumas</w:t>
      </w:r>
    </w:p>
    <w:p w14:paraId="37215436" w14:textId="77777777" w:rsidR="00173463" w:rsidRPr="00842A24" w:rsidRDefault="00173463" w:rsidP="00E5770F">
      <w:pPr>
        <w:keepNext/>
      </w:pPr>
      <w:r w:rsidRPr="00842A24">
        <w:t xml:space="preserve">Klinikinių duomenų apie eksemestano poveikį nėščiosioms nėra. </w:t>
      </w:r>
      <w:r w:rsidRPr="00842A24">
        <w:rPr>
          <w:color w:val="000000"/>
        </w:rPr>
        <w:t>Su gyvūnais atlikti tyrimai parodė toksinį poveikį reprodukcijai (žr. 5.3 skyrių). Todėl nėščioms moterims vartoti šio vaistinio preparato negalima.</w:t>
      </w:r>
    </w:p>
    <w:p w14:paraId="14A86054" w14:textId="77777777" w:rsidR="00173463" w:rsidRPr="00842A24" w:rsidRDefault="00173463" w:rsidP="00173463"/>
    <w:p w14:paraId="1A843FA6" w14:textId="77777777" w:rsidR="00173463" w:rsidRPr="00842A24" w:rsidRDefault="00173463" w:rsidP="00173463">
      <w:pPr>
        <w:rPr>
          <w:u w:val="single"/>
        </w:rPr>
      </w:pPr>
      <w:r w:rsidRPr="00842A24">
        <w:rPr>
          <w:u w:val="single"/>
        </w:rPr>
        <w:t>Žindymas</w:t>
      </w:r>
    </w:p>
    <w:p w14:paraId="5E8A8192" w14:textId="77777777" w:rsidR="00173463" w:rsidRPr="00842A24" w:rsidRDefault="00173463" w:rsidP="00173463">
      <w:r w:rsidRPr="00842A24">
        <w:lastRenderedPageBreak/>
        <w:t>Ar eksemestano išsiskiria su motinos pienu, nežinoma. Žindyvėms Exemestane Accord vartoti negalima.</w:t>
      </w:r>
    </w:p>
    <w:p w14:paraId="029995B6" w14:textId="77777777" w:rsidR="00173463" w:rsidRPr="00842A24" w:rsidRDefault="00173463" w:rsidP="00173463"/>
    <w:p w14:paraId="59110829" w14:textId="77777777" w:rsidR="00173463" w:rsidRPr="00842A24" w:rsidRDefault="00173463" w:rsidP="00173463">
      <w:pPr>
        <w:rPr>
          <w:u w:val="single"/>
        </w:rPr>
      </w:pPr>
      <w:r w:rsidRPr="00842A24">
        <w:rPr>
          <w:u w:val="single"/>
        </w:rPr>
        <w:t>Perimenopauzės metu arba vaisingo amžiaus moterims</w:t>
      </w:r>
    </w:p>
    <w:p w14:paraId="7D72EAB4" w14:textId="77777777" w:rsidR="00173463" w:rsidRPr="00842A24" w:rsidRDefault="00173463" w:rsidP="00173463">
      <w:r w:rsidRPr="00842A24">
        <w:t>Gydytojas turi aptarti veiksmingos kontracepcijos svarbą su vaisingo amžiaus, taip pat perimenopauzės, arba nesenai prasidėjusios postmenopauzės kol nėra visiškai patvirtinta postmenopauzė, būklės moterimis (žr. 4.3 ir 4.4 skyrius).</w:t>
      </w:r>
    </w:p>
    <w:p w14:paraId="3CA2FC1E" w14:textId="77777777" w:rsidR="00173463" w:rsidRPr="00842A24" w:rsidRDefault="00173463" w:rsidP="009E4666">
      <w:pPr>
        <w:pStyle w:val="BTEMEASMCA"/>
      </w:pPr>
    </w:p>
    <w:p w14:paraId="53AEE722" w14:textId="05EFC6E6" w:rsidR="00173463" w:rsidRPr="00842A24" w:rsidRDefault="00173463" w:rsidP="00173463">
      <w:pPr>
        <w:pStyle w:val="PI-2EMEASMCA"/>
        <w:rPr>
          <w:b w:val="0"/>
        </w:rPr>
      </w:pPr>
      <w:bookmarkStart w:id="25" w:name="_Toc129243108"/>
      <w:bookmarkStart w:id="26" w:name="_Toc129243233"/>
      <w:r w:rsidRPr="00842A24">
        <w:t>4.7</w:t>
      </w:r>
      <w:r w:rsidRPr="00842A24">
        <w:tab/>
        <w:t>Poveikis gebėjimui vairuoti ir valdyti mechanizmus</w:t>
      </w:r>
      <w:bookmarkEnd w:id="25"/>
      <w:bookmarkEnd w:id="26"/>
    </w:p>
    <w:p w14:paraId="77E5F431" w14:textId="77777777" w:rsidR="00173463" w:rsidRPr="00842A24" w:rsidRDefault="00173463" w:rsidP="009E4666">
      <w:pPr>
        <w:pStyle w:val="BTEMEASMCA"/>
      </w:pPr>
    </w:p>
    <w:p w14:paraId="13DFE99B" w14:textId="012A009E" w:rsidR="005A6353" w:rsidRPr="00842A24" w:rsidRDefault="005A6353" w:rsidP="009E4666">
      <w:pPr>
        <w:pStyle w:val="BTEMEASMCA"/>
      </w:pPr>
      <w:r w:rsidRPr="00842A24">
        <w:t>Eksemestanas gebėjimą vairuoti ir valdyti mechanizmus veikia vidutiniškai.</w:t>
      </w:r>
    </w:p>
    <w:p w14:paraId="0C41C5D1" w14:textId="77777777" w:rsidR="005A6353" w:rsidRPr="00842A24" w:rsidRDefault="005A6353" w:rsidP="009E4666">
      <w:pPr>
        <w:pStyle w:val="BTEMEASMCA"/>
      </w:pPr>
    </w:p>
    <w:p w14:paraId="4BD5EAC5" w14:textId="237B88D6" w:rsidR="00173463" w:rsidRPr="00842A24" w:rsidRDefault="00173463" w:rsidP="009E4666">
      <w:pPr>
        <w:pStyle w:val="BTEMEASMCA"/>
      </w:pPr>
      <w:r w:rsidRPr="00842A24">
        <w:t xml:space="preserve">Vartojant </w:t>
      </w:r>
      <w:r w:rsidR="005A6353" w:rsidRPr="00842A24">
        <w:t>eksemestano</w:t>
      </w:r>
      <w:r w:rsidRPr="00842A24">
        <w:t>, pasireiškė mieguistumas, somnolencija, astenija ir galvos svaigimas. Reikia įspėti pacientę, kad atsiradus tokiam poveikiui, fizinis ir (arba) protinis gebėjimas vairuoti ar valdyti mechanizmus gali sutrikti.</w:t>
      </w:r>
    </w:p>
    <w:p w14:paraId="689C61DA" w14:textId="77777777" w:rsidR="00173463" w:rsidRPr="00842A24" w:rsidRDefault="00173463" w:rsidP="009E4666">
      <w:pPr>
        <w:pStyle w:val="BTEMEASMCA"/>
      </w:pPr>
    </w:p>
    <w:p w14:paraId="5262E3AD" w14:textId="7A66A623" w:rsidR="00173463" w:rsidRPr="00842A24" w:rsidRDefault="00173463" w:rsidP="00173463">
      <w:pPr>
        <w:pStyle w:val="PI-2EMEASMCA"/>
        <w:rPr>
          <w:b w:val="0"/>
        </w:rPr>
      </w:pPr>
      <w:bookmarkStart w:id="27" w:name="_Toc129243109"/>
      <w:bookmarkStart w:id="28" w:name="_Toc129243234"/>
      <w:r w:rsidRPr="00842A24">
        <w:t>4.8</w:t>
      </w:r>
      <w:r w:rsidRPr="00842A24">
        <w:tab/>
        <w:t>Nepageidaujamas poveikis</w:t>
      </w:r>
      <w:bookmarkEnd w:id="27"/>
      <w:bookmarkEnd w:id="28"/>
    </w:p>
    <w:p w14:paraId="36C54AE0" w14:textId="77777777" w:rsidR="00173463" w:rsidRPr="00842A24" w:rsidRDefault="00173463" w:rsidP="00173463"/>
    <w:p w14:paraId="49D643D9" w14:textId="77777777" w:rsidR="00173463" w:rsidRPr="00842A24" w:rsidRDefault="00173463" w:rsidP="00173463">
      <w:r w:rsidRPr="00842A24">
        <w:t xml:space="preserve">Visų tyrimų metu įprastinė 25 mg per parą eksemestano dozė dažniausiai buvo gerai toleruojama, o klinikinių tyrimų metu pasireiškęs eksemestano nepageidaujamas poveikis įprastai buvo lengvas arba vidutinio sunkumo. </w:t>
      </w:r>
    </w:p>
    <w:p w14:paraId="3BF5B8D2" w14:textId="77777777" w:rsidR="00173463" w:rsidRPr="00842A24" w:rsidRDefault="00173463" w:rsidP="00173463"/>
    <w:p w14:paraId="5CC013B9" w14:textId="77777777" w:rsidR="00173463" w:rsidRPr="00842A24" w:rsidRDefault="00173463" w:rsidP="00173463">
      <w:r w:rsidRPr="00842A24">
        <w:t xml:space="preserve">Dėl nepageidaujamo poveikio tyrimo metu šio vaistinio preparato vartojimą nutraukė 7,4% pacienčių, kai eksemestanas buvo vartojamas kaip pagalbinis gydymas ankstyvojoje krūties vėžio stadijoje po pradinio pagalbinio gydymo tamoksifenu. </w:t>
      </w:r>
      <w:r w:rsidRPr="00842A24">
        <w:rPr>
          <w:color w:val="000000"/>
        </w:rPr>
        <w:t xml:space="preserve">Dažniausios nepageidaujamos reakcijos buvo kraujo priplūdimas į veidą (22%), artralgija (18%) ir nuovargis (16%). </w:t>
      </w:r>
    </w:p>
    <w:p w14:paraId="4FC18C54" w14:textId="77777777" w:rsidR="00173463" w:rsidRPr="00842A24" w:rsidRDefault="00173463" w:rsidP="00173463"/>
    <w:p w14:paraId="4F31507A" w14:textId="77777777" w:rsidR="00173463" w:rsidRPr="00842A24" w:rsidRDefault="00173463" w:rsidP="00173463">
      <w:r w:rsidRPr="00842A24">
        <w:t xml:space="preserve">Dėl nepageidaujamo poveikio tyrimo metu šio vaistinio preparato vartojimą nutraukė 2,8% bendros populiacijos pacienčių, sergančių vėlyvosiomis krūties vėžio stadijomis. Dažniausios nepageidaujamos reakcijos buvo kraujo priplūdimas į veidą (14%) ir pykinimas (12%). </w:t>
      </w:r>
    </w:p>
    <w:p w14:paraId="31E9299E" w14:textId="77777777" w:rsidR="00173463" w:rsidRPr="00842A24" w:rsidRDefault="00173463" w:rsidP="00173463"/>
    <w:p w14:paraId="58EE6F4F" w14:textId="77777777" w:rsidR="00173463" w:rsidRPr="00842A24" w:rsidRDefault="00173463" w:rsidP="00173463">
      <w:r w:rsidRPr="00842A24">
        <w:t xml:space="preserve">Dauguma nepageidaujamų reakcijų gali būti paaiškinamos kaip estrogenų netekimas dėl natūralaus farmakologinio poveikio (pav., kraujo priplūdimas į veidą). </w:t>
      </w:r>
    </w:p>
    <w:p w14:paraId="4E310C87" w14:textId="77777777" w:rsidR="00173463" w:rsidRPr="00842A24" w:rsidRDefault="00173463" w:rsidP="00173463"/>
    <w:p w14:paraId="4ABA8749" w14:textId="77777777" w:rsidR="00173463" w:rsidRPr="00842A24" w:rsidRDefault="00173463" w:rsidP="00173463">
      <w:r w:rsidRPr="00842A24">
        <w:t>Nepageidaujamas poveikis, pastebėtas klinikiniuose tyrimuose ir poregistracinio stebėjimo metu yra išvardytas žemiau pagal organų sistemų klases ir pasireiškimo dažnį.</w:t>
      </w:r>
    </w:p>
    <w:p w14:paraId="70E4D91A" w14:textId="77777777" w:rsidR="00173463" w:rsidRPr="00842A24" w:rsidRDefault="00173463" w:rsidP="00173463">
      <w:pPr>
        <w:rPr>
          <w:sz w:val="20"/>
        </w:rPr>
      </w:pPr>
    </w:p>
    <w:p w14:paraId="1669B5A1" w14:textId="77777777" w:rsidR="00173463" w:rsidRPr="00842A24" w:rsidRDefault="00173463" w:rsidP="00173463">
      <w:r w:rsidRPr="00842A24">
        <w:rPr>
          <w:szCs w:val="22"/>
        </w:rPr>
        <w:t xml:space="preserve">Nepageidaujamo poveikio </w:t>
      </w:r>
      <w:r w:rsidRPr="00842A24">
        <w:t>dažnis apibūdinamas taip: labai dažnas (≥ 1/10), dažnas (nuo ≥ 1/100 iki &lt; 1/10), nedažnas (nuo ≥ 1/1000 iki &lt; 1/100), retas (nuo ≥ 1/10000 iki &lt; 1/1000), labai retas (&lt; 1/10000) ir nežinomas (negali būti apskaičiuotas pagal turimus duomenis).</w:t>
      </w:r>
    </w:p>
    <w:p w14:paraId="7069ACA4" w14:textId="77777777" w:rsidR="00173463" w:rsidRPr="00842A24" w:rsidRDefault="00173463" w:rsidP="00173463"/>
    <w:p w14:paraId="2110F08A" w14:textId="77777777" w:rsidR="00173463" w:rsidRPr="00A20BB7" w:rsidRDefault="00173463" w:rsidP="00173463">
      <w:pPr>
        <w:rPr>
          <w:b/>
          <w:bCs/>
          <w:i/>
        </w:rPr>
      </w:pPr>
      <w:r w:rsidRPr="00A20BB7">
        <w:rPr>
          <w:b/>
          <w:bCs/>
          <w:i/>
        </w:rPr>
        <w:t>Kraujo ir limfinės sistemos sutrikimai</w:t>
      </w:r>
    </w:p>
    <w:p w14:paraId="21E89369" w14:textId="77777777" w:rsidR="00173463" w:rsidRPr="00842A24" w:rsidRDefault="00173463" w:rsidP="00173463">
      <w:pPr>
        <w:rPr>
          <w:szCs w:val="22"/>
          <w:vertAlign w:val="superscript"/>
          <w:lang w:eastAsia="zh-CN"/>
        </w:rPr>
      </w:pPr>
      <w:r w:rsidRPr="00842A24">
        <w:rPr>
          <w:i/>
        </w:rPr>
        <w:t>Labai dažni</w:t>
      </w:r>
      <w:r w:rsidRPr="00842A24">
        <w:rPr>
          <w:i/>
        </w:rPr>
        <w:tab/>
      </w:r>
      <w:r w:rsidRPr="00842A24">
        <w:rPr>
          <w:i/>
        </w:rPr>
        <w:tab/>
      </w:r>
      <w:r w:rsidRPr="00842A24">
        <w:t>Leukopenija</w:t>
      </w:r>
      <w:r w:rsidRPr="00842A24">
        <w:rPr>
          <w:szCs w:val="22"/>
          <w:vertAlign w:val="superscript"/>
          <w:lang w:eastAsia="zh-CN"/>
        </w:rPr>
        <w:t>(**)</w:t>
      </w:r>
    </w:p>
    <w:p w14:paraId="726BDC3D" w14:textId="28857673" w:rsidR="00173463" w:rsidRPr="00842A24" w:rsidRDefault="00173463" w:rsidP="00173463">
      <w:pPr>
        <w:rPr>
          <w:i/>
          <w:szCs w:val="22"/>
          <w:vertAlign w:val="superscript"/>
          <w:lang w:eastAsia="zh-CN"/>
        </w:rPr>
      </w:pPr>
      <w:r w:rsidRPr="00842A24">
        <w:rPr>
          <w:i/>
        </w:rPr>
        <w:t xml:space="preserve">Dažni </w:t>
      </w:r>
      <w:r w:rsidRPr="00842A24">
        <w:rPr>
          <w:i/>
        </w:rPr>
        <w:tab/>
      </w:r>
      <w:r w:rsidRPr="00842A24">
        <w:rPr>
          <w:i/>
        </w:rPr>
        <w:tab/>
      </w:r>
      <w:r w:rsidR="00450A3F" w:rsidRPr="00842A24">
        <w:rPr>
          <w:i/>
        </w:rPr>
        <w:tab/>
      </w:r>
      <w:r w:rsidRPr="00842A24">
        <w:t xml:space="preserve">Trombocitopenija </w:t>
      </w:r>
      <w:r w:rsidRPr="00842A24">
        <w:rPr>
          <w:szCs w:val="22"/>
          <w:vertAlign w:val="superscript"/>
          <w:lang w:eastAsia="zh-CN"/>
        </w:rPr>
        <w:t>(**)</w:t>
      </w:r>
    </w:p>
    <w:p w14:paraId="2EECF9BC" w14:textId="77777777" w:rsidR="00173463" w:rsidRPr="00842A24" w:rsidRDefault="00173463" w:rsidP="00173463">
      <w:pPr>
        <w:rPr>
          <w:i/>
          <w:szCs w:val="22"/>
          <w:vertAlign w:val="superscript"/>
          <w:lang w:eastAsia="zh-CN"/>
        </w:rPr>
      </w:pPr>
      <w:r w:rsidRPr="00842A24">
        <w:rPr>
          <w:i/>
        </w:rPr>
        <w:t>Dažnis nežinomas</w:t>
      </w:r>
      <w:r w:rsidRPr="00842A24">
        <w:rPr>
          <w:i/>
        </w:rPr>
        <w:tab/>
      </w:r>
      <w:r w:rsidRPr="00842A24">
        <w:t xml:space="preserve">Sumažėjęs limfocitų skaičius </w:t>
      </w:r>
      <w:r w:rsidRPr="00842A24">
        <w:rPr>
          <w:szCs w:val="22"/>
          <w:vertAlign w:val="superscript"/>
          <w:lang w:eastAsia="zh-CN"/>
        </w:rPr>
        <w:t>(**)</w:t>
      </w:r>
    </w:p>
    <w:p w14:paraId="54357896" w14:textId="77777777" w:rsidR="00173463" w:rsidRPr="00842A24" w:rsidRDefault="00173463" w:rsidP="00173463"/>
    <w:p w14:paraId="226003C9" w14:textId="77777777" w:rsidR="00173463" w:rsidRPr="00A20BB7" w:rsidRDefault="00173463" w:rsidP="00173463">
      <w:pPr>
        <w:rPr>
          <w:b/>
          <w:bCs/>
          <w:i/>
        </w:rPr>
      </w:pPr>
      <w:r w:rsidRPr="00A20BB7">
        <w:rPr>
          <w:b/>
          <w:bCs/>
          <w:i/>
        </w:rPr>
        <w:t>Imuninės sistemos sutrikimai</w:t>
      </w:r>
    </w:p>
    <w:p w14:paraId="587E0212" w14:textId="77777777" w:rsidR="00173463" w:rsidRPr="00842A24" w:rsidRDefault="00173463" w:rsidP="00173463">
      <w:pPr>
        <w:rPr>
          <w:i/>
        </w:rPr>
      </w:pPr>
      <w:r w:rsidRPr="00842A24">
        <w:rPr>
          <w:i/>
        </w:rPr>
        <w:t>Nedažni</w:t>
      </w:r>
      <w:r w:rsidRPr="00842A24">
        <w:rPr>
          <w:i/>
        </w:rPr>
        <w:tab/>
      </w:r>
      <w:r w:rsidRPr="00842A24">
        <w:rPr>
          <w:i/>
        </w:rPr>
        <w:tab/>
      </w:r>
      <w:r w:rsidRPr="00842A24">
        <w:t>Padidėjęs jautrumas</w:t>
      </w:r>
    </w:p>
    <w:p w14:paraId="75225463" w14:textId="77777777" w:rsidR="00173463" w:rsidRPr="00842A24" w:rsidRDefault="00173463" w:rsidP="00173463">
      <w:pPr>
        <w:rPr>
          <w:i/>
        </w:rPr>
      </w:pPr>
    </w:p>
    <w:p w14:paraId="410C50BA" w14:textId="77777777" w:rsidR="00173463" w:rsidRPr="00A20BB7" w:rsidRDefault="00173463" w:rsidP="00173463">
      <w:pPr>
        <w:rPr>
          <w:b/>
          <w:i/>
          <w:iCs/>
          <w:szCs w:val="22"/>
        </w:rPr>
      </w:pPr>
      <w:r w:rsidRPr="00A20BB7">
        <w:rPr>
          <w:b/>
          <w:i/>
          <w:iCs/>
          <w:szCs w:val="22"/>
        </w:rPr>
        <w:t>Metabolizmo ir mitybos sutrikimai</w:t>
      </w:r>
    </w:p>
    <w:p w14:paraId="1081C5AB" w14:textId="231DE049" w:rsidR="00173463" w:rsidRPr="00842A24" w:rsidRDefault="00173463" w:rsidP="00173463">
      <w:pPr>
        <w:rPr>
          <w:bCs/>
          <w:i/>
          <w:iCs/>
          <w:szCs w:val="22"/>
        </w:rPr>
      </w:pPr>
      <w:r w:rsidRPr="00842A24">
        <w:rPr>
          <w:bCs/>
          <w:i/>
          <w:iCs/>
          <w:szCs w:val="22"/>
        </w:rPr>
        <w:t>Dažni</w:t>
      </w:r>
      <w:r w:rsidRPr="00842A24">
        <w:rPr>
          <w:bCs/>
          <w:i/>
          <w:iCs/>
          <w:szCs w:val="22"/>
        </w:rPr>
        <w:tab/>
      </w:r>
      <w:r w:rsidRPr="00842A24">
        <w:rPr>
          <w:bCs/>
          <w:i/>
          <w:iCs/>
          <w:szCs w:val="22"/>
        </w:rPr>
        <w:tab/>
      </w:r>
      <w:r w:rsidR="00450A3F" w:rsidRPr="00842A24">
        <w:rPr>
          <w:bCs/>
          <w:i/>
          <w:iCs/>
          <w:szCs w:val="22"/>
        </w:rPr>
        <w:tab/>
      </w:r>
      <w:r w:rsidRPr="00842A24">
        <w:rPr>
          <w:bCs/>
          <w:iCs/>
          <w:szCs w:val="22"/>
        </w:rPr>
        <w:t>Anoreksija</w:t>
      </w:r>
    </w:p>
    <w:p w14:paraId="5D88D948" w14:textId="77777777" w:rsidR="00173463" w:rsidRPr="00842A24" w:rsidRDefault="00173463" w:rsidP="00173463">
      <w:pPr>
        <w:rPr>
          <w:bCs/>
          <w:i/>
          <w:iCs/>
          <w:szCs w:val="22"/>
        </w:rPr>
      </w:pPr>
    </w:p>
    <w:p w14:paraId="660486C8" w14:textId="77777777" w:rsidR="00173463" w:rsidRPr="00A20BB7" w:rsidRDefault="00173463" w:rsidP="00173463">
      <w:pPr>
        <w:rPr>
          <w:b/>
          <w:i/>
          <w:iCs/>
          <w:szCs w:val="22"/>
        </w:rPr>
      </w:pPr>
      <w:r w:rsidRPr="00A20BB7">
        <w:rPr>
          <w:b/>
          <w:i/>
          <w:iCs/>
          <w:szCs w:val="22"/>
        </w:rPr>
        <w:t>Psichikos sutrikimai</w:t>
      </w:r>
    </w:p>
    <w:p w14:paraId="56B38883" w14:textId="77777777" w:rsidR="00173463" w:rsidRPr="00842A24" w:rsidRDefault="00173463" w:rsidP="00173463">
      <w:pPr>
        <w:rPr>
          <w:bCs/>
          <w:i/>
          <w:iCs/>
          <w:szCs w:val="22"/>
        </w:rPr>
      </w:pPr>
      <w:r w:rsidRPr="00842A24">
        <w:rPr>
          <w:bCs/>
          <w:i/>
          <w:iCs/>
          <w:szCs w:val="22"/>
        </w:rPr>
        <w:t>Labai dažni</w:t>
      </w:r>
      <w:r w:rsidRPr="00842A24">
        <w:rPr>
          <w:bCs/>
          <w:i/>
          <w:iCs/>
          <w:szCs w:val="22"/>
        </w:rPr>
        <w:tab/>
      </w:r>
      <w:r w:rsidRPr="00842A24">
        <w:rPr>
          <w:bCs/>
          <w:i/>
          <w:iCs/>
          <w:szCs w:val="22"/>
        </w:rPr>
        <w:tab/>
      </w:r>
      <w:r w:rsidRPr="00842A24">
        <w:rPr>
          <w:bCs/>
          <w:iCs/>
          <w:szCs w:val="22"/>
        </w:rPr>
        <w:t>Depresija, nemiga</w:t>
      </w:r>
    </w:p>
    <w:p w14:paraId="4088EBF9" w14:textId="77777777" w:rsidR="00173463" w:rsidRPr="00842A24" w:rsidRDefault="00173463" w:rsidP="00173463">
      <w:pPr>
        <w:rPr>
          <w:bCs/>
          <w:i/>
          <w:iCs/>
          <w:szCs w:val="22"/>
        </w:rPr>
      </w:pPr>
    </w:p>
    <w:p w14:paraId="5FD175E3" w14:textId="77777777" w:rsidR="00173463" w:rsidRPr="00A20BB7" w:rsidRDefault="00173463" w:rsidP="00173463">
      <w:pPr>
        <w:rPr>
          <w:b/>
          <w:bCs/>
          <w:i/>
        </w:rPr>
      </w:pPr>
      <w:r w:rsidRPr="00A20BB7">
        <w:rPr>
          <w:b/>
          <w:bCs/>
          <w:i/>
        </w:rPr>
        <w:t>Nervų sistemos sutrikimai</w:t>
      </w:r>
    </w:p>
    <w:p w14:paraId="01A47BC8" w14:textId="77777777" w:rsidR="00173463" w:rsidRPr="00842A24" w:rsidRDefault="00173463" w:rsidP="00173463">
      <w:pPr>
        <w:rPr>
          <w:i/>
        </w:rPr>
      </w:pPr>
      <w:r w:rsidRPr="00842A24">
        <w:rPr>
          <w:i/>
        </w:rPr>
        <w:t>Labai dažni</w:t>
      </w:r>
      <w:r w:rsidRPr="00842A24">
        <w:rPr>
          <w:i/>
        </w:rPr>
        <w:tab/>
      </w:r>
      <w:r w:rsidRPr="00842A24">
        <w:rPr>
          <w:i/>
        </w:rPr>
        <w:tab/>
      </w:r>
      <w:r w:rsidRPr="00842A24">
        <w:t>Galvos skausmas, svaigulys</w:t>
      </w:r>
    </w:p>
    <w:p w14:paraId="1E2D53DE" w14:textId="4C322770" w:rsidR="00173463" w:rsidRPr="00842A24" w:rsidRDefault="00173463" w:rsidP="00173463">
      <w:pPr>
        <w:rPr>
          <w:i/>
          <w:iCs/>
          <w:szCs w:val="22"/>
        </w:rPr>
      </w:pPr>
      <w:r w:rsidRPr="00842A24">
        <w:rPr>
          <w:i/>
        </w:rPr>
        <w:lastRenderedPageBreak/>
        <w:t>Dažni</w:t>
      </w:r>
      <w:r w:rsidRPr="00842A24">
        <w:rPr>
          <w:i/>
        </w:rPr>
        <w:tab/>
      </w:r>
      <w:r w:rsidRPr="00842A24">
        <w:rPr>
          <w:i/>
        </w:rPr>
        <w:tab/>
      </w:r>
      <w:r w:rsidR="00450A3F" w:rsidRPr="00842A24">
        <w:rPr>
          <w:i/>
        </w:rPr>
        <w:tab/>
      </w:r>
      <w:r w:rsidRPr="00842A24">
        <w:rPr>
          <w:iCs/>
          <w:szCs w:val="22"/>
        </w:rPr>
        <w:t>Riešo kanalo tunelinis sindromas, parestezija</w:t>
      </w:r>
    </w:p>
    <w:p w14:paraId="4BF72592" w14:textId="3B1FC223" w:rsidR="00173463" w:rsidRPr="00842A24" w:rsidRDefault="00173463" w:rsidP="00173463">
      <w:pPr>
        <w:rPr>
          <w:i/>
        </w:rPr>
      </w:pPr>
      <w:r w:rsidRPr="00842A24">
        <w:rPr>
          <w:i/>
          <w:iCs/>
          <w:szCs w:val="22"/>
        </w:rPr>
        <w:t xml:space="preserve">Reti </w:t>
      </w:r>
      <w:r w:rsidRPr="00842A24">
        <w:rPr>
          <w:i/>
          <w:iCs/>
          <w:szCs w:val="22"/>
        </w:rPr>
        <w:tab/>
      </w:r>
      <w:r w:rsidRPr="00842A24">
        <w:rPr>
          <w:i/>
          <w:iCs/>
          <w:szCs w:val="22"/>
        </w:rPr>
        <w:tab/>
      </w:r>
      <w:r w:rsidR="00450A3F" w:rsidRPr="00842A24">
        <w:rPr>
          <w:i/>
          <w:iCs/>
          <w:szCs w:val="22"/>
        </w:rPr>
        <w:tab/>
      </w:r>
      <w:r w:rsidRPr="00842A24">
        <w:rPr>
          <w:iCs/>
          <w:szCs w:val="22"/>
        </w:rPr>
        <w:t>Somnolencija</w:t>
      </w:r>
    </w:p>
    <w:p w14:paraId="636920AD" w14:textId="77777777" w:rsidR="00173463" w:rsidRPr="00842A24" w:rsidRDefault="00173463" w:rsidP="00173463"/>
    <w:p w14:paraId="53176BB5" w14:textId="77777777" w:rsidR="00173463" w:rsidRPr="00A20BB7" w:rsidRDefault="00173463" w:rsidP="00173463">
      <w:pPr>
        <w:rPr>
          <w:b/>
          <w:i/>
          <w:iCs/>
          <w:szCs w:val="22"/>
        </w:rPr>
      </w:pPr>
      <w:r w:rsidRPr="00A20BB7">
        <w:rPr>
          <w:b/>
          <w:i/>
          <w:iCs/>
          <w:szCs w:val="22"/>
        </w:rPr>
        <w:t>Kraujagyslių sutrikimai</w:t>
      </w:r>
    </w:p>
    <w:p w14:paraId="448BD6F2" w14:textId="77777777" w:rsidR="00173463" w:rsidRPr="00842A24" w:rsidRDefault="00173463" w:rsidP="00173463">
      <w:pPr>
        <w:rPr>
          <w:szCs w:val="22"/>
        </w:rPr>
      </w:pPr>
      <w:r w:rsidRPr="00842A24">
        <w:rPr>
          <w:bCs/>
          <w:i/>
          <w:iCs/>
          <w:szCs w:val="22"/>
        </w:rPr>
        <w:t>Labai dažni</w:t>
      </w:r>
      <w:r w:rsidRPr="00842A24">
        <w:rPr>
          <w:bCs/>
          <w:i/>
          <w:iCs/>
          <w:szCs w:val="22"/>
        </w:rPr>
        <w:tab/>
      </w:r>
      <w:r w:rsidRPr="00842A24">
        <w:rPr>
          <w:bCs/>
          <w:i/>
          <w:iCs/>
          <w:szCs w:val="22"/>
        </w:rPr>
        <w:tab/>
      </w:r>
      <w:r w:rsidRPr="00842A24">
        <w:rPr>
          <w:bCs/>
          <w:iCs/>
          <w:szCs w:val="22"/>
        </w:rPr>
        <w:t>K</w:t>
      </w:r>
      <w:r w:rsidRPr="00842A24">
        <w:rPr>
          <w:szCs w:val="22"/>
        </w:rPr>
        <w:t>raujo priplūdimas į veidą</w:t>
      </w:r>
    </w:p>
    <w:p w14:paraId="43C1D3BC" w14:textId="77777777" w:rsidR="00173463" w:rsidRPr="00842A24" w:rsidRDefault="00173463" w:rsidP="00173463">
      <w:pPr>
        <w:rPr>
          <w:bCs/>
          <w:i/>
          <w:iCs/>
          <w:szCs w:val="22"/>
        </w:rPr>
      </w:pPr>
    </w:p>
    <w:p w14:paraId="7DE4BA9F" w14:textId="77777777" w:rsidR="00173463" w:rsidRPr="00A20BB7" w:rsidRDefault="00173463" w:rsidP="00173463">
      <w:pPr>
        <w:rPr>
          <w:b/>
          <w:i/>
          <w:iCs/>
          <w:szCs w:val="22"/>
        </w:rPr>
      </w:pPr>
      <w:r w:rsidRPr="00A20BB7">
        <w:rPr>
          <w:b/>
          <w:i/>
          <w:iCs/>
          <w:szCs w:val="22"/>
        </w:rPr>
        <w:t>Virškinimo trakto sutrikimai</w:t>
      </w:r>
    </w:p>
    <w:p w14:paraId="4AD8521C" w14:textId="3D73B77D" w:rsidR="00173463" w:rsidRPr="00842A24" w:rsidRDefault="00173463" w:rsidP="00173463">
      <w:pPr>
        <w:rPr>
          <w:i/>
          <w:iCs/>
          <w:szCs w:val="22"/>
        </w:rPr>
      </w:pPr>
      <w:r w:rsidRPr="00842A24">
        <w:rPr>
          <w:i/>
          <w:iCs/>
          <w:szCs w:val="22"/>
        </w:rPr>
        <w:t>Labai dažni</w:t>
      </w:r>
      <w:r w:rsidRPr="00842A24">
        <w:rPr>
          <w:i/>
          <w:iCs/>
          <w:szCs w:val="22"/>
        </w:rPr>
        <w:tab/>
      </w:r>
      <w:r w:rsidRPr="00842A24">
        <w:rPr>
          <w:i/>
          <w:iCs/>
          <w:szCs w:val="22"/>
        </w:rPr>
        <w:tab/>
      </w:r>
      <w:r w:rsidRPr="00842A24">
        <w:rPr>
          <w:iCs/>
        </w:rPr>
        <w:t>Pilvo skausmas</w:t>
      </w:r>
      <w:r w:rsidRPr="00842A24">
        <w:rPr>
          <w:i/>
        </w:rPr>
        <w:t xml:space="preserve">, </w:t>
      </w:r>
      <w:r w:rsidRPr="00842A24">
        <w:rPr>
          <w:i/>
          <w:iCs/>
          <w:szCs w:val="22"/>
        </w:rPr>
        <w:t>p</w:t>
      </w:r>
      <w:r w:rsidRPr="00842A24">
        <w:rPr>
          <w:iCs/>
          <w:szCs w:val="22"/>
        </w:rPr>
        <w:t>ykinimas</w:t>
      </w:r>
    </w:p>
    <w:p w14:paraId="67D2C8D2" w14:textId="77777777" w:rsidR="00173463" w:rsidRPr="00842A24" w:rsidRDefault="00173463" w:rsidP="00450A3F">
      <w:pPr>
        <w:ind w:left="2127" w:hanging="2127"/>
        <w:rPr>
          <w:i/>
          <w:iCs/>
          <w:szCs w:val="22"/>
        </w:rPr>
      </w:pPr>
      <w:r w:rsidRPr="00842A24">
        <w:rPr>
          <w:i/>
          <w:iCs/>
          <w:szCs w:val="22"/>
        </w:rPr>
        <w:t>Dažni</w:t>
      </w:r>
      <w:r w:rsidRPr="00842A24">
        <w:rPr>
          <w:i/>
          <w:iCs/>
          <w:szCs w:val="22"/>
        </w:rPr>
        <w:tab/>
      </w:r>
      <w:r w:rsidRPr="00842A24">
        <w:rPr>
          <w:iCs/>
          <w:szCs w:val="22"/>
        </w:rPr>
        <w:t>Vėmimas, viduriavimas, vidurių užkietėjimas, virškinimo sutrikimas</w:t>
      </w:r>
    </w:p>
    <w:p w14:paraId="1C6F1987" w14:textId="77777777" w:rsidR="00173463" w:rsidRPr="00842A24" w:rsidRDefault="00173463" w:rsidP="00173463">
      <w:pPr>
        <w:ind w:left="2592" w:hanging="2592"/>
        <w:rPr>
          <w:i/>
          <w:iCs/>
          <w:szCs w:val="22"/>
        </w:rPr>
      </w:pPr>
    </w:p>
    <w:p w14:paraId="6D32FF78" w14:textId="77777777" w:rsidR="00173463" w:rsidRPr="00A20BB7" w:rsidRDefault="00173463" w:rsidP="00173463">
      <w:pPr>
        <w:rPr>
          <w:b/>
          <w:bCs/>
          <w:i/>
        </w:rPr>
      </w:pPr>
      <w:r w:rsidRPr="00A20BB7">
        <w:rPr>
          <w:b/>
          <w:bCs/>
          <w:i/>
        </w:rPr>
        <w:t>Kepenų, tulžies pūslės ir latakų sutrikimai</w:t>
      </w:r>
    </w:p>
    <w:p w14:paraId="32DC2B34" w14:textId="553D517B" w:rsidR="00173463" w:rsidRPr="00842A24" w:rsidRDefault="00173463" w:rsidP="00173463">
      <w:pPr>
        <w:rPr>
          <w:i/>
        </w:rPr>
      </w:pPr>
      <w:r w:rsidRPr="00842A24">
        <w:rPr>
          <w:i/>
          <w:iCs/>
          <w:szCs w:val="22"/>
        </w:rPr>
        <w:t xml:space="preserve">Reti </w:t>
      </w:r>
      <w:r w:rsidRPr="00842A24">
        <w:rPr>
          <w:i/>
          <w:iCs/>
          <w:szCs w:val="22"/>
        </w:rPr>
        <w:tab/>
        <w:t xml:space="preserve">   </w:t>
      </w:r>
      <w:r w:rsidRPr="00842A24">
        <w:rPr>
          <w:i/>
          <w:iCs/>
          <w:szCs w:val="22"/>
        </w:rPr>
        <w:tab/>
      </w:r>
      <w:r w:rsidRPr="00842A24">
        <w:rPr>
          <w:i/>
          <w:iCs/>
          <w:szCs w:val="22"/>
        </w:rPr>
        <w:tab/>
      </w:r>
      <w:r w:rsidRPr="00842A24">
        <w:t>Hepatitas</w:t>
      </w:r>
      <w:r w:rsidRPr="00842A24">
        <w:rPr>
          <w:szCs w:val="22"/>
          <w:vertAlign w:val="superscript"/>
        </w:rPr>
        <w:t>(</w:t>
      </w:r>
      <w:r w:rsidRPr="00842A24">
        <w:rPr>
          <w:vertAlign w:val="superscript"/>
        </w:rPr>
        <w:t>†)</w:t>
      </w:r>
      <w:r w:rsidRPr="00842A24">
        <w:rPr>
          <w:rFonts w:cs="Helvetica Neue"/>
          <w:color w:val="262626"/>
        </w:rPr>
        <w:t>, cholestazinis hepatitas</w:t>
      </w:r>
      <w:r w:rsidRPr="00842A24">
        <w:rPr>
          <w:szCs w:val="22"/>
          <w:vertAlign w:val="superscript"/>
        </w:rPr>
        <w:t>(</w:t>
      </w:r>
      <w:r w:rsidRPr="00842A24">
        <w:rPr>
          <w:vertAlign w:val="superscript"/>
        </w:rPr>
        <w:t>†)</w:t>
      </w:r>
    </w:p>
    <w:p w14:paraId="43724A40" w14:textId="77777777" w:rsidR="00173463" w:rsidRPr="00842A24" w:rsidRDefault="00173463" w:rsidP="00173463"/>
    <w:p w14:paraId="1297435B" w14:textId="77777777" w:rsidR="00173463" w:rsidRPr="00A20BB7" w:rsidRDefault="00173463" w:rsidP="00173463">
      <w:pPr>
        <w:ind w:left="2592" w:hanging="2592"/>
        <w:rPr>
          <w:b/>
          <w:i/>
          <w:iCs/>
          <w:szCs w:val="22"/>
        </w:rPr>
      </w:pPr>
      <w:r w:rsidRPr="00A20BB7">
        <w:rPr>
          <w:b/>
          <w:i/>
          <w:iCs/>
          <w:szCs w:val="22"/>
        </w:rPr>
        <w:t>Odos ir poodinio audinio sutrikimai</w:t>
      </w:r>
    </w:p>
    <w:p w14:paraId="4FFFC62F" w14:textId="2246224E" w:rsidR="00173463" w:rsidRPr="00842A24" w:rsidRDefault="00173463" w:rsidP="00450A3F">
      <w:pPr>
        <w:ind w:left="2127" w:hanging="2127"/>
        <w:rPr>
          <w:i/>
          <w:iCs/>
          <w:szCs w:val="22"/>
        </w:rPr>
      </w:pPr>
      <w:r w:rsidRPr="00842A24">
        <w:rPr>
          <w:i/>
        </w:rPr>
        <w:t>Labai dažni</w:t>
      </w:r>
      <w:r w:rsidRPr="00842A24">
        <w:rPr>
          <w:i/>
        </w:rPr>
        <w:tab/>
      </w:r>
      <w:r w:rsidR="00C458A4">
        <w:rPr>
          <w:iCs/>
          <w:szCs w:val="22"/>
        </w:rPr>
        <w:t>Hiperhidrozė</w:t>
      </w:r>
    </w:p>
    <w:p w14:paraId="2262E7E5" w14:textId="77777777" w:rsidR="00173463" w:rsidRPr="00842A24" w:rsidRDefault="00173463" w:rsidP="00695E53">
      <w:pPr>
        <w:ind w:left="2127" w:hanging="2127"/>
        <w:rPr>
          <w:iCs/>
          <w:szCs w:val="22"/>
        </w:rPr>
      </w:pPr>
      <w:r w:rsidRPr="00842A24">
        <w:rPr>
          <w:i/>
          <w:iCs/>
          <w:szCs w:val="22"/>
        </w:rPr>
        <w:t>Dažni</w:t>
      </w:r>
      <w:r w:rsidRPr="00842A24">
        <w:rPr>
          <w:i/>
          <w:iCs/>
          <w:szCs w:val="22"/>
        </w:rPr>
        <w:tab/>
      </w:r>
      <w:r w:rsidRPr="00842A24">
        <w:rPr>
          <w:iCs/>
          <w:szCs w:val="22"/>
        </w:rPr>
        <w:t>Alopecija, išbėrimas, dilgėlinė, niežėjimas</w:t>
      </w:r>
    </w:p>
    <w:p w14:paraId="47670878" w14:textId="77777777" w:rsidR="00173463" w:rsidRPr="00842A24" w:rsidRDefault="00173463" w:rsidP="00695E53">
      <w:pPr>
        <w:ind w:left="2127" w:hanging="2127"/>
        <w:rPr>
          <w:vertAlign w:val="superscript"/>
        </w:rPr>
      </w:pPr>
      <w:r w:rsidRPr="00842A24">
        <w:rPr>
          <w:i/>
          <w:iCs/>
          <w:szCs w:val="22"/>
        </w:rPr>
        <w:t>Reti</w:t>
      </w:r>
      <w:r w:rsidRPr="00842A24">
        <w:rPr>
          <w:i/>
          <w:iCs/>
          <w:szCs w:val="22"/>
        </w:rPr>
        <w:tab/>
      </w:r>
      <w:r w:rsidRPr="00842A24">
        <w:rPr>
          <w:rFonts w:cs="Arial"/>
          <w:color w:val="343434"/>
          <w:szCs w:val="26"/>
        </w:rPr>
        <w:t xml:space="preserve">Ūminė išplitusi egzanteminė </w:t>
      </w:r>
      <w:r w:rsidRPr="00842A24">
        <w:rPr>
          <w:rFonts w:cs="Arial"/>
          <w:bCs/>
          <w:color w:val="343434"/>
          <w:szCs w:val="26"/>
        </w:rPr>
        <w:t>pustuliozė</w:t>
      </w:r>
      <w:r w:rsidRPr="00842A24">
        <w:rPr>
          <w:szCs w:val="22"/>
          <w:vertAlign w:val="superscript"/>
        </w:rPr>
        <w:t>(</w:t>
      </w:r>
      <w:r w:rsidRPr="00842A24">
        <w:rPr>
          <w:vertAlign w:val="superscript"/>
        </w:rPr>
        <w:t>†)</w:t>
      </w:r>
    </w:p>
    <w:p w14:paraId="56BCB9FC" w14:textId="77777777" w:rsidR="00173463" w:rsidRPr="00842A24" w:rsidRDefault="00173463" w:rsidP="00173463">
      <w:pPr>
        <w:ind w:left="2592" w:hanging="2592"/>
        <w:rPr>
          <w:i/>
        </w:rPr>
      </w:pPr>
    </w:p>
    <w:p w14:paraId="2137E2F2" w14:textId="77777777" w:rsidR="00173463" w:rsidRPr="00842A24" w:rsidRDefault="00173463" w:rsidP="00173463">
      <w:pPr>
        <w:ind w:left="2592" w:hanging="2592"/>
        <w:rPr>
          <w:i/>
        </w:rPr>
      </w:pPr>
    </w:p>
    <w:p w14:paraId="780A350D" w14:textId="77777777" w:rsidR="00173463" w:rsidRPr="00A20BB7" w:rsidRDefault="00173463" w:rsidP="00173463">
      <w:pPr>
        <w:rPr>
          <w:b/>
          <w:i/>
          <w:iCs/>
          <w:szCs w:val="22"/>
        </w:rPr>
      </w:pPr>
      <w:r w:rsidRPr="00A20BB7">
        <w:rPr>
          <w:b/>
          <w:i/>
          <w:iCs/>
          <w:szCs w:val="22"/>
        </w:rPr>
        <w:t>Skeleto, raumenų ir jungiamojo audinio sutrikimai</w:t>
      </w:r>
    </w:p>
    <w:p w14:paraId="3AA23D71" w14:textId="77777777" w:rsidR="00173463" w:rsidRPr="00842A24" w:rsidRDefault="00173463" w:rsidP="00173463">
      <w:pPr>
        <w:rPr>
          <w:szCs w:val="22"/>
          <w:vertAlign w:val="superscript"/>
        </w:rPr>
      </w:pPr>
      <w:r w:rsidRPr="00842A24">
        <w:rPr>
          <w:bCs/>
          <w:i/>
          <w:iCs/>
          <w:szCs w:val="22"/>
        </w:rPr>
        <w:t>Labai dažni</w:t>
      </w:r>
      <w:r w:rsidRPr="00842A24">
        <w:rPr>
          <w:bCs/>
          <w:i/>
          <w:iCs/>
          <w:szCs w:val="22"/>
        </w:rPr>
        <w:tab/>
      </w:r>
      <w:r w:rsidRPr="00842A24">
        <w:rPr>
          <w:bCs/>
          <w:i/>
          <w:iCs/>
          <w:szCs w:val="22"/>
        </w:rPr>
        <w:tab/>
      </w:r>
      <w:r w:rsidRPr="00842A24">
        <w:rPr>
          <w:iCs/>
          <w:szCs w:val="22"/>
        </w:rPr>
        <w:t>Skausmas sąnariuose, kauluose ir raumenyse</w:t>
      </w:r>
      <w:r w:rsidRPr="00842A24">
        <w:rPr>
          <w:szCs w:val="22"/>
          <w:vertAlign w:val="superscript"/>
        </w:rPr>
        <w:t xml:space="preserve">(*) </w:t>
      </w:r>
    </w:p>
    <w:p w14:paraId="7D1BEC7E" w14:textId="00F7B739" w:rsidR="00173463" w:rsidRPr="00842A24" w:rsidRDefault="00173463" w:rsidP="00173463">
      <w:pPr>
        <w:rPr>
          <w:i/>
          <w:iCs/>
          <w:szCs w:val="22"/>
        </w:rPr>
      </w:pPr>
      <w:r w:rsidRPr="00842A24">
        <w:rPr>
          <w:i/>
        </w:rPr>
        <w:t>Dažni</w:t>
      </w:r>
      <w:r w:rsidRPr="00842A24">
        <w:rPr>
          <w:i/>
        </w:rPr>
        <w:tab/>
      </w:r>
      <w:r w:rsidRPr="00842A24">
        <w:rPr>
          <w:i/>
        </w:rPr>
        <w:tab/>
      </w:r>
      <w:r w:rsidR="00450A3F" w:rsidRPr="00842A24">
        <w:rPr>
          <w:i/>
        </w:rPr>
        <w:tab/>
      </w:r>
      <w:r w:rsidRPr="00842A24">
        <w:rPr>
          <w:iCs/>
          <w:szCs w:val="22"/>
        </w:rPr>
        <w:t>Osteoporozė, kaulų lūžiai</w:t>
      </w:r>
    </w:p>
    <w:p w14:paraId="334C92D0" w14:textId="77777777" w:rsidR="00173463" w:rsidRPr="00842A24" w:rsidRDefault="00173463" w:rsidP="00173463">
      <w:pPr>
        <w:rPr>
          <w:i/>
          <w:iCs/>
          <w:szCs w:val="22"/>
        </w:rPr>
      </w:pPr>
    </w:p>
    <w:p w14:paraId="1BA904EA" w14:textId="77777777" w:rsidR="00173463" w:rsidRPr="00A20BB7" w:rsidRDefault="00173463" w:rsidP="00173463">
      <w:pPr>
        <w:rPr>
          <w:b/>
          <w:i/>
          <w:iCs/>
          <w:szCs w:val="22"/>
        </w:rPr>
      </w:pPr>
      <w:r w:rsidRPr="00A20BB7">
        <w:rPr>
          <w:b/>
          <w:i/>
          <w:iCs/>
          <w:szCs w:val="22"/>
        </w:rPr>
        <w:t>Bendrieji sutrikimai ir vartojimo vietos pažeidimai</w:t>
      </w:r>
    </w:p>
    <w:p w14:paraId="3E2E4632" w14:textId="77777777" w:rsidR="00173463" w:rsidRPr="00842A24" w:rsidRDefault="00173463" w:rsidP="00173463">
      <w:pPr>
        <w:rPr>
          <w:i/>
          <w:iCs/>
          <w:szCs w:val="22"/>
        </w:rPr>
      </w:pPr>
      <w:r w:rsidRPr="00842A24">
        <w:rPr>
          <w:i/>
          <w:iCs/>
          <w:szCs w:val="22"/>
        </w:rPr>
        <w:t>Labai dažni</w:t>
      </w:r>
      <w:r w:rsidRPr="00842A24">
        <w:rPr>
          <w:i/>
          <w:iCs/>
          <w:szCs w:val="22"/>
        </w:rPr>
        <w:tab/>
      </w:r>
      <w:r w:rsidRPr="00842A24">
        <w:rPr>
          <w:i/>
          <w:iCs/>
          <w:szCs w:val="22"/>
        </w:rPr>
        <w:tab/>
      </w:r>
      <w:r w:rsidRPr="00842A24">
        <w:rPr>
          <w:iCs/>
        </w:rPr>
        <w:t xml:space="preserve">Skausmas, </w:t>
      </w:r>
      <w:r w:rsidRPr="00842A24">
        <w:rPr>
          <w:iCs/>
          <w:szCs w:val="22"/>
        </w:rPr>
        <w:t>nuovargis</w:t>
      </w:r>
    </w:p>
    <w:p w14:paraId="1047C70E" w14:textId="3A3CB3DD" w:rsidR="00173463" w:rsidRPr="00842A24" w:rsidRDefault="00173463" w:rsidP="00173463">
      <w:pPr>
        <w:rPr>
          <w:i/>
          <w:iCs/>
          <w:szCs w:val="22"/>
        </w:rPr>
      </w:pPr>
      <w:r w:rsidRPr="00842A24">
        <w:rPr>
          <w:i/>
          <w:iCs/>
          <w:szCs w:val="22"/>
        </w:rPr>
        <w:t>Dažni</w:t>
      </w:r>
      <w:r w:rsidRPr="00842A24">
        <w:rPr>
          <w:i/>
          <w:iCs/>
          <w:szCs w:val="22"/>
        </w:rPr>
        <w:tab/>
      </w:r>
      <w:r w:rsidRPr="00842A24">
        <w:rPr>
          <w:i/>
          <w:iCs/>
          <w:szCs w:val="22"/>
        </w:rPr>
        <w:tab/>
      </w:r>
      <w:r w:rsidR="00450A3F" w:rsidRPr="00842A24">
        <w:rPr>
          <w:i/>
          <w:iCs/>
          <w:szCs w:val="22"/>
        </w:rPr>
        <w:tab/>
      </w:r>
      <w:r w:rsidRPr="00842A24">
        <w:rPr>
          <w:iCs/>
          <w:szCs w:val="22"/>
        </w:rPr>
        <w:t>Periferinė edema, astenija</w:t>
      </w:r>
    </w:p>
    <w:p w14:paraId="2CAC243A" w14:textId="77777777" w:rsidR="00173463" w:rsidRPr="00842A24" w:rsidRDefault="00173463" w:rsidP="00173463">
      <w:pPr>
        <w:rPr>
          <w:i/>
        </w:rPr>
      </w:pPr>
    </w:p>
    <w:p w14:paraId="3547FE06" w14:textId="77777777" w:rsidR="00C458A4" w:rsidRPr="00A20BB7" w:rsidRDefault="00C458A4" w:rsidP="00C458A4">
      <w:pPr>
        <w:rPr>
          <w:b/>
          <w:bCs/>
          <w:i/>
          <w:iCs/>
        </w:rPr>
      </w:pPr>
      <w:r w:rsidRPr="00A20BB7">
        <w:rPr>
          <w:b/>
          <w:bCs/>
          <w:i/>
          <w:iCs/>
        </w:rPr>
        <w:t>Tyrimai</w:t>
      </w:r>
    </w:p>
    <w:p w14:paraId="0033730A" w14:textId="77777777" w:rsidR="00C458A4" w:rsidRPr="00842A24" w:rsidRDefault="00C458A4" w:rsidP="00C458A4">
      <w:pPr>
        <w:ind w:left="2127" w:hanging="2127"/>
        <w:rPr>
          <w:i/>
          <w:vertAlign w:val="superscript"/>
        </w:rPr>
      </w:pPr>
      <w:r w:rsidRPr="00842A24">
        <w:rPr>
          <w:i/>
        </w:rPr>
        <w:t>Labai dažni</w:t>
      </w:r>
      <w:r w:rsidRPr="00842A24">
        <w:rPr>
          <w:i/>
        </w:rPr>
        <w:tab/>
      </w:r>
      <w:r w:rsidRPr="00842A24">
        <w:rPr>
          <w:rFonts w:cs="Helvetica Neue"/>
          <w:color w:val="262626"/>
        </w:rPr>
        <w:t>Kepen</w:t>
      </w:r>
      <w:r w:rsidRPr="00842A24">
        <w:rPr>
          <w:color w:val="262626"/>
        </w:rPr>
        <w:t>ų</w:t>
      </w:r>
      <w:r w:rsidRPr="00842A24">
        <w:rPr>
          <w:rFonts w:cs="Helvetica Neue"/>
          <w:color w:val="262626"/>
        </w:rPr>
        <w:t xml:space="preserve"> ferment</w:t>
      </w:r>
      <w:r w:rsidRPr="00842A24">
        <w:rPr>
          <w:color w:val="262626"/>
        </w:rPr>
        <w:t>ų</w:t>
      </w:r>
      <w:r w:rsidRPr="00842A24">
        <w:rPr>
          <w:rFonts w:cs="Helvetica Neue"/>
          <w:color w:val="262626"/>
        </w:rPr>
        <w:t xml:space="preserve"> aktyvumo padid</w:t>
      </w:r>
      <w:r w:rsidRPr="00842A24">
        <w:rPr>
          <w:color w:val="262626"/>
        </w:rPr>
        <w:t>ė</w:t>
      </w:r>
      <w:r w:rsidRPr="00842A24">
        <w:rPr>
          <w:rFonts w:cs="Helvetica Neue"/>
          <w:color w:val="262626"/>
        </w:rPr>
        <w:t>jimas</w:t>
      </w:r>
      <w:r w:rsidRPr="00842A24">
        <w:rPr>
          <w:szCs w:val="22"/>
          <w:vertAlign w:val="superscript"/>
        </w:rPr>
        <w:t>(</w:t>
      </w:r>
      <w:r w:rsidRPr="00842A24">
        <w:rPr>
          <w:vertAlign w:val="superscript"/>
        </w:rPr>
        <w:t>†)</w:t>
      </w:r>
      <w:r w:rsidRPr="00842A24">
        <w:rPr>
          <w:rFonts w:cs="Helvetica Neue"/>
          <w:color w:val="262626"/>
        </w:rPr>
        <w:t>, bilirubino koncentracijos kraujyje padid</w:t>
      </w:r>
      <w:r w:rsidRPr="00842A24">
        <w:rPr>
          <w:color w:val="262626"/>
        </w:rPr>
        <w:t>ė</w:t>
      </w:r>
      <w:r w:rsidRPr="00842A24">
        <w:rPr>
          <w:rFonts w:cs="Helvetica Neue"/>
          <w:color w:val="262626"/>
        </w:rPr>
        <w:t>jimas</w:t>
      </w:r>
      <w:r w:rsidRPr="00842A24">
        <w:rPr>
          <w:szCs w:val="22"/>
          <w:vertAlign w:val="superscript"/>
        </w:rPr>
        <w:t>(</w:t>
      </w:r>
      <w:r w:rsidRPr="00842A24">
        <w:rPr>
          <w:vertAlign w:val="superscript"/>
        </w:rPr>
        <w:t>†)</w:t>
      </w:r>
      <w:r w:rsidRPr="00842A24">
        <w:rPr>
          <w:rFonts w:cs="Helvetica Neue"/>
          <w:color w:val="262626"/>
        </w:rPr>
        <w:t>, kraujo šarminės fosfatazės aktyvumo padidėjimas</w:t>
      </w:r>
      <w:r w:rsidRPr="00842A24">
        <w:rPr>
          <w:szCs w:val="22"/>
          <w:vertAlign w:val="superscript"/>
        </w:rPr>
        <w:t>(</w:t>
      </w:r>
      <w:r w:rsidRPr="00842A24">
        <w:rPr>
          <w:vertAlign w:val="superscript"/>
        </w:rPr>
        <w:t>†)</w:t>
      </w:r>
    </w:p>
    <w:p w14:paraId="62F68B20" w14:textId="77777777" w:rsidR="00173463" w:rsidRPr="00842A24" w:rsidRDefault="00173463" w:rsidP="00173463"/>
    <w:p w14:paraId="27444476" w14:textId="77777777" w:rsidR="00173463" w:rsidRPr="00842A24" w:rsidRDefault="00173463" w:rsidP="00173463">
      <w:pPr>
        <w:rPr>
          <w:vertAlign w:val="superscript"/>
        </w:rPr>
      </w:pPr>
    </w:p>
    <w:p w14:paraId="010323AF" w14:textId="77777777" w:rsidR="00173463" w:rsidRPr="00842A24" w:rsidRDefault="00173463" w:rsidP="00173463">
      <w:r w:rsidRPr="00842A24">
        <w:rPr>
          <w:vertAlign w:val="superscript"/>
        </w:rPr>
        <w:t>(*)</w:t>
      </w:r>
      <w:r w:rsidRPr="00842A24">
        <w:t xml:space="preserve">Įskaitant artralgiją, kiek rečiau galūnių skausmus, osteoartritą, nugaros skausmą, artritą, mialgiją ir sąnarių sąstingį. </w:t>
      </w:r>
    </w:p>
    <w:p w14:paraId="707CA89E" w14:textId="77777777" w:rsidR="00173463" w:rsidRPr="00842A24" w:rsidRDefault="00173463" w:rsidP="00173463">
      <w:pPr>
        <w:rPr>
          <w:color w:val="000000"/>
        </w:rPr>
      </w:pPr>
      <w:r w:rsidRPr="00842A24">
        <w:rPr>
          <w:szCs w:val="22"/>
          <w:vertAlign w:val="superscript"/>
        </w:rPr>
        <w:t>(**)</w:t>
      </w:r>
      <w:r w:rsidRPr="00842A24">
        <w:t xml:space="preserve">Tarp pacienčių su vėlyva krūties vėžio stadija retai pasireiškė trombocitopenija ir leukopenija. Apie 20% eksemestano vartojusių pacienčių kartais sumažėdavo limfocitų skaičius (ypač toms, kurioms limfopenija buvo dar iki gydymo). Vis dėlto vidutinis limfocitų skaičius per ilgesnį laikotarpį reikšmingai nepakito, atitinkamai, virusinių infekcijų dažnio padidėjimas nustatytas nebuvo. </w:t>
      </w:r>
      <w:r w:rsidRPr="00842A24">
        <w:rPr>
          <w:color w:val="000000"/>
        </w:rPr>
        <w:t>Tokio poveikio nebuvo pastebėta pacientėms, gydomoms ankstyvojo krūties vėžio tyrimų metu.</w:t>
      </w:r>
    </w:p>
    <w:p w14:paraId="795DB081" w14:textId="77777777" w:rsidR="00173463" w:rsidRPr="00842A24" w:rsidRDefault="00173463" w:rsidP="00173463"/>
    <w:p w14:paraId="1A493B07" w14:textId="77777777" w:rsidR="00173463" w:rsidRPr="00842A24" w:rsidRDefault="00173463" w:rsidP="00173463">
      <w:r w:rsidRPr="00842A24">
        <w:rPr>
          <w:vertAlign w:val="superscript"/>
        </w:rPr>
        <w:t xml:space="preserve">(†)  </w:t>
      </w:r>
      <w:r w:rsidRPr="00842A24">
        <w:t xml:space="preserve">Dažnis apskaičiuotas pagal </w:t>
      </w:r>
      <w:r w:rsidRPr="00842A24">
        <w:rPr>
          <w:szCs w:val="22"/>
        </w:rPr>
        <w:t xml:space="preserve">3/X taisyklę. </w:t>
      </w:r>
    </w:p>
    <w:p w14:paraId="066A4042" w14:textId="77777777" w:rsidR="00173463" w:rsidRPr="00842A24" w:rsidRDefault="00173463" w:rsidP="00173463">
      <w:pPr>
        <w:rPr>
          <w:b/>
        </w:rPr>
      </w:pPr>
    </w:p>
    <w:p w14:paraId="352FC6BF" w14:textId="77777777" w:rsidR="00173463" w:rsidRPr="00842A24" w:rsidRDefault="00173463" w:rsidP="00173463">
      <w:r w:rsidRPr="00842A24">
        <w:t>Toliau esančioje lentelėje pateikiamas iš anksto numatytų nepageidaujamų reiškinių ir sutrikimų, kurie, neatsižvelgiant į priežastis, nustatyti ankstyvojo krūties vėžio tyrimo „Intergroup Exemestane Study“ (IES) metu pacientėms, vartojant tiriamąjį vaistinį preparatą ir per 30 dienų po gydymo pabaigos, dažnis.</w:t>
      </w:r>
    </w:p>
    <w:p w14:paraId="04E84BA8" w14:textId="77777777" w:rsidR="00173463" w:rsidRPr="00842A24" w:rsidRDefault="00173463" w:rsidP="00A20BB7">
      <w:pPr>
        <w:keepNext/>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96"/>
        <w:gridCol w:w="2682"/>
        <w:gridCol w:w="2682"/>
      </w:tblGrid>
      <w:tr w:rsidR="00D15CAD" w:rsidRPr="00842A24" w14:paraId="65B20411" w14:textId="77777777" w:rsidTr="00695E53">
        <w:trPr>
          <w:tblCellSpacing w:w="0" w:type="dxa"/>
          <w:jc w:val="center"/>
        </w:trPr>
        <w:tc>
          <w:tcPr>
            <w:tcW w:w="2039" w:type="pct"/>
          </w:tcPr>
          <w:p w14:paraId="5EAB1D55" w14:textId="77777777" w:rsidR="00173463" w:rsidRPr="00842A24" w:rsidRDefault="00173463" w:rsidP="00A20BB7">
            <w:pPr>
              <w:pStyle w:val="prastasiniatinklio"/>
              <w:keepNext/>
              <w:jc w:val="center"/>
              <w:rPr>
                <w:lang w:val="lt-LT"/>
              </w:rPr>
            </w:pPr>
            <w:r w:rsidRPr="00842A24">
              <w:rPr>
                <w:b/>
                <w:sz w:val="22"/>
                <w:lang w:val="lt-LT"/>
              </w:rPr>
              <w:t>Nepageidaujami reiškiniai ir sutrikimai</w:t>
            </w:r>
          </w:p>
        </w:tc>
        <w:tc>
          <w:tcPr>
            <w:tcW w:w="1480" w:type="pct"/>
          </w:tcPr>
          <w:p w14:paraId="659133A6" w14:textId="77777777" w:rsidR="00173463" w:rsidRPr="00842A24" w:rsidRDefault="00173463" w:rsidP="00A20BB7">
            <w:pPr>
              <w:keepNext/>
              <w:jc w:val="center"/>
              <w:rPr>
                <w:b/>
              </w:rPr>
            </w:pPr>
            <w:r w:rsidRPr="00842A24">
              <w:rPr>
                <w:b/>
              </w:rPr>
              <w:t>Eksemestanas</w:t>
            </w:r>
          </w:p>
          <w:p w14:paraId="0E77451E" w14:textId="77777777" w:rsidR="00173463" w:rsidRPr="00842A24" w:rsidRDefault="00173463" w:rsidP="00A20BB7">
            <w:pPr>
              <w:keepNext/>
              <w:jc w:val="center"/>
              <w:rPr>
                <w:b/>
              </w:rPr>
            </w:pPr>
            <w:r w:rsidRPr="00842A24">
              <w:rPr>
                <w:b/>
              </w:rPr>
              <w:t>(n = 2249)</w:t>
            </w:r>
          </w:p>
        </w:tc>
        <w:tc>
          <w:tcPr>
            <w:tcW w:w="1480" w:type="pct"/>
          </w:tcPr>
          <w:p w14:paraId="10A35343" w14:textId="77777777" w:rsidR="00173463" w:rsidRPr="00842A24" w:rsidRDefault="00173463" w:rsidP="00A20BB7">
            <w:pPr>
              <w:keepNext/>
              <w:jc w:val="center"/>
              <w:rPr>
                <w:b/>
              </w:rPr>
            </w:pPr>
            <w:r w:rsidRPr="00842A24">
              <w:rPr>
                <w:b/>
              </w:rPr>
              <w:t>Tamoksifenas</w:t>
            </w:r>
          </w:p>
          <w:p w14:paraId="64BDF021" w14:textId="77777777" w:rsidR="00173463" w:rsidRPr="00842A24" w:rsidRDefault="00173463" w:rsidP="00A20BB7">
            <w:pPr>
              <w:keepNext/>
              <w:jc w:val="center"/>
              <w:rPr>
                <w:b/>
              </w:rPr>
            </w:pPr>
            <w:r w:rsidRPr="00842A24">
              <w:rPr>
                <w:b/>
              </w:rPr>
              <w:t>(n = 2279)</w:t>
            </w:r>
          </w:p>
        </w:tc>
      </w:tr>
      <w:tr w:rsidR="00D15CAD" w:rsidRPr="00842A24" w14:paraId="60949D4F" w14:textId="77777777" w:rsidTr="00695E53">
        <w:trPr>
          <w:tblCellSpacing w:w="0" w:type="dxa"/>
          <w:jc w:val="center"/>
        </w:trPr>
        <w:tc>
          <w:tcPr>
            <w:tcW w:w="2039" w:type="pct"/>
          </w:tcPr>
          <w:p w14:paraId="7952F775" w14:textId="77777777" w:rsidR="00173463" w:rsidRPr="00842A24" w:rsidRDefault="00173463" w:rsidP="00A20BB7">
            <w:pPr>
              <w:pStyle w:val="prastasiniatinklio"/>
              <w:keepNext/>
              <w:jc w:val="both"/>
              <w:rPr>
                <w:lang w:val="lt-LT"/>
              </w:rPr>
            </w:pPr>
            <w:r w:rsidRPr="00842A24">
              <w:rPr>
                <w:sz w:val="22"/>
                <w:lang w:val="lt-LT"/>
              </w:rPr>
              <w:t>Kraujo priplūdimas į veidą</w:t>
            </w:r>
          </w:p>
        </w:tc>
        <w:tc>
          <w:tcPr>
            <w:tcW w:w="1480" w:type="pct"/>
          </w:tcPr>
          <w:p w14:paraId="7EEC4A4C" w14:textId="77777777" w:rsidR="00173463" w:rsidRPr="00842A24" w:rsidRDefault="00173463" w:rsidP="00A20BB7">
            <w:pPr>
              <w:pStyle w:val="prastasiniatinklio"/>
              <w:keepNext/>
              <w:jc w:val="both"/>
              <w:rPr>
                <w:lang w:val="lt-LT"/>
              </w:rPr>
            </w:pPr>
            <w:r w:rsidRPr="00842A24">
              <w:rPr>
                <w:sz w:val="22"/>
                <w:lang w:val="lt-LT"/>
              </w:rPr>
              <w:t>491 (21,8%)</w:t>
            </w:r>
          </w:p>
        </w:tc>
        <w:tc>
          <w:tcPr>
            <w:tcW w:w="1480" w:type="pct"/>
          </w:tcPr>
          <w:p w14:paraId="49EB3D1F" w14:textId="77777777" w:rsidR="00173463" w:rsidRPr="00842A24" w:rsidRDefault="00173463" w:rsidP="00A20BB7">
            <w:pPr>
              <w:pStyle w:val="prastasiniatinklio"/>
              <w:keepNext/>
              <w:jc w:val="both"/>
              <w:rPr>
                <w:lang w:val="lt-LT"/>
              </w:rPr>
            </w:pPr>
            <w:r w:rsidRPr="00842A24">
              <w:rPr>
                <w:sz w:val="22"/>
                <w:lang w:val="lt-LT"/>
              </w:rPr>
              <w:t>457 (20,1%)</w:t>
            </w:r>
          </w:p>
        </w:tc>
      </w:tr>
      <w:tr w:rsidR="00D15CAD" w:rsidRPr="00842A24" w14:paraId="0F1ADCCB" w14:textId="77777777" w:rsidTr="00695E53">
        <w:trPr>
          <w:tblCellSpacing w:w="0" w:type="dxa"/>
          <w:jc w:val="center"/>
        </w:trPr>
        <w:tc>
          <w:tcPr>
            <w:tcW w:w="2039" w:type="pct"/>
          </w:tcPr>
          <w:p w14:paraId="4063D1BE" w14:textId="77777777" w:rsidR="00173463" w:rsidRPr="00842A24" w:rsidRDefault="00173463" w:rsidP="00A20BB7">
            <w:pPr>
              <w:pStyle w:val="prastasiniatinklio"/>
              <w:keepNext/>
              <w:jc w:val="both"/>
              <w:rPr>
                <w:lang w:val="lt-LT"/>
              </w:rPr>
            </w:pPr>
            <w:r w:rsidRPr="00842A24">
              <w:rPr>
                <w:sz w:val="22"/>
                <w:lang w:val="lt-LT"/>
              </w:rPr>
              <w:t>Nuovargis</w:t>
            </w:r>
          </w:p>
        </w:tc>
        <w:tc>
          <w:tcPr>
            <w:tcW w:w="1480" w:type="pct"/>
          </w:tcPr>
          <w:p w14:paraId="50722B08" w14:textId="77777777" w:rsidR="00173463" w:rsidRPr="00842A24" w:rsidRDefault="00173463" w:rsidP="00A20BB7">
            <w:pPr>
              <w:pStyle w:val="prastasiniatinklio"/>
              <w:keepNext/>
              <w:jc w:val="both"/>
              <w:rPr>
                <w:lang w:val="lt-LT"/>
              </w:rPr>
            </w:pPr>
            <w:r w:rsidRPr="00842A24">
              <w:rPr>
                <w:sz w:val="22"/>
                <w:lang w:val="lt-LT"/>
              </w:rPr>
              <w:t>367 (16,3%)</w:t>
            </w:r>
          </w:p>
        </w:tc>
        <w:tc>
          <w:tcPr>
            <w:tcW w:w="1480" w:type="pct"/>
          </w:tcPr>
          <w:p w14:paraId="46E9B6E9" w14:textId="77777777" w:rsidR="00173463" w:rsidRPr="00842A24" w:rsidRDefault="00173463" w:rsidP="00A20BB7">
            <w:pPr>
              <w:pStyle w:val="prastasiniatinklio"/>
              <w:keepNext/>
              <w:jc w:val="both"/>
              <w:rPr>
                <w:lang w:val="lt-LT"/>
              </w:rPr>
            </w:pPr>
            <w:r w:rsidRPr="00842A24">
              <w:rPr>
                <w:sz w:val="22"/>
                <w:lang w:val="lt-LT"/>
              </w:rPr>
              <w:t>344 (15,1%)</w:t>
            </w:r>
          </w:p>
        </w:tc>
      </w:tr>
      <w:tr w:rsidR="00D15CAD" w:rsidRPr="00842A24" w14:paraId="7C2729E3" w14:textId="77777777" w:rsidTr="00695E53">
        <w:trPr>
          <w:tblCellSpacing w:w="0" w:type="dxa"/>
          <w:jc w:val="center"/>
        </w:trPr>
        <w:tc>
          <w:tcPr>
            <w:tcW w:w="2039" w:type="pct"/>
          </w:tcPr>
          <w:p w14:paraId="14950A8D" w14:textId="77777777" w:rsidR="00173463" w:rsidRPr="00842A24" w:rsidRDefault="00173463" w:rsidP="00A20BB7">
            <w:pPr>
              <w:pStyle w:val="prastasiniatinklio"/>
              <w:keepNext/>
              <w:jc w:val="both"/>
              <w:rPr>
                <w:lang w:val="lt-LT"/>
              </w:rPr>
            </w:pPr>
            <w:r w:rsidRPr="00842A24">
              <w:rPr>
                <w:sz w:val="22"/>
                <w:lang w:val="lt-LT"/>
              </w:rPr>
              <w:t>Galvos skausmas</w:t>
            </w:r>
          </w:p>
        </w:tc>
        <w:tc>
          <w:tcPr>
            <w:tcW w:w="1480" w:type="pct"/>
          </w:tcPr>
          <w:p w14:paraId="34C27C8B" w14:textId="77777777" w:rsidR="00173463" w:rsidRPr="00842A24" w:rsidRDefault="00173463" w:rsidP="00A20BB7">
            <w:pPr>
              <w:pStyle w:val="prastasiniatinklio"/>
              <w:keepNext/>
              <w:jc w:val="both"/>
              <w:rPr>
                <w:lang w:val="lt-LT"/>
              </w:rPr>
            </w:pPr>
            <w:r w:rsidRPr="00842A24">
              <w:rPr>
                <w:sz w:val="22"/>
                <w:lang w:val="lt-LT"/>
              </w:rPr>
              <w:t>305 (13,6%)</w:t>
            </w:r>
          </w:p>
        </w:tc>
        <w:tc>
          <w:tcPr>
            <w:tcW w:w="1480" w:type="pct"/>
          </w:tcPr>
          <w:p w14:paraId="2430B89D" w14:textId="77777777" w:rsidR="00173463" w:rsidRPr="00842A24" w:rsidRDefault="00173463" w:rsidP="00A20BB7">
            <w:pPr>
              <w:pStyle w:val="prastasiniatinklio"/>
              <w:keepNext/>
              <w:jc w:val="both"/>
              <w:rPr>
                <w:lang w:val="lt-LT"/>
              </w:rPr>
            </w:pPr>
            <w:r w:rsidRPr="00842A24">
              <w:rPr>
                <w:sz w:val="22"/>
                <w:lang w:val="lt-LT"/>
              </w:rPr>
              <w:t>255 (11,2%)</w:t>
            </w:r>
          </w:p>
        </w:tc>
      </w:tr>
      <w:tr w:rsidR="00D15CAD" w:rsidRPr="00842A24" w14:paraId="7F206FB4" w14:textId="77777777" w:rsidTr="00695E53">
        <w:trPr>
          <w:tblCellSpacing w:w="0" w:type="dxa"/>
          <w:jc w:val="center"/>
        </w:trPr>
        <w:tc>
          <w:tcPr>
            <w:tcW w:w="2039" w:type="pct"/>
          </w:tcPr>
          <w:p w14:paraId="057ED4EA" w14:textId="77777777" w:rsidR="00173463" w:rsidRPr="00842A24" w:rsidRDefault="00173463" w:rsidP="008922B4">
            <w:pPr>
              <w:pStyle w:val="prastasiniatinklio"/>
              <w:jc w:val="both"/>
              <w:rPr>
                <w:lang w:val="lt-LT"/>
              </w:rPr>
            </w:pPr>
            <w:r w:rsidRPr="00842A24">
              <w:rPr>
                <w:sz w:val="22"/>
                <w:lang w:val="lt-LT"/>
              </w:rPr>
              <w:t>Nemiga</w:t>
            </w:r>
          </w:p>
        </w:tc>
        <w:tc>
          <w:tcPr>
            <w:tcW w:w="1480" w:type="pct"/>
          </w:tcPr>
          <w:p w14:paraId="6DBADAC3" w14:textId="77777777" w:rsidR="00173463" w:rsidRPr="00842A24" w:rsidRDefault="00173463" w:rsidP="008922B4">
            <w:pPr>
              <w:pStyle w:val="prastasiniatinklio"/>
              <w:jc w:val="both"/>
              <w:rPr>
                <w:lang w:val="lt-LT"/>
              </w:rPr>
            </w:pPr>
            <w:r w:rsidRPr="00842A24">
              <w:rPr>
                <w:sz w:val="22"/>
                <w:lang w:val="lt-LT"/>
              </w:rPr>
              <w:t>290 (12,9%)</w:t>
            </w:r>
          </w:p>
        </w:tc>
        <w:tc>
          <w:tcPr>
            <w:tcW w:w="1480" w:type="pct"/>
          </w:tcPr>
          <w:p w14:paraId="34676F2A" w14:textId="77777777" w:rsidR="00173463" w:rsidRPr="00842A24" w:rsidRDefault="00173463" w:rsidP="008922B4">
            <w:pPr>
              <w:pStyle w:val="prastasiniatinklio"/>
              <w:jc w:val="both"/>
              <w:rPr>
                <w:lang w:val="lt-LT"/>
              </w:rPr>
            </w:pPr>
            <w:r w:rsidRPr="00842A24">
              <w:rPr>
                <w:sz w:val="22"/>
                <w:lang w:val="lt-LT"/>
              </w:rPr>
              <w:t>204 (9,0%)</w:t>
            </w:r>
          </w:p>
        </w:tc>
      </w:tr>
      <w:tr w:rsidR="00D15CAD" w:rsidRPr="00842A24" w14:paraId="57F704B6" w14:textId="77777777" w:rsidTr="00695E53">
        <w:trPr>
          <w:tblCellSpacing w:w="0" w:type="dxa"/>
          <w:jc w:val="center"/>
        </w:trPr>
        <w:tc>
          <w:tcPr>
            <w:tcW w:w="2039" w:type="pct"/>
          </w:tcPr>
          <w:p w14:paraId="1A6A373E" w14:textId="77777777" w:rsidR="00173463" w:rsidRPr="00842A24" w:rsidRDefault="00173463" w:rsidP="008922B4">
            <w:pPr>
              <w:pStyle w:val="prastasiniatinklio"/>
              <w:jc w:val="both"/>
              <w:rPr>
                <w:lang w:val="lt-LT"/>
              </w:rPr>
            </w:pPr>
            <w:r w:rsidRPr="00842A24">
              <w:rPr>
                <w:sz w:val="22"/>
                <w:lang w:val="lt-LT"/>
              </w:rPr>
              <w:t>Padidėjęs prakaitavimas</w:t>
            </w:r>
          </w:p>
        </w:tc>
        <w:tc>
          <w:tcPr>
            <w:tcW w:w="1480" w:type="pct"/>
          </w:tcPr>
          <w:p w14:paraId="77D5F9E5" w14:textId="77777777" w:rsidR="00173463" w:rsidRPr="00842A24" w:rsidRDefault="00173463" w:rsidP="008922B4">
            <w:pPr>
              <w:pStyle w:val="prastasiniatinklio"/>
              <w:jc w:val="both"/>
              <w:rPr>
                <w:lang w:val="lt-LT"/>
              </w:rPr>
            </w:pPr>
            <w:r w:rsidRPr="00842A24">
              <w:rPr>
                <w:sz w:val="22"/>
                <w:lang w:val="lt-LT"/>
              </w:rPr>
              <w:t>270 (12,0%)</w:t>
            </w:r>
          </w:p>
        </w:tc>
        <w:tc>
          <w:tcPr>
            <w:tcW w:w="1480" w:type="pct"/>
          </w:tcPr>
          <w:p w14:paraId="66E0C51E" w14:textId="77777777" w:rsidR="00173463" w:rsidRPr="00842A24" w:rsidRDefault="00173463" w:rsidP="008922B4">
            <w:pPr>
              <w:pStyle w:val="prastasiniatinklio"/>
              <w:jc w:val="both"/>
              <w:rPr>
                <w:lang w:val="lt-LT"/>
              </w:rPr>
            </w:pPr>
            <w:r w:rsidRPr="00842A24">
              <w:rPr>
                <w:sz w:val="22"/>
                <w:lang w:val="lt-LT"/>
              </w:rPr>
              <w:t>242 (10,6%)</w:t>
            </w:r>
          </w:p>
        </w:tc>
      </w:tr>
      <w:tr w:rsidR="00D15CAD" w:rsidRPr="00842A24" w14:paraId="694309D6" w14:textId="77777777" w:rsidTr="00695E53">
        <w:trPr>
          <w:tblCellSpacing w:w="0" w:type="dxa"/>
          <w:jc w:val="center"/>
        </w:trPr>
        <w:tc>
          <w:tcPr>
            <w:tcW w:w="2039" w:type="pct"/>
          </w:tcPr>
          <w:p w14:paraId="3A7C9AC6" w14:textId="77777777" w:rsidR="00173463" w:rsidRPr="00842A24" w:rsidRDefault="00173463" w:rsidP="008922B4">
            <w:pPr>
              <w:pStyle w:val="prastasiniatinklio"/>
              <w:jc w:val="both"/>
              <w:rPr>
                <w:lang w:val="lt-LT"/>
              </w:rPr>
            </w:pPr>
            <w:r w:rsidRPr="00842A24">
              <w:rPr>
                <w:sz w:val="22"/>
                <w:lang w:val="lt-LT"/>
              </w:rPr>
              <w:t>Ginekologiniai sutrikimai</w:t>
            </w:r>
          </w:p>
        </w:tc>
        <w:tc>
          <w:tcPr>
            <w:tcW w:w="1480" w:type="pct"/>
          </w:tcPr>
          <w:p w14:paraId="594A83E8" w14:textId="77777777" w:rsidR="00173463" w:rsidRPr="00842A24" w:rsidRDefault="00173463" w:rsidP="008922B4">
            <w:pPr>
              <w:pStyle w:val="prastasiniatinklio"/>
              <w:jc w:val="both"/>
              <w:rPr>
                <w:lang w:val="lt-LT"/>
              </w:rPr>
            </w:pPr>
            <w:r w:rsidRPr="00842A24">
              <w:rPr>
                <w:sz w:val="22"/>
                <w:lang w:val="lt-LT"/>
              </w:rPr>
              <w:t>235 (10,5%)</w:t>
            </w:r>
          </w:p>
        </w:tc>
        <w:tc>
          <w:tcPr>
            <w:tcW w:w="1480" w:type="pct"/>
          </w:tcPr>
          <w:p w14:paraId="1AB33D4A" w14:textId="77777777" w:rsidR="00173463" w:rsidRPr="00842A24" w:rsidRDefault="00173463" w:rsidP="008922B4">
            <w:pPr>
              <w:pStyle w:val="prastasiniatinklio"/>
              <w:jc w:val="both"/>
              <w:rPr>
                <w:lang w:val="lt-LT"/>
              </w:rPr>
            </w:pPr>
            <w:r w:rsidRPr="00842A24">
              <w:rPr>
                <w:sz w:val="22"/>
                <w:lang w:val="lt-LT"/>
              </w:rPr>
              <w:t>340 (14,9%)</w:t>
            </w:r>
          </w:p>
        </w:tc>
      </w:tr>
      <w:tr w:rsidR="00D15CAD" w:rsidRPr="00842A24" w14:paraId="7DE36381" w14:textId="77777777" w:rsidTr="00695E53">
        <w:trPr>
          <w:tblCellSpacing w:w="0" w:type="dxa"/>
          <w:jc w:val="center"/>
        </w:trPr>
        <w:tc>
          <w:tcPr>
            <w:tcW w:w="2039" w:type="pct"/>
          </w:tcPr>
          <w:p w14:paraId="4BDD3B4C" w14:textId="77777777" w:rsidR="00173463" w:rsidRPr="00842A24" w:rsidRDefault="00173463" w:rsidP="008922B4">
            <w:pPr>
              <w:pStyle w:val="prastasiniatinklio"/>
              <w:jc w:val="both"/>
              <w:rPr>
                <w:lang w:val="lt-LT"/>
              </w:rPr>
            </w:pPr>
            <w:r w:rsidRPr="00842A24">
              <w:rPr>
                <w:sz w:val="22"/>
                <w:lang w:val="lt-LT"/>
              </w:rPr>
              <w:t>Galvos sukimasis</w:t>
            </w:r>
          </w:p>
        </w:tc>
        <w:tc>
          <w:tcPr>
            <w:tcW w:w="1480" w:type="pct"/>
          </w:tcPr>
          <w:p w14:paraId="0138A350" w14:textId="77777777" w:rsidR="00173463" w:rsidRPr="00842A24" w:rsidRDefault="00173463" w:rsidP="008922B4">
            <w:pPr>
              <w:pStyle w:val="prastasiniatinklio"/>
              <w:jc w:val="both"/>
              <w:rPr>
                <w:lang w:val="lt-LT"/>
              </w:rPr>
            </w:pPr>
            <w:r w:rsidRPr="00842A24">
              <w:rPr>
                <w:sz w:val="22"/>
                <w:lang w:val="lt-LT"/>
              </w:rPr>
              <w:t>224 (10,0%)</w:t>
            </w:r>
          </w:p>
        </w:tc>
        <w:tc>
          <w:tcPr>
            <w:tcW w:w="1480" w:type="pct"/>
          </w:tcPr>
          <w:p w14:paraId="74DDD939" w14:textId="77777777" w:rsidR="00173463" w:rsidRPr="00842A24" w:rsidRDefault="00173463" w:rsidP="008922B4">
            <w:pPr>
              <w:pStyle w:val="prastasiniatinklio"/>
              <w:jc w:val="both"/>
              <w:rPr>
                <w:lang w:val="lt-LT"/>
              </w:rPr>
            </w:pPr>
            <w:r w:rsidRPr="00842A24">
              <w:rPr>
                <w:sz w:val="22"/>
                <w:lang w:val="lt-LT"/>
              </w:rPr>
              <w:t>200 (8,8%)</w:t>
            </w:r>
          </w:p>
        </w:tc>
      </w:tr>
      <w:tr w:rsidR="00D15CAD" w:rsidRPr="00842A24" w14:paraId="57CFB5F3" w14:textId="77777777" w:rsidTr="00695E53">
        <w:trPr>
          <w:tblCellSpacing w:w="0" w:type="dxa"/>
          <w:jc w:val="center"/>
        </w:trPr>
        <w:tc>
          <w:tcPr>
            <w:tcW w:w="2039" w:type="pct"/>
          </w:tcPr>
          <w:p w14:paraId="176D44BA" w14:textId="77777777" w:rsidR="00173463" w:rsidRPr="00842A24" w:rsidRDefault="00173463" w:rsidP="008922B4">
            <w:pPr>
              <w:pStyle w:val="prastasiniatinklio"/>
              <w:jc w:val="both"/>
              <w:rPr>
                <w:lang w:val="lt-LT"/>
              </w:rPr>
            </w:pPr>
            <w:r w:rsidRPr="00842A24">
              <w:rPr>
                <w:sz w:val="22"/>
                <w:lang w:val="lt-LT"/>
              </w:rPr>
              <w:lastRenderedPageBreak/>
              <w:t>Pykinimas</w:t>
            </w:r>
          </w:p>
        </w:tc>
        <w:tc>
          <w:tcPr>
            <w:tcW w:w="1480" w:type="pct"/>
          </w:tcPr>
          <w:p w14:paraId="55F24698" w14:textId="77777777" w:rsidR="00173463" w:rsidRPr="00842A24" w:rsidRDefault="00173463" w:rsidP="008922B4">
            <w:pPr>
              <w:pStyle w:val="prastasiniatinklio"/>
              <w:jc w:val="both"/>
              <w:rPr>
                <w:lang w:val="lt-LT"/>
              </w:rPr>
            </w:pPr>
            <w:r w:rsidRPr="00842A24">
              <w:rPr>
                <w:sz w:val="22"/>
                <w:lang w:val="lt-LT"/>
              </w:rPr>
              <w:t>200 (8,9%)</w:t>
            </w:r>
          </w:p>
        </w:tc>
        <w:tc>
          <w:tcPr>
            <w:tcW w:w="1480" w:type="pct"/>
          </w:tcPr>
          <w:p w14:paraId="4A8B29CF" w14:textId="77777777" w:rsidR="00173463" w:rsidRPr="00842A24" w:rsidRDefault="00173463" w:rsidP="008922B4">
            <w:pPr>
              <w:pStyle w:val="prastasiniatinklio"/>
              <w:jc w:val="both"/>
              <w:rPr>
                <w:lang w:val="lt-LT"/>
              </w:rPr>
            </w:pPr>
            <w:r w:rsidRPr="00842A24">
              <w:rPr>
                <w:sz w:val="22"/>
                <w:lang w:val="lt-LT"/>
              </w:rPr>
              <w:t>208 (9,1%)</w:t>
            </w:r>
          </w:p>
        </w:tc>
      </w:tr>
      <w:tr w:rsidR="00D15CAD" w:rsidRPr="00842A24" w14:paraId="00F5377F" w14:textId="77777777" w:rsidTr="00695E53">
        <w:trPr>
          <w:tblCellSpacing w:w="0" w:type="dxa"/>
          <w:jc w:val="center"/>
        </w:trPr>
        <w:tc>
          <w:tcPr>
            <w:tcW w:w="2039" w:type="pct"/>
          </w:tcPr>
          <w:p w14:paraId="56841D9E" w14:textId="77777777" w:rsidR="00173463" w:rsidRPr="00842A24" w:rsidRDefault="00173463" w:rsidP="008922B4">
            <w:pPr>
              <w:pStyle w:val="prastasiniatinklio"/>
              <w:jc w:val="both"/>
              <w:rPr>
                <w:lang w:val="lt-LT"/>
              </w:rPr>
            </w:pPr>
            <w:r w:rsidRPr="00842A24">
              <w:rPr>
                <w:sz w:val="22"/>
                <w:lang w:val="lt-LT"/>
              </w:rPr>
              <w:t>Osteoporozė</w:t>
            </w:r>
          </w:p>
        </w:tc>
        <w:tc>
          <w:tcPr>
            <w:tcW w:w="1480" w:type="pct"/>
          </w:tcPr>
          <w:p w14:paraId="25711748" w14:textId="77777777" w:rsidR="00173463" w:rsidRPr="00842A24" w:rsidRDefault="00173463" w:rsidP="008922B4">
            <w:pPr>
              <w:pStyle w:val="prastasiniatinklio"/>
              <w:jc w:val="both"/>
              <w:rPr>
                <w:lang w:val="lt-LT"/>
              </w:rPr>
            </w:pPr>
            <w:r w:rsidRPr="00842A24">
              <w:rPr>
                <w:sz w:val="22"/>
                <w:lang w:val="lt-LT"/>
              </w:rPr>
              <w:t>116 (5,2%)</w:t>
            </w:r>
          </w:p>
        </w:tc>
        <w:tc>
          <w:tcPr>
            <w:tcW w:w="1480" w:type="pct"/>
          </w:tcPr>
          <w:p w14:paraId="7E96F9AC" w14:textId="77777777" w:rsidR="00173463" w:rsidRPr="00842A24" w:rsidRDefault="00173463" w:rsidP="008922B4">
            <w:pPr>
              <w:pStyle w:val="prastasiniatinklio"/>
              <w:jc w:val="both"/>
              <w:rPr>
                <w:lang w:val="lt-LT"/>
              </w:rPr>
            </w:pPr>
            <w:r w:rsidRPr="00842A24">
              <w:rPr>
                <w:sz w:val="22"/>
                <w:lang w:val="lt-LT"/>
              </w:rPr>
              <w:t>66 (2,9%)</w:t>
            </w:r>
          </w:p>
        </w:tc>
      </w:tr>
      <w:tr w:rsidR="00D15CAD" w:rsidRPr="00842A24" w14:paraId="7362D949" w14:textId="77777777" w:rsidTr="00695E53">
        <w:trPr>
          <w:tblCellSpacing w:w="0" w:type="dxa"/>
          <w:jc w:val="center"/>
        </w:trPr>
        <w:tc>
          <w:tcPr>
            <w:tcW w:w="2039" w:type="pct"/>
          </w:tcPr>
          <w:p w14:paraId="5A5EA7ED" w14:textId="77777777" w:rsidR="00173463" w:rsidRPr="00842A24" w:rsidRDefault="00173463" w:rsidP="008922B4">
            <w:pPr>
              <w:pStyle w:val="prastasiniatinklio"/>
              <w:jc w:val="both"/>
              <w:rPr>
                <w:lang w:val="lt-LT"/>
              </w:rPr>
            </w:pPr>
            <w:r w:rsidRPr="00842A24">
              <w:rPr>
                <w:sz w:val="22"/>
                <w:lang w:val="lt-LT"/>
              </w:rPr>
              <w:t>Kraujavimas iš makšties</w:t>
            </w:r>
          </w:p>
        </w:tc>
        <w:tc>
          <w:tcPr>
            <w:tcW w:w="1480" w:type="pct"/>
          </w:tcPr>
          <w:p w14:paraId="7C5D100D" w14:textId="77777777" w:rsidR="00173463" w:rsidRPr="00842A24" w:rsidRDefault="00173463" w:rsidP="008922B4">
            <w:pPr>
              <w:pStyle w:val="prastasiniatinklio"/>
              <w:jc w:val="both"/>
              <w:rPr>
                <w:lang w:val="lt-LT"/>
              </w:rPr>
            </w:pPr>
            <w:r w:rsidRPr="00842A24">
              <w:rPr>
                <w:sz w:val="22"/>
                <w:lang w:val="lt-LT"/>
              </w:rPr>
              <w:t>90 (4,0%)</w:t>
            </w:r>
          </w:p>
        </w:tc>
        <w:tc>
          <w:tcPr>
            <w:tcW w:w="1480" w:type="pct"/>
          </w:tcPr>
          <w:p w14:paraId="193DD00A" w14:textId="77777777" w:rsidR="00173463" w:rsidRPr="00842A24" w:rsidRDefault="00173463" w:rsidP="008922B4">
            <w:pPr>
              <w:pStyle w:val="prastasiniatinklio"/>
              <w:jc w:val="both"/>
              <w:rPr>
                <w:lang w:val="lt-LT"/>
              </w:rPr>
            </w:pPr>
            <w:r w:rsidRPr="00842A24">
              <w:rPr>
                <w:sz w:val="22"/>
                <w:lang w:val="lt-LT"/>
              </w:rPr>
              <w:t>121 (5,3%)</w:t>
            </w:r>
          </w:p>
        </w:tc>
      </w:tr>
      <w:tr w:rsidR="00D15CAD" w:rsidRPr="00842A24" w14:paraId="287BB5B6" w14:textId="77777777" w:rsidTr="00695E53">
        <w:trPr>
          <w:tblCellSpacing w:w="0" w:type="dxa"/>
          <w:jc w:val="center"/>
        </w:trPr>
        <w:tc>
          <w:tcPr>
            <w:tcW w:w="2039" w:type="pct"/>
          </w:tcPr>
          <w:p w14:paraId="3236B490" w14:textId="77777777" w:rsidR="00173463" w:rsidRPr="00842A24" w:rsidRDefault="00173463" w:rsidP="008922B4">
            <w:pPr>
              <w:pStyle w:val="prastasiniatinklio"/>
              <w:jc w:val="both"/>
              <w:rPr>
                <w:lang w:val="lt-LT"/>
              </w:rPr>
            </w:pPr>
            <w:r w:rsidRPr="00842A24">
              <w:rPr>
                <w:sz w:val="22"/>
                <w:lang w:val="lt-LT"/>
              </w:rPr>
              <w:t>Kitas pirminis vėžys</w:t>
            </w:r>
          </w:p>
        </w:tc>
        <w:tc>
          <w:tcPr>
            <w:tcW w:w="1480" w:type="pct"/>
          </w:tcPr>
          <w:p w14:paraId="77B9D9A4" w14:textId="77777777" w:rsidR="00173463" w:rsidRPr="00842A24" w:rsidRDefault="00173463" w:rsidP="008922B4">
            <w:pPr>
              <w:pStyle w:val="prastasiniatinklio"/>
              <w:jc w:val="both"/>
              <w:rPr>
                <w:lang w:val="lt-LT"/>
              </w:rPr>
            </w:pPr>
            <w:r w:rsidRPr="00842A24">
              <w:rPr>
                <w:sz w:val="22"/>
                <w:lang w:val="lt-LT"/>
              </w:rPr>
              <w:t>84 (3,6%)</w:t>
            </w:r>
          </w:p>
        </w:tc>
        <w:tc>
          <w:tcPr>
            <w:tcW w:w="1480" w:type="pct"/>
          </w:tcPr>
          <w:p w14:paraId="2FDF66E9" w14:textId="77777777" w:rsidR="00173463" w:rsidRPr="00842A24" w:rsidRDefault="00173463" w:rsidP="008922B4">
            <w:pPr>
              <w:pStyle w:val="prastasiniatinklio"/>
              <w:jc w:val="both"/>
              <w:rPr>
                <w:lang w:val="lt-LT"/>
              </w:rPr>
            </w:pPr>
            <w:r w:rsidRPr="00842A24">
              <w:rPr>
                <w:sz w:val="22"/>
                <w:lang w:val="lt-LT"/>
              </w:rPr>
              <w:t>125 (5,3%)</w:t>
            </w:r>
          </w:p>
        </w:tc>
      </w:tr>
      <w:tr w:rsidR="00D15CAD" w:rsidRPr="00842A24" w14:paraId="3B57FC3D" w14:textId="77777777" w:rsidTr="00695E53">
        <w:trPr>
          <w:tblCellSpacing w:w="0" w:type="dxa"/>
          <w:jc w:val="center"/>
        </w:trPr>
        <w:tc>
          <w:tcPr>
            <w:tcW w:w="2039" w:type="pct"/>
          </w:tcPr>
          <w:p w14:paraId="2CF6E262" w14:textId="77777777" w:rsidR="00173463" w:rsidRPr="00842A24" w:rsidRDefault="00173463" w:rsidP="008922B4">
            <w:pPr>
              <w:pStyle w:val="prastasiniatinklio"/>
              <w:jc w:val="both"/>
              <w:rPr>
                <w:lang w:val="lt-LT"/>
              </w:rPr>
            </w:pPr>
            <w:r w:rsidRPr="00842A24">
              <w:rPr>
                <w:sz w:val="22"/>
                <w:lang w:val="lt-LT"/>
              </w:rPr>
              <w:t>Vėmimas</w:t>
            </w:r>
          </w:p>
        </w:tc>
        <w:tc>
          <w:tcPr>
            <w:tcW w:w="1480" w:type="pct"/>
          </w:tcPr>
          <w:p w14:paraId="16578639" w14:textId="77777777" w:rsidR="00173463" w:rsidRPr="00842A24" w:rsidRDefault="00173463" w:rsidP="008922B4">
            <w:pPr>
              <w:pStyle w:val="prastasiniatinklio"/>
              <w:jc w:val="both"/>
              <w:rPr>
                <w:lang w:val="lt-LT"/>
              </w:rPr>
            </w:pPr>
            <w:r w:rsidRPr="00842A24">
              <w:rPr>
                <w:sz w:val="22"/>
                <w:lang w:val="lt-LT"/>
              </w:rPr>
              <w:t>50 (2,2%)</w:t>
            </w:r>
          </w:p>
        </w:tc>
        <w:tc>
          <w:tcPr>
            <w:tcW w:w="1480" w:type="pct"/>
          </w:tcPr>
          <w:p w14:paraId="36C4EA29" w14:textId="77777777" w:rsidR="00173463" w:rsidRPr="00842A24" w:rsidRDefault="00173463" w:rsidP="008922B4">
            <w:pPr>
              <w:pStyle w:val="prastasiniatinklio"/>
              <w:jc w:val="both"/>
              <w:rPr>
                <w:lang w:val="lt-LT"/>
              </w:rPr>
            </w:pPr>
            <w:r w:rsidRPr="00842A24">
              <w:rPr>
                <w:sz w:val="22"/>
                <w:lang w:val="lt-LT"/>
              </w:rPr>
              <w:t>54 (2,4%)</w:t>
            </w:r>
          </w:p>
        </w:tc>
      </w:tr>
      <w:tr w:rsidR="00D15CAD" w:rsidRPr="00842A24" w14:paraId="0346120C" w14:textId="77777777" w:rsidTr="00695E53">
        <w:trPr>
          <w:tblCellSpacing w:w="0" w:type="dxa"/>
          <w:jc w:val="center"/>
        </w:trPr>
        <w:tc>
          <w:tcPr>
            <w:tcW w:w="2039" w:type="pct"/>
          </w:tcPr>
          <w:p w14:paraId="397485BB" w14:textId="77777777" w:rsidR="00173463" w:rsidRPr="00842A24" w:rsidRDefault="00173463" w:rsidP="008922B4">
            <w:pPr>
              <w:pStyle w:val="prastasiniatinklio"/>
              <w:jc w:val="both"/>
              <w:rPr>
                <w:lang w:val="lt-LT"/>
              </w:rPr>
            </w:pPr>
            <w:r w:rsidRPr="00842A24">
              <w:rPr>
                <w:sz w:val="22"/>
                <w:lang w:val="lt-LT"/>
              </w:rPr>
              <w:t>Regėjimo sutrikimas</w:t>
            </w:r>
          </w:p>
        </w:tc>
        <w:tc>
          <w:tcPr>
            <w:tcW w:w="1480" w:type="pct"/>
          </w:tcPr>
          <w:p w14:paraId="463B1B0B" w14:textId="77777777" w:rsidR="00173463" w:rsidRPr="00842A24" w:rsidRDefault="00173463" w:rsidP="008922B4">
            <w:pPr>
              <w:pStyle w:val="prastasiniatinklio"/>
              <w:jc w:val="both"/>
              <w:rPr>
                <w:lang w:val="lt-LT"/>
              </w:rPr>
            </w:pPr>
            <w:r w:rsidRPr="00842A24">
              <w:rPr>
                <w:sz w:val="22"/>
                <w:lang w:val="lt-LT"/>
              </w:rPr>
              <w:t>45 (2,0%)</w:t>
            </w:r>
          </w:p>
        </w:tc>
        <w:tc>
          <w:tcPr>
            <w:tcW w:w="1480" w:type="pct"/>
          </w:tcPr>
          <w:p w14:paraId="6489531B" w14:textId="77777777" w:rsidR="00173463" w:rsidRPr="00842A24" w:rsidRDefault="00173463" w:rsidP="008922B4">
            <w:pPr>
              <w:pStyle w:val="prastasiniatinklio"/>
              <w:jc w:val="both"/>
              <w:rPr>
                <w:lang w:val="lt-LT"/>
              </w:rPr>
            </w:pPr>
            <w:r w:rsidRPr="00842A24">
              <w:rPr>
                <w:sz w:val="22"/>
                <w:lang w:val="lt-LT"/>
              </w:rPr>
              <w:t>53 (2,3%)</w:t>
            </w:r>
          </w:p>
        </w:tc>
      </w:tr>
      <w:tr w:rsidR="00D15CAD" w:rsidRPr="00842A24" w14:paraId="540A7716" w14:textId="77777777" w:rsidTr="00695E53">
        <w:trPr>
          <w:tblCellSpacing w:w="0" w:type="dxa"/>
          <w:jc w:val="center"/>
        </w:trPr>
        <w:tc>
          <w:tcPr>
            <w:tcW w:w="2039" w:type="pct"/>
          </w:tcPr>
          <w:p w14:paraId="322F04AB" w14:textId="77777777" w:rsidR="00173463" w:rsidRPr="00842A24" w:rsidRDefault="00173463" w:rsidP="008922B4">
            <w:pPr>
              <w:pStyle w:val="prastasiniatinklio"/>
              <w:jc w:val="both"/>
              <w:rPr>
                <w:lang w:val="lt-LT"/>
              </w:rPr>
            </w:pPr>
            <w:r w:rsidRPr="00842A24">
              <w:rPr>
                <w:sz w:val="22"/>
                <w:lang w:val="lt-LT"/>
              </w:rPr>
              <w:t>Tromboembolija</w:t>
            </w:r>
          </w:p>
        </w:tc>
        <w:tc>
          <w:tcPr>
            <w:tcW w:w="1480" w:type="pct"/>
          </w:tcPr>
          <w:p w14:paraId="50D2D157" w14:textId="77777777" w:rsidR="00173463" w:rsidRPr="00842A24" w:rsidRDefault="00173463" w:rsidP="008922B4">
            <w:pPr>
              <w:pStyle w:val="prastasiniatinklio"/>
              <w:jc w:val="both"/>
              <w:rPr>
                <w:lang w:val="lt-LT"/>
              </w:rPr>
            </w:pPr>
            <w:r w:rsidRPr="00842A24">
              <w:rPr>
                <w:sz w:val="22"/>
                <w:lang w:val="lt-LT"/>
              </w:rPr>
              <w:t>16 (0,7%)</w:t>
            </w:r>
          </w:p>
        </w:tc>
        <w:tc>
          <w:tcPr>
            <w:tcW w:w="1480" w:type="pct"/>
          </w:tcPr>
          <w:p w14:paraId="42B5D072" w14:textId="77777777" w:rsidR="00173463" w:rsidRPr="00842A24" w:rsidRDefault="00173463" w:rsidP="008922B4">
            <w:pPr>
              <w:pStyle w:val="prastasiniatinklio"/>
              <w:jc w:val="both"/>
              <w:rPr>
                <w:lang w:val="lt-LT"/>
              </w:rPr>
            </w:pPr>
            <w:r w:rsidRPr="00842A24">
              <w:rPr>
                <w:sz w:val="22"/>
                <w:lang w:val="lt-LT"/>
              </w:rPr>
              <w:t>42 (1,8%)</w:t>
            </w:r>
          </w:p>
        </w:tc>
      </w:tr>
      <w:tr w:rsidR="00D15CAD" w:rsidRPr="00842A24" w14:paraId="443DA68B" w14:textId="77777777" w:rsidTr="00695E53">
        <w:trPr>
          <w:tblCellSpacing w:w="0" w:type="dxa"/>
          <w:jc w:val="center"/>
        </w:trPr>
        <w:tc>
          <w:tcPr>
            <w:tcW w:w="2039" w:type="pct"/>
          </w:tcPr>
          <w:p w14:paraId="30876062" w14:textId="77777777" w:rsidR="00173463" w:rsidRPr="00842A24" w:rsidRDefault="00173463" w:rsidP="008922B4">
            <w:pPr>
              <w:pStyle w:val="prastasiniatinklio"/>
              <w:jc w:val="both"/>
              <w:rPr>
                <w:lang w:val="lt-LT"/>
              </w:rPr>
            </w:pPr>
            <w:r w:rsidRPr="00842A24">
              <w:rPr>
                <w:sz w:val="22"/>
                <w:lang w:val="lt-LT"/>
              </w:rPr>
              <w:t>Lūžis dėl osteoporozės</w:t>
            </w:r>
          </w:p>
        </w:tc>
        <w:tc>
          <w:tcPr>
            <w:tcW w:w="1480" w:type="pct"/>
          </w:tcPr>
          <w:p w14:paraId="54895DD3" w14:textId="77777777" w:rsidR="00173463" w:rsidRPr="00842A24" w:rsidRDefault="00173463" w:rsidP="008922B4">
            <w:pPr>
              <w:pStyle w:val="prastasiniatinklio"/>
              <w:jc w:val="both"/>
              <w:rPr>
                <w:lang w:val="lt-LT"/>
              </w:rPr>
            </w:pPr>
            <w:r w:rsidRPr="00842A24">
              <w:rPr>
                <w:sz w:val="22"/>
                <w:lang w:val="lt-LT"/>
              </w:rPr>
              <w:t>14 (0,6%)</w:t>
            </w:r>
          </w:p>
        </w:tc>
        <w:tc>
          <w:tcPr>
            <w:tcW w:w="1480" w:type="pct"/>
          </w:tcPr>
          <w:p w14:paraId="34E159C5" w14:textId="77777777" w:rsidR="00173463" w:rsidRPr="00842A24" w:rsidRDefault="00173463" w:rsidP="008922B4">
            <w:pPr>
              <w:pStyle w:val="prastasiniatinklio"/>
              <w:jc w:val="both"/>
              <w:rPr>
                <w:lang w:val="lt-LT"/>
              </w:rPr>
            </w:pPr>
            <w:r w:rsidRPr="00842A24">
              <w:rPr>
                <w:sz w:val="22"/>
                <w:lang w:val="lt-LT"/>
              </w:rPr>
              <w:t>12 (0,5%)</w:t>
            </w:r>
          </w:p>
        </w:tc>
      </w:tr>
      <w:tr w:rsidR="00D15CAD" w:rsidRPr="00842A24" w14:paraId="610ECC57" w14:textId="77777777" w:rsidTr="00695E53">
        <w:trPr>
          <w:tblCellSpacing w:w="0" w:type="dxa"/>
          <w:jc w:val="center"/>
        </w:trPr>
        <w:tc>
          <w:tcPr>
            <w:tcW w:w="2039" w:type="pct"/>
          </w:tcPr>
          <w:p w14:paraId="0C2B0362" w14:textId="77777777" w:rsidR="00173463" w:rsidRPr="00842A24" w:rsidRDefault="00173463" w:rsidP="008922B4">
            <w:pPr>
              <w:pStyle w:val="prastasiniatinklio"/>
              <w:jc w:val="both"/>
              <w:rPr>
                <w:lang w:val="lt-LT"/>
              </w:rPr>
            </w:pPr>
            <w:r w:rsidRPr="00842A24">
              <w:rPr>
                <w:sz w:val="22"/>
                <w:lang w:val="lt-LT"/>
              </w:rPr>
              <w:t>Miokardo infarktas</w:t>
            </w:r>
          </w:p>
        </w:tc>
        <w:tc>
          <w:tcPr>
            <w:tcW w:w="1480" w:type="pct"/>
          </w:tcPr>
          <w:p w14:paraId="692D74C1" w14:textId="77777777" w:rsidR="00173463" w:rsidRPr="00842A24" w:rsidRDefault="00173463" w:rsidP="008922B4">
            <w:pPr>
              <w:pStyle w:val="prastasiniatinklio"/>
              <w:jc w:val="both"/>
              <w:rPr>
                <w:lang w:val="lt-LT"/>
              </w:rPr>
            </w:pPr>
            <w:r w:rsidRPr="00842A24">
              <w:rPr>
                <w:sz w:val="22"/>
                <w:lang w:val="lt-LT"/>
              </w:rPr>
              <w:t>13 (0,6%)</w:t>
            </w:r>
          </w:p>
        </w:tc>
        <w:tc>
          <w:tcPr>
            <w:tcW w:w="1480" w:type="pct"/>
          </w:tcPr>
          <w:p w14:paraId="0FE50C1F" w14:textId="77777777" w:rsidR="00173463" w:rsidRPr="00842A24" w:rsidRDefault="00173463" w:rsidP="008922B4">
            <w:pPr>
              <w:pStyle w:val="prastasiniatinklio"/>
              <w:jc w:val="both"/>
              <w:rPr>
                <w:lang w:val="lt-LT"/>
              </w:rPr>
            </w:pPr>
            <w:r w:rsidRPr="00842A24">
              <w:rPr>
                <w:sz w:val="22"/>
                <w:lang w:val="lt-LT"/>
              </w:rPr>
              <w:t>4 (0,2%)</w:t>
            </w:r>
          </w:p>
        </w:tc>
      </w:tr>
    </w:tbl>
    <w:p w14:paraId="0FC1FF99" w14:textId="77777777" w:rsidR="00173463" w:rsidRPr="00842A24" w:rsidRDefault="00173463" w:rsidP="00173463">
      <w:pPr>
        <w:jc w:val="both"/>
      </w:pPr>
    </w:p>
    <w:p w14:paraId="207749D4" w14:textId="2C6BD06C" w:rsidR="00173463" w:rsidRPr="00842A24" w:rsidRDefault="00173463" w:rsidP="00173463">
      <w:r w:rsidRPr="00842A24">
        <w:t xml:space="preserve">IES tyrimo duomenimis, išeminių širdies sutrikimų dažnis eksemestano grupėje buvo 4,5%, palyginti su 4,2% </w:t>
      </w:r>
      <w:r w:rsidR="00842A24">
        <w:t>–</w:t>
      </w:r>
      <w:r w:rsidR="00842A24" w:rsidRPr="00842A24">
        <w:t xml:space="preserve"> </w:t>
      </w:r>
      <w:r w:rsidRPr="00842A24">
        <w:t xml:space="preserve">tamoksifeno grupėje. Kardiovaskulinių reiškinių, įskaitant hipertenzijos (9,9%, palyginti su 8,4%), miokardo infarkto (0,6%, palyginti su 0,2%) ir širdies nepakankamumo (1,1%, palyginti su 0,7%), reikšmingo dažnio skirtumų tarp grupių nebuvo. </w:t>
      </w:r>
    </w:p>
    <w:p w14:paraId="1B581B2A" w14:textId="77777777" w:rsidR="00173463" w:rsidRPr="00842A24" w:rsidRDefault="00173463" w:rsidP="00173463"/>
    <w:p w14:paraId="1E16E93C" w14:textId="77777777" w:rsidR="00173463" w:rsidRPr="00842A24" w:rsidRDefault="00173463" w:rsidP="00173463">
      <w:r w:rsidRPr="00842A24">
        <w:t xml:space="preserve">IES tyrimo duomenimis, hipercholesterolemija dažniau pasireiškė eksemestano, palyginti su tamoksifenu, grupėje (3,7%, palyginti su 2,1%). </w:t>
      </w:r>
    </w:p>
    <w:p w14:paraId="6FFE6781" w14:textId="77777777" w:rsidR="00173463" w:rsidRPr="00842A24" w:rsidRDefault="00173463" w:rsidP="00173463"/>
    <w:p w14:paraId="0DD5AF5C" w14:textId="77777777" w:rsidR="00173463" w:rsidRPr="00842A24" w:rsidRDefault="00173463" w:rsidP="00173463">
      <w:r w:rsidRPr="00842A24">
        <w:t>Atskiro dvigubai koduoto, atsitiktinų imčių tyrimo su pomenopauzės būklės moterimis, sergančiomis ankstyvąja nedidelės rizikos krūties vėžio stadija, ir 24 mėnesius vartojančiomis eksemestaną (n=73) arba placebą (n=73). Eksemestaną vartojančioms moterims vidutiniškai 7</w:t>
      </w:r>
      <w:r w:rsidRPr="00842A24">
        <w:noBreakHyphen/>
        <w:t>9% sumažėjo DTL cholesterolio kiekis kraujo plazmoje, lyginant su 1% padidėjimu placebo grupėje. Taip pat eksemestano grupėje 5</w:t>
      </w:r>
      <w:r w:rsidRPr="00842A24">
        <w:noBreakHyphen/>
        <w:t>6% sumažėjo apolipoproteino A1, lyginant su 0</w:t>
      </w:r>
      <w:r w:rsidRPr="00842A24">
        <w:noBreakHyphen/>
        <w:t>2% sumažėjimu placebo grupėje. Poveikis kitiems tirtiems lipidų rodmenims (bendrajam cholesteroliui, MTL cholesteroliui, trigliceridams, apolipoproteinui B ir lipoproteinui A) buvo panašus abiejose gydymo grupėse. Šių duomenų klinikinė reikšmė nėra aiški.</w:t>
      </w:r>
    </w:p>
    <w:p w14:paraId="59B51AB0" w14:textId="77777777" w:rsidR="00173463" w:rsidRPr="00842A24" w:rsidRDefault="00173463" w:rsidP="00173463"/>
    <w:p w14:paraId="13CDA99B" w14:textId="77777777" w:rsidR="00173463" w:rsidRPr="00842A24" w:rsidRDefault="00173463" w:rsidP="00173463">
      <w:r w:rsidRPr="00842A24">
        <w:t>IES tyrimo duomenimis, skrandžio opų šiek tiek dažniau atsirado eksemestano, palyginti su tamoksifenu, grupėje (0,7%, palyginti su &lt; 0,1%). Daugelis pacienčių, kurioms atsirado skrandžio opa, eksemestaną vartojo kartu su nesteroidiniais vaistais nuo uždegimo ir (arba) anksčiau buvo sirgusios skrandžio opa.</w:t>
      </w:r>
    </w:p>
    <w:p w14:paraId="53F066B7" w14:textId="77777777" w:rsidR="00173463" w:rsidRPr="00842A24" w:rsidRDefault="00173463" w:rsidP="00173463">
      <w:pPr>
        <w:rPr>
          <w:u w:val="single"/>
        </w:rPr>
      </w:pPr>
    </w:p>
    <w:p w14:paraId="48A1584A" w14:textId="77777777" w:rsidR="00173463" w:rsidRPr="00842A24" w:rsidRDefault="00173463" w:rsidP="00173463">
      <w:pPr>
        <w:autoSpaceDE w:val="0"/>
        <w:autoSpaceDN w:val="0"/>
        <w:adjustRightInd w:val="0"/>
        <w:jc w:val="both"/>
        <w:rPr>
          <w:u w:val="single"/>
        </w:rPr>
      </w:pPr>
      <w:r w:rsidRPr="00842A24">
        <w:rPr>
          <w:u w:val="single"/>
        </w:rPr>
        <w:t>Pranešimas apie įtariamas nepageidaujamas reakcijas</w:t>
      </w:r>
    </w:p>
    <w:p w14:paraId="70C4F89B" w14:textId="5935FDB9" w:rsidR="00173463" w:rsidRPr="00842A24" w:rsidRDefault="00173463" w:rsidP="00950710">
      <w:pPr>
        <w:tabs>
          <w:tab w:val="left" w:pos="567"/>
        </w:tabs>
        <w:spacing w:line="260" w:lineRule="exact"/>
        <w:rPr>
          <w:szCs w:val="22"/>
        </w:rPr>
      </w:pPr>
      <w:r w:rsidRPr="00842A24">
        <w:t xml:space="preserve">Svarbu pranešti apie įtariamas nepageidaujamas reakcijas, pastebėtas po vaistinio preparato registracijos, nes tai leidžia nuolat stebėti vaistinio preparato naudos ir rizikos santykį. </w:t>
      </w:r>
      <w:r w:rsidR="005A6353" w:rsidRPr="00842A24">
        <w:t xml:space="preserve">Sveikatos priežiūros ar farmacijos specialistai turi pranešti apie bet kokias įtariamas nepageidaujamas reakcijas, tiesiogiai užpildę pranešimo formą internetu Tarnybos Vaistinių preparatų informacinėje sistemoje </w:t>
      </w:r>
      <w:r w:rsidR="005A6353" w:rsidRPr="00842A24">
        <w:rPr>
          <w:color w:val="0000FF"/>
          <w:u w:val="single"/>
        </w:rPr>
        <w:t>https://vapris.vvkt.lt/vvkt-web/public/nrvSpecialist</w:t>
      </w:r>
      <w:r w:rsidR="005A6353" w:rsidRPr="00842A24">
        <w:t xml:space="preserve"> arba užpildę Sveikatos priežiūros ar farmacijos specialisto pranešimo apie įtariamą nepageidaujamą reakciją (ĮNR) formą, kuri skelbiama </w:t>
      </w:r>
      <w:r w:rsidR="005A6353" w:rsidRPr="00842A24">
        <w:rPr>
          <w:color w:val="0000FF"/>
          <w:u w:val="single"/>
        </w:rPr>
        <w:t>https://www.vvkt.lt/index.php?1399030386</w:t>
      </w:r>
      <w:r w:rsidR="005A6353" w:rsidRPr="00842A24">
        <w:t>, ir atsiųsti elektroniniu paštu (adresu NepageidaujamaR@vvkt.lt).</w:t>
      </w:r>
    </w:p>
    <w:p w14:paraId="4F823776" w14:textId="77777777" w:rsidR="00173463" w:rsidRPr="00842A24" w:rsidRDefault="00173463" w:rsidP="00173463"/>
    <w:p w14:paraId="51968C19" w14:textId="77777777" w:rsidR="00173463" w:rsidRPr="00842A24" w:rsidRDefault="00173463" w:rsidP="00173463">
      <w:pPr>
        <w:pStyle w:val="PI-2EMEASMCA"/>
      </w:pPr>
      <w:bookmarkStart w:id="29" w:name="_Toc129243110"/>
      <w:bookmarkStart w:id="30" w:name="_Toc129243235"/>
      <w:r w:rsidRPr="00842A24">
        <w:t>4.9</w:t>
      </w:r>
      <w:r w:rsidRPr="00842A24">
        <w:tab/>
        <w:t>Perdozavimas</w:t>
      </w:r>
      <w:bookmarkEnd w:id="29"/>
      <w:bookmarkEnd w:id="30"/>
    </w:p>
    <w:p w14:paraId="178979F2" w14:textId="77777777" w:rsidR="00173463" w:rsidRPr="00842A24" w:rsidRDefault="00173463" w:rsidP="00173463"/>
    <w:p w14:paraId="1017EABF" w14:textId="77777777" w:rsidR="00173463" w:rsidRPr="00842A24" w:rsidRDefault="00173463" w:rsidP="00173463">
      <w:r w:rsidRPr="00842A24">
        <w:t xml:space="preserve">Klinikinių tyrimų metu buvo skiriama iki 800 mg vienkartinė eksemestano dozė sveikoms moterims savanorėms ir iki 600 mg per parą pomenopauzinės būklės moterims, sergančioms vėlyvosiomis krūties vėžio stadijomis. Šias dozes sveikos savanorės ir sergančiosios toleravo gerai. </w:t>
      </w:r>
      <w:r w:rsidRPr="00842A24">
        <w:rPr>
          <w:color w:val="000000"/>
        </w:rPr>
        <w:t>Vienkartinės eksemestano dozės, galinčios sukelti gyvybei pavojingų simptomų, dydis nežinomas. Žiurkėms mirtina vienkartinė vaistinio preparato dozė buvo 2 000 kartų didesnė, o šunims 4 000 kartų didesnė už rekomenduojamą dozę žmogui (mg/m</w:t>
      </w:r>
      <w:r w:rsidRPr="00842A24">
        <w:rPr>
          <w:vertAlign w:val="superscript"/>
        </w:rPr>
        <w:t>2</w:t>
      </w:r>
      <w:r w:rsidRPr="00842A24">
        <w:t>). Specifinio priešnuodžio, perdozavus eksemestano, nėra, todėl gydoma simptomiškai. Reikia taikyti bendrąsias palaikomąsias priemones, dažnai tikrinti gyvybės požymius ir atidžiai stebėti pacientę.</w:t>
      </w:r>
    </w:p>
    <w:p w14:paraId="00954CD9" w14:textId="77777777" w:rsidR="00173463" w:rsidRPr="00842A24" w:rsidRDefault="00173463" w:rsidP="009E4666">
      <w:pPr>
        <w:pStyle w:val="BTEMEASMCA"/>
      </w:pPr>
    </w:p>
    <w:p w14:paraId="7AB1E1CB" w14:textId="77777777" w:rsidR="00173463" w:rsidRPr="00842A24" w:rsidRDefault="00173463" w:rsidP="009E4666">
      <w:pPr>
        <w:pStyle w:val="BTEMEASMCA"/>
      </w:pPr>
    </w:p>
    <w:p w14:paraId="15301519" w14:textId="1842B1E1" w:rsidR="00173463" w:rsidRPr="00842A24" w:rsidRDefault="00173463" w:rsidP="00173463">
      <w:pPr>
        <w:pStyle w:val="PI-1EMEASMCA"/>
        <w:rPr>
          <w:b w:val="0"/>
        </w:rPr>
      </w:pPr>
      <w:bookmarkStart w:id="31" w:name="_Toc129243111"/>
      <w:bookmarkStart w:id="32" w:name="_Toc129243236"/>
      <w:r w:rsidRPr="00842A24">
        <w:t>5.</w:t>
      </w:r>
      <w:r w:rsidRPr="00842A24">
        <w:tab/>
        <w:t>FARMAKOLOGINĖS SAVYBĖS</w:t>
      </w:r>
      <w:bookmarkEnd w:id="31"/>
      <w:bookmarkEnd w:id="32"/>
    </w:p>
    <w:p w14:paraId="70A611C2" w14:textId="77777777" w:rsidR="00173463" w:rsidRPr="00842A24" w:rsidRDefault="00173463" w:rsidP="009E4666">
      <w:pPr>
        <w:pStyle w:val="BTEMEASMCA"/>
      </w:pPr>
    </w:p>
    <w:p w14:paraId="2E0429BA" w14:textId="28B3C09A" w:rsidR="00173463" w:rsidRPr="00842A24" w:rsidRDefault="00173463" w:rsidP="00173463">
      <w:pPr>
        <w:pStyle w:val="PI-2EMEASMCA"/>
        <w:rPr>
          <w:b w:val="0"/>
        </w:rPr>
      </w:pPr>
      <w:bookmarkStart w:id="33" w:name="_Toc129243112"/>
      <w:bookmarkStart w:id="34" w:name="_Toc129243237"/>
      <w:r w:rsidRPr="00842A24">
        <w:lastRenderedPageBreak/>
        <w:t>5.1</w:t>
      </w:r>
      <w:r w:rsidRPr="00842A24">
        <w:tab/>
        <w:t>Farmakodinaminės savybės</w:t>
      </w:r>
      <w:bookmarkEnd w:id="33"/>
      <w:bookmarkEnd w:id="34"/>
    </w:p>
    <w:p w14:paraId="70C18DEC" w14:textId="77777777" w:rsidR="00173463" w:rsidRPr="00842A24" w:rsidRDefault="00173463" w:rsidP="009E4666">
      <w:pPr>
        <w:pStyle w:val="BTEMEASMCA"/>
      </w:pPr>
    </w:p>
    <w:p w14:paraId="4C6E9045" w14:textId="77777777" w:rsidR="00173463" w:rsidRPr="00842A24" w:rsidRDefault="00173463" w:rsidP="009E4666">
      <w:pPr>
        <w:pStyle w:val="BTEMEASMCA"/>
      </w:pPr>
      <w:r w:rsidRPr="00842A24">
        <w:t>Farmakoterapinė grupė – steroidų aromatazės inhibitorius, vaistas nuo vėžio, ATC kodas – L02BG06.</w:t>
      </w:r>
    </w:p>
    <w:p w14:paraId="48A17285" w14:textId="77777777" w:rsidR="00173463" w:rsidRPr="00842A24" w:rsidRDefault="00173463" w:rsidP="009E4666">
      <w:pPr>
        <w:pStyle w:val="BTEMEASMCA"/>
      </w:pPr>
    </w:p>
    <w:p w14:paraId="74B32EC8" w14:textId="77777777" w:rsidR="00173463" w:rsidRPr="00E5770F" w:rsidRDefault="00173463" w:rsidP="009E4666">
      <w:pPr>
        <w:pStyle w:val="BTEMEASMCA"/>
      </w:pPr>
      <w:r w:rsidRPr="00E5770F">
        <w:t>Veikimo mechanizmas</w:t>
      </w:r>
    </w:p>
    <w:p w14:paraId="1916A007" w14:textId="77777777" w:rsidR="00173463" w:rsidRPr="00842A24" w:rsidRDefault="00173463" w:rsidP="00173463">
      <w:r w:rsidRPr="00842A24">
        <w:t>Eksemestanas yra negrįžtamasis steroidų aromatazės inhibitorius, kurio struktūra yra panaši į natūralaus androstenediono. Po menopauzės moters organizme daugiausia estrogenų susidaro periferiniuose audiniuose iš androgenų katalizuojant fermentui aromatazei. Nuslopinus aromatazės aktyvumą, labai sumažėja estrogenų kiekis, todėl tai veiksmingas ir selektyvus nuo hormonų priklausomo krūties vėžio gydymas moterims po menopauzės. Pomenopauzinės būklės moterims per burną vartojamos eksemestano 5 mg ar didesnės paros dozės, gerokai sumažina estrogenų koncentraciją serume. Didžiausias (&gt; 90%) sumažėjimas nustatytas vartojant 10</w:t>
      </w:r>
      <w:r w:rsidRPr="00842A24">
        <w:noBreakHyphen/>
        <w:t>25 mg dozes. Pomenopauzinės būklės p</w:t>
      </w:r>
      <w:r w:rsidRPr="00842A24">
        <w:rPr>
          <w:color w:val="000000"/>
        </w:rPr>
        <w:t xml:space="preserve">acientėms, gydomoms 25 mg paros dozėmis, bendrasis aromatazių aktyvumas organizme sumažėja 98%. </w:t>
      </w:r>
    </w:p>
    <w:p w14:paraId="1405D947" w14:textId="77777777" w:rsidR="00173463" w:rsidRPr="00842A24" w:rsidRDefault="00173463" w:rsidP="00173463"/>
    <w:p w14:paraId="3F6D3D21" w14:textId="77777777" w:rsidR="00173463" w:rsidRPr="00842A24" w:rsidRDefault="00173463" w:rsidP="00173463">
      <w:r w:rsidRPr="00842A24">
        <w:t>Progestageniniu ar estrogeniniu poveikiu eksemestanas nepasižymi. Nustatytas nedidelis androgeninis poveikis (paprastai tada, kai dozės didelės), kuris, tikriausiai, priklauso nuo 17</w:t>
      </w:r>
      <w:r w:rsidRPr="00842A24">
        <w:noBreakHyphen/>
        <w:t xml:space="preserve">hidro darinio. Daugkartinių paros dozių tyrimų metu, eksemestano įtakos kortizolio ar aldosterono sintezei antinksčiuose nenustatyta (šių steroidų kiekis buvo tiriamas iki stimuliacijos AKTH ir po jos). Tai rodo eksemestano selektyvumą kitiems steroidų sintezėje dalyvaujantiems fermentams. </w:t>
      </w:r>
    </w:p>
    <w:p w14:paraId="5CCEE7A3" w14:textId="77777777" w:rsidR="00173463" w:rsidRPr="00842A24" w:rsidRDefault="00173463" w:rsidP="00173463"/>
    <w:p w14:paraId="08995174" w14:textId="77777777" w:rsidR="00173463" w:rsidRPr="00842A24" w:rsidRDefault="00173463" w:rsidP="00173463">
      <w:r w:rsidRPr="00842A24">
        <w:t>Dėl šios priežasteis, vartojant eksemestano pakeičiamojo gydymo mineralkortikoidais ar gliukokortikoidais nereikia. Nuo dozės nepriklausomas nedidelis LH ir FSH koncentracijų serume padidėjimas nustatytas net skiriant šio vaistinio preparato mažomis dozėmis. Tačiau tokio šios farmakologinės grupės vaistinių preparatų poveikio ir reikėtų tikėtis. Tikriausiai jis priklauso nuo atgalinio poveikio hipofizei, kai, sumažėjus estrogenų kiekiui, stimuliuojama gonadotropinų sekrecija (toks poveikis pasireiškia ir moterims po menopauzės).</w:t>
      </w:r>
    </w:p>
    <w:p w14:paraId="7CD67E91" w14:textId="77777777" w:rsidR="00173463" w:rsidRPr="00842A24" w:rsidRDefault="00173463" w:rsidP="00173463"/>
    <w:p w14:paraId="4BC2800E" w14:textId="77777777" w:rsidR="00173463" w:rsidRPr="00842A24" w:rsidRDefault="00173463" w:rsidP="00173463">
      <w:pPr>
        <w:rPr>
          <w:u w:val="single"/>
        </w:rPr>
      </w:pPr>
      <w:r w:rsidRPr="00842A24">
        <w:rPr>
          <w:u w:val="single"/>
        </w:rPr>
        <w:t>Klinikinis veiksmingumas ir saugumas</w:t>
      </w:r>
    </w:p>
    <w:p w14:paraId="7FB76AD4" w14:textId="77777777" w:rsidR="00173463" w:rsidRPr="00842A24" w:rsidRDefault="00173463" w:rsidP="00173463">
      <w:r w:rsidRPr="00842A24">
        <w:rPr>
          <w:u w:val="single"/>
        </w:rPr>
        <w:t>Pagalbinis ankstyvos krūties vėžio stadijos gydymas</w:t>
      </w:r>
    </w:p>
    <w:p w14:paraId="3A8A4DBD" w14:textId="77777777" w:rsidR="00173463" w:rsidRPr="00842A24" w:rsidRDefault="00173463" w:rsidP="00173463">
      <w:r w:rsidRPr="00842A24">
        <w:t>Daugiacentris, atsitiktinių imčių, dvigubai koduotas tyrimas (IES) buvo atliekamas su 4 724 pacientėmis po menopauzės, sergančiomis aktyviąja estrogenų receptoriams teigiamo arba nežinomo krūties vėžio stadija. Pacientės po pirminio pagalbinio 2</w:t>
      </w:r>
      <w:r w:rsidRPr="00842A24">
        <w:noBreakHyphen/>
        <w:t>3 metų gydymo tamoksifenu, po kurio neliko ligos požymių, atsitiktinio parinkimo tvarka 2</w:t>
      </w:r>
      <w:r w:rsidRPr="00842A24">
        <w:noBreakHyphen/>
        <w:t xml:space="preserve">3 metus toliau vartojo eksemestano (25 mg/parai) arba tamoksifeną (20 arba 30 mg/parai) iki buvo pabaigtas 5 metus trunkantis gydymas hormoniniais vaistiniais preparatais. </w:t>
      </w:r>
    </w:p>
    <w:p w14:paraId="66D515E9" w14:textId="77777777" w:rsidR="00173463" w:rsidRPr="00842A24" w:rsidRDefault="00173463" w:rsidP="00173463"/>
    <w:p w14:paraId="17B68C13" w14:textId="77777777" w:rsidR="00173463" w:rsidRPr="00842A24" w:rsidRDefault="00173463" w:rsidP="00173463">
      <w:r w:rsidRPr="00842A24">
        <w:t>IES tolimesnis vidutiniškai 52 mėnesių gydymas</w:t>
      </w:r>
    </w:p>
    <w:p w14:paraId="5128751D" w14:textId="77777777" w:rsidR="00173463" w:rsidRPr="00842A24" w:rsidRDefault="00173463" w:rsidP="00173463">
      <w:r w:rsidRPr="00842A24">
        <w:t>Po vidutiniškai 30 mėnesių trukusio gydymo ir tolimesnio vidutiniškai 52 mėnesius trukusio tyrimo gauti rezultatai parodė, kad po pradinio pagalbinio 2</w:t>
      </w:r>
      <w:r w:rsidRPr="00842A24">
        <w:noBreakHyphen/>
        <w:t xml:space="preserve">3 metų gydymo tamoksifenu toliau taikant gydymą eksemestanu kliniškai ir statistiškai reikšmingai padidėja pacienčių be ligos požymių skaičius, lyginant su pacientėmis, kurios ir toliau tęsė gydymą tamoksifenu. </w:t>
      </w:r>
      <w:r w:rsidRPr="00842A24">
        <w:rPr>
          <w:color w:val="000000"/>
        </w:rPr>
        <w:t>Analizuojant tyrimo duomenis buvo nustatyta, kad eksemestanas lyginant su tamoksifenu sumažina riziką pakartotinai susirgti krūties vėžiu 24% (rizikos santykis 0,76; p = 0,00015). Vertinant pacienčių be ligos požymių skaičių, didesnis gydomasis eksemestano poveikis lyginant su tamoksifenu yra akivaizdus, nepriklausomai nuo tumoro būklės ar pravestos chemoterapijos.</w:t>
      </w:r>
    </w:p>
    <w:p w14:paraId="1821CCED" w14:textId="77777777" w:rsidR="00173463" w:rsidRPr="00842A24" w:rsidRDefault="00173463" w:rsidP="00173463"/>
    <w:p w14:paraId="63BF6F72" w14:textId="77777777" w:rsidR="00173463" w:rsidRPr="00842A24" w:rsidRDefault="00173463" w:rsidP="00173463">
      <w:r w:rsidRPr="00842A24">
        <w:t>Taip pat eksemestanas reikšmingai sumažina kitos krūties vėžio riziką (rizikos santykis 0,57; p = 0,04158).</w:t>
      </w:r>
    </w:p>
    <w:p w14:paraId="42234FF7" w14:textId="77777777" w:rsidR="00173463" w:rsidRPr="00842A24" w:rsidRDefault="00173463" w:rsidP="00173463"/>
    <w:p w14:paraId="5FBF919E" w14:textId="77777777" w:rsidR="00173463" w:rsidRPr="00842A24" w:rsidRDefault="00173463" w:rsidP="00173463">
      <w:r w:rsidRPr="00842A24">
        <w:t>Visos tiriamosios populiacijos duomenimis, geresnio išgyvenamumo tendencijos nustatytos eksemestano grupėje (222 mirtys), palyginti su tamoksifenu (262 mirtys), kai rizikos santykis 0,85 (</w:t>
      </w:r>
      <w:r w:rsidRPr="00842A24">
        <w:rPr>
          <w:i/>
        </w:rPr>
        <w:t>log-rank</w:t>
      </w:r>
      <w:r w:rsidRPr="00842A24">
        <w:t xml:space="preserve"> testas: p = 0,07362), kas reiškia eksemestanui palankų mirties rizikos sumažėjimą 15%. Nustatytas statistiškai reikšmingas 23% mirties rizikos sumažėjimas (bendro išgyvenamumo rizikos santykis 0,77; chi kvadratu kriterijus: p = 0,0069), gydantis eksemestanu, palyginti su tamoksifenu, pagal iš anksto numatytus prognostinius veiksnius (pvz., estrogenų receptorių būklę, limfmazgių </w:t>
      </w:r>
      <w:r w:rsidRPr="00842A24">
        <w:lastRenderedPageBreak/>
        <w:t>būklę, anksčiau taikytą chemoterapiją, taikomą pakeičiamąją hormonų terapiją ir bisfosfonatų vartojimą).</w:t>
      </w:r>
    </w:p>
    <w:p w14:paraId="534240E6" w14:textId="77777777" w:rsidR="00173463" w:rsidRPr="00842A24" w:rsidRDefault="00173463" w:rsidP="00173463"/>
    <w:p w14:paraId="2FC0A3FA" w14:textId="77777777" w:rsidR="00173463" w:rsidRPr="00842A24" w:rsidRDefault="00173463" w:rsidP="00173463">
      <w:pPr>
        <w:rPr>
          <w:b/>
        </w:rPr>
      </w:pPr>
      <w:r w:rsidRPr="00842A24">
        <w:rPr>
          <w:b/>
        </w:rPr>
        <w:t>52 mėnesių pagrindiniai visų pacienčių (kurias buvo numatoma gydyti) ir pacienčių, kurioms nustatyti teigiami estrogenų receptoriai, gydymo veiksmingumo duomenys.</w:t>
      </w:r>
    </w:p>
    <w:p w14:paraId="0C5F814B" w14:textId="77777777" w:rsidR="00173463" w:rsidRPr="00842A24" w:rsidRDefault="00173463" w:rsidP="00173463"/>
    <w:tbl>
      <w:tblPr>
        <w:tblW w:w="45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24"/>
        <w:gridCol w:w="1913"/>
        <w:gridCol w:w="1801"/>
        <w:gridCol w:w="1649"/>
        <w:gridCol w:w="1067"/>
      </w:tblGrid>
      <w:tr w:rsidR="00D15CAD" w:rsidRPr="00842A24" w14:paraId="611F3843" w14:textId="77777777" w:rsidTr="00695E53">
        <w:trPr>
          <w:tblCellSpacing w:w="0" w:type="dxa"/>
        </w:trPr>
        <w:tc>
          <w:tcPr>
            <w:tcW w:w="1935" w:type="dxa"/>
          </w:tcPr>
          <w:p w14:paraId="46EFDB0F" w14:textId="77777777" w:rsidR="00173463" w:rsidRPr="00842A24" w:rsidRDefault="00173463" w:rsidP="008922B4">
            <w:pPr>
              <w:pStyle w:val="prastasiniatinklio"/>
              <w:spacing w:before="0" w:beforeAutospacing="0" w:after="0" w:afterAutospacing="0"/>
              <w:jc w:val="center"/>
              <w:rPr>
                <w:lang w:val="lt-LT"/>
              </w:rPr>
            </w:pPr>
            <w:r w:rsidRPr="00842A24">
              <w:rPr>
                <w:b/>
                <w:sz w:val="22"/>
                <w:lang w:val="lt-LT"/>
              </w:rPr>
              <w:t>Vertinamoji baigtis</w:t>
            </w:r>
            <w:r w:rsidRPr="00842A24">
              <w:rPr>
                <w:b/>
                <w:sz w:val="22"/>
                <w:lang w:val="lt-LT"/>
              </w:rPr>
              <w:br/>
              <w:t>populiacija</w:t>
            </w:r>
          </w:p>
        </w:tc>
        <w:tc>
          <w:tcPr>
            <w:tcW w:w="2130" w:type="dxa"/>
          </w:tcPr>
          <w:p w14:paraId="7AB3ACDB" w14:textId="77777777" w:rsidR="00173463" w:rsidRPr="00842A24" w:rsidRDefault="00173463" w:rsidP="008922B4">
            <w:pPr>
              <w:pStyle w:val="prastasiniatinklio"/>
              <w:spacing w:before="0" w:beforeAutospacing="0" w:after="0" w:afterAutospacing="0"/>
              <w:jc w:val="center"/>
              <w:rPr>
                <w:lang w:val="lt-LT"/>
              </w:rPr>
            </w:pPr>
            <w:r w:rsidRPr="00842A24">
              <w:rPr>
                <w:b/>
                <w:sz w:val="22"/>
                <w:lang w:val="lt-LT"/>
              </w:rPr>
              <w:t>Eksemestanas</w:t>
            </w:r>
          </w:p>
          <w:p w14:paraId="59FB48AA" w14:textId="77777777" w:rsidR="00173463" w:rsidRPr="00842A24" w:rsidRDefault="00173463" w:rsidP="008922B4">
            <w:pPr>
              <w:pStyle w:val="prastasiniatinklio"/>
              <w:spacing w:before="0" w:beforeAutospacing="0" w:after="0" w:afterAutospacing="0"/>
              <w:jc w:val="center"/>
              <w:rPr>
                <w:lang w:val="lt-LT"/>
              </w:rPr>
            </w:pPr>
            <w:r w:rsidRPr="00842A24">
              <w:rPr>
                <w:b/>
                <w:sz w:val="22"/>
                <w:lang w:val="lt-LT"/>
              </w:rPr>
              <w:t>Atvejai/n (%)</w:t>
            </w:r>
          </w:p>
        </w:tc>
        <w:tc>
          <w:tcPr>
            <w:tcW w:w="1980" w:type="dxa"/>
          </w:tcPr>
          <w:p w14:paraId="181F8C62" w14:textId="77777777" w:rsidR="00173463" w:rsidRPr="00842A24" w:rsidRDefault="00173463" w:rsidP="008922B4">
            <w:pPr>
              <w:pStyle w:val="prastasiniatinklio"/>
              <w:spacing w:before="0" w:beforeAutospacing="0" w:after="0" w:afterAutospacing="0"/>
              <w:jc w:val="center"/>
              <w:rPr>
                <w:lang w:val="lt-LT"/>
              </w:rPr>
            </w:pPr>
            <w:r w:rsidRPr="00842A24">
              <w:rPr>
                <w:b/>
                <w:sz w:val="22"/>
                <w:lang w:val="lt-LT"/>
              </w:rPr>
              <w:t>Tamoksifenas</w:t>
            </w:r>
          </w:p>
          <w:p w14:paraId="0D59514A" w14:textId="77777777" w:rsidR="00173463" w:rsidRPr="00842A24" w:rsidRDefault="00173463" w:rsidP="008922B4">
            <w:pPr>
              <w:pStyle w:val="prastasiniatinklio"/>
              <w:spacing w:before="0" w:beforeAutospacing="0" w:after="0" w:afterAutospacing="0"/>
              <w:jc w:val="center"/>
              <w:rPr>
                <w:lang w:val="lt-LT"/>
              </w:rPr>
            </w:pPr>
            <w:r w:rsidRPr="00842A24">
              <w:rPr>
                <w:b/>
                <w:sz w:val="22"/>
                <w:lang w:val="lt-LT"/>
              </w:rPr>
              <w:t>Atvejai/n (%)</w:t>
            </w:r>
          </w:p>
        </w:tc>
        <w:tc>
          <w:tcPr>
            <w:tcW w:w="1845" w:type="dxa"/>
          </w:tcPr>
          <w:p w14:paraId="36903483" w14:textId="77777777" w:rsidR="00173463" w:rsidRPr="00842A24" w:rsidRDefault="00173463" w:rsidP="008922B4">
            <w:pPr>
              <w:pStyle w:val="prastasiniatinklio"/>
              <w:spacing w:before="0" w:beforeAutospacing="0" w:after="0" w:afterAutospacing="0"/>
              <w:jc w:val="center"/>
              <w:rPr>
                <w:lang w:val="lt-LT"/>
              </w:rPr>
            </w:pPr>
            <w:r w:rsidRPr="00842A24">
              <w:rPr>
                <w:b/>
                <w:sz w:val="22"/>
                <w:lang w:val="lt-LT"/>
              </w:rPr>
              <w:t>Rizikos koeficientas (95% PI)</w:t>
            </w:r>
          </w:p>
        </w:tc>
        <w:tc>
          <w:tcPr>
            <w:tcW w:w="1140" w:type="dxa"/>
          </w:tcPr>
          <w:p w14:paraId="553B5B02" w14:textId="77777777" w:rsidR="00173463" w:rsidRPr="00842A24" w:rsidRDefault="00173463" w:rsidP="008922B4">
            <w:pPr>
              <w:pStyle w:val="prastasiniatinklio"/>
              <w:spacing w:before="0" w:beforeAutospacing="0" w:after="0" w:afterAutospacing="0"/>
              <w:jc w:val="center"/>
              <w:rPr>
                <w:lang w:val="lt-LT"/>
              </w:rPr>
            </w:pPr>
            <w:r w:rsidRPr="00842A24">
              <w:rPr>
                <w:b/>
                <w:sz w:val="22"/>
                <w:lang w:val="lt-LT"/>
              </w:rPr>
              <w:t>p reikšmė*</w:t>
            </w:r>
          </w:p>
        </w:tc>
      </w:tr>
      <w:tr w:rsidR="00D15CAD" w:rsidRPr="00842A24" w14:paraId="6FF78CC8" w14:textId="77777777" w:rsidTr="00695E53">
        <w:trPr>
          <w:tblCellSpacing w:w="0" w:type="dxa"/>
        </w:trPr>
        <w:tc>
          <w:tcPr>
            <w:tcW w:w="9030" w:type="dxa"/>
            <w:gridSpan w:val="5"/>
          </w:tcPr>
          <w:p w14:paraId="05BE48B2" w14:textId="77777777" w:rsidR="00173463" w:rsidRPr="00842A24" w:rsidRDefault="00173463" w:rsidP="008922B4">
            <w:pPr>
              <w:pStyle w:val="prastasiniatinklio"/>
              <w:spacing w:before="0" w:beforeAutospacing="0" w:after="0" w:afterAutospacing="0"/>
              <w:rPr>
                <w:lang w:val="lt-LT"/>
              </w:rPr>
            </w:pPr>
            <w:r w:rsidRPr="00842A24">
              <w:rPr>
                <w:b/>
                <w:sz w:val="22"/>
                <w:lang w:val="lt-LT"/>
              </w:rPr>
              <w:t>Išgyvenamumas be ligos progresavimo</w:t>
            </w:r>
            <w:r w:rsidRPr="00842A24">
              <w:rPr>
                <w:b/>
                <w:sz w:val="22"/>
                <w:vertAlign w:val="superscript"/>
                <w:lang w:val="lt-LT"/>
              </w:rPr>
              <w:t>a</w:t>
            </w:r>
          </w:p>
        </w:tc>
      </w:tr>
      <w:tr w:rsidR="00D15CAD" w:rsidRPr="00842A24" w14:paraId="4FE3F11E" w14:textId="77777777" w:rsidTr="00695E53">
        <w:trPr>
          <w:tblCellSpacing w:w="0" w:type="dxa"/>
        </w:trPr>
        <w:tc>
          <w:tcPr>
            <w:tcW w:w="1935" w:type="dxa"/>
          </w:tcPr>
          <w:p w14:paraId="06E0D6BC" w14:textId="77777777" w:rsidR="00173463" w:rsidRPr="00842A24" w:rsidRDefault="00173463" w:rsidP="008922B4">
            <w:pPr>
              <w:pStyle w:val="prastasiniatinklio"/>
              <w:spacing w:before="0" w:beforeAutospacing="0" w:after="0" w:afterAutospacing="0"/>
              <w:rPr>
                <w:lang w:val="lt-LT"/>
              </w:rPr>
            </w:pPr>
            <w:r w:rsidRPr="00842A24">
              <w:rPr>
                <w:sz w:val="22"/>
                <w:lang w:val="lt-LT"/>
              </w:rPr>
              <w:t>Visų pacienčių</w:t>
            </w:r>
          </w:p>
        </w:tc>
        <w:tc>
          <w:tcPr>
            <w:tcW w:w="2130" w:type="dxa"/>
          </w:tcPr>
          <w:p w14:paraId="7A9AAA5B" w14:textId="77777777" w:rsidR="00173463" w:rsidRPr="00842A24" w:rsidRDefault="00173463" w:rsidP="008922B4">
            <w:pPr>
              <w:pStyle w:val="prastasiniatinklio"/>
              <w:spacing w:before="0" w:beforeAutospacing="0" w:after="0" w:afterAutospacing="0"/>
              <w:rPr>
                <w:color w:val="000000"/>
                <w:lang w:val="lt-LT"/>
              </w:rPr>
            </w:pPr>
            <w:r w:rsidRPr="00842A24">
              <w:rPr>
                <w:b/>
                <w:sz w:val="22"/>
                <w:lang w:val="lt-LT"/>
              </w:rPr>
              <w:t>354</w:t>
            </w:r>
            <w:r w:rsidRPr="00842A24">
              <w:rPr>
                <w:sz w:val="22"/>
                <w:lang w:val="lt-LT"/>
              </w:rPr>
              <w:t>/2352 (15,1%)</w:t>
            </w:r>
          </w:p>
        </w:tc>
        <w:tc>
          <w:tcPr>
            <w:tcW w:w="1980" w:type="dxa"/>
          </w:tcPr>
          <w:p w14:paraId="1A8670E1" w14:textId="77777777" w:rsidR="00173463" w:rsidRPr="00842A24" w:rsidRDefault="00173463" w:rsidP="008922B4">
            <w:pPr>
              <w:pStyle w:val="prastasiniatinklio"/>
              <w:spacing w:before="0" w:beforeAutospacing="0" w:after="0" w:afterAutospacing="0"/>
              <w:rPr>
                <w:color w:val="000000"/>
                <w:lang w:val="lt-LT"/>
              </w:rPr>
            </w:pPr>
            <w:r w:rsidRPr="00842A24">
              <w:rPr>
                <w:b/>
                <w:color w:val="000000"/>
                <w:sz w:val="22"/>
                <w:lang w:val="lt-LT"/>
              </w:rPr>
              <w:t>453</w:t>
            </w:r>
            <w:r w:rsidRPr="00842A24">
              <w:rPr>
                <w:color w:val="000000"/>
                <w:sz w:val="22"/>
                <w:lang w:val="lt-LT"/>
              </w:rPr>
              <w:t>/2372 (19,1%)</w:t>
            </w:r>
          </w:p>
        </w:tc>
        <w:tc>
          <w:tcPr>
            <w:tcW w:w="1845" w:type="dxa"/>
          </w:tcPr>
          <w:p w14:paraId="32A5191E"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0,76 (0,67</w:t>
            </w:r>
            <w:r w:rsidRPr="00842A24">
              <w:rPr>
                <w:color w:val="000000"/>
                <w:sz w:val="22"/>
                <w:lang w:val="lt-LT"/>
              </w:rPr>
              <w:noBreakHyphen/>
              <w:t>0,88)</w:t>
            </w:r>
          </w:p>
        </w:tc>
        <w:tc>
          <w:tcPr>
            <w:tcW w:w="1140" w:type="dxa"/>
          </w:tcPr>
          <w:p w14:paraId="02C16247"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0,00015</w:t>
            </w:r>
          </w:p>
        </w:tc>
      </w:tr>
      <w:tr w:rsidR="00D15CAD" w:rsidRPr="00842A24" w14:paraId="05480E5E" w14:textId="77777777" w:rsidTr="00695E53">
        <w:trPr>
          <w:tblCellSpacing w:w="0" w:type="dxa"/>
        </w:trPr>
        <w:tc>
          <w:tcPr>
            <w:tcW w:w="1935" w:type="dxa"/>
          </w:tcPr>
          <w:p w14:paraId="76A5F5FF" w14:textId="77777777" w:rsidR="00173463" w:rsidRPr="00842A24" w:rsidRDefault="00173463" w:rsidP="008922B4">
            <w:pPr>
              <w:pStyle w:val="prastasiniatinklio"/>
              <w:spacing w:before="0" w:beforeAutospacing="0" w:after="0" w:afterAutospacing="0"/>
              <w:rPr>
                <w:lang w:val="lt-LT"/>
              </w:rPr>
            </w:pPr>
            <w:r w:rsidRPr="00842A24">
              <w:rPr>
                <w:sz w:val="22"/>
                <w:lang w:val="lt-LT"/>
              </w:rPr>
              <w:t>ER + pacienčių</w:t>
            </w:r>
          </w:p>
        </w:tc>
        <w:tc>
          <w:tcPr>
            <w:tcW w:w="2130" w:type="dxa"/>
          </w:tcPr>
          <w:p w14:paraId="57DB3045" w14:textId="77777777" w:rsidR="00173463" w:rsidRPr="00842A24" w:rsidRDefault="00173463" w:rsidP="008922B4">
            <w:pPr>
              <w:pStyle w:val="prastasiniatinklio"/>
              <w:spacing w:before="0" w:beforeAutospacing="0" w:after="0" w:afterAutospacing="0"/>
              <w:rPr>
                <w:color w:val="000000"/>
                <w:lang w:val="lt-LT"/>
              </w:rPr>
            </w:pPr>
            <w:r w:rsidRPr="00842A24">
              <w:rPr>
                <w:b/>
                <w:sz w:val="22"/>
                <w:lang w:val="lt-LT"/>
              </w:rPr>
              <w:t>289</w:t>
            </w:r>
            <w:r w:rsidRPr="00842A24">
              <w:rPr>
                <w:sz w:val="22"/>
                <w:lang w:val="lt-LT"/>
              </w:rPr>
              <w:t>/2023 (14,3%)</w:t>
            </w:r>
          </w:p>
        </w:tc>
        <w:tc>
          <w:tcPr>
            <w:tcW w:w="1980" w:type="dxa"/>
          </w:tcPr>
          <w:p w14:paraId="0ED7B1FE" w14:textId="77777777" w:rsidR="00173463" w:rsidRPr="00842A24" w:rsidRDefault="00173463" w:rsidP="008922B4">
            <w:pPr>
              <w:pStyle w:val="prastasiniatinklio"/>
              <w:spacing w:before="0" w:beforeAutospacing="0" w:after="0" w:afterAutospacing="0"/>
              <w:rPr>
                <w:color w:val="000000"/>
                <w:lang w:val="lt-LT"/>
              </w:rPr>
            </w:pPr>
            <w:r w:rsidRPr="00842A24">
              <w:rPr>
                <w:b/>
                <w:color w:val="000000"/>
                <w:sz w:val="22"/>
                <w:lang w:val="lt-LT"/>
              </w:rPr>
              <w:t>370</w:t>
            </w:r>
            <w:r w:rsidRPr="00842A24">
              <w:rPr>
                <w:color w:val="000000"/>
                <w:sz w:val="22"/>
                <w:lang w:val="lt-LT"/>
              </w:rPr>
              <w:t>/2021 (18,3%)</w:t>
            </w:r>
          </w:p>
        </w:tc>
        <w:tc>
          <w:tcPr>
            <w:tcW w:w="1845" w:type="dxa"/>
          </w:tcPr>
          <w:p w14:paraId="03D41879"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0,75 (0,65</w:t>
            </w:r>
            <w:r w:rsidRPr="00842A24">
              <w:rPr>
                <w:color w:val="000000"/>
                <w:sz w:val="22"/>
                <w:lang w:val="lt-LT"/>
              </w:rPr>
              <w:noBreakHyphen/>
              <w:t>0,88)</w:t>
            </w:r>
          </w:p>
        </w:tc>
        <w:tc>
          <w:tcPr>
            <w:tcW w:w="1140" w:type="dxa"/>
          </w:tcPr>
          <w:p w14:paraId="7ABB7A19"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0,00030</w:t>
            </w:r>
          </w:p>
        </w:tc>
      </w:tr>
      <w:tr w:rsidR="00D15CAD" w:rsidRPr="00842A24" w14:paraId="35E9E275" w14:textId="77777777" w:rsidTr="00695E53">
        <w:trPr>
          <w:tblCellSpacing w:w="0" w:type="dxa"/>
        </w:trPr>
        <w:tc>
          <w:tcPr>
            <w:tcW w:w="9030" w:type="dxa"/>
            <w:gridSpan w:val="5"/>
          </w:tcPr>
          <w:p w14:paraId="385BD43C" w14:textId="77777777" w:rsidR="00173463" w:rsidRPr="00842A24" w:rsidRDefault="00173463" w:rsidP="008922B4">
            <w:pPr>
              <w:pStyle w:val="prastasiniatinklio"/>
              <w:spacing w:before="0" w:beforeAutospacing="0" w:after="0" w:afterAutospacing="0"/>
              <w:rPr>
                <w:lang w:val="lt-LT"/>
              </w:rPr>
            </w:pPr>
            <w:r w:rsidRPr="00842A24">
              <w:rPr>
                <w:b/>
                <w:sz w:val="22"/>
                <w:lang w:val="lt-LT"/>
              </w:rPr>
              <w:t>Kitos krūties vėžys</w:t>
            </w:r>
          </w:p>
        </w:tc>
      </w:tr>
      <w:tr w:rsidR="00D15CAD" w:rsidRPr="00842A24" w14:paraId="3232F8F6" w14:textId="77777777" w:rsidTr="00695E53">
        <w:trPr>
          <w:tblCellSpacing w:w="0" w:type="dxa"/>
        </w:trPr>
        <w:tc>
          <w:tcPr>
            <w:tcW w:w="1935" w:type="dxa"/>
          </w:tcPr>
          <w:p w14:paraId="68A1621E" w14:textId="77777777" w:rsidR="00173463" w:rsidRPr="00842A24" w:rsidRDefault="00173463" w:rsidP="008922B4">
            <w:pPr>
              <w:pStyle w:val="prastasiniatinklio"/>
              <w:spacing w:before="0" w:beforeAutospacing="0" w:after="0" w:afterAutospacing="0"/>
              <w:rPr>
                <w:lang w:val="lt-LT"/>
              </w:rPr>
            </w:pPr>
            <w:r w:rsidRPr="00842A24">
              <w:rPr>
                <w:sz w:val="22"/>
                <w:lang w:val="lt-LT"/>
              </w:rPr>
              <w:t>Visų pacienčių</w:t>
            </w:r>
          </w:p>
        </w:tc>
        <w:tc>
          <w:tcPr>
            <w:tcW w:w="2130" w:type="dxa"/>
          </w:tcPr>
          <w:p w14:paraId="123DFAE8" w14:textId="77777777" w:rsidR="00173463" w:rsidRPr="00842A24" w:rsidRDefault="00173463" w:rsidP="008922B4">
            <w:pPr>
              <w:pStyle w:val="prastasiniatinklio"/>
              <w:spacing w:before="0" w:beforeAutospacing="0" w:after="0" w:afterAutospacing="0"/>
              <w:rPr>
                <w:color w:val="000000"/>
                <w:lang w:val="lt-LT"/>
              </w:rPr>
            </w:pPr>
            <w:r w:rsidRPr="00842A24">
              <w:rPr>
                <w:b/>
                <w:sz w:val="22"/>
                <w:lang w:val="lt-LT"/>
              </w:rPr>
              <w:t>20</w:t>
            </w:r>
            <w:r w:rsidRPr="00842A24">
              <w:rPr>
                <w:sz w:val="22"/>
                <w:lang w:val="lt-LT"/>
              </w:rPr>
              <w:t>/2352 (0,9%)</w:t>
            </w:r>
          </w:p>
        </w:tc>
        <w:tc>
          <w:tcPr>
            <w:tcW w:w="1980" w:type="dxa"/>
          </w:tcPr>
          <w:p w14:paraId="6ECF603C" w14:textId="77777777" w:rsidR="00173463" w:rsidRPr="00842A24" w:rsidRDefault="00173463" w:rsidP="008922B4">
            <w:pPr>
              <w:pStyle w:val="prastasiniatinklio"/>
              <w:spacing w:before="0" w:beforeAutospacing="0" w:after="0" w:afterAutospacing="0"/>
              <w:rPr>
                <w:color w:val="000000"/>
                <w:lang w:val="lt-LT"/>
              </w:rPr>
            </w:pPr>
            <w:r w:rsidRPr="00842A24">
              <w:rPr>
                <w:b/>
                <w:color w:val="000000"/>
                <w:sz w:val="22"/>
                <w:lang w:val="lt-LT"/>
              </w:rPr>
              <w:t>35</w:t>
            </w:r>
            <w:r w:rsidRPr="00842A24">
              <w:rPr>
                <w:color w:val="000000"/>
                <w:sz w:val="22"/>
                <w:lang w:val="lt-LT"/>
              </w:rPr>
              <w:t>/2372 (1,5%)</w:t>
            </w:r>
          </w:p>
        </w:tc>
        <w:tc>
          <w:tcPr>
            <w:tcW w:w="1845" w:type="dxa"/>
          </w:tcPr>
          <w:p w14:paraId="24ABC25A"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0,57 (0,33</w:t>
            </w:r>
            <w:r w:rsidRPr="00842A24">
              <w:rPr>
                <w:color w:val="000000"/>
                <w:sz w:val="22"/>
                <w:lang w:val="lt-LT"/>
              </w:rPr>
              <w:noBreakHyphen/>
              <w:t>0,99)</w:t>
            </w:r>
          </w:p>
        </w:tc>
        <w:tc>
          <w:tcPr>
            <w:tcW w:w="1140" w:type="dxa"/>
          </w:tcPr>
          <w:p w14:paraId="6C4BC78A"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0,04158</w:t>
            </w:r>
          </w:p>
        </w:tc>
      </w:tr>
      <w:tr w:rsidR="00D15CAD" w:rsidRPr="00842A24" w14:paraId="26BF5073" w14:textId="77777777" w:rsidTr="00695E53">
        <w:trPr>
          <w:tblCellSpacing w:w="0" w:type="dxa"/>
        </w:trPr>
        <w:tc>
          <w:tcPr>
            <w:tcW w:w="1935" w:type="dxa"/>
          </w:tcPr>
          <w:p w14:paraId="6885CAB5" w14:textId="77777777" w:rsidR="00173463" w:rsidRPr="00842A24" w:rsidRDefault="00173463" w:rsidP="008922B4">
            <w:pPr>
              <w:pStyle w:val="prastasiniatinklio"/>
              <w:spacing w:before="0" w:beforeAutospacing="0" w:after="0" w:afterAutospacing="0"/>
              <w:rPr>
                <w:lang w:val="lt-LT"/>
              </w:rPr>
            </w:pPr>
            <w:r w:rsidRPr="00842A24">
              <w:rPr>
                <w:sz w:val="22"/>
                <w:lang w:val="lt-LT"/>
              </w:rPr>
              <w:t>ER + pacienčių</w:t>
            </w:r>
          </w:p>
        </w:tc>
        <w:tc>
          <w:tcPr>
            <w:tcW w:w="2130" w:type="dxa"/>
          </w:tcPr>
          <w:p w14:paraId="6FBE7DAF" w14:textId="77777777" w:rsidR="00173463" w:rsidRPr="00842A24" w:rsidRDefault="00173463" w:rsidP="008922B4">
            <w:pPr>
              <w:pStyle w:val="prastasiniatinklio"/>
              <w:spacing w:before="0" w:beforeAutospacing="0" w:after="0" w:afterAutospacing="0"/>
              <w:rPr>
                <w:color w:val="000000"/>
                <w:lang w:val="lt-LT"/>
              </w:rPr>
            </w:pPr>
            <w:r w:rsidRPr="00842A24">
              <w:rPr>
                <w:b/>
                <w:sz w:val="22"/>
                <w:lang w:val="lt-LT"/>
              </w:rPr>
              <w:t>18</w:t>
            </w:r>
            <w:r w:rsidRPr="00842A24">
              <w:rPr>
                <w:sz w:val="22"/>
                <w:lang w:val="lt-LT"/>
              </w:rPr>
              <w:t>/2023 (0,9%)</w:t>
            </w:r>
          </w:p>
        </w:tc>
        <w:tc>
          <w:tcPr>
            <w:tcW w:w="1980" w:type="dxa"/>
          </w:tcPr>
          <w:p w14:paraId="79E88D0B" w14:textId="77777777" w:rsidR="00173463" w:rsidRPr="00842A24" w:rsidRDefault="00173463" w:rsidP="008922B4">
            <w:pPr>
              <w:pStyle w:val="prastasiniatinklio"/>
              <w:spacing w:before="0" w:beforeAutospacing="0" w:after="0" w:afterAutospacing="0"/>
              <w:rPr>
                <w:color w:val="000000"/>
                <w:lang w:val="lt-LT"/>
              </w:rPr>
            </w:pPr>
            <w:r w:rsidRPr="00842A24">
              <w:rPr>
                <w:b/>
                <w:color w:val="000000"/>
                <w:sz w:val="22"/>
                <w:lang w:val="lt-LT"/>
              </w:rPr>
              <w:t>33</w:t>
            </w:r>
            <w:r w:rsidRPr="00842A24">
              <w:rPr>
                <w:color w:val="000000"/>
                <w:sz w:val="22"/>
                <w:lang w:val="lt-LT"/>
              </w:rPr>
              <w:t>/2021 (1,6%)</w:t>
            </w:r>
          </w:p>
        </w:tc>
        <w:tc>
          <w:tcPr>
            <w:tcW w:w="1845" w:type="dxa"/>
          </w:tcPr>
          <w:p w14:paraId="6977E38B"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0,54 (0,30</w:t>
            </w:r>
            <w:r w:rsidRPr="00842A24">
              <w:rPr>
                <w:color w:val="000000"/>
                <w:sz w:val="22"/>
                <w:lang w:val="lt-LT"/>
              </w:rPr>
              <w:noBreakHyphen/>
              <w:t>0,95)</w:t>
            </w:r>
          </w:p>
        </w:tc>
        <w:tc>
          <w:tcPr>
            <w:tcW w:w="1140" w:type="dxa"/>
          </w:tcPr>
          <w:p w14:paraId="376131C6"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0,03048</w:t>
            </w:r>
          </w:p>
        </w:tc>
      </w:tr>
      <w:tr w:rsidR="00D15CAD" w:rsidRPr="00842A24" w14:paraId="419C27F0" w14:textId="77777777" w:rsidTr="00695E53">
        <w:trPr>
          <w:tblCellSpacing w:w="0" w:type="dxa"/>
        </w:trPr>
        <w:tc>
          <w:tcPr>
            <w:tcW w:w="9030" w:type="dxa"/>
            <w:gridSpan w:val="5"/>
          </w:tcPr>
          <w:p w14:paraId="147E0540" w14:textId="77777777" w:rsidR="00173463" w:rsidRPr="00842A24" w:rsidRDefault="00173463" w:rsidP="008922B4">
            <w:pPr>
              <w:pStyle w:val="prastasiniatinklio"/>
              <w:spacing w:before="0" w:beforeAutospacing="0" w:after="0" w:afterAutospacing="0"/>
              <w:rPr>
                <w:lang w:val="lt-LT"/>
              </w:rPr>
            </w:pPr>
            <w:r w:rsidRPr="00842A24">
              <w:rPr>
                <w:b/>
                <w:sz w:val="22"/>
                <w:lang w:val="lt-LT"/>
              </w:rPr>
              <w:t>Išgyvenamumas be krūties vėžio</w:t>
            </w:r>
            <w:r w:rsidRPr="00842A24">
              <w:rPr>
                <w:b/>
                <w:sz w:val="22"/>
                <w:vertAlign w:val="superscript"/>
                <w:lang w:val="lt-LT"/>
              </w:rPr>
              <w:t>b</w:t>
            </w:r>
          </w:p>
        </w:tc>
      </w:tr>
      <w:tr w:rsidR="00D15CAD" w:rsidRPr="00842A24" w14:paraId="687136A9" w14:textId="77777777" w:rsidTr="00695E53">
        <w:trPr>
          <w:tblCellSpacing w:w="0" w:type="dxa"/>
        </w:trPr>
        <w:tc>
          <w:tcPr>
            <w:tcW w:w="1935" w:type="dxa"/>
          </w:tcPr>
          <w:p w14:paraId="1EB50B2A" w14:textId="77777777" w:rsidR="00173463" w:rsidRPr="00842A24" w:rsidRDefault="00173463" w:rsidP="008922B4">
            <w:pPr>
              <w:pStyle w:val="prastasiniatinklio"/>
              <w:spacing w:before="0" w:beforeAutospacing="0" w:after="0" w:afterAutospacing="0"/>
              <w:rPr>
                <w:lang w:val="lt-LT"/>
              </w:rPr>
            </w:pPr>
            <w:r w:rsidRPr="00842A24">
              <w:rPr>
                <w:sz w:val="22"/>
                <w:lang w:val="lt-LT"/>
              </w:rPr>
              <w:t>Visų pacienčių</w:t>
            </w:r>
          </w:p>
        </w:tc>
        <w:tc>
          <w:tcPr>
            <w:tcW w:w="2130" w:type="dxa"/>
          </w:tcPr>
          <w:p w14:paraId="227A1018" w14:textId="77777777" w:rsidR="00173463" w:rsidRPr="00842A24" w:rsidRDefault="00173463" w:rsidP="008922B4">
            <w:pPr>
              <w:pStyle w:val="prastasiniatinklio"/>
              <w:spacing w:before="0" w:beforeAutospacing="0" w:after="0" w:afterAutospacing="0"/>
              <w:rPr>
                <w:color w:val="000000"/>
                <w:lang w:val="lt-LT"/>
              </w:rPr>
            </w:pPr>
            <w:r w:rsidRPr="00842A24">
              <w:rPr>
                <w:b/>
                <w:sz w:val="22"/>
                <w:lang w:val="lt-LT"/>
              </w:rPr>
              <w:t>289</w:t>
            </w:r>
            <w:r w:rsidRPr="00842A24">
              <w:rPr>
                <w:sz w:val="22"/>
                <w:lang w:val="lt-LT"/>
              </w:rPr>
              <w:t>/2352 (12,3%)</w:t>
            </w:r>
          </w:p>
        </w:tc>
        <w:tc>
          <w:tcPr>
            <w:tcW w:w="1980" w:type="dxa"/>
          </w:tcPr>
          <w:p w14:paraId="3FC82749" w14:textId="77777777" w:rsidR="00173463" w:rsidRPr="00842A24" w:rsidRDefault="00173463" w:rsidP="008922B4">
            <w:pPr>
              <w:pStyle w:val="prastasiniatinklio"/>
              <w:spacing w:before="0" w:beforeAutospacing="0" w:after="0" w:afterAutospacing="0"/>
              <w:rPr>
                <w:color w:val="000000"/>
                <w:lang w:val="lt-LT"/>
              </w:rPr>
            </w:pPr>
            <w:r w:rsidRPr="00842A24">
              <w:rPr>
                <w:b/>
                <w:color w:val="000000"/>
                <w:sz w:val="22"/>
                <w:lang w:val="lt-LT"/>
              </w:rPr>
              <w:t>373</w:t>
            </w:r>
            <w:r w:rsidRPr="00842A24">
              <w:rPr>
                <w:color w:val="000000"/>
                <w:sz w:val="22"/>
                <w:lang w:val="lt-LT"/>
              </w:rPr>
              <w:t>/2372 (15,7%)</w:t>
            </w:r>
          </w:p>
        </w:tc>
        <w:tc>
          <w:tcPr>
            <w:tcW w:w="1845" w:type="dxa"/>
          </w:tcPr>
          <w:p w14:paraId="7C97E8B1"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0,76 (0,65</w:t>
            </w:r>
            <w:r w:rsidRPr="00842A24">
              <w:rPr>
                <w:color w:val="000000"/>
                <w:sz w:val="22"/>
                <w:lang w:val="lt-LT"/>
              </w:rPr>
              <w:noBreakHyphen/>
              <w:t>0,89)</w:t>
            </w:r>
          </w:p>
        </w:tc>
        <w:tc>
          <w:tcPr>
            <w:tcW w:w="1140" w:type="dxa"/>
          </w:tcPr>
          <w:p w14:paraId="6AC6D1F3"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0,00041</w:t>
            </w:r>
          </w:p>
        </w:tc>
      </w:tr>
      <w:tr w:rsidR="00D15CAD" w:rsidRPr="00842A24" w14:paraId="1FC50284" w14:textId="77777777" w:rsidTr="00695E53">
        <w:trPr>
          <w:tblCellSpacing w:w="0" w:type="dxa"/>
        </w:trPr>
        <w:tc>
          <w:tcPr>
            <w:tcW w:w="1935" w:type="dxa"/>
          </w:tcPr>
          <w:p w14:paraId="5A4AD413" w14:textId="77777777" w:rsidR="00173463" w:rsidRPr="00842A24" w:rsidRDefault="00173463" w:rsidP="008922B4">
            <w:pPr>
              <w:pStyle w:val="prastasiniatinklio"/>
              <w:spacing w:before="0" w:beforeAutospacing="0" w:after="0" w:afterAutospacing="0"/>
              <w:rPr>
                <w:lang w:val="lt-LT"/>
              </w:rPr>
            </w:pPr>
            <w:r w:rsidRPr="00842A24">
              <w:rPr>
                <w:sz w:val="22"/>
                <w:lang w:val="lt-LT"/>
              </w:rPr>
              <w:t>ER + pacienčių</w:t>
            </w:r>
          </w:p>
        </w:tc>
        <w:tc>
          <w:tcPr>
            <w:tcW w:w="2130" w:type="dxa"/>
          </w:tcPr>
          <w:p w14:paraId="03B6BF36" w14:textId="77777777" w:rsidR="00173463" w:rsidRPr="00842A24" w:rsidRDefault="00173463" w:rsidP="008922B4">
            <w:pPr>
              <w:pStyle w:val="prastasiniatinklio"/>
              <w:spacing w:before="0" w:beforeAutospacing="0" w:after="0" w:afterAutospacing="0"/>
              <w:rPr>
                <w:color w:val="000000"/>
                <w:lang w:val="lt-LT"/>
              </w:rPr>
            </w:pPr>
            <w:r w:rsidRPr="00842A24">
              <w:rPr>
                <w:b/>
                <w:sz w:val="22"/>
                <w:lang w:val="lt-LT"/>
              </w:rPr>
              <w:t>232</w:t>
            </w:r>
            <w:r w:rsidRPr="00842A24">
              <w:rPr>
                <w:sz w:val="22"/>
                <w:lang w:val="lt-LT"/>
              </w:rPr>
              <w:t>/2023 (11,5%)</w:t>
            </w:r>
          </w:p>
        </w:tc>
        <w:tc>
          <w:tcPr>
            <w:tcW w:w="1980" w:type="dxa"/>
          </w:tcPr>
          <w:p w14:paraId="14D23A16" w14:textId="77777777" w:rsidR="00173463" w:rsidRPr="00842A24" w:rsidRDefault="00173463" w:rsidP="008922B4">
            <w:pPr>
              <w:pStyle w:val="prastasiniatinklio"/>
              <w:spacing w:before="0" w:beforeAutospacing="0" w:after="0" w:afterAutospacing="0"/>
              <w:rPr>
                <w:color w:val="000000"/>
                <w:lang w:val="lt-LT"/>
              </w:rPr>
            </w:pPr>
            <w:r w:rsidRPr="00842A24">
              <w:rPr>
                <w:b/>
                <w:color w:val="000000"/>
                <w:sz w:val="22"/>
                <w:lang w:val="lt-LT"/>
              </w:rPr>
              <w:t>305</w:t>
            </w:r>
            <w:r w:rsidRPr="00842A24">
              <w:rPr>
                <w:color w:val="000000"/>
                <w:sz w:val="22"/>
                <w:lang w:val="lt-LT"/>
              </w:rPr>
              <w:t>/2021 (15,1%)</w:t>
            </w:r>
          </w:p>
        </w:tc>
        <w:tc>
          <w:tcPr>
            <w:tcW w:w="1845" w:type="dxa"/>
          </w:tcPr>
          <w:p w14:paraId="600B0BB2"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0,73 (0,62</w:t>
            </w:r>
            <w:r w:rsidRPr="00842A24">
              <w:rPr>
                <w:color w:val="000000"/>
                <w:sz w:val="22"/>
                <w:lang w:val="lt-LT"/>
              </w:rPr>
              <w:noBreakHyphen/>
              <w:t>0,87)</w:t>
            </w:r>
          </w:p>
        </w:tc>
        <w:tc>
          <w:tcPr>
            <w:tcW w:w="1140" w:type="dxa"/>
          </w:tcPr>
          <w:p w14:paraId="22CCA43A"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0,00038</w:t>
            </w:r>
          </w:p>
        </w:tc>
      </w:tr>
      <w:tr w:rsidR="00D15CAD" w:rsidRPr="00842A24" w14:paraId="2A041241" w14:textId="77777777" w:rsidTr="00695E53">
        <w:trPr>
          <w:tblCellSpacing w:w="0" w:type="dxa"/>
        </w:trPr>
        <w:tc>
          <w:tcPr>
            <w:tcW w:w="9030" w:type="dxa"/>
            <w:gridSpan w:val="5"/>
          </w:tcPr>
          <w:p w14:paraId="63FE3354" w14:textId="77777777" w:rsidR="00173463" w:rsidRPr="00842A24" w:rsidRDefault="00173463" w:rsidP="008922B4">
            <w:pPr>
              <w:pStyle w:val="prastasiniatinklio"/>
              <w:spacing w:before="0" w:beforeAutospacing="0" w:after="0" w:afterAutospacing="0"/>
              <w:rPr>
                <w:lang w:val="lt-LT"/>
              </w:rPr>
            </w:pPr>
            <w:r w:rsidRPr="00842A24">
              <w:rPr>
                <w:b/>
                <w:sz w:val="22"/>
                <w:lang w:val="lt-LT"/>
              </w:rPr>
              <w:t>Išgyvenamumas be atokaus ligos pasikartojimo</w:t>
            </w:r>
            <w:r w:rsidRPr="00842A24">
              <w:rPr>
                <w:b/>
                <w:sz w:val="22"/>
                <w:vertAlign w:val="superscript"/>
                <w:lang w:val="lt-LT"/>
              </w:rPr>
              <w:t>c</w:t>
            </w:r>
          </w:p>
        </w:tc>
      </w:tr>
      <w:tr w:rsidR="00D15CAD" w:rsidRPr="00842A24" w14:paraId="1F9097A9" w14:textId="77777777" w:rsidTr="00695E53">
        <w:trPr>
          <w:tblCellSpacing w:w="0" w:type="dxa"/>
        </w:trPr>
        <w:tc>
          <w:tcPr>
            <w:tcW w:w="1935" w:type="dxa"/>
          </w:tcPr>
          <w:p w14:paraId="793D214D" w14:textId="77777777" w:rsidR="00173463" w:rsidRPr="00842A24" w:rsidRDefault="00173463" w:rsidP="008922B4">
            <w:pPr>
              <w:pStyle w:val="prastasiniatinklio"/>
              <w:spacing w:before="0" w:beforeAutospacing="0" w:after="0" w:afterAutospacing="0"/>
              <w:rPr>
                <w:lang w:val="lt-LT"/>
              </w:rPr>
            </w:pPr>
            <w:r w:rsidRPr="00842A24">
              <w:rPr>
                <w:sz w:val="22"/>
                <w:lang w:val="lt-LT"/>
              </w:rPr>
              <w:t>Visų pacienčių</w:t>
            </w:r>
          </w:p>
        </w:tc>
        <w:tc>
          <w:tcPr>
            <w:tcW w:w="2130" w:type="dxa"/>
          </w:tcPr>
          <w:p w14:paraId="39337112" w14:textId="77777777" w:rsidR="00173463" w:rsidRPr="00842A24" w:rsidRDefault="00173463" w:rsidP="008922B4">
            <w:pPr>
              <w:pStyle w:val="prastasiniatinklio"/>
              <w:spacing w:before="0" w:beforeAutospacing="0" w:after="0" w:afterAutospacing="0"/>
              <w:rPr>
                <w:color w:val="000000"/>
                <w:lang w:val="lt-LT"/>
              </w:rPr>
            </w:pPr>
            <w:r w:rsidRPr="00842A24">
              <w:rPr>
                <w:b/>
                <w:sz w:val="22"/>
                <w:lang w:val="lt-LT"/>
              </w:rPr>
              <w:t>248</w:t>
            </w:r>
            <w:r w:rsidRPr="00842A24">
              <w:rPr>
                <w:sz w:val="22"/>
                <w:lang w:val="lt-LT"/>
              </w:rPr>
              <w:t>/2352 (10,5%)</w:t>
            </w:r>
          </w:p>
        </w:tc>
        <w:tc>
          <w:tcPr>
            <w:tcW w:w="1980" w:type="dxa"/>
          </w:tcPr>
          <w:p w14:paraId="0585A12D" w14:textId="77777777" w:rsidR="00173463" w:rsidRPr="00842A24" w:rsidRDefault="00173463" w:rsidP="008922B4">
            <w:pPr>
              <w:pStyle w:val="prastasiniatinklio"/>
              <w:spacing w:before="0" w:beforeAutospacing="0" w:after="0" w:afterAutospacing="0"/>
              <w:rPr>
                <w:color w:val="000000"/>
                <w:lang w:val="lt-LT"/>
              </w:rPr>
            </w:pPr>
            <w:r w:rsidRPr="00842A24">
              <w:rPr>
                <w:b/>
                <w:color w:val="000000"/>
                <w:sz w:val="22"/>
                <w:lang w:val="lt-LT"/>
              </w:rPr>
              <w:t>297</w:t>
            </w:r>
            <w:r w:rsidRPr="00842A24">
              <w:rPr>
                <w:color w:val="000000"/>
                <w:sz w:val="22"/>
                <w:lang w:val="lt-LT"/>
              </w:rPr>
              <w:t>/2372 (12,5%)</w:t>
            </w:r>
          </w:p>
        </w:tc>
        <w:tc>
          <w:tcPr>
            <w:tcW w:w="1845" w:type="dxa"/>
          </w:tcPr>
          <w:p w14:paraId="7284E275"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0,83 (0,70</w:t>
            </w:r>
            <w:r w:rsidRPr="00842A24">
              <w:rPr>
                <w:color w:val="000000"/>
                <w:sz w:val="22"/>
                <w:lang w:val="lt-LT"/>
              </w:rPr>
              <w:noBreakHyphen/>
              <w:t>0,98)</w:t>
            </w:r>
          </w:p>
        </w:tc>
        <w:tc>
          <w:tcPr>
            <w:tcW w:w="1140" w:type="dxa"/>
          </w:tcPr>
          <w:p w14:paraId="6EF09BA9"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0,02621</w:t>
            </w:r>
          </w:p>
        </w:tc>
      </w:tr>
      <w:tr w:rsidR="00D15CAD" w:rsidRPr="00842A24" w14:paraId="411CE58B" w14:textId="77777777" w:rsidTr="00695E53">
        <w:trPr>
          <w:tblCellSpacing w:w="0" w:type="dxa"/>
        </w:trPr>
        <w:tc>
          <w:tcPr>
            <w:tcW w:w="1935" w:type="dxa"/>
          </w:tcPr>
          <w:p w14:paraId="0916EC37" w14:textId="77777777" w:rsidR="00173463" w:rsidRPr="00842A24" w:rsidRDefault="00173463" w:rsidP="008922B4">
            <w:pPr>
              <w:pStyle w:val="prastasiniatinklio"/>
              <w:spacing w:before="0" w:beforeAutospacing="0" w:after="0" w:afterAutospacing="0"/>
              <w:rPr>
                <w:lang w:val="lt-LT"/>
              </w:rPr>
            </w:pPr>
            <w:r w:rsidRPr="00842A24">
              <w:rPr>
                <w:sz w:val="22"/>
                <w:lang w:val="lt-LT"/>
              </w:rPr>
              <w:t>ER + pacienčių</w:t>
            </w:r>
          </w:p>
        </w:tc>
        <w:tc>
          <w:tcPr>
            <w:tcW w:w="2130" w:type="dxa"/>
          </w:tcPr>
          <w:p w14:paraId="4F70A7D6" w14:textId="77777777" w:rsidR="00173463" w:rsidRPr="00842A24" w:rsidRDefault="00173463" w:rsidP="008922B4">
            <w:pPr>
              <w:pStyle w:val="prastasiniatinklio"/>
              <w:spacing w:before="0" w:beforeAutospacing="0" w:after="0" w:afterAutospacing="0"/>
              <w:rPr>
                <w:color w:val="000000"/>
                <w:lang w:val="lt-LT"/>
              </w:rPr>
            </w:pPr>
            <w:r w:rsidRPr="00842A24">
              <w:rPr>
                <w:b/>
                <w:sz w:val="22"/>
                <w:lang w:val="lt-LT"/>
              </w:rPr>
              <w:t>194</w:t>
            </w:r>
            <w:r w:rsidRPr="00842A24">
              <w:rPr>
                <w:sz w:val="22"/>
                <w:lang w:val="lt-LT"/>
              </w:rPr>
              <w:t>/2023 (9,6%)</w:t>
            </w:r>
          </w:p>
        </w:tc>
        <w:tc>
          <w:tcPr>
            <w:tcW w:w="1980" w:type="dxa"/>
          </w:tcPr>
          <w:p w14:paraId="2FE39CE0" w14:textId="77777777" w:rsidR="00173463" w:rsidRPr="00842A24" w:rsidRDefault="00173463" w:rsidP="008922B4">
            <w:pPr>
              <w:pStyle w:val="prastasiniatinklio"/>
              <w:spacing w:before="0" w:beforeAutospacing="0" w:after="0" w:afterAutospacing="0"/>
              <w:rPr>
                <w:color w:val="000000"/>
                <w:lang w:val="lt-LT"/>
              </w:rPr>
            </w:pPr>
            <w:r w:rsidRPr="00842A24">
              <w:rPr>
                <w:b/>
                <w:color w:val="000000"/>
                <w:sz w:val="22"/>
                <w:lang w:val="lt-LT"/>
              </w:rPr>
              <w:t>242</w:t>
            </w:r>
            <w:r w:rsidRPr="00842A24">
              <w:rPr>
                <w:color w:val="000000"/>
                <w:sz w:val="22"/>
                <w:lang w:val="lt-LT"/>
              </w:rPr>
              <w:t>/2021 (12,0%)</w:t>
            </w:r>
          </w:p>
        </w:tc>
        <w:tc>
          <w:tcPr>
            <w:tcW w:w="1845" w:type="dxa"/>
          </w:tcPr>
          <w:p w14:paraId="4A0618F0"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0,78 (0,65</w:t>
            </w:r>
            <w:r w:rsidRPr="00842A24">
              <w:rPr>
                <w:color w:val="000000"/>
                <w:sz w:val="22"/>
                <w:lang w:val="lt-LT"/>
              </w:rPr>
              <w:noBreakHyphen/>
              <w:t>0,95)</w:t>
            </w:r>
          </w:p>
        </w:tc>
        <w:tc>
          <w:tcPr>
            <w:tcW w:w="1140" w:type="dxa"/>
          </w:tcPr>
          <w:p w14:paraId="66F787AD"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0,01123</w:t>
            </w:r>
          </w:p>
        </w:tc>
      </w:tr>
      <w:tr w:rsidR="00D15CAD" w:rsidRPr="00842A24" w14:paraId="4577BD16" w14:textId="77777777" w:rsidTr="00695E53">
        <w:trPr>
          <w:tblCellSpacing w:w="0" w:type="dxa"/>
        </w:trPr>
        <w:tc>
          <w:tcPr>
            <w:tcW w:w="9030" w:type="dxa"/>
            <w:gridSpan w:val="5"/>
          </w:tcPr>
          <w:p w14:paraId="0C9EDC57" w14:textId="77777777" w:rsidR="00173463" w:rsidRPr="00842A24" w:rsidRDefault="00173463" w:rsidP="008922B4">
            <w:pPr>
              <w:pStyle w:val="prastasiniatinklio"/>
              <w:spacing w:before="0" w:beforeAutospacing="0" w:after="0" w:afterAutospacing="0"/>
              <w:rPr>
                <w:lang w:val="lt-LT"/>
              </w:rPr>
            </w:pPr>
            <w:r w:rsidRPr="00842A24">
              <w:rPr>
                <w:b/>
                <w:sz w:val="22"/>
                <w:lang w:val="lt-LT"/>
              </w:rPr>
              <w:t>Bendrasis išgyvenamumas</w:t>
            </w:r>
            <w:r w:rsidRPr="00842A24">
              <w:rPr>
                <w:b/>
                <w:sz w:val="22"/>
                <w:vertAlign w:val="superscript"/>
                <w:lang w:val="lt-LT"/>
              </w:rPr>
              <w:t>d</w:t>
            </w:r>
          </w:p>
        </w:tc>
      </w:tr>
      <w:tr w:rsidR="00D15CAD" w:rsidRPr="00842A24" w14:paraId="2076C448" w14:textId="77777777" w:rsidTr="00695E53">
        <w:trPr>
          <w:tblCellSpacing w:w="0" w:type="dxa"/>
        </w:trPr>
        <w:tc>
          <w:tcPr>
            <w:tcW w:w="1935" w:type="dxa"/>
          </w:tcPr>
          <w:p w14:paraId="1D9DD9C6" w14:textId="77777777" w:rsidR="00173463" w:rsidRPr="00842A24" w:rsidRDefault="00173463" w:rsidP="008922B4">
            <w:pPr>
              <w:pStyle w:val="prastasiniatinklio"/>
              <w:spacing w:before="0" w:beforeAutospacing="0" w:after="0" w:afterAutospacing="0"/>
              <w:rPr>
                <w:lang w:val="lt-LT"/>
              </w:rPr>
            </w:pPr>
            <w:r w:rsidRPr="00842A24">
              <w:rPr>
                <w:sz w:val="22"/>
                <w:lang w:val="lt-LT"/>
              </w:rPr>
              <w:t>Visų pacienčių</w:t>
            </w:r>
          </w:p>
        </w:tc>
        <w:tc>
          <w:tcPr>
            <w:tcW w:w="2130" w:type="dxa"/>
          </w:tcPr>
          <w:p w14:paraId="4BB8402B" w14:textId="77777777" w:rsidR="00173463" w:rsidRPr="00842A24" w:rsidRDefault="00173463" w:rsidP="008922B4">
            <w:pPr>
              <w:pStyle w:val="prastasiniatinklio"/>
              <w:spacing w:before="0" w:beforeAutospacing="0" w:after="0" w:afterAutospacing="0"/>
              <w:rPr>
                <w:color w:val="000000"/>
                <w:lang w:val="lt-LT"/>
              </w:rPr>
            </w:pPr>
            <w:r w:rsidRPr="00842A24">
              <w:rPr>
                <w:b/>
                <w:sz w:val="22"/>
                <w:lang w:val="lt-LT"/>
              </w:rPr>
              <w:t>222</w:t>
            </w:r>
            <w:r w:rsidRPr="00842A24">
              <w:rPr>
                <w:sz w:val="22"/>
                <w:lang w:val="lt-LT"/>
              </w:rPr>
              <w:t>/2352 (9,4%)</w:t>
            </w:r>
          </w:p>
        </w:tc>
        <w:tc>
          <w:tcPr>
            <w:tcW w:w="1980" w:type="dxa"/>
          </w:tcPr>
          <w:p w14:paraId="76829725" w14:textId="77777777" w:rsidR="00173463" w:rsidRPr="00842A24" w:rsidRDefault="00173463" w:rsidP="008922B4">
            <w:pPr>
              <w:pStyle w:val="prastasiniatinklio"/>
              <w:spacing w:before="0" w:beforeAutospacing="0" w:after="0" w:afterAutospacing="0"/>
              <w:rPr>
                <w:color w:val="000000"/>
                <w:lang w:val="lt-LT"/>
              </w:rPr>
            </w:pPr>
            <w:r w:rsidRPr="00842A24">
              <w:rPr>
                <w:b/>
                <w:color w:val="000000"/>
                <w:sz w:val="22"/>
                <w:lang w:val="lt-LT"/>
              </w:rPr>
              <w:t>262</w:t>
            </w:r>
            <w:r w:rsidRPr="00842A24">
              <w:rPr>
                <w:color w:val="000000"/>
                <w:sz w:val="22"/>
                <w:lang w:val="lt-LT"/>
              </w:rPr>
              <w:t>/2372 (11,0%)</w:t>
            </w:r>
          </w:p>
        </w:tc>
        <w:tc>
          <w:tcPr>
            <w:tcW w:w="1845" w:type="dxa"/>
          </w:tcPr>
          <w:p w14:paraId="0AED6B5E"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0,85 (0,71</w:t>
            </w:r>
            <w:r w:rsidRPr="00842A24">
              <w:rPr>
                <w:color w:val="000000"/>
                <w:sz w:val="22"/>
                <w:lang w:val="lt-LT"/>
              </w:rPr>
              <w:noBreakHyphen/>
              <w:t>1,02)</w:t>
            </w:r>
          </w:p>
        </w:tc>
        <w:tc>
          <w:tcPr>
            <w:tcW w:w="1140" w:type="dxa"/>
          </w:tcPr>
          <w:p w14:paraId="513CB19D"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0,07362</w:t>
            </w:r>
          </w:p>
        </w:tc>
      </w:tr>
      <w:tr w:rsidR="00D15CAD" w:rsidRPr="00842A24" w14:paraId="5B4C714D" w14:textId="77777777" w:rsidTr="00695E53">
        <w:trPr>
          <w:tblCellSpacing w:w="0" w:type="dxa"/>
        </w:trPr>
        <w:tc>
          <w:tcPr>
            <w:tcW w:w="1935" w:type="dxa"/>
          </w:tcPr>
          <w:p w14:paraId="0754B562" w14:textId="77777777" w:rsidR="00173463" w:rsidRPr="00842A24" w:rsidRDefault="00173463" w:rsidP="008922B4">
            <w:pPr>
              <w:pStyle w:val="prastasiniatinklio"/>
              <w:spacing w:before="0" w:beforeAutospacing="0" w:after="0" w:afterAutospacing="0"/>
              <w:rPr>
                <w:lang w:val="lt-LT"/>
              </w:rPr>
            </w:pPr>
            <w:r w:rsidRPr="00842A24">
              <w:rPr>
                <w:sz w:val="22"/>
                <w:lang w:val="lt-LT"/>
              </w:rPr>
              <w:t>ER + pacienčių</w:t>
            </w:r>
          </w:p>
        </w:tc>
        <w:tc>
          <w:tcPr>
            <w:tcW w:w="2130" w:type="dxa"/>
          </w:tcPr>
          <w:p w14:paraId="57BF1F0E" w14:textId="77777777" w:rsidR="00173463" w:rsidRPr="00842A24" w:rsidRDefault="00173463" w:rsidP="008922B4">
            <w:pPr>
              <w:pStyle w:val="prastasiniatinklio"/>
              <w:spacing w:before="0" w:beforeAutospacing="0" w:after="0" w:afterAutospacing="0"/>
              <w:rPr>
                <w:color w:val="000000"/>
                <w:lang w:val="lt-LT"/>
              </w:rPr>
            </w:pPr>
            <w:r w:rsidRPr="00842A24">
              <w:rPr>
                <w:b/>
                <w:sz w:val="22"/>
                <w:lang w:val="lt-LT"/>
              </w:rPr>
              <w:t>178</w:t>
            </w:r>
            <w:r w:rsidRPr="00842A24">
              <w:rPr>
                <w:sz w:val="22"/>
                <w:lang w:val="lt-LT"/>
              </w:rPr>
              <w:t>/2023 (8,8%)</w:t>
            </w:r>
          </w:p>
        </w:tc>
        <w:tc>
          <w:tcPr>
            <w:tcW w:w="1980" w:type="dxa"/>
          </w:tcPr>
          <w:p w14:paraId="5A174D9A" w14:textId="77777777" w:rsidR="00173463" w:rsidRPr="00842A24" w:rsidRDefault="00173463" w:rsidP="008922B4">
            <w:pPr>
              <w:pStyle w:val="prastasiniatinklio"/>
              <w:spacing w:before="0" w:beforeAutospacing="0" w:after="0" w:afterAutospacing="0"/>
              <w:rPr>
                <w:color w:val="000000"/>
                <w:lang w:val="lt-LT"/>
              </w:rPr>
            </w:pPr>
            <w:r w:rsidRPr="00842A24">
              <w:rPr>
                <w:b/>
                <w:color w:val="000000"/>
                <w:sz w:val="22"/>
                <w:lang w:val="lt-LT"/>
              </w:rPr>
              <w:t>211</w:t>
            </w:r>
            <w:r w:rsidRPr="00842A24">
              <w:rPr>
                <w:color w:val="000000"/>
                <w:sz w:val="22"/>
                <w:lang w:val="lt-LT"/>
              </w:rPr>
              <w:t>/2021 (10,4%)</w:t>
            </w:r>
          </w:p>
        </w:tc>
        <w:tc>
          <w:tcPr>
            <w:tcW w:w="1845" w:type="dxa"/>
          </w:tcPr>
          <w:p w14:paraId="4B08EDE7"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0,84 (0,68</w:t>
            </w:r>
            <w:r w:rsidRPr="00842A24">
              <w:rPr>
                <w:color w:val="000000"/>
                <w:sz w:val="22"/>
                <w:lang w:val="lt-LT"/>
              </w:rPr>
              <w:noBreakHyphen/>
              <w:t>1,02)</w:t>
            </w:r>
          </w:p>
        </w:tc>
        <w:tc>
          <w:tcPr>
            <w:tcW w:w="1140" w:type="dxa"/>
          </w:tcPr>
          <w:p w14:paraId="309B9268" w14:textId="77777777" w:rsidR="00173463" w:rsidRPr="00842A24" w:rsidRDefault="00173463" w:rsidP="008922B4">
            <w:pPr>
              <w:pStyle w:val="prastasiniatinklio"/>
              <w:spacing w:before="0" w:beforeAutospacing="0" w:after="0" w:afterAutospacing="0"/>
              <w:rPr>
                <w:color w:val="000000"/>
                <w:lang w:val="lt-LT"/>
              </w:rPr>
            </w:pPr>
            <w:r w:rsidRPr="00842A24">
              <w:rPr>
                <w:color w:val="000000"/>
                <w:sz w:val="22"/>
                <w:lang w:val="lt-LT"/>
              </w:rPr>
              <w:t>0,07569</w:t>
            </w:r>
          </w:p>
        </w:tc>
      </w:tr>
    </w:tbl>
    <w:p w14:paraId="1EA388CB" w14:textId="77777777" w:rsidR="00173463" w:rsidRPr="00842A24" w:rsidRDefault="00173463" w:rsidP="00173463">
      <w:pPr>
        <w:jc w:val="both"/>
      </w:pPr>
    </w:p>
    <w:p w14:paraId="02C383DB" w14:textId="77777777" w:rsidR="00173463" w:rsidRPr="00842A24" w:rsidRDefault="00173463" w:rsidP="00173463">
      <w:pPr>
        <w:jc w:val="both"/>
      </w:pPr>
      <w:r w:rsidRPr="00842A24">
        <w:t xml:space="preserve">* </w:t>
      </w:r>
      <w:r w:rsidRPr="00842A24">
        <w:rPr>
          <w:i/>
        </w:rPr>
        <w:t>Log-rank</w:t>
      </w:r>
      <w:r w:rsidRPr="00842A24">
        <w:t xml:space="preserve"> testas; ER+ pacientės=pacientės, kurioms nustatyti estrogenų receptoriai; </w:t>
      </w:r>
    </w:p>
    <w:p w14:paraId="21A60D33" w14:textId="77777777" w:rsidR="00173463" w:rsidRPr="00842A24" w:rsidRDefault="00173463" w:rsidP="00173463">
      <w:r w:rsidRPr="00842A24">
        <w:rPr>
          <w:vertAlign w:val="superscript"/>
        </w:rPr>
        <w:t xml:space="preserve">a </w:t>
      </w:r>
      <w:r w:rsidRPr="00842A24">
        <w:t xml:space="preserve">Išgyvenamumas be ligos progresavimo – tai laikas iki pirmo pasireiškimo lokalaus ar atokaus ligos pasikartojimo, kitos krūties vėžio arba pacientės mirties dėl bet kurios priežasties; </w:t>
      </w:r>
    </w:p>
    <w:p w14:paraId="7A55308C" w14:textId="77777777" w:rsidR="00173463" w:rsidRPr="00842A24" w:rsidRDefault="00173463" w:rsidP="00173463">
      <w:r w:rsidRPr="00842A24">
        <w:rPr>
          <w:vertAlign w:val="superscript"/>
        </w:rPr>
        <w:t>b</w:t>
      </w:r>
      <w:r w:rsidRPr="00842A24">
        <w:t xml:space="preserve"> Išgyvenamumas be krūties vėžio – tai laikas, per kurį įvyksta lokalus ar atokus ligos pasikartojimas, kitos krūties vėžys arba pacientės mirtis dėl krūties vėžio;</w:t>
      </w:r>
    </w:p>
    <w:p w14:paraId="31346598" w14:textId="77777777" w:rsidR="00173463" w:rsidRPr="00842A24" w:rsidRDefault="00173463" w:rsidP="00173463">
      <w:r w:rsidRPr="00842A24">
        <w:rPr>
          <w:vertAlign w:val="superscript"/>
        </w:rPr>
        <w:t>c</w:t>
      </w:r>
      <w:r w:rsidRPr="00842A24">
        <w:t xml:space="preserve"> Išgyvenamumas be atokaus ligos pasikartojimo – tai laikotarpis, per kurį įvyksta atokus ligos pasikartojimas arba pacientės mirtis dėl krūties vėžio;</w:t>
      </w:r>
    </w:p>
    <w:p w14:paraId="422A4013" w14:textId="77777777" w:rsidR="00173463" w:rsidRPr="00842A24" w:rsidRDefault="00173463" w:rsidP="00173463">
      <w:r w:rsidRPr="00842A24">
        <w:rPr>
          <w:vertAlign w:val="superscript"/>
        </w:rPr>
        <w:t>d</w:t>
      </w:r>
      <w:r w:rsidRPr="00842A24">
        <w:t xml:space="preserve"> Bendrasis išgyvenamumas – tai laikotarpis, per kurį įvyksta pacientės mirtis dėl bet kurios priežasties. </w:t>
      </w:r>
    </w:p>
    <w:p w14:paraId="69E8FA28" w14:textId="77777777" w:rsidR="00173463" w:rsidRPr="00842A24" w:rsidRDefault="00173463" w:rsidP="00173463"/>
    <w:p w14:paraId="29D1C7E5" w14:textId="77777777" w:rsidR="00173463" w:rsidRPr="00842A24" w:rsidRDefault="00173463" w:rsidP="00173463">
      <w:r w:rsidRPr="00842A24">
        <w:t xml:space="preserve">Papildomos pacienčių, kurioms nustatyti teigiami </w:t>
      </w:r>
      <w:r w:rsidRPr="00842A24">
        <w:rPr>
          <w:b/>
        </w:rPr>
        <w:t xml:space="preserve">estrogenų </w:t>
      </w:r>
      <w:r w:rsidRPr="00842A24">
        <w:t>receptoriai, ar kurių estrogenų receptorių būklė nežinoma, poaibio analizės duomenimis, nekoreguoto bendrojo išgyvenamumo rizikos santykis buvo 0,83 (</w:t>
      </w:r>
      <w:r w:rsidRPr="00842A24">
        <w:rPr>
          <w:i/>
        </w:rPr>
        <w:t>log-rank</w:t>
      </w:r>
      <w:r w:rsidRPr="00842A24">
        <w:t xml:space="preserve"> testas: p = 0,04250), pasireiškiantis kliniškai ir statistiškai reikšmingu mirtingumo sumažėjimu 17%. </w:t>
      </w:r>
    </w:p>
    <w:p w14:paraId="6FEE5D3A" w14:textId="77777777" w:rsidR="00173463" w:rsidRPr="00842A24" w:rsidRDefault="00173463" w:rsidP="00173463"/>
    <w:p w14:paraId="267B6D63" w14:textId="77777777" w:rsidR="00173463" w:rsidRPr="00842A24" w:rsidRDefault="00173463" w:rsidP="00173463">
      <w:pPr>
        <w:rPr>
          <w:color w:val="000000"/>
        </w:rPr>
      </w:pPr>
      <w:r w:rsidRPr="00842A24">
        <w:t>IES kaulų struktūros pokyčių tyrimo rezultatai parodė, kad moterims po 2</w:t>
      </w:r>
      <w:r w:rsidRPr="00842A24">
        <w:noBreakHyphen/>
        <w:t xml:space="preserve">3 metų gydymo tamoksifenu vartojusioms eksemestano kaulų mineralinis tankis sumažėja vidutiniškai. </w:t>
      </w:r>
      <w:r w:rsidRPr="00842A24">
        <w:rPr>
          <w:color w:val="000000"/>
        </w:rPr>
        <w:t xml:space="preserve">Bendrojo tyrimo metu lūžių atvejai tarp pacienčių, 30 mėnesių gydytų eksemestanu, buvo dažnesni, lyginant su gydytomis tamoksifenu (atitinkamai, 4,5% ir 3,3%, p = 0,038). </w:t>
      </w:r>
    </w:p>
    <w:p w14:paraId="6820376B" w14:textId="77777777" w:rsidR="00173463" w:rsidRPr="00842A24" w:rsidRDefault="00173463" w:rsidP="00173463">
      <w:pPr>
        <w:rPr>
          <w:color w:val="000000"/>
        </w:rPr>
      </w:pPr>
      <w:r w:rsidRPr="00842A24">
        <w:rPr>
          <w:color w:val="000000"/>
        </w:rPr>
        <w:t xml:space="preserve">IES gimdos gleivinės tyrimų rezultatai parodė, kad 2 metus gydant eksemestanu, vidutiniškai 33% sumažėjo gimdos gleivinės storis, palyginti su nestebimu pokyčiu, gydant pacientes tamoksifenu. Gydymo pradžioje atsiradęs gimdos gleivinės išvešėjimas 54% pacienčių, gydytų eksemestanu, vėliau normalizuojasi (&lt; 5 mm). </w:t>
      </w:r>
    </w:p>
    <w:p w14:paraId="36FAF683" w14:textId="77777777" w:rsidR="00173463" w:rsidRPr="00842A24" w:rsidRDefault="00173463" w:rsidP="00173463">
      <w:pPr>
        <w:rPr>
          <w:color w:val="000000"/>
        </w:rPr>
      </w:pPr>
    </w:p>
    <w:p w14:paraId="54CFD5FB" w14:textId="77777777" w:rsidR="00173463" w:rsidRPr="00842A24" w:rsidRDefault="00173463" w:rsidP="00173463">
      <w:pPr>
        <w:pStyle w:val="prastasiniatinklio"/>
        <w:spacing w:before="0" w:beforeAutospacing="0" w:after="0" w:afterAutospacing="0"/>
        <w:jc w:val="both"/>
        <w:rPr>
          <w:sz w:val="22"/>
          <w:lang w:val="lt-LT"/>
        </w:rPr>
      </w:pPr>
      <w:r w:rsidRPr="00842A24">
        <w:rPr>
          <w:sz w:val="22"/>
          <w:lang w:val="lt-LT"/>
        </w:rPr>
        <w:t>IES tolimesnis vidutiniškai 87 mėnesių gydymas</w:t>
      </w:r>
    </w:p>
    <w:p w14:paraId="4450E895" w14:textId="77777777" w:rsidR="00173463" w:rsidRPr="00842A24" w:rsidRDefault="00173463" w:rsidP="00173463">
      <w:pPr>
        <w:pStyle w:val="prastasiniatinklio"/>
        <w:spacing w:before="0" w:beforeAutospacing="0" w:after="0" w:afterAutospacing="0"/>
        <w:jc w:val="both"/>
        <w:rPr>
          <w:sz w:val="22"/>
          <w:lang w:val="lt-LT"/>
        </w:rPr>
      </w:pPr>
      <w:r w:rsidRPr="00842A24">
        <w:rPr>
          <w:sz w:val="22"/>
          <w:lang w:val="lt-LT"/>
        </w:rPr>
        <w:t xml:space="preserve">Po vidutiniškai 30 mėnesių trukusio gydymo ir tolimesnio vidutiniškai 87 mėnesius trukusio tyrimo rezultatai parodė, kad po pradinio pagalbinio 2–3 metų gydymo tamoksifenu toliau taikant gydymą eksemestanu kliniškai ir statistiškai reikšmingai padidėja pacienčių be ligos požymių (DFS) skaičius, lyginant su pacientėmis, kurios ir toliau tęsė gydymą tamoksifenu. Pagal gautus rezultatus nustatyta, </w:t>
      </w:r>
      <w:r w:rsidRPr="00842A24">
        <w:rPr>
          <w:sz w:val="22"/>
          <w:lang w:val="lt-LT"/>
        </w:rPr>
        <w:lastRenderedPageBreak/>
        <w:t xml:space="preserve">kad eksemestanas </w:t>
      </w:r>
      <w:r w:rsidRPr="00842A24">
        <w:rPr>
          <w:color w:val="000000"/>
          <w:lang w:val="lt-LT"/>
        </w:rPr>
        <w:t>lyginant su tamoksifenu reikšmingai sumažina riziką pakartotinai susirgti krūties vėžiu</w:t>
      </w:r>
      <w:r w:rsidRPr="00842A24">
        <w:rPr>
          <w:sz w:val="22"/>
          <w:lang w:val="lt-LT"/>
        </w:rPr>
        <w:t xml:space="preserve"> 16 % (rizikos santykis 0,84; p=0,002).</w:t>
      </w:r>
    </w:p>
    <w:p w14:paraId="6EF77345" w14:textId="77777777" w:rsidR="00173463" w:rsidRPr="00842A24" w:rsidRDefault="00173463" w:rsidP="00173463">
      <w:pPr>
        <w:pStyle w:val="prastasiniatinklio"/>
        <w:spacing w:before="0" w:beforeAutospacing="0" w:after="0" w:afterAutospacing="0"/>
        <w:jc w:val="both"/>
        <w:rPr>
          <w:sz w:val="22"/>
          <w:lang w:val="lt-LT"/>
        </w:rPr>
      </w:pPr>
    </w:p>
    <w:p w14:paraId="260E016C" w14:textId="77777777" w:rsidR="00173463" w:rsidRPr="00842A24" w:rsidRDefault="00173463" w:rsidP="00173463">
      <w:pPr>
        <w:pStyle w:val="prastasiniatinklio"/>
        <w:shd w:val="clear" w:color="auto" w:fill="FFFFFF"/>
        <w:spacing w:before="0" w:beforeAutospacing="0" w:after="0" w:afterAutospacing="0" w:line="234" w:lineRule="atLeast"/>
        <w:rPr>
          <w:sz w:val="22"/>
          <w:lang w:val="lt-LT"/>
        </w:rPr>
      </w:pPr>
      <w:r w:rsidRPr="00842A24">
        <w:rPr>
          <w:sz w:val="22"/>
          <w:lang w:val="lt-LT"/>
        </w:rPr>
        <w:t>Bendrai, vertinant pacienčių be ligos požymių skaičių, didesnis gydomasis eksemestano poveikis lyginant su tamoksifenu yra akivaizdus, nepriklausomai nuo tumoro būklės ar atliktos chemoterapijos ar hormonų terapijos. Statistinė reikšmė nebuvo išlaikyta keliuose pogrupiuose, kurių mėginiai buvo nedideli. Čia buvo nustatyta tendencija, palanki eksemestanui pacientėms, kurių daugiau kaip 9 tumorai buvo teigiami, arba kurioms buvo prieš tai atlikta CMF chemoterapija. Pacientėms, kurių tumoro būklė nežinoma, kurioms anksčiau buvo atlikta kitokia chemoterapija ir apie kurioms anksčiau atliktos hormonų terapijos būklę nieko nežinoma arba jos nėra, buvo nustatyta statistiškai nereikšminga tendencija, palanki tamoksifenui.</w:t>
      </w:r>
    </w:p>
    <w:p w14:paraId="025960AF" w14:textId="77777777" w:rsidR="00173463" w:rsidRPr="00842A24" w:rsidRDefault="00173463" w:rsidP="00173463">
      <w:pPr>
        <w:pStyle w:val="prastasiniatinklio"/>
        <w:shd w:val="clear" w:color="auto" w:fill="FFFFFF"/>
        <w:spacing w:before="0" w:beforeAutospacing="0" w:after="0" w:afterAutospacing="0" w:line="234" w:lineRule="atLeast"/>
        <w:rPr>
          <w:sz w:val="22"/>
          <w:lang w:val="lt-LT"/>
        </w:rPr>
      </w:pPr>
    </w:p>
    <w:p w14:paraId="39DEC1E3" w14:textId="77777777" w:rsidR="00173463" w:rsidRPr="00842A24" w:rsidRDefault="00173463" w:rsidP="00173463">
      <w:pPr>
        <w:pStyle w:val="prastasiniatinklio"/>
        <w:shd w:val="clear" w:color="auto" w:fill="FFFFFF"/>
        <w:spacing w:before="0" w:beforeAutospacing="0" w:after="0" w:afterAutospacing="0" w:line="234" w:lineRule="atLeast"/>
        <w:rPr>
          <w:sz w:val="22"/>
          <w:lang w:val="lt-LT"/>
        </w:rPr>
      </w:pPr>
      <w:r w:rsidRPr="00842A24">
        <w:rPr>
          <w:sz w:val="22"/>
          <w:lang w:val="lt-LT"/>
        </w:rPr>
        <w:t>Papildomai, eksemestanas reikšmingai prailgino išgyvenamumą be krūties vėžio (rizikos santykis 0,82, p = 0,00263) ir išgyvenamumo be atokaus ligos pasikartojimo (rizikos santykis 0,85, p = 0,02425).</w:t>
      </w:r>
    </w:p>
    <w:p w14:paraId="31C0F0AB" w14:textId="77777777" w:rsidR="00173463" w:rsidRPr="00842A24" w:rsidRDefault="00173463" w:rsidP="00173463">
      <w:pPr>
        <w:pStyle w:val="prastasiniatinklio"/>
        <w:shd w:val="clear" w:color="auto" w:fill="FFFFFF"/>
        <w:spacing w:before="0" w:beforeAutospacing="0" w:after="0" w:afterAutospacing="0" w:line="234" w:lineRule="atLeast"/>
        <w:rPr>
          <w:sz w:val="22"/>
          <w:lang w:val="lt-LT"/>
        </w:rPr>
      </w:pPr>
      <w:r w:rsidRPr="00842A24">
        <w:rPr>
          <w:sz w:val="22"/>
          <w:lang w:val="lt-LT"/>
        </w:rPr>
        <w:t>Eksemestanas taip pat sumažino riziką susirgti kitos krūties vėžiu, nors poveikis šiuo stebėtu tyrimo laikotarpiu nebebuvo statistiškai reikšmingas (rizikos santykis 0,74, p = 0,12983). Vertinant visą tyrimo populiaciją buvo nustatyta eksemestanui palanki geresnio bendrojo išgyvenamumo tendencija (373 mirtys) lyginant su tamoksifenu (420 mirčių) su rizikos santykiu 0,89 (</w:t>
      </w:r>
      <w:r w:rsidRPr="00842A24">
        <w:rPr>
          <w:i/>
          <w:sz w:val="22"/>
          <w:lang w:val="lt-LT"/>
        </w:rPr>
        <w:t>log-rank</w:t>
      </w:r>
      <w:r w:rsidRPr="00842A24">
        <w:rPr>
          <w:sz w:val="22"/>
          <w:lang w:val="lt-LT"/>
        </w:rPr>
        <w:t xml:space="preserve"> testas: p = 0.08972), reiškiantis 11 % mažesnę mirties riziką vartojant eksemestaną. Atliekant tikslinimus vertinant iš anksto nurodytus prognozės koeficientus (t. y., ER būklę, tumorų būklę, prieš tai atliktą chemotherapiją, HRT ir bisfosfonatų naudojimą), buvo nustatytas statististiškai reikšmingas 18 % sumažėjęs mirtingumas (rizikos santykis bendrojo išgyvenamumo kontekste 0,82; chi kvadratu kriterijus: p = 0.0082) gydantis eksemestanu, palyginti su tamoksifenu, vertinant visą tyrimo populiaciją.</w:t>
      </w:r>
    </w:p>
    <w:p w14:paraId="51DD9A60" w14:textId="77777777" w:rsidR="00173463" w:rsidRPr="00842A24" w:rsidRDefault="00173463" w:rsidP="00173463">
      <w:pPr>
        <w:pStyle w:val="prastasiniatinklio"/>
        <w:shd w:val="clear" w:color="auto" w:fill="FFFFFF"/>
        <w:spacing w:before="0" w:beforeAutospacing="0" w:after="0" w:afterAutospacing="0" w:line="234" w:lineRule="atLeast"/>
        <w:rPr>
          <w:sz w:val="22"/>
          <w:lang w:val="lt-LT"/>
        </w:rPr>
      </w:pPr>
    </w:p>
    <w:p w14:paraId="3D782EF0" w14:textId="77777777" w:rsidR="00173463" w:rsidRPr="00842A24" w:rsidRDefault="00173463" w:rsidP="00173463">
      <w:pPr>
        <w:pStyle w:val="prastasiniatinklio"/>
        <w:shd w:val="clear" w:color="auto" w:fill="FFFFFF"/>
        <w:spacing w:before="0" w:beforeAutospacing="0" w:after="0" w:afterAutospacing="0" w:line="234" w:lineRule="atLeast"/>
        <w:rPr>
          <w:lang w:val="lt-LT"/>
        </w:rPr>
      </w:pPr>
      <w:r w:rsidRPr="00842A24">
        <w:rPr>
          <w:sz w:val="22"/>
          <w:lang w:val="lt-LT"/>
        </w:rPr>
        <w:t>Papildomos pacienčių, kurioms nustatyti teigiami estrogenų receptoriai, ar kurių estrogenų receptorių būklė nežinoma, poaibio analizės duomenimis, nekoreguoto bendrojo išgyvenamumo rizikos santykis buvo 0,86 (</w:t>
      </w:r>
      <w:r w:rsidRPr="00842A24">
        <w:rPr>
          <w:i/>
          <w:sz w:val="22"/>
          <w:lang w:val="lt-LT"/>
        </w:rPr>
        <w:t>log-rank</w:t>
      </w:r>
      <w:r w:rsidRPr="00842A24">
        <w:rPr>
          <w:sz w:val="22"/>
          <w:lang w:val="lt-LT"/>
        </w:rPr>
        <w:t xml:space="preserve"> testas: p = 0,04262), pasireiškiantis kliniškai ir statistiškai reikšmingu mirtingumo sumažėjimu 14 %.</w:t>
      </w:r>
      <w:r w:rsidRPr="00842A24">
        <w:rPr>
          <w:lang w:val="lt-LT"/>
        </w:rPr>
        <w:t xml:space="preserve"> </w:t>
      </w:r>
    </w:p>
    <w:p w14:paraId="46AD93C4" w14:textId="77777777" w:rsidR="00173463" w:rsidRPr="00842A24" w:rsidRDefault="00173463" w:rsidP="00173463">
      <w:pPr>
        <w:pStyle w:val="prastasiniatinklio"/>
        <w:shd w:val="clear" w:color="auto" w:fill="FFFFFF"/>
        <w:spacing w:before="0" w:beforeAutospacing="0" w:after="0" w:afterAutospacing="0" w:line="234" w:lineRule="atLeast"/>
        <w:rPr>
          <w:lang w:val="lt-LT"/>
        </w:rPr>
      </w:pPr>
    </w:p>
    <w:p w14:paraId="0C0A933C" w14:textId="6593A3C5" w:rsidR="00173463" w:rsidRPr="00842A24" w:rsidRDefault="00173463" w:rsidP="00173463">
      <w:pPr>
        <w:pStyle w:val="prastasiniatinklio"/>
        <w:shd w:val="clear" w:color="auto" w:fill="FFFFFF"/>
        <w:spacing w:before="0" w:beforeAutospacing="0" w:after="0" w:afterAutospacing="0" w:line="234" w:lineRule="atLeast"/>
        <w:rPr>
          <w:sz w:val="22"/>
          <w:lang w:val="lt-LT"/>
        </w:rPr>
      </w:pPr>
      <w:r w:rsidRPr="00842A24">
        <w:rPr>
          <w:sz w:val="22"/>
          <w:lang w:val="lt-LT"/>
        </w:rPr>
        <w:t>Kaulų struktūros pokyčių tyrimo rezultatai rodo, kad moterims po 2–3 metų gydymo eksemestanu po 3–2 metų gydymo tamoksifenu gydant padidėjo kaulų išretėjimas (vidutinis % KMT pokytis nuo pradžios po 36 mėnesių: -3,37 [stuburas], -2,96 [viso klubai] vartojant eksemestaną ir -1,29 [stuburas], -2,02 [viso klubai], vartojant tamoksifeną). Tačiau praėjus 24 mėnesiams po gydymo laikotarpio buvo minimalus KMT pokyčio nuo pradinio skirtumas abiem gydytoms grupėms, tamoksifeno atšaka turėjo kiek geresnį galutinį KMT sumažėjimą visose vietose (vidutinis % KMT pokytis nuo pradžios po 24 mėnesių nuo gydymo -2,17 [stuburas], -3,06 [viso klubai] gydant eksemestanu ir -3,44 [stuburas], -4,15 [viso klubai] gydant tamoksifenu).</w:t>
      </w:r>
    </w:p>
    <w:p w14:paraId="0CBF0DC9" w14:textId="77777777" w:rsidR="00173463" w:rsidRPr="00842A24" w:rsidRDefault="00173463" w:rsidP="00173463">
      <w:pPr>
        <w:pStyle w:val="prastasiniatinklio"/>
        <w:shd w:val="clear" w:color="auto" w:fill="FFFFFF"/>
        <w:spacing w:before="0" w:beforeAutospacing="0" w:after="0" w:afterAutospacing="0" w:line="234" w:lineRule="atLeast"/>
        <w:rPr>
          <w:sz w:val="22"/>
          <w:lang w:val="lt-LT"/>
        </w:rPr>
      </w:pPr>
    </w:p>
    <w:p w14:paraId="18809936" w14:textId="77777777" w:rsidR="00173463" w:rsidRPr="00842A24" w:rsidRDefault="00173463" w:rsidP="00173463">
      <w:pPr>
        <w:pStyle w:val="prastasiniatinklio"/>
        <w:shd w:val="clear" w:color="auto" w:fill="FFFFFF"/>
        <w:spacing w:before="0" w:beforeAutospacing="0" w:after="0" w:afterAutospacing="0" w:line="234" w:lineRule="atLeast"/>
        <w:rPr>
          <w:sz w:val="22"/>
          <w:lang w:val="lt-LT"/>
        </w:rPr>
      </w:pPr>
      <w:r w:rsidRPr="00842A24">
        <w:rPr>
          <w:sz w:val="22"/>
          <w:lang w:val="lt-LT"/>
        </w:rPr>
        <w:t>Bendrų lūžių, apie kuriuos buvo pranešta gydymo metu ir laikotarpiu po jo, skaičius buvo reikšmingai didesnis eksemestanu gydytoje grupėje, lyginant su gydytais tamoksifenu: (169 [7,3 %] ir 122 [5,2 %]; p = 0,004), bet nebuvo nustatytas lūžių, nurodytų osteoporotiniais, skaičiaus skirtumas.</w:t>
      </w:r>
    </w:p>
    <w:p w14:paraId="18826125" w14:textId="77777777" w:rsidR="00173463" w:rsidRPr="00842A24" w:rsidRDefault="00173463" w:rsidP="00173463">
      <w:pPr>
        <w:rPr>
          <w:u w:val="single"/>
        </w:rPr>
      </w:pPr>
    </w:p>
    <w:p w14:paraId="5CD58894" w14:textId="77777777" w:rsidR="00F4612E" w:rsidRPr="00842A24" w:rsidRDefault="00F4612E" w:rsidP="00F4612E">
      <w:pPr>
        <w:pStyle w:val="prastasiniatinklio"/>
        <w:shd w:val="clear" w:color="auto" w:fill="FFFFFF"/>
        <w:spacing w:line="234" w:lineRule="atLeast"/>
        <w:rPr>
          <w:sz w:val="22"/>
          <w:lang w:val="lt-LT"/>
        </w:rPr>
      </w:pPr>
      <w:r w:rsidRPr="00842A24">
        <w:rPr>
          <w:sz w:val="22"/>
          <w:lang w:val="lt-LT"/>
        </w:rPr>
        <w:t xml:space="preserve">IES </w:t>
      </w:r>
      <w:r w:rsidR="00AF50ED" w:rsidRPr="00842A24">
        <w:rPr>
          <w:sz w:val="22"/>
          <w:lang w:val="lt-LT"/>
        </w:rPr>
        <w:t xml:space="preserve">tolimesnis galutinis </w:t>
      </w:r>
      <w:r w:rsidRPr="00842A24">
        <w:rPr>
          <w:sz w:val="22"/>
          <w:lang w:val="lt-LT"/>
        </w:rPr>
        <w:t>119</w:t>
      </w:r>
      <w:r w:rsidR="00AF50ED" w:rsidRPr="00842A24">
        <w:rPr>
          <w:sz w:val="22"/>
          <w:lang w:val="lt-LT"/>
        </w:rPr>
        <w:t xml:space="preserve"> mėnesių gydymas</w:t>
      </w:r>
    </w:p>
    <w:p w14:paraId="06E58231" w14:textId="77777777" w:rsidR="00F4612E" w:rsidRPr="00842A24" w:rsidRDefault="00CD416B" w:rsidP="00F4612E">
      <w:pPr>
        <w:pStyle w:val="prastasiniatinklio"/>
        <w:shd w:val="clear" w:color="auto" w:fill="FFFFFF"/>
        <w:spacing w:line="234" w:lineRule="atLeast"/>
        <w:rPr>
          <w:sz w:val="22"/>
          <w:lang w:val="lt-LT"/>
        </w:rPr>
      </w:pPr>
      <w:r w:rsidRPr="00842A24">
        <w:rPr>
          <w:sz w:val="22"/>
          <w:lang w:val="lt-LT"/>
        </w:rPr>
        <w:t xml:space="preserve">Po vidutiniškai 30 mėnesių trukusio gydymo ir tolimesnio vidutiniškai </w:t>
      </w:r>
      <w:r w:rsidR="00F4612E" w:rsidRPr="00842A24">
        <w:rPr>
          <w:sz w:val="22"/>
          <w:lang w:val="lt-LT"/>
        </w:rPr>
        <w:t xml:space="preserve">119 </w:t>
      </w:r>
      <w:r w:rsidRPr="00842A24">
        <w:rPr>
          <w:sz w:val="22"/>
          <w:lang w:val="lt-LT"/>
        </w:rPr>
        <w:t>mėnesius trukusio tyrimo rezultatai parodė, kad po pradinio pagalbinio 2–3 metų gydymo tamoksifenu toliau taikant gydymą eksemestanu kliniškai ir statistiškai reikšmingai padidėja pacienčių be ligos požymių (DFS) skaičius, lyginant su pacientėmis, kurios ir toliau tęsė gydymą tamoksifenu</w:t>
      </w:r>
      <w:r w:rsidR="00F4612E" w:rsidRPr="00842A24">
        <w:rPr>
          <w:sz w:val="22"/>
          <w:lang w:val="lt-LT"/>
        </w:rPr>
        <w:t xml:space="preserve">. </w:t>
      </w:r>
      <w:r w:rsidR="007A2DD7" w:rsidRPr="00842A24">
        <w:rPr>
          <w:sz w:val="22"/>
          <w:lang w:val="lt-LT"/>
        </w:rPr>
        <w:t xml:space="preserve">Analizės metu nustatyta, kad per stebėtą tyrimo laikotarpį eksemestanas lyginant su tamoksifenu reikšmingai sumažina riziką pakartotinai susirgti krūties vėžiu </w:t>
      </w:r>
      <w:r w:rsidR="00F4612E" w:rsidRPr="00842A24">
        <w:rPr>
          <w:sz w:val="22"/>
          <w:lang w:val="lt-LT"/>
        </w:rPr>
        <w:t>14</w:t>
      </w:r>
      <w:r w:rsidR="007A2DD7" w:rsidRPr="00842A24">
        <w:rPr>
          <w:sz w:val="22"/>
          <w:lang w:val="lt-LT"/>
        </w:rPr>
        <w:t xml:space="preserve"> </w:t>
      </w:r>
      <w:r w:rsidR="00F4612E" w:rsidRPr="00842A24">
        <w:rPr>
          <w:sz w:val="22"/>
          <w:lang w:val="lt-LT"/>
        </w:rPr>
        <w:t>% (</w:t>
      </w:r>
      <w:r w:rsidR="007A2DD7" w:rsidRPr="00842A24">
        <w:rPr>
          <w:sz w:val="22"/>
          <w:lang w:val="lt-LT"/>
        </w:rPr>
        <w:t xml:space="preserve">rizikos santykis </w:t>
      </w:r>
      <w:r w:rsidR="00F4612E" w:rsidRPr="00842A24">
        <w:rPr>
          <w:sz w:val="22"/>
          <w:lang w:val="lt-LT"/>
        </w:rPr>
        <w:t>0</w:t>
      </w:r>
      <w:r w:rsidR="007A2DD7" w:rsidRPr="00842A24">
        <w:rPr>
          <w:sz w:val="22"/>
          <w:lang w:val="lt-LT"/>
        </w:rPr>
        <w:t>,</w:t>
      </w:r>
      <w:r w:rsidR="00F4612E" w:rsidRPr="00842A24">
        <w:rPr>
          <w:sz w:val="22"/>
          <w:lang w:val="lt-LT"/>
        </w:rPr>
        <w:t>86, p = 0</w:t>
      </w:r>
      <w:r w:rsidR="007A2DD7" w:rsidRPr="00842A24">
        <w:rPr>
          <w:sz w:val="22"/>
          <w:lang w:val="lt-LT"/>
        </w:rPr>
        <w:t>,</w:t>
      </w:r>
      <w:r w:rsidR="00F4612E" w:rsidRPr="00842A24">
        <w:rPr>
          <w:sz w:val="22"/>
          <w:lang w:val="lt-LT"/>
        </w:rPr>
        <w:t xml:space="preserve">00393). </w:t>
      </w:r>
      <w:r w:rsidR="007A2DD7" w:rsidRPr="00842A24">
        <w:rPr>
          <w:sz w:val="22"/>
          <w:lang w:val="lt-LT"/>
        </w:rPr>
        <w:t>Gydomasis eksemestano poveikis lyginant su tamoksifenu, vertinant pacienčių be ligos požymių skaičių, yra akivaizdus, nepriklausomai nuo tumoro būklė</w:t>
      </w:r>
      <w:r w:rsidR="006E39B7" w:rsidRPr="00842A24">
        <w:rPr>
          <w:sz w:val="22"/>
          <w:lang w:val="lt-LT"/>
        </w:rPr>
        <w:t>s</w:t>
      </w:r>
      <w:r w:rsidR="007A2DD7" w:rsidRPr="00842A24">
        <w:rPr>
          <w:sz w:val="22"/>
          <w:lang w:val="lt-LT"/>
        </w:rPr>
        <w:t xml:space="preserve"> ar atliktos chemoterapijos</w:t>
      </w:r>
      <w:r w:rsidR="00F4612E" w:rsidRPr="00842A24">
        <w:rPr>
          <w:sz w:val="22"/>
          <w:lang w:val="lt-LT"/>
        </w:rPr>
        <w:t>.</w:t>
      </w:r>
    </w:p>
    <w:p w14:paraId="2DC03EE9" w14:textId="77777777" w:rsidR="00F4612E" w:rsidRPr="00842A24" w:rsidRDefault="007A2DD7" w:rsidP="00F4612E">
      <w:pPr>
        <w:pStyle w:val="prastasiniatinklio"/>
        <w:shd w:val="clear" w:color="auto" w:fill="FFFFFF"/>
        <w:spacing w:line="234" w:lineRule="atLeast"/>
        <w:rPr>
          <w:sz w:val="22"/>
          <w:lang w:val="lt-LT"/>
        </w:rPr>
      </w:pPr>
      <w:r w:rsidRPr="00842A24">
        <w:rPr>
          <w:sz w:val="22"/>
          <w:lang w:val="lt-LT"/>
        </w:rPr>
        <w:lastRenderedPageBreak/>
        <w:t xml:space="preserve">Papildomai, eksemestanas reikšmingai prailgino išgyvenamumą be krūties vėžio (rizikos santykis </w:t>
      </w:r>
      <w:r w:rsidR="00F4612E" w:rsidRPr="00842A24">
        <w:rPr>
          <w:sz w:val="22"/>
          <w:lang w:val="lt-LT"/>
        </w:rPr>
        <w:t>0</w:t>
      </w:r>
      <w:r w:rsidRPr="00842A24">
        <w:rPr>
          <w:sz w:val="22"/>
          <w:lang w:val="lt-LT"/>
        </w:rPr>
        <w:t>,</w:t>
      </w:r>
      <w:r w:rsidR="00F4612E" w:rsidRPr="00842A24">
        <w:rPr>
          <w:sz w:val="22"/>
          <w:lang w:val="lt-LT"/>
        </w:rPr>
        <w:t>83, p&lt;0</w:t>
      </w:r>
      <w:r w:rsidRPr="00842A24">
        <w:rPr>
          <w:sz w:val="22"/>
          <w:lang w:val="lt-LT"/>
        </w:rPr>
        <w:t>,00152)</w:t>
      </w:r>
      <w:r w:rsidR="00F4612E" w:rsidRPr="00842A24">
        <w:rPr>
          <w:sz w:val="22"/>
          <w:lang w:val="lt-LT"/>
        </w:rPr>
        <w:t xml:space="preserve"> </w:t>
      </w:r>
      <w:r w:rsidRPr="00842A24">
        <w:rPr>
          <w:sz w:val="22"/>
          <w:lang w:val="lt-LT"/>
        </w:rPr>
        <w:t xml:space="preserve">ir išgyvenamumo be atokaus ligos pasikartojimo (rizikos santykis </w:t>
      </w:r>
      <w:r w:rsidR="00F4612E" w:rsidRPr="00842A24">
        <w:rPr>
          <w:sz w:val="22"/>
          <w:lang w:val="lt-LT"/>
        </w:rPr>
        <w:t>0</w:t>
      </w:r>
      <w:r w:rsidRPr="00842A24">
        <w:rPr>
          <w:sz w:val="22"/>
          <w:lang w:val="lt-LT"/>
        </w:rPr>
        <w:t>,</w:t>
      </w:r>
      <w:r w:rsidR="00F4612E" w:rsidRPr="00842A24">
        <w:rPr>
          <w:sz w:val="22"/>
          <w:lang w:val="lt-LT"/>
        </w:rPr>
        <w:t>86, p = 0</w:t>
      </w:r>
      <w:r w:rsidRPr="00842A24">
        <w:rPr>
          <w:sz w:val="22"/>
          <w:lang w:val="lt-LT"/>
        </w:rPr>
        <w:t>,</w:t>
      </w:r>
      <w:r w:rsidR="00F4612E" w:rsidRPr="00842A24">
        <w:rPr>
          <w:sz w:val="22"/>
          <w:lang w:val="lt-LT"/>
        </w:rPr>
        <w:t xml:space="preserve">02213). </w:t>
      </w:r>
      <w:r w:rsidRPr="00842A24">
        <w:rPr>
          <w:sz w:val="22"/>
          <w:lang w:val="lt-LT"/>
        </w:rPr>
        <w:t xml:space="preserve">Eksemestanas taip pat sumažino riziką susirgti kitos krūties vėžiu, nors poveikis šiuo stebėtu tyrimo laikotarpiu nebebuvo statistiškai reikšmingas (rizikos santykis </w:t>
      </w:r>
      <w:r w:rsidR="00F4612E" w:rsidRPr="00842A24">
        <w:rPr>
          <w:sz w:val="22"/>
          <w:lang w:val="lt-LT"/>
        </w:rPr>
        <w:t>0</w:t>
      </w:r>
      <w:r w:rsidRPr="00842A24">
        <w:rPr>
          <w:sz w:val="22"/>
          <w:lang w:val="lt-LT"/>
        </w:rPr>
        <w:t>,</w:t>
      </w:r>
      <w:r w:rsidR="00F4612E" w:rsidRPr="00842A24">
        <w:rPr>
          <w:sz w:val="22"/>
          <w:lang w:val="lt-LT"/>
        </w:rPr>
        <w:t>75, p = 0</w:t>
      </w:r>
      <w:r w:rsidRPr="00842A24">
        <w:rPr>
          <w:sz w:val="22"/>
          <w:lang w:val="lt-LT"/>
        </w:rPr>
        <w:t>,</w:t>
      </w:r>
      <w:r w:rsidR="00F4612E" w:rsidRPr="00842A24">
        <w:rPr>
          <w:sz w:val="22"/>
          <w:lang w:val="lt-LT"/>
        </w:rPr>
        <w:t>10707).</w:t>
      </w:r>
    </w:p>
    <w:p w14:paraId="433A3175" w14:textId="77777777" w:rsidR="00F4612E" w:rsidRPr="00842A24" w:rsidRDefault="007A2DD7" w:rsidP="00F4612E">
      <w:pPr>
        <w:pStyle w:val="prastasiniatinklio"/>
        <w:shd w:val="clear" w:color="auto" w:fill="FFFFFF"/>
        <w:spacing w:line="234" w:lineRule="atLeast"/>
        <w:rPr>
          <w:sz w:val="22"/>
          <w:szCs w:val="22"/>
          <w:lang w:val="lt-LT"/>
        </w:rPr>
      </w:pPr>
      <w:r w:rsidRPr="00842A24">
        <w:rPr>
          <w:sz w:val="22"/>
          <w:szCs w:val="22"/>
          <w:lang w:val="lt-LT"/>
        </w:rPr>
        <w:t>Vertinant vis</w:t>
      </w:r>
      <w:r w:rsidR="00770914" w:rsidRPr="00842A24">
        <w:rPr>
          <w:sz w:val="22"/>
          <w:szCs w:val="22"/>
          <w:lang w:val="lt-LT"/>
        </w:rPr>
        <w:t>ą</w:t>
      </w:r>
      <w:r w:rsidRPr="00842A24">
        <w:rPr>
          <w:sz w:val="22"/>
          <w:szCs w:val="22"/>
          <w:lang w:val="lt-LT"/>
        </w:rPr>
        <w:t xml:space="preserve"> tyrimo populiaciją, bendras dviejų grupių išgyvenamumas statistiškai nesiskyrė</w:t>
      </w:r>
      <w:r w:rsidR="00770914" w:rsidRPr="00842A24">
        <w:rPr>
          <w:sz w:val="22"/>
          <w:szCs w:val="22"/>
          <w:lang w:val="lt-LT"/>
        </w:rPr>
        <w:t xml:space="preserve"> –</w:t>
      </w:r>
      <w:r w:rsidRPr="00842A24">
        <w:rPr>
          <w:sz w:val="22"/>
          <w:szCs w:val="22"/>
          <w:lang w:val="lt-LT"/>
        </w:rPr>
        <w:t xml:space="preserve"> </w:t>
      </w:r>
      <w:r w:rsidR="00F4612E" w:rsidRPr="00842A24">
        <w:rPr>
          <w:sz w:val="22"/>
          <w:szCs w:val="22"/>
          <w:lang w:val="lt-LT"/>
        </w:rPr>
        <w:t xml:space="preserve">467 </w:t>
      </w:r>
      <w:r w:rsidR="00770914" w:rsidRPr="00842A24">
        <w:rPr>
          <w:sz w:val="22"/>
          <w:szCs w:val="22"/>
          <w:lang w:val="lt-LT"/>
        </w:rPr>
        <w:t>mirtys</w:t>
      </w:r>
      <w:r w:rsidR="00F4612E" w:rsidRPr="00842A24">
        <w:rPr>
          <w:sz w:val="22"/>
          <w:szCs w:val="22"/>
          <w:lang w:val="lt-LT"/>
        </w:rPr>
        <w:t xml:space="preserve"> (19</w:t>
      </w:r>
      <w:r w:rsidR="00770914" w:rsidRPr="00842A24">
        <w:rPr>
          <w:sz w:val="22"/>
          <w:szCs w:val="22"/>
          <w:lang w:val="lt-LT"/>
        </w:rPr>
        <w:t>,</w:t>
      </w:r>
      <w:r w:rsidR="00F4612E" w:rsidRPr="00842A24">
        <w:rPr>
          <w:sz w:val="22"/>
          <w:szCs w:val="22"/>
          <w:lang w:val="lt-LT"/>
        </w:rPr>
        <w:t>9</w:t>
      </w:r>
      <w:r w:rsidR="00770914" w:rsidRPr="00842A24">
        <w:rPr>
          <w:sz w:val="22"/>
          <w:szCs w:val="22"/>
          <w:lang w:val="lt-LT"/>
        </w:rPr>
        <w:t xml:space="preserve"> </w:t>
      </w:r>
      <w:r w:rsidR="00F4612E" w:rsidRPr="00842A24">
        <w:rPr>
          <w:sz w:val="22"/>
          <w:szCs w:val="22"/>
          <w:lang w:val="lt-LT"/>
        </w:rPr>
        <w:t xml:space="preserve">%) </w:t>
      </w:r>
      <w:r w:rsidR="00770914" w:rsidRPr="00842A24">
        <w:rPr>
          <w:sz w:val="22"/>
          <w:szCs w:val="22"/>
          <w:lang w:val="lt-LT"/>
        </w:rPr>
        <w:t xml:space="preserve">eksemetano grupėje ir </w:t>
      </w:r>
      <w:r w:rsidR="00F4612E" w:rsidRPr="00842A24">
        <w:rPr>
          <w:sz w:val="22"/>
          <w:szCs w:val="22"/>
          <w:lang w:val="lt-LT"/>
        </w:rPr>
        <w:t xml:space="preserve">510 </w:t>
      </w:r>
      <w:r w:rsidR="00770914" w:rsidRPr="00842A24">
        <w:rPr>
          <w:sz w:val="22"/>
          <w:szCs w:val="22"/>
          <w:lang w:val="lt-LT"/>
        </w:rPr>
        <w:t xml:space="preserve">mirčių </w:t>
      </w:r>
      <w:r w:rsidR="00F4612E" w:rsidRPr="00842A24">
        <w:rPr>
          <w:sz w:val="22"/>
          <w:szCs w:val="22"/>
          <w:lang w:val="lt-LT"/>
        </w:rPr>
        <w:t>(21</w:t>
      </w:r>
      <w:r w:rsidR="00770914" w:rsidRPr="00842A24">
        <w:rPr>
          <w:sz w:val="22"/>
          <w:szCs w:val="22"/>
          <w:lang w:val="lt-LT"/>
        </w:rPr>
        <w:t>,</w:t>
      </w:r>
      <w:r w:rsidR="00F4612E" w:rsidRPr="00842A24">
        <w:rPr>
          <w:sz w:val="22"/>
          <w:szCs w:val="22"/>
          <w:lang w:val="lt-LT"/>
        </w:rPr>
        <w:t>5</w:t>
      </w:r>
      <w:r w:rsidR="00770914" w:rsidRPr="00842A24">
        <w:rPr>
          <w:sz w:val="22"/>
          <w:szCs w:val="22"/>
          <w:lang w:val="lt-LT"/>
        </w:rPr>
        <w:t xml:space="preserve"> </w:t>
      </w:r>
      <w:r w:rsidR="00F4612E" w:rsidRPr="00842A24">
        <w:rPr>
          <w:sz w:val="22"/>
          <w:szCs w:val="22"/>
          <w:lang w:val="lt-LT"/>
        </w:rPr>
        <w:t xml:space="preserve">%) </w:t>
      </w:r>
      <w:r w:rsidR="00770914" w:rsidRPr="00842A24">
        <w:rPr>
          <w:sz w:val="22"/>
          <w:szCs w:val="22"/>
          <w:lang w:val="lt-LT"/>
        </w:rPr>
        <w:t xml:space="preserve">tamoksifeno grupėje </w:t>
      </w:r>
      <w:r w:rsidR="00F4612E" w:rsidRPr="00842A24">
        <w:rPr>
          <w:sz w:val="22"/>
          <w:szCs w:val="22"/>
          <w:lang w:val="lt-LT"/>
        </w:rPr>
        <w:t>(</w:t>
      </w:r>
      <w:r w:rsidR="00770914" w:rsidRPr="00842A24">
        <w:rPr>
          <w:sz w:val="22"/>
          <w:szCs w:val="22"/>
          <w:lang w:val="lt-LT"/>
        </w:rPr>
        <w:t xml:space="preserve">rizikos santykis </w:t>
      </w:r>
      <w:r w:rsidR="00F4612E" w:rsidRPr="00842A24">
        <w:rPr>
          <w:sz w:val="22"/>
          <w:szCs w:val="22"/>
          <w:lang w:val="lt-LT"/>
        </w:rPr>
        <w:t>0</w:t>
      </w:r>
      <w:r w:rsidR="00770914" w:rsidRPr="00842A24">
        <w:rPr>
          <w:sz w:val="22"/>
          <w:szCs w:val="22"/>
          <w:lang w:val="lt-LT"/>
        </w:rPr>
        <w:t>,</w:t>
      </w:r>
      <w:r w:rsidR="00F4612E" w:rsidRPr="00842A24">
        <w:rPr>
          <w:sz w:val="22"/>
          <w:szCs w:val="22"/>
          <w:lang w:val="lt-LT"/>
        </w:rPr>
        <w:t>91, p = 0</w:t>
      </w:r>
      <w:r w:rsidR="00770914" w:rsidRPr="00842A24">
        <w:rPr>
          <w:sz w:val="22"/>
          <w:szCs w:val="22"/>
          <w:lang w:val="lt-LT"/>
        </w:rPr>
        <w:t>,</w:t>
      </w:r>
      <w:r w:rsidR="00F4612E" w:rsidRPr="00842A24">
        <w:rPr>
          <w:sz w:val="22"/>
          <w:szCs w:val="22"/>
          <w:lang w:val="lt-LT"/>
        </w:rPr>
        <w:t xml:space="preserve">15737, </w:t>
      </w:r>
      <w:r w:rsidR="00770914" w:rsidRPr="00842A24">
        <w:rPr>
          <w:sz w:val="22"/>
          <w:szCs w:val="22"/>
          <w:lang w:val="lt-LT"/>
        </w:rPr>
        <w:t>nekoreguotas daugybiniu testavimu</w:t>
      </w:r>
      <w:r w:rsidR="00F4612E" w:rsidRPr="00842A24">
        <w:rPr>
          <w:sz w:val="22"/>
          <w:szCs w:val="22"/>
          <w:lang w:val="lt-LT"/>
        </w:rPr>
        <w:t xml:space="preserve">). </w:t>
      </w:r>
      <w:r w:rsidR="00770914" w:rsidRPr="00842A24">
        <w:rPr>
          <w:sz w:val="22"/>
          <w:lang w:val="lt-LT"/>
        </w:rPr>
        <w:t xml:space="preserve">Papildomos pacienčių, kurioms nustatyti teigiami estrogenų receptoriai, ar kurių estrogenų receptorių būklė nežinoma, poaibio analizės duomenimis, nekoreguoto bendrojo išgyvenamumo rizikos santykis buvo </w:t>
      </w:r>
      <w:r w:rsidR="00F4612E" w:rsidRPr="00842A24">
        <w:rPr>
          <w:sz w:val="22"/>
          <w:szCs w:val="22"/>
          <w:lang w:val="lt-LT"/>
        </w:rPr>
        <w:t>0</w:t>
      </w:r>
      <w:r w:rsidR="00770914" w:rsidRPr="00842A24">
        <w:rPr>
          <w:sz w:val="22"/>
          <w:szCs w:val="22"/>
          <w:lang w:val="lt-LT"/>
        </w:rPr>
        <w:t>,</w:t>
      </w:r>
      <w:r w:rsidR="00F4612E" w:rsidRPr="00842A24">
        <w:rPr>
          <w:sz w:val="22"/>
          <w:szCs w:val="22"/>
          <w:lang w:val="lt-LT"/>
        </w:rPr>
        <w:t>89 (</w:t>
      </w:r>
      <w:r w:rsidR="00F4612E" w:rsidRPr="00842A24">
        <w:rPr>
          <w:i/>
          <w:sz w:val="22"/>
          <w:szCs w:val="22"/>
          <w:lang w:val="lt-LT"/>
        </w:rPr>
        <w:t>log-rank</w:t>
      </w:r>
      <w:r w:rsidR="00F4612E" w:rsidRPr="00842A24">
        <w:rPr>
          <w:sz w:val="22"/>
          <w:szCs w:val="22"/>
          <w:lang w:val="lt-LT"/>
        </w:rPr>
        <w:t xml:space="preserve"> test</w:t>
      </w:r>
      <w:r w:rsidR="00770914" w:rsidRPr="00842A24">
        <w:rPr>
          <w:sz w:val="22"/>
          <w:szCs w:val="22"/>
          <w:lang w:val="lt-LT"/>
        </w:rPr>
        <w:t>as</w:t>
      </w:r>
      <w:r w:rsidR="00F4612E" w:rsidRPr="00842A24">
        <w:rPr>
          <w:sz w:val="22"/>
          <w:szCs w:val="22"/>
          <w:lang w:val="lt-LT"/>
        </w:rPr>
        <w:t>: p = 0</w:t>
      </w:r>
      <w:r w:rsidR="00770914" w:rsidRPr="00842A24">
        <w:rPr>
          <w:sz w:val="22"/>
          <w:szCs w:val="22"/>
          <w:lang w:val="lt-LT"/>
        </w:rPr>
        <w:t>,</w:t>
      </w:r>
      <w:r w:rsidR="00F4612E" w:rsidRPr="00842A24">
        <w:rPr>
          <w:sz w:val="22"/>
          <w:szCs w:val="22"/>
          <w:lang w:val="lt-LT"/>
        </w:rPr>
        <w:t xml:space="preserve">07881) </w:t>
      </w:r>
      <w:r w:rsidR="00770914" w:rsidRPr="00842A24">
        <w:rPr>
          <w:sz w:val="22"/>
          <w:szCs w:val="22"/>
          <w:lang w:val="lt-LT"/>
        </w:rPr>
        <w:t>eksemestano grupėje, lyginant su tamoksifeno grupe</w:t>
      </w:r>
      <w:r w:rsidR="00F4612E" w:rsidRPr="00842A24">
        <w:rPr>
          <w:sz w:val="22"/>
          <w:szCs w:val="22"/>
          <w:lang w:val="lt-LT"/>
        </w:rPr>
        <w:t>.</w:t>
      </w:r>
    </w:p>
    <w:p w14:paraId="2A8833EA" w14:textId="0C759170" w:rsidR="00F4612E" w:rsidRPr="00842A24" w:rsidRDefault="00770914" w:rsidP="00F4612E">
      <w:pPr>
        <w:pStyle w:val="prastasiniatinklio"/>
        <w:shd w:val="clear" w:color="auto" w:fill="FFFFFF"/>
        <w:spacing w:line="234" w:lineRule="atLeast"/>
        <w:rPr>
          <w:sz w:val="22"/>
          <w:szCs w:val="22"/>
          <w:lang w:val="lt-LT"/>
        </w:rPr>
      </w:pPr>
      <w:r w:rsidRPr="00842A24">
        <w:rPr>
          <w:sz w:val="22"/>
          <w:szCs w:val="22"/>
          <w:lang w:val="lt-LT"/>
        </w:rPr>
        <w:t>Vertinant vis</w:t>
      </w:r>
      <w:r w:rsidR="00026B41" w:rsidRPr="00842A24">
        <w:rPr>
          <w:sz w:val="22"/>
          <w:szCs w:val="22"/>
          <w:lang w:val="lt-LT"/>
        </w:rPr>
        <w:t>ą</w:t>
      </w:r>
      <w:r w:rsidRPr="00842A24">
        <w:rPr>
          <w:sz w:val="22"/>
          <w:szCs w:val="22"/>
          <w:lang w:val="lt-LT"/>
        </w:rPr>
        <w:t xml:space="preserve"> tyrimo populiaciją </w:t>
      </w:r>
      <w:r w:rsidR="006E39B7" w:rsidRPr="00842A24">
        <w:rPr>
          <w:sz w:val="22"/>
          <w:szCs w:val="22"/>
          <w:lang w:val="lt-LT"/>
        </w:rPr>
        <w:t xml:space="preserve">nustatytas </w:t>
      </w:r>
      <w:r w:rsidRPr="00842A24">
        <w:rPr>
          <w:sz w:val="22"/>
          <w:szCs w:val="22"/>
          <w:lang w:val="lt-LT"/>
        </w:rPr>
        <w:t xml:space="preserve">statistiškai reikšmingas </w:t>
      </w:r>
      <w:r w:rsidR="00F4612E" w:rsidRPr="00842A24">
        <w:rPr>
          <w:sz w:val="22"/>
          <w:szCs w:val="22"/>
          <w:lang w:val="lt-LT"/>
        </w:rPr>
        <w:t>14</w:t>
      </w:r>
      <w:r w:rsidRPr="00842A24">
        <w:rPr>
          <w:sz w:val="22"/>
          <w:szCs w:val="22"/>
          <w:lang w:val="lt-LT"/>
        </w:rPr>
        <w:t xml:space="preserve"> </w:t>
      </w:r>
      <w:r w:rsidR="00F4612E" w:rsidRPr="00842A24">
        <w:rPr>
          <w:sz w:val="22"/>
          <w:szCs w:val="22"/>
          <w:lang w:val="lt-LT"/>
        </w:rPr>
        <w:t xml:space="preserve">% </w:t>
      </w:r>
      <w:r w:rsidRPr="00842A24">
        <w:rPr>
          <w:sz w:val="22"/>
          <w:szCs w:val="22"/>
          <w:lang w:val="lt-LT"/>
        </w:rPr>
        <w:t>mirti</w:t>
      </w:r>
      <w:r w:rsidR="006E39B7" w:rsidRPr="00842A24">
        <w:rPr>
          <w:sz w:val="22"/>
          <w:szCs w:val="22"/>
          <w:lang w:val="lt-LT"/>
        </w:rPr>
        <w:t>es</w:t>
      </w:r>
      <w:r w:rsidRPr="00842A24">
        <w:rPr>
          <w:sz w:val="22"/>
          <w:szCs w:val="22"/>
          <w:lang w:val="lt-LT"/>
        </w:rPr>
        <w:t xml:space="preserve"> rizikos sumažėjimas </w:t>
      </w:r>
      <w:r w:rsidR="00F4612E" w:rsidRPr="00842A24">
        <w:rPr>
          <w:sz w:val="22"/>
          <w:szCs w:val="22"/>
          <w:lang w:val="lt-LT"/>
        </w:rPr>
        <w:t>(</w:t>
      </w:r>
      <w:r w:rsidR="006E39B7" w:rsidRPr="00842A24">
        <w:rPr>
          <w:sz w:val="22"/>
          <w:szCs w:val="22"/>
          <w:lang w:val="lt-LT"/>
        </w:rPr>
        <w:t>bendro i</w:t>
      </w:r>
      <w:r w:rsidR="000B25B3" w:rsidRPr="00842A24">
        <w:rPr>
          <w:sz w:val="22"/>
          <w:szCs w:val="22"/>
          <w:lang w:val="lt-LT"/>
        </w:rPr>
        <w:t>š</w:t>
      </w:r>
      <w:r w:rsidR="006E39B7" w:rsidRPr="00842A24">
        <w:rPr>
          <w:sz w:val="22"/>
          <w:szCs w:val="22"/>
          <w:lang w:val="lt-LT"/>
        </w:rPr>
        <w:t xml:space="preserve">gyvenamumo </w:t>
      </w:r>
      <w:r w:rsidRPr="00842A24">
        <w:rPr>
          <w:sz w:val="22"/>
          <w:szCs w:val="22"/>
          <w:lang w:val="lt-LT"/>
        </w:rPr>
        <w:t>rizikos santykis 0,</w:t>
      </w:r>
      <w:r w:rsidR="00F4612E" w:rsidRPr="00842A24">
        <w:rPr>
          <w:sz w:val="22"/>
          <w:szCs w:val="22"/>
          <w:lang w:val="lt-LT"/>
        </w:rPr>
        <w:t xml:space="preserve">86; </w:t>
      </w:r>
      <w:r w:rsidR="006E39B7" w:rsidRPr="00842A24">
        <w:rPr>
          <w:sz w:val="22"/>
          <w:szCs w:val="22"/>
          <w:lang w:val="lt-LT"/>
        </w:rPr>
        <w:t>chi kvadratu kriterijus</w:t>
      </w:r>
      <w:r w:rsidRPr="00842A24">
        <w:rPr>
          <w:sz w:val="22"/>
          <w:szCs w:val="22"/>
          <w:lang w:val="lt-LT"/>
        </w:rPr>
        <w:t>: p = 0,</w:t>
      </w:r>
      <w:r w:rsidR="00F4612E" w:rsidRPr="00842A24">
        <w:rPr>
          <w:sz w:val="22"/>
          <w:szCs w:val="22"/>
          <w:lang w:val="lt-LT"/>
        </w:rPr>
        <w:t xml:space="preserve">0257) </w:t>
      </w:r>
      <w:r w:rsidR="006E39B7" w:rsidRPr="00842A24">
        <w:rPr>
          <w:sz w:val="22"/>
          <w:szCs w:val="22"/>
          <w:lang w:val="lt-LT"/>
        </w:rPr>
        <w:t xml:space="preserve">gydantis </w:t>
      </w:r>
      <w:r w:rsidRPr="00842A24">
        <w:rPr>
          <w:sz w:val="22"/>
          <w:szCs w:val="22"/>
          <w:lang w:val="lt-LT"/>
        </w:rPr>
        <w:t>eksemestan</w:t>
      </w:r>
      <w:r w:rsidR="006E39B7" w:rsidRPr="00842A24">
        <w:rPr>
          <w:sz w:val="22"/>
          <w:szCs w:val="22"/>
          <w:lang w:val="lt-LT"/>
        </w:rPr>
        <w:t xml:space="preserve">u, </w:t>
      </w:r>
      <w:r w:rsidRPr="00842A24">
        <w:rPr>
          <w:sz w:val="22"/>
          <w:szCs w:val="22"/>
          <w:lang w:val="lt-LT"/>
        </w:rPr>
        <w:t>lyginant su tamoksife</w:t>
      </w:r>
      <w:r w:rsidR="006E39B7" w:rsidRPr="00842A24">
        <w:rPr>
          <w:sz w:val="22"/>
          <w:szCs w:val="22"/>
          <w:lang w:val="lt-LT"/>
        </w:rPr>
        <w:t>nu</w:t>
      </w:r>
      <w:r w:rsidRPr="00842A24">
        <w:rPr>
          <w:sz w:val="22"/>
          <w:szCs w:val="22"/>
          <w:lang w:val="lt-LT"/>
        </w:rPr>
        <w:t xml:space="preserve">, </w:t>
      </w:r>
      <w:r w:rsidR="006E39B7" w:rsidRPr="00842A24">
        <w:rPr>
          <w:sz w:val="22"/>
          <w:szCs w:val="22"/>
          <w:lang w:val="lt-LT"/>
        </w:rPr>
        <w:t>pagal iš anksto numatytus prognostinius veiksnius (pvz., estrogenų receptorių būklę, limfmazgių būklę, anksčiau taikytą chemoterapiją, taikomą pakeičiamąją hormonų terapiją ir bisfosfonatų vartojimą</w:t>
      </w:r>
      <w:r w:rsidR="00F4612E" w:rsidRPr="00842A24">
        <w:rPr>
          <w:sz w:val="22"/>
          <w:szCs w:val="22"/>
          <w:lang w:val="lt-LT"/>
        </w:rPr>
        <w:t>).</w:t>
      </w:r>
    </w:p>
    <w:p w14:paraId="463C6CC0" w14:textId="77777777" w:rsidR="00F4612E" w:rsidRPr="00842A24" w:rsidRDefault="006E39B7" w:rsidP="00F4612E">
      <w:pPr>
        <w:pStyle w:val="prastasiniatinklio"/>
        <w:shd w:val="clear" w:color="auto" w:fill="FFFFFF"/>
        <w:spacing w:line="234" w:lineRule="atLeast"/>
        <w:rPr>
          <w:sz w:val="22"/>
          <w:szCs w:val="22"/>
          <w:lang w:val="lt-LT"/>
        </w:rPr>
      </w:pPr>
      <w:r w:rsidRPr="00842A24">
        <w:rPr>
          <w:sz w:val="22"/>
          <w:szCs w:val="22"/>
          <w:lang w:val="lt-LT"/>
        </w:rPr>
        <w:t>Eksemestanu gydyt</w:t>
      </w:r>
      <w:r w:rsidR="00026B41" w:rsidRPr="00842A24">
        <w:rPr>
          <w:sz w:val="22"/>
          <w:szCs w:val="22"/>
          <w:lang w:val="lt-LT"/>
        </w:rPr>
        <w:t>oms pacientė</w:t>
      </w:r>
      <w:r w:rsidRPr="00842A24">
        <w:rPr>
          <w:sz w:val="22"/>
          <w:szCs w:val="22"/>
          <w:lang w:val="lt-LT"/>
        </w:rPr>
        <w:t>ms buvo nustatytas rečiau pasireiškiantis kitas antrinis (ne krūties) pirminis vėžys lyginant s</w:t>
      </w:r>
      <w:r w:rsidR="00026B41" w:rsidRPr="00842A24">
        <w:rPr>
          <w:sz w:val="22"/>
          <w:szCs w:val="22"/>
          <w:lang w:val="lt-LT"/>
        </w:rPr>
        <w:t>u vien tamoksifenu gydytomis pacientėmis</w:t>
      </w:r>
      <w:r w:rsidRPr="00842A24">
        <w:rPr>
          <w:sz w:val="22"/>
          <w:szCs w:val="22"/>
          <w:lang w:val="lt-LT"/>
        </w:rPr>
        <w:t xml:space="preserve"> </w:t>
      </w:r>
      <w:r w:rsidR="00F4612E" w:rsidRPr="00842A24">
        <w:rPr>
          <w:sz w:val="22"/>
          <w:szCs w:val="22"/>
          <w:lang w:val="lt-LT"/>
        </w:rPr>
        <w:t>(9</w:t>
      </w:r>
      <w:r w:rsidRPr="00842A24">
        <w:rPr>
          <w:sz w:val="22"/>
          <w:szCs w:val="22"/>
          <w:lang w:val="lt-LT"/>
        </w:rPr>
        <w:t>,</w:t>
      </w:r>
      <w:r w:rsidR="00F4612E" w:rsidRPr="00842A24">
        <w:rPr>
          <w:sz w:val="22"/>
          <w:szCs w:val="22"/>
          <w:lang w:val="lt-LT"/>
        </w:rPr>
        <w:t>9</w:t>
      </w:r>
      <w:r w:rsidRPr="00842A24">
        <w:rPr>
          <w:sz w:val="22"/>
          <w:szCs w:val="22"/>
          <w:lang w:val="lt-LT"/>
        </w:rPr>
        <w:t xml:space="preserve"> </w:t>
      </w:r>
      <w:r w:rsidR="00F4612E" w:rsidRPr="00842A24">
        <w:rPr>
          <w:sz w:val="22"/>
          <w:szCs w:val="22"/>
          <w:lang w:val="lt-LT"/>
        </w:rPr>
        <w:t xml:space="preserve">% </w:t>
      </w:r>
      <w:r w:rsidRPr="00842A24">
        <w:rPr>
          <w:sz w:val="22"/>
          <w:szCs w:val="22"/>
          <w:lang w:val="lt-LT"/>
        </w:rPr>
        <w:t>ir</w:t>
      </w:r>
      <w:r w:rsidR="00F4612E" w:rsidRPr="00842A24">
        <w:rPr>
          <w:sz w:val="22"/>
          <w:szCs w:val="22"/>
          <w:lang w:val="lt-LT"/>
        </w:rPr>
        <w:t xml:space="preserve"> 12</w:t>
      </w:r>
      <w:r w:rsidRPr="00842A24">
        <w:rPr>
          <w:sz w:val="22"/>
          <w:szCs w:val="22"/>
          <w:lang w:val="lt-LT"/>
        </w:rPr>
        <w:t>,</w:t>
      </w:r>
      <w:r w:rsidR="00F4612E" w:rsidRPr="00842A24">
        <w:rPr>
          <w:sz w:val="22"/>
          <w:szCs w:val="22"/>
          <w:lang w:val="lt-LT"/>
        </w:rPr>
        <w:t>4</w:t>
      </w:r>
      <w:r w:rsidRPr="00842A24">
        <w:rPr>
          <w:sz w:val="22"/>
          <w:szCs w:val="22"/>
          <w:lang w:val="lt-LT"/>
        </w:rPr>
        <w:t xml:space="preserve"> </w:t>
      </w:r>
      <w:r w:rsidR="00F4612E" w:rsidRPr="00842A24">
        <w:rPr>
          <w:sz w:val="22"/>
          <w:szCs w:val="22"/>
          <w:lang w:val="lt-LT"/>
        </w:rPr>
        <w:t>%).</w:t>
      </w:r>
    </w:p>
    <w:p w14:paraId="1724EC4D" w14:textId="77777777" w:rsidR="00F4612E" w:rsidRPr="00842A24" w:rsidRDefault="00B7741C" w:rsidP="00F4612E">
      <w:pPr>
        <w:pStyle w:val="prastasiniatinklio"/>
        <w:shd w:val="clear" w:color="auto" w:fill="FFFFFF"/>
        <w:spacing w:before="0" w:beforeAutospacing="0" w:after="0" w:afterAutospacing="0" w:line="234" w:lineRule="atLeast"/>
        <w:rPr>
          <w:sz w:val="22"/>
          <w:szCs w:val="22"/>
          <w:lang w:val="lt-LT"/>
        </w:rPr>
      </w:pPr>
      <w:r w:rsidRPr="00842A24">
        <w:rPr>
          <w:sz w:val="22"/>
          <w:szCs w:val="22"/>
          <w:lang w:val="lt-LT"/>
        </w:rPr>
        <w:t xml:space="preserve">Pagrindinio ir tolimesnio vidutiniškai 119 mėnesius trukusio visų pacientų tyrimo metu </w:t>
      </w:r>
      <w:r w:rsidR="00F4612E" w:rsidRPr="00842A24">
        <w:rPr>
          <w:sz w:val="22"/>
          <w:szCs w:val="22"/>
          <w:lang w:val="lt-LT"/>
        </w:rPr>
        <w:t>(0–163</w:t>
      </w:r>
      <w:r w:rsidRPr="00842A24">
        <w:rPr>
          <w:sz w:val="22"/>
          <w:szCs w:val="22"/>
          <w:lang w:val="lt-LT"/>
        </w:rPr>
        <w:t>,</w:t>
      </w:r>
      <w:r w:rsidR="00F4612E" w:rsidRPr="00842A24">
        <w:rPr>
          <w:sz w:val="22"/>
          <w:szCs w:val="22"/>
          <w:lang w:val="lt-LT"/>
        </w:rPr>
        <w:t xml:space="preserve">94) </w:t>
      </w:r>
      <w:r w:rsidR="00026B41" w:rsidRPr="00842A24">
        <w:rPr>
          <w:sz w:val="22"/>
          <w:szCs w:val="22"/>
          <w:lang w:val="lt-LT"/>
        </w:rPr>
        <w:t>ir vidutinio 30 mėnesių trukmės gydymo eksemestanu metu</w:t>
      </w:r>
      <w:r w:rsidR="00F4612E" w:rsidRPr="00842A24">
        <w:rPr>
          <w:sz w:val="22"/>
          <w:szCs w:val="22"/>
          <w:lang w:val="lt-LT"/>
        </w:rPr>
        <w:t xml:space="preserve"> (0–</w:t>
      </w:r>
      <w:r w:rsidR="00026B41" w:rsidRPr="00842A24">
        <w:rPr>
          <w:sz w:val="22"/>
          <w:szCs w:val="22"/>
          <w:lang w:val="lt-LT"/>
        </w:rPr>
        <w:t>40,</w:t>
      </w:r>
      <w:r w:rsidR="00F4612E" w:rsidRPr="00842A24">
        <w:rPr>
          <w:sz w:val="22"/>
          <w:szCs w:val="22"/>
          <w:lang w:val="lt-LT"/>
        </w:rPr>
        <w:t xml:space="preserve">41), </w:t>
      </w:r>
      <w:r w:rsidR="00026B41" w:rsidRPr="00842A24">
        <w:rPr>
          <w:sz w:val="22"/>
          <w:szCs w:val="22"/>
          <w:lang w:val="lt-LT"/>
        </w:rPr>
        <w:t xml:space="preserve">kaulų lūžiai buvo nustatyti </w:t>
      </w:r>
      <w:r w:rsidR="00F4612E" w:rsidRPr="00842A24">
        <w:rPr>
          <w:sz w:val="22"/>
          <w:szCs w:val="22"/>
          <w:lang w:val="lt-LT"/>
        </w:rPr>
        <w:t>169 (7</w:t>
      </w:r>
      <w:r w:rsidR="00026B41" w:rsidRPr="00842A24">
        <w:rPr>
          <w:sz w:val="22"/>
          <w:szCs w:val="22"/>
          <w:lang w:val="lt-LT"/>
        </w:rPr>
        <w:t>,</w:t>
      </w:r>
      <w:r w:rsidR="00F4612E" w:rsidRPr="00842A24">
        <w:rPr>
          <w:sz w:val="22"/>
          <w:szCs w:val="22"/>
          <w:lang w:val="lt-LT"/>
        </w:rPr>
        <w:t>3</w:t>
      </w:r>
      <w:r w:rsidR="00026B41" w:rsidRPr="00842A24">
        <w:rPr>
          <w:sz w:val="22"/>
          <w:szCs w:val="22"/>
          <w:lang w:val="lt-LT"/>
        </w:rPr>
        <w:t xml:space="preserve"> </w:t>
      </w:r>
      <w:r w:rsidR="00F4612E" w:rsidRPr="00842A24">
        <w:rPr>
          <w:sz w:val="22"/>
          <w:szCs w:val="22"/>
          <w:lang w:val="lt-LT"/>
        </w:rPr>
        <w:t>%) pa</w:t>
      </w:r>
      <w:r w:rsidR="00026B41" w:rsidRPr="00842A24">
        <w:rPr>
          <w:sz w:val="22"/>
          <w:szCs w:val="22"/>
          <w:lang w:val="lt-LT"/>
        </w:rPr>
        <w:t xml:space="preserve">cientėms eksemetano grupėje lyginant su </w:t>
      </w:r>
      <w:r w:rsidR="00F4612E" w:rsidRPr="00842A24">
        <w:rPr>
          <w:sz w:val="22"/>
          <w:szCs w:val="22"/>
          <w:lang w:val="lt-LT"/>
        </w:rPr>
        <w:t>122 (5</w:t>
      </w:r>
      <w:r w:rsidR="00026B41" w:rsidRPr="00842A24">
        <w:rPr>
          <w:sz w:val="22"/>
          <w:szCs w:val="22"/>
          <w:lang w:val="lt-LT"/>
        </w:rPr>
        <w:t>,</w:t>
      </w:r>
      <w:r w:rsidR="00F4612E" w:rsidRPr="00842A24">
        <w:rPr>
          <w:sz w:val="22"/>
          <w:szCs w:val="22"/>
          <w:lang w:val="lt-LT"/>
        </w:rPr>
        <w:t>2</w:t>
      </w:r>
      <w:r w:rsidR="00026B41" w:rsidRPr="00842A24">
        <w:rPr>
          <w:sz w:val="22"/>
          <w:szCs w:val="22"/>
          <w:lang w:val="lt-LT"/>
        </w:rPr>
        <w:t xml:space="preserve"> </w:t>
      </w:r>
      <w:r w:rsidR="00F4612E" w:rsidRPr="00842A24">
        <w:rPr>
          <w:sz w:val="22"/>
          <w:szCs w:val="22"/>
          <w:lang w:val="lt-LT"/>
        </w:rPr>
        <w:t xml:space="preserve">%) </w:t>
      </w:r>
      <w:r w:rsidR="00026B41" w:rsidRPr="00842A24">
        <w:rPr>
          <w:sz w:val="22"/>
          <w:szCs w:val="22"/>
          <w:lang w:val="lt-LT"/>
        </w:rPr>
        <w:t xml:space="preserve">pacientėmis tamoksifeno grupėje </w:t>
      </w:r>
      <w:r w:rsidR="00F4612E" w:rsidRPr="00842A24">
        <w:rPr>
          <w:sz w:val="22"/>
          <w:szCs w:val="22"/>
          <w:lang w:val="lt-LT"/>
        </w:rPr>
        <w:t>(p=0</w:t>
      </w:r>
      <w:r w:rsidR="00026B41" w:rsidRPr="00842A24">
        <w:rPr>
          <w:sz w:val="22"/>
          <w:szCs w:val="22"/>
          <w:lang w:val="lt-LT"/>
        </w:rPr>
        <w:t>,</w:t>
      </w:r>
      <w:r w:rsidR="00F4612E" w:rsidRPr="00842A24">
        <w:rPr>
          <w:sz w:val="22"/>
          <w:szCs w:val="22"/>
          <w:lang w:val="lt-LT"/>
        </w:rPr>
        <w:t>004).</w:t>
      </w:r>
    </w:p>
    <w:p w14:paraId="7E8A04AF" w14:textId="77777777" w:rsidR="00F4612E" w:rsidRPr="00842A24" w:rsidRDefault="00F4612E" w:rsidP="00F4612E">
      <w:pPr>
        <w:pStyle w:val="prastasiniatinklio"/>
        <w:shd w:val="clear" w:color="auto" w:fill="FFFFFF"/>
        <w:spacing w:before="0" w:beforeAutospacing="0" w:after="0" w:afterAutospacing="0" w:line="234" w:lineRule="atLeast"/>
        <w:rPr>
          <w:sz w:val="22"/>
          <w:szCs w:val="22"/>
          <w:u w:val="single"/>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1678"/>
        <w:gridCol w:w="1722"/>
        <w:gridCol w:w="2109"/>
        <w:gridCol w:w="1506"/>
      </w:tblGrid>
      <w:tr w:rsidR="00F4612E" w:rsidRPr="00842A24" w14:paraId="06625AC5" w14:textId="77777777" w:rsidTr="00695E53">
        <w:trPr>
          <w:trHeight w:val="571"/>
        </w:trPr>
        <w:tc>
          <w:tcPr>
            <w:tcW w:w="5000" w:type="pct"/>
            <w:gridSpan w:val="5"/>
            <w:shd w:val="clear" w:color="auto" w:fill="auto"/>
          </w:tcPr>
          <w:p w14:paraId="0FE2AF0E" w14:textId="77777777" w:rsidR="00F4612E" w:rsidRPr="00842A24" w:rsidRDefault="00026B41" w:rsidP="00026B41">
            <w:pPr>
              <w:pStyle w:val="TableParagraph"/>
              <w:spacing w:before="89"/>
              <w:ind w:left="28"/>
              <w:rPr>
                <w:rFonts w:ascii="Times New Roman" w:eastAsia="Arial" w:hAnsi="Times New Roman"/>
                <w:lang w:val="lt-LT"/>
              </w:rPr>
            </w:pPr>
            <w:r w:rsidRPr="00842A24">
              <w:rPr>
                <w:rFonts w:ascii="Times New Roman" w:hAnsi="Times New Roman"/>
                <w:b/>
                <w:lang w:val="lt-LT"/>
              </w:rPr>
              <w:t>IES veiksmingumo rezultatai ankstyvuoju krūties vėžiu (ITT) sergančioms pomenopauzinės būklės moterims</w:t>
            </w:r>
          </w:p>
        </w:tc>
      </w:tr>
      <w:tr w:rsidR="005B672A" w:rsidRPr="00842A24" w14:paraId="7CE16BA4" w14:textId="77777777" w:rsidTr="00695E53">
        <w:trPr>
          <w:trHeight w:val="571"/>
        </w:trPr>
        <w:tc>
          <w:tcPr>
            <w:tcW w:w="1160" w:type="pct"/>
            <w:vMerge w:val="restart"/>
            <w:shd w:val="clear" w:color="auto" w:fill="auto"/>
          </w:tcPr>
          <w:p w14:paraId="0640F144" w14:textId="77777777" w:rsidR="00F4612E" w:rsidRPr="00842A24" w:rsidRDefault="00F4612E" w:rsidP="0089425E">
            <w:pPr>
              <w:rPr>
                <w:szCs w:val="22"/>
              </w:rPr>
            </w:pPr>
          </w:p>
        </w:tc>
        <w:tc>
          <w:tcPr>
            <w:tcW w:w="1831" w:type="pct"/>
            <w:gridSpan w:val="2"/>
            <w:shd w:val="clear" w:color="auto" w:fill="auto"/>
          </w:tcPr>
          <w:p w14:paraId="04746BF0" w14:textId="77777777" w:rsidR="00F4612E" w:rsidRPr="00842A24" w:rsidRDefault="00026B41" w:rsidP="00026B41">
            <w:pPr>
              <w:pStyle w:val="TableParagraph"/>
              <w:spacing w:before="89"/>
              <w:ind w:left="805"/>
              <w:rPr>
                <w:rFonts w:ascii="Times New Roman" w:eastAsia="Arial" w:hAnsi="Times New Roman"/>
                <w:lang w:val="lt-LT"/>
              </w:rPr>
            </w:pPr>
            <w:r w:rsidRPr="00842A24">
              <w:rPr>
                <w:rFonts w:ascii="Times New Roman" w:hAnsi="Times New Roman"/>
                <w:b/>
                <w:lang w:val="lt-LT"/>
              </w:rPr>
              <w:t>Atvejų skaičius</w:t>
            </w:r>
          </w:p>
        </w:tc>
        <w:tc>
          <w:tcPr>
            <w:tcW w:w="2009" w:type="pct"/>
            <w:gridSpan w:val="2"/>
            <w:shd w:val="clear" w:color="auto" w:fill="auto"/>
          </w:tcPr>
          <w:p w14:paraId="015D8C71" w14:textId="77777777" w:rsidR="00F4612E" w:rsidRPr="00842A24" w:rsidRDefault="00026B41" w:rsidP="00026B41">
            <w:pPr>
              <w:pStyle w:val="TableParagraph"/>
              <w:spacing w:before="89"/>
              <w:jc w:val="center"/>
              <w:rPr>
                <w:rFonts w:ascii="Times New Roman" w:eastAsia="Arial" w:hAnsi="Times New Roman"/>
                <w:lang w:val="lt-LT"/>
              </w:rPr>
            </w:pPr>
            <w:r w:rsidRPr="00842A24">
              <w:rPr>
                <w:rFonts w:ascii="Times New Roman" w:hAnsi="Times New Roman"/>
                <w:b/>
                <w:lang w:val="lt-LT"/>
              </w:rPr>
              <w:t>Rizikos koeficientas</w:t>
            </w:r>
          </w:p>
        </w:tc>
      </w:tr>
      <w:tr w:rsidR="00C167DB" w:rsidRPr="00842A24" w14:paraId="3C69CB89" w14:textId="77777777" w:rsidTr="005B672A">
        <w:trPr>
          <w:trHeight w:val="571"/>
        </w:trPr>
        <w:tc>
          <w:tcPr>
            <w:tcW w:w="1160" w:type="pct"/>
            <w:vMerge/>
            <w:shd w:val="clear" w:color="auto" w:fill="auto"/>
          </w:tcPr>
          <w:p w14:paraId="6EEB734E" w14:textId="77777777" w:rsidR="00F4612E" w:rsidRPr="00842A24" w:rsidRDefault="00F4612E" w:rsidP="0089425E">
            <w:pPr>
              <w:rPr>
                <w:szCs w:val="22"/>
              </w:rPr>
            </w:pPr>
          </w:p>
        </w:tc>
        <w:tc>
          <w:tcPr>
            <w:tcW w:w="904" w:type="pct"/>
            <w:shd w:val="clear" w:color="auto" w:fill="auto"/>
          </w:tcPr>
          <w:p w14:paraId="59B35EF6" w14:textId="77777777" w:rsidR="00F4612E" w:rsidRPr="00842A24" w:rsidRDefault="00F4612E" w:rsidP="00026B41">
            <w:pPr>
              <w:pStyle w:val="TableParagraph"/>
              <w:spacing w:before="89"/>
              <w:ind w:left="141"/>
              <w:rPr>
                <w:rFonts w:ascii="Times New Roman" w:eastAsia="Arial" w:hAnsi="Times New Roman"/>
                <w:lang w:val="lt-LT"/>
              </w:rPr>
            </w:pPr>
            <w:r w:rsidRPr="00842A24">
              <w:rPr>
                <w:rFonts w:ascii="Times New Roman" w:hAnsi="Times New Roman"/>
                <w:b/>
                <w:lang w:val="lt-LT"/>
              </w:rPr>
              <w:t>E</w:t>
            </w:r>
            <w:r w:rsidR="00026B41" w:rsidRPr="00842A24">
              <w:rPr>
                <w:rFonts w:ascii="Times New Roman" w:hAnsi="Times New Roman"/>
                <w:b/>
                <w:lang w:val="lt-LT"/>
              </w:rPr>
              <w:t>ks</w:t>
            </w:r>
            <w:r w:rsidRPr="00842A24">
              <w:rPr>
                <w:rFonts w:ascii="Times New Roman" w:hAnsi="Times New Roman"/>
                <w:b/>
                <w:lang w:val="lt-LT"/>
              </w:rPr>
              <w:t>emestan</w:t>
            </w:r>
            <w:r w:rsidR="00026B41" w:rsidRPr="00842A24">
              <w:rPr>
                <w:rFonts w:ascii="Times New Roman" w:hAnsi="Times New Roman"/>
                <w:b/>
                <w:lang w:val="lt-LT"/>
              </w:rPr>
              <w:t>as</w:t>
            </w:r>
          </w:p>
        </w:tc>
        <w:tc>
          <w:tcPr>
            <w:tcW w:w="927" w:type="pct"/>
            <w:shd w:val="clear" w:color="auto" w:fill="auto"/>
          </w:tcPr>
          <w:p w14:paraId="514EE54C" w14:textId="77777777" w:rsidR="00F4612E" w:rsidRPr="00842A24" w:rsidRDefault="00F4612E" w:rsidP="00026B41">
            <w:pPr>
              <w:pStyle w:val="TableParagraph"/>
              <w:spacing w:before="89"/>
              <w:ind w:left="222"/>
              <w:rPr>
                <w:rFonts w:ascii="Times New Roman" w:eastAsia="Arial" w:hAnsi="Times New Roman"/>
                <w:lang w:val="lt-LT"/>
              </w:rPr>
            </w:pPr>
            <w:r w:rsidRPr="00842A24">
              <w:rPr>
                <w:rFonts w:ascii="Times New Roman" w:hAnsi="Times New Roman"/>
                <w:b/>
                <w:spacing w:val="-2"/>
                <w:lang w:val="lt-LT"/>
              </w:rPr>
              <w:t>Tamo</w:t>
            </w:r>
            <w:r w:rsidR="00026B41" w:rsidRPr="00842A24">
              <w:rPr>
                <w:rFonts w:ascii="Times New Roman" w:hAnsi="Times New Roman"/>
                <w:b/>
                <w:spacing w:val="-2"/>
                <w:lang w:val="lt-LT"/>
              </w:rPr>
              <w:t>ks</w:t>
            </w:r>
            <w:r w:rsidRPr="00842A24">
              <w:rPr>
                <w:rFonts w:ascii="Times New Roman" w:hAnsi="Times New Roman"/>
                <w:b/>
                <w:spacing w:val="-2"/>
                <w:lang w:val="lt-LT"/>
              </w:rPr>
              <w:t>ifen</w:t>
            </w:r>
            <w:r w:rsidR="00026B41" w:rsidRPr="00842A24">
              <w:rPr>
                <w:rFonts w:ascii="Times New Roman" w:hAnsi="Times New Roman"/>
                <w:b/>
                <w:spacing w:val="-2"/>
                <w:lang w:val="lt-LT"/>
              </w:rPr>
              <w:t>as</w:t>
            </w:r>
          </w:p>
        </w:tc>
        <w:tc>
          <w:tcPr>
            <w:tcW w:w="1165" w:type="pct"/>
            <w:shd w:val="clear" w:color="auto" w:fill="auto"/>
          </w:tcPr>
          <w:p w14:paraId="5ABF7DF5" w14:textId="77777777" w:rsidR="00F4612E" w:rsidRPr="00842A24" w:rsidRDefault="00026B41" w:rsidP="00026B41">
            <w:pPr>
              <w:pStyle w:val="TableParagraph"/>
              <w:spacing w:before="89"/>
              <w:ind w:left="780"/>
              <w:rPr>
                <w:rFonts w:ascii="Times New Roman" w:eastAsia="Arial" w:hAnsi="Times New Roman"/>
                <w:lang w:val="lt-LT"/>
              </w:rPr>
            </w:pPr>
            <w:r w:rsidRPr="00842A24">
              <w:rPr>
                <w:rFonts w:ascii="Times New Roman" w:hAnsi="Times New Roman"/>
                <w:b/>
                <w:lang w:val="lt-LT"/>
              </w:rPr>
              <w:t>Rizikos koeficientas</w:t>
            </w:r>
          </w:p>
        </w:tc>
        <w:tc>
          <w:tcPr>
            <w:tcW w:w="844" w:type="pct"/>
            <w:shd w:val="clear" w:color="auto" w:fill="auto"/>
          </w:tcPr>
          <w:p w14:paraId="7F5008AD" w14:textId="77777777" w:rsidR="00F4612E" w:rsidRPr="00842A24" w:rsidRDefault="00026B41" w:rsidP="00026B41">
            <w:pPr>
              <w:pStyle w:val="TableParagraph"/>
              <w:spacing w:before="89"/>
              <w:ind w:left="518"/>
              <w:rPr>
                <w:rFonts w:ascii="Times New Roman" w:eastAsia="Arial" w:hAnsi="Times New Roman"/>
                <w:lang w:val="lt-LT"/>
              </w:rPr>
            </w:pPr>
            <w:r w:rsidRPr="00842A24">
              <w:rPr>
                <w:rFonts w:ascii="Times New Roman" w:hAnsi="Times New Roman"/>
                <w:b/>
                <w:lang w:val="lt-LT"/>
              </w:rPr>
              <w:t>p reikšmė</w:t>
            </w:r>
          </w:p>
        </w:tc>
      </w:tr>
      <w:tr w:rsidR="00F4612E" w:rsidRPr="00842A24" w14:paraId="67FBE4F7" w14:textId="77777777" w:rsidTr="00695E53">
        <w:trPr>
          <w:trHeight w:val="571"/>
        </w:trPr>
        <w:tc>
          <w:tcPr>
            <w:tcW w:w="5000" w:type="pct"/>
            <w:gridSpan w:val="5"/>
            <w:shd w:val="clear" w:color="auto" w:fill="auto"/>
          </w:tcPr>
          <w:p w14:paraId="41B215D2" w14:textId="77777777" w:rsidR="00F4612E" w:rsidRPr="00842A24" w:rsidRDefault="00026B41" w:rsidP="00026B41">
            <w:pPr>
              <w:pStyle w:val="TableParagraph"/>
              <w:spacing w:before="89"/>
              <w:ind w:left="28"/>
              <w:rPr>
                <w:rFonts w:ascii="Times New Roman" w:eastAsia="Arial" w:hAnsi="Times New Roman"/>
                <w:lang w:val="lt-LT"/>
              </w:rPr>
            </w:pPr>
            <w:r w:rsidRPr="00842A24">
              <w:rPr>
                <w:rFonts w:ascii="Times New Roman" w:hAnsi="Times New Roman"/>
                <w:b/>
                <w:lang w:val="lt-LT"/>
              </w:rPr>
              <w:t xml:space="preserve">Vidutinis </w:t>
            </w:r>
            <w:r w:rsidR="00F4612E" w:rsidRPr="00842A24">
              <w:rPr>
                <w:rFonts w:ascii="Times New Roman" w:hAnsi="Times New Roman"/>
                <w:b/>
                <w:lang w:val="lt-LT"/>
              </w:rPr>
              <w:t>30</w:t>
            </w:r>
            <w:r w:rsidRPr="00842A24">
              <w:rPr>
                <w:rFonts w:ascii="Times New Roman" w:hAnsi="Times New Roman"/>
                <w:b/>
                <w:lang w:val="lt-LT"/>
              </w:rPr>
              <w:t xml:space="preserve"> mėnesių trukmės gydymas ir vidutinis 34,5 mėnesio tolimesnis stebėjimas</w:t>
            </w:r>
          </w:p>
        </w:tc>
      </w:tr>
      <w:tr w:rsidR="00C167DB" w:rsidRPr="00842A24" w14:paraId="46CBB947" w14:textId="77777777" w:rsidTr="004B7679">
        <w:trPr>
          <w:trHeight w:val="571"/>
        </w:trPr>
        <w:tc>
          <w:tcPr>
            <w:tcW w:w="1160" w:type="pct"/>
            <w:shd w:val="clear" w:color="auto" w:fill="auto"/>
          </w:tcPr>
          <w:p w14:paraId="458BC31A" w14:textId="77777777" w:rsidR="00F4612E" w:rsidRPr="00842A24" w:rsidRDefault="00026B41" w:rsidP="005B672A">
            <w:pPr>
              <w:pStyle w:val="TableParagraph"/>
              <w:spacing w:before="92"/>
              <w:ind w:left="28"/>
              <w:rPr>
                <w:rFonts w:ascii="Times New Roman" w:eastAsia="Arial" w:hAnsi="Times New Roman"/>
                <w:lang w:val="lt-LT"/>
              </w:rPr>
            </w:pPr>
            <w:r w:rsidRPr="00842A24">
              <w:rPr>
                <w:rFonts w:ascii="Times New Roman" w:hAnsi="Times New Roman"/>
                <w:lang w:val="lt-LT"/>
              </w:rPr>
              <w:t>Išgyvenamumas be ligos progresavimo</w:t>
            </w:r>
            <w:r w:rsidR="00F4612E" w:rsidRPr="00842A24">
              <w:rPr>
                <w:rFonts w:ascii="Times New Roman" w:hAnsi="Times New Roman"/>
                <w:spacing w:val="-1"/>
                <w:position w:val="7"/>
                <w:lang w:val="lt-LT"/>
              </w:rPr>
              <w:t>a</w:t>
            </w:r>
          </w:p>
        </w:tc>
        <w:tc>
          <w:tcPr>
            <w:tcW w:w="904" w:type="pct"/>
            <w:shd w:val="clear" w:color="auto" w:fill="auto"/>
          </w:tcPr>
          <w:p w14:paraId="1DC8A173" w14:textId="77777777" w:rsidR="00F4612E" w:rsidRPr="00842A24" w:rsidRDefault="00F4612E" w:rsidP="0089425E">
            <w:pPr>
              <w:pStyle w:val="TableParagraph"/>
              <w:spacing w:before="89"/>
              <w:jc w:val="center"/>
              <w:rPr>
                <w:rFonts w:ascii="Times New Roman" w:eastAsia="Arial" w:hAnsi="Times New Roman"/>
                <w:lang w:val="lt-LT"/>
              </w:rPr>
            </w:pPr>
            <w:r w:rsidRPr="00842A24">
              <w:rPr>
                <w:rFonts w:ascii="Times New Roman" w:hAnsi="Times New Roman"/>
                <w:lang w:val="lt-LT"/>
              </w:rPr>
              <w:t>213</w:t>
            </w:r>
          </w:p>
        </w:tc>
        <w:tc>
          <w:tcPr>
            <w:tcW w:w="927" w:type="pct"/>
            <w:shd w:val="clear" w:color="auto" w:fill="auto"/>
          </w:tcPr>
          <w:p w14:paraId="34E68CEC" w14:textId="77777777" w:rsidR="00F4612E" w:rsidRPr="00842A24" w:rsidRDefault="00F4612E" w:rsidP="0089425E">
            <w:pPr>
              <w:pStyle w:val="TableParagraph"/>
              <w:spacing w:before="89"/>
              <w:jc w:val="center"/>
              <w:rPr>
                <w:rFonts w:ascii="Times New Roman" w:eastAsia="Arial" w:hAnsi="Times New Roman"/>
                <w:lang w:val="lt-LT"/>
              </w:rPr>
            </w:pPr>
            <w:r w:rsidRPr="00842A24">
              <w:rPr>
                <w:rFonts w:ascii="Times New Roman" w:hAnsi="Times New Roman"/>
                <w:lang w:val="lt-LT"/>
              </w:rPr>
              <w:t>306</w:t>
            </w:r>
          </w:p>
        </w:tc>
        <w:tc>
          <w:tcPr>
            <w:tcW w:w="1165" w:type="pct"/>
            <w:shd w:val="clear" w:color="auto" w:fill="auto"/>
          </w:tcPr>
          <w:p w14:paraId="0BB912E7" w14:textId="77777777" w:rsidR="00F4612E" w:rsidRPr="00842A24" w:rsidRDefault="005B672A" w:rsidP="005B672A">
            <w:pPr>
              <w:pStyle w:val="TableParagraph"/>
              <w:spacing w:before="89"/>
              <w:ind w:left="310"/>
              <w:rPr>
                <w:rFonts w:ascii="Times New Roman" w:eastAsia="Arial" w:hAnsi="Times New Roman"/>
                <w:lang w:val="lt-LT"/>
              </w:rPr>
            </w:pPr>
            <w:r w:rsidRPr="00842A24">
              <w:rPr>
                <w:rFonts w:ascii="Times New Roman" w:hAnsi="Times New Roman"/>
                <w:lang w:val="lt-LT"/>
              </w:rPr>
              <w:t>0,</w:t>
            </w:r>
            <w:r w:rsidR="00F4612E" w:rsidRPr="00842A24">
              <w:rPr>
                <w:rFonts w:ascii="Times New Roman" w:hAnsi="Times New Roman"/>
                <w:lang w:val="lt-LT"/>
              </w:rPr>
              <w:t>69</w:t>
            </w:r>
            <w:r w:rsidR="00F4612E" w:rsidRPr="00842A24">
              <w:rPr>
                <w:rFonts w:ascii="Times New Roman" w:hAnsi="Times New Roman"/>
                <w:spacing w:val="13"/>
                <w:lang w:val="lt-LT"/>
              </w:rPr>
              <w:t xml:space="preserve"> </w:t>
            </w:r>
            <w:r w:rsidR="00F4612E" w:rsidRPr="00842A24">
              <w:rPr>
                <w:rFonts w:ascii="Times New Roman" w:hAnsi="Times New Roman"/>
                <w:lang w:val="lt-LT"/>
              </w:rPr>
              <w:t>(95%</w:t>
            </w:r>
            <w:r w:rsidR="00F4612E" w:rsidRPr="00842A24">
              <w:rPr>
                <w:rFonts w:ascii="Times New Roman" w:hAnsi="Times New Roman"/>
                <w:spacing w:val="14"/>
                <w:lang w:val="lt-LT"/>
              </w:rPr>
              <w:t xml:space="preserve"> </w:t>
            </w:r>
            <w:r w:rsidR="00F4612E" w:rsidRPr="00842A24">
              <w:rPr>
                <w:rFonts w:ascii="Times New Roman" w:hAnsi="Times New Roman"/>
                <w:lang w:val="lt-LT"/>
              </w:rPr>
              <w:t>CI:</w:t>
            </w:r>
            <w:r w:rsidR="00F4612E" w:rsidRPr="00842A24">
              <w:rPr>
                <w:rFonts w:ascii="Times New Roman" w:hAnsi="Times New Roman"/>
                <w:spacing w:val="14"/>
                <w:lang w:val="lt-LT"/>
              </w:rPr>
              <w:t xml:space="preserve"> </w:t>
            </w:r>
            <w:r w:rsidRPr="00842A24">
              <w:rPr>
                <w:rFonts w:ascii="Times New Roman" w:hAnsi="Times New Roman"/>
                <w:lang w:val="lt-LT"/>
              </w:rPr>
              <w:t>0,</w:t>
            </w:r>
            <w:r w:rsidR="00F4612E" w:rsidRPr="00842A24">
              <w:rPr>
                <w:rFonts w:ascii="Times New Roman" w:hAnsi="Times New Roman"/>
                <w:lang w:val="lt-LT"/>
              </w:rPr>
              <w:t>58</w:t>
            </w:r>
            <w:r w:rsidRPr="00842A24">
              <w:rPr>
                <w:rFonts w:ascii="Times New Roman" w:hAnsi="Times New Roman"/>
                <w:lang w:val="lt-LT"/>
              </w:rPr>
              <w:t>–</w:t>
            </w:r>
            <w:r w:rsidR="00F4612E" w:rsidRPr="00842A24">
              <w:rPr>
                <w:rFonts w:ascii="Times New Roman" w:hAnsi="Times New Roman"/>
                <w:lang w:val="lt-LT"/>
              </w:rPr>
              <w:t>0</w:t>
            </w:r>
            <w:r w:rsidRPr="00842A24">
              <w:rPr>
                <w:rFonts w:ascii="Times New Roman" w:hAnsi="Times New Roman"/>
                <w:lang w:val="lt-LT"/>
              </w:rPr>
              <w:t>,</w:t>
            </w:r>
            <w:r w:rsidR="00F4612E" w:rsidRPr="00842A24">
              <w:rPr>
                <w:rFonts w:ascii="Times New Roman" w:hAnsi="Times New Roman"/>
                <w:lang w:val="lt-LT"/>
              </w:rPr>
              <w:t>82)</w:t>
            </w:r>
          </w:p>
        </w:tc>
        <w:tc>
          <w:tcPr>
            <w:tcW w:w="844" w:type="pct"/>
            <w:shd w:val="clear" w:color="auto" w:fill="auto"/>
          </w:tcPr>
          <w:p w14:paraId="5616E13D" w14:textId="77777777" w:rsidR="00F4612E" w:rsidRPr="00842A24" w:rsidRDefault="005B672A" w:rsidP="0089425E">
            <w:pPr>
              <w:pStyle w:val="TableParagraph"/>
              <w:spacing w:before="89"/>
              <w:ind w:left="507"/>
              <w:rPr>
                <w:rFonts w:ascii="Times New Roman" w:eastAsia="Arial" w:hAnsi="Times New Roman"/>
                <w:lang w:val="lt-LT"/>
              </w:rPr>
            </w:pPr>
            <w:r w:rsidRPr="00842A24">
              <w:rPr>
                <w:rFonts w:ascii="Times New Roman" w:hAnsi="Times New Roman"/>
                <w:lang w:val="lt-LT"/>
              </w:rPr>
              <w:t>0,</w:t>
            </w:r>
            <w:r w:rsidR="00F4612E" w:rsidRPr="00842A24">
              <w:rPr>
                <w:rFonts w:ascii="Times New Roman" w:hAnsi="Times New Roman"/>
                <w:lang w:val="lt-LT"/>
              </w:rPr>
              <w:t>00003</w:t>
            </w:r>
          </w:p>
        </w:tc>
      </w:tr>
      <w:tr w:rsidR="00C167DB" w:rsidRPr="00842A24" w14:paraId="24117196" w14:textId="77777777" w:rsidTr="004B7679">
        <w:trPr>
          <w:trHeight w:val="571"/>
        </w:trPr>
        <w:tc>
          <w:tcPr>
            <w:tcW w:w="1160" w:type="pct"/>
            <w:shd w:val="clear" w:color="auto" w:fill="auto"/>
          </w:tcPr>
          <w:p w14:paraId="108FA3A6" w14:textId="77777777" w:rsidR="00F4612E" w:rsidRPr="00842A24" w:rsidRDefault="005B672A" w:rsidP="005B672A">
            <w:pPr>
              <w:pStyle w:val="TableParagraph"/>
              <w:spacing w:before="92"/>
              <w:ind w:left="28"/>
              <w:rPr>
                <w:rFonts w:ascii="Times New Roman" w:eastAsia="Arial" w:hAnsi="Times New Roman"/>
                <w:lang w:val="lt-LT"/>
              </w:rPr>
            </w:pPr>
            <w:r w:rsidRPr="00842A24">
              <w:rPr>
                <w:rFonts w:ascii="Times New Roman" w:hAnsi="Times New Roman"/>
                <w:lang w:val="lt-LT"/>
              </w:rPr>
              <w:t>Išgyvenamumas be krūties vėžio</w:t>
            </w:r>
            <w:r w:rsidR="00F4612E" w:rsidRPr="00842A24">
              <w:rPr>
                <w:rFonts w:ascii="Times New Roman" w:hAnsi="Times New Roman"/>
                <w:position w:val="7"/>
                <w:lang w:val="lt-LT"/>
              </w:rPr>
              <w:t>b</w:t>
            </w:r>
          </w:p>
        </w:tc>
        <w:tc>
          <w:tcPr>
            <w:tcW w:w="904" w:type="pct"/>
            <w:shd w:val="clear" w:color="auto" w:fill="auto"/>
          </w:tcPr>
          <w:p w14:paraId="7185DC63" w14:textId="77777777" w:rsidR="00F4612E" w:rsidRPr="00842A24" w:rsidRDefault="00F4612E" w:rsidP="0089425E">
            <w:pPr>
              <w:pStyle w:val="TableParagraph"/>
              <w:spacing w:before="89"/>
              <w:jc w:val="center"/>
              <w:rPr>
                <w:rFonts w:ascii="Times New Roman" w:eastAsia="Arial" w:hAnsi="Times New Roman"/>
                <w:lang w:val="lt-LT"/>
              </w:rPr>
            </w:pPr>
            <w:r w:rsidRPr="00842A24">
              <w:rPr>
                <w:rFonts w:ascii="Times New Roman" w:hAnsi="Times New Roman"/>
                <w:lang w:val="lt-LT"/>
              </w:rPr>
              <w:t>171</w:t>
            </w:r>
          </w:p>
        </w:tc>
        <w:tc>
          <w:tcPr>
            <w:tcW w:w="927" w:type="pct"/>
            <w:shd w:val="clear" w:color="auto" w:fill="auto"/>
          </w:tcPr>
          <w:p w14:paraId="3764ADF0" w14:textId="77777777" w:rsidR="00F4612E" w:rsidRPr="00842A24" w:rsidRDefault="00F4612E" w:rsidP="0089425E">
            <w:pPr>
              <w:pStyle w:val="TableParagraph"/>
              <w:spacing w:before="89"/>
              <w:jc w:val="center"/>
              <w:rPr>
                <w:rFonts w:ascii="Times New Roman" w:eastAsia="Arial" w:hAnsi="Times New Roman"/>
                <w:lang w:val="lt-LT"/>
              </w:rPr>
            </w:pPr>
            <w:r w:rsidRPr="00842A24">
              <w:rPr>
                <w:rFonts w:ascii="Times New Roman" w:hAnsi="Times New Roman"/>
                <w:lang w:val="lt-LT"/>
              </w:rPr>
              <w:t>262</w:t>
            </w:r>
          </w:p>
        </w:tc>
        <w:tc>
          <w:tcPr>
            <w:tcW w:w="1165" w:type="pct"/>
            <w:shd w:val="clear" w:color="auto" w:fill="auto"/>
          </w:tcPr>
          <w:p w14:paraId="2C71A04A" w14:textId="77777777" w:rsidR="00F4612E" w:rsidRPr="00842A24" w:rsidRDefault="005B672A" w:rsidP="005B672A">
            <w:pPr>
              <w:pStyle w:val="TableParagraph"/>
              <w:spacing w:before="89"/>
              <w:ind w:left="310"/>
              <w:rPr>
                <w:rFonts w:ascii="Times New Roman" w:eastAsia="Arial" w:hAnsi="Times New Roman"/>
                <w:lang w:val="lt-LT"/>
              </w:rPr>
            </w:pPr>
            <w:r w:rsidRPr="00842A24">
              <w:rPr>
                <w:rFonts w:ascii="Times New Roman" w:hAnsi="Times New Roman"/>
                <w:lang w:val="lt-LT"/>
              </w:rPr>
              <w:t>0,</w:t>
            </w:r>
            <w:r w:rsidR="00F4612E" w:rsidRPr="00842A24">
              <w:rPr>
                <w:rFonts w:ascii="Times New Roman" w:hAnsi="Times New Roman"/>
                <w:lang w:val="lt-LT"/>
              </w:rPr>
              <w:t>65</w:t>
            </w:r>
            <w:r w:rsidR="00F4612E" w:rsidRPr="00842A24">
              <w:rPr>
                <w:rFonts w:ascii="Times New Roman" w:hAnsi="Times New Roman"/>
                <w:spacing w:val="13"/>
                <w:lang w:val="lt-LT"/>
              </w:rPr>
              <w:t xml:space="preserve"> </w:t>
            </w:r>
            <w:r w:rsidR="00F4612E" w:rsidRPr="00842A24">
              <w:rPr>
                <w:rFonts w:ascii="Times New Roman" w:hAnsi="Times New Roman"/>
                <w:lang w:val="lt-LT"/>
              </w:rPr>
              <w:t>(9</w:t>
            </w:r>
            <w:r w:rsidRPr="00842A24">
              <w:rPr>
                <w:rFonts w:ascii="Times New Roman" w:hAnsi="Times New Roman"/>
                <w:lang w:val="lt-LT"/>
              </w:rPr>
              <w:t xml:space="preserve"> </w:t>
            </w:r>
            <w:r w:rsidR="00F4612E" w:rsidRPr="00842A24">
              <w:rPr>
                <w:rFonts w:ascii="Times New Roman" w:hAnsi="Times New Roman"/>
                <w:lang w:val="lt-LT"/>
              </w:rPr>
              <w:t>5%</w:t>
            </w:r>
            <w:r w:rsidR="00F4612E" w:rsidRPr="00842A24">
              <w:rPr>
                <w:rFonts w:ascii="Times New Roman" w:hAnsi="Times New Roman"/>
                <w:spacing w:val="14"/>
                <w:lang w:val="lt-LT"/>
              </w:rPr>
              <w:t xml:space="preserve"> </w:t>
            </w:r>
            <w:r w:rsidR="00F4612E" w:rsidRPr="00842A24">
              <w:rPr>
                <w:rFonts w:ascii="Times New Roman" w:hAnsi="Times New Roman"/>
                <w:lang w:val="lt-LT"/>
              </w:rPr>
              <w:t>CI:</w:t>
            </w:r>
            <w:r w:rsidR="00F4612E" w:rsidRPr="00842A24">
              <w:rPr>
                <w:rFonts w:ascii="Times New Roman" w:hAnsi="Times New Roman"/>
                <w:spacing w:val="14"/>
                <w:lang w:val="lt-LT"/>
              </w:rPr>
              <w:t xml:space="preserve"> </w:t>
            </w:r>
            <w:r w:rsidR="00F4612E" w:rsidRPr="00842A24">
              <w:rPr>
                <w:rFonts w:ascii="Times New Roman" w:hAnsi="Times New Roman"/>
                <w:lang w:val="lt-LT"/>
              </w:rPr>
              <w:t>0</w:t>
            </w:r>
            <w:r w:rsidRPr="00842A24">
              <w:rPr>
                <w:rFonts w:ascii="Times New Roman" w:hAnsi="Times New Roman"/>
                <w:lang w:val="lt-LT"/>
              </w:rPr>
              <w:t>,</w:t>
            </w:r>
            <w:r w:rsidR="00F4612E" w:rsidRPr="00842A24">
              <w:rPr>
                <w:rFonts w:ascii="Times New Roman" w:hAnsi="Times New Roman"/>
                <w:lang w:val="lt-LT"/>
              </w:rPr>
              <w:t>54</w:t>
            </w:r>
            <w:r w:rsidRPr="00842A24">
              <w:rPr>
                <w:rFonts w:ascii="Times New Roman" w:hAnsi="Times New Roman"/>
                <w:lang w:val="lt-LT"/>
              </w:rPr>
              <w:t>–</w:t>
            </w:r>
            <w:r w:rsidR="00F4612E" w:rsidRPr="00842A24">
              <w:rPr>
                <w:rFonts w:ascii="Times New Roman" w:hAnsi="Times New Roman"/>
                <w:lang w:val="lt-LT"/>
              </w:rPr>
              <w:t>0</w:t>
            </w:r>
            <w:r w:rsidRPr="00842A24">
              <w:rPr>
                <w:rFonts w:ascii="Times New Roman" w:hAnsi="Times New Roman"/>
                <w:lang w:val="lt-LT"/>
              </w:rPr>
              <w:t>,</w:t>
            </w:r>
            <w:r w:rsidR="00F4612E" w:rsidRPr="00842A24">
              <w:rPr>
                <w:rFonts w:ascii="Times New Roman" w:hAnsi="Times New Roman"/>
                <w:lang w:val="lt-LT"/>
              </w:rPr>
              <w:t>79)</w:t>
            </w:r>
          </w:p>
        </w:tc>
        <w:tc>
          <w:tcPr>
            <w:tcW w:w="844" w:type="pct"/>
            <w:shd w:val="clear" w:color="auto" w:fill="auto"/>
          </w:tcPr>
          <w:p w14:paraId="1E1EF108" w14:textId="77777777" w:rsidR="00F4612E" w:rsidRPr="00842A24" w:rsidRDefault="005B672A" w:rsidP="0089425E">
            <w:pPr>
              <w:pStyle w:val="TableParagraph"/>
              <w:spacing w:before="89"/>
              <w:ind w:left="450"/>
              <w:rPr>
                <w:rFonts w:ascii="Times New Roman" w:eastAsia="Arial" w:hAnsi="Times New Roman"/>
                <w:lang w:val="lt-LT"/>
              </w:rPr>
            </w:pPr>
            <w:r w:rsidRPr="00842A24">
              <w:rPr>
                <w:rFonts w:ascii="Times New Roman" w:hAnsi="Times New Roman"/>
                <w:lang w:val="lt-LT"/>
              </w:rPr>
              <w:t>&lt;0,</w:t>
            </w:r>
            <w:r w:rsidR="00F4612E" w:rsidRPr="00842A24">
              <w:rPr>
                <w:rFonts w:ascii="Times New Roman" w:hAnsi="Times New Roman"/>
                <w:lang w:val="lt-LT"/>
              </w:rPr>
              <w:t>00001</w:t>
            </w:r>
          </w:p>
        </w:tc>
      </w:tr>
      <w:tr w:rsidR="00C167DB" w:rsidRPr="00842A24" w14:paraId="5F3EE91B" w14:textId="77777777" w:rsidTr="004B7679">
        <w:trPr>
          <w:trHeight w:val="571"/>
        </w:trPr>
        <w:tc>
          <w:tcPr>
            <w:tcW w:w="1160" w:type="pct"/>
            <w:shd w:val="clear" w:color="auto" w:fill="auto"/>
          </w:tcPr>
          <w:p w14:paraId="4C3F4B60" w14:textId="77777777" w:rsidR="00F4612E" w:rsidRPr="00842A24" w:rsidRDefault="005B672A" w:rsidP="005B672A">
            <w:pPr>
              <w:pStyle w:val="TableParagraph"/>
              <w:spacing w:before="89"/>
              <w:ind w:left="28"/>
              <w:rPr>
                <w:rFonts w:ascii="Times New Roman" w:eastAsia="Arial" w:hAnsi="Times New Roman"/>
                <w:lang w:val="lt-LT"/>
              </w:rPr>
            </w:pPr>
            <w:r w:rsidRPr="00842A24">
              <w:rPr>
                <w:rFonts w:ascii="Times New Roman" w:hAnsi="Times New Roman"/>
                <w:lang w:val="lt-LT"/>
              </w:rPr>
              <w:t>Kitos krūties vėžys</w:t>
            </w:r>
          </w:p>
        </w:tc>
        <w:tc>
          <w:tcPr>
            <w:tcW w:w="904" w:type="pct"/>
            <w:shd w:val="clear" w:color="auto" w:fill="auto"/>
          </w:tcPr>
          <w:p w14:paraId="333B9172" w14:textId="77777777" w:rsidR="00F4612E" w:rsidRPr="00842A24" w:rsidRDefault="00F4612E" w:rsidP="0089425E">
            <w:pPr>
              <w:pStyle w:val="TableParagraph"/>
              <w:spacing w:before="89"/>
              <w:jc w:val="center"/>
              <w:rPr>
                <w:rFonts w:ascii="Times New Roman" w:eastAsia="Arial" w:hAnsi="Times New Roman"/>
                <w:lang w:val="lt-LT"/>
              </w:rPr>
            </w:pPr>
            <w:r w:rsidRPr="00842A24">
              <w:rPr>
                <w:rFonts w:ascii="Times New Roman" w:hAnsi="Times New Roman"/>
                <w:lang w:val="lt-LT"/>
              </w:rPr>
              <w:t>8</w:t>
            </w:r>
          </w:p>
        </w:tc>
        <w:tc>
          <w:tcPr>
            <w:tcW w:w="927" w:type="pct"/>
            <w:shd w:val="clear" w:color="auto" w:fill="auto"/>
          </w:tcPr>
          <w:p w14:paraId="0F4787A7" w14:textId="77777777" w:rsidR="00F4612E" w:rsidRPr="00842A24" w:rsidRDefault="00F4612E" w:rsidP="0089425E">
            <w:pPr>
              <w:pStyle w:val="TableParagraph"/>
              <w:spacing w:before="89"/>
              <w:jc w:val="center"/>
              <w:rPr>
                <w:rFonts w:ascii="Times New Roman" w:eastAsia="Arial" w:hAnsi="Times New Roman"/>
                <w:lang w:val="lt-LT"/>
              </w:rPr>
            </w:pPr>
            <w:r w:rsidRPr="00842A24">
              <w:rPr>
                <w:rFonts w:ascii="Times New Roman" w:hAnsi="Times New Roman"/>
                <w:lang w:val="lt-LT"/>
              </w:rPr>
              <w:t>25</w:t>
            </w:r>
          </w:p>
        </w:tc>
        <w:tc>
          <w:tcPr>
            <w:tcW w:w="1165" w:type="pct"/>
            <w:shd w:val="clear" w:color="auto" w:fill="auto"/>
          </w:tcPr>
          <w:p w14:paraId="462BBEDA" w14:textId="77777777" w:rsidR="00F4612E" w:rsidRPr="00842A24" w:rsidRDefault="00F4612E" w:rsidP="005B672A">
            <w:pPr>
              <w:pStyle w:val="TableParagraph"/>
              <w:spacing w:before="89"/>
              <w:ind w:left="310"/>
              <w:rPr>
                <w:rFonts w:ascii="Times New Roman" w:eastAsia="Arial" w:hAnsi="Times New Roman"/>
                <w:lang w:val="lt-LT"/>
              </w:rPr>
            </w:pPr>
            <w:r w:rsidRPr="00842A24">
              <w:rPr>
                <w:rFonts w:ascii="Times New Roman" w:hAnsi="Times New Roman"/>
                <w:lang w:val="lt-LT"/>
              </w:rPr>
              <w:t>0</w:t>
            </w:r>
            <w:r w:rsidR="005B672A" w:rsidRPr="00842A24">
              <w:rPr>
                <w:rFonts w:ascii="Times New Roman" w:hAnsi="Times New Roman"/>
                <w:lang w:val="lt-LT"/>
              </w:rPr>
              <w:t>,</w:t>
            </w:r>
            <w:r w:rsidRPr="00842A24">
              <w:rPr>
                <w:rFonts w:ascii="Times New Roman" w:hAnsi="Times New Roman"/>
                <w:lang w:val="lt-LT"/>
              </w:rPr>
              <w:t>32</w:t>
            </w:r>
            <w:r w:rsidRPr="00842A24">
              <w:rPr>
                <w:rFonts w:ascii="Times New Roman" w:hAnsi="Times New Roman"/>
                <w:spacing w:val="13"/>
                <w:lang w:val="lt-LT"/>
              </w:rPr>
              <w:t xml:space="preserve"> </w:t>
            </w:r>
            <w:r w:rsidRPr="00842A24">
              <w:rPr>
                <w:rFonts w:ascii="Times New Roman" w:hAnsi="Times New Roman"/>
                <w:lang w:val="lt-LT"/>
              </w:rPr>
              <w:t>(95</w:t>
            </w:r>
            <w:r w:rsidR="005B672A" w:rsidRPr="00842A24">
              <w:rPr>
                <w:rFonts w:ascii="Times New Roman" w:hAnsi="Times New Roman"/>
                <w:lang w:val="lt-LT"/>
              </w:rPr>
              <w:t xml:space="preserve"> </w:t>
            </w:r>
            <w:r w:rsidRPr="00842A24">
              <w:rPr>
                <w:rFonts w:ascii="Times New Roman" w:hAnsi="Times New Roman"/>
                <w:lang w:val="lt-LT"/>
              </w:rPr>
              <w:t>%</w:t>
            </w:r>
            <w:r w:rsidRPr="00842A24">
              <w:rPr>
                <w:rFonts w:ascii="Times New Roman" w:hAnsi="Times New Roman"/>
                <w:spacing w:val="14"/>
                <w:lang w:val="lt-LT"/>
              </w:rPr>
              <w:t xml:space="preserve"> </w:t>
            </w:r>
            <w:r w:rsidRPr="00842A24">
              <w:rPr>
                <w:rFonts w:ascii="Times New Roman" w:hAnsi="Times New Roman"/>
                <w:lang w:val="lt-LT"/>
              </w:rPr>
              <w:t>CI:</w:t>
            </w:r>
            <w:r w:rsidRPr="00842A24">
              <w:rPr>
                <w:rFonts w:ascii="Times New Roman" w:hAnsi="Times New Roman"/>
                <w:spacing w:val="14"/>
                <w:lang w:val="lt-LT"/>
              </w:rPr>
              <w:t xml:space="preserve"> </w:t>
            </w:r>
            <w:r w:rsidRPr="00842A24">
              <w:rPr>
                <w:rFonts w:ascii="Times New Roman" w:hAnsi="Times New Roman"/>
                <w:lang w:val="lt-LT"/>
              </w:rPr>
              <w:t>0</w:t>
            </w:r>
            <w:r w:rsidR="005B672A" w:rsidRPr="00842A24">
              <w:rPr>
                <w:rFonts w:ascii="Times New Roman" w:hAnsi="Times New Roman"/>
                <w:lang w:val="lt-LT"/>
              </w:rPr>
              <w:t>,</w:t>
            </w:r>
            <w:r w:rsidRPr="00842A24">
              <w:rPr>
                <w:rFonts w:ascii="Times New Roman" w:hAnsi="Times New Roman"/>
                <w:lang w:val="lt-LT"/>
              </w:rPr>
              <w:t>15</w:t>
            </w:r>
            <w:r w:rsidR="005B672A" w:rsidRPr="00842A24">
              <w:rPr>
                <w:rFonts w:ascii="Times New Roman" w:hAnsi="Times New Roman"/>
                <w:lang w:val="lt-LT"/>
              </w:rPr>
              <w:t>–</w:t>
            </w:r>
            <w:r w:rsidRPr="00842A24">
              <w:rPr>
                <w:rFonts w:ascii="Times New Roman" w:hAnsi="Times New Roman"/>
                <w:lang w:val="lt-LT"/>
              </w:rPr>
              <w:t>0</w:t>
            </w:r>
            <w:r w:rsidR="005B672A" w:rsidRPr="00842A24">
              <w:rPr>
                <w:rFonts w:ascii="Times New Roman" w:hAnsi="Times New Roman"/>
                <w:lang w:val="lt-LT"/>
              </w:rPr>
              <w:t>,</w:t>
            </w:r>
            <w:r w:rsidRPr="00842A24">
              <w:rPr>
                <w:rFonts w:ascii="Times New Roman" w:hAnsi="Times New Roman"/>
                <w:lang w:val="lt-LT"/>
              </w:rPr>
              <w:t>72)</w:t>
            </w:r>
          </w:p>
        </w:tc>
        <w:tc>
          <w:tcPr>
            <w:tcW w:w="844" w:type="pct"/>
            <w:shd w:val="clear" w:color="auto" w:fill="auto"/>
          </w:tcPr>
          <w:p w14:paraId="174578FB" w14:textId="77777777" w:rsidR="00F4612E" w:rsidRPr="00842A24" w:rsidRDefault="00F4612E" w:rsidP="005B672A">
            <w:pPr>
              <w:pStyle w:val="TableParagraph"/>
              <w:spacing w:before="89"/>
              <w:ind w:left="507"/>
              <w:rPr>
                <w:rFonts w:ascii="Times New Roman" w:eastAsia="Arial" w:hAnsi="Times New Roman"/>
                <w:lang w:val="lt-LT"/>
              </w:rPr>
            </w:pPr>
            <w:r w:rsidRPr="00842A24">
              <w:rPr>
                <w:rFonts w:ascii="Times New Roman" w:hAnsi="Times New Roman"/>
                <w:lang w:val="lt-LT"/>
              </w:rPr>
              <w:t>0</w:t>
            </w:r>
            <w:r w:rsidR="005B672A" w:rsidRPr="00842A24">
              <w:rPr>
                <w:rFonts w:ascii="Times New Roman" w:hAnsi="Times New Roman"/>
                <w:lang w:val="lt-LT"/>
              </w:rPr>
              <w:t>,</w:t>
            </w:r>
            <w:r w:rsidRPr="00842A24">
              <w:rPr>
                <w:rFonts w:ascii="Times New Roman" w:hAnsi="Times New Roman"/>
                <w:lang w:val="lt-LT"/>
              </w:rPr>
              <w:t>00340</w:t>
            </w:r>
          </w:p>
        </w:tc>
      </w:tr>
      <w:tr w:rsidR="00C167DB" w:rsidRPr="00842A24" w14:paraId="044A91AE" w14:textId="77777777" w:rsidTr="004B7679">
        <w:trPr>
          <w:trHeight w:val="571"/>
        </w:trPr>
        <w:tc>
          <w:tcPr>
            <w:tcW w:w="1160" w:type="pct"/>
            <w:shd w:val="clear" w:color="auto" w:fill="auto"/>
          </w:tcPr>
          <w:p w14:paraId="0B81AC4B" w14:textId="77777777" w:rsidR="00F4612E" w:rsidRPr="00842A24" w:rsidRDefault="005B672A" w:rsidP="005B672A">
            <w:pPr>
              <w:pStyle w:val="TableParagraph"/>
              <w:spacing w:before="92"/>
              <w:ind w:left="28"/>
              <w:rPr>
                <w:rFonts w:ascii="Times New Roman" w:eastAsia="Arial" w:hAnsi="Times New Roman"/>
                <w:lang w:val="lt-LT"/>
              </w:rPr>
            </w:pPr>
            <w:r w:rsidRPr="00842A24">
              <w:rPr>
                <w:rFonts w:ascii="Times New Roman" w:hAnsi="Times New Roman"/>
                <w:lang w:val="lt-LT"/>
              </w:rPr>
              <w:t>Išgyvenamumas be atokaus ligos pasikartojimo</w:t>
            </w:r>
            <w:r w:rsidR="00F4612E" w:rsidRPr="00842A24">
              <w:rPr>
                <w:rFonts w:ascii="Times New Roman" w:hAnsi="Times New Roman"/>
                <w:spacing w:val="-1"/>
                <w:position w:val="7"/>
                <w:lang w:val="lt-LT"/>
              </w:rPr>
              <w:t>c</w:t>
            </w:r>
          </w:p>
        </w:tc>
        <w:tc>
          <w:tcPr>
            <w:tcW w:w="904" w:type="pct"/>
            <w:shd w:val="clear" w:color="auto" w:fill="auto"/>
          </w:tcPr>
          <w:p w14:paraId="08BB79EA" w14:textId="77777777" w:rsidR="00F4612E" w:rsidRPr="00842A24" w:rsidRDefault="00F4612E" w:rsidP="0089425E">
            <w:pPr>
              <w:pStyle w:val="TableParagraph"/>
              <w:spacing w:before="89"/>
              <w:jc w:val="center"/>
              <w:rPr>
                <w:rFonts w:ascii="Times New Roman" w:eastAsia="Arial" w:hAnsi="Times New Roman"/>
                <w:lang w:val="lt-LT"/>
              </w:rPr>
            </w:pPr>
            <w:r w:rsidRPr="00842A24">
              <w:rPr>
                <w:rFonts w:ascii="Times New Roman" w:hAnsi="Times New Roman"/>
                <w:lang w:val="lt-LT"/>
              </w:rPr>
              <w:t>142</w:t>
            </w:r>
          </w:p>
        </w:tc>
        <w:tc>
          <w:tcPr>
            <w:tcW w:w="927" w:type="pct"/>
            <w:shd w:val="clear" w:color="auto" w:fill="auto"/>
          </w:tcPr>
          <w:p w14:paraId="1B40B01F" w14:textId="77777777" w:rsidR="00F4612E" w:rsidRPr="00842A24" w:rsidRDefault="00F4612E" w:rsidP="0089425E">
            <w:pPr>
              <w:pStyle w:val="TableParagraph"/>
              <w:spacing w:before="89"/>
              <w:jc w:val="center"/>
              <w:rPr>
                <w:rFonts w:ascii="Times New Roman" w:eastAsia="Arial" w:hAnsi="Times New Roman"/>
                <w:lang w:val="lt-LT"/>
              </w:rPr>
            </w:pPr>
            <w:r w:rsidRPr="00842A24">
              <w:rPr>
                <w:rFonts w:ascii="Times New Roman" w:hAnsi="Times New Roman"/>
                <w:lang w:val="lt-LT"/>
              </w:rPr>
              <w:t>204</w:t>
            </w:r>
          </w:p>
        </w:tc>
        <w:tc>
          <w:tcPr>
            <w:tcW w:w="1165" w:type="pct"/>
            <w:shd w:val="clear" w:color="auto" w:fill="auto"/>
          </w:tcPr>
          <w:p w14:paraId="1BB14BE3" w14:textId="77777777" w:rsidR="00F4612E" w:rsidRPr="00842A24" w:rsidRDefault="005B672A" w:rsidP="005B672A">
            <w:pPr>
              <w:pStyle w:val="TableParagraph"/>
              <w:spacing w:before="89"/>
              <w:ind w:left="310"/>
              <w:rPr>
                <w:rFonts w:ascii="Times New Roman" w:eastAsia="Arial" w:hAnsi="Times New Roman"/>
                <w:lang w:val="lt-LT"/>
              </w:rPr>
            </w:pPr>
            <w:r w:rsidRPr="00842A24">
              <w:rPr>
                <w:rFonts w:ascii="Times New Roman" w:hAnsi="Times New Roman"/>
                <w:lang w:val="lt-LT"/>
              </w:rPr>
              <w:t>0,</w:t>
            </w:r>
            <w:r w:rsidR="00F4612E" w:rsidRPr="00842A24">
              <w:rPr>
                <w:rFonts w:ascii="Times New Roman" w:hAnsi="Times New Roman"/>
                <w:lang w:val="lt-LT"/>
              </w:rPr>
              <w:t>70</w:t>
            </w:r>
            <w:r w:rsidR="00F4612E" w:rsidRPr="00842A24">
              <w:rPr>
                <w:rFonts w:ascii="Times New Roman" w:hAnsi="Times New Roman"/>
                <w:spacing w:val="13"/>
                <w:lang w:val="lt-LT"/>
              </w:rPr>
              <w:t xml:space="preserve"> </w:t>
            </w:r>
            <w:r w:rsidR="00F4612E" w:rsidRPr="00842A24">
              <w:rPr>
                <w:rFonts w:ascii="Times New Roman" w:hAnsi="Times New Roman"/>
                <w:lang w:val="lt-LT"/>
              </w:rPr>
              <w:t>(95</w:t>
            </w:r>
            <w:r w:rsidRPr="00842A24">
              <w:rPr>
                <w:rFonts w:ascii="Times New Roman" w:hAnsi="Times New Roman"/>
                <w:lang w:val="lt-LT"/>
              </w:rPr>
              <w:t xml:space="preserve"> </w:t>
            </w:r>
            <w:r w:rsidR="00F4612E" w:rsidRPr="00842A24">
              <w:rPr>
                <w:rFonts w:ascii="Times New Roman" w:hAnsi="Times New Roman"/>
                <w:lang w:val="lt-LT"/>
              </w:rPr>
              <w:t>%</w:t>
            </w:r>
            <w:r w:rsidR="00F4612E" w:rsidRPr="00842A24">
              <w:rPr>
                <w:rFonts w:ascii="Times New Roman" w:hAnsi="Times New Roman"/>
                <w:spacing w:val="14"/>
                <w:lang w:val="lt-LT"/>
              </w:rPr>
              <w:t xml:space="preserve"> </w:t>
            </w:r>
            <w:r w:rsidR="00F4612E" w:rsidRPr="00842A24">
              <w:rPr>
                <w:rFonts w:ascii="Times New Roman" w:hAnsi="Times New Roman"/>
                <w:lang w:val="lt-LT"/>
              </w:rPr>
              <w:t>CI:</w:t>
            </w:r>
            <w:r w:rsidR="00F4612E" w:rsidRPr="00842A24">
              <w:rPr>
                <w:rFonts w:ascii="Times New Roman" w:hAnsi="Times New Roman"/>
                <w:spacing w:val="14"/>
                <w:lang w:val="lt-LT"/>
              </w:rPr>
              <w:t xml:space="preserve"> </w:t>
            </w:r>
            <w:r w:rsidR="00F4612E" w:rsidRPr="00842A24">
              <w:rPr>
                <w:rFonts w:ascii="Times New Roman" w:hAnsi="Times New Roman"/>
                <w:lang w:val="lt-LT"/>
              </w:rPr>
              <w:t>0</w:t>
            </w:r>
            <w:r w:rsidRPr="00842A24">
              <w:rPr>
                <w:rFonts w:ascii="Times New Roman" w:hAnsi="Times New Roman"/>
                <w:lang w:val="lt-LT"/>
              </w:rPr>
              <w:t>,</w:t>
            </w:r>
            <w:r w:rsidR="00F4612E" w:rsidRPr="00842A24">
              <w:rPr>
                <w:rFonts w:ascii="Times New Roman" w:hAnsi="Times New Roman"/>
                <w:lang w:val="lt-LT"/>
              </w:rPr>
              <w:t>56</w:t>
            </w:r>
            <w:r w:rsidRPr="00842A24">
              <w:rPr>
                <w:rFonts w:ascii="Times New Roman" w:hAnsi="Times New Roman"/>
                <w:lang w:val="lt-LT"/>
              </w:rPr>
              <w:t>–</w:t>
            </w:r>
            <w:r w:rsidR="00F4612E" w:rsidRPr="00842A24">
              <w:rPr>
                <w:rFonts w:ascii="Times New Roman" w:hAnsi="Times New Roman"/>
                <w:lang w:val="lt-LT"/>
              </w:rPr>
              <w:t>0</w:t>
            </w:r>
            <w:r w:rsidRPr="00842A24">
              <w:rPr>
                <w:rFonts w:ascii="Times New Roman" w:hAnsi="Times New Roman"/>
                <w:lang w:val="lt-LT"/>
              </w:rPr>
              <w:t>,</w:t>
            </w:r>
            <w:r w:rsidR="00F4612E" w:rsidRPr="00842A24">
              <w:rPr>
                <w:rFonts w:ascii="Times New Roman" w:hAnsi="Times New Roman"/>
                <w:lang w:val="lt-LT"/>
              </w:rPr>
              <w:t>86)</w:t>
            </w:r>
          </w:p>
        </w:tc>
        <w:tc>
          <w:tcPr>
            <w:tcW w:w="844" w:type="pct"/>
            <w:shd w:val="clear" w:color="auto" w:fill="auto"/>
          </w:tcPr>
          <w:p w14:paraId="7BB906E6" w14:textId="77777777" w:rsidR="00F4612E" w:rsidRPr="00842A24" w:rsidRDefault="00F4612E" w:rsidP="005B672A">
            <w:pPr>
              <w:pStyle w:val="TableParagraph"/>
              <w:spacing w:before="89"/>
              <w:ind w:left="507"/>
              <w:rPr>
                <w:rFonts w:ascii="Times New Roman" w:eastAsia="Arial" w:hAnsi="Times New Roman"/>
                <w:lang w:val="lt-LT"/>
              </w:rPr>
            </w:pPr>
            <w:r w:rsidRPr="00842A24">
              <w:rPr>
                <w:rFonts w:ascii="Times New Roman" w:hAnsi="Times New Roman"/>
                <w:lang w:val="lt-LT"/>
              </w:rPr>
              <w:t>0</w:t>
            </w:r>
            <w:r w:rsidR="005B672A" w:rsidRPr="00842A24">
              <w:rPr>
                <w:rFonts w:ascii="Times New Roman" w:hAnsi="Times New Roman"/>
                <w:lang w:val="lt-LT"/>
              </w:rPr>
              <w:t>,</w:t>
            </w:r>
            <w:r w:rsidRPr="00842A24">
              <w:rPr>
                <w:rFonts w:ascii="Times New Roman" w:hAnsi="Times New Roman"/>
                <w:lang w:val="lt-LT"/>
              </w:rPr>
              <w:t>00083</w:t>
            </w:r>
          </w:p>
        </w:tc>
      </w:tr>
      <w:tr w:rsidR="00C167DB" w:rsidRPr="00842A24" w14:paraId="6241F1B3" w14:textId="77777777" w:rsidTr="004B7679">
        <w:trPr>
          <w:trHeight w:val="571"/>
        </w:trPr>
        <w:tc>
          <w:tcPr>
            <w:tcW w:w="1160" w:type="pct"/>
            <w:shd w:val="clear" w:color="auto" w:fill="auto"/>
          </w:tcPr>
          <w:p w14:paraId="3BC377E2" w14:textId="77777777" w:rsidR="00F4612E" w:rsidRPr="00842A24" w:rsidRDefault="005B672A" w:rsidP="005B672A">
            <w:pPr>
              <w:pStyle w:val="TableParagraph"/>
              <w:spacing w:before="92"/>
              <w:ind w:left="28"/>
              <w:rPr>
                <w:rFonts w:ascii="Times New Roman" w:eastAsia="Arial" w:hAnsi="Times New Roman"/>
                <w:lang w:val="lt-LT"/>
              </w:rPr>
            </w:pPr>
            <w:r w:rsidRPr="00842A24">
              <w:rPr>
                <w:rFonts w:ascii="Times New Roman" w:hAnsi="Times New Roman"/>
                <w:lang w:val="lt-LT"/>
              </w:rPr>
              <w:t>Bendrasis išgyvenamumas</w:t>
            </w:r>
            <w:r w:rsidR="00F4612E" w:rsidRPr="00842A24">
              <w:rPr>
                <w:rFonts w:ascii="Times New Roman" w:hAnsi="Times New Roman"/>
                <w:spacing w:val="-1"/>
                <w:position w:val="7"/>
                <w:lang w:val="lt-LT"/>
              </w:rPr>
              <w:t>d</w:t>
            </w:r>
          </w:p>
        </w:tc>
        <w:tc>
          <w:tcPr>
            <w:tcW w:w="904" w:type="pct"/>
            <w:shd w:val="clear" w:color="auto" w:fill="auto"/>
          </w:tcPr>
          <w:p w14:paraId="54DAF15E" w14:textId="77777777" w:rsidR="00F4612E" w:rsidRPr="00842A24" w:rsidRDefault="00F4612E" w:rsidP="0089425E">
            <w:pPr>
              <w:pStyle w:val="TableParagraph"/>
              <w:spacing w:before="89"/>
              <w:jc w:val="center"/>
              <w:rPr>
                <w:rFonts w:ascii="Times New Roman" w:eastAsia="Arial" w:hAnsi="Times New Roman"/>
                <w:lang w:val="lt-LT"/>
              </w:rPr>
            </w:pPr>
            <w:r w:rsidRPr="00842A24">
              <w:rPr>
                <w:rFonts w:ascii="Times New Roman" w:hAnsi="Times New Roman"/>
                <w:spacing w:val="-5"/>
                <w:lang w:val="lt-LT"/>
              </w:rPr>
              <w:t>116</w:t>
            </w:r>
          </w:p>
        </w:tc>
        <w:tc>
          <w:tcPr>
            <w:tcW w:w="927" w:type="pct"/>
            <w:shd w:val="clear" w:color="auto" w:fill="auto"/>
          </w:tcPr>
          <w:p w14:paraId="6E6A7BF0" w14:textId="77777777" w:rsidR="00F4612E" w:rsidRPr="00842A24" w:rsidRDefault="00F4612E" w:rsidP="0089425E">
            <w:pPr>
              <w:pStyle w:val="TableParagraph"/>
              <w:spacing w:before="89"/>
              <w:jc w:val="center"/>
              <w:rPr>
                <w:rFonts w:ascii="Times New Roman" w:eastAsia="Arial" w:hAnsi="Times New Roman"/>
                <w:lang w:val="lt-LT"/>
              </w:rPr>
            </w:pPr>
            <w:r w:rsidRPr="00842A24">
              <w:rPr>
                <w:rFonts w:ascii="Times New Roman" w:hAnsi="Times New Roman"/>
                <w:lang w:val="lt-LT"/>
              </w:rPr>
              <w:t>137</w:t>
            </w:r>
          </w:p>
        </w:tc>
        <w:tc>
          <w:tcPr>
            <w:tcW w:w="1165" w:type="pct"/>
            <w:shd w:val="clear" w:color="auto" w:fill="auto"/>
          </w:tcPr>
          <w:p w14:paraId="06218965" w14:textId="77777777" w:rsidR="00F4612E" w:rsidRPr="00842A24" w:rsidRDefault="005B672A" w:rsidP="005B672A">
            <w:pPr>
              <w:pStyle w:val="TableParagraph"/>
              <w:spacing w:before="89"/>
              <w:ind w:left="310"/>
              <w:rPr>
                <w:rFonts w:ascii="Times New Roman" w:eastAsia="Arial" w:hAnsi="Times New Roman"/>
                <w:lang w:val="lt-LT"/>
              </w:rPr>
            </w:pPr>
            <w:r w:rsidRPr="00842A24">
              <w:rPr>
                <w:rFonts w:ascii="Times New Roman" w:hAnsi="Times New Roman"/>
                <w:lang w:val="lt-LT"/>
              </w:rPr>
              <w:t>0,</w:t>
            </w:r>
            <w:r w:rsidR="00F4612E" w:rsidRPr="00842A24">
              <w:rPr>
                <w:rFonts w:ascii="Times New Roman" w:hAnsi="Times New Roman"/>
                <w:lang w:val="lt-LT"/>
              </w:rPr>
              <w:t>86</w:t>
            </w:r>
            <w:r w:rsidR="00F4612E" w:rsidRPr="00842A24">
              <w:rPr>
                <w:rFonts w:ascii="Times New Roman" w:hAnsi="Times New Roman"/>
                <w:spacing w:val="13"/>
                <w:lang w:val="lt-LT"/>
              </w:rPr>
              <w:t xml:space="preserve"> </w:t>
            </w:r>
            <w:r w:rsidR="00F4612E" w:rsidRPr="00842A24">
              <w:rPr>
                <w:rFonts w:ascii="Times New Roman" w:hAnsi="Times New Roman"/>
                <w:lang w:val="lt-LT"/>
              </w:rPr>
              <w:t>(95</w:t>
            </w:r>
            <w:r w:rsidRPr="00842A24">
              <w:rPr>
                <w:rFonts w:ascii="Times New Roman" w:hAnsi="Times New Roman"/>
                <w:lang w:val="lt-LT"/>
              </w:rPr>
              <w:t xml:space="preserve"> </w:t>
            </w:r>
            <w:r w:rsidR="00F4612E" w:rsidRPr="00842A24">
              <w:rPr>
                <w:rFonts w:ascii="Times New Roman" w:hAnsi="Times New Roman"/>
                <w:lang w:val="lt-LT"/>
              </w:rPr>
              <w:t>%</w:t>
            </w:r>
            <w:r w:rsidR="00F4612E" w:rsidRPr="00842A24">
              <w:rPr>
                <w:rFonts w:ascii="Times New Roman" w:hAnsi="Times New Roman"/>
                <w:spacing w:val="14"/>
                <w:lang w:val="lt-LT"/>
              </w:rPr>
              <w:t xml:space="preserve"> </w:t>
            </w:r>
            <w:r w:rsidR="00F4612E" w:rsidRPr="00842A24">
              <w:rPr>
                <w:rFonts w:ascii="Times New Roman" w:hAnsi="Times New Roman"/>
                <w:lang w:val="lt-LT"/>
              </w:rPr>
              <w:t>CI:</w:t>
            </w:r>
            <w:r w:rsidR="00F4612E" w:rsidRPr="00842A24">
              <w:rPr>
                <w:rFonts w:ascii="Times New Roman" w:hAnsi="Times New Roman"/>
                <w:spacing w:val="14"/>
                <w:lang w:val="lt-LT"/>
              </w:rPr>
              <w:t xml:space="preserve"> </w:t>
            </w:r>
            <w:r w:rsidR="00F4612E" w:rsidRPr="00842A24">
              <w:rPr>
                <w:rFonts w:ascii="Times New Roman" w:hAnsi="Times New Roman"/>
                <w:lang w:val="lt-LT"/>
              </w:rPr>
              <w:t>0</w:t>
            </w:r>
            <w:r w:rsidRPr="00842A24">
              <w:rPr>
                <w:rFonts w:ascii="Times New Roman" w:hAnsi="Times New Roman"/>
                <w:lang w:val="lt-LT"/>
              </w:rPr>
              <w:t>,67–1,</w:t>
            </w:r>
            <w:r w:rsidR="00F4612E" w:rsidRPr="00842A24">
              <w:rPr>
                <w:rFonts w:ascii="Times New Roman" w:hAnsi="Times New Roman"/>
                <w:lang w:val="lt-LT"/>
              </w:rPr>
              <w:t>10)</w:t>
            </w:r>
          </w:p>
        </w:tc>
        <w:tc>
          <w:tcPr>
            <w:tcW w:w="844" w:type="pct"/>
            <w:shd w:val="clear" w:color="auto" w:fill="auto"/>
          </w:tcPr>
          <w:p w14:paraId="4FA0AE0C" w14:textId="77777777" w:rsidR="00F4612E" w:rsidRPr="00842A24" w:rsidRDefault="005B672A" w:rsidP="0089425E">
            <w:pPr>
              <w:pStyle w:val="TableParagraph"/>
              <w:spacing w:before="89"/>
              <w:ind w:left="507"/>
              <w:rPr>
                <w:rFonts w:ascii="Times New Roman" w:eastAsia="Arial" w:hAnsi="Times New Roman"/>
                <w:lang w:val="lt-LT"/>
              </w:rPr>
            </w:pPr>
            <w:r w:rsidRPr="00842A24">
              <w:rPr>
                <w:rFonts w:ascii="Times New Roman" w:hAnsi="Times New Roman"/>
                <w:lang w:val="lt-LT"/>
              </w:rPr>
              <w:t>0,</w:t>
            </w:r>
            <w:r w:rsidR="00F4612E" w:rsidRPr="00842A24">
              <w:rPr>
                <w:rFonts w:ascii="Times New Roman" w:hAnsi="Times New Roman"/>
                <w:lang w:val="lt-LT"/>
              </w:rPr>
              <w:t>22962</w:t>
            </w:r>
          </w:p>
        </w:tc>
      </w:tr>
      <w:tr w:rsidR="00F4612E" w:rsidRPr="00842A24" w14:paraId="0519CE8B" w14:textId="77777777" w:rsidTr="00695E53">
        <w:trPr>
          <w:trHeight w:val="571"/>
        </w:trPr>
        <w:tc>
          <w:tcPr>
            <w:tcW w:w="5000" w:type="pct"/>
            <w:gridSpan w:val="5"/>
            <w:shd w:val="clear" w:color="auto" w:fill="auto"/>
          </w:tcPr>
          <w:p w14:paraId="16E25D16" w14:textId="77777777" w:rsidR="00F4612E" w:rsidRPr="00842A24" w:rsidRDefault="005B672A" w:rsidP="005B672A">
            <w:pPr>
              <w:pStyle w:val="TableParagraph"/>
              <w:spacing w:before="89"/>
              <w:ind w:left="28"/>
              <w:rPr>
                <w:rFonts w:ascii="Times New Roman" w:eastAsia="Arial" w:hAnsi="Times New Roman"/>
                <w:lang w:val="lt-LT"/>
              </w:rPr>
            </w:pPr>
            <w:r w:rsidRPr="00842A24">
              <w:rPr>
                <w:rFonts w:ascii="Times New Roman" w:hAnsi="Times New Roman"/>
                <w:b/>
                <w:lang w:val="lt-LT"/>
              </w:rPr>
              <w:t xml:space="preserve">Vidutinis </w:t>
            </w:r>
            <w:r w:rsidR="00F4612E" w:rsidRPr="00842A24">
              <w:rPr>
                <w:rFonts w:ascii="Times New Roman" w:hAnsi="Times New Roman"/>
                <w:b/>
                <w:lang w:val="lt-LT"/>
              </w:rPr>
              <w:t>30</w:t>
            </w:r>
            <w:r w:rsidRPr="00842A24">
              <w:rPr>
                <w:rFonts w:ascii="Times New Roman" w:hAnsi="Times New Roman"/>
                <w:b/>
                <w:lang w:val="lt-LT"/>
              </w:rPr>
              <w:t xml:space="preserve"> mėnesių trukmės gydymas ir vidutinis </w:t>
            </w:r>
            <w:r w:rsidR="00F4612E" w:rsidRPr="00842A24">
              <w:rPr>
                <w:rFonts w:ascii="Times New Roman" w:hAnsi="Times New Roman"/>
                <w:b/>
                <w:lang w:val="lt-LT"/>
              </w:rPr>
              <w:t>52</w:t>
            </w:r>
            <w:r w:rsidRPr="00842A24">
              <w:rPr>
                <w:rFonts w:ascii="Times New Roman" w:hAnsi="Times New Roman"/>
                <w:b/>
                <w:lang w:val="lt-LT"/>
              </w:rPr>
              <w:t xml:space="preserve"> mėnesių tolimesnis stebėjimas</w:t>
            </w:r>
          </w:p>
        </w:tc>
      </w:tr>
      <w:tr w:rsidR="00C167DB" w:rsidRPr="00842A24" w14:paraId="5621E879" w14:textId="77777777" w:rsidTr="004B7679">
        <w:trPr>
          <w:trHeight w:val="571"/>
        </w:trPr>
        <w:tc>
          <w:tcPr>
            <w:tcW w:w="1160" w:type="pct"/>
            <w:shd w:val="clear" w:color="auto" w:fill="auto"/>
          </w:tcPr>
          <w:p w14:paraId="4A154ACA" w14:textId="77777777" w:rsidR="00F4612E" w:rsidRPr="00842A24" w:rsidRDefault="005B672A" w:rsidP="005B672A">
            <w:pPr>
              <w:pStyle w:val="TableParagraph"/>
              <w:spacing w:before="92"/>
              <w:ind w:left="28"/>
              <w:rPr>
                <w:rFonts w:ascii="Times New Roman" w:eastAsia="Arial" w:hAnsi="Times New Roman"/>
                <w:lang w:val="lt-LT"/>
              </w:rPr>
            </w:pPr>
            <w:r w:rsidRPr="00842A24">
              <w:rPr>
                <w:rFonts w:ascii="Times New Roman" w:hAnsi="Times New Roman"/>
                <w:lang w:val="lt-LT"/>
              </w:rPr>
              <w:t>Išgyvenamumas be ligos progresavimo</w:t>
            </w:r>
            <w:r w:rsidR="00F4612E" w:rsidRPr="00842A24">
              <w:rPr>
                <w:rFonts w:ascii="Times New Roman" w:hAnsi="Times New Roman"/>
                <w:spacing w:val="-1"/>
                <w:position w:val="7"/>
                <w:lang w:val="lt-LT"/>
              </w:rPr>
              <w:t>a</w:t>
            </w:r>
          </w:p>
        </w:tc>
        <w:tc>
          <w:tcPr>
            <w:tcW w:w="904" w:type="pct"/>
            <w:shd w:val="clear" w:color="auto" w:fill="auto"/>
          </w:tcPr>
          <w:p w14:paraId="2DE30C3D" w14:textId="77777777" w:rsidR="00F4612E" w:rsidRPr="00842A24" w:rsidRDefault="00F4612E" w:rsidP="0089425E">
            <w:pPr>
              <w:pStyle w:val="TableParagraph"/>
              <w:spacing w:before="89"/>
              <w:jc w:val="center"/>
              <w:rPr>
                <w:rFonts w:ascii="Times New Roman" w:eastAsia="Arial" w:hAnsi="Times New Roman"/>
                <w:lang w:val="lt-LT"/>
              </w:rPr>
            </w:pPr>
            <w:r w:rsidRPr="00842A24">
              <w:rPr>
                <w:rFonts w:ascii="Times New Roman" w:hAnsi="Times New Roman"/>
                <w:lang w:val="lt-LT"/>
              </w:rPr>
              <w:t>354</w:t>
            </w:r>
          </w:p>
        </w:tc>
        <w:tc>
          <w:tcPr>
            <w:tcW w:w="927" w:type="pct"/>
            <w:shd w:val="clear" w:color="auto" w:fill="auto"/>
          </w:tcPr>
          <w:p w14:paraId="7A59465D" w14:textId="77777777" w:rsidR="00F4612E" w:rsidRPr="00842A24" w:rsidRDefault="00F4612E" w:rsidP="0089425E">
            <w:pPr>
              <w:pStyle w:val="TableParagraph"/>
              <w:spacing w:before="89"/>
              <w:jc w:val="center"/>
              <w:rPr>
                <w:rFonts w:ascii="Times New Roman" w:eastAsia="Arial" w:hAnsi="Times New Roman"/>
                <w:lang w:val="lt-LT"/>
              </w:rPr>
            </w:pPr>
            <w:r w:rsidRPr="00842A24">
              <w:rPr>
                <w:rFonts w:ascii="Times New Roman" w:hAnsi="Times New Roman"/>
                <w:lang w:val="lt-LT"/>
              </w:rPr>
              <w:t>453</w:t>
            </w:r>
          </w:p>
        </w:tc>
        <w:tc>
          <w:tcPr>
            <w:tcW w:w="1165" w:type="pct"/>
            <w:shd w:val="clear" w:color="auto" w:fill="auto"/>
          </w:tcPr>
          <w:p w14:paraId="4DED658E" w14:textId="77777777" w:rsidR="00F4612E" w:rsidRPr="00842A24" w:rsidRDefault="005B672A" w:rsidP="005B672A">
            <w:pPr>
              <w:pStyle w:val="TableParagraph"/>
              <w:spacing w:before="89"/>
              <w:ind w:left="310"/>
              <w:rPr>
                <w:rFonts w:ascii="Times New Roman" w:eastAsia="Arial" w:hAnsi="Times New Roman"/>
                <w:lang w:val="lt-LT"/>
              </w:rPr>
            </w:pPr>
            <w:r w:rsidRPr="00842A24">
              <w:rPr>
                <w:rFonts w:ascii="Times New Roman" w:hAnsi="Times New Roman"/>
                <w:lang w:val="lt-LT"/>
              </w:rPr>
              <w:t>0,</w:t>
            </w:r>
            <w:r w:rsidR="00F4612E" w:rsidRPr="00842A24">
              <w:rPr>
                <w:rFonts w:ascii="Times New Roman" w:hAnsi="Times New Roman"/>
                <w:lang w:val="lt-LT"/>
              </w:rPr>
              <w:t>77</w:t>
            </w:r>
            <w:r w:rsidR="00F4612E" w:rsidRPr="00842A24">
              <w:rPr>
                <w:rFonts w:ascii="Times New Roman" w:hAnsi="Times New Roman"/>
                <w:spacing w:val="13"/>
                <w:lang w:val="lt-LT"/>
              </w:rPr>
              <w:t xml:space="preserve"> </w:t>
            </w:r>
            <w:r w:rsidR="00F4612E" w:rsidRPr="00842A24">
              <w:rPr>
                <w:rFonts w:ascii="Times New Roman" w:hAnsi="Times New Roman"/>
                <w:lang w:val="lt-LT"/>
              </w:rPr>
              <w:t>(95</w:t>
            </w:r>
            <w:r w:rsidRPr="00842A24">
              <w:rPr>
                <w:rFonts w:ascii="Times New Roman" w:hAnsi="Times New Roman"/>
                <w:lang w:val="lt-LT"/>
              </w:rPr>
              <w:t xml:space="preserve"> </w:t>
            </w:r>
            <w:r w:rsidR="00F4612E" w:rsidRPr="00842A24">
              <w:rPr>
                <w:rFonts w:ascii="Times New Roman" w:hAnsi="Times New Roman"/>
                <w:lang w:val="lt-LT"/>
              </w:rPr>
              <w:t>%</w:t>
            </w:r>
            <w:r w:rsidR="00F4612E" w:rsidRPr="00842A24">
              <w:rPr>
                <w:rFonts w:ascii="Times New Roman" w:hAnsi="Times New Roman"/>
                <w:spacing w:val="14"/>
                <w:lang w:val="lt-LT"/>
              </w:rPr>
              <w:t xml:space="preserve"> </w:t>
            </w:r>
            <w:r w:rsidR="00F4612E" w:rsidRPr="00842A24">
              <w:rPr>
                <w:rFonts w:ascii="Times New Roman" w:hAnsi="Times New Roman"/>
                <w:lang w:val="lt-LT"/>
              </w:rPr>
              <w:t>CI:</w:t>
            </w:r>
            <w:r w:rsidR="00F4612E" w:rsidRPr="00842A24">
              <w:rPr>
                <w:rFonts w:ascii="Times New Roman" w:hAnsi="Times New Roman"/>
                <w:spacing w:val="14"/>
                <w:lang w:val="lt-LT"/>
              </w:rPr>
              <w:t xml:space="preserve"> </w:t>
            </w:r>
            <w:r w:rsidRPr="00842A24">
              <w:rPr>
                <w:rFonts w:ascii="Times New Roman" w:hAnsi="Times New Roman"/>
                <w:lang w:val="lt-LT"/>
              </w:rPr>
              <w:t>0,</w:t>
            </w:r>
            <w:r w:rsidR="00F4612E" w:rsidRPr="00842A24">
              <w:rPr>
                <w:rFonts w:ascii="Times New Roman" w:hAnsi="Times New Roman"/>
                <w:lang w:val="lt-LT"/>
              </w:rPr>
              <w:t>67</w:t>
            </w:r>
            <w:r w:rsidRPr="00842A24">
              <w:rPr>
                <w:rFonts w:ascii="Times New Roman" w:hAnsi="Times New Roman"/>
                <w:lang w:val="lt-LT"/>
              </w:rPr>
              <w:t>–</w:t>
            </w:r>
            <w:r w:rsidR="00F4612E" w:rsidRPr="00842A24">
              <w:rPr>
                <w:rFonts w:ascii="Times New Roman" w:hAnsi="Times New Roman"/>
                <w:lang w:val="lt-LT"/>
              </w:rPr>
              <w:t>0</w:t>
            </w:r>
            <w:r w:rsidRPr="00842A24">
              <w:rPr>
                <w:rFonts w:ascii="Times New Roman" w:hAnsi="Times New Roman"/>
                <w:lang w:val="lt-LT"/>
              </w:rPr>
              <w:t>,</w:t>
            </w:r>
            <w:r w:rsidR="00F4612E" w:rsidRPr="00842A24">
              <w:rPr>
                <w:rFonts w:ascii="Times New Roman" w:hAnsi="Times New Roman"/>
                <w:lang w:val="lt-LT"/>
              </w:rPr>
              <w:t>88)</w:t>
            </w:r>
          </w:p>
        </w:tc>
        <w:tc>
          <w:tcPr>
            <w:tcW w:w="844" w:type="pct"/>
            <w:shd w:val="clear" w:color="auto" w:fill="auto"/>
          </w:tcPr>
          <w:p w14:paraId="275DD786" w14:textId="77777777" w:rsidR="00F4612E" w:rsidRPr="00842A24" w:rsidRDefault="005B672A" w:rsidP="0089425E">
            <w:pPr>
              <w:pStyle w:val="TableParagraph"/>
              <w:spacing w:before="89"/>
              <w:ind w:left="507"/>
              <w:rPr>
                <w:rFonts w:ascii="Times New Roman" w:eastAsia="Arial" w:hAnsi="Times New Roman"/>
                <w:lang w:val="lt-LT"/>
              </w:rPr>
            </w:pPr>
            <w:r w:rsidRPr="00842A24">
              <w:rPr>
                <w:rFonts w:ascii="Times New Roman" w:hAnsi="Times New Roman"/>
                <w:lang w:val="lt-LT"/>
              </w:rPr>
              <w:t>0,</w:t>
            </w:r>
            <w:r w:rsidR="00F4612E" w:rsidRPr="00842A24">
              <w:rPr>
                <w:rFonts w:ascii="Times New Roman" w:hAnsi="Times New Roman"/>
                <w:lang w:val="lt-LT"/>
              </w:rPr>
              <w:t>00015</w:t>
            </w:r>
          </w:p>
        </w:tc>
      </w:tr>
      <w:tr w:rsidR="00C167DB" w:rsidRPr="00842A24" w14:paraId="243C1920" w14:textId="77777777" w:rsidTr="004B7679">
        <w:trPr>
          <w:trHeight w:val="571"/>
        </w:trPr>
        <w:tc>
          <w:tcPr>
            <w:tcW w:w="1160" w:type="pct"/>
            <w:shd w:val="clear" w:color="auto" w:fill="auto"/>
          </w:tcPr>
          <w:p w14:paraId="6DE05E05" w14:textId="77777777" w:rsidR="005B672A" w:rsidRPr="00842A24" w:rsidRDefault="005B672A" w:rsidP="0089425E">
            <w:pPr>
              <w:pStyle w:val="TableParagraph"/>
              <w:spacing w:before="92"/>
              <w:ind w:left="28"/>
              <w:rPr>
                <w:rFonts w:ascii="Times New Roman" w:eastAsia="Arial" w:hAnsi="Times New Roman"/>
                <w:lang w:val="lt-LT"/>
              </w:rPr>
            </w:pPr>
            <w:r w:rsidRPr="00842A24">
              <w:rPr>
                <w:rFonts w:ascii="Times New Roman" w:hAnsi="Times New Roman"/>
                <w:lang w:val="lt-LT"/>
              </w:rPr>
              <w:lastRenderedPageBreak/>
              <w:t>Išgyvenamumas be krūties vėžio</w:t>
            </w:r>
            <w:r w:rsidRPr="00842A24">
              <w:rPr>
                <w:rFonts w:ascii="Times New Roman" w:hAnsi="Times New Roman"/>
                <w:position w:val="7"/>
                <w:lang w:val="lt-LT"/>
              </w:rPr>
              <w:t>b</w:t>
            </w:r>
          </w:p>
        </w:tc>
        <w:tc>
          <w:tcPr>
            <w:tcW w:w="904" w:type="pct"/>
            <w:shd w:val="clear" w:color="auto" w:fill="auto"/>
          </w:tcPr>
          <w:p w14:paraId="5383CD84"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289</w:t>
            </w:r>
          </w:p>
        </w:tc>
        <w:tc>
          <w:tcPr>
            <w:tcW w:w="927" w:type="pct"/>
            <w:shd w:val="clear" w:color="auto" w:fill="auto"/>
          </w:tcPr>
          <w:p w14:paraId="027029C8"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373</w:t>
            </w:r>
          </w:p>
        </w:tc>
        <w:tc>
          <w:tcPr>
            <w:tcW w:w="1165" w:type="pct"/>
            <w:shd w:val="clear" w:color="auto" w:fill="auto"/>
          </w:tcPr>
          <w:p w14:paraId="23FF958E" w14:textId="77777777" w:rsidR="005B672A" w:rsidRPr="00842A24" w:rsidRDefault="005B672A" w:rsidP="005B672A">
            <w:pPr>
              <w:pStyle w:val="TableParagraph"/>
              <w:spacing w:before="89"/>
              <w:ind w:left="310"/>
              <w:rPr>
                <w:rFonts w:ascii="Times New Roman" w:eastAsia="Arial" w:hAnsi="Times New Roman"/>
                <w:lang w:val="lt-LT"/>
              </w:rPr>
            </w:pPr>
            <w:r w:rsidRPr="00842A24">
              <w:rPr>
                <w:rFonts w:ascii="Times New Roman" w:hAnsi="Times New Roman"/>
                <w:lang w:val="lt-LT"/>
              </w:rPr>
              <w:t>0,76</w:t>
            </w:r>
            <w:r w:rsidRPr="00842A24">
              <w:rPr>
                <w:rFonts w:ascii="Times New Roman" w:hAnsi="Times New Roman"/>
                <w:spacing w:val="13"/>
                <w:lang w:val="lt-LT"/>
              </w:rPr>
              <w:t xml:space="preserve"> </w:t>
            </w:r>
            <w:r w:rsidRPr="00842A24">
              <w:rPr>
                <w:rFonts w:ascii="Times New Roman" w:hAnsi="Times New Roman"/>
                <w:lang w:val="lt-LT"/>
              </w:rPr>
              <w:t>(95 %</w:t>
            </w:r>
            <w:r w:rsidRPr="00842A24">
              <w:rPr>
                <w:rFonts w:ascii="Times New Roman" w:hAnsi="Times New Roman"/>
                <w:spacing w:val="14"/>
                <w:lang w:val="lt-LT"/>
              </w:rPr>
              <w:t xml:space="preserve"> </w:t>
            </w:r>
            <w:r w:rsidRPr="00842A24">
              <w:rPr>
                <w:rFonts w:ascii="Times New Roman" w:hAnsi="Times New Roman"/>
                <w:lang w:val="lt-LT"/>
              </w:rPr>
              <w:t>CI:</w:t>
            </w:r>
            <w:r w:rsidRPr="00842A24">
              <w:rPr>
                <w:rFonts w:ascii="Times New Roman" w:hAnsi="Times New Roman"/>
                <w:spacing w:val="14"/>
                <w:lang w:val="lt-LT"/>
              </w:rPr>
              <w:t xml:space="preserve"> </w:t>
            </w:r>
            <w:r w:rsidRPr="00842A24">
              <w:rPr>
                <w:rFonts w:ascii="Times New Roman" w:hAnsi="Times New Roman"/>
                <w:lang w:val="lt-LT"/>
              </w:rPr>
              <w:t>0,65–0,89)</w:t>
            </w:r>
          </w:p>
        </w:tc>
        <w:tc>
          <w:tcPr>
            <w:tcW w:w="844" w:type="pct"/>
            <w:shd w:val="clear" w:color="auto" w:fill="auto"/>
          </w:tcPr>
          <w:p w14:paraId="1F192F66" w14:textId="77777777" w:rsidR="005B672A" w:rsidRPr="00842A24" w:rsidRDefault="005B672A" w:rsidP="0089425E">
            <w:pPr>
              <w:pStyle w:val="TableParagraph"/>
              <w:spacing w:before="89"/>
              <w:ind w:left="507"/>
              <w:rPr>
                <w:rFonts w:ascii="Times New Roman" w:eastAsia="Arial" w:hAnsi="Times New Roman"/>
                <w:lang w:val="lt-LT"/>
              </w:rPr>
            </w:pPr>
            <w:r w:rsidRPr="00842A24">
              <w:rPr>
                <w:rFonts w:ascii="Times New Roman" w:hAnsi="Times New Roman"/>
                <w:lang w:val="lt-LT"/>
              </w:rPr>
              <w:t>0,00041</w:t>
            </w:r>
          </w:p>
        </w:tc>
      </w:tr>
      <w:tr w:rsidR="00C167DB" w:rsidRPr="00842A24" w14:paraId="01C99899" w14:textId="77777777" w:rsidTr="004B7679">
        <w:trPr>
          <w:trHeight w:val="571"/>
        </w:trPr>
        <w:tc>
          <w:tcPr>
            <w:tcW w:w="1160" w:type="pct"/>
            <w:shd w:val="clear" w:color="auto" w:fill="auto"/>
          </w:tcPr>
          <w:p w14:paraId="309C9587" w14:textId="77777777" w:rsidR="005B672A" w:rsidRPr="00842A24" w:rsidRDefault="005B672A" w:rsidP="0089425E">
            <w:pPr>
              <w:pStyle w:val="TableParagraph"/>
              <w:spacing w:before="89"/>
              <w:ind w:left="28"/>
              <w:rPr>
                <w:rFonts w:ascii="Times New Roman" w:eastAsia="Arial" w:hAnsi="Times New Roman"/>
                <w:lang w:val="lt-LT"/>
              </w:rPr>
            </w:pPr>
            <w:r w:rsidRPr="00842A24">
              <w:rPr>
                <w:rFonts w:ascii="Times New Roman" w:hAnsi="Times New Roman"/>
                <w:lang w:val="lt-LT"/>
              </w:rPr>
              <w:t>Kitos krūties vėžys</w:t>
            </w:r>
          </w:p>
        </w:tc>
        <w:tc>
          <w:tcPr>
            <w:tcW w:w="904" w:type="pct"/>
            <w:shd w:val="clear" w:color="auto" w:fill="auto"/>
          </w:tcPr>
          <w:p w14:paraId="022118AA"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20</w:t>
            </w:r>
          </w:p>
        </w:tc>
        <w:tc>
          <w:tcPr>
            <w:tcW w:w="927" w:type="pct"/>
            <w:shd w:val="clear" w:color="auto" w:fill="auto"/>
          </w:tcPr>
          <w:p w14:paraId="4ABBE336"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35</w:t>
            </w:r>
          </w:p>
        </w:tc>
        <w:tc>
          <w:tcPr>
            <w:tcW w:w="1165" w:type="pct"/>
            <w:shd w:val="clear" w:color="auto" w:fill="auto"/>
          </w:tcPr>
          <w:p w14:paraId="250863F7" w14:textId="77777777" w:rsidR="005B672A" w:rsidRPr="00842A24" w:rsidRDefault="005B672A" w:rsidP="005B672A">
            <w:pPr>
              <w:pStyle w:val="TableParagraph"/>
              <w:spacing w:before="89"/>
              <w:ind w:left="310"/>
              <w:rPr>
                <w:rFonts w:ascii="Times New Roman" w:eastAsia="Arial" w:hAnsi="Times New Roman"/>
                <w:lang w:val="lt-LT"/>
              </w:rPr>
            </w:pPr>
            <w:r w:rsidRPr="00842A24">
              <w:rPr>
                <w:rFonts w:ascii="Times New Roman" w:hAnsi="Times New Roman"/>
                <w:lang w:val="lt-LT"/>
              </w:rPr>
              <w:t>0,57</w:t>
            </w:r>
            <w:r w:rsidRPr="00842A24">
              <w:rPr>
                <w:rFonts w:ascii="Times New Roman" w:hAnsi="Times New Roman"/>
                <w:spacing w:val="13"/>
                <w:lang w:val="lt-LT"/>
              </w:rPr>
              <w:t xml:space="preserve"> </w:t>
            </w:r>
            <w:r w:rsidRPr="00842A24">
              <w:rPr>
                <w:rFonts w:ascii="Times New Roman" w:hAnsi="Times New Roman"/>
                <w:lang w:val="lt-LT"/>
              </w:rPr>
              <w:t>(95 %</w:t>
            </w:r>
            <w:r w:rsidRPr="00842A24">
              <w:rPr>
                <w:rFonts w:ascii="Times New Roman" w:hAnsi="Times New Roman"/>
                <w:spacing w:val="14"/>
                <w:lang w:val="lt-LT"/>
              </w:rPr>
              <w:t xml:space="preserve"> </w:t>
            </w:r>
            <w:r w:rsidRPr="00842A24">
              <w:rPr>
                <w:rFonts w:ascii="Times New Roman" w:hAnsi="Times New Roman"/>
                <w:lang w:val="lt-LT"/>
              </w:rPr>
              <w:t>CI:</w:t>
            </w:r>
            <w:r w:rsidRPr="00842A24">
              <w:rPr>
                <w:rFonts w:ascii="Times New Roman" w:hAnsi="Times New Roman"/>
                <w:spacing w:val="14"/>
                <w:lang w:val="lt-LT"/>
              </w:rPr>
              <w:t xml:space="preserve"> </w:t>
            </w:r>
            <w:r w:rsidRPr="00842A24">
              <w:rPr>
                <w:rFonts w:ascii="Times New Roman" w:hAnsi="Times New Roman"/>
                <w:lang w:val="lt-LT"/>
              </w:rPr>
              <w:t>0,33–0,99)</w:t>
            </w:r>
          </w:p>
        </w:tc>
        <w:tc>
          <w:tcPr>
            <w:tcW w:w="844" w:type="pct"/>
            <w:shd w:val="clear" w:color="auto" w:fill="auto"/>
          </w:tcPr>
          <w:p w14:paraId="4DEFC0F0" w14:textId="77777777" w:rsidR="005B672A" w:rsidRPr="00842A24" w:rsidRDefault="005B672A" w:rsidP="0089425E">
            <w:pPr>
              <w:pStyle w:val="TableParagraph"/>
              <w:spacing w:before="89"/>
              <w:ind w:left="507"/>
              <w:rPr>
                <w:rFonts w:ascii="Times New Roman" w:eastAsia="Arial" w:hAnsi="Times New Roman"/>
                <w:lang w:val="lt-LT"/>
              </w:rPr>
            </w:pPr>
            <w:r w:rsidRPr="00842A24">
              <w:rPr>
                <w:rFonts w:ascii="Times New Roman" w:hAnsi="Times New Roman"/>
                <w:lang w:val="lt-LT"/>
              </w:rPr>
              <w:t>0,04158</w:t>
            </w:r>
          </w:p>
        </w:tc>
      </w:tr>
      <w:tr w:rsidR="00C167DB" w:rsidRPr="00842A24" w14:paraId="0EAEF6C9" w14:textId="77777777" w:rsidTr="004B7679">
        <w:trPr>
          <w:trHeight w:val="571"/>
        </w:trPr>
        <w:tc>
          <w:tcPr>
            <w:tcW w:w="1160" w:type="pct"/>
            <w:shd w:val="clear" w:color="auto" w:fill="auto"/>
          </w:tcPr>
          <w:p w14:paraId="2DEFDE28" w14:textId="77777777" w:rsidR="005B672A" w:rsidRPr="00842A24" w:rsidRDefault="005B672A" w:rsidP="0089425E">
            <w:pPr>
              <w:pStyle w:val="TableParagraph"/>
              <w:spacing w:before="92"/>
              <w:ind w:left="28"/>
              <w:rPr>
                <w:rFonts w:ascii="Times New Roman" w:eastAsia="Arial" w:hAnsi="Times New Roman"/>
                <w:lang w:val="lt-LT"/>
              </w:rPr>
            </w:pPr>
            <w:r w:rsidRPr="00842A24">
              <w:rPr>
                <w:rFonts w:ascii="Times New Roman" w:hAnsi="Times New Roman"/>
                <w:lang w:val="lt-LT"/>
              </w:rPr>
              <w:t>Išgyvenamumas be atokaus ligos pasikartojimo</w:t>
            </w:r>
            <w:r w:rsidRPr="00842A24">
              <w:rPr>
                <w:rFonts w:ascii="Times New Roman" w:hAnsi="Times New Roman"/>
                <w:spacing w:val="-1"/>
                <w:position w:val="7"/>
                <w:lang w:val="lt-LT"/>
              </w:rPr>
              <w:t>c</w:t>
            </w:r>
          </w:p>
        </w:tc>
        <w:tc>
          <w:tcPr>
            <w:tcW w:w="904" w:type="pct"/>
            <w:shd w:val="clear" w:color="auto" w:fill="auto"/>
          </w:tcPr>
          <w:p w14:paraId="662A5D54"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248</w:t>
            </w:r>
          </w:p>
        </w:tc>
        <w:tc>
          <w:tcPr>
            <w:tcW w:w="927" w:type="pct"/>
            <w:shd w:val="clear" w:color="auto" w:fill="auto"/>
          </w:tcPr>
          <w:p w14:paraId="024B4439"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297</w:t>
            </w:r>
          </w:p>
        </w:tc>
        <w:tc>
          <w:tcPr>
            <w:tcW w:w="1165" w:type="pct"/>
            <w:shd w:val="clear" w:color="auto" w:fill="auto"/>
          </w:tcPr>
          <w:p w14:paraId="1C84F6FB" w14:textId="77777777" w:rsidR="005B672A" w:rsidRPr="00842A24" w:rsidRDefault="005B672A" w:rsidP="005B672A">
            <w:pPr>
              <w:pStyle w:val="TableParagraph"/>
              <w:spacing w:before="89"/>
              <w:ind w:left="310"/>
              <w:rPr>
                <w:rFonts w:ascii="Times New Roman" w:eastAsia="Arial" w:hAnsi="Times New Roman"/>
                <w:lang w:val="lt-LT"/>
              </w:rPr>
            </w:pPr>
            <w:r w:rsidRPr="00842A24">
              <w:rPr>
                <w:rFonts w:ascii="Times New Roman" w:hAnsi="Times New Roman"/>
                <w:lang w:val="lt-LT"/>
              </w:rPr>
              <w:t>0,83</w:t>
            </w:r>
            <w:r w:rsidRPr="00842A24">
              <w:rPr>
                <w:rFonts w:ascii="Times New Roman" w:hAnsi="Times New Roman"/>
                <w:spacing w:val="13"/>
                <w:lang w:val="lt-LT"/>
              </w:rPr>
              <w:t xml:space="preserve"> </w:t>
            </w:r>
            <w:r w:rsidRPr="00842A24">
              <w:rPr>
                <w:rFonts w:ascii="Times New Roman" w:hAnsi="Times New Roman"/>
                <w:lang w:val="lt-LT"/>
              </w:rPr>
              <w:t>(95 %</w:t>
            </w:r>
            <w:r w:rsidRPr="00842A24">
              <w:rPr>
                <w:rFonts w:ascii="Times New Roman" w:hAnsi="Times New Roman"/>
                <w:spacing w:val="14"/>
                <w:lang w:val="lt-LT"/>
              </w:rPr>
              <w:t xml:space="preserve"> </w:t>
            </w:r>
            <w:r w:rsidRPr="00842A24">
              <w:rPr>
                <w:rFonts w:ascii="Times New Roman" w:hAnsi="Times New Roman"/>
                <w:lang w:val="lt-LT"/>
              </w:rPr>
              <w:t>CI:</w:t>
            </w:r>
            <w:r w:rsidRPr="00842A24">
              <w:rPr>
                <w:rFonts w:ascii="Times New Roman" w:hAnsi="Times New Roman"/>
                <w:spacing w:val="14"/>
                <w:lang w:val="lt-LT"/>
              </w:rPr>
              <w:t xml:space="preserve"> </w:t>
            </w:r>
            <w:r w:rsidRPr="00842A24">
              <w:rPr>
                <w:rFonts w:ascii="Times New Roman" w:hAnsi="Times New Roman"/>
                <w:lang w:val="lt-LT"/>
              </w:rPr>
              <w:t>0,70–0,98)</w:t>
            </w:r>
          </w:p>
        </w:tc>
        <w:tc>
          <w:tcPr>
            <w:tcW w:w="844" w:type="pct"/>
            <w:shd w:val="clear" w:color="auto" w:fill="auto"/>
          </w:tcPr>
          <w:p w14:paraId="3403BE79" w14:textId="77777777" w:rsidR="005B672A" w:rsidRPr="00842A24" w:rsidRDefault="005B672A" w:rsidP="0089425E">
            <w:pPr>
              <w:pStyle w:val="TableParagraph"/>
              <w:spacing w:before="89"/>
              <w:ind w:left="507"/>
              <w:rPr>
                <w:rFonts w:ascii="Times New Roman" w:eastAsia="Arial" w:hAnsi="Times New Roman"/>
                <w:lang w:val="lt-LT"/>
              </w:rPr>
            </w:pPr>
            <w:r w:rsidRPr="00842A24">
              <w:rPr>
                <w:rFonts w:ascii="Times New Roman" w:hAnsi="Times New Roman"/>
                <w:lang w:val="lt-LT"/>
              </w:rPr>
              <w:t>0,02621</w:t>
            </w:r>
          </w:p>
        </w:tc>
      </w:tr>
      <w:tr w:rsidR="00C167DB" w:rsidRPr="00842A24" w14:paraId="1E719E8A" w14:textId="77777777" w:rsidTr="004B7679">
        <w:trPr>
          <w:trHeight w:val="571"/>
        </w:trPr>
        <w:tc>
          <w:tcPr>
            <w:tcW w:w="1160" w:type="pct"/>
            <w:shd w:val="clear" w:color="auto" w:fill="auto"/>
          </w:tcPr>
          <w:p w14:paraId="693E33CA" w14:textId="77777777" w:rsidR="005B672A" w:rsidRPr="00842A24" w:rsidRDefault="005B672A" w:rsidP="0089425E">
            <w:pPr>
              <w:pStyle w:val="TableParagraph"/>
              <w:spacing w:before="92"/>
              <w:ind w:left="28"/>
              <w:rPr>
                <w:rFonts w:ascii="Times New Roman" w:eastAsia="Arial" w:hAnsi="Times New Roman"/>
                <w:lang w:val="lt-LT"/>
              </w:rPr>
            </w:pPr>
            <w:r w:rsidRPr="00842A24">
              <w:rPr>
                <w:rFonts w:ascii="Times New Roman" w:hAnsi="Times New Roman"/>
                <w:lang w:val="lt-LT"/>
              </w:rPr>
              <w:t>Bendrasis išgyvenamumas</w:t>
            </w:r>
            <w:r w:rsidRPr="00842A24">
              <w:rPr>
                <w:rFonts w:ascii="Times New Roman" w:hAnsi="Times New Roman"/>
                <w:spacing w:val="-1"/>
                <w:position w:val="7"/>
                <w:lang w:val="lt-LT"/>
              </w:rPr>
              <w:t>d</w:t>
            </w:r>
          </w:p>
        </w:tc>
        <w:tc>
          <w:tcPr>
            <w:tcW w:w="904" w:type="pct"/>
            <w:shd w:val="clear" w:color="auto" w:fill="auto"/>
          </w:tcPr>
          <w:p w14:paraId="1255C41F"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222</w:t>
            </w:r>
          </w:p>
        </w:tc>
        <w:tc>
          <w:tcPr>
            <w:tcW w:w="927" w:type="pct"/>
            <w:shd w:val="clear" w:color="auto" w:fill="auto"/>
          </w:tcPr>
          <w:p w14:paraId="7F5196C6"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262</w:t>
            </w:r>
          </w:p>
        </w:tc>
        <w:tc>
          <w:tcPr>
            <w:tcW w:w="1165" w:type="pct"/>
            <w:shd w:val="clear" w:color="auto" w:fill="auto"/>
          </w:tcPr>
          <w:p w14:paraId="78122F00" w14:textId="77777777" w:rsidR="005B672A" w:rsidRPr="00842A24" w:rsidRDefault="005B672A" w:rsidP="005B672A">
            <w:pPr>
              <w:pStyle w:val="TableParagraph"/>
              <w:spacing w:before="89"/>
              <w:ind w:left="310"/>
              <w:rPr>
                <w:rFonts w:ascii="Times New Roman" w:eastAsia="Arial" w:hAnsi="Times New Roman"/>
                <w:lang w:val="lt-LT"/>
              </w:rPr>
            </w:pPr>
            <w:r w:rsidRPr="00842A24">
              <w:rPr>
                <w:rFonts w:ascii="Times New Roman" w:hAnsi="Times New Roman"/>
                <w:lang w:val="lt-LT"/>
              </w:rPr>
              <w:t>0,85</w:t>
            </w:r>
            <w:r w:rsidRPr="00842A24">
              <w:rPr>
                <w:rFonts w:ascii="Times New Roman" w:hAnsi="Times New Roman"/>
                <w:spacing w:val="13"/>
                <w:lang w:val="lt-LT"/>
              </w:rPr>
              <w:t xml:space="preserve"> </w:t>
            </w:r>
            <w:r w:rsidRPr="00842A24">
              <w:rPr>
                <w:rFonts w:ascii="Times New Roman" w:hAnsi="Times New Roman"/>
                <w:lang w:val="lt-LT"/>
              </w:rPr>
              <w:t>(95 %</w:t>
            </w:r>
            <w:r w:rsidRPr="00842A24">
              <w:rPr>
                <w:rFonts w:ascii="Times New Roman" w:hAnsi="Times New Roman"/>
                <w:spacing w:val="14"/>
                <w:lang w:val="lt-LT"/>
              </w:rPr>
              <w:t xml:space="preserve"> </w:t>
            </w:r>
            <w:r w:rsidRPr="00842A24">
              <w:rPr>
                <w:rFonts w:ascii="Times New Roman" w:hAnsi="Times New Roman"/>
                <w:lang w:val="lt-LT"/>
              </w:rPr>
              <w:t>CI:</w:t>
            </w:r>
            <w:r w:rsidRPr="00842A24">
              <w:rPr>
                <w:rFonts w:ascii="Times New Roman" w:hAnsi="Times New Roman"/>
                <w:spacing w:val="14"/>
                <w:lang w:val="lt-LT"/>
              </w:rPr>
              <w:t xml:space="preserve"> </w:t>
            </w:r>
            <w:r w:rsidRPr="00842A24">
              <w:rPr>
                <w:rFonts w:ascii="Times New Roman" w:hAnsi="Times New Roman"/>
                <w:lang w:val="lt-LT"/>
              </w:rPr>
              <w:t>0,71–1,02)</w:t>
            </w:r>
          </w:p>
        </w:tc>
        <w:tc>
          <w:tcPr>
            <w:tcW w:w="844" w:type="pct"/>
            <w:shd w:val="clear" w:color="auto" w:fill="auto"/>
          </w:tcPr>
          <w:p w14:paraId="6CA2039D" w14:textId="77777777" w:rsidR="005B672A" w:rsidRPr="00842A24" w:rsidRDefault="005B672A" w:rsidP="0089425E">
            <w:pPr>
              <w:pStyle w:val="TableParagraph"/>
              <w:spacing w:before="89"/>
              <w:ind w:left="507"/>
              <w:rPr>
                <w:rFonts w:ascii="Times New Roman" w:eastAsia="Arial" w:hAnsi="Times New Roman"/>
                <w:lang w:val="lt-LT"/>
              </w:rPr>
            </w:pPr>
            <w:r w:rsidRPr="00842A24">
              <w:rPr>
                <w:rFonts w:ascii="Times New Roman" w:hAnsi="Times New Roman"/>
                <w:lang w:val="lt-LT"/>
              </w:rPr>
              <w:t>0,07362</w:t>
            </w:r>
          </w:p>
        </w:tc>
      </w:tr>
      <w:tr w:rsidR="00F4612E" w:rsidRPr="00842A24" w14:paraId="187C5B34" w14:textId="77777777" w:rsidTr="00695E53">
        <w:trPr>
          <w:trHeight w:val="571"/>
        </w:trPr>
        <w:tc>
          <w:tcPr>
            <w:tcW w:w="5000" w:type="pct"/>
            <w:gridSpan w:val="5"/>
            <w:shd w:val="clear" w:color="auto" w:fill="auto"/>
          </w:tcPr>
          <w:p w14:paraId="07DBDB65" w14:textId="77777777" w:rsidR="00F4612E" w:rsidRPr="00842A24" w:rsidRDefault="005B672A" w:rsidP="005B672A">
            <w:pPr>
              <w:pStyle w:val="TableParagraph"/>
              <w:spacing w:before="89"/>
              <w:ind w:left="28"/>
              <w:rPr>
                <w:rFonts w:ascii="Times New Roman" w:eastAsia="Arial" w:hAnsi="Times New Roman"/>
                <w:lang w:val="lt-LT"/>
              </w:rPr>
            </w:pPr>
            <w:r w:rsidRPr="00842A24">
              <w:rPr>
                <w:rFonts w:ascii="Times New Roman" w:hAnsi="Times New Roman"/>
                <w:b/>
                <w:lang w:val="lt-LT"/>
              </w:rPr>
              <w:t>Vidutinis 30 mėnesių trukmės gydymas ir vidutinis 87 mėnesių tolimesnis stebėjimas</w:t>
            </w:r>
          </w:p>
        </w:tc>
      </w:tr>
      <w:tr w:rsidR="00C167DB" w:rsidRPr="00842A24" w14:paraId="72016EF1" w14:textId="77777777" w:rsidTr="004B7679">
        <w:trPr>
          <w:trHeight w:val="571"/>
        </w:trPr>
        <w:tc>
          <w:tcPr>
            <w:tcW w:w="1160" w:type="pct"/>
            <w:shd w:val="clear" w:color="auto" w:fill="auto"/>
          </w:tcPr>
          <w:p w14:paraId="75C3A57E" w14:textId="77777777" w:rsidR="005B672A" w:rsidRPr="00842A24" w:rsidRDefault="005B672A" w:rsidP="0089425E">
            <w:pPr>
              <w:pStyle w:val="TableParagraph"/>
              <w:spacing w:before="92"/>
              <w:ind w:left="28"/>
              <w:rPr>
                <w:rFonts w:ascii="Times New Roman" w:eastAsia="Arial" w:hAnsi="Times New Roman"/>
                <w:lang w:val="lt-LT"/>
              </w:rPr>
            </w:pPr>
            <w:r w:rsidRPr="00842A24">
              <w:rPr>
                <w:rFonts w:ascii="Times New Roman" w:hAnsi="Times New Roman"/>
                <w:lang w:val="lt-LT"/>
              </w:rPr>
              <w:t>Išgyvenamumas be ligos progresavimo</w:t>
            </w:r>
            <w:r w:rsidRPr="00842A24">
              <w:rPr>
                <w:rFonts w:ascii="Times New Roman" w:hAnsi="Times New Roman"/>
                <w:spacing w:val="-1"/>
                <w:position w:val="7"/>
                <w:lang w:val="lt-LT"/>
              </w:rPr>
              <w:t>a</w:t>
            </w:r>
          </w:p>
        </w:tc>
        <w:tc>
          <w:tcPr>
            <w:tcW w:w="904" w:type="pct"/>
            <w:shd w:val="clear" w:color="auto" w:fill="auto"/>
          </w:tcPr>
          <w:p w14:paraId="6DB0B72D"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552</w:t>
            </w:r>
          </w:p>
        </w:tc>
        <w:tc>
          <w:tcPr>
            <w:tcW w:w="927" w:type="pct"/>
            <w:shd w:val="clear" w:color="auto" w:fill="auto"/>
          </w:tcPr>
          <w:p w14:paraId="2F702279"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641</w:t>
            </w:r>
          </w:p>
        </w:tc>
        <w:tc>
          <w:tcPr>
            <w:tcW w:w="1165" w:type="pct"/>
            <w:shd w:val="clear" w:color="auto" w:fill="auto"/>
          </w:tcPr>
          <w:p w14:paraId="7BE74FCC" w14:textId="77777777" w:rsidR="005B672A" w:rsidRPr="00842A24" w:rsidRDefault="005B672A" w:rsidP="005B672A">
            <w:pPr>
              <w:pStyle w:val="TableParagraph"/>
              <w:spacing w:before="89"/>
              <w:ind w:left="310"/>
              <w:rPr>
                <w:rFonts w:ascii="Times New Roman" w:eastAsia="Arial" w:hAnsi="Times New Roman"/>
                <w:lang w:val="lt-LT"/>
              </w:rPr>
            </w:pPr>
            <w:r w:rsidRPr="00842A24">
              <w:rPr>
                <w:rFonts w:ascii="Times New Roman" w:hAnsi="Times New Roman"/>
                <w:lang w:val="lt-LT"/>
              </w:rPr>
              <w:t>0,84</w:t>
            </w:r>
            <w:r w:rsidRPr="00842A24">
              <w:rPr>
                <w:rFonts w:ascii="Times New Roman" w:hAnsi="Times New Roman"/>
                <w:spacing w:val="13"/>
                <w:lang w:val="lt-LT"/>
              </w:rPr>
              <w:t xml:space="preserve"> </w:t>
            </w:r>
            <w:r w:rsidRPr="00842A24">
              <w:rPr>
                <w:rFonts w:ascii="Times New Roman" w:hAnsi="Times New Roman"/>
                <w:lang w:val="lt-LT"/>
              </w:rPr>
              <w:t>(95 %</w:t>
            </w:r>
            <w:r w:rsidRPr="00842A24">
              <w:rPr>
                <w:rFonts w:ascii="Times New Roman" w:hAnsi="Times New Roman"/>
                <w:spacing w:val="14"/>
                <w:lang w:val="lt-LT"/>
              </w:rPr>
              <w:t xml:space="preserve"> </w:t>
            </w:r>
            <w:r w:rsidRPr="00842A24">
              <w:rPr>
                <w:rFonts w:ascii="Times New Roman" w:hAnsi="Times New Roman"/>
                <w:lang w:val="lt-LT"/>
              </w:rPr>
              <w:t>CI:</w:t>
            </w:r>
            <w:r w:rsidRPr="00842A24">
              <w:rPr>
                <w:rFonts w:ascii="Times New Roman" w:hAnsi="Times New Roman"/>
                <w:spacing w:val="14"/>
                <w:lang w:val="lt-LT"/>
              </w:rPr>
              <w:t xml:space="preserve"> </w:t>
            </w:r>
            <w:r w:rsidRPr="00842A24">
              <w:rPr>
                <w:rFonts w:ascii="Times New Roman" w:hAnsi="Times New Roman"/>
                <w:lang w:val="lt-LT"/>
              </w:rPr>
              <w:t>0,75–0,94)</w:t>
            </w:r>
          </w:p>
        </w:tc>
        <w:tc>
          <w:tcPr>
            <w:tcW w:w="844" w:type="pct"/>
            <w:shd w:val="clear" w:color="auto" w:fill="auto"/>
          </w:tcPr>
          <w:p w14:paraId="73ED4F20"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0,002</w:t>
            </w:r>
          </w:p>
        </w:tc>
      </w:tr>
      <w:tr w:rsidR="00C167DB" w:rsidRPr="00842A24" w14:paraId="3B00A47B" w14:textId="77777777" w:rsidTr="004B7679">
        <w:trPr>
          <w:trHeight w:val="571"/>
        </w:trPr>
        <w:tc>
          <w:tcPr>
            <w:tcW w:w="1160" w:type="pct"/>
            <w:shd w:val="clear" w:color="auto" w:fill="auto"/>
          </w:tcPr>
          <w:p w14:paraId="3C09F82E" w14:textId="77777777" w:rsidR="005B672A" w:rsidRPr="00842A24" w:rsidRDefault="005B672A" w:rsidP="0089425E">
            <w:pPr>
              <w:pStyle w:val="TableParagraph"/>
              <w:spacing w:before="92"/>
              <w:ind w:left="28"/>
              <w:rPr>
                <w:rFonts w:ascii="Times New Roman" w:eastAsia="Arial" w:hAnsi="Times New Roman"/>
                <w:lang w:val="lt-LT"/>
              </w:rPr>
            </w:pPr>
            <w:r w:rsidRPr="00842A24">
              <w:rPr>
                <w:rFonts w:ascii="Times New Roman" w:hAnsi="Times New Roman"/>
                <w:lang w:val="lt-LT"/>
              </w:rPr>
              <w:t>Išgyvenamumas be krūties vėžio</w:t>
            </w:r>
            <w:r w:rsidRPr="00842A24">
              <w:rPr>
                <w:rFonts w:ascii="Times New Roman" w:hAnsi="Times New Roman"/>
                <w:position w:val="7"/>
                <w:lang w:val="lt-LT"/>
              </w:rPr>
              <w:t>b</w:t>
            </w:r>
          </w:p>
        </w:tc>
        <w:tc>
          <w:tcPr>
            <w:tcW w:w="904" w:type="pct"/>
            <w:shd w:val="clear" w:color="auto" w:fill="auto"/>
          </w:tcPr>
          <w:p w14:paraId="6582D473"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434</w:t>
            </w:r>
          </w:p>
        </w:tc>
        <w:tc>
          <w:tcPr>
            <w:tcW w:w="927" w:type="pct"/>
            <w:shd w:val="clear" w:color="auto" w:fill="auto"/>
          </w:tcPr>
          <w:p w14:paraId="671D3483"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513</w:t>
            </w:r>
          </w:p>
        </w:tc>
        <w:tc>
          <w:tcPr>
            <w:tcW w:w="1165" w:type="pct"/>
            <w:shd w:val="clear" w:color="auto" w:fill="auto"/>
          </w:tcPr>
          <w:p w14:paraId="667485A4" w14:textId="77777777" w:rsidR="005B672A" w:rsidRPr="00842A24" w:rsidRDefault="005B672A" w:rsidP="005B672A">
            <w:pPr>
              <w:pStyle w:val="TableParagraph"/>
              <w:spacing w:before="89"/>
              <w:ind w:left="310"/>
              <w:rPr>
                <w:rFonts w:ascii="Times New Roman" w:eastAsia="Arial" w:hAnsi="Times New Roman"/>
                <w:lang w:val="lt-LT"/>
              </w:rPr>
            </w:pPr>
            <w:r w:rsidRPr="00842A24">
              <w:rPr>
                <w:rFonts w:ascii="Times New Roman" w:hAnsi="Times New Roman"/>
                <w:lang w:val="lt-LT"/>
              </w:rPr>
              <w:t>0,82</w:t>
            </w:r>
            <w:r w:rsidRPr="00842A24">
              <w:rPr>
                <w:rFonts w:ascii="Times New Roman" w:hAnsi="Times New Roman"/>
                <w:spacing w:val="13"/>
                <w:lang w:val="lt-LT"/>
              </w:rPr>
              <w:t xml:space="preserve"> </w:t>
            </w:r>
            <w:r w:rsidRPr="00842A24">
              <w:rPr>
                <w:rFonts w:ascii="Times New Roman" w:hAnsi="Times New Roman"/>
                <w:lang w:val="lt-LT"/>
              </w:rPr>
              <w:t>(95 %</w:t>
            </w:r>
            <w:r w:rsidRPr="00842A24">
              <w:rPr>
                <w:rFonts w:ascii="Times New Roman" w:hAnsi="Times New Roman"/>
                <w:spacing w:val="14"/>
                <w:lang w:val="lt-LT"/>
              </w:rPr>
              <w:t xml:space="preserve"> </w:t>
            </w:r>
            <w:r w:rsidRPr="00842A24">
              <w:rPr>
                <w:rFonts w:ascii="Times New Roman" w:hAnsi="Times New Roman"/>
                <w:lang w:val="lt-LT"/>
              </w:rPr>
              <w:t>CI:</w:t>
            </w:r>
            <w:r w:rsidRPr="00842A24">
              <w:rPr>
                <w:rFonts w:ascii="Times New Roman" w:hAnsi="Times New Roman"/>
                <w:spacing w:val="14"/>
                <w:lang w:val="lt-LT"/>
              </w:rPr>
              <w:t xml:space="preserve"> </w:t>
            </w:r>
            <w:r w:rsidRPr="00842A24">
              <w:rPr>
                <w:rFonts w:ascii="Times New Roman" w:hAnsi="Times New Roman"/>
                <w:lang w:val="lt-LT"/>
              </w:rPr>
              <w:t>0,72–0,94)</w:t>
            </w:r>
          </w:p>
        </w:tc>
        <w:tc>
          <w:tcPr>
            <w:tcW w:w="844" w:type="pct"/>
            <w:shd w:val="clear" w:color="auto" w:fill="auto"/>
          </w:tcPr>
          <w:p w14:paraId="1F37CEAE" w14:textId="77777777" w:rsidR="005B672A" w:rsidRPr="00842A24" w:rsidRDefault="005B672A" w:rsidP="0089425E">
            <w:pPr>
              <w:pStyle w:val="TableParagraph"/>
              <w:spacing w:before="89"/>
              <w:ind w:left="507"/>
              <w:rPr>
                <w:rFonts w:ascii="Times New Roman" w:eastAsia="Arial" w:hAnsi="Times New Roman"/>
                <w:lang w:val="lt-LT"/>
              </w:rPr>
            </w:pPr>
            <w:r w:rsidRPr="00842A24">
              <w:rPr>
                <w:rFonts w:ascii="Times New Roman" w:hAnsi="Times New Roman"/>
                <w:lang w:val="lt-LT"/>
              </w:rPr>
              <w:t>0,00263</w:t>
            </w:r>
          </w:p>
        </w:tc>
      </w:tr>
      <w:tr w:rsidR="00C167DB" w:rsidRPr="00842A24" w14:paraId="160F6580" w14:textId="77777777" w:rsidTr="004B7679">
        <w:trPr>
          <w:trHeight w:val="571"/>
        </w:trPr>
        <w:tc>
          <w:tcPr>
            <w:tcW w:w="1160" w:type="pct"/>
            <w:shd w:val="clear" w:color="auto" w:fill="auto"/>
          </w:tcPr>
          <w:p w14:paraId="22B2D029" w14:textId="77777777" w:rsidR="005B672A" w:rsidRPr="00842A24" w:rsidRDefault="005B672A" w:rsidP="0089425E">
            <w:pPr>
              <w:pStyle w:val="TableParagraph"/>
              <w:spacing w:before="89"/>
              <w:ind w:left="28"/>
              <w:rPr>
                <w:rFonts w:ascii="Times New Roman" w:eastAsia="Arial" w:hAnsi="Times New Roman"/>
                <w:lang w:val="lt-LT"/>
              </w:rPr>
            </w:pPr>
            <w:r w:rsidRPr="00842A24">
              <w:rPr>
                <w:rFonts w:ascii="Times New Roman" w:hAnsi="Times New Roman"/>
                <w:lang w:val="lt-LT"/>
              </w:rPr>
              <w:t>Kitos krūties vėžys</w:t>
            </w:r>
          </w:p>
        </w:tc>
        <w:tc>
          <w:tcPr>
            <w:tcW w:w="904" w:type="pct"/>
            <w:shd w:val="clear" w:color="auto" w:fill="auto"/>
          </w:tcPr>
          <w:p w14:paraId="40E887B1"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43</w:t>
            </w:r>
          </w:p>
        </w:tc>
        <w:tc>
          <w:tcPr>
            <w:tcW w:w="927" w:type="pct"/>
            <w:shd w:val="clear" w:color="auto" w:fill="auto"/>
          </w:tcPr>
          <w:p w14:paraId="33AA6020"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58</w:t>
            </w:r>
          </w:p>
        </w:tc>
        <w:tc>
          <w:tcPr>
            <w:tcW w:w="1165" w:type="pct"/>
            <w:shd w:val="clear" w:color="auto" w:fill="auto"/>
          </w:tcPr>
          <w:p w14:paraId="2A3688C3" w14:textId="77777777" w:rsidR="005B672A" w:rsidRPr="00842A24" w:rsidRDefault="005B672A" w:rsidP="005B672A">
            <w:pPr>
              <w:pStyle w:val="TableParagraph"/>
              <w:spacing w:before="89"/>
              <w:ind w:left="310"/>
              <w:rPr>
                <w:rFonts w:ascii="Times New Roman" w:eastAsia="Arial" w:hAnsi="Times New Roman"/>
                <w:lang w:val="lt-LT"/>
              </w:rPr>
            </w:pPr>
            <w:r w:rsidRPr="00842A24">
              <w:rPr>
                <w:rFonts w:ascii="Times New Roman" w:hAnsi="Times New Roman"/>
                <w:lang w:val="lt-LT"/>
              </w:rPr>
              <w:t>0,74</w:t>
            </w:r>
            <w:r w:rsidRPr="00842A24">
              <w:rPr>
                <w:rFonts w:ascii="Times New Roman" w:hAnsi="Times New Roman"/>
                <w:spacing w:val="13"/>
                <w:lang w:val="lt-LT"/>
              </w:rPr>
              <w:t xml:space="preserve"> </w:t>
            </w:r>
            <w:r w:rsidRPr="00842A24">
              <w:rPr>
                <w:rFonts w:ascii="Times New Roman" w:hAnsi="Times New Roman"/>
                <w:lang w:val="lt-LT"/>
              </w:rPr>
              <w:t>(95 %</w:t>
            </w:r>
            <w:r w:rsidRPr="00842A24">
              <w:rPr>
                <w:rFonts w:ascii="Times New Roman" w:hAnsi="Times New Roman"/>
                <w:spacing w:val="14"/>
                <w:lang w:val="lt-LT"/>
              </w:rPr>
              <w:t xml:space="preserve"> </w:t>
            </w:r>
            <w:r w:rsidRPr="00842A24">
              <w:rPr>
                <w:rFonts w:ascii="Times New Roman" w:hAnsi="Times New Roman"/>
                <w:lang w:val="lt-LT"/>
              </w:rPr>
              <w:t>CI:</w:t>
            </w:r>
            <w:r w:rsidRPr="00842A24">
              <w:rPr>
                <w:rFonts w:ascii="Times New Roman" w:hAnsi="Times New Roman"/>
                <w:spacing w:val="14"/>
                <w:lang w:val="lt-LT"/>
              </w:rPr>
              <w:t xml:space="preserve"> </w:t>
            </w:r>
            <w:r w:rsidRPr="00842A24">
              <w:rPr>
                <w:rFonts w:ascii="Times New Roman" w:hAnsi="Times New Roman"/>
                <w:lang w:val="lt-LT"/>
              </w:rPr>
              <w:t>0,50–1,10)</w:t>
            </w:r>
          </w:p>
        </w:tc>
        <w:tc>
          <w:tcPr>
            <w:tcW w:w="844" w:type="pct"/>
            <w:shd w:val="clear" w:color="auto" w:fill="auto"/>
          </w:tcPr>
          <w:p w14:paraId="09297237" w14:textId="77777777" w:rsidR="005B672A" w:rsidRPr="00842A24" w:rsidRDefault="005B672A" w:rsidP="0089425E">
            <w:pPr>
              <w:pStyle w:val="TableParagraph"/>
              <w:spacing w:before="89"/>
              <w:ind w:left="507"/>
              <w:rPr>
                <w:rFonts w:ascii="Times New Roman" w:eastAsia="Arial" w:hAnsi="Times New Roman"/>
                <w:lang w:val="lt-LT"/>
              </w:rPr>
            </w:pPr>
            <w:r w:rsidRPr="00842A24">
              <w:rPr>
                <w:rFonts w:ascii="Times New Roman" w:hAnsi="Times New Roman"/>
                <w:lang w:val="lt-LT"/>
              </w:rPr>
              <w:t>0,12983</w:t>
            </w:r>
          </w:p>
        </w:tc>
      </w:tr>
      <w:tr w:rsidR="00C167DB" w:rsidRPr="00842A24" w14:paraId="7A479B5E" w14:textId="77777777" w:rsidTr="004B7679">
        <w:trPr>
          <w:trHeight w:val="571"/>
        </w:trPr>
        <w:tc>
          <w:tcPr>
            <w:tcW w:w="1160" w:type="pct"/>
            <w:shd w:val="clear" w:color="auto" w:fill="auto"/>
          </w:tcPr>
          <w:p w14:paraId="67B597D8" w14:textId="77777777" w:rsidR="005B672A" w:rsidRPr="00842A24" w:rsidRDefault="005B672A" w:rsidP="0089425E">
            <w:pPr>
              <w:pStyle w:val="TableParagraph"/>
              <w:spacing w:before="92"/>
              <w:ind w:left="28"/>
              <w:rPr>
                <w:rFonts w:ascii="Times New Roman" w:eastAsia="Arial" w:hAnsi="Times New Roman"/>
                <w:lang w:val="lt-LT"/>
              </w:rPr>
            </w:pPr>
            <w:r w:rsidRPr="00842A24">
              <w:rPr>
                <w:rFonts w:ascii="Times New Roman" w:hAnsi="Times New Roman"/>
                <w:lang w:val="lt-LT"/>
              </w:rPr>
              <w:t>Išgyvenamumas be atokaus ligos pasikartojimo</w:t>
            </w:r>
            <w:r w:rsidRPr="00842A24">
              <w:rPr>
                <w:rFonts w:ascii="Times New Roman" w:hAnsi="Times New Roman"/>
                <w:spacing w:val="-1"/>
                <w:position w:val="7"/>
                <w:lang w:val="lt-LT"/>
              </w:rPr>
              <w:t>c</w:t>
            </w:r>
          </w:p>
        </w:tc>
        <w:tc>
          <w:tcPr>
            <w:tcW w:w="904" w:type="pct"/>
            <w:shd w:val="clear" w:color="auto" w:fill="auto"/>
          </w:tcPr>
          <w:p w14:paraId="3C8F2A16"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353</w:t>
            </w:r>
          </w:p>
        </w:tc>
        <w:tc>
          <w:tcPr>
            <w:tcW w:w="927" w:type="pct"/>
            <w:shd w:val="clear" w:color="auto" w:fill="auto"/>
          </w:tcPr>
          <w:p w14:paraId="5B4E680E"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409</w:t>
            </w:r>
          </w:p>
        </w:tc>
        <w:tc>
          <w:tcPr>
            <w:tcW w:w="1165" w:type="pct"/>
            <w:shd w:val="clear" w:color="auto" w:fill="auto"/>
          </w:tcPr>
          <w:p w14:paraId="69FAC7A9" w14:textId="77777777" w:rsidR="005B672A" w:rsidRPr="00842A24" w:rsidRDefault="005B672A" w:rsidP="005B672A">
            <w:pPr>
              <w:pStyle w:val="TableParagraph"/>
              <w:spacing w:before="89"/>
              <w:ind w:left="277"/>
              <w:rPr>
                <w:rFonts w:ascii="Times New Roman" w:eastAsia="Arial" w:hAnsi="Times New Roman"/>
                <w:lang w:val="lt-LT"/>
              </w:rPr>
            </w:pPr>
            <w:r w:rsidRPr="00842A24">
              <w:rPr>
                <w:rFonts w:ascii="Times New Roman" w:hAnsi="Times New Roman"/>
                <w:lang w:val="lt-LT"/>
              </w:rPr>
              <w:t>0,85</w:t>
            </w:r>
            <w:r w:rsidRPr="00842A24">
              <w:rPr>
                <w:rFonts w:ascii="Times New Roman" w:hAnsi="Times New Roman"/>
                <w:spacing w:val="14"/>
                <w:lang w:val="lt-LT"/>
              </w:rPr>
              <w:t xml:space="preserve"> </w:t>
            </w:r>
            <w:r w:rsidRPr="00842A24">
              <w:rPr>
                <w:rFonts w:ascii="Times New Roman" w:hAnsi="Times New Roman"/>
                <w:lang w:val="lt-LT"/>
              </w:rPr>
              <w:t>((95 %</w:t>
            </w:r>
            <w:r w:rsidRPr="00842A24">
              <w:rPr>
                <w:rFonts w:ascii="Times New Roman" w:hAnsi="Times New Roman"/>
                <w:spacing w:val="14"/>
                <w:lang w:val="lt-LT"/>
              </w:rPr>
              <w:t xml:space="preserve"> </w:t>
            </w:r>
            <w:r w:rsidRPr="00842A24">
              <w:rPr>
                <w:rFonts w:ascii="Times New Roman" w:hAnsi="Times New Roman"/>
                <w:lang w:val="lt-LT"/>
              </w:rPr>
              <w:t>CI:</w:t>
            </w:r>
            <w:r w:rsidRPr="00842A24">
              <w:rPr>
                <w:rFonts w:ascii="Times New Roman" w:hAnsi="Times New Roman"/>
                <w:spacing w:val="14"/>
                <w:lang w:val="lt-LT"/>
              </w:rPr>
              <w:t xml:space="preserve"> </w:t>
            </w:r>
            <w:r w:rsidRPr="00842A24">
              <w:rPr>
                <w:rFonts w:ascii="Times New Roman" w:hAnsi="Times New Roman"/>
                <w:lang w:val="lt-LT"/>
              </w:rPr>
              <w:t>0,74–0,98)</w:t>
            </w:r>
          </w:p>
        </w:tc>
        <w:tc>
          <w:tcPr>
            <w:tcW w:w="844" w:type="pct"/>
            <w:shd w:val="clear" w:color="auto" w:fill="auto"/>
          </w:tcPr>
          <w:p w14:paraId="54CA91C8" w14:textId="77777777" w:rsidR="005B672A" w:rsidRPr="00842A24" w:rsidRDefault="005B672A" w:rsidP="0089425E">
            <w:pPr>
              <w:pStyle w:val="TableParagraph"/>
              <w:spacing w:before="89"/>
              <w:ind w:left="507"/>
              <w:rPr>
                <w:rFonts w:ascii="Times New Roman" w:eastAsia="Arial" w:hAnsi="Times New Roman"/>
                <w:lang w:val="lt-LT"/>
              </w:rPr>
            </w:pPr>
            <w:r w:rsidRPr="00842A24">
              <w:rPr>
                <w:rFonts w:ascii="Times New Roman" w:hAnsi="Times New Roman"/>
                <w:lang w:val="lt-LT"/>
              </w:rPr>
              <w:t>0,02425</w:t>
            </w:r>
          </w:p>
        </w:tc>
      </w:tr>
      <w:tr w:rsidR="00C167DB" w:rsidRPr="00842A24" w14:paraId="695667A0" w14:textId="77777777" w:rsidTr="004B7679">
        <w:trPr>
          <w:trHeight w:val="571"/>
        </w:trPr>
        <w:tc>
          <w:tcPr>
            <w:tcW w:w="1160" w:type="pct"/>
            <w:shd w:val="clear" w:color="auto" w:fill="auto"/>
          </w:tcPr>
          <w:p w14:paraId="28204CB3" w14:textId="77777777" w:rsidR="005B672A" w:rsidRPr="00842A24" w:rsidRDefault="005B672A" w:rsidP="0089425E">
            <w:pPr>
              <w:pStyle w:val="TableParagraph"/>
              <w:spacing w:before="92"/>
              <w:ind w:left="28"/>
              <w:rPr>
                <w:rFonts w:ascii="Times New Roman" w:eastAsia="Arial" w:hAnsi="Times New Roman"/>
                <w:lang w:val="lt-LT"/>
              </w:rPr>
            </w:pPr>
            <w:r w:rsidRPr="00842A24">
              <w:rPr>
                <w:rFonts w:ascii="Times New Roman" w:hAnsi="Times New Roman"/>
                <w:lang w:val="lt-LT"/>
              </w:rPr>
              <w:t>Bendrasis išgyvenamumas</w:t>
            </w:r>
            <w:r w:rsidRPr="00842A24">
              <w:rPr>
                <w:rFonts w:ascii="Times New Roman" w:hAnsi="Times New Roman"/>
                <w:spacing w:val="-1"/>
                <w:position w:val="7"/>
                <w:lang w:val="lt-LT"/>
              </w:rPr>
              <w:t>d</w:t>
            </w:r>
          </w:p>
        </w:tc>
        <w:tc>
          <w:tcPr>
            <w:tcW w:w="904" w:type="pct"/>
            <w:shd w:val="clear" w:color="auto" w:fill="auto"/>
          </w:tcPr>
          <w:p w14:paraId="7A2B4A10"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373</w:t>
            </w:r>
          </w:p>
        </w:tc>
        <w:tc>
          <w:tcPr>
            <w:tcW w:w="927" w:type="pct"/>
            <w:shd w:val="clear" w:color="auto" w:fill="auto"/>
          </w:tcPr>
          <w:p w14:paraId="69C53C40"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420</w:t>
            </w:r>
          </w:p>
        </w:tc>
        <w:tc>
          <w:tcPr>
            <w:tcW w:w="1165" w:type="pct"/>
            <w:shd w:val="clear" w:color="auto" w:fill="auto"/>
          </w:tcPr>
          <w:p w14:paraId="4EA54794" w14:textId="77777777" w:rsidR="005B672A" w:rsidRPr="00842A24" w:rsidRDefault="005B672A" w:rsidP="005B672A">
            <w:pPr>
              <w:pStyle w:val="TableParagraph"/>
              <w:spacing w:before="89"/>
              <w:ind w:left="310"/>
              <w:rPr>
                <w:rFonts w:ascii="Times New Roman" w:eastAsia="Arial" w:hAnsi="Times New Roman"/>
                <w:lang w:val="lt-LT"/>
              </w:rPr>
            </w:pPr>
            <w:r w:rsidRPr="00842A24">
              <w:rPr>
                <w:rFonts w:ascii="Times New Roman" w:hAnsi="Times New Roman"/>
                <w:lang w:val="lt-LT"/>
              </w:rPr>
              <w:t>0,89</w:t>
            </w:r>
            <w:r w:rsidRPr="00842A24">
              <w:rPr>
                <w:rFonts w:ascii="Times New Roman" w:hAnsi="Times New Roman"/>
                <w:spacing w:val="13"/>
                <w:lang w:val="lt-LT"/>
              </w:rPr>
              <w:t xml:space="preserve"> </w:t>
            </w:r>
            <w:r w:rsidRPr="00842A24">
              <w:rPr>
                <w:rFonts w:ascii="Times New Roman" w:hAnsi="Times New Roman"/>
                <w:lang w:val="lt-LT"/>
              </w:rPr>
              <w:t>(95 %</w:t>
            </w:r>
            <w:r w:rsidRPr="00842A24">
              <w:rPr>
                <w:rFonts w:ascii="Times New Roman" w:hAnsi="Times New Roman"/>
                <w:spacing w:val="14"/>
                <w:lang w:val="lt-LT"/>
              </w:rPr>
              <w:t xml:space="preserve"> </w:t>
            </w:r>
            <w:r w:rsidRPr="00842A24">
              <w:rPr>
                <w:rFonts w:ascii="Times New Roman" w:hAnsi="Times New Roman"/>
                <w:lang w:val="lt-LT"/>
              </w:rPr>
              <w:t>CI:</w:t>
            </w:r>
            <w:r w:rsidRPr="00842A24">
              <w:rPr>
                <w:rFonts w:ascii="Times New Roman" w:hAnsi="Times New Roman"/>
                <w:spacing w:val="14"/>
                <w:lang w:val="lt-LT"/>
              </w:rPr>
              <w:t xml:space="preserve"> </w:t>
            </w:r>
            <w:r w:rsidRPr="00842A24">
              <w:rPr>
                <w:rFonts w:ascii="Times New Roman" w:hAnsi="Times New Roman"/>
                <w:lang w:val="lt-LT"/>
              </w:rPr>
              <w:t>0,77–1,02)</w:t>
            </w:r>
          </w:p>
        </w:tc>
        <w:tc>
          <w:tcPr>
            <w:tcW w:w="844" w:type="pct"/>
            <w:shd w:val="clear" w:color="auto" w:fill="auto"/>
          </w:tcPr>
          <w:p w14:paraId="35B7DAEC" w14:textId="77777777" w:rsidR="005B672A" w:rsidRPr="00842A24" w:rsidRDefault="005B672A" w:rsidP="0089425E">
            <w:pPr>
              <w:pStyle w:val="TableParagraph"/>
              <w:spacing w:before="89"/>
              <w:ind w:left="507"/>
              <w:rPr>
                <w:rFonts w:ascii="Times New Roman" w:eastAsia="Arial" w:hAnsi="Times New Roman"/>
                <w:lang w:val="lt-LT"/>
              </w:rPr>
            </w:pPr>
            <w:r w:rsidRPr="00842A24">
              <w:rPr>
                <w:rFonts w:ascii="Times New Roman" w:hAnsi="Times New Roman"/>
                <w:lang w:val="lt-LT"/>
              </w:rPr>
              <w:t>0,08972</w:t>
            </w:r>
          </w:p>
        </w:tc>
      </w:tr>
      <w:tr w:rsidR="00F4612E" w:rsidRPr="00842A24" w14:paraId="47253722" w14:textId="77777777" w:rsidTr="00695E53">
        <w:trPr>
          <w:trHeight w:val="571"/>
        </w:trPr>
        <w:tc>
          <w:tcPr>
            <w:tcW w:w="5000" w:type="pct"/>
            <w:gridSpan w:val="5"/>
            <w:shd w:val="clear" w:color="auto" w:fill="auto"/>
          </w:tcPr>
          <w:p w14:paraId="32D24170" w14:textId="77777777" w:rsidR="00F4612E" w:rsidRPr="00842A24" w:rsidRDefault="005B672A" w:rsidP="005B672A">
            <w:pPr>
              <w:pStyle w:val="TableParagraph"/>
              <w:spacing w:before="89"/>
              <w:ind w:left="28"/>
              <w:rPr>
                <w:rFonts w:ascii="Times New Roman" w:hAnsi="Times New Roman"/>
                <w:lang w:val="lt-LT"/>
              </w:rPr>
            </w:pPr>
            <w:r w:rsidRPr="00842A24">
              <w:rPr>
                <w:rFonts w:ascii="Times New Roman" w:hAnsi="Times New Roman"/>
                <w:b/>
                <w:lang w:val="lt-LT"/>
              </w:rPr>
              <w:t>Vidutinis 30 mėnesių trukmės gydymas ir vidutinis 119 mėnesių tolimesnis stebėjimas</w:t>
            </w:r>
          </w:p>
        </w:tc>
      </w:tr>
      <w:tr w:rsidR="00C167DB" w:rsidRPr="00842A24" w14:paraId="0FB5953A" w14:textId="77777777" w:rsidTr="004B7679">
        <w:trPr>
          <w:trHeight w:val="571"/>
        </w:trPr>
        <w:tc>
          <w:tcPr>
            <w:tcW w:w="1160" w:type="pct"/>
            <w:shd w:val="clear" w:color="auto" w:fill="auto"/>
          </w:tcPr>
          <w:p w14:paraId="79C0FE32" w14:textId="77777777" w:rsidR="005B672A" w:rsidRPr="00842A24" w:rsidRDefault="005B672A" w:rsidP="0089425E">
            <w:pPr>
              <w:pStyle w:val="TableParagraph"/>
              <w:spacing w:before="92"/>
              <w:ind w:left="28"/>
              <w:rPr>
                <w:rFonts w:ascii="Times New Roman" w:eastAsia="Arial" w:hAnsi="Times New Roman"/>
                <w:lang w:val="lt-LT"/>
              </w:rPr>
            </w:pPr>
            <w:r w:rsidRPr="00842A24">
              <w:rPr>
                <w:rFonts w:ascii="Times New Roman" w:hAnsi="Times New Roman"/>
                <w:lang w:val="lt-LT"/>
              </w:rPr>
              <w:t>Išgyvenamumas be ligos progresavimo</w:t>
            </w:r>
            <w:r w:rsidRPr="00842A24">
              <w:rPr>
                <w:rFonts w:ascii="Times New Roman" w:hAnsi="Times New Roman"/>
                <w:spacing w:val="-1"/>
                <w:position w:val="7"/>
                <w:lang w:val="lt-LT"/>
              </w:rPr>
              <w:t>a</w:t>
            </w:r>
          </w:p>
        </w:tc>
        <w:tc>
          <w:tcPr>
            <w:tcW w:w="904" w:type="pct"/>
            <w:shd w:val="clear" w:color="auto" w:fill="auto"/>
          </w:tcPr>
          <w:p w14:paraId="7BE4C51D"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672</w:t>
            </w:r>
          </w:p>
        </w:tc>
        <w:tc>
          <w:tcPr>
            <w:tcW w:w="927" w:type="pct"/>
            <w:shd w:val="clear" w:color="auto" w:fill="auto"/>
          </w:tcPr>
          <w:p w14:paraId="126ADA9B"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761</w:t>
            </w:r>
          </w:p>
        </w:tc>
        <w:tc>
          <w:tcPr>
            <w:tcW w:w="1165" w:type="pct"/>
            <w:shd w:val="clear" w:color="auto" w:fill="auto"/>
          </w:tcPr>
          <w:p w14:paraId="28512388" w14:textId="77777777" w:rsidR="005B672A" w:rsidRPr="00842A24" w:rsidRDefault="007E6454" w:rsidP="0089425E">
            <w:pPr>
              <w:pStyle w:val="TableParagraph"/>
              <w:spacing w:before="89"/>
              <w:ind w:left="310"/>
              <w:rPr>
                <w:rFonts w:ascii="Times New Roman" w:eastAsia="Arial" w:hAnsi="Times New Roman"/>
                <w:lang w:val="lt-LT"/>
              </w:rPr>
            </w:pPr>
            <w:r w:rsidRPr="00842A24">
              <w:rPr>
                <w:rFonts w:ascii="Times New Roman" w:hAnsi="Times New Roman"/>
                <w:lang w:val="lt-LT"/>
              </w:rPr>
              <w:t>0,</w:t>
            </w:r>
            <w:r w:rsidR="005B672A" w:rsidRPr="00842A24">
              <w:rPr>
                <w:rFonts w:ascii="Times New Roman" w:hAnsi="Times New Roman"/>
                <w:lang w:val="lt-LT"/>
              </w:rPr>
              <w:t>86</w:t>
            </w:r>
            <w:r w:rsidR="005B672A" w:rsidRPr="00842A24">
              <w:rPr>
                <w:rFonts w:ascii="Times New Roman" w:hAnsi="Times New Roman"/>
                <w:spacing w:val="13"/>
                <w:lang w:val="lt-LT"/>
              </w:rPr>
              <w:t xml:space="preserve"> </w:t>
            </w:r>
            <w:r w:rsidR="005B672A" w:rsidRPr="00842A24">
              <w:rPr>
                <w:rFonts w:ascii="Times New Roman" w:hAnsi="Times New Roman"/>
                <w:lang w:val="lt-LT"/>
              </w:rPr>
              <w:t>(95</w:t>
            </w:r>
            <w:r w:rsidRPr="00842A24">
              <w:rPr>
                <w:rFonts w:ascii="Times New Roman" w:hAnsi="Times New Roman"/>
                <w:lang w:val="lt-LT"/>
              </w:rPr>
              <w:t xml:space="preserve"> </w:t>
            </w:r>
            <w:r w:rsidR="005B672A" w:rsidRPr="00842A24">
              <w:rPr>
                <w:rFonts w:ascii="Times New Roman" w:hAnsi="Times New Roman"/>
                <w:lang w:val="lt-LT"/>
              </w:rPr>
              <w:t>%</w:t>
            </w:r>
            <w:r w:rsidR="005B672A" w:rsidRPr="00842A24">
              <w:rPr>
                <w:rFonts w:ascii="Times New Roman" w:hAnsi="Times New Roman"/>
                <w:spacing w:val="14"/>
                <w:lang w:val="lt-LT"/>
              </w:rPr>
              <w:t xml:space="preserve"> </w:t>
            </w:r>
            <w:r w:rsidR="005B672A" w:rsidRPr="00842A24">
              <w:rPr>
                <w:rFonts w:ascii="Times New Roman" w:hAnsi="Times New Roman"/>
                <w:lang w:val="lt-LT"/>
              </w:rPr>
              <w:t>CI:</w:t>
            </w:r>
            <w:r w:rsidR="005B672A" w:rsidRPr="00842A24">
              <w:rPr>
                <w:rFonts w:ascii="Times New Roman" w:hAnsi="Times New Roman"/>
                <w:spacing w:val="14"/>
                <w:lang w:val="lt-LT"/>
              </w:rPr>
              <w:t xml:space="preserve"> </w:t>
            </w:r>
            <w:r w:rsidRPr="00842A24">
              <w:rPr>
                <w:rFonts w:ascii="Times New Roman" w:hAnsi="Times New Roman"/>
                <w:lang w:val="lt-LT"/>
              </w:rPr>
              <w:t>0,77–0,</w:t>
            </w:r>
            <w:r w:rsidR="005B672A" w:rsidRPr="00842A24">
              <w:rPr>
                <w:rFonts w:ascii="Times New Roman" w:hAnsi="Times New Roman"/>
                <w:lang w:val="lt-LT"/>
              </w:rPr>
              <w:t>95)</w:t>
            </w:r>
          </w:p>
        </w:tc>
        <w:tc>
          <w:tcPr>
            <w:tcW w:w="844" w:type="pct"/>
            <w:shd w:val="clear" w:color="auto" w:fill="auto"/>
          </w:tcPr>
          <w:p w14:paraId="4BCCED3A" w14:textId="77777777" w:rsidR="005B672A" w:rsidRPr="00842A24" w:rsidRDefault="007E6454" w:rsidP="0089425E">
            <w:pPr>
              <w:pStyle w:val="TableParagraph"/>
              <w:spacing w:before="89"/>
              <w:ind w:left="507"/>
              <w:rPr>
                <w:rFonts w:ascii="Times New Roman" w:eastAsia="Arial" w:hAnsi="Times New Roman"/>
                <w:lang w:val="lt-LT"/>
              </w:rPr>
            </w:pPr>
            <w:r w:rsidRPr="00842A24">
              <w:rPr>
                <w:rFonts w:ascii="Times New Roman" w:hAnsi="Times New Roman"/>
                <w:lang w:val="lt-LT"/>
              </w:rPr>
              <w:t>0,</w:t>
            </w:r>
            <w:r w:rsidR="005B672A" w:rsidRPr="00842A24">
              <w:rPr>
                <w:rFonts w:ascii="Times New Roman" w:hAnsi="Times New Roman"/>
                <w:lang w:val="lt-LT"/>
              </w:rPr>
              <w:t>00393</w:t>
            </w:r>
          </w:p>
        </w:tc>
      </w:tr>
      <w:tr w:rsidR="00C167DB" w:rsidRPr="00842A24" w14:paraId="61E73BB9" w14:textId="77777777" w:rsidTr="004B7679">
        <w:trPr>
          <w:trHeight w:val="571"/>
        </w:trPr>
        <w:tc>
          <w:tcPr>
            <w:tcW w:w="1160" w:type="pct"/>
            <w:shd w:val="clear" w:color="auto" w:fill="auto"/>
          </w:tcPr>
          <w:p w14:paraId="442A8CAA" w14:textId="77777777" w:rsidR="005B672A" w:rsidRPr="00842A24" w:rsidRDefault="005B672A" w:rsidP="0089425E">
            <w:pPr>
              <w:pStyle w:val="TableParagraph"/>
              <w:spacing w:before="92"/>
              <w:ind w:left="28"/>
              <w:rPr>
                <w:rFonts w:ascii="Times New Roman" w:eastAsia="Arial" w:hAnsi="Times New Roman"/>
                <w:lang w:val="lt-LT"/>
              </w:rPr>
            </w:pPr>
            <w:r w:rsidRPr="00842A24">
              <w:rPr>
                <w:rFonts w:ascii="Times New Roman" w:hAnsi="Times New Roman"/>
                <w:lang w:val="lt-LT"/>
              </w:rPr>
              <w:t>Išgyvenamumas be krūties vėžio</w:t>
            </w:r>
            <w:r w:rsidRPr="00842A24">
              <w:rPr>
                <w:rFonts w:ascii="Times New Roman" w:hAnsi="Times New Roman"/>
                <w:position w:val="7"/>
                <w:lang w:val="lt-LT"/>
              </w:rPr>
              <w:t>b</w:t>
            </w:r>
          </w:p>
        </w:tc>
        <w:tc>
          <w:tcPr>
            <w:tcW w:w="904" w:type="pct"/>
            <w:shd w:val="clear" w:color="auto" w:fill="auto"/>
          </w:tcPr>
          <w:p w14:paraId="2F63313F"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517</w:t>
            </w:r>
          </w:p>
        </w:tc>
        <w:tc>
          <w:tcPr>
            <w:tcW w:w="927" w:type="pct"/>
            <w:shd w:val="clear" w:color="auto" w:fill="auto"/>
          </w:tcPr>
          <w:p w14:paraId="0B650F6A"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608</w:t>
            </w:r>
          </w:p>
        </w:tc>
        <w:tc>
          <w:tcPr>
            <w:tcW w:w="1165" w:type="pct"/>
            <w:shd w:val="clear" w:color="auto" w:fill="auto"/>
          </w:tcPr>
          <w:p w14:paraId="3F0CFA99" w14:textId="77777777" w:rsidR="005B672A" w:rsidRPr="00842A24" w:rsidRDefault="007E6454" w:rsidP="0089425E">
            <w:pPr>
              <w:pStyle w:val="TableParagraph"/>
              <w:spacing w:before="89"/>
              <w:ind w:left="310"/>
              <w:rPr>
                <w:rFonts w:ascii="Times New Roman" w:eastAsia="Arial" w:hAnsi="Times New Roman"/>
                <w:lang w:val="lt-LT"/>
              </w:rPr>
            </w:pPr>
            <w:r w:rsidRPr="00842A24">
              <w:rPr>
                <w:rFonts w:ascii="Times New Roman" w:hAnsi="Times New Roman"/>
                <w:lang w:val="lt-LT"/>
              </w:rPr>
              <w:t>0,</w:t>
            </w:r>
            <w:r w:rsidR="005B672A" w:rsidRPr="00842A24">
              <w:rPr>
                <w:rFonts w:ascii="Times New Roman" w:hAnsi="Times New Roman"/>
                <w:lang w:val="lt-LT"/>
              </w:rPr>
              <w:t>83</w:t>
            </w:r>
            <w:r w:rsidR="005B672A" w:rsidRPr="00842A24">
              <w:rPr>
                <w:rFonts w:ascii="Times New Roman" w:hAnsi="Times New Roman"/>
                <w:spacing w:val="13"/>
                <w:lang w:val="lt-LT"/>
              </w:rPr>
              <w:t xml:space="preserve"> </w:t>
            </w:r>
            <w:r w:rsidR="005B672A" w:rsidRPr="00842A24">
              <w:rPr>
                <w:rFonts w:ascii="Times New Roman" w:hAnsi="Times New Roman"/>
                <w:lang w:val="lt-LT"/>
              </w:rPr>
              <w:t>(95</w:t>
            </w:r>
            <w:r w:rsidRPr="00842A24">
              <w:rPr>
                <w:rFonts w:ascii="Times New Roman" w:hAnsi="Times New Roman"/>
                <w:lang w:val="lt-LT"/>
              </w:rPr>
              <w:t xml:space="preserve"> </w:t>
            </w:r>
            <w:r w:rsidR="005B672A" w:rsidRPr="00842A24">
              <w:rPr>
                <w:rFonts w:ascii="Times New Roman" w:hAnsi="Times New Roman"/>
                <w:lang w:val="lt-LT"/>
              </w:rPr>
              <w:t>%</w:t>
            </w:r>
            <w:r w:rsidR="005B672A" w:rsidRPr="00842A24">
              <w:rPr>
                <w:rFonts w:ascii="Times New Roman" w:hAnsi="Times New Roman"/>
                <w:spacing w:val="14"/>
                <w:lang w:val="lt-LT"/>
              </w:rPr>
              <w:t xml:space="preserve"> </w:t>
            </w:r>
            <w:r w:rsidR="005B672A" w:rsidRPr="00842A24">
              <w:rPr>
                <w:rFonts w:ascii="Times New Roman" w:hAnsi="Times New Roman"/>
                <w:lang w:val="lt-LT"/>
              </w:rPr>
              <w:t>CI:</w:t>
            </w:r>
            <w:r w:rsidR="005B672A" w:rsidRPr="00842A24">
              <w:rPr>
                <w:rFonts w:ascii="Times New Roman" w:hAnsi="Times New Roman"/>
                <w:spacing w:val="14"/>
                <w:lang w:val="lt-LT"/>
              </w:rPr>
              <w:t xml:space="preserve"> </w:t>
            </w:r>
            <w:r w:rsidRPr="00842A24">
              <w:rPr>
                <w:rFonts w:ascii="Times New Roman" w:hAnsi="Times New Roman"/>
                <w:lang w:val="lt-LT"/>
              </w:rPr>
              <w:t>0,74–0,</w:t>
            </w:r>
            <w:r w:rsidR="005B672A" w:rsidRPr="00842A24">
              <w:rPr>
                <w:rFonts w:ascii="Times New Roman" w:hAnsi="Times New Roman"/>
                <w:lang w:val="lt-LT"/>
              </w:rPr>
              <w:t>93)</w:t>
            </w:r>
          </w:p>
        </w:tc>
        <w:tc>
          <w:tcPr>
            <w:tcW w:w="844" w:type="pct"/>
            <w:shd w:val="clear" w:color="auto" w:fill="auto"/>
          </w:tcPr>
          <w:p w14:paraId="6FF6960C" w14:textId="77777777" w:rsidR="005B672A" w:rsidRPr="00842A24" w:rsidRDefault="007E6454" w:rsidP="0089425E">
            <w:pPr>
              <w:pStyle w:val="TableParagraph"/>
              <w:spacing w:before="89"/>
              <w:ind w:left="507"/>
              <w:rPr>
                <w:rFonts w:ascii="Times New Roman" w:eastAsia="Arial" w:hAnsi="Times New Roman"/>
                <w:lang w:val="lt-LT"/>
              </w:rPr>
            </w:pPr>
            <w:r w:rsidRPr="00842A24">
              <w:rPr>
                <w:rFonts w:ascii="Times New Roman" w:hAnsi="Times New Roman"/>
                <w:lang w:val="lt-LT"/>
              </w:rPr>
              <w:t>0,</w:t>
            </w:r>
            <w:r w:rsidR="005B672A" w:rsidRPr="00842A24">
              <w:rPr>
                <w:rFonts w:ascii="Times New Roman" w:hAnsi="Times New Roman"/>
                <w:lang w:val="lt-LT"/>
              </w:rPr>
              <w:t>00152</w:t>
            </w:r>
          </w:p>
        </w:tc>
      </w:tr>
      <w:tr w:rsidR="00C167DB" w:rsidRPr="00842A24" w14:paraId="3B27F4A2" w14:textId="77777777" w:rsidTr="004B7679">
        <w:trPr>
          <w:trHeight w:val="571"/>
        </w:trPr>
        <w:tc>
          <w:tcPr>
            <w:tcW w:w="1160" w:type="pct"/>
            <w:shd w:val="clear" w:color="auto" w:fill="auto"/>
          </w:tcPr>
          <w:p w14:paraId="7EEB21AA" w14:textId="77777777" w:rsidR="005B672A" w:rsidRPr="00842A24" w:rsidRDefault="005B672A" w:rsidP="0089425E">
            <w:pPr>
              <w:pStyle w:val="TableParagraph"/>
              <w:spacing w:before="89"/>
              <w:ind w:left="28"/>
              <w:rPr>
                <w:rFonts w:ascii="Times New Roman" w:eastAsia="Arial" w:hAnsi="Times New Roman"/>
                <w:lang w:val="lt-LT"/>
              </w:rPr>
            </w:pPr>
            <w:r w:rsidRPr="00842A24">
              <w:rPr>
                <w:rFonts w:ascii="Times New Roman" w:hAnsi="Times New Roman"/>
                <w:lang w:val="lt-LT"/>
              </w:rPr>
              <w:t>Kitos krūties vėžys</w:t>
            </w:r>
          </w:p>
        </w:tc>
        <w:tc>
          <w:tcPr>
            <w:tcW w:w="904" w:type="pct"/>
            <w:shd w:val="clear" w:color="auto" w:fill="auto"/>
          </w:tcPr>
          <w:p w14:paraId="1D776175"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57</w:t>
            </w:r>
          </w:p>
        </w:tc>
        <w:tc>
          <w:tcPr>
            <w:tcW w:w="927" w:type="pct"/>
            <w:shd w:val="clear" w:color="auto" w:fill="auto"/>
          </w:tcPr>
          <w:p w14:paraId="07E29229"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75</w:t>
            </w:r>
          </w:p>
        </w:tc>
        <w:tc>
          <w:tcPr>
            <w:tcW w:w="1165" w:type="pct"/>
            <w:shd w:val="clear" w:color="auto" w:fill="auto"/>
          </w:tcPr>
          <w:p w14:paraId="1A0DDB68" w14:textId="77777777" w:rsidR="005B672A" w:rsidRPr="00842A24" w:rsidRDefault="007E6454" w:rsidP="0089425E">
            <w:pPr>
              <w:pStyle w:val="TableParagraph"/>
              <w:spacing w:before="89"/>
              <w:ind w:left="310"/>
              <w:rPr>
                <w:rFonts w:ascii="Times New Roman" w:eastAsia="Arial" w:hAnsi="Times New Roman"/>
                <w:lang w:val="lt-LT"/>
              </w:rPr>
            </w:pPr>
            <w:r w:rsidRPr="00842A24">
              <w:rPr>
                <w:rFonts w:ascii="Times New Roman" w:hAnsi="Times New Roman"/>
                <w:lang w:val="lt-LT"/>
              </w:rPr>
              <w:t>0,</w:t>
            </w:r>
            <w:r w:rsidR="005B672A" w:rsidRPr="00842A24">
              <w:rPr>
                <w:rFonts w:ascii="Times New Roman" w:hAnsi="Times New Roman"/>
                <w:lang w:val="lt-LT"/>
              </w:rPr>
              <w:t>75</w:t>
            </w:r>
            <w:r w:rsidR="005B672A" w:rsidRPr="00842A24">
              <w:rPr>
                <w:rFonts w:ascii="Times New Roman" w:hAnsi="Times New Roman"/>
                <w:spacing w:val="13"/>
                <w:lang w:val="lt-LT"/>
              </w:rPr>
              <w:t xml:space="preserve"> </w:t>
            </w:r>
            <w:r w:rsidR="005B672A" w:rsidRPr="00842A24">
              <w:rPr>
                <w:rFonts w:ascii="Times New Roman" w:hAnsi="Times New Roman"/>
                <w:lang w:val="lt-LT"/>
              </w:rPr>
              <w:t>(95</w:t>
            </w:r>
            <w:r w:rsidRPr="00842A24">
              <w:rPr>
                <w:rFonts w:ascii="Times New Roman" w:hAnsi="Times New Roman"/>
                <w:lang w:val="lt-LT"/>
              </w:rPr>
              <w:t xml:space="preserve"> </w:t>
            </w:r>
            <w:r w:rsidR="005B672A" w:rsidRPr="00842A24">
              <w:rPr>
                <w:rFonts w:ascii="Times New Roman" w:hAnsi="Times New Roman"/>
                <w:lang w:val="lt-LT"/>
              </w:rPr>
              <w:t>%</w:t>
            </w:r>
            <w:r w:rsidR="005B672A" w:rsidRPr="00842A24">
              <w:rPr>
                <w:rFonts w:ascii="Times New Roman" w:hAnsi="Times New Roman"/>
                <w:spacing w:val="14"/>
                <w:lang w:val="lt-LT"/>
              </w:rPr>
              <w:t xml:space="preserve"> </w:t>
            </w:r>
            <w:r w:rsidR="005B672A" w:rsidRPr="00842A24">
              <w:rPr>
                <w:rFonts w:ascii="Times New Roman" w:hAnsi="Times New Roman"/>
                <w:lang w:val="lt-LT"/>
              </w:rPr>
              <w:t>CI:</w:t>
            </w:r>
            <w:r w:rsidR="005B672A" w:rsidRPr="00842A24">
              <w:rPr>
                <w:rFonts w:ascii="Times New Roman" w:hAnsi="Times New Roman"/>
                <w:spacing w:val="14"/>
                <w:lang w:val="lt-LT"/>
              </w:rPr>
              <w:t xml:space="preserve"> </w:t>
            </w:r>
            <w:r w:rsidRPr="00842A24">
              <w:rPr>
                <w:rFonts w:ascii="Times New Roman" w:hAnsi="Times New Roman"/>
                <w:lang w:val="lt-LT"/>
              </w:rPr>
              <w:t>0,53–1,</w:t>
            </w:r>
            <w:r w:rsidR="005B672A" w:rsidRPr="00842A24">
              <w:rPr>
                <w:rFonts w:ascii="Times New Roman" w:hAnsi="Times New Roman"/>
                <w:lang w:val="lt-LT"/>
              </w:rPr>
              <w:t>06)</w:t>
            </w:r>
          </w:p>
        </w:tc>
        <w:tc>
          <w:tcPr>
            <w:tcW w:w="844" w:type="pct"/>
            <w:shd w:val="clear" w:color="auto" w:fill="auto"/>
          </w:tcPr>
          <w:p w14:paraId="20A6D437" w14:textId="77777777" w:rsidR="005B672A" w:rsidRPr="00842A24" w:rsidRDefault="007E6454" w:rsidP="0089425E">
            <w:pPr>
              <w:pStyle w:val="TableParagraph"/>
              <w:spacing w:before="89"/>
              <w:ind w:left="507"/>
              <w:rPr>
                <w:rFonts w:ascii="Times New Roman" w:eastAsia="Arial" w:hAnsi="Times New Roman"/>
                <w:lang w:val="lt-LT"/>
              </w:rPr>
            </w:pPr>
            <w:r w:rsidRPr="00842A24">
              <w:rPr>
                <w:rFonts w:ascii="Times New Roman" w:hAnsi="Times New Roman"/>
                <w:lang w:val="lt-LT"/>
              </w:rPr>
              <w:t>0,</w:t>
            </w:r>
            <w:r w:rsidR="005B672A" w:rsidRPr="00842A24">
              <w:rPr>
                <w:rFonts w:ascii="Times New Roman" w:hAnsi="Times New Roman"/>
                <w:lang w:val="lt-LT"/>
              </w:rPr>
              <w:t>10707</w:t>
            </w:r>
          </w:p>
        </w:tc>
      </w:tr>
      <w:tr w:rsidR="00C167DB" w:rsidRPr="00842A24" w14:paraId="505438DD" w14:textId="77777777" w:rsidTr="004B7679">
        <w:trPr>
          <w:trHeight w:val="571"/>
        </w:trPr>
        <w:tc>
          <w:tcPr>
            <w:tcW w:w="1160" w:type="pct"/>
            <w:shd w:val="clear" w:color="auto" w:fill="auto"/>
          </w:tcPr>
          <w:p w14:paraId="06E0BC9A" w14:textId="77777777" w:rsidR="005B672A" w:rsidRPr="00842A24" w:rsidRDefault="005B672A" w:rsidP="0089425E">
            <w:pPr>
              <w:pStyle w:val="TableParagraph"/>
              <w:spacing w:before="92"/>
              <w:ind w:left="28"/>
              <w:rPr>
                <w:rFonts w:ascii="Times New Roman" w:eastAsia="Arial" w:hAnsi="Times New Roman"/>
                <w:lang w:val="lt-LT"/>
              </w:rPr>
            </w:pPr>
            <w:r w:rsidRPr="00842A24">
              <w:rPr>
                <w:rFonts w:ascii="Times New Roman" w:hAnsi="Times New Roman"/>
                <w:lang w:val="lt-LT"/>
              </w:rPr>
              <w:t>Išgyvenamumas be atokaus ligos pasikartojimo</w:t>
            </w:r>
            <w:r w:rsidRPr="00842A24">
              <w:rPr>
                <w:rFonts w:ascii="Times New Roman" w:hAnsi="Times New Roman"/>
                <w:spacing w:val="-1"/>
                <w:position w:val="7"/>
                <w:lang w:val="lt-LT"/>
              </w:rPr>
              <w:t>c</w:t>
            </w:r>
          </w:p>
        </w:tc>
        <w:tc>
          <w:tcPr>
            <w:tcW w:w="904" w:type="pct"/>
            <w:shd w:val="clear" w:color="auto" w:fill="auto"/>
          </w:tcPr>
          <w:p w14:paraId="76B019F0"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spacing w:val="-5"/>
                <w:lang w:val="lt-LT"/>
              </w:rPr>
              <w:t>411</w:t>
            </w:r>
          </w:p>
        </w:tc>
        <w:tc>
          <w:tcPr>
            <w:tcW w:w="927" w:type="pct"/>
            <w:shd w:val="clear" w:color="auto" w:fill="auto"/>
          </w:tcPr>
          <w:p w14:paraId="5CDFFCA7" w14:textId="77777777" w:rsidR="005B672A" w:rsidRPr="00842A24" w:rsidRDefault="005B672A" w:rsidP="0089425E">
            <w:pPr>
              <w:pStyle w:val="TableParagraph"/>
              <w:spacing w:before="89"/>
              <w:jc w:val="center"/>
              <w:rPr>
                <w:rFonts w:ascii="Times New Roman" w:eastAsia="Arial" w:hAnsi="Times New Roman"/>
                <w:lang w:val="lt-LT"/>
              </w:rPr>
            </w:pPr>
            <w:r w:rsidRPr="00842A24">
              <w:rPr>
                <w:rFonts w:ascii="Times New Roman" w:hAnsi="Times New Roman"/>
                <w:lang w:val="lt-LT"/>
              </w:rPr>
              <w:t>472</w:t>
            </w:r>
          </w:p>
        </w:tc>
        <w:tc>
          <w:tcPr>
            <w:tcW w:w="1165" w:type="pct"/>
            <w:shd w:val="clear" w:color="auto" w:fill="auto"/>
          </w:tcPr>
          <w:p w14:paraId="17EC853C" w14:textId="77777777" w:rsidR="005B672A" w:rsidRPr="00842A24" w:rsidRDefault="007E6454" w:rsidP="0089425E">
            <w:pPr>
              <w:pStyle w:val="TableParagraph"/>
              <w:spacing w:before="89"/>
              <w:ind w:left="310"/>
              <w:rPr>
                <w:rFonts w:ascii="Times New Roman" w:eastAsia="Arial" w:hAnsi="Times New Roman"/>
                <w:lang w:val="lt-LT"/>
              </w:rPr>
            </w:pPr>
            <w:r w:rsidRPr="00842A24">
              <w:rPr>
                <w:rFonts w:ascii="Times New Roman" w:hAnsi="Times New Roman"/>
                <w:lang w:val="lt-LT"/>
              </w:rPr>
              <w:t>0,</w:t>
            </w:r>
            <w:r w:rsidR="005B672A" w:rsidRPr="00842A24">
              <w:rPr>
                <w:rFonts w:ascii="Times New Roman" w:hAnsi="Times New Roman"/>
                <w:lang w:val="lt-LT"/>
              </w:rPr>
              <w:t>86</w:t>
            </w:r>
            <w:r w:rsidR="005B672A" w:rsidRPr="00842A24">
              <w:rPr>
                <w:rFonts w:ascii="Times New Roman" w:hAnsi="Times New Roman"/>
                <w:spacing w:val="13"/>
                <w:lang w:val="lt-LT"/>
              </w:rPr>
              <w:t xml:space="preserve"> </w:t>
            </w:r>
            <w:r w:rsidR="005B672A" w:rsidRPr="00842A24">
              <w:rPr>
                <w:rFonts w:ascii="Times New Roman" w:hAnsi="Times New Roman"/>
                <w:lang w:val="lt-LT"/>
              </w:rPr>
              <w:t>(95</w:t>
            </w:r>
            <w:r w:rsidRPr="00842A24">
              <w:rPr>
                <w:rFonts w:ascii="Times New Roman" w:hAnsi="Times New Roman"/>
                <w:lang w:val="lt-LT"/>
              </w:rPr>
              <w:t xml:space="preserve"> </w:t>
            </w:r>
            <w:r w:rsidR="005B672A" w:rsidRPr="00842A24">
              <w:rPr>
                <w:rFonts w:ascii="Times New Roman" w:hAnsi="Times New Roman"/>
                <w:lang w:val="lt-LT"/>
              </w:rPr>
              <w:t>%</w:t>
            </w:r>
            <w:r w:rsidR="005B672A" w:rsidRPr="00842A24">
              <w:rPr>
                <w:rFonts w:ascii="Times New Roman" w:hAnsi="Times New Roman"/>
                <w:spacing w:val="14"/>
                <w:lang w:val="lt-LT"/>
              </w:rPr>
              <w:t xml:space="preserve"> </w:t>
            </w:r>
            <w:r w:rsidR="005B672A" w:rsidRPr="00842A24">
              <w:rPr>
                <w:rFonts w:ascii="Times New Roman" w:hAnsi="Times New Roman"/>
                <w:lang w:val="lt-LT"/>
              </w:rPr>
              <w:t>CI:</w:t>
            </w:r>
            <w:r w:rsidR="005B672A" w:rsidRPr="00842A24">
              <w:rPr>
                <w:rFonts w:ascii="Times New Roman" w:hAnsi="Times New Roman"/>
                <w:spacing w:val="14"/>
                <w:lang w:val="lt-LT"/>
              </w:rPr>
              <w:t xml:space="preserve"> </w:t>
            </w:r>
            <w:r w:rsidRPr="00842A24">
              <w:rPr>
                <w:rFonts w:ascii="Times New Roman" w:hAnsi="Times New Roman"/>
                <w:lang w:val="lt-LT"/>
              </w:rPr>
              <w:t>0,75–0,</w:t>
            </w:r>
            <w:r w:rsidR="005B672A" w:rsidRPr="00842A24">
              <w:rPr>
                <w:rFonts w:ascii="Times New Roman" w:hAnsi="Times New Roman"/>
                <w:lang w:val="lt-LT"/>
              </w:rPr>
              <w:t>98)</w:t>
            </w:r>
          </w:p>
        </w:tc>
        <w:tc>
          <w:tcPr>
            <w:tcW w:w="844" w:type="pct"/>
            <w:shd w:val="clear" w:color="auto" w:fill="auto"/>
          </w:tcPr>
          <w:p w14:paraId="67C01E38" w14:textId="77777777" w:rsidR="005B672A" w:rsidRPr="00842A24" w:rsidRDefault="007E6454" w:rsidP="0089425E">
            <w:pPr>
              <w:pStyle w:val="TableParagraph"/>
              <w:spacing w:before="89"/>
              <w:ind w:left="507"/>
              <w:rPr>
                <w:rFonts w:ascii="Times New Roman" w:eastAsia="Arial" w:hAnsi="Times New Roman"/>
                <w:lang w:val="lt-LT"/>
              </w:rPr>
            </w:pPr>
            <w:r w:rsidRPr="00842A24">
              <w:rPr>
                <w:rFonts w:ascii="Times New Roman" w:hAnsi="Times New Roman"/>
                <w:lang w:val="lt-LT"/>
              </w:rPr>
              <w:t>0,</w:t>
            </w:r>
            <w:r w:rsidR="005B672A" w:rsidRPr="00842A24">
              <w:rPr>
                <w:rFonts w:ascii="Times New Roman" w:hAnsi="Times New Roman"/>
                <w:lang w:val="lt-LT"/>
              </w:rPr>
              <w:t>02213</w:t>
            </w:r>
          </w:p>
        </w:tc>
      </w:tr>
      <w:tr w:rsidR="00C167DB" w:rsidRPr="00842A24" w14:paraId="543AEB77" w14:textId="77777777" w:rsidTr="004B7679">
        <w:trPr>
          <w:trHeight w:val="571"/>
        </w:trPr>
        <w:tc>
          <w:tcPr>
            <w:tcW w:w="1160" w:type="pct"/>
            <w:shd w:val="clear" w:color="auto" w:fill="auto"/>
          </w:tcPr>
          <w:p w14:paraId="4A164D0D" w14:textId="77777777" w:rsidR="005B672A" w:rsidRPr="00842A24" w:rsidRDefault="005B672A" w:rsidP="0089425E">
            <w:pPr>
              <w:pStyle w:val="TableParagraph"/>
              <w:spacing w:before="92"/>
              <w:ind w:left="28"/>
              <w:rPr>
                <w:rFonts w:ascii="Times New Roman" w:hAnsi="Times New Roman"/>
                <w:lang w:val="lt-LT"/>
              </w:rPr>
            </w:pPr>
            <w:r w:rsidRPr="00842A24">
              <w:rPr>
                <w:rFonts w:ascii="Times New Roman" w:hAnsi="Times New Roman"/>
                <w:lang w:val="lt-LT"/>
              </w:rPr>
              <w:t>Bendrasis išgyvenamumas</w:t>
            </w:r>
            <w:r w:rsidRPr="00842A24">
              <w:rPr>
                <w:rFonts w:ascii="Times New Roman" w:hAnsi="Times New Roman"/>
                <w:spacing w:val="-1"/>
                <w:position w:val="7"/>
                <w:lang w:val="lt-LT"/>
              </w:rPr>
              <w:t>d</w:t>
            </w:r>
          </w:p>
        </w:tc>
        <w:tc>
          <w:tcPr>
            <w:tcW w:w="904" w:type="pct"/>
            <w:shd w:val="clear" w:color="auto" w:fill="auto"/>
          </w:tcPr>
          <w:p w14:paraId="5496D299" w14:textId="77777777" w:rsidR="005B672A" w:rsidRPr="00842A24" w:rsidRDefault="005B672A" w:rsidP="0089425E">
            <w:pPr>
              <w:pStyle w:val="TableParagraph"/>
              <w:spacing w:before="89"/>
              <w:jc w:val="center"/>
              <w:rPr>
                <w:rFonts w:ascii="Times New Roman" w:hAnsi="Times New Roman"/>
                <w:spacing w:val="-5"/>
                <w:lang w:val="lt-LT"/>
              </w:rPr>
            </w:pPr>
            <w:r w:rsidRPr="00842A24">
              <w:rPr>
                <w:rFonts w:ascii="Times New Roman" w:hAnsi="Times New Roman"/>
                <w:spacing w:val="-5"/>
                <w:lang w:val="lt-LT"/>
              </w:rPr>
              <w:t>467</w:t>
            </w:r>
          </w:p>
        </w:tc>
        <w:tc>
          <w:tcPr>
            <w:tcW w:w="927" w:type="pct"/>
            <w:shd w:val="clear" w:color="auto" w:fill="auto"/>
          </w:tcPr>
          <w:p w14:paraId="391A207B" w14:textId="77777777" w:rsidR="005B672A" w:rsidRPr="00842A24" w:rsidRDefault="005B672A" w:rsidP="0089425E">
            <w:pPr>
              <w:pStyle w:val="TableParagraph"/>
              <w:spacing w:before="89"/>
              <w:jc w:val="center"/>
              <w:rPr>
                <w:rFonts w:ascii="Times New Roman" w:hAnsi="Times New Roman"/>
                <w:spacing w:val="-5"/>
                <w:lang w:val="lt-LT"/>
              </w:rPr>
            </w:pPr>
            <w:r w:rsidRPr="00842A24">
              <w:rPr>
                <w:rFonts w:ascii="Times New Roman" w:hAnsi="Times New Roman"/>
                <w:spacing w:val="-5"/>
                <w:lang w:val="lt-LT"/>
              </w:rPr>
              <w:t>510</w:t>
            </w:r>
          </w:p>
        </w:tc>
        <w:tc>
          <w:tcPr>
            <w:tcW w:w="1165" w:type="pct"/>
            <w:shd w:val="clear" w:color="auto" w:fill="auto"/>
          </w:tcPr>
          <w:p w14:paraId="3A5CF3EA" w14:textId="77777777" w:rsidR="005B672A" w:rsidRPr="00842A24" w:rsidRDefault="007E6454" w:rsidP="007E6454">
            <w:pPr>
              <w:pStyle w:val="TableParagraph"/>
              <w:spacing w:before="89"/>
              <w:jc w:val="center"/>
              <w:rPr>
                <w:rFonts w:ascii="Times New Roman" w:hAnsi="Times New Roman"/>
                <w:spacing w:val="-5"/>
                <w:lang w:val="lt-LT"/>
              </w:rPr>
            </w:pPr>
            <w:r w:rsidRPr="00842A24">
              <w:rPr>
                <w:rFonts w:ascii="Times New Roman" w:hAnsi="Times New Roman"/>
                <w:spacing w:val="-5"/>
                <w:lang w:val="lt-LT"/>
              </w:rPr>
              <w:t>0,</w:t>
            </w:r>
            <w:r w:rsidR="005B672A" w:rsidRPr="00842A24">
              <w:rPr>
                <w:rFonts w:ascii="Times New Roman" w:hAnsi="Times New Roman"/>
                <w:spacing w:val="-5"/>
                <w:lang w:val="lt-LT"/>
              </w:rPr>
              <w:t>91 (95</w:t>
            </w:r>
            <w:r w:rsidRPr="00842A24">
              <w:rPr>
                <w:rFonts w:ascii="Times New Roman" w:hAnsi="Times New Roman"/>
                <w:spacing w:val="-5"/>
                <w:lang w:val="lt-LT"/>
              </w:rPr>
              <w:t xml:space="preserve"> % CI: 0,</w:t>
            </w:r>
            <w:r w:rsidR="005B672A" w:rsidRPr="00842A24">
              <w:rPr>
                <w:rFonts w:ascii="Times New Roman" w:hAnsi="Times New Roman"/>
                <w:spacing w:val="-5"/>
                <w:lang w:val="lt-LT"/>
              </w:rPr>
              <w:t>81</w:t>
            </w:r>
            <w:r w:rsidRPr="00842A24">
              <w:rPr>
                <w:rFonts w:ascii="Times New Roman" w:hAnsi="Times New Roman"/>
                <w:spacing w:val="-5"/>
                <w:lang w:val="lt-LT"/>
              </w:rPr>
              <w:t>–1,</w:t>
            </w:r>
            <w:r w:rsidR="005B672A" w:rsidRPr="00842A24">
              <w:rPr>
                <w:rFonts w:ascii="Times New Roman" w:hAnsi="Times New Roman"/>
                <w:spacing w:val="-5"/>
                <w:lang w:val="lt-LT"/>
              </w:rPr>
              <w:t>04)</w:t>
            </w:r>
          </w:p>
        </w:tc>
        <w:tc>
          <w:tcPr>
            <w:tcW w:w="844" w:type="pct"/>
            <w:shd w:val="clear" w:color="auto" w:fill="auto"/>
          </w:tcPr>
          <w:p w14:paraId="1B061AB2" w14:textId="77777777" w:rsidR="005B672A" w:rsidRPr="00842A24" w:rsidRDefault="007E6454" w:rsidP="0089425E">
            <w:pPr>
              <w:pStyle w:val="TableParagraph"/>
              <w:spacing w:before="89"/>
              <w:jc w:val="center"/>
              <w:rPr>
                <w:rFonts w:ascii="Times New Roman" w:hAnsi="Times New Roman"/>
                <w:spacing w:val="-5"/>
                <w:lang w:val="lt-LT"/>
              </w:rPr>
            </w:pPr>
            <w:r w:rsidRPr="00842A24">
              <w:rPr>
                <w:rFonts w:ascii="Times New Roman" w:hAnsi="Times New Roman"/>
                <w:spacing w:val="-5"/>
                <w:lang w:val="lt-LT"/>
              </w:rPr>
              <w:t>0,</w:t>
            </w:r>
            <w:r w:rsidR="005B672A" w:rsidRPr="00842A24">
              <w:rPr>
                <w:rFonts w:ascii="Times New Roman" w:hAnsi="Times New Roman"/>
                <w:spacing w:val="-5"/>
                <w:lang w:val="lt-LT"/>
              </w:rPr>
              <w:t>15737</w:t>
            </w:r>
          </w:p>
        </w:tc>
      </w:tr>
    </w:tbl>
    <w:p w14:paraId="73681509" w14:textId="77777777" w:rsidR="00F4612E" w:rsidRPr="00842A24" w:rsidRDefault="00F4612E" w:rsidP="00F4612E">
      <w:pPr>
        <w:pStyle w:val="prastasiniatinklio"/>
        <w:shd w:val="clear" w:color="auto" w:fill="FFFFFF"/>
        <w:spacing w:line="234" w:lineRule="atLeast"/>
        <w:rPr>
          <w:sz w:val="22"/>
          <w:szCs w:val="22"/>
          <w:lang w:val="lt-LT"/>
        </w:rPr>
      </w:pPr>
      <w:r w:rsidRPr="00842A24">
        <w:rPr>
          <w:sz w:val="22"/>
          <w:szCs w:val="22"/>
          <w:lang w:val="lt-LT"/>
        </w:rPr>
        <w:t xml:space="preserve">CI = </w:t>
      </w:r>
      <w:r w:rsidR="007E6454" w:rsidRPr="00842A24">
        <w:rPr>
          <w:sz w:val="22"/>
          <w:szCs w:val="22"/>
          <w:lang w:val="lt-LT"/>
        </w:rPr>
        <w:t xml:space="preserve">patikimumo </w:t>
      </w:r>
      <w:r w:rsidRPr="00842A24">
        <w:rPr>
          <w:sz w:val="22"/>
          <w:szCs w:val="22"/>
          <w:lang w:val="lt-LT"/>
        </w:rPr>
        <w:t>interval</w:t>
      </w:r>
      <w:r w:rsidR="007E6454" w:rsidRPr="00842A24">
        <w:rPr>
          <w:sz w:val="22"/>
          <w:szCs w:val="22"/>
          <w:lang w:val="lt-LT"/>
        </w:rPr>
        <w:t>as</w:t>
      </w:r>
      <w:r w:rsidRPr="00842A24">
        <w:rPr>
          <w:sz w:val="22"/>
          <w:szCs w:val="22"/>
          <w:lang w:val="lt-LT"/>
        </w:rPr>
        <w:t xml:space="preserve">; IES = </w:t>
      </w:r>
      <w:r w:rsidR="007E6454" w:rsidRPr="00842A24">
        <w:rPr>
          <w:sz w:val="22"/>
          <w:szCs w:val="22"/>
          <w:lang w:val="lt-LT"/>
        </w:rPr>
        <w:t>„</w:t>
      </w:r>
      <w:r w:rsidRPr="00842A24">
        <w:rPr>
          <w:sz w:val="22"/>
          <w:szCs w:val="22"/>
          <w:lang w:val="lt-LT"/>
        </w:rPr>
        <w:t>Intergroup Exemestane Study</w:t>
      </w:r>
      <w:r w:rsidR="007E6454" w:rsidRPr="00842A24">
        <w:rPr>
          <w:sz w:val="22"/>
          <w:szCs w:val="22"/>
          <w:lang w:val="lt-LT"/>
        </w:rPr>
        <w:t>“</w:t>
      </w:r>
      <w:r w:rsidRPr="00842A24">
        <w:rPr>
          <w:sz w:val="22"/>
          <w:szCs w:val="22"/>
          <w:lang w:val="lt-LT"/>
        </w:rPr>
        <w:t xml:space="preserve">; ITT = </w:t>
      </w:r>
      <w:r w:rsidR="00034D4F" w:rsidRPr="00842A24">
        <w:rPr>
          <w:sz w:val="22"/>
          <w:szCs w:val="22"/>
          <w:lang w:val="lt-LT"/>
        </w:rPr>
        <w:t>visos pacientėms, kurias ketinamą gydyti</w:t>
      </w:r>
      <w:r w:rsidRPr="00842A24">
        <w:rPr>
          <w:sz w:val="22"/>
          <w:szCs w:val="22"/>
          <w:lang w:val="lt-LT"/>
        </w:rPr>
        <w:t>.</w:t>
      </w:r>
    </w:p>
    <w:p w14:paraId="7AFBEE2E" w14:textId="77777777" w:rsidR="00F4612E" w:rsidRPr="00842A24" w:rsidRDefault="00F4612E" w:rsidP="00F4612E">
      <w:pPr>
        <w:pStyle w:val="prastasiniatinklio"/>
        <w:shd w:val="clear" w:color="auto" w:fill="FFFFFF"/>
        <w:spacing w:line="234" w:lineRule="atLeast"/>
        <w:rPr>
          <w:sz w:val="22"/>
          <w:szCs w:val="22"/>
          <w:lang w:val="lt-LT"/>
        </w:rPr>
      </w:pPr>
      <w:r w:rsidRPr="00842A24">
        <w:rPr>
          <w:sz w:val="22"/>
          <w:szCs w:val="22"/>
          <w:lang w:val="lt-LT"/>
        </w:rPr>
        <w:t>a.</w:t>
      </w:r>
      <w:r w:rsidR="007E6454" w:rsidRPr="00842A24">
        <w:rPr>
          <w:lang w:val="lt-LT"/>
        </w:rPr>
        <w:t xml:space="preserve"> </w:t>
      </w:r>
      <w:r w:rsidR="007E6454" w:rsidRPr="00842A24">
        <w:rPr>
          <w:sz w:val="22"/>
          <w:szCs w:val="22"/>
          <w:lang w:val="lt-LT"/>
        </w:rPr>
        <w:t>Išgyvenamumas be ligos progresavimo – tai laikas iki pirmo pasireiškimo lokalaus ar atokaus ligos pasikartojimo, kitos krūties vėžio arba pacientės mirties dėl bet kurios priežasties</w:t>
      </w:r>
      <w:r w:rsidRPr="00842A24">
        <w:rPr>
          <w:sz w:val="22"/>
          <w:szCs w:val="22"/>
          <w:lang w:val="lt-LT"/>
        </w:rPr>
        <w:t>.</w:t>
      </w:r>
    </w:p>
    <w:p w14:paraId="2DED5AEA" w14:textId="77777777" w:rsidR="00F4612E" w:rsidRPr="00842A24" w:rsidRDefault="00F4612E" w:rsidP="00F4612E">
      <w:pPr>
        <w:pStyle w:val="prastasiniatinklio"/>
        <w:shd w:val="clear" w:color="auto" w:fill="FFFFFF"/>
        <w:spacing w:line="234" w:lineRule="atLeast"/>
        <w:rPr>
          <w:sz w:val="22"/>
          <w:szCs w:val="22"/>
          <w:lang w:val="lt-LT"/>
        </w:rPr>
      </w:pPr>
      <w:r w:rsidRPr="00842A24">
        <w:rPr>
          <w:sz w:val="22"/>
          <w:szCs w:val="22"/>
          <w:lang w:val="lt-LT"/>
        </w:rPr>
        <w:t>b.</w:t>
      </w:r>
      <w:r w:rsidR="007E6454" w:rsidRPr="00842A24">
        <w:rPr>
          <w:lang w:val="lt-LT"/>
        </w:rPr>
        <w:t xml:space="preserve"> </w:t>
      </w:r>
      <w:r w:rsidR="007E6454" w:rsidRPr="00842A24">
        <w:rPr>
          <w:sz w:val="22"/>
          <w:szCs w:val="22"/>
          <w:lang w:val="lt-LT"/>
        </w:rPr>
        <w:t>Išgyvenamumas be krūties vėžio – tai laikas, per kurį įvyksta lokalus ar atokus ligos pasikartojimas, kitos krūties vėžys arba pacientės mirtis dėl krūties vėžio</w:t>
      </w:r>
      <w:r w:rsidRPr="00842A24">
        <w:rPr>
          <w:sz w:val="22"/>
          <w:szCs w:val="22"/>
          <w:lang w:val="lt-LT"/>
        </w:rPr>
        <w:t>.</w:t>
      </w:r>
    </w:p>
    <w:p w14:paraId="05C594C2" w14:textId="77777777" w:rsidR="00F4612E" w:rsidRPr="00842A24" w:rsidRDefault="00F4612E" w:rsidP="00F4612E">
      <w:pPr>
        <w:pStyle w:val="prastasiniatinklio"/>
        <w:shd w:val="clear" w:color="auto" w:fill="FFFFFF"/>
        <w:spacing w:line="234" w:lineRule="atLeast"/>
        <w:rPr>
          <w:sz w:val="22"/>
          <w:szCs w:val="22"/>
          <w:lang w:val="lt-LT"/>
        </w:rPr>
      </w:pPr>
      <w:r w:rsidRPr="00842A24">
        <w:rPr>
          <w:sz w:val="22"/>
          <w:szCs w:val="22"/>
          <w:lang w:val="lt-LT"/>
        </w:rPr>
        <w:t>c.</w:t>
      </w:r>
      <w:r w:rsidR="007E6454" w:rsidRPr="00842A24">
        <w:rPr>
          <w:lang w:val="lt-LT"/>
        </w:rPr>
        <w:t xml:space="preserve"> </w:t>
      </w:r>
      <w:r w:rsidR="007E6454" w:rsidRPr="00842A24">
        <w:rPr>
          <w:sz w:val="22"/>
          <w:szCs w:val="22"/>
          <w:lang w:val="lt-LT"/>
        </w:rPr>
        <w:t>Išgyvenamumas be atokaus ligos pasikartojimo – tai laikotarpis, per kurį įvyksta atokus ligos pasikartojimas arba pacientės mirtis dėl krūties vėžio</w:t>
      </w:r>
      <w:r w:rsidRPr="00842A24">
        <w:rPr>
          <w:sz w:val="22"/>
          <w:szCs w:val="22"/>
          <w:lang w:val="lt-LT"/>
        </w:rPr>
        <w:t>.</w:t>
      </w:r>
    </w:p>
    <w:p w14:paraId="07E8907A" w14:textId="77777777" w:rsidR="00F4612E" w:rsidRPr="00842A24" w:rsidRDefault="00F4612E" w:rsidP="00F4612E">
      <w:pPr>
        <w:pStyle w:val="prastasiniatinklio"/>
        <w:shd w:val="clear" w:color="auto" w:fill="FFFFFF"/>
        <w:spacing w:before="0" w:beforeAutospacing="0" w:after="0" w:afterAutospacing="0" w:line="234" w:lineRule="atLeast"/>
        <w:rPr>
          <w:sz w:val="22"/>
          <w:szCs w:val="22"/>
          <w:lang w:val="lt-LT"/>
        </w:rPr>
      </w:pPr>
      <w:r w:rsidRPr="00842A24">
        <w:rPr>
          <w:sz w:val="22"/>
          <w:szCs w:val="22"/>
          <w:lang w:val="lt-LT"/>
        </w:rPr>
        <w:lastRenderedPageBreak/>
        <w:t>d.</w:t>
      </w:r>
      <w:r w:rsidR="007E6454" w:rsidRPr="00842A24">
        <w:rPr>
          <w:lang w:val="lt-LT"/>
        </w:rPr>
        <w:t xml:space="preserve"> </w:t>
      </w:r>
      <w:r w:rsidR="007E6454" w:rsidRPr="00842A24">
        <w:rPr>
          <w:sz w:val="22"/>
          <w:szCs w:val="22"/>
          <w:lang w:val="lt-LT"/>
        </w:rPr>
        <w:t>Bendrasis išgyvenamumas – tai laikotarpis, per kurį įvyksta pacientės mirtis dėl bet kurios priežasties</w:t>
      </w:r>
      <w:r w:rsidRPr="00842A24">
        <w:rPr>
          <w:sz w:val="22"/>
          <w:szCs w:val="22"/>
          <w:lang w:val="lt-LT"/>
        </w:rPr>
        <w:t>.</w:t>
      </w:r>
    </w:p>
    <w:p w14:paraId="7FFB3C0F" w14:textId="77777777" w:rsidR="00F4612E" w:rsidRPr="00842A24" w:rsidRDefault="00F4612E" w:rsidP="00173463">
      <w:pPr>
        <w:rPr>
          <w:u w:val="single"/>
        </w:rPr>
      </w:pPr>
    </w:p>
    <w:p w14:paraId="643BFDF0" w14:textId="77777777" w:rsidR="00173463" w:rsidRPr="00842A24" w:rsidRDefault="00173463" w:rsidP="00173463">
      <w:r w:rsidRPr="00842A24">
        <w:rPr>
          <w:u w:val="single"/>
        </w:rPr>
        <w:t>Vėlyvos krūties vėžio stadijos gydymas</w:t>
      </w:r>
    </w:p>
    <w:p w14:paraId="6C89CF01" w14:textId="77777777" w:rsidR="00173463" w:rsidRPr="00842A24" w:rsidRDefault="00173463" w:rsidP="00173463">
      <w:pPr>
        <w:rPr>
          <w:color w:val="000000"/>
        </w:rPr>
      </w:pPr>
      <w:r w:rsidRPr="00842A24">
        <w:t>Atsitiktinių imčių kontroliuojamo klinikinio tyrimo su pacientėmis, sergančiomis vėlyvąja krūties vėžio stadija, kuri progresavo po gydymo tamoksifenu arba gydymo juo metu, metu buvo skiriamos 25 mg eksemestano paros dozės, rezultatai parodė statistiškai reikšmingą išgyvenamumo, laikotarpio iki ligos progresavimo (LLP) ir laikotarpio iki neveiksmingo gydymo (LNG) pailgėjimą, lyginant su standartiniu hormoniniu gydymu megestrolio acetatu pomenopauzinės būklės, tiek vartojant tamoksifeną kaip pagalbinį, tiek kaip pirmaeilį vaistinį preparatą.</w:t>
      </w:r>
    </w:p>
    <w:p w14:paraId="7DD74C00" w14:textId="77777777" w:rsidR="00173463" w:rsidRPr="00842A24" w:rsidRDefault="00173463" w:rsidP="009E4666">
      <w:pPr>
        <w:pStyle w:val="BTEMEASMCA"/>
      </w:pPr>
    </w:p>
    <w:p w14:paraId="478B98E8" w14:textId="1C218C29" w:rsidR="00173463" w:rsidRPr="00842A24" w:rsidRDefault="00173463" w:rsidP="00173463">
      <w:pPr>
        <w:pStyle w:val="PI-2EMEASMCA"/>
        <w:rPr>
          <w:b w:val="0"/>
        </w:rPr>
      </w:pPr>
      <w:bookmarkStart w:id="35" w:name="_Toc129243113"/>
      <w:bookmarkStart w:id="36" w:name="_Toc129243238"/>
      <w:r w:rsidRPr="00842A24">
        <w:t>5.2</w:t>
      </w:r>
      <w:r w:rsidRPr="00842A24">
        <w:tab/>
        <w:t>Farmakokinetinės savybės</w:t>
      </w:r>
      <w:bookmarkEnd w:id="35"/>
      <w:bookmarkEnd w:id="36"/>
    </w:p>
    <w:p w14:paraId="5175CE54" w14:textId="77777777" w:rsidR="00173463" w:rsidRPr="00842A24" w:rsidRDefault="00173463" w:rsidP="009E4666">
      <w:pPr>
        <w:pStyle w:val="BTEMEASMCA"/>
      </w:pPr>
    </w:p>
    <w:p w14:paraId="2F794263" w14:textId="77777777" w:rsidR="00173463" w:rsidRPr="00842A24" w:rsidRDefault="00173463" w:rsidP="00173463">
      <w:pPr>
        <w:rPr>
          <w:u w:val="single"/>
        </w:rPr>
      </w:pPr>
      <w:r w:rsidRPr="00842A24">
        <w:rPr>
          <w:u w:val="single"/>
        </w:rPr>
        <w:t>Absorbcija</w:t>
      </w:r>
    </w:p>
    <w:p w14:paraId="59F48995" w14:textId="77777777" w:rsidR="00173463" w:rsidRPr="00842A24" w:rsidRDefault="00173463" w:rsidP="00173463">
      <w:r w:rsidRPr="00842A24">
        <w:t xml:space="preserve">Išgėrus Exemestane Accord tablečių, eksemestanas absorbuojamas greitai. </w:t>
      </w:r>
      <w:r w:rsidRPr="00842A24">
        <w:rPr>
          <w:color w:val="000000"/>
        </w:rPr>
        <w:t xml:space="preserve">Iš virškinimo trakto absorbuojama didelė preparato dozės dalis. Absoliutus biologinis prieinamumas žmogaus organizme nežinomas, tačiau, manoma, kad jis ribojamas ekstensyvaus metabolizmo pirmojo prasiskverbimo pro kepenis metu. Dėl panašių procesų žiurkių ir šunų organizme absoliutus biologinis prieinamumas yra apie 5%. Išgėrus vienkartinę 25 mg dozę, didžiausia koncentracija plazmoje (18 ng/ml) susidaro po 2 val. Vartojamo valgant vaistinio preparato biologinis prieinamumas padidėja iki 40%. </w:t>
      </w:r>
    </w:p>
    <w:p w14:paraId="154F0D1F" w14:textId="77777777" w:rsidR="00173463" w:rsidRPr="00842A24" w:rsidRDefault="00173463" w:rsidP="00173463"/>
    <w:p w14:paraId="14B718A2" w14:textId="77777777" w:rsidR="00173463" w:rsidRPr="00842A24" w:rsidRDefault="00173463" w:rsidP="00173463">
      <w:pPr>
        <w:rPr>
          <w:u w:val="single"/>
        </w:rPr>
      </w:pPr>
      <w:r w:rsidRPr="00842A24">
        <w:rPr>
          <w:u w:val="single"/>
        </w:rPr>
        <w:t>Pasiskirstymas</w:t>
      </w:r>
    </w:p>
    <w:p w14:paraId="4F38C56F" w14:textId="77777777" w:rsidR="00173463" w:rsidRPr="00842A24" w:rsidRDefault="00173463" w:rsidP="00173463">
      <w:r w:rsidRPr="00842A24">
        <w:t>Eksemestano pasiskirstymo tūris, neatsižvelgus į išgerto vaistinio preparato biologinį prieinamumą, yra maždaug 20000 l. Preparato kinetika yra linijinė, o galutinis pusinės eliminacijos laikas – 24 val. Maždaug 90% preparato prisijungia prie plazmos baltymų. Eksemestanas ir jo metabolitai nesijungia prie eritrocitų.</w:t>
      </w:r>
    </w:p>
    <w:p w14:paraId="4FFB1135" w14:textId="77777777" w:rsidR="00173463" w:rsidRPr="00842A24" w:rsidRDefault="00173463" w:rsidP="00173463">
      <w:r w:rsidRPr="00842A24">
        <w:t xml:space="preserve">Vartojant kartotines dozes, eksemestanas netikėtu būdu organizme nesikaupia. </w:t>
      </w:r>
    </w:p>
    <w:p w14:paraId="6DD00EF2" w14:textId="77777777" w:rsidR="00173463" w:rsidRPr="00842A24" w:rsidRDefault="00173463" w:rsidP="00173463"/>
    <w:p w14:paraId="61DA3AF2" w14:textId="77777777" w:rsidR="00173463" w:rsidRPr="00842A24" w:rsidRDefault="00173463" w:rsidP="00173463">
      <w:pPr>
        <w:rPr>
          <w:u w:val="single"/>
        </w:rPr>
      </w:pPr>
      <w:r w:rsidRPr="00842A24">
        <w:rPr>
          <w:u w:val="single"/>
        </w:rPr>
        <w:t>Eliminacija</w:t>
      </w:r>
    </w:p>
    <w:p w14:paraId="0C143873" w14:textId="77777777" w:rsidR="00173463" w:rsidRPr="00842A24" w:rsidRDefault="00173463" w:rsidP="00173463">
      <w:r w:rsidRPr="00842A24">
        <w:t>Eksemestanas metabolizuojamas oksiduojantis metileno daliai 6 padėtyje, dalyvaujant CYP3A4 izofermentui, ir (arba) redukuojantis 17</w:t>
      </w:r>
      <w:r w:rsidRPr="00842A24">
        <w:noBreakHyphen/>
        <w:t>keto grupei, dalyvaujant aldoreduktazei, o vėliau konjuguojantis. Eksemestano klirensas yra apie 500 l/val., nepatikslinus geriamo vaistinio preparato biologinio prieinamumo.</w:t>
      </w:r>
    </w:p>
    <w:p w14:paraId="7EC641C8" w14:textId="77777777" w:rsidR="00173463" w:rsidRPr="00842A24" w:rsidRDefault="00173463" w:rsidP="00173463">
      <w:r w:rsidRPr="00842A24">
        <w:t>Metabolitai yra neveiklūs arba slopina aromatazę silpniau už nepakitusį vaistinį preparatą.</w:t>
      </w:r>
    </w:p>
    <w:p w14:paraId="16D683BB" w14:textId="77777777" w:rsidR="00173463" w:rsidRPr="00842A24" w:rsidRDefault="00173463" w:rsidP="00173463">
      <w:r w:rsidRPr="00842A24">
        <w:t xml:space="preserve">Mažiau kaip 1% dozės nepakitusio vaistinio preparato išsiskiria su šlapimu. Išgėrus vienkartinę radioaktyviu izotopu </w:t>
      </w:r>
      <w:r w:rsidRPr="00842A24">
        <w:rPr>
          <w:vertAlign w:val="superscript"/>
        </w:rPr>
        <w:t>14</w:t>
      </w:r>
      <w:r w:rsidRPr="00842A24">
        <w:t xml:space="preserve">C žymėto eksemestano dozę per savaitę su šlapimu ir išmatomis pasišalina maždaug vienoda vaistinio preparato dozės (40%) dalis. </w:t>
      </w:r>
    </w:p>
    <w:p w14:paraId="3E8849F7" w14:textId="77777777" w:rsidR="00173463" w:rsidRPr="00842A24" w:rsidRDefault="00173463" w:rsidP="00173463"/>
    <w:p w14:paraId="0D8A68F1" w14:textId="77777777" w:rsidR="00173463" w:rsidRPr="00842A24" w:rsidRDefault="00173463" w:rsidP="00173463">
      <w:pPr>
        <w:rPr>
          <w:u w:val="single"/>
        </w:rPr>
      </w:pPr>
      <w:r w:rsidRPr="00842A24">
        <w:rPr>
          <w:u w:val="single"/>
        </w:rPr>
        <w:t>Ypatingos pacientų grupės</w:t>
      </w:r>
    </w:p>
    <w:p w14:paraId="11E8A1B9" w14:textId="77777777" w:rsidR="00173463" w:rsidRPr="00842A24" w:rsidRDefault="00173463" w:rsidP="00173463">
      <w:r w:rsidRPr="00842A24">
        <w:rPr>
          <w:i/>
        </w:rPr>
        <w:t>Amžius</w:t>
      </w:r>
    </w:p>
    <w:p w14:paraId="2490E437" w14:textId="77777777" w:rsidR="00173463" w:rsidRPr="00842A24" w:rsidRDefault="00173463" w:rsidP="00173463">
      <w:pPr>
        <w:rPr>
          <w:color w:val="000000"/>
        </w:rPr>
      </w:pPr>
      <w:r w:rsidRPr="00842A24">
        <w:t xml:space="preserve">Reikšmingos koreliacijos tarp eksemestano sisteminės ekspozicijos ir pacienčių amžiaus nepastebėta. </w:t>
      </w:r>
    </w:p>
    <w:p w14:paraId="658FD9AF" w14:textId="77777777" w:rsidR="00173463" w:rsidRPr="00842A24" w:rsidRDefault="00173463" w:rsidP="00173463"/>
    <w:p w14:paraId="5A9F0842" w14:textId="77777777" w:rsidR="00173463" w:rsidRPr="00842A24" w:rsidRDefault="00173463" w:rsidP="00173463">
      <w:pPr>
        <w:rPr>
          <w:i/>
        </w:rPr>
      </w:pPr>
      <w:r w:rsidRPr="00842A24">
        <w:rPr>
          <w:i/>
        </w:rPr>
        <w:t>Inkstų veiklos sutrikimas</w:t>
      </w:r>
    </w:p>
    <w:p w14:paraId="220CA538" w14:textId="77777777" w:rsidR="00173463" w:rsidRPr="00842A24" w:rsidRDefault="00173463" w:rsidP="00173463">
      <w:r w:rsidRPr="00842A24">
        <w:t>Pacienčių, sergančių sunkiu inkstų nepakankamumu (CL</w:t>
      </w:r>
      <w:r w:rsidRPr="00842A24">
        <w:rPr>
          <w:vertAlign w:val="subscript"/>
        </w:rPr>
        <w:t>cr</w:t>
      </w:r>
      <w:r w:rsidRPr="00842A24">
        <w:t xml:space="preserve"> &lt; 30 ml/min.), organizme sisteminė eksemestano ekspozicija būna maždaug du kartus didesnė negu sveikų savanorių.</w:t>
      </w:r>
    </w:p>
    <w:p w14:paraId="5A2B15A2" w14:textId="77777777" w:rsidR="00173463" w:rsidRPr="00842A24" w:rsidRDefault="00173463" w:rsidP="00173463">
      <w:r w:rsidRPr="00842A24">
        <w:t xml:space="preserve">Įvertinus turimą informaciją apie eksemestano saugumą, manoma, dozės koreguoti nereikia. </w:t>
      </w:r>
    </w:p>
    <w:p w14:paraId="41E9BBD9" w14:textId="77777777" w:rsidR="00173463" w:rsidRPr="00842A24" w:rsidRDefault="00173463" w:rsidP="00173463"/>
    <w:p w14:paraId="3ED83F0F" w14:textId="77777777" w:rsidR="00173463" w:rsidRPr="00842A24" w:rsidRDefault="00173463" w:rsidP="00173463">
      <w:pPr>
        <w:rPr>
          <w:i/>
        </w:rPr>
      </w:pPr>
      <w:r w:rsidRPr="00842A24">
        <w:rPr>
          <w:i/>
        </w:rPr>
        <w:t>Kepenų veiklos sutrikimas</w:t>
      </w:r>
    </w:p>
    <w:p w14:paraId="08F80A61" w14:textId="77777777" w:rsidR="00173463" w:rsidRPr="00842A24" w:rsidRDefault="00173463" w:rsidP="00173463">
      <w:r w:rsidRPr="00842A24">
        <w:t>Pacienčių, sergančių vidutiniu ir sunkiu kepenų nepakankamumu, organizme eksemestano sisteminė ekspozicija buvo 2</w:t>
      </w:r>
      <w:r w:rsidRPr="00842A24">
        <w:noBreakHyphen/>
        <w:t>3 kartus didesnė negu sveikų savanorių. Įvertinus turimą informaciją apie eksemestano saugumą, manoma, dozės koreguoti nereikia.</w:t>
      </w:r>
    </w:p>
    <w:p w14:paraId="2EB2DC3E" w14:textId="77777777" w:rsidR="00173463" w:rsidRPr="00842A24" w:rsidRDefault="00173463" w:rsidP="009E4666">
      <w:pPr>
        <w:pStyle w:val="BTEMEASMCA"/>
      </w:pPr>
    </w:p>
    <w:p w14:paraId="1EB8086C" w14:textId="60134195" w:rsidR="00173463" w:rsidRPr="00842A24" w:rsidRDefault="00173463" w:rsidP="00173463">
      <w:pPr>
        <w:pStyle w:val="PI-2EMEASMCA"/>
      </w:pPr>
      <w:bookmarkStart w:id="37" w:name="_Toc129243114"/>
      <w:bookmarkStart w:id="38" w:name="_Toc129243239"/>
      <w:r w:rsidRPr="00842A24">
        <w:t>5.3</w:t>
      </w:r>
      <w:r w:rsidRPr="00842A24">
        <w:tab/>
        <w:t>Ikiklinikinių saugumo tyrimų duomenys</w:t>
      </w:r>
      <w:bookmarkEnd w:id="37"/>
      <w:bookmarkEnd w:id="38"/>
    </w:p>
    <w:p w14:paraId="1527DF2B" w14:textId="77777777" w:rsidR="00173463" w:rsidRPr="00842A24" w:rsidRDefault="00173463" w:rsidP="009E4666">
      <w:pPr>
        <w:pStyle w:val="BTEMEASMCA"/>
      </w:pPr>
    </w:p>
    <w:p w14:paraId="35A9367C" w14:textId="77777777" w:rsidR="00173463" w:rsidRPr="00842A24" w:rsidRDefault="00173463" w:rsidP="00173463">
      <w:r w:rsidRPr="00842A24">
        <w:rPr>
          <w:b/>
        </w:rPr>
        <w:t>Toksikologiniai tyrimai.</w:t>
      </w:r>
      <w:r w:rsidRPr="00842A24">
        <w:t xml:space="preserve"> Su žiurkėmis ir šunimis atliktų kartotinių dozių toksinio poveikio tyrimų metu gauti rezultatai siejami su eksemestano farmakologiniu poveikiu, pvz., poveikio lytiniams ir kitiems organams. Kitas toksinis poveikis (kepenims, inkstams arba centrinei nervų sistemai) </w:t>
      </w:r>
      <w:r w:rsidRPr="00842A24">
        <w:lastRenderedPageBreak/>
        <w:t xml:space="preserve">pasireiškė tik skiriant šio vaistinio preparato daug didesnėmis už didžiausią leistiną žmogui dozėmis, todėl jis klinikai nereikšmingas. </w:t>
      </w:r>
    </w:p>
    <w:p w14:paraId="379BFFED" w14:textId="77777777" w:rsidR="00173463" w:rsidRPr="00842A24" w:rsidRDefault="00173463" w:rsidP="00173463"/>
    <w:p w14:paraId="76B5E882" w14:textId="77777777" w:rsidR="00173463" w:rsidRPr="00842A24" w:rsidRDefault="00173463" w:rsidP="00173463">
      <w:r w:rsidRPr="00842A24">
        <w:rPr>
          <w:b/>
        </w:rPr>
        <w:t>Mutageninis poveikis.</w:t>
      </w:r>
      <w:r w:rsidRPr="00842A24">
        <w:t xml:space="preserve"> Tyrimais su bakterijomis (</w:t>
      </w:r>
      <w:r w:rsidRPr="00842A24">
        <w:rPr>
          <w:i/>
        </w:rPr>
        <w:t>Ames</w:t>
      </w:r>
      <w:r w:rsidRPr="00842A24">
        <w:t xml:space="preserve"> testas), V79 kiniškojo žiurkėno ląstelėmis, žiurkių hepatocitais ir mikrobranduolių tyrimu su pelių ląstelėmis eksemestano genotoksinio poveikio nenustatyta. Nustatytas klastogeninis eksemestano poveikis limfocitams </w:t>
      </w:r>
      <w:r w:rsidRPr="00842A24">
        <w:rPr>
          <w:i/>
        </w:rPr>
        <w:t>in vitro</w:t>
      </w:r>
      <w:r w:rsidRPr="00842A24">
        <w:t xml:space="preserve">, tačiau du tyrimai </w:t>
      </w:r>
      <w:r w:rsidRPr="00842A24">
        <w:rPr>
          <w:i/>
        </w:rPr>
        <w:t xml:space="preserve">in vivo </w:t>
      </w:r>
      <w:r w:rsidRPr="00842A24">
        <w:t xml:space="preserve">klastogeninio poveikio neparodė. </w:t>
      </w:r>
    </w:p>
    <w:p w14:paraId="3BA5B305" w14:textId="77777777" w:rsidR="00173463" w:rsidRPr="00842A24" w:rsidRDefault="00173463" w:rsidP="00173463"/>
    <w:p w14:paraId="5ED1A0F4" w14:textId="77777777" w:rsidR="00173463" w:rsidRPr="00842A24" w:rsidRDefault="00173463" w:rsidP="00173463">
      <w:r w:rsidRPr="00842A24">
        <w:rPr>
          <w:b/>
        </w:rPr>
        <w:t>Reprodukcinė toksikologija.</w:t>
      </w:r>
      <w:r w:rsidRPr="00842A24">
        <w:t xml:space="preserve"> </w:t>
      </w:r>
      <w:r w:rsidRPr="00842A24">
        <w:rPr>
          <w:color w:val="000000"/>
        </w:rPr>
        <w:t xml:space="preserve">Eksemestanas sukėlė embriotoksinį poveikį žiurkėms ir triušiams, kai sisteminė ekspozicija buvo panaši į tą, kuri susidaro žmogaus organizme vartojant 25 mg per parą dozę. Teratogeninio poveikio įrodymų negauta. </w:t>
      </w:r>
    </w:p>
    <w:p w14:paraId="2B189E30" w14:textId="77777777" w:rsidR="00173463" w:rsidRPr="00842A24" w:rsidRDefault="00173463" w:rsidP="00173463"/>
    <w:p w14:paraId="6A796057" w14:textId="77777777" w:rsidR="00173463" w:rsidRPr="00842A24" w:rsidRDefault="00173463" w:rsidP="00173463">
      <w:r w:rsidRPr="00842A24">
        <w:rPr>
          <w:b/>
        </w:rPr>
        <w:t>Kancerogeniškumas.</w:t>
      </w:r>
      <w:r w:rsidRPr="00842A24">
        <w:t xml:space="preserve"> Dvejus metus trukusiu kancerogeninio poveikio žiurkėms tyrimu su vaistinio preparato vartojimu susijusių auglių nenustatyta. Dėl ankstyvo stipimo nuo lėtinės nefropatijos, žiurkių patinų tyrimas buvo nutrauktas 92</w:t>
      </w:r>
      <w:r w:rsidRPr="00842A24">
        <w:noBreakHyphen/>
        <w:t>ąją savaitę. Dvejų metų trukmės kancerogeninio poveikio pelėms tyrimo duomenimis, duodant vidutinio dydžio ir dideles vaistinio preparato dozes (150 ir 450 mg/kg kūno svorio per parą), abiejų lyčių gyvūnams padažnėjo kepenų navikai. Manoma, kad šį reiškinį lemia kepenų mikrosomų sužadinimas – toks poveikis nustatytas pelėms, bet ne klinikinių tyrimų metu. Didelės dozės (450 mg/kg kūno svorio per parą) dažniau sukėlė inkstų kanalėlių adenomas pelių patinams. Šis poveikis specifinis rūšiai bei lyčiai ir pasireiškė tiktai tokiu atveju, kai gyvūnų organizme ekspozicija buvo 63 kartus didesnė už tą, kuri būna žmogaus organizme vartojant gydomąją vaistinio preparato dozę. Tokio poveikio eksemestano vartojantiems pacientams klinikinė reikšmė yra menka.</w:t>
      </w:r>
    </w:p>
    <w:p w14:paraId="4D71DFB1" w14:textId="77777777" w:rsidR="00173463" w:rsidRPr="00842A24" w:rsidRDefault="00173463" w:rsidP="009E4666">
      <w:pPr>
        <w:pStyle w:val="BTEMEASMCA"/>
      </w:pPr>
    </w:p>
    <w:p w14:paraId="249F6D55" w14:textId="77777777" w:rsidR="00173463" w:rsidRPr="00842A24" w:rsidRDefault="00173463" w:rsidP="009E4666">
      <w:pPr>
        <w:pStyle w:val="BTEMEASMCA"/>
      </w:pPr>
    </w:p>
    <w:p w14:paraId="13321C2A" w14:textId="5943AC0C" w:rsidR="00173463" w:rsidRPr="00842A24" w:rsidRDefault="00173463" w:rsidP="00173463">
      <w:pPr>
        <w:pStyle w:val="PI-1EMEASMCA"/>
        <w:rPr>
          <w:b w:val="0"/>
        </w:rPr>
      </w:pPr>
      <w:bookmarkStart w:id="39" w:name="_Toc129243115"/>
      <w:bookmarkStart w:id="40" w:name="_Toc129243240"/>
      <w:r w:rsidRPr="00842A24">
        <w:t>6.</w:t>
      </w:r>
      <w:r w:rsidRPr="00842A24">
        <w:tab/>
        <w:t>FARMACINĖ INFORMACIJA</w:t>
      </w:r>
      <w:bookmarkEnd w:id="39"/>
      <w:bookmarkEnd w:id="40"/>
    </w:p>
    <w:p w14:paraId="046F3946" w14:textId="77777777" w:rsidR="00173463" w:rsidRPr="00842A24" w:rsidRDefault="00173463" w:rsidP="009E4666">
      <w:pPr>
        <w:pStyle w:val="BTEMEASMCA"/>
      </w:pPr>
    </w:p>
    <w:p w14:paraId="39F4E6E1" w14:textId="56308ED6" w:rsidR="00173463" w:rsidRPr="00842A24" w:rsidRDefault="00173463" w:rsidP="00173463">
      <w:pPr>
        <w:pStyle w:val="PI-2EMEASMCA"/>
        <w:rPr>
          <w:b w:val="0"/>
        </w:rPr>
      </w:pPr>
      <w:bookmarkStart w:id="41" w:name="_Toc129243116"/>
      <w:bookmarkStart w:id="42" w:name="_Toc129243241"/>
      <w:r w:rsidRPr="00842A24">
        <w:t>6.1</w:t>
      </w:r>
      <w:r w:rsidRPr="00842A24">
        <w:tab/>
        <w:t>Pagalbinių medžiagų sąrašas</w:t>
      </w:r>
      <w:bookmarkEnd w:id="41"/>
      <w:bookmarkEnd w:id="42"/>
    </w:p>
    <w:p w14:paraId="034A2547" w14:textId="77777777" w:rsidR="00173463" w:rsidRPr="00842A24" w:rsidRDefault="00173463" w:rsidP="009E4666">
      <w:pPr>
        <w:pStyle w:val="BTEMEASMCA"/>
      </w:pPr>
    </w:p>
    <w:p w14:paraId="4E84B89C" w14:textId="77777777" w:rsidR="00173463" w:rsidRPr="00842A24" w:rsidRDefault="00173463" w:rsidP="00173463">
      <w:pPr>
        <w:rPr>
          <w:i/>
        </w:rPr>
      </w:pPr>
      <w:r w:rsidRPr="00842A24">
        <w:rPr>
          <w:i/>
        </w:rPr>
        <w:t>Tabletės branduolys</w:t>
      </w:r>
    </w:p>
    <w:p w14:paraId="54AB0BC5" w14:textId="77777777" w:rsidR="00173463" w:rsidRPr="00842A24" w:rsidRDefault="00173463" w:rsidP="00173463">
      <w:r w:rsidRPr="00842A24">
        <w:t>Manitolis</w:t>
      </w:r>
    </w:p>
    <w:p w14:paraId="40EF5FE7" w14:textId="77777777" w:rsidR="00173463" w:rsidRPr="00842A24" w:rsidRDefault="00173463" w:rsidP="00173463">
      <w:r w:rsidRPr="00842A24">
        <w:t>Mikrokristalinė celiuliozė</w:t>
      </w:r>
    </w:p>
    <w:p w14:paraId="3A3F0ADE" w14:textId="77777777" w:rsidR="00173463" w:rsidRPr="00842A24" w:rsidRDefault="00173463" w:rsidP="00173463">
      <w:bookmarkStart w:id="43" w:name="OLE_LINK43"/>
      <w:r w:rsidRPr="00842A24">
        <w:t>Krospovidonas</w:t>
      </w:r>
      <w:bookmarkEnd w:id="43"/>
    </w:p>
    <w:p w14:paraId="1F90BA58" w14:textId="77777777" w:rsidR="00173463" w:rsidRPr="00842A24" w:rsidRDefault="00173463" w:rsidP="00173463">
      <w:r w:rsidRPr="00842A24">
        <w:t>Karboksimetilkrakmolo A natrio druska</w:t>
      </w:r>
    </w:p>
    <w:p w14:paraId="0E4997B1" w14:textId="77777777" w:rsidR="00173463" w:rsidRPr="00842A24" w:rsidRDefault="00173463" w:rsidP="00173463">
      <w:r w:rsidRPr="00842A24">
        <w:t>Hipromeliozė E5</w:t>
      </w:r>
    </w:p>
    <w:p w14:paraId="384D0CFC" w14:textId="77777777" w:rsidR="00173463" w:rsidRPr="00842A24" w:rsidRDefault="00173463" w:rsidP="00173463">
      <w:r w:rsidRPr="00842A24">
        <w:t>Polisorbatas 80</w:t>
      </w:r>
    </w:p>
    <w:p w14:paraId="7EF7F569" w14:textId="77777777" w:rsidR="00173463" w:rsidRPr="00842A24" w:rsidRDefault="00173463" w:rsidP="00173463">
      <w:r w:rsidRPr="00842A24">
        <w:rPr>
          <w:rFonts w:eastAsia="MS Mincho"/>
        </w:rPr>
        <w:t>Bevandenis koloidinis silicio dioksidas</w:t>
      </w:r>
    </w:p>
    <w:p w14:paraId="098EC37F" w14:textId="77777777" w:rsidR="00173463" w:rsidRPr="00842A24" w:rsidRDefault="00173463" w:rsidP="00173463">
      <w:r w:rsidRPr="00842A24">
        <w:t>Magnio stearatas</w:t>
      </w:r>
    </w:p>
    <w:p w14:paraId="44EE8679" w14:textId="77777777" w:rsidR="00173463" w:rsidRPr="00842A24" w:rsidRDefault="00173463" w:rsidP="00173463"/>
    <w:p w14:paraId="0DA9B7A9" w14:textId="77777777" w:rsidR="00173463" w:rsidRPr="00842A24" w:rsidRDefault="00173463" w:rsidP="00173463">
      <w:pPr>
        <w:rPr>
          <w:i/>
        </w:rPr>
      </w:pPr>
      <w:r w:rsidRPr="00842A24">
        <w:rPr>
          <w:i/>
        </w:rPr>
        <w:t>Tabletės plėvelė</w:t>
      </w:r>
    </w:p>
    <w:p w14:paraId="42F790DB" w14:textId="77777777" w:rsidR="00173463" w:rsidRPr="00842A24" w:rsidRDefault="00173463" w:rsidP="00173463">
      <w:r w:rsidRPr="00842A24">
        <w:t>Hipromeliozė 6cp (E464)</w:t>
      </w:r>
    </w:p>
    <w:p w14:paraId="2E7CFFD2" w14:textId="77777777" w:rsidR="00173463" w:rsidRPr="00842A24" w:rsidRDefault="00173463" w:rsidP="00173463">
      <w:pPr>
        <w:rPr>
          <w:color w:val="000000"/>
        </w:rPr>
      </w:pPr>
      <w:r w:rsidRPr="00842A24">
        <w:t xml:space="preserve">Makrogolis 400 </w:t>
      </w:r>
    </w:p>
    <w:p w14:paraId="0C6EE21A" w14:textId="77777777" w:rsidR="00173463" w:rsidRPr="00842A24" w:rsidRDefault="00173463" w:rsidP="00173463">
      <w:pPr>
        <w:rPr>
          <w:color w:val="000000"/>
        </w:rPr>
      </w:pPr>
      <w:r w:rsidRPr="00842A24">
        <w:rPr>
          <w:color w:val="000000"/>
        </w:rPr>
        <w:t>Titano dioksidas (E171)</w:t>
      </w:r>
    </w:p>
    <w:p w14:paraId="14E4A583" w14:textId="77777777" w:rsidR="00173463" w:rsidRPr="00842A24" w:rsidRDefault="00173463" w:rsidP="009E4666">
      <w:pPr>
        <w:pStyle w:val="BTEMEASMCA"/>
      </w:pPr>
    </w:p>
    <w:p w14:paraId="22AE508F" w14:textId="03591F5E" w:rsidR="00173463" w:rsidRPr="00842A24" w:rsidRDefault="00173463" w:rsidP="00173463">
      <w:pPr>
        <w:pStyle w:val="PI-2EMEASMCA"/>
        <w:rPr>
          <w:b w:val="0"/>
        </w:rPr>
      </w:pPr>
      <w:bookmarkStart w:id="44" w:name="_Toc129243117"/>
      <w:bookmarkStart w:id="45" w:name="_Toc129243242"/>
      <w:r w:rsidRPr="00842A24">
        <w:t>6.2</w:t>
      </w:r>
      <w:r w:rsidRPr="00842A24">
        <w:tab/>
        <w:t>Nesuderinamumas</w:t>
      </w:r>
      <w:bookmarkEnd w:id="44"/>
      <w:bookmarkEnd w:id="45"/>
    </w:p>
    <w:p w14:paraId="145539BF" w14:textId="77777777" w:rsidR="00173463" w:rsidRPr="00842A24" w:rsidRDefault="00173463" w:rsidP="009E4666">
      <w:pPr>
        <w:pStyle w:val="BTEMEASMCA"/>
      </w:pPr>
    </w:p>
    <w:p w14:paraId="249505EB" w14:textId="77777777" w:rsidR="00173463" w:rsidRPr="00842A24" w:rsidRDefault="00173463" w:rsidP="009E4666">
      <w:pPr>
        <w:pStyle w:val="BTEMEASMCA"/>
      </w:pPr>
      <w:r w:rsidRPr="00842A24">
        <w:t>Duomenys nebūtini.</w:t>
      </w:r>
    </w:p>
    <w:p w14:paraId="0410BE53" w14:textId="77777777" w:rsidR="00173463" w:rsidRPr="00842A24" w:rsidRDefault="00173463" w:rsidP="009E4666">
      <w:pPr>
        <w:pStyle w:val="BTEMEASMCA"/>
      </w:pPr>
    </w:p>
    <w:p w14:paraId="1162213D" w14:textId="35559F2B" w:rsidR="00173463" w:rsidRPr="00842A24" w:rsidRDefault="00173463" w:rsidP="00173463">
      <w:pPr>
        <w:pStyle w:val="PI-2EMEASMCA"/>
        <w:rPr>
          <w:b w:val="0"/>
        </w:rPr>
      </w:pPr>
      <w:bookmarkStart w:id="46" w:name="_Toc129243118"/>
      <w:bookmarkStart w:id="47" w:name="_Toc129243243"/>
      <w:r w:rsidRPr="00842A24">
        <w:t>6.3</w:t>
      </w:r>
      <w:r w:rsidRPr="00842A24">
        <w:tab/>
        <w:t>Tinkamumo laikas</w:t>
      </w:r>
      <w:bookmarkEnd w:id="46"/>
      <w:bookmarkEnd w:id="47"/>
    </w:p>
    <w:p w14:paraId="7CA1E5A4" w14:textId="77777777" w:rsidR="00173463" w:rsidRPr="00842A24" w:rsidRDefault="00173463" w:rsidP="009E4666">
      <w:pPr>
        <w:pStyle w:val="BTEMEASMCA"/>
      </w:pPr>
    </w:p>
    <w:p w14:paraId="69F3C587" w14:textId="77777777" w:rsidR="00173463" w:rsidRPr="00842A24" w:rsidRDefault="00173463" w:rsidP="009E4666">
      <w:pPr>
        <w:pStyle w:val="BTEMEASMCA"/>
      </w:pPr>
      <w:r w:rsidRPr="00842A24">
        <w:t>30 mėnesių.</w:t>
      </w:r>
    </w:p>
    <w:p w14:paraId="47EDBD1C" w14:textId="77777777" w:rsidR="00173463" w:rsidRPr="00842A24" w:rsidRDefault="00173463" w:rsidP="009E4666">
      <w:pPr>
        <w:pStyle w:val="BTEMEASMCA"/>
      </w:pPr>
    </w:p>
    <w:p w14:paraId="067CB8B0" w14:textId="251215EA" w:rsidR="00173463" w:rsidRPr="00842A24" w:rsidRDefault="00173463" w:rsidP="00173463">
      <w:pPr>
        <w:pStyle w:val="PI-2EMEASMCA"/>
        <w:rPr>
          <w:b w:val="0"/>
        </w:rPr>
      </w:pPr>
      <w:bookmarkStart w:id="48" w:name="_Toc129243119"/>
      <w:bookmarkStart w:id="49" w:name="_Toc129243244"/>
      <w:r w:rsidRPr="00842A24">
        <w:t>6.4</w:t>
      </w:r>
      <w:r w:rsidRPr="00842A24">
        <w:tab/>
        <w:t>Specialios laikymo sąlygos</w:t>
      </w:r>
      <w:bookmarkEnd w:id="48"/>
      <w:bookmarkEnd w:id="49"/>
    </w:p>
    <w:p w14:paraId="79C5DF6C" w14:textId="77777777" w:rsidR="00173463" w:rsidRPr="00842A24" w:rsidRDefault="00173463" w:rsidP="009E4666">
      <w:pPr>
        <w:pStyle w:val="BTEMEASMCA"/>
      </w:pPr>
    </w:p>
    <w:p w14:paraId="371927DF" w14:textId="77777777" w:rsidR="00173463" w:rsidRPr="00842A24" w:rsidRDefault="00173463" w:rsidP="00173463">
      <w:r w:rsidRPr="00842A24">
        <w:t>Šiam vaistiniam preparatui specialių laikymo sąlygų nereikia.</w:t>
      </w:r>
    </w:p>
    <w:p w14:paraId="5B1B76BE" w14:textId="77777777" w:rsidR="00173463" w:rsidRPr="00842A24" w:rsidRDefault="00173463" w:rsidP="009E4666">
      <w:pPr>
        <w:pStyle w:val="BTEMEASMCA"/>
      </w:pPr>
    </w:p>
    <w:p w14:paraId="47A743F8" w14:textId="7C962B63" w:rsidR="00173463" w:rsidRPr="00842A24" w:rsidRDefault="00173463" w:rsidP="00173463">
      <w:pPr>
        <w:pStyle w:val="PI-2EMEASMCA"/>
        <w:rPr>
          <w:b w:val="0"/>
        </w:rPr>
      </w:pPr>
      <w:bookmarkStart w:id="50" w:name="_Toc129243120"/>
      <w:bookmarkStart w:id="51" w:name="_Toc129243245"/>
      <w:r w:rsidRPr="00842A24">
        <w:lastRenderedPageBreak/>
        <w:t>6.5</w:t>
      </w:r>
      <w:r w:rsidRPr="00842A24">
        <w:tab/>
        <w:t>Talpyklės pobūdis ir jos turinys</w:t>
      </w:r>
      <w:bookmarkEnd w:id="50"/>
      <w:bookmarkEnd w:id="51"/>
    </w:p>
    <w:p w14:paraId="76E75EFA" w14:textId="77777777" w:rsidR="00173463" w:rsidRPr="00842A24" w:rsidRDefault="00173463" w:rsidP="009E4666">
      <w:pPr>
        <w:pStyle w:val="BTEMEASMCA"/>
      </w:pPr>
    </w:p>
    <w:p w14:paraId="25338D84" w14:textId="77777777" w:rsidR="00173463" w:rsidRPr="00842A24" w:rsidRDefault="00173463" w:rsidP="00173463">
      <w:r w:rsidRPr="00842A24">
        <w:t xml:space="preserve">Exemestane Accord 25 mg tabletės yra tiekiamos </w:t>
      </w:r>
      <w:bookmarkStart w:id="52" w:name="OLE_LINK8"/>
      <w:r w:rsidRPr="00842A24">
        <w:t>baltose matinės PVC/PVdC-Al lizdinėse plokštelėse</w:t>
      </w:r>
      <w:bookmarkEnd w:id="52"/>
      <w:r w:rsidRPr="00842A24">
        <w:t>.</w:t>
      </w:r>
    </w:p>
    <w:p w14:paraId="45C8BB9F" w14:textId="77777777" w:rsidR="00173463" w:rsidRPr="00842A24" w:rsidRDefault="00173463" w:rsidP="00173463"/>
    <w:p w14:paraId="40D2A538" w14:textId="77777777" w:rsidR="00173463" w:rsidRPr="00842A24" w:rsidRDefault="00173463" w:rsidP="00173463">
      <w:r w:rsidRPr="00842A24">
        <w:t>Pakuočių dydžiai:</w:t>
      </w:r>
    </w:p>
    <w:p w14:paraId="6C1922BE" w14:textId="77777777" w:rsidR="00173463" w:rsidRPr="00842A24" w:rsidRDefault="00173463" w:rsidP="00173463">
      <w:r w:rsidRPr="00842A24">
        <w:t>15, 20, 28, 30, 90, 98, 100 ar 120 tablečių lizdinėse plokštelėse.</w:t>
      </w:r>
    </w:p>
    <w:p w14:paraId="1B56C537" w14:textId="77777777" w:rsidR="00173463" w:rsidRPr="00842A24" w:rsidRDefault="00173463" w:rsidP="00173463"/>
    <w:p w14:paraId="6AD8A1EC" w14:textId="77777777" w:rsidR="00173463" w:rsidRPr="00842A24" w:rsidRDefault="00173463" w:rsidP="00173463">
      <w:r w:rsidRPr="00842A24">
        <w:t>Gali būti tiekiamos ne visų dydžių pakuotės.</w:t>
      </w:r>
    </w:p>
    <w:p w14:paraId="13C8DDDD" w14:textId="77777777" w:rsidR="00173463" w:rsidRPr="00842A24" w:rsidRDefault="00173463" w:rsidP="009E4666">
      <w:pPr>
        <w:pStyle w:val="BTEMEASMCA"/>
      </w:pPr>
    </w:p>
    <w:p w14:paraId="1BF415F8" w14:textId="4B70F54B" w:rsidR="00173463" w:rsidRPr="00842A24" w:rsidRDefault="00173463" w:rsidP="00173463">
      <w:pPr>
        <w:pStyle w:val="PI-2EMEASMCA"/>
        <w:rPr>
          <w:b w:val="0"/>
        </w:rPr>
      </w:pPr>
      <w:bookmarkStart w:id="53" w:name="_Toc129243121"/>
      <w:bookmarkStart w:id="54" w:name="_Toc129243246"/>
      <w:r w:rsidRPr="00842A24">
        <w:t>6.6</w:t>
      </w:r>
      <w:r w:rsidRPr="00842A24">
        <w:tab/>
        <w:t>Specialūs reikalavimai atliekoms tvarkyti</w:t>
      </w:r>
      <w:bookmarkEnd w:id="53"/>
      <w:bookmarkEnd w:id="54"/>
    </w:p>
    <w:p w14:paraId="7DFB84C9" w14:textId="77777777" w:rsidR="00173463" w:rsidRPr="00842A24" w:rsidRDefault="00173463" w:rsidP="009E4666">
      <w:pPr>
        <w:pStyle w:val="BTEMEASMCA"/>
      </w:pPr>
    </w:p>
    <w:p w14:paraId="35220DFA" w14:textId="77777777" w:rsidR="00173463" w:rsidRPr="00842A24" w:rsidRDefault="00173463" w:rsidP="009E4666">
      <w:pPr>
        <w:pStyle w:val="BTEMEASMCA"/>
      </w:pPr>
      <w:r w:rsidRPr="00842A24">
        <w:t>Nesuvartotą vaistinį preparatą ar atliekas reikia tvarkyti laikantis vietinių reikalavimų.</w:t>
      </w:r>
    </w:p>
    <w:p w14:paraId="767F0C81" w14:textId="77777777" w:rsidR="00173463" w:rsidRPr="00842A24" w:rsidRDefault="00173463" w:rsidP="009E4666">
      <w:pPr>
        <w:pStyle w:val="BTEMEASMCA"/>
      </w:pPr>
    </w:p>
    <w:p w14:paraId="030FA528" w14:textId="77777777" w:rsidR="00173463" w:rsidRPr="00842A24" w:rsidRDefault="00173463" w:rsidP="009E4666">
      <w:pPr>
        <w:pStyle w:val="BTEMEASMCA"/>
      </w:pPr>
    </w:p>
    <w:p w14:paraId="0A3F9F6A" w14:textId="21C26EC8" w:rsidR="00173463" w:rsidRPr="00842A24" w:rsidRDefault="00173463" w:rsidP="00173463">
      <w:pPr>
        <w:pStyle w:val="PI-1EMEASMCA"/>
        <w:rPr>
          <w:b w:val="0"/>
        </w:rPr>
      </w:pPr>
      <w:bookmarkStart w:id="55" w:name="_Toc129243122"/>
      <w:bookmarkStart w:id="56" w:name="_Toc129243247"/>
      <w:r w:rsidRPr="00842A24">
        <w:t>7.</w:t>
      </w:r>
      <w:r w:rsidRPr="00842A24">
        <w:tab/>
        <w:t>REGISTRUOTOJAS</w:t>
      </w:r>
      <w:bookmarkEnd w:id="55"/>
      <w:bookmarkEnd w:id="56"/>
    </w:p>
    <w:p w14:paraId="45D35B9C" w14:textId="77777777" w:rsidR="00173463" w:rsidRPr="00842A24" w:rsidRDefault="00173463" w:rsidP="009E4666">
      <w:pPr>
        <w:pStyle w:val="BTEMEASMCA"/>
      </w:pPr>
    </w:p>
    <w:p w14:paraId="586E3FAF" w14:textId="08CEA859" w:rsidR="00173463" w:rsidRPr="00842A24" w:rsidRDefault="00173463" w:rsidP="00173463">
      <w:r w:rsidRPr="00842A24">
        <w:t xml:space="preserve">Accord Healthcare </w:t>
      </w:r>
      <w:r w:rsidR="003D541B" w:rsidRPr="00842A24">
        <w:t xml:space="preserve">B.V. </w:t>
      </w:r>
    </w:p>
    <w:p w14:paraId="6217BD5B" w14:textId="77777777" w:rsidR="003D541B" w:rsidRPr="00842A24" w:rsidRDefault="003D541B" w:rsidP="003D541B">
      <w:r w:rsidRPr="00842A24">
        <w:t xml:space="preserve">Winthontlaan 200 </w:t>
      </w:r>
    </w:p>
    <w:p w14:paraId="43C831F6" w14:textId="77777777" w:rsidR="003D541B" w:rsidRPr="00842A24" w:rsidRDefault="003D541B" w:rsidP="003D541B">
      <w:r w:rsidRPr="00842A24">
        <w:t xml:space="preserve">3526 KV Utrecht </w:t>
      </w:r>
    </w:p>
    <w:p w14:paraId="72318567" w14:textId="77777777" w:rsidR="003D541B" w:rsidRPr="00842A24" w:rsidRDefault="003D541B" w:rsidP="003D541B">
      <w:r w:rsidRPr="00842A24">
        <w:t>Nyderlandai</w:t>
      </w:r>
    </w:p>
    <w:p w14:paraId="35731950" w14:textId="77777777" w:rsidR="00173463" w:rsidRPr="00842A24" w:rsidRDefault="00173463" w:rsidP="009E4666">
      <w:pPr>
        <w:pStyle w:val="BTEMEASMCA"/>
      </w:pPr>
    </w:p>
    <w:p w14:paraId="1B9EE16A" w14:textId="77777777" w:rsidR="00173463" w:rsidRPr="00842A24" w:rsidRDefault="00173463" w:rsidP="009E4666">
      <w:pPr>
        <w:pStyle w:val="BTEMEASMCA"/>
      </w:pPr>
    </w:p>
    <w:p w14:paraId="393A60B2" w14:textId="4ABFD6BA" w:rsidR="00173463" w:rsidRPr="00842A24" w:rsidRDefault="00173463" w:rsidP="00173463">
      <w:pPr>
        <w:pStyle w:val="PI-1EMEASMCA"/>
        <w:rPr>
          <w:b w:val="0"/>
        </w:rPr>
      </w:pPr>
      <w:bookmarkStart w:id="57" w:name="_Toc129243123"/>
      <w:bookmarkStart w:id="58" w:name="_Toc129243248"/>
      <w:r w:rsidRPr="00842A24">
        <w:t>8.</w:t>
      </w:r>
      <w:r w:rsidRPr="00842A24">
        <w:tab/>
        <w:t>REGISTRACIJOS PAŽYMĖJIMO NUMERIS</w:t>
      </w:r>
      <w:bookmarkEnd w:id="57"/>
      <w:bookmarkEnd w:id="58"/>
      <w:r w:rsidRPr="00842A24">
        <w:t xml:space="preserve"> (-IAI)</w:t>
      </w:r>
    </w:p>
    <w:p w14:paraId="0F9C678E" w14:textId="77777777" w:rsidR="00173463" w:rsidRPr="00842A24" w:rsidRDefault="00173463" w:rsidP="009E4666">
      <w:pPr>
        <w:pStyle w:val="BTEMEASMCA"/>
      </w:pPr>
    </w:p>
    <w:p w14:paraId="7E3D72B9" w14:textId="77777777" w:rsidR="00173463" w:rsidRPr="00842A24" w:rsidRDefault="00173463" w:rsidP="009E4666">
      <w:pPr>
        <w:pStyle w:val="BTEMEASMCA"/>
      </w:pPr>
      <w:r w:rsidRPr="00842A24">
        <w:t>N15 - LT/1/10/2142/001</w:t>
      </w:r>
    </w:p>
    <w:p w14:paraId="16670FA2" w14:textId="77777777" w:rsidR="00173463" w:rsidRPr="00842A24" w:rsidRDefault="00173463" w:rsidP="00173463">
      <w:pPr>
        <w:rPr>
          <w:bCs/>
        </w:rPr>
      </w:pPr>
      <w:r w:rsidRPr="00842A24">
        <w:rPr>
          <w:bCs/>
        </w:rPr>
        <w:t xml:space="preserve">N20 - LT/1/10/2142/002 </w:t>
      </w:r>
    </w:p>
    <w:p w14:paraId="0ACF6709" w14:textId="77777777" w:rsidR="00173463" w:rsidRPr="00842A24" w:rsidRDefault="00173463" w:rsidP="00173463">
      <w:pPr>
        <w:rPr>
          <w:bCs/>
        </w:rPr>
      </w:pPr>
      <w:r w:rsidRPr="00842A24">
        <w:rPr>
          <w:bCs/>
        </w:rPr>
        <w:t xml:space="preserve">N28 - LT/1/10/2142/003 </w:t>
      </w:r>
    </w:p>
    <w:p w14:paraId="51B08C0D" w14:textId="77777777" w:rsidR="00173463" w:rsidRPr="00842A24" w:rsidRDefault="00173463" w:rsidP="00173463">
      <w:pPr>
        <w:rPr>
          <w:bCs/>
        </w:rPr>
      </w:pPr>
      <w:r w:rsidRPr="00842A24">
        <w:rPr>
          <w:bCs/>
        </w:rPr>
        <w:t xml:space="preserve">N30 - LT/1/10/2142/004 </w:t>
      </w:r>
    </w:p>
    <w:p w14:paraId="7CF9A902" w14:textId="77777777" w:rsidR="00173463" w:rsidRPr="00842A24" w:rsidRDefault="00173463" w:rsidP="00173463">
      <w:pPr>
        <w:rPr>
          <w:bCs/>
        </w:rPr>
      </w:pPr>
      <w:r w:rsidRPr="00842A24">
        <w:rPr>
          <w:bCs/>
        </w:rPr>
        <w:t xml:space="preserve">N90 - LT/1/10/2142/005 </w:t>
      </w:r>
    </w:p>
    <w:p w14:paraId="10D5AD36" w14:textId="77777777" w:rsidR="00173463" w:rsidRPr="00842A24" w:rsidRDefault="00173463" w:rsidP="00173463">
      <w:pPr>
        <w:rPr>
          <w:bCs/>
        </w:rPr>
      </w:pPr>
      <w:r w:rsidRPr="00842A24">
        <w:rPr>
          <w:bCs/>
        </w:rPr>
        <w:t xml:space="preserve">N98 - LT/1/10/2142/006 </w:t>
      </w:r>
    </w:p>
    <w:p w14:paraId="7062B147" w14:textId="77777777" w:rsidR="00173463" w:rsidRPr="00842A24" w:rsidRDefault="00173463" w:rsidP="00173463">
      <w:pPr>
        <w:autoSpaceDE w:val="0"/>
        <w:autoSpaceDN w:val="0"/>
        <w:adjustRightInd w:val="0"/>
        <w:rPr>
          <w:bCs/>
          <w:color w:val="000000"/>
        </w:rPr>
      </w:pPr>
      <w:r w:rsidRPr="00842A24">
        <w:rPr>
          <w:bCs/>
          <w:color w:val="000000"/>
        </w:rPr>
        <w:t xml:space="preserve">N100 - LT/1/10/2142/007 </w:t>
      </w:r>
    </w:p>
    <w:p w14:paraId="1537E7A2" w14:textId="77777777" w:rsidR="00173463" w:rsidRPr="00842A24" w:rsidRDefault="00173463" w:rsidP="00173463">
      <w:pPr>
        <w:autoSpaceDE w:val="0"/>
        <w:autoSpaceDN w:val="0"/>
        <w:adjustRightInd w:val="0"/>
        <w:rPr>
          <w:bCs/>
          <w:color w:val="000000"/>
        </w:rPr>
      </w:pPr>
      <w:r w:rsidRPr="00842A24">
        <w:rPr>
          <w:bCs/>
          <w:color w:val="000000"/>
        </w:rPr>
        <w:t xml:space="preserve">N120 - LT/1/10/2142/008 </w:t>
      </w:r>
    </w:p>
    <w:p w14:paraId="1CBDE8A0" w14:textId="77777777" w:rsidR="00173463" w:rsidRPr="00842A24" w:rsidRDefault="00173463" w:rsidP="009E4666">
      <w:pPr>
        <w:pStyle w:val="BTEMEASMCA"/>
      </w:pPr>
    </w:p>
    <w:p w14:paraId="3C92137F" w14:textId="77777777" w:rsidR="00173463" w:rsidRPr="00842A24" w:rsidRDefault="00173463" w:rsidP="009E4666">
      <w:pPr>
        <w:pStyle w:val="BTEMEASMCA"/>
      </w:pPr>
    </w:p>
    <w:p w14:paraId="4B02D304" w14:textId="5F94B918" w:rsidR="00173463" w:rsidRPr="00842A24" w:rsidRDefault="00173463" w:rsidP="00173463">
      <w:pPr>
        <w:pStyle w:val="PI-1EMEASMCA"/>
      </w:pPr>
      <w:bookmarkStart w:id="59" w:name="_Toc129243124"/>
      <w:bookmarkStart w:id="60" w:name="_Toc129243249"/>
      <w:r w:rsidRPr="00842A24">
        <w:t>9.</w:t>
      </w:r>
      <w:r w:rsidRPr="00842A24">
        <w:tab/>
        <w:t>REGISTRAVIMO / PERREGISTRAVIMO DATA</w:t>
      </w:r>
      <w:bookmarkEnd w:id="59"/>
      <w:bookmarkEnd w:id="60"/>
    </w:p>
    <w:p w14:paraId="46661F2A" w14:textId="77777777" w:rsidR="00173463" w:rsidRPr="00842A24" w:rsidRDefault="00173463" w:rsidP="00173463"/>
    <w:p w14:paraId="56C65883" w14:textId="77777777" w:rsidR="00173463" w:rsidRPr="00842A24" w:rsidRDefault="00173463" w:rsidP="00173463">
      <w:r w:rsidRPr="00842A24">
        <w:t>Registravimo data 2010 m. rugpjūčio 13 d.</w:t>
      </w:r>
    </w:p>
    <w:p w14:paraId="123E73A8" w14:textId="77777777" w:rsidR="00173463" w:rsidRPr="00842A24" w:rsidRDefault="00173463" w:rsidP="00173463">
      <w:pPr>
        <w:tabs>
          <w:tab w:val="left" w:pos="1296"/>
        </w:tabs>
        <w:snapToGrid w:val="0"/>
        <w:rPr>
          <w:szCs w:val="22"/>
        </w:rPr>
      </w:pPr>
      <w:r w:rsidRPr="00842A24">
        <w:t>Paskutinio perregistravimo data 2016 m. gegužės 27 d.</w:t>
      </w:r>
    </w:p>
    <w:p w14:paraId="00E7B440" w14:textId="77777777" w:rsidR="00173463" w:rsidRPr="00842A24" w:rsidRDefault="00173463" w:rsidP="00173463"/>
    <w:p w14:paraId="53FAA1EA" w14:textId="77777777" w:rsidR="00173463" w:rsidRPr="00842A24" w:rsidRDefault="00173463" w:rsidP="009E4666">
      <w:pPr>
        <w:pStyle w:val="BTEMEASMCA"/>
      </w:pPr>
    </w:p>
    <w:p w14:paraId="51225D5B" w14:textId="3947D762" w:rsidR="00173463" w:rsidRPr="00842A24" w:rsidRDefault="00173463" w:rsidP="00173463">
      <w:pPr>
        <w:pStyle w:val="PI-1EMEASMCA"/>
      </w:pPr>
      <w:bookmarkStart w:id="61" w:name="_Toc129243125"/>
      <w:bookmarkStart w:id="62" w:name="_Toc129243250"/>
      <w:r w:rsidRPr="00842A24">
        <w:t>10.</w:t>
      </w:r>
      <w:r w:rsidRPr="00842A24">
        <w:tab/>
        <w:t>TEKSTO PERŽIŪROS DATA</w:t>
      </w:r>
      <w:bookmarkEnd w:id="61"/>
      <w:bookmarkEnd w:id="62"/>
    </w:p>
    <w:p w14:paraId="2E645F13" w14:textId="77777777" w:rsidR="00173463" w:rsidRPr="00842A24" w:rsidRDefault="00173463" w:rsidP="009E4666">
      <w:pPr>
        <w:pStyle w:val="BTEMEASMCA"/>
      </w:pPr>
    </w:p>
    <w:p w14:paraId="5BA02EC6" w14:textId="593268A8" w:rsidR="00173463" w:rsidRDefault="00327010" w:rsidP="00173463">
      <w:pPr>
        <w:tabs>
          <w:tab w:val="left" w:pos="5954"/>
          <w:tab w:val="left" w:pos="6237"/>
          <w:tab w:val="left" w:pos="6663"/>
          <w:tab w:val="left" w:pos="6946"/>
        </w:tabs>
      </w:pPr>
      <w:r>
        <w:t>202</w:t>
      </w:r>
      <w:r w:rsidR="00C458A4">
        <w:t>3</w:t>
      </w:r>
      <w:r>
        <w:t xml:space="preserve"> m. </w:t>
      </w:r>
      <w:r w:rsidR="00C458A4">
        <w:t xml:space="preserve">balandžio </w:t>
      </w:r>
      <w:r>
        <w:t>1</w:t>
      </w:r>
      <w:r w:rsidR="00C458A4">
        <w:t>5</w:t>
      </w:r>
      <w:r>
        <w:t> d.</w:t>
      </w:r>
    </w:p>
    <w:p w14:paraId="5A7E2F17" w14:textId="77777777" w:rsidR="00950710" w:rsidRPr="00842A24" w:rsidRDefault="00950710" w:rsidP="00173463">
      <w:pPr>
        <w:tabs>
          <w:tab w:val="left" w:pos="5954"/>
          <w:tab w:val="left" w:pos="6237"/>
          <w:tab w:val="left" w:pos="6663"/>
          <w:tab w:val="left" w:pos="6946"/>
        </w:tabs>
        <w:rPr>
          <w:rFonts w:eastAsia="SimSun"/>
          <w:szCs w:val="22"/>
        </w:rPr>
      </w:pPr>
    </w:p>
    <w:p w14:paraId="2B2F37B9" w14:textId="77777777" w:rsidR="00173463" w:rsidRPr="00842A24" w:rsidRDefault="00173463" w:rsidP="00173463">
      <w:pPr>
        <w:tabs>
          <w:tab w:val="left" w:pos="5954"/>
          <w:tab w:val="left" w:pos="6237"/>
          <w:tab w:val="left" w:pos="6663"/>
          <w:tab w:val="left" w:pos="6946"/>
        </w:tabs>
        <w:rPr>
          <w:rFonts w:eastAsia="SimSun"/>
          <w:szCs w:val="22"/>
        </w:rPr>
      </w:pPr>
      <w:r w:rsidRPr="00842A24">
        <w:rPr>
          <w:rFonts w:eastAsia="SimSun"/>
          <w:szCs w:val="22"/>
        </w:rPr>
        <w:t>Išsami informacija apie šį vaistinį preparatą pateikiama Valstybinės vaistų kontrolės tarnybos prie Lietuvos Respublikos sveikatos apsaugos ministerijos tinklalapyje</w:t>
      </w:r>
      <w:r w:rsidRPr="00842A24">
        <w:rPr>
          <w:rFonts w:eastAsia="SimSun"/>
          <w:i/>
          <w:szCs w:val="22"/>
        </w:rPr>
        <w:t xml:space="preserve"> </w:t>
      </w:r>
      <w:hyperlink r:id="rId11" w:history="1">
        <w:r w:rsidRPr="00842A24">
          <w:rPr>
            <w:rFonts w:eastAsia="SimSun"/>
            <w:color w:val="0000FF"/>
            <w:szCs w:val="22"/>
            <w:u w:val="single"/>
          </w:rPr>
          <w:t>http://www.vvkt.lt</w:t>
        </w:r>
      </w:hyperlink>
    </w:p>
    <w:p w14:paraId="4D798D39" w14:textId="77777777" w:rsidR="00173463" w:rsidRPr="00842A24" w:rsidRDefault="00173463" w:rsidP="009E4666">
      <w:pPr>
        <w:pStyle w:val="BTEMEASMCA"/>
      </w:pPr>
      <w:r w:rsidRPr="00842A24">
        <w:br w:type="page"/>
      </w:r>
    </w:p>
    <w:p w14:paraId="4B2B9574" w14:textId="77777777" w:rsidR="00173463" w:rsidRPr="00842A24" w:rsidRDefault="00173463" w:rsidP="00173463">
      <w:pPr>
        <w:pStyle w:val="TTEMEASMCA"/>
        <w:rPr>
          <w:lang w:val="lt-LT"/>
        </w:rPr>
      </w:pPr>
      <w:bookmarkStart w:id="63" w:name="_Toc129243128"/>
      <w:bookmarkStart w:id="64" w:name="_Toc129243253"/>
    </w:p>
    <w:p w14:paraId="6211637F" w14:textId="77777777" w:rsidR="00173463" w:rsidRPr="00842A24" w:rsidRDefault="00173463" w:rsidP="00173463">
      <w:pPr>
        <w:pStyle w:val="TTEMEASMCA"/>
        <w:rPr>
          <w:lang w:val="lt-LT"/>
        </w:rPr>
      </w:pPr>
    </w:p>
    <w:p w14:paraId="5022EF9A" w14:textId="77777777" w:rsidR="00173463" w:rsidRPr="00842A24" w:rsidRDefault="00173463" w:rsidP="00173463">
      <w:pPr>
        <w:pStyle w:val="TTEMEASMCA"/>
        <w:rPr>
          <w:lang w:val="lt-LT"/>
        </w:rPr>
      </w:pPr>
    </w:p>
    <w:p w14:paraId="674ED96F" w14:textId="77777777" w:rsidR="00173463" w:rsidRPr="00842A24" w:rsidRDefault="00173463" w:rsidP="00173463">
      <w:pPr>
        <w:pStyle w:val="TTEMEASMCA"/>
        <w:rPr>
          <w:lang w:val="lt-LT"/>
        </w:rPr>
      </w:pPr>
    </w:p>
    <w:p w14:paraId="56F86624" w14:textId="77777777" w:rsidR="00173463" w:rsidRPr="00842A24" w:rsidRDefault="00173463" w:rsidP="00173463">
      <w:pPr>
        <w:pStyle w:val="TTEMEASMCA"/>
        <w:rPr>
          <w:lang w:val="lt-LT"/>
        </w:rPr>
      </w:pPr>
    </w:p>
    <w:p w14:paraId="127365B9" w14:textId="77777777" w:rsidR="00173463" w:rsidRPr="00842A24" w:rsidRDefault="00173463" w:rsidP="00173463">
      <w:pPr>
        <w:pStyle w:val="TTEMEASMCA"/>
        <w:rPr>
          <w:lang w:val="lt-LT"/>
        </w:rPr>
      </w:pPr>
    </w:p>
    <w:p w14:paraId="70121A3C" w14:textId="77777777" w:rsidR="00173463" w:rsidRPr="00842A24" w:rsidRDefault="00173463" w:rsidP="00173463">
      <w:pPr>
        <w:pStyle w:val="TTEMEASMCA"/>
        <w:rPr>
          <w:lang w:val="lt-LT"/>
        </w:rPr>
      </w:pPr>
    </w:p>
    <w:p w14:paraId="01855A33" w14:textId="77777777" w:rsidR="00173463" w:rsidRPr="00842A24" w:rsidRDefault="00173463" w:rsidP="00173463">
      <w:pPr>
        <w:pStyle w:val="TTEMEASMCA"/>
        <w:rPr>
          <w:lang w:val="lt-LT"/>
        </w:rPr>
      </w:pPr>
    </w:p>
    <w:p w14:paraId="73E2074E" w14:textId="77777777" w:rsidR="00173463" w:rsidRPr="00842A24" w:rsidRDefault="00173463" w:rsidP="00173463">
      <w:pPr>
        <w:pStyle w:val="TTEMEASMCA"/>
        <w:rPr>
          <w:lang w:val="lt-LT"/>
        </w:rPr>
      </w:pPr>
    </w:p>
    <w:p w14:paraId="413F1EB1" w14:textId="77777777" w:rsidR="00173463" w:rsidRPr="00842A24" w:rsidRDefault="00173463" w:rsidP="00173463">
      <w:pPr>
        <w:pStyle w:val="TTEMEASMCA"/>
        <w:rPr>
          <w:lang w:val="lt-LT"/>
        </w:rPr>
      </w:pPr>
    </w:p>
    <w:p w14:paraId="2D894C23" w14:textId="77777777" w:rsidR="00173463" w:rsidRPr="00842A24" w:rsidRDefault="00173463" w:rsidP="00173463">
      <w:pPr>
        <w:pStyle w:val="TTEMEASMCA"/>
        <w:rPr>
          <w:lang w:val="lt-LT"/>
        </w:rPr>
      </w:pPr>
    </w:p>
    <w:p w14:paraId="073A9A68" w14:textId="77777777" w:rsidR="00173463" w:rsidRPr="00842A24" w:rsidRDefault="00173463" w:rsidP="00173463">
      <w:pPr>
        <w:pStyle w:val="TTEMEASMCA"/>
        <w:rPr>
          <w:lang w:val="lt-LT"/>
        </w:rPr>
      </w:pPr>
    </w:p>
    <w:p w14:paraId="6E424A64" w14:textId="77777777" w:rsidR="00173463" w:rsidRPr="00842A24" w:rsidRDefault="00173463" w:rsidP="00173463">
      <w:pPr>
        <w:pStyle w:val="TTEMEASMCA"/>
        <w:rPr>
          <w:lang w:val="lt-LT"/>
        </w:rPr>
      </w:pPr>
    </w:p>
    <w:p w14:paraId="002CCA87" w14:textId="77777777" w:rsidR="00173463" w:rsidRPr="00842A24" w:rsidRDefault="00173463" w:rsidP="00173463">
      <w:pPr>
        <w:pStyle w:val="TTEMEASMCA"/>
        <w:rPr>
          <w:lang w:val="lt-LT"/>
        </w:rPr>
      </w:pPr>
    </w:p>
    <w:p w14:paraId="51625B9B" w14:textId="77777777" w:rsidR="00173463" w:rsidRPr="00842A24" w:rsidRDefault="00173463" w:rsidP="00173463">
      <w:pPr>
        <w:pStyle w:val="TTEMEASMCA"/>
        <w:rPr>
          <w:lang w:val="lt-LT"/>
        </w:rPr>
      </w:pPr>
    </w:p>
    <w:p w14:paraId="45613CD9" w14:textId="77777777" w:rsidR="00173463" w:rsidRPr="00842A24" w:rsidRDefault="00173463" w:rsidP="00173463">
      <w:pPr>
        <w:pStyle w:val="TTEMEASMCA"/>
        <w:rPr>
          <w:lang w:val="lt-LT"/>
        </w:rPr>
      </w:pPr>
    </w:p>
    <w:p w14:paraId="3E683C81" w14:textId="77777777" w:rsidR="00173463" w:rsidRPr="00842A24" w:rsidRDefault="00173463" w:rsidP="00173463">
      <w:pPr>
        <w:pStyle w:val="TTEMEASMCA"/>
        <w:rPr>
          <w:lang w:val="lt-LT"/>
        </w:rPr>
      </w:pPr>
    </w:p>
    <w:p w14:paraId="3FE5FB61" w14:textId="77777777" w:rsidR="00173463" w:rsidRPr="00842A24" w:rsidRDefault="00173463" w:rsidP="00173463">
      <w:pPr>
        <w:pStyle w:val="TTEMEASMCA"/>
        <w:rPr>
          <w:lang w:val="lt-LT"/>
        </w:rPr>
      </w:pPr>
    </w:p>
    <w:p w14:paraId="74E97BE5" w14:textId="77777777" w:rsidR="00173463" w:rsidRPr="00842A24" w:rsidRDefault="00173463" w:rsidP="00173463">
      <w:pPr>
        <w:pStyle w:val="TTEMEASMCA"/>
        <w:rPr>
          <w:lang w:val="lt-LT"/>
        </w:rPr>
      </w:pPr>
    </w:p>
    <w:p w14:paraId="3C430138" w14:textId="77777777" w:rsidR="00173463" w:rsidRPr="00842A24" w:rsidRDefault="00173463" w:rsidP="00173463">
      <w:pPr>
        <w:pStyle w:val="TTEMEASMCA"/>
        <w:rPr>
          <w:lang w:val="lt-LT"/>
        </w:rPr>
      </w:pPr>
    </w:p>
    <w:p w14:paraId="71929316" w14:textId="77777777" w:rsidR="00173463" w:rsidRPr="00842A24" w:rsidRDefault="00173463" w:rsidP="00173463">
      <w:pPr>
        <w:pStyle w:val="TTEMEASMCA"/>
        <w:rPr>
          <w:lang w:val="lt-LT"/>
        </w:rPr>
      </w:pPr>
    </w:p>
    <w:p w14:paraId="1F21B9B7" w14:textId="77777777" w:rsidR="00173463" w:rsidRPr="00842A24" w:rsidRDefault="00173463" w:rsidP="00173463">
      <w:pPr>
        <w:pStyle w:val="TTEMEASMCA"/>
        <w:rPr>
          <w:lang w:val="lt-LT"/>
        </w:rPr>
      </w:pPr>
    </w:p>
    <w:p w14:paraId="6BDE6BBB" w14:textId="77777777" w:rsidR="00173463" w:rsidRPr="00842A24" w:rsidRDefault="00173463" w:rsidP="00173463">
      <w:pPr>
        <w:pStyle w:val="TTEMEASMCA"/>
        <w:rPr>
          <w:lang w:val="lt-LT"/>
        </w:rPr>
      </w:pPr>
    </w:p>
    <w:p w14:paraId="4ED7E55C" w14:textId="78FDA8FA" w:rsidR="00173463" w:rsidRPr="00842A24" w:rsidRDefault="00173463" w:rsidP="00173463">
      <w:pPr>
        <w:pStyle w:val="TTEMEASMCA"/>
        <w:rPr>
          <w:lang w:val="lt-LT"/>
        </w:rPr>
      </w:pPr>
      <w:r w:rsidRPr="00842A24">
        <w:rPr>
          <w:lang w:val="lt-LT"/>
        </w:rPr>
        <w:t>II PRIEDAS</w:t>
      </w:r>
      <w:bookmarkEnd w:id="63"/>
      <w:bookmarkEnd w:id="64"/>
    </w:p>
    <w:p w14:paraId="4B86E126" w14:textId="77777777" w:rsidR="00173463" w:rsidRPr="00842A24" w:rsidRDefault="00173463" w:rsidP="00173463">
      <w:pPr>
        <w:pStyle w:val="TTEMEASMCA"/>
        <w:rPr>
          <w:lang w:val="lt-LT"/>
        </w:rPr>
      </w:pPr>
    </w:p>
    <w:p w14:paraId="107849C5" w14:textId="77777777" w:rsidR="00173463" w:rsidRPr="00842A24" w:rsidRDefault="00173463" w:rsidP="00173463">
      <w:pPr>
        <w:tabs>
          <w:tab w:val="left" w:pos="567"/>
        </w:tabs>
        <w:spacing w:line="260" w:lineRule="exact"/>
        <w:jc w:val="center"/>
        <w:rPr>
          <w:i/>
          <w:snapToGrid w:val="0"/>
          <w:szCs w:val="20"/>
        </w:rPr>
      </w:pPr>
      <w:r w:rsidRPr="00842A24">
        <w:rPr>
          <w:b/>
          <w:snapToGrid w:val="0"/>
          <w:szCs w:val="20"/>
        </w:rPr>
        <w:t>REGISTRACIJOS SĄLYGOS</w:t>
      </w:r>
    </w:p>
    <w:p w14:paraId="71B2D1AC" w14:textId="77777777" w:rsidR="00173463" w:rsidRPr="00842A24" w:rsidRDefault="00173463" w:rsidP="00173463">
      <w:pPr>
        <w:tabs>
          <w:tab w:val="left" w:pos="567"/>
        </w:tabs>
        <w:spacing w:line="260" w:lineRule="exact"/>
        <w:rPr>
          <w:snapToGrid w:val="0"/>
          <w:szCs w:val="20"/>
        </w:rPr>
      </w:pPr>
    </w:p>
    <w:p w14:paraId="74229BC8" w14:textId="77777777" w:rsidR="00173463" w:rsidRPr="00842A24" w:rsidRDefault="00173463" w:rsidP="00173463">
      <w:pPr>
        <w:tabs>
          <w:tab w:val="left" w:pos="1701"/>
        </w:tabs>
        <w:spacing w:line="260" w:lineRule="exact"/>
        <w:ind w:left="1701" w:right="567" w:hanging="567"/>
        <w:rPr>
          <w:b/>
          <w:snapToGrid w:val="0"/>
        </w:rPr>
      </w:pPr>
      <w:r w:rsidRPr="00842A24">
        <w:rPr>
          <w:b/>
          <w:snapToGrid w:val="0"/>
        </w:rPr>
        <w:t>A.</w:t>
      </w:r>
      <w:r w:rsidRPr="00842A24">
        <w:rPr>
          <w:b/>
          <w:snapToGrid w:val="0"/>
        </w:rPr>
        <w:tab/>
        <w:t>GAMINTOJAS (-AI), ATSAKINGAS (-I) UŽ SERIJŲ IŠLEIDIMĄ</w:t>
      </w:r>
    </w:p>
    <w:p w14:paraId="6EBF41DD" w14:textId="77777777" w:rsidR="00173463" w:rsidRPr="00842A24" w:rsidRDefault="00173463" w:rsidP="00173463">
      <w:pPr>
        <w:tabs>
          <w:tab w:val="left" w:pos="1701"/>
        </w:tabs>
        <w:spacing w:line="260" w:lineRule="exact"/>
        <w:ind w:left="567" w:right="567" w:hanging="567"/>
        <w:rPr>
          <w:snapToGrid w:val="0"/>
        </w:rPr>
      </w:pPr>
    </w:p>
    <w:p w14:paraId="3A4E9F04" w14:textId="77777777" w:rsidR="00173463" w:rsidRPr="00842A24" w:rsidRDefault="00173463" w:rsidP="00173463">
      <w:pPr>
        <w:tabs>
          <w:tab w:val="left" w:pos="1701"/>
        </w:tabs>
        <w:spacing w:line="260" w:lineRule="exact"/>
        <w:ind w:left="1701" w:right="567" w:hanging="567"/>
        <w:rPr>
          <w:b/>
          <w:snapToGrid w:val="0"/>
          <w:szCs w:val="20"/>
        </w:rPr>
      </w:pPr>
      <w:r w:rsidRPr="00842A24">
        <w:rPr>
          <w:b/>
          <w:snapToGrid w:val="0"/>
          <w:szCs w:val="20"/>
        </w:rPr>
        <w:t>B.</w:t>
      </w:r>
      <w:r w:rsidRPr="00842A24">
        <w:rPr>
          <w:b/>
          <w:snapToGrid w:val="0"/>
          <w:szCs w:val="20"/>
        </w:rPr>
        <w:tab/>
        <w:t>TIEKIMO IR VARTOJIMO SĄLYGOS AR APRIBOJIMAI</w:t>
      </w:r>
    </w:p>
    <w:p w14:paraId="75372D4C" w14:textId="77777777" w:rsidR="00173463" w:rsidRPr="00842A24" w:rsidRDefault="00173463" w:rsidP="00173463">
      <w:pPr>
        <w:tabs>
          <w:tab w:val="left" w:pos="1701"/>
        </w:tabs>
        <w:spacing w:line="260" w:lineRule="exact"/>
        <w:ind w:left="567" w:right="567" w:hanging="567"/>
        <w:rPr>
          <w:snapToGrid w:val="0"/>
          <w:szCs w:val="20"/>
        </w:rPr>
      </w:pPr>
    </w:p>
    <w:p w14:paraId="60D1BC6F" w14:textId="77777777" w:rsidR="00173463" w:rsidRPr="00842A24" w:rsidRDefault="00173463" w:rsidP="009E4666">
      <w:pPr>
        <w:pStyle w:val="BTEMEASMCA"/>
        <w:rPr>
          <w:highlight w:val="yellow"/>
        </w:rPr>
      </w:pPr>
    </w:p>
    <w:p w14:paraId="6936EA07" w14:textId="77777777" w:rsidR="00173463" w:rsidRPr="00842A24" w:rsidRDefault="00173463" w:rsidP="009E4666">
      <w:pPr>
        <w:pStyle w:val="BTEMEASMCA"/>
      </w:pPr>
      <w:r w:rsidRPr="00842A24">
        <w:br w:type="page"/>
      </w:r>
    </w:p>
    <w:p w14:paraId="7ABD0A79" w14:textId="77777777" w:rsidR="00173463" w:rsidRPr="00842A24" w:rsidRDefault="00173463" w:rsidP="00173463">
      <w:pPr>
        <w:pStyle w:val="PI-1EMEASMCA"/>
      </w:pPr>
      <w:r w:rsidRPr="00842A24">
        <w:lastRenderedPageBreak/>
        <w:t>A.</w:t>
      </w:r>
      <w:r w:rsidRPr="00842A24">
        <w:tab/>
        <w:t>GAMINTOJAS (-AI), ATSAKINGAS UŽ SERIJŲ IŠLEIDIMĄ</w:t>
      </w:r>
    </w:p>
    <w:p w14:paraId="4147AE6E" w14:textId="77777777" w:rsidR="00173463" w:rsidRPr="00842A24" w:rsidRDefault="00173463" w:rsidP="009E4666">
      <w:pPr>
        <w:pStyle w:val="BTEMEASMCA"/>
        <w:rPr>
          <w:highlight w:val="yellow"/>
        </w:rPr>
      </w:pPr>
    </w:p>
    <w:p w14:paraId="75FB9025" w14:textId="77777777" w:rsidR="00173463" w:rsidRPr="00A20BB7" w:rsidRDefault="00173463" w:rsidP="00A20BB7">
      <w:pPr>
        <w:rPr>
          <w:u w:val="single"/>
        </w:rPr>
      </w:pPr>
      <w:r w:rsidRPr="00A20BB7">
        <w:rPr>
          <w:u w:val="single"/>
        </w:rPr>
        <w:t>Gamintojo (-ų), atsakingo (-ų) už serijų išleidimą, pavadinimas (-ai) ir adresas (-ai)</w:t>
      </w:r>
    </w:p>
    <w:p w14:paraId="4ED5C1A5" w14:textId="77777777" w:rsidR="00173463" w:rsidRPr="00842A24" w:rsidRDefault="00173463" w:rsidP="009E4666">
      <w:pPr>
        <w:pStyle w:val="BTEMEASMCA"/>
      </w:pPr>
    </w:p>
    <w:p w14:paraId="561B293C" w14:textId="6997CBC6" w:rsidR="00173463" w:rsidRPr="00842A24" w:rsidRDefault="00173463" w:rsidP="00173463">
      <w:pPr>
        <w:tabs>
          <w:tab w:val="num" w:pos="1170"/>
        </w:tabs>
        <w:ind w:right="29"/>
        <w:jc w:val="both"/>
        <w:rPr>
          <w:szCs w:val="22"/>
        </w:rPr>
      </w:pPr>
      <w:r w:rsidRPr="00842A24">
        <w:rPr>
          <w:szCs w:val="22"/>
        </w:rPr>
        <w:t>LABORATORI FUNDACIÓ DAU</w:t>
      </w:r>
    </w:p>
    <w:p w14:paraId="6B09C374" w14:textId="77777777" w:rsidR="00173463" w:rsidRPr="00842A24" w:rsidRDefault="00173463" w:rsidP="00173463">
      <w:pPr>
        <w:tabs>
          <w:tab w:val="num" w:pos="1170"/>
        </w:tabs>
        <w:ind w:right="29"/>
        <w:jc w:val="both"/>
        <w:rPr>
          <w:szCs w:val="22"/>
        </w:rPr>
      </w:pPr>
      <w:r w:rsidRPr="00842A24">
        <w:rPr>
          <w:szCs w:val="22"/>
        </w:rPr>
        <w:t>C/C, 12-14 Pol.Ind. Zona Franca, Barcelona, 08040 Barcelona</w:t>
      </w:r>
    </w:p>
    <w:p w14:paraId="709C1F1E" w14:textId="77777777" w:rsidR="00173463" w:rsidRPr="00842A24" w:rsidRDefault="00173463" w:rsidP="00173463">
      <w:pPr>
        <w:jc w:val="both"/>
        <w:rPr>
          <w:szCs w:val="22"/>
        </w:rPr>
      </w:pPr>
      <w:r w:rsidRPr="00842A24">
        <w:t>Ispanija</w:t>
      </w:r>
      <w:r w:rsidRPr="00842A24" w:rsidDel="004C315C">
        <w:rPr>
          <w:szCs w:val="22"/>
        </w:rPr>
        <w:t xml:space="preserve"> </w:t>
      </w:r>
    </w:p>
    <w:p w14:paraId="119D4E58" w14:textId="77777777" w:rsidR="007F772D" w:rsidRPr="00842A24" w:rsidRDefault="007F772D" w:rsidP="009E4666">
      <w:pPr>
        <w:pStyle w:val="BTEMEASMCA"/>
      </w:pPr>
    </w:p>
    <w:p w14:paraId="3685B49F" w14:textId="77777777" w:rsidR="00EF0B84" w:rsidRPr="00842A24" w:rsidRDefault="00EF0B84" w:rsidP="009E4666">
      <w:pPr>
        <w:pStyle w:val="BTEMEASMCA"/>
      </w:pPr>
      <w:r w:rsidRPr="00842A24">
        <w:t>Accord Healthcare Polska Sp.z o.o.,</w:t>
      </w:r>
    </w:p>
    <w:p w14:paraId="0A9C7666" w14:textId="426F0730" w:rsidR="00EF0B84" w:rsidRPr="00842A24" w:rsidRDefault="00EF0B84" w:rsidP="009E4666">
      <w:pPr>
        <w:pStyle w:val="BTEMEASMCA"/>
      </w:pPr>
      <w:r w:rsidRPr="00842A24">
        <w:t>ul. Lutomierska 50,95-200 Pabianice, Lenkija</w:t>
      </w:r>
    </w:p>
    <w:p w14:paraId="3316B7CA" w14:textId="77777777" w:rsidR="007F772D" w:rsidRPr="00842A24" w:rsidRDefault="007F772D" w:rsidP="009E4666">
      <w:pPr>
        <w:pStyle w:val="BTEMEASMCA"/>
      </w:pPr>
    </w:p>
    <w:p w14:paraId="3F6FE31B" w14:textId="77777777" w:rsidR="00537D15" w:rsidRPr="00842A24" w:rsidRDefault="00537D15" w:rsidP="00537D15">
      <w:pPr>
        <w:rPr>
          <w:szCs w:val="22"/>
        </w:rPr>
      </w:pPr>
      <w:r w:rsidRPr="00842A24">
        <w:rPr>
          <w:szCs w:val="22"/>
        </w:rPr>
        <w:t xml:space="preserve">Accord Healthcare B.V. </w:t>
      </w:r>
    </w:p>
    <w:p w14:paraId="42685DD9" w14:textId="77777777" w:rsidR="00537D15" w:rsidRPr="00842A24" w:rsidRDefault="00537D15" w:rsidP="00537D15">
      <w:pPr>
        <w:rPr>
          <w:szCs w:val="22"/>
        </w:rPr>
      </w:pPr>
      <w:r w:rsidRPr="00842A24">
        <w:rPr>
          <w:szCs w:val="22"/>
        </w:rPr>
        <w:t>Winthontlaan 200</w:t>
      </w:r>
    </w:p>
    <w:p w14:paraId="38E51BE8" w14:textId="77777777" w:rsidR="00537D15" w:rsidRPr="00842A24" w:rsidRDefault="00537D15" w:rsidP="00537D15">
      <w:pPr>
        <w:rPr>
          <w:szCs w:val="22"/>
        </w:rPr>
      </w:pPr>
      <w:r w:rsidRPr="00842A24">
        <w:rPr>
          <w:szCs w:val="22"/>
        </w:rPr>
        <w:t>3526 KV Utrecht</w:t>
      </w:r>
    </w:p>
    <w:p w14:paraId="6D015E7D" w14:textId="486C7776" w:rsidR="00537D15" w:rsidRDefault="00537D15" w:rsidP="009E4666">
      <w:pPr>
        <w:pStyle w:val="BTEMEASMCA"/>
      </w:pPr>
      <w:r w:rsidRPr="00842A24">
        <w:t>Nyderlandai</w:t>
      </w:r>
    </w:p>
    <w:p w14:paraId="3A6F4DD6" w14:textId="77777777" w:rsidR="00E62F8E" w:rsidRDefault="00E62F8E" w:rsidP="009E4666">
      <w:pPr>
        <w:pStyle w:val="BTEMEASMCA"/>
      </w:pPr>
    </w:p>
    <w:p w14:paraId="00690EAB" w14:textId="77777777" w:rsidR="00E62F8E" w:rsidRDefault="00E62F8E" w:rsidP="00E62F8E">
      <w:r>
        <w:t>Accord Healthcare single member S.A.</w:t>
      </w:r>
    </w:p>
    <w:p w14:paraId="596476C8" w14:textId="77777777" w:rsidR="00E62F8E" w:rsidRDefault="00E62F8E" w:rsidP="00E62F8E">
      <w:r>
        <w:t>64th Km National Road Athens, Lamia, Schimatari,</w:t>
      </w:r>
    </w:p>
    <w:p w14:paraId="4DAD4131" w14:textId="3FD18284" w:rsidR="00E62F8E" w:rsidRPr="00842A24" w:rsidRDefault="00E62F8E" w:rsidP="00242C51">
      <w:r>
        <w:t>32009, Graikija</w:t>
      </w:r>
    </w:p>
    <w:p w14:paraId="042FBE17" w14:textId="77777777" w:rsidR="00537D15" w:rsidRPr="00842A24" w:rsidRDefault="00537D15" w:rsidP="009E4666">
      <w:pPr>
        <w:pStyle w:val="BTEMEASMCA"/>
      </w:pPr>
    </w:p>
    <w:p w14:paraId="5339A52E" w14:textId="77777777" w:rsidR="00173463" w:rsidRPr="00842A24" w:rsidRDefault="00173463" w:rsidP="009E4666">
      <w:pPr>
        <w:pStyle w:val="BTEMEASMCA"/>
      </w:pPr>
      <w:r w:rsidRPr="00842A24">
        <w:t>Su pakuote pateikiamame lapelyje nurodomas gamintojo, atsakingo už konkrečios serijos išleidimą, pavadinimas ir adresas.</w:t>
      </w:r>
    </w:p>
    <w:p w14:paraId="6582BD1C" w14:textId="77777777" w:rsidR="00173463" w:rsidRPr="00842A24" w:rsidRDefault="00173463" w:rsidP="009E4666">
      <w:pPr>
        <w:pStyle w:val="BTEMEASMCA"/>
        <w:rPr>
          <w:highlight w:val="yellow"/>
        </w:rPr>
      </w:pPr>
    </w:p>
    <w:p w14:paraId="639DCE7C" w14:textId="77777777" w:rsidR="00173463" w:rsidRPr="00842A24" w:rsidRDefault="00173463" w:rsidP="009E4666">
      <w:pPr>
        <w:pStyle w:val="BTEMEASMCA"/>
        <w:rPr>
          <w:highlight w:val="yellow"/>
        </w:rPr>
      </w:pPr>
    </w:p>
    <w:p w14:paraId="380759CB" w14:textId="77777777" w:rsidR="00173463" w:rsidRPr="00842A24" w:rsidRDefault="00173463" w:rsidP="00173463">
      <w:pPr>
        <w:tabs>
          <w:tab w:val="left" w:pos="567"/>
        </w:tabs>
        <w:ind w:left="567" w:hanging="567"/>
        <w:rPr>
          <w:snapToGrid w:val="0"/>
        </w:rPr>
      </w:pPr>
      <w:bookmarkStart w:id="65" w:name="_Toc129243129"/>
      <w:bookmarkStart w:id="66" w:name="_Toc129243254"/>
      <w:r w:rsidRPr="00842A24">
        <w:rPr>
          <w:b/>
          <w:snapToGrid w:val="0"/>
        </w:rPr>
        <w:t>B.</w:t>
      </w:r>
      <w:r w:rsidRPr="00842A24">
        <w:rPr>
          <w:b/>
          <w:snapToGrid w:val="0"/>
        </w:rPr>
        <w:tab/>
        <w:t>TIEKIMO IR VARTOJIMO SĄLYGOS AR APRIBOJIMAI</w:t>
      </w:r>
    </w:p>
    <w:p w14:paraId="0D0C860F" w14:textId="77777777" w:rsidR="00173463" w:rsidRPr="00842A24" w:rsidRDefault="00173463" w:rsidP="00173463">
      <w:pPr>
        <w:tabs>
          <w:tab w:val="left" w:pos="567"/>
        </w:tabs>
        <w:spacing w:line="260" w:lineRule="exact"/>
        <w:rPr>
          <w:snapToGrid w:val="0"/>
        </w:rPr>
      </w:pPr>
    </w:p>
    <w:p w14:paraId="347FA19A" w14:textId="77777777" w:rsidR="00173463" w:rsidRPr="00842A24" w:rsidRDefault="00173463" w:rsidP="00173463">
      <w:pPr>
        <w:tabs>
          <w:tab w:val="left" w:pos="567"/>
        </w:tabs>
        <w:spacing w:line="260" w:lineRule="exact"/>
        <w:rPr>
          <w:snapToGrid w:val="0"/>
        </w:rPr>
      </w:pPr>
      <w:r w:rsidRPr="00842A24">
        <w:rPr>
          <w:snapToGrid w:val="0"/>
          <w:szCs w:val="20"/>
        </w:rPr>
        <w:t>Receptinis vaistinis preparatas.</w:t>
      </w:r>
    </w:p>
    <w:bookmarkEnd w:id="65"/>
    <w:bookmarkEnd w:id="66"/>
    <w:p w14:paraId="1F67549C" w14:textId="77777777" w:rsidR="00173463" w:rsidRPr="00842A24" w:rsidRDefault="00173463" w:rsidP="009E4666">
      <w:pPr>
        <w:pStyle w:val="BTEMEASMCA"/>
      </w:pPr>
    </w:p>
    <w:p w14:paraId="5A2598F8" w14:textId="77777777" w:rsidR="00173463" w:rsidRPr="00842A24" w:rsidRDefault="00173463" w:rsidP="009E4666">
      <w:pPr>
        <w:pStyle w:val="BTEMEASMCA"/>
      </w:pPr>
      <w:r w:rsidRPr="00842A24">
        <w:br w:type="page"/>
      </w:r>
    </w:p>
    <w:p w14:paraId="6F6A5A0D" w14:textId="77777777" w:rsidR="00173463" w:rsidRPr="00842A24" w:rsidRDefault="00173463" w:rsidP="009E4666">
      <w:pPr>
        <w:pStyle w:val="BTEMEASMCA"/>
      </w:pPr>
    </w:p>
    <w:p w14:paraId="5E0D9D81" w14:textId="77777777" w:rsidR="00173463" w:rsidRPr="00842A24" w:rsidRDefault="00173463" w:rsidP="009E4666">
      <w:pPr>
        <w:pStyle w:val="BTEMEASMCA"/>
      </w:pPr>
    </w:p>
    <w:p w14:paraId="4B605693" w14:textId="77777777" w:rsidR="00173463" w:rsidRPr="00842A24" w:rsidRDefault="00173463" w:rsidP="009E4666">
      <w:pPr>
        <w:pStyle w:val="BTEMEASMCA"/>
      </w:pPr>
    </w:p>
    <w:p w14:paraId="49E610C8" w14:textId="77777777" w:rsidR="00173463" w:rsidRPr="00842A24" w:rsidRDefault="00173463" w:rsidP="009E4666">
      <w:pPr>
        <w:pStyle w:val="BTEMEASMCA"/>
      </w:pPr>
    </w:p>
    <w:p w14:paraId="1A1E9828" w14:textId="77777777" w:rsidR="00173463" w:rsidRPr="00842A24" w:rsidRDefault="00173463" w:rsidP="009E4666">
      <w:pPr>
        <w:pStyle w:val="BTEMEASMCA"/>
      </w:pPr>
    </w:p>
    <w:p w14:paraId="22C005A8" w14:textId="77777777" w:rsidR="00173463" w:rsidRPr="00842A24" w:rsidRDefault="00173463" w:rsidP="009E4666">
      <w:pPr>
        <w:pStyle w:val="BTEMEASMCA"/>
      </w:pPr>
    </w:p>
    <w:p w14:paraId="3BA5D0AE" w14:textId="77777777" w:rsidR="00173463" w:rsidRPr="00842A24" w:rsidRDefault="00173463" w:rsidP="009E4666">
      <w:pPr>
        <w:pStyle w:val="BTEMEASMCA"/>
      </w:pPr>
    </w:p>
    <w:p w14:paraId="63436419" w14:textId="77777777" w:rsidR="00173463" w:rsidRPr="00842A24" w:rsidRDefault="00173463" w:rsidP="009E4666">
      <w:pPr>
        <w:pStyle w:val="BTEMEASMCA"/>
      </w:pPr>
    </w:p>
    <w:p w14:paraId="2B63F876" w14:textId="77777777" w:rsidR="00173463" w:rsidRPr="00842A24" w:rsidRDefault="00173463" w:rsidP="009E4666">
      <w:pPr>
        <w:pStyle w:val="BTEMEASMCA"/>
      </w:pPr>
    </w:p>
    <w:p w14:paraId="353F977E" w14:textId="77777777" w:rsidR="00173463" w:rsidRPr="00842A24" w:rsidRDefault="00173463" w:rsidP="009E4666">
      <w:pPr>
        <w:pStyle w:val="BTEMEASMCA"/>
      </w:pPr>
    </w:p>
    <w:p w14:paraId="63A38155" w14:textId="77777777" w:rsidR="00173463" w:rsidRPr="00842A24" w:rsidRDefault="00173463" w:rsidP="009E4666">
      <w:pPr>
        <w:pStyle w:val="BTEMEASMCA"/>
      </w:pPr>
    </w:p>
    <w:p w14:paraId="12A57B70" w14:textId="77777777" w:rsidR="00173463" w:rsidRPr="00842A24" w:rsidRDefault="00173463" w:rsidP="009E4666">
      <w:pPr>
        <w:pStyle w:val="BTEMEASMCA"/>
      </w:pPr>
    </w:p>
    <w:p w14:paraId="717D3E31" w14:textId="77777777" w:rsidR="00173463" w:rsidRPr="00842A24" w:rsidRDefault="00173463" w:rsidP="009E4666">
      <w:pPr>
        <w:pStyle w:val="BTEMEASMCA"/>
      </w:pPr>
    </w:p>
    <w:p w14:paraId="6CC7DB14" w14:textId="77777777" w:rsidR="00173463" w:rsidRPr="00842A24" w:rsidRDefault="00173463" w:rsidP="009E4666">
      <w:pPr>
        <w:pStyle w:val="BTEMEASMCA"/>
      </w:pPr>
    </w:p>
    <w:p w14:paraId="4A2C8314" w14:textId="77777777" w:rsidR="00173463" w:rsidRPr="00842A24" w:rsidRDefault="00173463" w:rsidP="009E4666">
      <w:pPr>
        <w:pStyle w:val="BTEMEASMCA"/>
      </w:pPr>
    </w:p>
    <w:p w14:paraId="28AD7700" w14:textId="77777777" w:rsidR="00173463" w:rsidRPr="00842A24" w:rsidRDefault="00173463" w:rsidP="009E4666">
      <w:pPr>
        <w:pStyle w:val="BTEMEASMCA"/>
      </w:pPr>
    </w:p>
    <w:p w14:paraId="21BB0196" w14:textId="77777777" w:rsidR="00173463" w:rsidRPr="00842A24" w:rsidRDefault="00173463" w:rsidP="009E4666">
      <w:pPr>
        <w:pStyle w:val="BTEMEASMCA"/>
      </w:pPr>
    </w:p>
    <w:p w14:paraId="1E388F04" w14:textId="77777777" w:rsidR="00173463" w:rsidRPr="00842A24" w:rsidRDefault="00173463" w:rsidP="009E4666">
      <w:pPr>
        <w:pStyle w:val="BTEMEASMCA"/>
      </w:pPr>
    </w:p>
    <w:p w14:paraId="7AD356C7" w14:textId="77777777" w:rsidR="00173463" w:rsidRPr="00842A24" w:rsidRDefault="00173463" w:rsidP="009E4666">
      <w:pPr>
        <w:pStyle w:val="BTEMEASMCA"/>
      </w:pPr>
    </w:p>
    <w:p w14:paraId="18B517B1" w14:textId="77777777" w:rsidR="00173463" w:rsidRPr="00842A24" w:rsidRDefault="00173463" w:rsidP="009E4666">
      <w:pPr>
        <w:pStyle w:val="BTEMEASMCA"/>
      </w:pPr>
    </w:p>
    <w:p w14:paraId="765A9D77" w14:textId="77777777" w:rsidR="00173463" w:rsidRPr="00842A24" w:rsidRDefault="00173463" w:rsidP="009E4666">
      <w:pPr>
        <w:pStyle w:val="BTEMEASMCA"/>
      </w:pPr>
    </w:p>
    <w:p w14:paraId="0D57D8F7" w14:textId="77777777" w:rsidR="00173463" w:rsidRPr="00842A24" w:rsidRDefault="00173463" w:rsidP="009E4666">
      <w:pPr>
        <w:pStyle w:val="BTEMEASMCA"/>
      </w:pPr>
    </w:p>
    <w:p w14:paraId="7E2B4395" w14:textId="77777777" w:rsidR="00173463" w:rsidRPr="00842A24" w:rsidRDefault="00173463" w:rsidP="009E4666">
      <w:pPr>
        <w:pStyle w:val="BTEMEASMCA"/>
      </w:pPr>
    </w:p>
    <w:p w14:paraId="5CCCB2BF" w14:textId="331B1BA3" w:rsidR="00173463" w:rsidRPr="00842A24" w:rsidRDefault="00173463" w:rsidP="00173463">
      <w:pPr>
        <w:pStyle w:val="TTEMEASMCA"/>
        <w:rPr>
          <w:lang w:val="lt-LT"/>
        </w:rPr>
      </w:pPr>
      <w:bookmarkStart w:id="67" w:name="_Toc129243134"/>
      <w:bookmarkStart w:id="68" w:name="_Toc129243259"/>
      <w:r w:rsidRPr="00842A24">
        <w:rPr>
          <w:lang w:val="lt-LT"/>
        </w:rPr>
        <w:t>III PRIEDAS</w:t>
      </w:r>
      <w:bookmarkEnd w:id="67"/>
      <w:bookmarkEnd w:id="68"/>
    </w:p>
    <w:p w14:paraId="33F240E6" w14:textId="77777777" w:rsidR="00173463" w:rsidRPr="00842A24" w:rsidRDefault="00173463" w:rsidP="009E4666">
      <w:pPr>
        <w:pStyle w:val="BTEMEASMCA"/>
      </w:pPr>
    </w:p>
    <w:p w14:paraId="6FB08687" w14:textId="7E410E84" w:rsidR="00173463" w:rsidRPr="00842A24" w:rsidRDefault="00173463" w:rsidP="00173463">
      <w:pPr>
        <w:pStyle w:val="TTEMEASMCA"/>
        <w:rPr>
          <w:lang w:val="lt-LT"/>
        </w:rPr>
      </w:pPr>
      <w:bookmarkStart w:id="69" w:name="_Toc129243135"/>
      <w:bookmarkStart w:id="70" w:name="_Toc129243260"/>
      <w:r w:rsidRPr="00842A24">
        <w:rPr>
          <w:lang w:val="lt-LT"/>
        </w:rPr>
        <w:t>ŽENKLINIMAS IR PAKUOTĖS LAPELIS</w:t>
      </w:r>
      <w:bookmarkEnd w:id="69"/>
      <w:bookmarkEnd w:id="70"/>
    </w:p>
    <w:p w14:paraId="6225D41D" w14:textId="77777777" w:rsidR="00173463" w:rsidRPr="00842A24" w:rsidRDefault="00173463" w:rsidP="009E4666">
      <w:pPr>
        <w:pStyle w:val="BTEMEASMCA"/>
      </w:pPr>
      <w:r w:rsidRPr="00842A24">
        <w:br w:type="page"/>
      </w:r>
    </w:p>
    <w:p w14:paraId="60474C1A" w14:textId="77777777" w:rsidR="00173463" w:rsidRPr="00842A24" w:rsidRDefault="00173463" w:rsidP="009E4666">
      <w:pPr>
        <w:pStyle w:val="BTEMEASMCA"/>
      </w:pPr>
    </w:p>
    <w:p w14:paraId="2A3F6D0B" w14:textId="77777777" w:rsidR="00173463" w:rsidRPr="00842A24" w:rsidRDefault="00173463" w:rsidP="009E4666">
      <w:pPr>
        <w:pStyle w:val="BTEMEASMCA"/>
      </w:pPr>
    </w:p>
    <w:p w14:paraId="5E47128A" w14:textId="77777777" w:rsidR="00173463" w:rsidRPr="00842A24" w:rsidRDefault="00173463" w:rsidP="009E4666">
      <w:pPr>
        <w:pStyle w:val="BTEMEASMCA"/>
      </w:pPr>
    </w:p>
    <w:p w14:paraId="679F2646" w14:textId="77777777" w:rsidR="00173463" w:rsidRPr="00842A24" w:rsidRDefault="00173463" w:rsidP="009E4666">
      <w:pPr>
        <w:pStyle w:val="BTEMEASMCA"/>
      </w:pPr>
    </w:p>
    <w:p w14:paraId="5F8C4C14" w14:textId="77777777" w:rsidR="00173463" w:rsidRPr="00842A24" w:rsidRDefault="00173463" w:rsidP="009E4666">
      <w:pPr>
        <w:pStyle w:val="BTEMEASMCA"/>
      </w:pPr>
    </w:p>
    <w:p w14:paraId="244F96C0" w14:textId="77777777" w:rsidR="00173463" w:rsidRPr="00842A24" w:rsidRDefault="00173463" w:rsidP="009E4666">
      <w:pPr>
        <w:pStyle w:val="BTEMEASMCA"/>
      </w:pPr>
    </w:p>
    <w:p w14:paraId="1C57046A" w14:textId="77777777" w:rsidR="00173463" w:rsidRPr="00842A24" w:rsidRDefault="00173463" w:rsidP="009E4666">
      <w:pPr>
        <w:pStyle w:val="BTEMEASMCA"/>
      </w:pPr>
    </w:p>
    <w:p w14:paraId="515126FB" w14:textId="77777777" w:rsidR="00173463" w:rsidRPr="00842A24" w:rsidRDefault="00173463" w:rsidP="009E4666">
      <w:pPr>
        <w:pStyle w:val="BTEMEASMCA"/>
      </w:pPr>
    </w:p>
    <w:p w14:paraId="3151482C" w14:textId="77777777" w:rsidR="00173463" w:rsidRPr="00842A24" w:rsidRDefault="00173463" w:rsidP="009E4666">
      <w:pPr>
        <w:pStyle w:val="BTEMEASMCA"/>
      </w:pPr>
    </w:p>
    <w:p w14:paraId="164A836C" w14:textId="77777777" w:rsidR="00173463" w:rsidRPr="00842A24" w:rsidRDefault="00173463" w:rsidP="009E4666">
      <w:pPr>
        <w:pStyle w:val="BTEMEASMCA"/>
      </w:pPr>
    </w:p>
    <w:p w14:paraId="43A08BFE" w14:textId="77777777" w:rsidR="00173463" w:rsidRPr="00842A24" w:rsidRDefault="00173463" w:rsidP="009E4666">
      <w:pPr>
        <w:pStyle w:val="BTEMEASMCA"/>
      </w:pPr>
    </w:p>
    <w:p w14:paraId="01276D3D" w14:textId="77777777" w:rsidR="00173463" w:rsidRPr="00842A24" w:rsidRDefault="00173463" w:rsidP="009E4666">
      <w:pPr>
        <w:pStyle w:val="BTEMEASMCA"/>
      </w:pPr>
    </w:p>
    <w:p w14:paraId="60966818" w14:textId="77777777" w:rsidR="00173463" w:rsidRPr="00842A24" w:rsidRDefault="00173463" w:rsidP="009E4666">
      <w:pPr>
        <w:pStyle w:val="BTEMEASMCA"/>
      </w:pPr>
    </w:p>
    <w:p w14:paraId="05243DA3" w14:textId="77777777" w:rsidR="00173463" w:rsidRPr="00842A24" w:rsidRDefault="00173463" w:rsidP="009E4666">
      <w:pPr>
        <w:pStyle w:val="BTEMEASMCA"/>
      </w:pPr>
    </w:p>
    <w:p w14:paraId="5A5D37C8" w14:textId="77777777" w:rsidR="00173463" w:rsidRPr="00842A24" w:rsidRDefault="00173463" w:rsidP="009E4666">
      <w:pPr>
        <w:pStyle w:val="BTEMEASMCA"/>
      </w:pPr>
    </w:p>
    <w:p w14:paraId="4531DBE2" w14:textId="77777777" w:rsidR="00173463" w:rsidRPr="00842A24" w:rsidRDefault="00173463" w:rsidP="009E4666">
      <w:pPr>
        <w:pStyle w:val="BTEMEASMCA"/>
      </w:pPr>
    </w:p>
    <w:p w14:paraId="24CD39FB" w14:textId="77777777" w:rsidR="00173463" w:rsidRPr="00842A24" w:rsidRDefault="00173463" w:rsidP="009E4666">
      <w:pPr>
        <w:pStyle w:val="BTEMEASMCA"/>
      </w:pPr>
    </w:p>
    <w:p w14:paraId="70361398" w14:textId="77777777" w:rsidR="00173463" w:rsidRPr="00842A24" w:rsidRDefault="00173463" w:rsidP="009E4666">
      <w:pPr>
        <w:pStyle w:val="BTEMEASMCA"/>
      </w:pPr>
    </w:p>
    <w:p w14:paraId="659A9E03" w14:textId="77777777" w:rsidR="00173463" w:rsidRPr="00842A24" w:rsidRDefault="00173463" w:rsidP="009E4666">
      <w:pPr>
        <w:pStyle w:val="BTEMEASMCA"/>
      </w:pPr>
    </w:p>
    <w:p w14:paraId="77ACB33A" w14:textId="77777777" w:rsidR="00173463" w:rsidRPr="00842A24" w:rsidRDefault="00173463" w:rsidP="009E4666">
      <w:pPr>
        <w:pStyle w:val="BTEMEASMCA"/>
      </w:pPr>
    </w:p>
    <w:p w14:paraId="3764A59E" w14:textId="77777777" w:rsidR="00173463" w:rsidRPr="00842A24" w:rsidRDefault="00173463" w:rsidP="009E4666">
      <w:pPr>
        <w:pStyle w:val="BTEMEASMCA"/>
      </w:pPr>
    </w:p>
    <w:p w14:paraId="2B326775" w14:textId="77777777" w:rsidR="00173463" w:rsidRPr="00842A24" w:rsidRDefault="00173463" w:rsidP="009E4666">
      <w:pPr>
        <w:pStyle w:val="BTEMEASMCA"/>
      </w:pPr>
    </w:p>
    <w:p w14:paraId="47B7AACD" w14:textId="77777777" w:rsidR="00173463" w:rsidRPr="00842A24" w:rsidRDefault="00173463" w:rsidP="009E4666">
      <w:pPr>
        <w:pStyle w:val="BTEMEASMCA"/>
      </w:pPr>
    </w:p>
    <w:p w14:paraId="6C205642" w14:textId="4298E4E7" w:rsidR="00173463" w:rsidRPr="00842A24" w:rsidRDefault="00173463" w:rsidP="00173463">
      <w:pPr>
        <w:pStyle w:val="TTEMEASMCA"/>
        <w:rPr>
          <w:lang w:val="lt-LT"/>
        </w:rPr>
      </w:pPr>
      <w:bookmarkStart w:id="71" w:name="_Toc129243136"/>
      <w:bookmarkStart w:id="72" w:name="_Toc129243261"/>
      <w:r w:rsidRPr="00842A24">
        <w:rPr>
          <w:lang w:val="lt-LT"/>
        </w:rPr>
        <w:t>A. ŽENKLINIMAS</w:t>
      </w:r>
      <w:bookmarkEnd w:id="71"/>
      <w:bookmarkEnd w:id="72"/>
    </w:p>
    <w:p w14:paraId="2F9A0F60" w14:textId="77777777" w:rsidR="00173463" w:rsidRPr="00842A24" w:rsidRDefault="00173463" w:rsidP="009E4666">
      <w:pPr>
        <w:pStyle w:val="BTEMEASMCA"/>
      </w:pPr>
      <w:r w:rsidRPr="00842A24">
        <w:br w:type="page"/>
      </w:r>
    </w:p>
    <w:p w14:paraId="444C90D8" w14:textId="77777777" w:rsidR="00173463" w:rsidRPr="00842A24" w:rsidRDefault="00173463" w:rsidP="00173463">
      <w:pPr>
        <w:pStyle w:val="PI-1labEMEASMCA"/>
        <w:rPr>
          <w:noProof w:val="0"/>
        </w:rPr>
      </w:pPr>
      <w:r w:rsidRPr="00842A24">
        <w:rPr>
          <w:noProof w:val="0"/>
        </w:rPr>
        <w:lastRenderedPageBreak/>
        <w:t>INFORMACIJA ANT IŠORINĖS PAKUOTĖS</w:t>
      </w:r>
    </w:p>
    <w:p w14:paraId="485D866F" w14:textId="77777777" w:rsidR="00173463" w:rsidRPr="00842A24" w:rsidRDefault="00173463" w:rsidP="00173463">
      <w:pPr>
        <w:pStyle w:val="PI-1labEMEASMCA"/>
        <w:rPr>
          <w:noProof w:val="0"/>
        </w:rPr>
      </w:pPr>
    </w:p>
    <w:p w14:paraId="46FB339B" w14:textId="77777777" w:rsidR="00173463" w:rsidRPr="00842A24" w:rsidRDefault="00173463" w:rsidP="00173463">
      <w:pPr>
        <w:pStyle w:val="PI-1labEMEASMCA"/>
        <w:rPr>
          <w:bCs/>
          <w:noProof w:val="0"/>
        </w:rPr>
      </w:pPr>
      <w:r w:rsidRPr="00842A24">
        <w:rPr>
          <w:noProof w:val="0"/>
        </w:rPr>
        <w:t>KARTONO DĖŽUTĖ</w:t>
      </w:r>
    </w:p>
    <w:p w14:paraId="2DF78EA3" w14:textId="77777777" w:rsidR="00173463" w:rsidRPr="00842A24" w:rsidRDefault="00173463" w:rsidP="009E4666">
      <w:pPr>
        <w:pStyle w:val="BTEMEASMCA"/>
      </w:pPr>
    </w:p>
    <w:p w14:paraId="0D27C814" w14:textId="77777777" w:rsidR="00173463" w:rsidRPr="00842A24" w:rsidRDefault="00173463" w:rsidP="009E4666">
      <w:pPr>
        <w:pStyle w:val="BTEMEASMCA"/>
      </w:pPr>
    </w:p>
    <w:p w14:paraId="4A3357F8" w14:textId="77777777" w:rsidR="00173463" w:rsidRPr="00842A24" w:rsidRDefault="00173463" w:rsidP="00173463">
      <w:pPr>
        <w:pStyle w:val="PI-1labEMEASMCA"/>
        <w:rPr>
          <w:noProof w:val="0"/>
        </w:rPr>
      </w:pPr>
      <w:r w:rsidRPr="00842A24">
        <w:rPr>
          <w:noProof w:val="0"/>
        </w:rPr>
        <w:t>1.</w:t>
      </w:r>
      <w:r w:rsidRPr="00842A24">
        <w:rPr>
          <w:noProof w:val="0"/>
        </w:rPr>
        <w:tab/>
        <w:t>VAISTINIO PREPARATO PAVADINIMAS</w:t>
      </w:r>
    </w:p>
    <w:p w14:paraId="2EC2A17B" w14:textId="77777777" w:rsidR="00173463" w:rsidRPr="00842A24" w:rsidRDefault="00173463" w:rsidP="009E4666">
      <w:pPr>
        <w:pStyle w:val="BTEMEASMCA"/>
      </w:pPr>
    </w:p>
    <w:p w14:paraId="7BB9C418" w14:textId="77777777" w:rsidR="00173463" w:rsidRPr="00842A24" w:rsidRDefault="00173463" w:rsidP="009E4666">
      <w:pPr>
        <w:pStyle w:val="BTEMEASMCA"/>
      </w:pPr>
      <w:r w:rsidRPr="00842A24">
        <w:t>Exemestane Accord 25 mg plėvele dengtos tabletės</w:t>
      </w:r>
    </w:p>
    <w:p w14:paraId="20A4D9D0" w14:textId="77777777" w:rsidR="00173463" w:rsidRPr="00842A24" w:rsidRDefault="00173463" w:rsidP="009E4666">
      <w:pPr>
        <w:pStyle w:val="BTEMEASMCA"/>
      </w:pPr>
      <w:r w:rsidRPr="00842A24">
        <w:t>Exemestanum</w:t>
      </w:r>
    </w:p>
    <w:p w14:paraId="6F44B53C" w14:textId="77777777" w:rsidR="00173463" w:rsidRPr="00842A24" w:rsidRDefault="00173463" w:rsidP="009E4666">
      <w:pPr>
        <w:pStyle w:val="BTEMEASMCA"/>
      </w:pPr>
    </w:p>
    <w:p w14:paraId="39E9B33C" w14:textId="77777777" w:rsidR="00173463" w:rsidRPr="00842A24" w:rsidRDefault="00173463" w:rsidP="009E4666">
      <w:pPr>
        <w:pStyle w:val="BTEMEASMCA"/>
      </w:pPr>
    </w:p>
    <w:p w14:paraId="558DE920" w14:textId="77777777" w:rsidR="00173463" w:rsidRPr="00842A24" w:rsidRDefault="00173463" w:rsidP="00173463">
      <w:pPr>
        <w:pStyle w:val="PI-1labEMEASMCA"/>
        <w:rPr>
          <w:noProof w:val="0"/>
        </w:rPr>
      </w:pPr>
      <w:r w:rsidRPr="00842A24">
        <w:rPr>
          <w:noProof w:val="0"/>
        </w:rPr>
        <w:t>2.</w:t>
      </w:r>
      <w:r w:rsidRPr="00842A24">
        <w:rPr>
          <w:noProof w:val="0"/>
        </w:rPr>
        <w:tab/>
        <w:t>VEIKLIOJI (-IOS) MEDŽIAGA (-OS) IR JOS (-Ų) KIEKIS (-IAI)</w:t>
      </w:r>
    </w:p>
    <w:p w14:paraId="403552C8" w14:textId="77777777" w:rsidR="00173463" w:rsidRPr="00842A24" w:rsidRDefault="00173463" w:rsidP="009E4666">
      <w:pPr>
        <w:pStyle w:val="BTEMEASMCA"/>
      </w:pPr>
    </w:p>
    <w:p w14:paraId="58B59A8C" w14:textId="77777777" w:rsidR="00173463" w:rsidRPr="00842A24" w:rsidRDefault="00173463" w:rsidP="009E4666">
      <w:pPr>
        <w:pStyle w:val="BTEMEASMCA"/>
      </w:pPr>
      <w:r w:rsidRPr="00842A24">
        <w:t>Kiekvienoje plėvele dengtoje tabletėje yra 25 mg eksemestano.</w:t>
      </w:r>
    </w:p>
    <w:p w14:paraId="49F6C92C" w14:textId="77777777" w:rsidR="00173463" w:rsidRPr="00842A24" w:rsidRDefault="00173463" w:rsidP="009E4666">
      <w:pPr>
        <w:pStyle w:val="BTEMEASMCA"/>
      </w:pPr>
    </w:p>
    <w:p w14:paraId="1B906E6F" w14:textId="77777777" w:rsidR="00173463" w:rsidRPr="00842A24" w:rsidRDefault="00173463" w:rsidP="009E4666">
      <w:pPr>
        <w:pStyle w:val="BTEMEASMCA"/>
      </w:pPr>
    </w:p>
    <w:p w14:paraId="0EE95CD0" w14:textId="77777777" w:rsidR="00173463" w:rsidRPr="00842A24" w:rsidRDefault="00173463" w:rsidP="00173463">
      <w:pPr>
        <w:pStyle w:val="PI-1labEMEASMCA"/>
        <w:rPr>
          <w:noProof w:val="0"/>
          <w:highlight w:val="lightGray"/>
        </w:rPr>
      </w:pPr>
      <w:r w:rsidRPr="00842A24">
        <w:rPr>
          <w:noProof w:val="0"/>
        </w:rPr>
        <w:t>3.</w:t>
      </w:r>
      <w:r w:rsidRPr="00842A24">
        <w:rPr>
          <w:noProof w:val="0"/>
        </w:rPr>
        <w:tab/>
        <w:t>PAGALBINIŲ MEDŽIAGŲ SĄRAŠAS</w:t>
      </w:r>
    </w:p>
    <w:p w14:paraId="299A4BCA" w14:textId="77777777" w:rsidR="00173463" w:rsidRPr="00842A24" w:rsidRDefault="00173463" w:rsidP="009E4666">
      <w:pPr>
        <w:pStyle w:val="BTEMEASMCA"/>
      </w:pPr>
    </w:p>
    <w:p w14:paraId="1F5A4F04" w14:textId="77777777" w:rsidR="00173463" w:rsidRPr="00842A24" w:rsidRDefault="00173463" w:rsidP="009E4666">
      <w:pPr>
        <w:pStyle w:val="BTEMEASMCA"/>
      </w:pPr>
    </w:p>
    <w:p w14:paraId="6695FCA1" w14:textId="77777777" w:rsidR="00173463" w:rsidRPr="00842A24" w:rsidRDefault="00173463" w:rsidP="00173463">
      <w:pPr>
        <w:pStyle w:val="PI-1labEMEASMCA"/>
        <w:rPr>
          <w:noProof w:val="0"/>
        </w:rPr>
      </w:pPr>
      <w:r w:rsidRPr="00842A24">
        <w:rPr>
          <w:noProof w:val="0"/>
        </w:rPr>
        <w:t>4.</w:t>
      </w:r>
      <w:r w:rsidRPr="00842A24">
        <w:rPr>
          <w:noProof w:val="0"/>
        </w:rPr>
        <w:tab/>
        <w:t>FARMACINĖ FORMA IR KIEKIS PAKUOTĖJE</w:t>
      </w:r>
    </w:p>
    <w:p w14:paraId="2309A4D3" w14:textId="77777777" w:rsidR="00173463" w:rsidRPr="00842A24" w:rsidRDefault="00173463" w:rsidP="009E4666">
      <w:pPr>
        <w:pStyle w:val="BTEMEASMCA"/>
      </w:pPr>
    </w:p>
    <w:p w14:paraId="4405018D" w14:textId="77777777" w:rsidR="00173463" w:rsidRPr="00842A24" w:rsidRDefault="00173463" w:rsidP="00173463">
      <w:pPr>
        <w:jc w:val="both"/>
      </w:pPr>
      <w:r w:rsidRPr="00842A24">
        <w:t>Plėvele dengta tabletė.</w:t>
      </w:r>
    </w:p>
    <w:p w14:paraId="0F196255" w14:textId="77777777" w:rsidR="00173463" w:rsidRPr="00842A24" w:rsidRDefault="00173463" w:rsidP="00173463">
      <w:pPr>
        <w:jc w:val="both"/>
        <w:rPr>
          <w:highlight w:val="lightGray"/>
        </w:rPr>
      </w:pPr>
      <w:r w:rsidRPr="00842A24">
        <w:rPr>
          <w:highlight w:val="lightGray"/>
        </w:rPr>
        <w:t xml:space="preserve">15 tablečių </w:t>
      </w:r>
    </w:p>
    <w:p w14:paraId="5BDDFDC4" w14:textId="77777777" w:rsidR="00173463" w:rsidRPr="00842A24" w:rsidRDefault="00173463" w:rsidP="00173463">
      <w:pPr>
        <w:jc w:val="both"/>
        <w:rPr>
          <w:color w:val="000000"/>
          <w:highlight w:val="lightGray"/>
        </w:rPr>
      </w:pPr>
      <w:r w:rsidRPr="00842A24">
        <w:rPr>
          <w:color w:val="000000"/>
          <w:highlight w:val="lightGray"/>
        </w:rPr>
        <w:t>20 tablečių</w:t>
      </w:r>
    </w:p>
    <w:p w14:paraId="6E5D2C74" w14:textId="77777777" w:rsidR="00173463" w:rsidRPr="00842A24" w:rsidRDefault="00173463" w:rsidP="00173463">
      <w:pPr>
        <w:jc w:val="both"/>
        <w:rPr>
          <w:highlight w:val="lightGray"/>
        </w:rPr>
      </w:pPr>
      <w:r w:rsidRPr="00842A24">
        <w:rPr>
          <w:highlight w:val="lightGray"/>
        </w:rPr>
        <w:t>28 tabletės</w:t>
      </w:r>
    </w:p>
    <w:p w14:paraId="077F5FB2" w14:textId="77777777" w:rsidR="00173463" w:rsidRPr="00842A24" w:rsidRDefault="00173463" w:rsidP="00173463">
      <w:pPr>
        <w:jc w:val="both"/>
      </w:pPr>
      <w:r w:rsidRPr="00842A24">
        <w:t>30 tablečių</w:t>
      </w:r>
    </w:p>
    <w:p w14:paraId="3C86E563" w14:textId="77777777" w:rsidR="00173463" w:rsidRPr="00842A24" w:rsidRDefault="00173463" w:rsidP="00173463">
      <w:pPr>
        <w:jc w:val="both"/>
        <w:rPr>
          <w:highlight w:val="lightGray"/>
        </w:rPr>
      </w:pPr>
      <w:r w:rsidRPr="00842A24">
        <w:rPr>
          <w:highlight w:val="lightGray"/>
        </w:rPr>
        <w:t>90 tablečių</w:t>
      </w:r>
    </w:p>
    <w:p w14:paraId="1E1AE9DF" w14:textId="77777777" w:rsidR="00173463" w:rsidRPr="00842A24" w:rsidRDefault="00173463" w:rsidP="00173463">
      <w:pPr>
        <w:jc w:val="both"/>
        <w:rPr>
          <w:highlight w:val="lightGray"/>
        </w:rPr>
      </w:pPr>
      <w:r w:rsidRPr="00842A24">
        <w:rPr>
          <w:highlight w:val="lightGray"/>
        </w:rPr>
        <w:t>98 tabletės</w:t>
      </w:r>
    </w:p>
    <w:p w14:paraId="098AE0DD" w14:textId="77777777" w:rsidR="00173463" w:rsidRPr="00842A24" w:rsidRDefault="00173463" w:rsidP="00173463">
      <w:pPr>
        <w:jc w:val="both"/>
        <w:rPr>
          <w:highlight w:val="lightGray"/>
        </w:rPr>
      </w:pPr>
      <w:r w:rsidRPr="00842A24">
        <w:rPr>
          <w:highlight w:val="lightGray"/>
        </w:rPr>
        <w:t xml:space="preserve">100 tablečių </w:t>
      </w:r>
    </w:p>
    <w:p w14:paraId="2FE13163" w14:textId="77777777" w:rsidR="00173463" w:rsidRPr="00842A24" w:rsidRDefault="00173463" w:rsidP="00173463">
      <w:pPr>
        <w:jc w:val="both"/>
      </w:pPr>
      <w:r w:rsidRPr="00842A24">
        <w:rPr>
          <w:highlight w:val="lightGray"/>
        </w:rPr>
        <w:t>120 tablečių</w:t>
      </w:r>
    </w:p>
    <w:p w14:paraId="6D307828" w14:textId="77777777" w:rsidR="00173463" w:rsidRPr="00842A24" w:rsidRDefault="00173463" w:rsidP="009E4666">
      <w:pPr>
        <w:pStyle w:val="BTEMEASMCA"/>
      </w:pPr>
    </w:p>
    <w:p w14:paraId="777E8486" w14:textId="77777777" w:rsidR="00173463" w:rsidRPr="00842A24" w:rsidRDefault="00173463" w:rsidP="009E4666">
      <w:pPr>
        <w:pStyle w:val="BTEMEASMCA"/>
      </w:pPr>
    </w:p>
    <w:p w14:paraId="4BAEFB65" w14:textId="77777777" w:rsidR="00173463" w:rsidRPr="00842A24" w:rsidRDefault="00173463" w:rsidP="00173463">
      <w:pPr>
        <w:pStyle w:val="PI-1labEMEASMCA"/>
        <w:rPr>
          <w:noProof w:val="0"/>
          <w:highlight w:val="lightGray"/>
        </w:rPr>
      </w:pPr>
      <w:r w:rsidRPr="00842A24">
        <w:rPr>
          <w:noProof w:val="0"/>
        </w:rPr>
        <w:t>5.</w:t>
      </w:r>
      <w:r w:rsidRPr="00842A24">
        <w:rPr>
          <w:noProof w:val="0"/>
        </w:rPr>
        <w:tab/>
        <w:t>VARTOJIMO METODAS IR BŪDAS (-AI)</w:t>
      </w:r>
    </w:p>
    <w:p w14:paraId="12EF2F21" w14:textId="77777777" w:rsidR="00173463" w:rsidRPr="00842A24" w:rsidRDefault="00173463" w:rsidP="009E4666">
      <w:pPr>
        <w:pStyle w:val="BTEMEASMCA"/>
      </w:pPr>
    </w:p>
    <w:p w14:paraId="7CEFCBDE" w14:textId="77777777" w:rsidR="00173463" w:rsidRPr="00842A24" w:rsidRDefault="00173463" w:rsidP="009E4666">
      <w:pPr>
        <w:pStyle w:val="BTEMEASMCA"/>
      </w:pPr>
      <w:r w:rsidRPr="00842A24">
        <w:t>Vartoti per burną.</w:t>
      </w:r>
    </w:p>
    <w:p w14:paraId="166CFD69" w14:textId="77777777" w:rsidR="00173463" w:rsidRPr="00842A24" w:rsidRDefault="00173463" w:rsidP="009E4666">
      <w:pPr>
        <w:pStyle w:val="BTEMEASMCA"/>
      </w:pPr>
    </w:p>
    <w:p w14:paraId="6E425F10" w14:textId="77777777" w:rsidR="00173463" w:rsidRPr="00842A24" w:rsidRDefault="00173463" w:rsidP="009E4666">
      <w:pPr>
        <w:pStyle w:val="BTEMEASMCA"/>
      </w:pPr>
      <w:r w:rsidRPr="00842A24">
        <w:t>Prieš vartojimą perskaitykite pakuotės lapelį.</w:t>
      </w:r>
    </w:p>
    <w:p w14:paraId="0345D251" w14:textId="77777777" w:rsidR="00173463" w:rsidRPr="00842A24" w:rsidRDefault="00173463" w:rsidP="009E4666">
      <w:pPr>
        <w:pStyle w:val="BTEMEASMCA"/>
      </w:pPr>
    </w:p>
    <w:p w14:paraId="28A21750" w14:textId="77777777" w:rsidR="00173463" w:rsidRPr="00842A24" w:rsidRDefault="00173463" w:rsidP="009E4666">
      <w:pPr>
        <w:pStyle w:val="BTEMEASMCA"/>
      </w:pPr>
    </w:p>
    <w:p w14:paraId="6D652025" w14:textId="77777777" w:rsidR="00173463" w:rsidRPr="00842A24" w:rsidRDefault="00173463" w:rsidP="00173463">
      <w:pPr>
        <w:pStyle w:val="PI-1labEMEASMCA"/>
        <w:rPr>
          <w:noProof w:val="0"/>
        </w:rPr>
      </w:pPr>
      <w:r w:rsidRPr="00842A24">
        <w:rPr>
          <w:noProof w:val="0"/>
        </w:rPr>
        <w:t>6.</w:t>
      </w:r>
      <w:r w:rsidRPr="00842A24">
        <w:rPr>
          <w:noProof w:val="0"/>
        </w:rPr>
        <w:tab/>
        <w:t>SPECIALUS ĮSPĖJIMAS, KAD VAISTINĮ PREPARATĄ BŪTINA LAIKYTI VAIKAMS NEPASTEBIMOJE IR NEPASIEKIAMOJE</w:t>
      </w:r>
      <w:r w:rsidRPr="00842A24" w:rsidDel="003F3504">
        <w:rPr>
          <w:noProof w:val="0"/>
        </w:rPr>
        <w:t xml:space="preserve"> </w:t>
      </w:r>
      <w:r w:rsidRPr="00842A24">
        <w:rPr>
          <w:noProof w:val="0"/>
        </w:rPr>
        <w:t>VIETOJE</w:t>
      </w:r>
    </w:p>
    <w:p w14:paraId="5B8F123E" w14:textId="77777777" w:rsidR="00173463" w:rsidRPr="00842A24" w:rsidRDefault="00173463" w:rsidP="009E4666">
      <w:pPr>
        <w:pStyle w:val="BTEMEASMCA"/>
      </w:pPr>
    </w:p>
    <w:p w14:paraId="1ABBB675" w14:textId="77777777" w:rsidR="00173463" w:rsidRPr="00842A24" w:rsidRDefault="00173463" w:rsidP="009E4666">
      <w:pPr>
        <w:pStyle w:val="BTEMEASMCA"/>
      </w:pPr>
      <w:r w:rsidRPr="00842A24">
        <w:t>Laikyti vaikams nepastebimoje ir nepasiekiamoje</w:t>
      </w:r>
      <w:r w:rsidRPr="00842A24" w:rsidDel="003F3504">
        <w:t xml:space="preserve"> </w:t>
      </w:r>
      <w:r w:rsidRPr="00842A24">
        <w:t>vietoje.</w:t>
      </w:r>
    </w:p>
    <w:p w14:paraId="2E53697E" w14:textId="77777777" w:rsidR="00173463" w:rsidRPr="00842A24" w:rsidRDefault="00173463" w:rsidP="009E4666">
      <w:pPr>
        <w:pStyle w:val="BTEMEASMCA"/>
      </w:pPr>
    </w:p>
    <w:p w14:paraId="5102C916" w14:textId="77777777" w:rsidR="00173463" w:rsidRPr="00842A24" w:rsidRDefault="00173463" w:rsidP="009E4666">
      <w:pPr>
        <w:pStyle w:val="BTEMEASMCA"/>
      </w:pPr>
    </w:p>
    <w:p w14:paraId="72E92150" w14:textId="77777777" w:rsidR="00173463" w:rsidRPr="00842A24" w:rsidRDefault="00173463" w:rsidP="00173463">
      <w:pPr>
        <w:pStyle w:val="PI-1labEMEASMCA"/>
        <w:rPr>
          <w:noProof w:val="0"/>
          <w:highlight w:val="lightGray"/>
        </w:rPr>
      </w:pPr>
      <w:r w:rsidRPr="00842A24">
        <w:rPr>
          <w:noProof w:val="0"/>
        </w:rPr>
        <w:t>7.</w:t>
      </w:r>
      <w:r w:rsidRPr="00842A24">
        <w:rPr>
          <w:noProof w:val="0"/>
        </w:rPr>
        <w:tab/>
        <w:t>KITAS (-I) SPECIALUS (-ŪS) ĮSPĖJIMAS (-AI) (JEI REIKIA)</w:t>
      </w:r>
    </w:p>
    <w:p w14:paraId="74AFEF79" w14:textId="77777777" w:rsidR="00173463" w:rsidRPr="00842A24" w:rsidRDefault="00173463" w:rsidP="009E4666">
      <w:pPr>
        <w:pStyle w:val="BTEMEASMCA"/>
      </w:pPr>
    </w:p>
    <w:p w14:paraId="1C82E713" w14:textId="77777777" w:rsidR="00173463" w:rsidRPr="00842A24" w:rsidRDefault="00173463" w:rsidP="009E4666">
      <w:pPr>
        <w:pStyle w:val="BTEMEASMCA"/>
      </w:pPr>
    </w:p>
    <w:p w14:paraId="64E78FF4" w14:textId="77777777" w:rsidR="00173463" w:rsidRPr="00842A24" w:rsidRDefault="00173463" w:rsidP="00173463">
      <w:pPr>
        <w:pStyle w:val="PI-1labEMEASMCA"/>
        <w:rPr>
          <w:noProof w:val="0"/>
          <w:highlight w:val="lightGray"/>
        </w:rPr>
      </w:pPr>
      <w:r w:rsidRPr="00842A24">
        <w:rPr>
          <w:noProof w:val="0"/>
        </w:rPr>
        <w:t>8.</w:t>
      </w:r>
      <w:r w:rsidRPr="00842A24">
        <w:rPr>
          <w:noProof w:val="0"/>
        </w:rPr>
        <w:tab/>
        <w:t>TINKAMUMO LAIKAS</w:t>
      </w:r>
    </w:p>
    <w:p w14:paraId="228A6B7E" w14:textId="77777777" w:rsidR="00173463" w:rsidRPr="00842A24" w:rsidRDefault="00173463" w:rsidP="009E4666">
      <w:pPr>
        <w:pStyle w:val="BTEMEASMCA"/>
      </w:pPr>
    </w:p>
    <w:p w14:paraId="334A912C" w14:textId="65D65375" w:rsidR="00173463" w:rsidRPr="00842A24" w:rsidRDefault="007F772D" w:rsidP="009E4666">
      <w:pPr>
        <w:pStyle w:val="BTEMEASMCA"/>
      </w:pPr>
      <w:r w:rsidRPr="00842A24">
        <w:t>EXP</w:t>
      </w:r>
      <w:r w:rsidR="00173463" w:rsidRPr="00842A24">
        <w:t xml:space="preserve"> {mm/MMMM}</w:t>
      </w:r>
    </w:p>
    <w:p w14:paraId="4EB01B00" w14:textId="77777777" w:rsidR="00173463" w:rsidRPr="00842A24" w:rsidRDefault="00173463" w:rsidP="009E4666">
      <w:pPr>
        <w:pStyle w:val="BTEMEASMCA"/>
      </w:pPr>
    </w:p>
    <w:p w14:paraId="5508BCEB" w14:textId="77777777" w:rsidR="00173463" w:rsidRPr="00842A24" w:rsidRDefault="00173463" w:rsidP="009E4666">
      <w:pPr>
        <w:pStyle w:val="BTEMEASMCA"/>
      </w:pPr>
    </w:p>
    <w:p w14:paraId="4B446F1E" w14:textId="77777777" w:rsidR="00173463" w:rsidRPr="00842A24" w:rsidRDefault="00173463" w:rsidP="00173463">
      <w:pPr>
        <w:pStyle w:val="PI-1labEMEASMCA"/>
        <w:rPr>
          <w:noProof w:val="0"/>
        </w:rPr>
      </w:pPr>
      <w:r w:rsidRPr="00842A24">
        <w:rPr>
          <w:noProof w:val="0"/>
        </w:rPr>
        <w:t>9.</w:t>
      </w:r>
      <w:r w:rsidRPr="00842A24">
        <w:rPr>
          <w:noProof w:val="0"/>
        </w:rPr>
        <w:tab/>
        <w:t>SPECIALIOS LAIKYMO SĄLYGOS</w:t>
      </w:r>
    </w:p>
    <w:p w14:paraId="1B67B362" w14:textId="77777777" w:rsidR="00173463" w:rsidRPr="00842A24" w:rsidRDefault="00173463" w:rsidP="009E4666">
      <w:pPr>
        <w:pStyle w:val="BTEMEASMCA"/>
      </w:pPr>
    </w:p>
    <w:p w14:paraId="74597623" w14:textId="77777777" w:rsidR="00173463" w:rsidRPr="00842A24" w:rsidRDefault="00173463" w:rsidP="009E4666">
      <w:pPr>
        <w:pStyle w:val="BTEMEASMCA"/>
      </w:pPr>
    </w:p>
    <w:p w14:paraId="27161E1E" w14:textId="77777777" w:rsidR="00173463" w:rsidRPr="00842A24" w:rsidRDefault="00173463" w:rsidP="00173463">
      <w:pPr>
        <w:pStyle w:val="PI-1labEMEASMCA"/>
        <w:rPr>
          <w:noProof w:val="0"/>
        </w:rPr>
      </w:pPr>
      <w:r w:rsidRPr="00842A24">
        <w:rPr>
          <w:noProof w:val="0"/>
        </w:rPr>
        <w:t>10.</w:t>
      </w:r>
      <w:r w:rsidRPr="00842A24">
        <w:rPr>
          <w:noProof w:val="0"/>
        </w:rPr>
        <w:tab/>
        <w:t xml:space="preserve">SPECIALIOS ATSARGUMO PRIEMONĖS DĖL NESUVARTOTO </w:t>
      </w:r>
      <w:r w:rsidRPr="00842A24">
        <w:rPr>
          <w:bCs/>
          <w:noProof w:val="0"/>
        </w:rPr>
        <w:t xml:space="preserve">VAISTINIO PREPARATO AR JO ATLIEKŲ </w:t>
      </w:r>
      <w:r w:rsidRPr="00842A24">
        <w:rPr>
          <w:noProof w:val="0"/>
        </w:rPr>
        <w:t>TVARKYMO (JEI REIKIA)</w:t>
      </w:r>
    </w:p>
    <w:p w14:paraId="168E330D" w14:textId="77777777" w:rsidR="00173463" w:rsidRPr="00842A24" w:rsidRDefault="00173463" w:rsidP="009E4666">
      <w:pPr>
        <w:pStyle w:val="BTEMEASMCA"/>
      </w:pPr>
    </w:p>
    <w:p w14:paraId="68493E81" w14:textId="77777777" w:rsidR="00173463" w:rsidRPr="00842A24" w:rsidRDefault="00173463" w:rsidP="009E4666">
      <w:pPr>
        <w:pStyle w:val="BTEMEASMCA"/>
      </w:pPr>
      <w:r w:rsidRPr="00842A24">
        <w:rPr>
          <w:highlight w:val="lightGray"/>
          <w:lang w:eastAsia="sv-SE"/>
        </w:rPr>
        <w:t>Nesuvartotą preparatą ar atliekas reikia tvarkyti laikantis vietinių reikalavimų.</w:t>
      </w:r>
    </w:p>
    <w:p w14:paraId="5CEFD153" w14:textId="77777777" w:rsidR="00173463" w:rsidRPr="00842A24" w:rsidRDefault="00173463" w:rsidP="009E4666">
      <w:pPr>
        <w:pStyle w:val="BTEMEASMCA"/>
      </w:pPr>
    </w:p>
    <w:p w14:paraId="773E3DA8" w14:textId="77777777" w:rsidR="00173463" w:rsidRPr="00842A24" w:rsidRDefault="00173463" w:rsidP="009E4666">
      <w:pPr>
        <w:pStyle w:val="BTEMEASMCA"/>
      </w:pPr>
    </w:p>
    <w:p w14:paraId="29D05470" w14:textId="77777777" w:rsidR="00173463" w:rsidRPr="00842A24" w:rsidRDefault="00173463" w:rsidP="00173463">
      <w:pPr>
        <w:pStyle w:val="PI-1labEMEASMCA"/>
        <w:rPr>
          <w:noProof w:val="0"/>
        </w:rPr>
      </w:pPr>
      <w:r w:rsidRPr="00842A24">
        <w:rPr>
          <w:noProof w:val="0"/>
        </w:rPr>
        <w:t>11.</w:t>
      </w:r>
      <w:r w:rsidRPr="00842A24">
        <w:rPr>
          <w:noProof w:val="0"/>
        </w:rPr>
        <w:tab/>
        <w:t>REGISTRUOTOJO</w:t>
      </w:r>
      <w:r w:rsidRPr="00842A24" w:rsidDel="003F3504">
        <w:rPr>
          <w:noProof w:val="0"/>
        </w:rPr>
        <w:t xml:space="preserve"> </w:t>
      </w:r>
      <w:r w:rsidRPr="00842A24">
        <w:rPr>
          <w:noProof w:val="0"/>
        </w:rPr>
        <w:t>PAVADINIMAS IR ADRESAS</w:t>
      </w:r>
    </w:p>
    <w:p w14:paraId="384410A6" w14:textId="77777777" w:rsidR="00173463" w:rsidRPr="00842A24" w:rsidRDefault="00173463" w:rsidP="009E4666">
      <w:pPr>
        <w:pStyle w:val="BTEMEASMCA"/>
      </w:pPr>
    </w:p>
    <w:p w14:paraId="263F807B" w14:textId="4360ABCD" w:rsidR="00173463" w:rsidRPr="00842A24" w:rsidRDefault="00173463" w:rsidP="00173463">
      <w:r w:rsidRPr="00842A24">
        <w:t xml:space="preserve">Accord Healthcare </w:t>
      </w:r>
      <w:r w:rsidR="003D541B" w:rsidRPr="00842A24">
        <w:t xml:space="preserve">B.V. </w:t>
      </w:r>
    </w:p>
    <w:p w14:paraId="26AFBA86" w14:textId="77777777" w:rsidR="003D541B" w:rsidRPr="00842A24" w:rsidRDefault="003D541B" w:rsidP="003D541B">
      <w:r w:rsidRPr="00842A24">
        <w:t xml:space="preserve">Winthontlaan 200 </w:t>
      </w:r>
    </w:p>
    <w:p w14:paraId="3E937EDF" w14:textId="77777777" w:rsidR="003D541B" w:rsidRPr="00842A24" w:rsidRDefault="003D541B" w:rsidP="003D541B">
      <w:r w:rsidRPr="00842A24">
        <w:t xml:space="preserve">3526 KV Utrecht </w:t>
      </w:r>
    </w:p>
    <w:p w14:paraId="3B7702D6" w14:textId="77777777" w:rsidR="003D541B" w:rsidRPr="00842A24" w:rsidRDefault="003D541B" w:rsidP="003D541B">
      <w:r w:rsidRPr="00842A24">
        <w:t>Nyderlandai</w:t>
      </w:r>
    </w:p>
    <w:p w14:paraId="62DC7361" w14:textId="77777777" w:rsidR="00173463" w:rsidRPr="00842A24" w:rsidRDefault="00173463" w:rsidP="009E4666">
      <w:pPr>
        <w:pStyle w:val="BTEMEASMCA"/>
      </w:pPr>
    </w:p>
    <w:p w14:paraId="3E432E33" w14:textId="77777777" w:rsidR="00173463" w:rsidRPr="00842A24" w:rsidRDefault="00173463" w:rsidP="009E4666">
      <w:pPr>
        <w:pStyle w:val="BTEMEASMCA"/>
      </w:pPr>
    </w:p>
    <w:p w14:paraId="32502BD3" w14:textId="77777777" w:rsidR="00173463" w:rsidRPr="00842A24" w:rsidRDefault="00173463" w:rsidP="00173463">
      <w:pPr>
        <w:pStyle w:val="PI-1labEMEASMCA"/>
        <w:rPr>
          <w:noProof w:val="0"/>
        </w:rPr>
      </w:pPr>
      <w:r w:rsidRPr="00842A24">
        <w:rPr>
          <w:noProof w:val="0"/>
        </w:rPr>
        <w:t>12.</w:t>
      </w:r>
      <w:r w:rsidRPr="00842A24">
        <w:rPr>
          <w:noProof w:val="0"/>
        </w:rPr>
        <w:tab/>
        <w:t>REGISTRACIJOS PAŽYMĖJIMO NUMERIS (-IAI)</w:t>
      </w:r>
    </w:p>
    <w:p w14:paraId="48AE1A90" w14:textId="77777777" w:rsidR="00173463" w:rsidRPr="00842A24" w:rsidRDefault="00173463" w:rsidP="009E4666">
      <w:pPr>
        <w:pStyle w:val="BTEMEASMCA"/>
      </w:pPr>
    </w:p>
    <w:p w14:paraId="5A3DE924" w14:textId="77777777" w:rsidR="00173463" w:rsidRPr="00842A24" w:rsidRDefault="00173463" w:rsidP="00173463">
      <w:pPr>
        <w:rPr>
          <w:bCs/>
          <w:szCs w:val="22"/>
        </w:rPr>
      </w:pPr>
      <w:r w:rsidRPr="00842A24">
        <w:rPr>
          <w:bCs/>
          <w:szCs w:val="22"/>
        </w:rPr>
        <w:t>N15 - LT/1/10/2142/001</w:t>
      </w:r>
    </w:p>
    <w:p w14:paraId="1425FA53" w14:textId="77777777" w:rsidR="00173463" w:rsidRPr="00842A24" w:rsidRDefault="00173463" w:rsidP="00173463">
      <w:pPr>
        <w:rPr>
          <w:bCs/>
          <w:szCs w:val="22"/>
        </w:rPr>
      </w:pPr>
      <w:r w:rsidRPr="00842A24">
        <w:rPr>
          <w:bCs/>
          <w:szCs w:val="22"/>
        </w:rPr>
        <w:t xml:space="preserve">N20 - LT/1/10/2142/002 </w:t>
      </w:r>
    </w:p>
    <w:p w14:paraId="1000F961" w14:textId="77777777" w:rsidR="00173463" w:rsidRPr="00842A24" w:rsidRDefault="00173463" w:rsidP="00173463">
      <w:pPr>
        <w:rPr>
          <w:bCs/>
          <w:szCs w:val="22"/>
        </w:rPr>
      </w:pPr>
      <w:r w:rsidRPr="00842A24">
        <w:rPr>
          <w:bCs/>
          <w:szCs w:val="22"/>
        </w:rPr>
        <w:t xml:space="preserve">N28 - LT/1/10/2142/003 </w:t>
      </w:r>
    </w:p>
    <w:p w14:paraId="106BACB2" w14:textId="77777777" w:rsidR="00173463" w:rsidRPr="00842A24" w:rsidRDefault="00173463" w:rsidP="00173463">
      <w:pPr>
        <w:rPr>
          <w:bCs/>
          <w:szCs w:val="22"/>
        </w:rPr>
      </w:pPr>
      <w:r w:rsidRPr="00842A24">
        <w:rPr>
          <w:bCs/>
          <w:szCs w:val="22"/>
        </w:rPr>
        <w:t xml:space="preserve">N30 - LT/1/10/2142/004 </w:t>
      </w:r>
    </w:p>
    <w:p w14:paraId="0DCCF3D2" w14:textId="77777777" w:rsidR="00173463" w:rsidRPr="00842A24" w:rsidRDefault="00173463" w:rsidP="00173463">
      <w:pPr>
        <w:rPr>
          <w:bCs/>
          <w:szCs w:val="22"/>
        </w:rPr>
      </w:pPr>
      <w:r w:rsidRPr="00842A24">
        <w:rPr>
          <w:bCs/>
          <w:szCs w:val="22"/>
        </w:rPr>
        <w:t xml:space="preserve">N90 - LT/1/10/2142/005 </w:t>
      </w:r>
    </w:p>
    <w:p w14:paraId="0AB279E3" w14:textId="77777777" w:rsidR="00173463" w:rsidRPr="00842A24" w:rsidRDefault="00173463" w:rsidP="00173463">
      <w:pPr>
        <w:rPr>
          <w:bCs/>
          <w:szCs w:val="22"/>
        </w:rPr>
      </w:pPr>
      <w:r w:rsidRPr="00842A24">
        <w:rPr>
          <w:bCs/>
          <w:szCs w:val="22"/>
        </w:rPr>
        <w:t xml:space="preserve">N98 - LT/1/10/2142/006 </w:t>
      </w:r>
    </w:p>
    <w:p w14:paraId="7BFAAE96" w14:textId="77777777" w:rsidR="00173463" w:rsidRPr="00842A24" w:rsidRDefault="00173463" w:rsidP="00173463">
      <w:pPr>
        <w:pStyle w:val="Default"/>
        <w:rPr>
          <w:bCs/>
          <w:sz w:val="22"/>
          <w:szCs w:val="22"/>
          <w:lang w:val="lt-LT"/>
        </w:rPr>
      </w:pPr>
      <w:r w:rsidRPr="00842A24">
        <w:rPr>
          <w:bCs/>
          <w:sz w:val="22"/>
          <w:szCs w:val="22"/>
          <w:lang w:val="lt-LT"/>
        </w:rPr>
        <w:t xml:space="preserve">N100 - LT/1/10/2142/007 </w:t>
      </w:r>
    </w:p>
    <w:p w14:paraId="5B08A860" w14:textId="77777777" w:rsidR="00173463" w:rsidRPr="00842A24" w:rsidRDefault="00173463" w:rsidP="00173463">
      <w:pPr>
        <w:pStyle w:val="Default"/>
        <w:rPr>
          <w:bCs/>
          <w:sz w:val="22"/>
          <w:szCs w:val="22"/>
          <w:lang w:val="lt-LT"/>
        </w:rPr>
      </w:pPr>
      <w:r w:rsidRPr="00842A24">
        <w:rPr>
          <w:bCs/>
          <w:sz w:val="22"/>
          <w:szCs w:val="22"/>
          <w:lang w:val="lt-LT"/>
        </w:rPr>
        <w:t xml:space="preserve">N120 - LT/1/10/2142/008 </w:t>
      </w:r>
    </w:p>
    <w:p w14:paraId="76305CB0" w14:textId="77777777" w:rsidR="00173463" w:rsidRPr="00842A24" w:rsidRDefault="00173463" w:rsidP="009E4666">
      <w:pPr>
        <w:pStyle w:val="BTEMEASMCA"/>
      </w:pPr>
    </w:p>
    <w:p w14:paraId="3860C8C5" w14:textId="77777777" w:rsidR="00173463" w:rsidRPr="00842A24" w:rsidRDefault="00173463" w:rsidP="009E4666">
      <w:pPr>
        <w:pStyle w:val="BTEMEASMCA"/>
      </w:pPr>
    </w:p>
    <w:p w14:paraId="7402F8B7" w14:textId="77777777" w:rsidR="00173463" w:rsidRPr="00842A24" w:rsidRDefault="00173463" w:rsidP="00173463">
      <w:pPr>
        <w:pStyle w:val="PI-1labEMEASMCA"/>
        <w:rPr>
          <w:noProof w:val="0"/>
        </w:rPr>
      </w:pPr>
      <w:r w:rsidRPr="00842A24">
        <w:rPr>
          <w:noProof w:val="0"/>
        </w:rPr>
        <w:t>13.</w:t>
      </w:r>
      <w:r w:rsidRPr="00842A24">
        <w:rPr>
          <w:noProof w:val="0"/>
        </w:rPr>
        <w:tab/>
        <w:t>SERIJOS NUMERIS</w:t>
      </w:r>
    </w:p>
    <w:p w14:paraId="310C8BCD" w14:textId="77777777" w:rsidR="00173463" w:rsidRPr="00842A24" w:rsidRDefault="00173463" w:rsidP="009E4666">
      <w:pPr>
        <w:pStyle w:val="BTEMEASMCA"/>
      </w:pPr>
    </w:p>
    <w:p w14:paraId="495C131C" w14:textId="6A4C9747" w:rsidR="00173463" w:rsidRPr="00842A24" w:rsidRDefault="007F772D" w:rsidP="009E4666">
      <w:pPr>
        <w:pStyle w:val="BTEMEASMCA"/>
      </w:pPr>
      <w:r w:rsidRPr="00842A24">
        <w:t>Lot</w:t>
      </w:r>
    </w:p>
    <w:p w14:paraId="6C55F8A1" w14:textId="77777777" w:rsidR="00173463" w:rsidRPr="00842A24" w:rsidRDefault="00173463" w:rsidP="009E4666">
      <w:pPr>
        <w:pStyle w:val="BTEMEASMCA"/>
      </w:pPr>
    </w:p>
    <w:p w14:paraId="39302210" w14:textId="77777777" w:rsidR="00173463" w:rsidRPr="00842A24" w:rsidRDefault="00173463" w:rsidP="009E4666">
      <w:pPr>
        <w:pStyle w:val="BTEMEASMCA"/>
      </w:pPr>
    </w:p>
    <w:p w14:paraId="0697971C" w14:textId="77777777" w:rsidR="00173463" w:rsidRPr="00842A24" w:rsidRDefault="00173463" w:rsidP="00173463">
      <w:pPr>
        <w:pStyle w:val="PI-1labEMEASMCA"/>
        <w:rPr>
          <w:noProof w:val="0"/>
        </w:rPr>
      </w:pPr>
      <w:r w:rsidRPr="00842A24">
        <w:rPr>
          <w:noProof w:val="0"/>
        </w:rPr>
        <w:t>14.</w:t>
      </w:r>
      <w:r w:rsidRPr="00842A24">
        <w:rPr>
          <w:noProof w:val="0"/>
        </w:rPr>
        <w:tab/>
        <w:t>PARDAVIMO (IŠDAVIMO) TVARKA</w:t>
      </w:r>
    </w:p>
    <w:p w14:paraId="008CB1BE" w14:textId="77777777" w:rsidR="00173463" w:rsidRPr="00842A24" w:rsidRDefault="00173463" w:rsidP="009E4666">
      <w:pPr>
        <w:pStyle w:val="BTEMEASMCA"/>
      </w:pPr>
    </w:p>
    <w:p w14:paraId="308B6BB7" w14:textId="77777777" w:rsidR="00173463" w:rsidRPr="00842A24" w:rsidRDefault="00173463" w:rsidP="009E4666">
      <w:pPr>
        <w:pStyle w:val="BTEMEASMCA"/>
      </w:pPr>
      <w:r w:rsidRPr="00842A24">
        <w:t>Receptinis vaistinis preparatas</w:t>
      </w:r>
    </w:p>
    <w:p w14:paraId="6FB00CF7" w14:textId="77777777" w:rsidR="00173463" w:rsidRPr="00842A24" w:rsidRDefault="00173463" w:rsidP="009E4666">
      <w:pPr>
        <w:pStyle w:val="BTEMEASMCA"/>
      </w:pPr>
    </w:p>
    <w:p w14:paraId="4FEE61FE" w14:textId="77777777" w:rsidR="00173463" w:rsidRPr="00842A24" w:rsidRDefault="00173463" w:rsidP="009E4666">
      <w:pPr>
        <w:pStyle w:val="BTEMEASMCA"/>
      </w:pPr>
    </w:p>
    <w:p w14:paraId="0732320E" w14:textId="77777777" w:rsidR="00173463" w:rsidRPr="00842A24" w:rsidRDefault="00173463" w:rsidP="00173463">
      <w:pPr>
        <w:pStyle w:val="PI-1labEMEASMCA"/>
        <w:rPr>
          <w:noProof w:val="0"/>
        </w:rPr>
      </w:pPr>
      <w:r w:rsidRPr="00842A24">
        <w:rPr>
          <w:noProof w:val="0"/>
        </w:rPr>
        <w:t>15.</w:t>
      </w:r>
      <w:r w:rsidRPr="00842A24">
        <w:rPr>
          <w:noProof w:val="0"/>
        </w:rPr>
        <w:tab/>
        <w:t>VARTOJIMO INSTRUKCIJA</w:t>
      </w:r>
    </w:p>
    <w:p w14:paraId="2BB70254" w14:textId="77777777" w:rsidR="00173463" w:rsidRPr="00842A24" w:rsidRDefault="00173463" w:rsidP="009E4666">
      <w:pPr>
        <w:pStyle w:val="BTEMEASMCA"/>
      </w:pPr>
    </w:p>
    <w:p w14:paraId="26E10FAF" w14:textId="77777777" w:rsidR="00173463" w:rsidRPr="00842A24" w:rsidRDefault="00173463" w:rsidP="009E4666">
      <w:pPr>
        <w:pStyle w:val="BTEMEASMCA"/>
      </w:pPr>
    </w:p>
    <w:p w14:paraId="232364C6" w14:textId="77777777" w:rsidR="00173463" w:rsidRPr="00842A24" w:rsidRDefault="00173463" w:rsidP="00173463">
      <w:pPr>
        <w:pStyle w:val="PI-1labEMEASMCA"/>
        <w:rPr>
          <w:noProof w:val="0"/>
        </w:rPr>
      </w:pPr>
      <w:r w:rsidRPr="00842A24">
        <w:rPr>
          <w:noProof w:val="0"/>
        </w:rPr>
        <w:t>16.</w:t>
      </w:r>
      <w:r w:rsidRPr="00842A24">
        <w:rPr>
          <w:noProof w:val="0"/>
        </w:rPr>
        <w:tab/>
        <w:t>INFORMACIJA BRAILIO RAŠTU</w:t>
      </w:r>
    </w:p>
    <w:p w14:paraId="1FDDBC40" w14:textId="77777777" w:rsidR="00173463" w:rsidRPr="00842A24" w:rsidRDefault="00173463" w:rsidP="009E4666">
      <w:pPr>
        <w:pStyle w:val="BTEMEASMCA"/>
      </w:pPr>
    </w:p>
    <w:p w14:paraId="188B9F32" w14:textId="77777777" w:rsidR="00173463" w:rsidRPr="00842A24" w:rsidRDefault="00173463" w:rsidP="009E4666">
      <w:pPr>
        <w:pStyle w:val="BTEMEASMCA"/>
      </w:pPr>
      <w:r w:rsidRPr="00842A24">
        <w:t>Exemestane Accord 25 mg</w:t>
      </w:r>
    </w:p>
    <w:p w14:paraId="3F6700A1" w14:textId="77777777" w:rsidR="00173463" w:rsidRPr="00842A24" w:rsidRDefault="00173463" w:rsidP="009E4666">
      <w:pPr>
        <w:pStyle w:val="BTEMEASMCA"/>
      </w:pPr>
    </w:p>
    <w:p w14:paraId="6D8FF48E" w14:textId="77777777" w:rsidR="00F4612E" w:rsidRPr="00842A24" w:rsidRDefault="00F4612E" w:rsidP="00F4612E">
      <w:pPr>
        <w:tabs>
          <w:tab w:val="left" w:pos="720"/>
        </w:tabs>
        <w:rPr>
          <w:i/>
          <w:iCs/>
          <w:color w:val="FF0000"/>
        </w:rPr>
      </w:pPr>
    </w:p>
    <w:p w14:paraId="46A5E425" w14:textId="77777777" w:rsidR="00F4612E" w:rsidRPr="00842A24" w:rsidRDefault="00F4612E" w:rsidP="00F4612E">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rPr>
      </w:pPr>
      <w:r w:rsidRPr="00842A24">
        <w:rPr>
          <w:b/>
          <w:bCs/>
          <w:color w:val="000000"/>
        </w:rPr>
        <w:t>17.</w:t>
      </w:r>
      <w:r w:rsidRPr="00842A24">
        <w:rPr>
          <w:b/>
          <w:bCs/>
          <w:color w:val="000000"/>
        </w:rPr>
        <w:tab/>
        <w:t>UNIKALUS IDENTIFIKATORIUS – 2D BRŪKŠNINIS KODAS</w:t>
      </w:r>
    </w:p>
    <w:p w14:paraId="652E4352" w14:textId="77777777" w:rsidR="00F4612E" w:rsidRPr="00842A24" w:rsidRDefault="00F4612E" w:rsidP="00F4612E">
      <w:pPr>
        <w:tabs>
          <w:tab w:val="left" w:pos="720"/>
        </w:tabs>
      </w:pPr>
    </w:p>
    <w:p w14:paraId="3AD97F80" w14:textId="17546E97" w:rsidR="00F4612E" w:rsidRPr="00842A24" w:rsidRDefault="00F4612E" w:rsidP="00F4612E">
      <w:pPr>
        <w:rPr>
          <w:szCs w:val="22"/>
          <w:shd w:val="clear" w:color="auto" w:fill="CCCCCC"/>
        </w:rPr>
      </w:pPr>
      <w:r w:rsidRPr="00842A24">
        <w:rPr>
          <w:highlight w:val="lightGray"/>
        </w:rPr>
        <w:t>2D brūkšninis kodas su nur</w:t>
      </w:r>
      <w:r w:rsidR="00842A24" w:rsidRPr="00842A24">
        <w:rPr>
          <w:highlight w:val="lightGray"/>
        </w:rPr>
        <w:t>o</w:t>
      </w:r>
      <w:r w:rsidRPr="00842A24">
        <w:rPr>
          <w:highlight w:val="lightGray"/>
        </w:rPr>
        <w:t>dytu unikaliu identifikatoriumi.</w:t>
      </w:r>
    </w:p>
    <w:p w14:paraId="44FD1BC1" w14:textId="77777777" w:rsidR="00F4612E" w:rsidRPr="00842A24" w:rsidRDefault="00F4612E" w:rsidP="00F4612E">
      <w:pPr>
        <w:rPr>
          <w:vanish/>
          <w:szCs w:val="22"/>
        </w:rPr>
      </w:pPr>
    </w:p>
    <w:p w14:paraId="17AEE220" w14:textId="77777777" w:rsidR="00F4612E" w:rsidRPr="00842A24" w:rsidRDefault="00F4612E" w:rsidP="00F4612E">
      <w:pPr>
        <w:tabs>
          <w:tab w:val="left" w:pos="720"/>
        </w:tabs>
      </w:pPr>
    </w:p>
    <w:p w14:paraId="2B25B4FA" w14:textId="77777777" w:rsidR="00F4612E" w:rsidRPr="00842A24" w:rsidRDefault="00F4612E" w:rsidP="00F4612E">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rPr>
      </w:pPr>
      <w:r w:rsidRPr="00842A24">
        <w:rPr>
          <w:b/>
          <w:bCs/>
          <w:color w:val="000000"/>
        </w:rPr>
        <w:t>18.</w:t>
      </w:r>
      <w:r w:rsidRPr="00842A24">
        <w:rPr>
          <w:b/>
          <w:bCs/>
          <w:color w:val="000000"/>
        </w:rPr>
        <w:tab/>
        <w:t>UNIKALUS IDENTIFIKATORIUS – ŽMONĖMS SUPRANTAMI DUOMENYS</w:t>
      </w:r>
    </w:p>
    <w:p w14:paraId="609C9C02" w14:textId="77777777" w:rsidR="00F4612E" w:rsidRPr="00842A24" w:rsidRDefault="00F4612E" w:rsidP="00F4612E">
      <w:pPr>
        <w:tabs>
          <w:tab w:val="left" w:pos="720"/>
        </w:tabs>
      </w:pPr>
    </w:p>
    <w:p w14:paraId="7319D39D" w14:textId="77777777" w:rsidR="00F4612E" w:rsidRPr="00842A24" w:rsidRDefault="00F4612E" w:rsidP="00F4612E">
      <w:pPr>
        <w:rPr>
          <w:color w:val="008000"/>
          <w:szCs w:val="22"/>
        </w:rPr>
      </w:pPr>
      <w:r w:rsidRPr="00842A24">
        <w:rPr>
          <w:szCs w:val="22"/>
        </w:rPr>
        <w:t xml:space="preserve">PC: {numeris} </w:t>
      </w:r>
    </w:p>
    <w:p w14:paraId="40D8148A" w14:textId="77777777" w:rsidR="00F4612E" w:rsidRPr="00842A24" w:rsidRDefault="00F4612E" w:rsidP="00F4612E">
      <w:pPr>
        <w:rPr>
          <w:szCs w:val="22"/>
        </w:rPr>
      </w:pPr>
      <w:r w:rsidRPr="00842A24">
        <w:rPr>
          <w:szCs w:val="22"/>
        </w:rPr>
        <w:t>SN: {numeris}</w:t>
      </w:r>
    </w:p>
    <w:p w14:paraId="3C98B831" w14:textId="77777777" w:rsidR="00173463" w:rsidRPr="00842A24" w:rsidRDefault="00F4612E" w:rsidP="00D15CAD">
      <w:pPr>
        <w:jc w:val="both"/>
      </w:pPr>
      <w:r w:rsidRPr="00842A24">
        <w:rPr>
          <w:szCs w:val="22"/>
        </w:rPr>
        <w:t xml:space="preserve">NN: {numeris} </w:t>
      </w:r>
      <w:r w:rsidR="00173463" w:rsidRPr="00842A24">
        <w:br w:type="page"/>
      </w:r>
    </w:p>
    <w:p w14:paraId="49DF0345" w14:textId="77777777" w:rsidR="00173463" w:rsidRPr="00842A24" w:rsidRDefault="00173463" w:rsidP="00173463">
      <w:pPr>
        <w:pStyle w:val="PI-1labEMEASMCA"/>
        <w:rPr>
          <w:noProof w:val="0"/>
        </w:rPr>
      </w:pPr>
      <w:r w:rsidRPr="00842A24">
        <w:rPr>
          <w:noProof w:val="0"/>
        </w:rPr>
        <w:lastRenderedPageBreak/>
        <w:t xml:space="preserve">MINIMALI </w:t>
      </w:r>
      <w:r w:rsidRPr="00842A24">
        <w:rPr>
          <w:caps/>
          <w:noProof w:val="0"/>
        </w:rPr>
        <w:t xml:space="preserve">informacija ant </w:t>
      </w:r>
      <w:r w:rsidRPr="00842A24">
        <w:rPr>
          <w:noProof w:val="0"/>
        </w:rPr>
        <w:t>LIZDINIŲ PLOKŠTELIŲ ARBA DVISLUOKSNIŲ JUOSTELIŲ</w:t>
      </w:r>
    </w:p>
    <w:p w14:paraId="0B8D553F" w14:textId="77777777" w:rsidR="00173463" w:rsidRPr="00842A24" w:rsidRDefault="00173463" w:rsidP="00173463">
      <w:pPr>
        <w:pStyle w:val="PI-1labEMEASMCA"/>
        <w:rPr>
          <w:noProof w:val="0"/>
        </w:rPr>
      </w:pPr>
    </w:p>
    <w:p w14:paraId="480C09EF" w14:textId="77777777" w:rsidR="00173463" w:rsidRPr="00842A24" w:rsidRDefault="00173463" w:rsidP="00173463">
      <w:pPr>
        <w:pStyle w:val="PI-1labEMEASMCA"/>
        <w:rPr>
          <w:noProof w:val="0"/>
        </w:rPr>
      </w:pPr>
      <w:r w:rsidRPr="00842A24">
        <w:rPr>
          <w:noProof w:val="0"/>
        </w:rPr>
        <w:t>LIZDINĖ PLOKŠTELĖ</w:t>
      </w:r>
    </w:p>
    <w:p w14:paraId="10E5EA92" w14:textId="77777777" w:rsidR="00173463" w:rsidRPr="00842A24" w:rsidRDefault="00173463" w:rsidP="009E4666">
      <w:pPr>
        <w:pStyle w:val="BTEMEASMCA"/>
      </w:pPr>
    </w:p>
    <w:p w14:paraId="5F64A739" w14:textId="77777777" w:rsidR="00173463" w:rsidRPr="00842A24" w:rsidRDefault="00173463" w:rsidP="009E4666">
      <w:pPr>
        <w:pStyle w:val="BTEMEASMCA"/>
      </w:pPr>
    </w:p>
    <w:p w14:paraId="33701AC9" w14:textId="77777777" w:rsidR="00173463" w:rsidRPr="00842A24" w:rsidRDefault="00173463" w:rsidP="00173463">
      <w:pPr>
        <w:pStyle w:val="PI-1labEMEASMCA"/>
        <w:rPr>
          <w:noProof w:val="0"/>
        </w:rPr>
      </w:pPr>
      <w:r w:rsidRPr="00842A24">
        <w:rPr>
          <w:noProof w:val="0"/>
        </w:rPr>
        <w:t>1.</w:t>
      </w:r>
      <w:r w:rsidRPr="00842A24">
        <w:rPr>
          <w:noProof w:val="0"/>
        </w:rPr>
        <w:tab/>
        <w:t>VAISTINIO PREPARATO PAVADINIMAS</w:t>
      </w:r>
    </w:p>
    <w:p w14:paraId="6EC06C21" w14:textId="77777777" w:rsidR="00173463" w:rsidRPr="00842A24" w:rsidRDefault="00173463" w:rsidP="009E4666">
      <w:pPr>
        <w:pStyle w:val="BTEMEASMCA"/>
      </w:pPr>
    </w:p>
    <w:p w14:paraId="67012965" w14:textId="77777777" w:rsidR="00173463" w:rsidRPr="00842A24" w:rsidRDefault="00173463" w:rsidP="009E4666">
      <w:pPr>
        <w:pStyle w:val="BTEMEASMCA"/>
      </w:pPr>
      <w:r w:rsidRPr="00842A24">
        <w:t>Exemestane Accord 25 mg plėvele dengtos tabletės</w:t>
      </w:r>
    </w:p>
    <w:p w14:paraId="329DE7D3" w14:textId="77777777" w:rsidR="00173463" w:rsidRPr="00842A24" w:rsidRDefault="00173463" w:rsidP="009E4666">
      <w:pPr>
        <w:pStyle w:val="BTEMEASMCA"/>
      </w:pPr>
      <w:r w:rsidRPr="00842A24">
        <w:t>Exemestanum</w:t>
      </w:r>
    </w:p>
    <w:p w14:paraId="6ED36536" w14:textId="77777777" w:rsidR="00173463" w:rsidRPr="00842A24" w:rsidRDefault="00173463" w:rsidP="009E4666">
      <w:pPr>
        <w:pStyle w:val="BTEMEASMCA"/>
      </w:pPr>
    </w:p>
    <w:p w14:paraId="3EDEC779" w14:textId="77777777" w:rsidR="00173463" w:rsidRPr="00842A24" w:rsidRDefault="00173463" w:rsidP="009E4666">
      <w:pPr>
        <w:pStyle w:val="BTEMEASMCA"/>
      </w:pPr>
    </w:p>
    <w:p w14:paraId="0397345E" w14:textId="77777777" w:rsidR="00173463" w:rsidRPr="00842A24" w:rsidRDefault="00173463" w:rsidP="00173463">
      <w:pPr>
        <w:pStyle w:val="PI-1labEMEASMCA"/>
        <w:rPr>
          <w:noProof w:val="0"/>
        </w:rPr>
      </w:pPr>
      <w:r w:rsidRPr="00842A24">
        <w:rPr>
          <w:noProof w:val="0"/>
        </w:rPr>
        <w:t>2.</w:t>
      </w:r>
      <w:r w:rsidRPr="00842A24">
        <w:rPr>
          <w:noProof w:val="0"/>
        </w:rPr>
        <w:tab/>
        <w:t>REGISTRUOTOJO</w:t>
      </w:r>
      <w:r w:rsidRPr="00842A24" w:rsidDel="003F3504">
        <w:rPr>
          <w:noProof w:val="0"/>
        </w:rPr>
        <w:t xml:space="preserve"> </w:t>
      </w:r>
      <w:r w:rsidRPr="00842A24">
        <w:rPr>
          <w:noProof w:val="0"/>
        </w:rPr>
        <w:t>PAVADINIMAS</w:t>
      </w:r>
    </w:p>
    <w:p w14:paraId="5AC0B198" w14:textId="77777777" w:rsidR="00173463" w:rsidRPr="00842A24" w:rsidRDefault="00173463" w:rsidP="009E4666">
      <w:pPr>
        <w:pStyle w:val="BTEMEASMCA"/>
      </w:pPr>
    </w:p>
    <w:p w14:paraId="2D69FDF2" w14:textId="77777777" w:rsidR="00173463" w:rsidRPr="00842A24" w:rsidRDefault="00173463" w:rsidP="00173463">
      <w:r w:rsidRPr="00842A24">
        <w:t xml:space="preserve">Accord </w:t>
      </w:r>
    </w:p>
    <w:p w14:paraId="563FEBB4" w14:textId="77777777" w:rsidR="00173463" w:rsidRPr="00842A24" w:rsidRDefault="00173463" w:rsidP="009E4666">
      <w:pPr>
        <w:pStyle w:val="BTEMEASMCA"/>
      </w:pPr>
    </w:p>
    <w:p w14:paraId="6D423A78" w14:textId="77777777" w:rsidR="00173463" w:rsidRPr="00842A24" w:rsidRDefault="00173463" w:rsidP="009E4666">
      <w:pPr>
        <w:pStyle w:val="BTEMEASMCA"/>
      </w:pPr>
    </w:p>
    <w:p w14:paraId="20CA04E2" w14:textId="77777777" w:rsidR="00173463" w:rsidRPr="00842A24" w:rsidRDefault="00173463" w:rsidP="00173463">
      <w:pPr>
        <w:pStyle w:val="PI-1labEMEASMCA"/>
        <w:rPr>
          <w:noProof w:val="0"/>
        </w:rPr>
      </w:pPr>
      <w:r w:rsidRPr="00842A24">
        <w:rPr>
          <w:noProof w:val="0"/>
        </w:rPr>
        <w:t>3.</w:t>
      </w:r>
      <w:r w:rsidRPr="00842A24">
        <w:rPr>
          <w:noProof w:val="0"/>
        </w:rPr>
        <w:tab/>
        <w:t>TINKAMUMO LAIKAS</w:t>
      </w:r>
    </w:p>
    <w:p w14:paraId="012A0C2D" w14:textId="77777777" w:rsidR="00173463" w:rsidRPr="00842A24" w:rsidRDefault="00173463" w:rsidP="009E4666">
      <w:pPr>
        <w:pStyle w:val="BTEMEASMCA"/>
      </w:pPr>
    </w:p>
    <w:p w14:paraId="4521C50F" w14:textId="77777777" w:rsidR="00173463" w:rsidRPr="00842A24" w:rsidRDefault="00173463" w:rsidP="009E4666">
      <w:pPr>
        <w:pStyle w:val="BTEMEASMCA"/>
      </w:pPr>
      <w:r w:rsidRPr="00842A24">
        <w:t>EXP {mm/MMMM}</w:t>
      </w:r>
    </w:p>
    <w:p w14:paraId="3B919875" w14:textId="77777777" w:rsidR="00173463" w:rsidRPr="00842A24" w:rsidRDefault="00173463" w:rsidP="009E4666">
      <w:pPr>
        <w:pStyle w:val="BTEMEASMCA"/>
      </w:pPr>
    </w:p>
    <w:p w14:paraId="5B9294CC" w14:textId="77777777" w:rsidR="00173463" w:rsidRPr="00842A24" w:rsidRDefault="00173463" w:rsidP="009E4666">
      <w:pPr>
        <w:pStyle w:val="BTEMEASMCA"/>
      </w:pPr>
    </w:p>
    <w:p w14:paraId="21633D37" w14:textId="77777777" w:rsidR="00173463" w:rsidRPr="00842A24" w:rsidRDefault="00173463" w:rsidP="00173463">
      <w:pPr>
        <w:pStyle w:val="PI-1labEMEASMCA"/>
        <w:rPr>
          <w:noProof w:val="0"/>
        </w:rPr>
      </w:pPr>
      <w:r w:rsidRPr="00842A24">
        <w:rPr>
          <w:noProof w:val="0"/>
        </w:rPr>
        <w:t>4.</w:t>
      </w:r>
      <w:r w:rsidRPr="00842A24">
        <w:rPr>
          <w:noProof w:val="0"/>
        </w:rPr>
        <w:tab/>
        <w:t>SERIJOS NUMERIS</w:t>
      </w:r>
    </w:p>
    <w:p w14:paraId="7730180E" w14:textId="77777777" w:rsidR="00173463" w:rsidRPr="00842A24" w:rsidRDefault="00173463" w:rsidP="009E4666">
      <w:pPr>
        <w:pStyle w:val="BTEMEASMCA"/>
      </w:pPr>
    </w:p>
    <w:p w14:paraId="0B17D051" w14:textId="77777777" w:rsidR="00173463" w:rsidRPr="00842A24" w:rsidRDefault="00173463" w:rsidP="009E4666">
      <w:pPr>
        <w:pStyle w:val="BTEMEASMCA"/>
      </w:pPr>
      <w:r w:rsidRPr="00842A24">
        <w:t>Lot</w:t>
      </w:r>
    </w:p>
    <w:p w14:paraId="2B9F7763" w14:textId="77777777" w:rsidR="00173463" w:rsidRPr="00842A24" w:rsidRDefault="00173463" w:rsidP="009E4666">
      <w:pPr>
        <w:pStyle w:val="BTEMEASMCA"/>
      </w:pPr>
    </w:p>
    <w:p w14:paraId="1FB3E124" w14:textId="77777777" w:rsidR="00173463" w:rsidRPr="00842A24" w:rsidRDefault="00173463" w:rsidP="009E4666">
      <w:pPr>
        <w:pStyle w:val="BTEMEASMCA"/>
      </w:pPr>
    </w:p>
    <w:p w14:paraId="52D0E331" w14:textId="77777777" w:rsidR="00173463" w:rsidRPr="00842A24" w:rsidRDefault="00173463" w:rsidP="00173463">
      <w:pPr>
        <w:pStyle w:val="PI-1labEMEASMCA"/>
        <w:rPr>
          <w:noProof w:val="0"/>
        </w:rPr>
      </w:pPr>
      <w:r w:rsidRPr="00842A24">
        <w:rPr>
          <w:noProof w:val="0"/>
        </w:rPr>
        <w:t>5.</w:t>
      </w:r>
      <w:r w:rsidRPr="00842A24">
        <w:rPr>
          <w:noProof w:val="0"/>
        </w:rPr>
        <w:tab/>
        <w:t>KITA</w:t>
      </w:r>
    </w:p>
    <w:p w14:paraId="32A8A2B9" w14:textId="77777777" w:rsidR="00173463" w:rsidRPr="00842A24" w:rsidRDefault="00173463" w:rsidP="009E4666">
      <w:pPr>
        <w:pStyle w:val="BTEMEASMCA"/>
      </w:pPr>
    </w:p>
    <w:p w14:paraId="0A775778" w14:textId="77777777" w:rsidR="00173463" w:rsidRPr="00842A24" w:rsidRDefault="00173463" w:rsidP="009E4666">
      <w:pPr>
        <w:pStyle w:val="BTEMEASMCA"/>
      </w:pPr>
      <w:r w:rsidRPr="00842A24">
        <w:br w:type="page"/>
      </w:r>
    </w:p>
    <w:p w14:paraId="1F635C48" w14:textId="77777777" w:rsidR="00173463" w:rsidRPr="00842A24" w:rsidRDefault="00173463" w:rsidP="009E4666">
      <w:pPr>
        <w:pStyle w:val="BTEMEASMCA"/>
      </w:pPr>
    </w:p>
    <w:p w14:paraId="41D7E6C9" w14:textId="77777777" w:rsidR="00173463" w:rsidRPr="00842A24" w:rsidRDefault="00173463" w:rsidP="009E4666">
      <w:pPr>
        <w:pStyle w:val="BTEMEASMCA"/>
      </w:pPr>
    </w:p>
    <w:p w14:paraId="12BD8271" w14:textId="77777777" w:rsidR="00173463" w:rsidRPr="00842A24" w:rsidRDefault="00173463" w:rsidP="009E4666">
      <w:pPr>
        <w:pStyle w:val="BTEMEASMCA"/>
      </w:pPr>
    </w:p>
    <w:p w14:paraId="0B41DF3A" w14:textId="77777777" w:rsidR="00173463" w:rsidRPr="00842A24" w:rsidRDefault="00173463" w:rsidP="009E4666">
      <w:pPr>
        <w:pStyle w:val="BTEMEASMCA"/>
      </w:pPr>
    </w:p>
    <w:p w14:paraId="791D740E" w14:textId="77777777" w:rsidR="00173463" w:rsidRPr="00842A24" w:rsidRDefault="00173463" w:rsidP="009E4666">
      <w:pPr>
        <w:pStyle w:val="BTEMEASMCA"/>
      </w:pPr>
    </w:p>
    <w:p w14:paraId="79FA41EE" w14:textId="77777777" w:rsidR="00173463" w:rsidRPr="00842A24" w:rsidRDefault="00173463" w:rsidP="009E4666">
      <w:pPr>
        <w:pStyle w:val="BTEMEASMCA"/>
      </w:pPr>
    </w:p>
    <w:p w14:paraId="10C0499D" w14:textId="77777777" w:rsidR="00173463" w:rsidRPr="00842A24" w:rsidRDefault="00173463" w:rsidP="009E4666">
      <w:pPr>
        <w:pStyle w:val="BTEMEASMCA"/>
      </w:pPr>
    </w:p>
    <w:p w14:paraId="3BD4D325" w14:textId="77777777" w:rsidR="00173463" w:rsidRPr="00842A24" w:rsidRDefault="00173463" w:rsidP="009E4666">
      <w:pPr>
        <w:pStyle w:val="BTEMEASMCA"/>
      </w:pPr>
    </w:p>
    <w:p w14:paraId="6EB4F460" w14:textId="77777777" w:rsidR="00173463" w:rsidRPr="00842A24" w:rsidRDefault="00173463" w:rsidP="009E4666">
      <w:pPr>
        <w:pStyle w:val="BTEMEASMCA"/>
      </w:pPr>
    </w:p>
    <w:p w14:paraId="2F100116" w14:textId="77777777" w:rsidR="00173463" w:rsidRPr="00842A24" w:rsidRDefault="00173463" w:rsidP="009E4666">
      <w:pPr>
        <w:pStyle w:val="BTEMEASMCA"/>
      </w:pPr>
    </w:p>
    <w:p w14:paraId="1406665D" w14:textId="77777777" w:rsidR="00173463" w:rsidRPr="00842A24" w:rsidRDefault="00173463" w:rsidP="009E4666">
      <w:pPr>
        <w:pStyle w:val="BTEMEASMCA"/>
      </w:pPr>
    </w:p>
    <w:p w14:paraId="5491A832" w14:textId="77777777" w:rsidR="00173463" w:rsidRPr="00842A24" w:rsidRDefault="00173463" w:rsidP="009E4666">
      <w:pPr>
        <w:pStyle w:val="BTEMEASMCA"/>
      </w:pPr>
    </w:p>
    <w:p w14:paraId="72EE58A8" w14:textId="77777777" w:rsidR="00173463" w:rsidRPr="00842A24" w:rsidRDefault="00173463" w:rsidP="009E4666">
      <w:pPr>
        <w:pStyle w:val="BTEMEASMCA"/>
      </w:pPr>
    </w:p>
    <w:p w14:paraId="3CCC24B6" w14:textId="77777777" w:rsidR="00173463" w:rsidRPr="00842A24" w:rsidRDefault="00173463" w:rsidP="009E4666">
      <w:pPr>
        <w:pStyle w:val="BTEMEASMCA"/>
      </w:pPr>
    </w:p>
    <w:p w14:paraId="7EA9215F" w14:textId="77777777" w:rsidR="00173463" w:rsidRPr="00842A24" w:rsidRDefault="00173463" w:rsidP="009E4666">
      <w:pPr>
        <w:pStyle w:val="BTEMEASMCA"/>
      </w:pPr>
    </w:p>
    <w:p w14:paraId="39722FC0" w14:textId="77777777" w:rsidR="00173463" w:rsidRPr="00842A24" w:rsidRDefault="00173463" w:rsidP="009E4666">
      <w:pPr>
        <w:pStyle w:val="BTEMEASMCA"/>
      </w:pPr>
    </w:p>
    <w:p w14:paraId="6C9EA480" w14:textId="77777777" w:rsidR="00173463" w:rsidRPr="00842A24" w:rsidRDefault="00173463" w:rsidP="009E4666">
      <w:pPr>
        <w:pStyle w:val="BTEMEASMCA"/>
      </w:pPr>
    </w:p>
    <w:p w14:paraId="1D19B4D8" w14:textId="77777777" w:rsidR="00173463" w:rsidRPr="00842A24" w:rsidRDefault="00173463" w:rsidP="009E4666">
      <w:pPr>
        <w:pStyle w:val="BTEMEASMCA"/>
      </w:pPr>
    </w:p>
    <w:p w14:paraId="7E3B7D22" w14:textId="77777777" w:rsidR="00173463" w:rsidRPr="00842A24" w:rsidRDefault="00173463" w:rsidP="009E4666">
      <w:pPr>
        <w:pStyle w:val="BTEMEASMCA"/>
      </w:pPr>
    </w:p>
    <w:p w14:paraId="4B3C8A2C" w14:textId="77777777" w:rsidR="00173463" w:rsidRPr="00842A24" w:rsidRDefault="00173463" w:rsidP="009E4666">
      <w:pPr>
        <w:pStyle w:val="BTEMEASMCA"/>
      </w:pPr>
    </w:p>
    <w:p w14:paraId="6C8D8788" w14:textId="77777777" w:rsidR="00173463" w:rsidRPr="00842A24" w:rsidRDefault="00173463" w:rsidP="009E4666">
      <w:pPr>
        <w:pStyle w:val="BTEMEASMCA"/>
      </w:pPr>
    </w:p>
    <w:p w14:paraId="0C956C89" w14:textId="77777777" w:rsidR="00173463" w:rsidRPr="00842A24" w:rsidRDefault="00173463" w:rsidP="009E4666">
      <w:pPr>
        <w:pStyle w:val="BTEMEASMCA"/>
      </w:pPr>
    </w:p>
    <w:p w14:paraId="5B718E9F" w14:textId="77777777" w:rsidR="00173463" w:rsidRPr="00842A24" w:rsidRDefault="00173463" w:rsidP="009E4666">
      <w:pPr>
        <w:pStyle w:val="BTEMEASMCA"/>
      </w:pPr>
    </w:p>
    <w:p w14:paraId="2E795536" w14:textId="5B5DB25E" w:rsidR="00173463" w:rsidRPr="00842A24" w:rsidRDefault="00173463" w:rsidP="00173463">
      <w:pPr>
        <w:pStyle w:val="TTEMEASMCA"/>
        <w:rPr>
          <w:b w:val="0"/>
          <w:lang w:val="lt-LT"/>
        </w:rPr>
      </w:pPr>
      <w:bookmarkStart w:id="73" w:name="_Toc129243137"/>
      <w:bookmarkStart w:id="74" w:name="_Toc129243262"/>
      <w:r w:rsidRPr="00842A24">
        <w:rPr>
          <w:lang w:val="lt-LT"/>
        </w:rPr>
        <w:t>B. PAKUOTĖS LAPELIS</w:t>
      </w:r>
      <w:bookmarkEnd w:id="73"/>
      <w:bookmarkEnd w:id="74"/>
    </w:p>
    <w:p w14:paraId="7FC6BE39" w14:textId="77777777" w:rsidR="00173463" w:rsidRPr="00842A24" w:rsidRDefault="00173463" w:rsidP="00173463">
      <w:pPr>
        <w:jc w:val="center"/>
        <w:rPr>
          <w:b/>
        </w:rPr>
      </w:pPr>
      <w:r w:rsidRPr="00842A24">
        <w:br w:type="page"/>
      </w:r>
      <w:bookmarkStart w:id="75" w:name="_Toc129243138"/>
      <w:bookmarkStart w:id="76" w:name="_Toc129243263"/>
      <w:r w:rsidRPr="00842A24">
        <w:rPr>
          <w:b/>
        </w:rPr>
        <w:lastRenderedPageBreak/>
        <w:t>Pakuotės lapelis: informacija vartotojui</w:t>
      </w:r>
      <w:bookmarkEnd w:id="75"/>
      <w:bookmarkEnd w:id="76"/>
    </w:p>
    <w:p w14:paraId="067C8719" w14:textId="77777777" w:rsidR="00173463" w:rsidRPr="00842A24" w:rsidRDefault="00173463" w:rsidP="009E4666">
      <w:pPr>
        <w:pStyle w:val="BTbeEMEASMCA"/>
      </w:pPr>
    </w:p>
    <w:p w14:paraId="72577D41" w14:textId="77777777" w:rsidR="00173463" w:rsidRPr="00842A24" w:rsidRDefault="00173463" w:rsidP="009E4666">
      <w:pPr>
        <w:pStyle w:val="BTbeEMEASMCA"/>
      </w:pPr>
      <w:r w:rsidRPr="00842A24">
        <w:t>Exemestane Accord 25 mg plėvele dengtos tabletės</w:t>
      </w:r>
    </w:p>
    <w:p w14:paraId="216D2924" w14:textId="1D234AA2" w:rsidR="00173463" w:rsidRPr="00842A24" w:rsidRDefault="007F772D" w:rsidP="009E4666">
      <w:pPr>
        <w:pStyle w:val="BTeEMEASMCA"/>
      </w:pPr>
      <w:r w:rsidRPr="00842A24">
        <w:t>e</w:t>
      </w:r>
      <w:r w:rsidR="00173463" w:rsidRPr="00842A24">
        <w:t>ksemestanas</w:t>
      </w:r>
    </w:p>
    <w:p w14:paraId="73D00DBC" w14:textId="77777777" w:rsidR="00173463" w:rsidRPr="00842A24" w:rsidRDefault="00173463" w:rsidP="009E4666">
      <w:pPr>
        <w:pStyle w:val="BTEMEASMCA"/>
      </w:pPr>
    </w:p>
    <w:p w14:paraId="0FABE654" w14:textId="77777777" w:rsidR="00173463" w:rsidRPr="00842A24" w:rsidRDefault="00173463" w:rsidP="009E4666">
      <w:pPr>
        <w:pStyle w:val="BTbEMEASMCA"/>
      </w:pPr>
      <w:r w:rsidRPr="00842A24">
        <w:t>Atidžiai perskaitykite visą šį lapelį, prieš pradėdami vartoti vaistą</w:t>
      </w:r>
      <w:r w:rsidRPr="00842A24">
        <w:rPr>
          <w:szCs w:val="24"/>
        </w:rPr>
        <w:t>, nes jame pateikiama Jums svarbi informacija</w:t>
      </w:r>
      <w:r w:rsidRPr="00842A24">
        <w:t>.</w:t>
      </w:r>
    </w:p>
    <w:p w14:paraId="50AFCFE6" w14:textId="77777777" w:rsidR="00173463" w:rsidRPr="00842A24" w:rsidRDefault="00173463" w:rsidP="00A20BB7">
      <w:pPr>
        <w:pStyle w:val="BT-EMEASMCA"/>
        <w:tabs>
          <w:tab w:val="clear" w:pos="360"/>
        </w:tabs>
        <w:ind w:left="567" w:hanging="567"/>
      </w:pPr>
      <w:r w:rsidRPr="00842A24">
        <w:t>Neišmeskite šio lapelio, nes vėl gali prireikti jį perskaityti.</w:t>
      </w:r>
    </w:p>
    <w:p w14:paraId="03C78AEB" w14:textId="47305825" w:rsidR="00173463" w:rsidRPr="00842A24" w:rsidRDefault="00173463" w:rsidP="00A20BB7">
      <w:pPr>
        <w:pStyle w:val="BT-EMEASMCA"/>
        <w:tabs>
          <w:tab w:val="clear" w:pos="360"/>
        </w:tabs>
        <w:ind w:left="567" w:hanging="567"/>
      </w:pPr>
      <w:r w:rsidRPr="00842A24">
        <w:t>Jeigu kiltų daugiau klausimų, kreipkitės į gydytoją</w:t>
      </w:r>
      <w:r w:rsidR="007F772D" w:rsidRPr="00842A24">
        <w:t xml:space="preserve"> arba </w:t>
      </w:r>
      <w:r w:rsidRPr="00842A24">
        <w:t>vaistininką.</w:t>
      </w:r>
    </w:p>
    <w:p w14:paraId="1928FD1D" w14:textId="77777777" w:rsidR="00173463" w:rsidRPr="00842A24" w:rsidRDefault="00173463" w:rsidP="00A20BB7">
      <w:pPr>
        <w:pStyle w:val="BT-EMEASMCA"/>
        <w:tabs>
          <w:tab w:val="clear" w:pos="360"/>
        </w:tabs>
        <w:ind w:left="567" w:hanging="567"/>
      </w:pPr>
      <w:r w:rsidRPr="00842A24">
        <w:t>Šis vaistas skirtas tik Jums, todėl kitiems žmonėms jo duoti negalima. Vaistas gali jiems pakenkti (net tiems, kurių ligos požymiai yra tokie patys kaip Jūsų).</w:t>
      </w:r>
    </w:p>
    <w:p w14:paraId="42AFFB37" w14:textId="7A72AB5D" w:rsidR="00173463" w:rsidRPr="00842A24" w:rsidRDefault="00173463" w:rsidP="00A20BB7">
      <w:pPr>
        <w:pStyle w:val="BT-EMEASMCA"/>
        <w:tabs>
          <w:tab w:val="clear" w:pos="360"/>
        </w:tabs>
        <w:ind w:left="567" w:hanging="567"/>
      </w:pPr>
      <w:r w:rsidRPr="00842A24">
        <w:t>Jeigu pasireiškė šalutinis poveikis (net jeigu jis šiame lapelyje nenurodytas), kreipkitės į gydytoją</w:t>
      </w:r>
      <w:r w:rsidR="007F772D" w:rsidRPr="00842A24">
        <w:t xml:space="preserve"> arba </w:t>
      </w:r>
      <w:r w:rsidRPr="00842A24">
        <w:t>vaistininką. Žr. 4 skyrių.</w:t>
      </w:r>
    </w:p>
    <w:p w14:paraId="74453941" w14:textId="77777777" w:rsidR="00173463" w:rsidRPr="00842A24" w:rsidRDefault="00173463" w:rsidP="00173463">
      <w:pPr>
        <w:pStyle w:val="Antrat4"/>
        <w:rPr>
          <w:rFonts w:ascii="Times New Roman" w:hAnsi="Times New Roman"/>
          <w:bCs w:val="0"/>
          <w:sz w:val="22"/>
          <w:szCs w:val="24"/>
        </w:rPr>
      </w:pPr>
      <w:r w:rsidRPr="00842A24">
        <w:rPr>
          <w:rFonts w:ascii="Times New Roman" w:hAnsi="Times New Roman"/>
          <w:bCs w:val="0"/>
          <w:sz w:val="22"/>
          <w:szCs w:val="24"/>
        </w:rPr>
        <w:t>Apie ką rašoma šiame lapelyje?</w:t>
      </w:r>
    </w:p>
    <w:p w14:paraId="1EB26F5F" w14:textId="77777777" w:rsidR="00173463" w:rsidRPr="00842A24" w:rsidRDefault="00173463" w:rsidP="009E4666">
      <w:pPr>
        <w:pStyle w:val="BTbEMEASMCA"/>
      </w:pPr>
    </w:p>
    <w:p w14:paraId="3E67539F" w14:textId="77777777" w:rsidR="00173463" w:rsidRPr="00842A24" w:rsidRDefault="00173463" w:rsidP="009E4666">
      <w:pPr>
        <w:pStyle w:val="BTEMEASMCA"/>
      </w:pPr>
      <w:r w:rsidRPr="00842A24">
        <w:t>1.</w:t>
      </w:r>
      <w:r w:rsidRPr="00842A24">
        <w:tab/>
        <w:t>Kas yra Exemestane Accord ir kam jis vartojamas</w:t>
      </w:r>
    </w:p>
    <w:p w14:paraId="1CFFD8E0" w14:textId="77777777" w:rsidR="00173463" w:rsidRPr="00842A24" w:rsidRDefault="00173463" w:rsidP="009E4666">
      <w:pPr>
        <w:pStyle w:val="BTEMEASMCA"/>
      </w:pPr>
      <w:r w:rsidRPr="00842A24">
        <w:t>2.</w:t>
      </w:r>
      <w:r w:rsidRPr="00842A24">
        <w:tab/>
        <w:t>Kas žinotina prieš vartojant Exemestane Accord</w:t>
      </w:r>
    </w:p>
    <w:p w14:paraId="1E2FC23F" w14:textId="77777777" w:rsidR="00173463" w:rsidRPr="00842A24" w:rsidRDefault="00173463" w:rsidP="009E4666">
      <w:pPr>
        <w:pStyle w:val="BTEMEASMCA"/>
      </w:pPr>
      <w:r w:rsidRPr="00842A24">
        <w:t>3.</w:t>
      </w:r>
      <w:r w:rsidRPr="00842A24">
        <w:tab/>
        <w:t>Kaip vartoti Exemestane Accord</w:t>
      </w:r>
    </w:p>
    <w:p w14:paraId="293BBF8F" w14:textId="77777777" w:rsidR="00173463" w:rsidRPr="00842A24" w:rsidRDefault="00173463" w:rsidP="009E4666">
      <w:pPr>
        <w:pStyle w:val="BTEMEASMCA"/>
      </w:pPr>
      <w:r w:rsidRPr="00842A24">
        <w:t>4.</w:t>
      </w:r>
      <w:r w:rsidRPr="00842A24">
        <w:tab/>
        <w:t>Galimas šalutinis poveikis</w:t>
      </w:r>
    </w:p>
    <w:p w14:paraId="74308E2A" w14:textId="77777777" w:rsidR="00173463" w:rsidRPr="00842A24" w:rsidRDefault="00173463" w:rsidP="009E4666">
      <w:pPr>
        <w:pStyle w:val="BTEMEASMCA"/>
      </w:pPr>
      <w:r w:rsidRPr="00842A24">
        <w:t>5.</w:t>
      </w:r>
      <w:r w:rsidRPr="00842A24">
        <w:tab/>
        <w:t>Kaip laikyti Exemestane Accord</w:t>
      </w:r>
    </w:p>
    <w:p w14:paraId="05CACA76" w14:textId="77777777" w:rsidR="00173463" w:rsidRPr="00842A24" w:rsidRDefault="00173463" w:rsidP="009E4666">
      <w:pPr>
        <w:pStyle w:val="BTEMEASMCA"/>
      </w:pPr>
      <w:r w:rsidRPr="00842A24">
        <w:t>6.</w:t>
      </w:r>
      <w:r w:rsidRPr="00842A24">
        <w:tab/>
        <w:t>Pakuotės turinys ir kita informacija</w:t>
      </w:r>
    </w:p>
    <w:p w14:paraId="4FC5C53E" w14:textId="77777777" w:rsidR="00173463" w:rsidRPr="00842A24" w:rsidRDefault="00173463" w:rsidP="009E4666">
      <w:pPr>
        <w:pStyle w:val="BTEMEASMCA"/>
      </w:pPr>
    </w:p>
    <w:p w14:paraId="712CB416" w14:textId="77777777" w:rsidR="00173463" w:rsidRPr="00842A24" w:rsidRDefault="00173463" w:rsidP="009E4666">
      <w:pPr>
        <w:pStyle w:val="BTEMEASMCA"/>
      </w:pPr>
    </w:p>
    <w:p w14:paraId="5B05A4A7" w14:textId="77777777" w:rsidR="00173463" w:rsidRPr="00842A24" w:rsidRDefault="00173463" w:rsidP="00173463">
      <w:pPr>
        <w:pStyle w:val="PI-1EMEASMCA"/>
      </w:pPr>
      <w:bookmarkStart w:id="77" w:name="_Toc129243139"/>
      <w:bookmarkStart w:id="78" w:name="_Toc129243264"/>
      <w:r w:rsidRPr="00842A24">
        <w:t>1.</w:t>
      </w:r>
      <w:r w:rsidRPr="00842A24">
        <w:tab/>
        <w:t>Kas yra Exemestane Accord ir kam jis vartojamas</w:t>
      </w:r>
    </w:p>
    <w:bookmarkEnd w:id="77"/>
    <w:bookmarkEnd w:id="78"/>
    <w:p w14:paraId="028A93D5" w14:textId="77777777" w:rsidR="00173463" w:rsidRPr="00842A24" w:rsidRDefault="00173463" w:rsidP="00173463">
      <w:pPr>
        <w:pStyle w:val="PI-1EMEASMCA"/>
      </w:pPr>
    </w:p>
    <w:p w14:paraId="1955FAD8" w14:textId="4CD27813" w:rsidR="00173463" w:rsidRPr="00842A24" w:rsidRDefault="00173463" w:rsidP="00173463">
      <w:r w:rsidRPr="00842A24">
        <w:t xml:space="preserve">Exemestane Accord priklauso vaistinių preparatų, vadinamų aromatazės inhibitoriais, grupei. Šis </w:t>
      </w:r>
      <w:r w:rsidR="00412FF9" w:rsidRPr="00842A24">
        <w:t>vaistas</w:t>
      </w:r>
      <w:r w:rsidRPr="00842A24">
        <w:t xml:space="preserve"> sąveikauja su medžiag</w:t>
      </w:r>
      <w:r w:rsidR="00706224" w:rsidRPr="00842A24">
        <w:t>a</w:t>
      </w:r>
      <w:r w:rsidRPr="00842A24">
        <w:t>, vadinam</w:t>
      </w:r>
      <w:r w:rsidR="00706224" w:rsidRPr="00842A24">
        <w:t>a</w:t>
      </w:r>
      <w:r w:rsidRPr="00842A24">
        <w:t xml:space="preserve"> aromataze, kuri būtina moteriškų lytinių hormonų, estrogenų gamybai, ypatingai moterims po menopauzės. Estrogenų aktyvumo organizme sumažėjimu yra gydomas nuo hormonų priklausomas krūties vėžys.</w:t>
      </w:r>
    </w:p>
    <w:p w14:paraId="1284E73F" w14:textId="77777777" w:rsidR="00173463" w:rsidRPr="00842A24" w:rsidRDefault="00173463" w:rsidP="00173463"/>
    <w:p w14:paraId="0FA81DE7" w14:textId="1C250C98" w:rsidR="00173463" w:rsidRPr="00842A24" w:rsidRDefault="00173463" w:rsidP="00173463">
      <w:r w:rsidRPr="00842A24">
        <w:t>Exemestane Accord vartojamas nuo hormonų priklausomu ankstyvuoju</w:t>
      </w:r>
      <w:r w:rsidRPr="00842A24" w:rsidDel="007A7AD7">
        <w:rPr>
          <w:b/>
        </w:rPr>
        <w:t xml:space="preserve"> </w:t>
      </w:r>
      <w:r w:rsidRPr="00842A24">
        <w:t xml:space="preserve">krūties vėžiu </w:t>
      </w:r>
      <w:r w:rsidR="00B4743A" w:rsidRPr="00842A24">
        <w:t xml:space="preserve">sergančioms </w:t>
      </w:r>
      <w:r w:rsidRPr="00842A24">
        <w:t>moterims po menopauzės gydyti, baigus pradinį 2</w:t>
      </w:r>
      <w:r w:rsidRPr="00842A24">
        <w:noBreakHyphen/>
        <w:t xml:space="preserve">3 metų trukmės gydymą tamoksifenu. </w:t>
      </w:r>
    </w:p>
    <w:p w14:paraId="3F8FDB5E" w14:textId="77777777" w:rsidR="00173463" w:rsidRPr="00842A24" w:rsidRDefault="00173463" w:rsidP="00173463"/>
    <w:p w14:paraId="0CDF84AF" w14:textId="77777777" w:rsidR="00173463" w:rsidRPr="00842A24" w:rsidRDefault="00173463" w:rsidP="00173463">
      <w:r w:rsidRPr="00842A24">
        <w:t>Exemestane Accord taip pat vartojamas nuo hormonų priklausomu progresavusiu krūties vėžiu sergančioms moterims po menopauzės gydyti, jei gydymas kitais hormoniniais vaistais buvo nepakankamai veiksmingas.</w:t>
      </w:r>
    </w:p>
    <w:p w14:paraId="75F1F7C0" w14:textId="77777777" w:rsidR="00173463" w:rsidRPr="00842A24" w:rsidRDefault="00173463" w:rsidP="009E4666">
      <w:pPr>
        <w:pStyle w:val="BTEMEASMCA"/>
      </w:pPr>
    </w:p>
    <w:p w14:paraId="5EBA7A35" w14:textId="77777777" w:rsidR="00173463" w:rsidRPr="00842A24" w:rsidRDefault="00173463" w:rsidP="009E4666">
      <w:pPr>
        <w:pStyle w:val="BTEMEASMCA"/>
      </w:pPr>
    </w:p>
    <w:p w14:paraId="32EF2E07" w14:textId="3F2C102A" w:rsidR="00173463" w:rsidRPr="00842A24" w:rsidRDefault="00173463" w:rsidP="00173463">
      <w:pPr>
        <w:pStyle w:val="PI-1EMEASMCA"/>
      </w:pPr>
      <w:bookmarkStart w:id="79" w:name="_Toc129243140"/>
      <w:bookmarkStart w:id="80" w:name="_Toc129243265"/>
      <w:r w:rsidRPr="00842A24">
        <w:t>2.</w:t>
      </w:r>
      <w:r w:rsidRPr="00842A24">
        <w:tab/>
      </w:r>
      <w:bookmarkEnd w:id="79"/>
      <w:bookmarkEnd w:id="80"/>
      <w:r w:rsidRPr="00842A24">
        <w:t>Kas žinotina prieš vartojant Exemestane Accord</w:t>
      </w:r>
    </w:p>
    <w:p w14:paraId="1CC5962A" w14:textId="77777777" w:rsidR="00173463" w:rsidRPr="00842A24" w:rsidRDefault="00173463" w:rsidP="009E4666">
      <w:pPr>
        <w:pStyle w:val="BTEMEASMCA"/>
      </w:pPr>
    </w:p>
    <w:p w14:paraId="631E9801" w14:textId="5460D5CB" w:rsidR="00173463" w:rsidRPr="00842A24" w:rsidRDefault="00173463" w:rsidP="00173463">
      <w:pPr>
        <w:pStyle w:val="PI-3EMEASMCA"/>
      </w:pPr>
      <w:r w:rsidRPr="00842A24">
        <w:t xml:space="preserve">Exemestane Accord vartoti </w:t>
      </w:r>
      <w:r w:rsidR="007F772D" w:rsidRPr="00842A24">
        <w:t>draudžiama</w:t>
      </w:r>
      <w:r w:rsidRPr="00842A24">
        <w:t>:</w:t>
      </w:r>
    </w:p>
    <w:p w14:paraId="27BA5AE5" w14:textId="21F6BDE4" w:rsidR="00173463" w:rsidRPr="00842A24" w:rsidRDefault="00173463" w:rsidP="00173463">
      <w:pPr>
        <w:numPr>
          <w:ilvl w:val="0"/>
          <w:numId w:val="2"/>
        </w:numPr>
        <w:tabs>
          <w:tab w:val="clear" w:pos="720"/>
          <w:tab w:val="num" w:pos="360"/>
        </w:tabs>
        <w:ind w:left="360"/>
      </w:pPr>
      <w:r w:rsidRPr="00842A24">
        <w:t>jeigu yra ar anksčiau buvo alergija eksemestanui arba bet kuriai pagalbinei šio vaisto medžiagai (jos išvardytos 6 skyriuje);</w:t>
      </w:r>
    </w:p>
    <w:p w14:paraId="333DD8B0" w14:textId="3A693E86" w:rsidR="00173463" w:rsidRPr="00842A24" w:rsidRDefault="00173463" w:rsidP="00173463">
      <w:pPr>
        <w:numPr>
          <w:ilvl w:val="0"/>
          <w:numId w:val="2"/>
        </w:numPr>
        <w:tabs>
          <w:tab w:val="clear" w:pos="720"/>
          <w:tab w:val="num" w:pos="360"/>
        </w:tabs>
        <w:ind w:left="360"/>
      </w:pPr>
      <w:r w:rsidRPr="00842A24">
        <w:t>jeigu dar neprasidėjo menopauzė, t.</w:t>
      </w:r>
      <w:r w:rsidR="00450A3F" w:rsidRPr="00842A24">
        <w:t xml:space="preserve"> </w:t>
      </w:r>
      <w:r w:rsidRPr="00842A24">
        <w:t>y. jei moteriai tebesikartoja menstruacijos;</w:t>
      </w:r>
    </w:p>
    <w:p w14:paraId="66AE9514" w14:textId="77777777" w:rsidR="00173463" w:rsidRPr="00842A24" w:rsidRDefault="00173463" w:rsidP="00173463">
      <w:pPr>
        <w:numPr>
          <w:ilvl w:val="0"/>
          <w:numId w:val="2"/>
        </w:numPr>
        <w:tabs>
          <w:tab w:val="clear" w:pos="720"/>
          <w:tab w:val="num" w:pos="360"/>
        </w:tabs>
        <w:ind w:left="360"/>
      </w:pPr>
      <w:r w:rsidRPr="00842A24">
        <w:t xml:space="preserve">jeigu esate nėščia, galite būti pastojusi arba žindote kūdikį. </w:t>
      </w:r>
    </w:p>
    <w:p w14:paraId="529A027F" w14:textId="77777777" w:rsidR="00173463" w:rsidRPr="00842A24" w:rsidRDefault="00173463" w:rsidP="00173463">
      <w:pPr>
        <w:pStyle w:val="Antrat4"/>
        <w:rPr>
          <w:rFonts w:ascii="Times New Roman" w:hAnsi="Times New Roman"/>
          <w:sz w:val="22"/>
        </w:rPr>
      </w:pPr>
      <w:r w:rsidRPr="00842A24">
        <w:rPr>
          <w:rFonts w:ascii="Times New Roman" w:hAnsi="Times New Roman"/>
          <w:bCs w:val="0"/>
          <w:sz w:val="22"/>
          <w:szCs w:val="24"/>
        </w:rPr>
        <w:t>Įspėjimai ir</w:t>
      </w:r>
      <w:r w:rsidRPr="00842A24">
        <w:rPr>
          <w:rFonts w:ascii="Times New Roman" w:hAnsi="Times New Roman"/>
          <w:sz w:val="22"/>
        </w:rPr>
        <w:t xml:space="preserve"> atsargumo </w:t>
      </w:r>
      <w:r w:rsidRPr="00842A24">
        <w:rPr>
          <w:rFonts w:ascii="Times New Roman" w:hAnsi="Times New Roman"/>
          <w:bCs w:val="0"/>
          <w:sz w:val="22"/>
          <w:szCs w:val="24"/>
        </w:rPr>
        <w:t xml:space="preserve">priemonės </w:t>
      </w:r>
    </w:p>
    <w:p w14:paraId="795EA0FE" w14:textId="3CF6EB39" w:rsidR="00706224" w:rsidRPr="00842A24" w:rsidRDefault="00706224" w:rsidP="00D15CAD">
      <w:r w:rsidRPr="00842A24">
        <w:t>Pasitarkite su gydytoju</w:t>
      </w:r>
      <w:r w:rsidR="009E4666" w:rsidRPr="009E4666">
        <w:t xml:space="preserve"> </w:t>
      </w:r>
      <w:r w:rsidR="009E4666" w:rsidRPr="00842A24">
        <w:t>arba</w:t>
      </w:r>
      <w:r w:rsidRPr="00842A24">
        <w:t xml:space="preserve"> vaistininku prieš pradėdami vartoti Exemestane Accord. </w:t>
      </w:r>
    </w:p>
    <w:p w14:paraId="3E532ED4" w14:textId="77777777" w:rsidR="00706224" w:rsidRPr="00842A24" w:rsidRDefault="00706224" w:rsidP="00D15CAD"/>
    <w:p w14:paraId="18384CEA" w14:textId="77777777" w:rsidR="00173463" w:rsidRPr="00842A24" w:rsidRDefault="00173463" w:rsidP="00173463">
      <w:pPr>
        <w:numPr>
          <w:ilvl w:val="0"/>
          <w:numId w:val="4"/>
        </w:numPr>
        <w:tabs>
          <w:tab w:val="clear" w:pos="504"/>
        </w:tabs>
        <w:autoSpaceDE w:val="0"/>
        <w:autoSpaceDN w:val="0"/>
        <w:adjustRightInd w:val="0"/>
        <w:ind w:hanging="504"/>
      </w:pPr>
      <w:r w:rsidRPr="00842A24">
        <w:t>Kad įsitikintų, ar Jums prasidėjo menopauzė, prieš paskirdamas gydymą Exemestane Accord, gydytojas gali paskirti kraujo tyrimus.</w:t>
      </w:r>
    </w:p>
    <w:p w14:paraId="42EB74F0" w14:textId="77777777" w:rsidR="00173463" w:rsidRPr="00842A24" w:rsidRDefault="00173463" w:rsidP="00173463">
      <w:pPr>
        <w:numPr>
          <w:ilvl w:val="0"/>
          <w:numId w:val="4"/>
        </w:numPr>
        <w:tabs>
          <w:tab w:val="clear" w:pos="504"/>
        </w:tabs>
        <w:autoSpaceDE w:val="0"/>
        <w:autoSpaceDN w:val="0"/>
        <w:adjustRightInd w:val="0"/>
        <w:ind w:hanging="504"/>
      </w:pPr>
      <w:r w:rsidRPr="00842A24">
        <w:rPr>
          <w:bCs/>
          <w:szCs w:val="22"/>
        </w:rPr>
        <w:t>Prieš gydymą taip pat bus atliktas įprastas vitamino D kiekio jūsų organizme patikrinimas, nes ankstyvosiose krūties vėžio etapuose jo lygis gali būti labai žemas. Jei bus nustatyta, kad lygis yra žemiau normalaus, jums bus papildomai skirta vitamino D.</w:t>
      </w:r>
    </w:p>
    <w:p w14:paraId="5DF20369" w14:textId="77777777" w:rsidR="00173463" w:rsidRPr="00842A24" w:rsidRDefault="00173463" w:rsidP="00173463">
      <w:pPr>
        <w:numPr>
          <w:ilvl w:val="0"/>
          <w:numId w:val="4"/>
        </w:numPr>
        <w:tabs>
          <w:tab w:val="clear" w:pos="504"/>
          <w:tab w:val="left" w:pos="567"/>
        </w:tabs>
        <w:autoSpaceDE w:val="0"/>
        <w:autoSpaceDN w:val="0"/>
        <w:adjustRightInd w:val="0"/>
        <w:ind w:hanging="504"/>
      </w:pPr>
      <w:r w:rsidRPr="00842A24">
        <w:lastRenderedPageBreak/>
        <w:t>Jeigu skundžiatės kepenų ar inkstų sutrikimais, prieš vartojant Exemestane Accord, pasakykite gydytojui.</w:t>
      </w:r>
    </w:p>
    <w:p w14:paraId="2879C663" w14:textId="11DF91F2" w:rsidR="00173463" w:rsidRPr="00842A24" w:rsidRDefault="00173463" w:rsidP="00173463">
      <w:pPr>
        <w:numPr>
          <w:ilvl w:val="0"/>
          <w:numId w:val="4"/>
        </w:numPr>
        <w:tabs>
          <w:tab w:val="clear" w:pos="504"/>
          <w:tab w:val="left" w:pos="567"/>
        </w:tabs>
        <w:autoSpaceDE w:val="0"/>
        <w:autoSpaceDN w:val="0"/>
        <w:adjustRightInd w:val="0"/>
        <w:ind w:hanging="504"/>
      </w:pPr>
      <w:r w:rsidRPr="00842A24">
        <w:t>Jeigu esate sirgęs arba sergate ligomis, turinčiomis poveikį kaulų stiprumui, pasakykite gydytojui. Prieš paskirdamas gydymą Exemestane Accord ir gydymo metu Jūsų gydytojas gali atlikti kaulų tankio tyrimus</w:t>
      </w:r>
      <w:r w:rsidRPr="00842A24">
        <w:rPr>
          <w:color w:val="00377E"/>
        </w:rPr>
        <w:t xml:space="preserve">. </w:t>
      </w:r>
      <w:r w:rsidRPr="00842A24">
        <w:t>Tai būtina, nes šios klasės vaistai mažina moteriškų hormonų kiekį, dėl to gali sumažėti mineralų kiekis kauluose ir sumažėti kaulų stiprumas.</w:t>
      </w:r>
    </w:p>
    <w:p w14:paraId="62BC8560" w14:textId="77777777" w:rsidR="00173463" w:rsidRPr="00842A24" w:rsidRDefault="00173463" w:rsidP="009E4666">
      <w:pPr>
        <w:pStyle w:val="BTEMEASMCA"/>
      </w:pPr>
    </w:p>
    <w:p w14:paraId="7555A3AA" w14:textId="77777777" w:rsidR="00173463" w:rsidRPr="00842A24" w:rsidRDefault="00173463" w:rsidP="00173463">
      <w:pPr>
        <w:pStyle w:val="PI-3EMEASMCA"/>
      </w:pPr>
      <w:r w:rsidRPr="00842A24">
        <w:t xml:space="preserve">Kiti vaistai ir Exemestane Accord </w:t>
      </w:r>
    </w:p>
    <w:p w14:paraId="7174B142" w14:textId="77777777" w:rsidR="00173463" w:rsidRPr="00842A24" w:rsidRDefault="00173463" w:rsidP="00173463">
      <w:r w:rsidRPr="00842A24">
        <w:t>Jeigu vartojate arba neseniai vartojote arba galėjote vartoti kitų vaistų, įskaitant įsigytus be recepto, pasakykite gydytojui arba vaistininkui.</w:t>
      </w:r>
    </w:p>
    <w:p w14:paraId="24C11E99" w14:textId="77777777" w:rsidR="00173463" w:rsidRPr="00842A24" w:rsidRDefault="00173463" w:rsidP="00173463"/>
    <w:p w14:paraId="1FBFA388" w14:textId="69C1BC26" w:rsidR="00173463" w:rsidRPr="00842A24" w:rsidRDefault="00173463" w:rsidP="00173463">
      <w:r w:rsidRPr="00842A24">
        <w:t>Exemestane Accord ir pakeičiamosio</w:t>
      </w:r>
      <w:r w:rsidR="006D18D9" w:rsidRPr="00842A24">
        <w:t>s</w:t>
      </w:r>
      <w:r w:rsidRPr="00842A24">
        <w:t xml:space="preserve"> hormonų terapijos (PHT) vienu metu vartoti negalima.</w:t>
      </w:r>
    </w:p>
    <w:p w14:paraId="15F16AFB" w14:textId="48EEBAA5" w:rsidR="00173463" w:rsidRPr="00842A24" w:rsidRDefault="00706224" w:rsidP="00173463">
      <w:r w:rsidRPr="00842A24">
        <w:t xml:space="preserve">Vartojant Exemestane Accord tabletes toliau nurodyti vaistai turi būti vartojami atsargiai. Praneškite </w:t>
      </w:r>
      <w:r w:rsidR="00173463" w:rsidRPr="00842A24">
        <w:t xml:space="preserve">savo gydytojui, jeigu vartojate </w:t>
      </w:r>
      <w:r w:rsidRPr="00842A24">
        <w:t xml:space="preserve">šiuos </w:t>
      </w:r>
      <w:r w:rsidR="00173463" w:rsidRPr="00842A24">
        <w:t>vaist</w:t>
      </w:r>
      <w:r w:rsidRPr="00842A24">
        <w:t>us</w:t>
      </w:r>
      <w:r w:rsidR="00173463" w:rsidRPr="00842A24">
        <w:t>:</w:t>
      </w:r>
    </w:p>
    <w:p w14:paraId="69A1D91A" w14:textId="77777777" w:rsidR="00173463" w:rsidRPr="00842A24" w:rsidRDefault="00173463" w:rsidP="00173463">
      <w:pPr>
        <w:numPr>
          <w:ilvl w:val="0"/>
          <w:numId w:val="6"/>
        </w:numPr>
        <w:ind w:left="426" w:hanging="426"/>
      </w:pPr>
      <w:r w:rsidRPr="00842A24">
        <w:t xml:space="preserve">rifampicino (antibiotiko), </w:t>
      </w:r>
    </w:p>
    <w:p w14:paraId="0112A3F3" w14:textId="41204719" w:rsidR="00173463" w:rsidRPr="00842A24" w:rsidRDefault="00173463" w:rsidP="00173463">
      <w:pPr>
        <w:numPr>
          <w:ilvl w:val="0"/>
          <w:numId w:val="6"/>
        </w:numPr>
        <w:ind w:left="426" w:hanging="426"/>
      </w:pPr>
      <w:r w:rsidRPr="00842A24">
        <w:t>karbamazepino arba fenitoino</w:t>
      </w:r>
      <w:r w:rsidR="00706224" w:rsidRPr="00842A24">
        <w:t xml:space="preserve"> (vaistai nuo konvulsijų, vartojami epilepsijai gydyti</w:t>
      </w:r>
      <w:r w:rsidRPr="00842A24">
        <w:t>),</w:t>
      </w:r>
    </w:p>
    <w:p w14:paraId="43284B2A" w14:textId="0E545EE7" w:rsidR="00173463" w:rsidRPr="00842A24" w:rsidRDefault="00173463" w:rsidP="00173463">
      <w:pPr>
        <w:numPr>
          <w:ilvl w:val="0"/>
          <w:numId w:val="6"/>
        </w:numPr>
        <w:ind w:left="426" w:hanging="426"/>
      </w:pPr>
      <w:r w:rsidRPr="00842A24">
        <w:t>augalinių vaistų, Jonažolės (</w:t>
      </w:r>
      <w:r w:rsidRPr="00842A24">
        <w:rPr>
          <w:i/>
        </w:rPr>
        <w:t>Hypericum perforatum</w:t>
      </w:r>
      <w:r w:rsidRPr="00842A24">
        <w:t xml:space="preserve">) arba preparatų, kurių sudėtyje jų yra. </w:t>
      </w:r>
    </w:p>
    <w:p w14:paraId="7BD85256" w14:textId="77777777" w:rsidR="00173463" w:rsidRPr="00842A24" w:rsidRDefault="00173463" w:rsidP="009E4666">
      <w:pPr>
        <w:pStyle w:val="BTEMEASMCA"/>
      </w:pPr>
    </w:p>
    <w:p w14:paraId="6625769C" w14:textId="419F34CC" w:rsidR="00173463" w:rsidRPr="00842A24" w:rsidRDefault="00173463" w:rsidP="00173463">
      <w:pPr>
        <w:pStyle w:val="PI-3EMEASMCA"/>
      </w:pPr>
      <w:r w:rsidRPr="00842A24">
        <w:t>Nėštumas</w:t>
      </w:r>
      <w:r w:rsidR="007F772D" w:rsidRPr="00842A24">
        <w:t xml:space="preserve"> ir </w:t>
      </w:r>
      <w:r w:rsidRPr="00842A24">
        <w:t>žindymo laikotarpis</w:t>
      </w:r>
    </w:p>
    <w:p w14:paraId="464422ED" w14:textId="77777777" w:rsidR="00173463" w:rsidRPr="00842A24" w:rsidRDefault="00173463" w:rsidP="00173463">
      <w:pPr>
        <w:autoSpaceDE w:val="0"/>
        <w:autoSpaceDN w:val="0"/>
        <w:adjustRightInd w:val="0"/>
      </w:pPr>
      <w:r w:rsidRPr="00842A24">
        <w:t xml:space="preserve">Jeigu esate nėščia arba žindote, Jums Exemestane Accord vartoti negalima. Jeigu esate nėščia arba manote, kad galite būti pastojusi, pasakykite gydytojui. </w:t>
      </w:r>
    </w:p>
    <w:p w14:paraId="3EFCB949" w14:textId="77777777" w:rsidR="00173463" w:rsidRPr="00842A24" w:rsidRDefault="00173463" w:rsidP="00173463">
      <w:pPr>
        <w:autoSpaceDE w:val="0"/>
        <w:autoSpaceDN w:val="0"/>
        <w:adjustRightInd w:val="0"/>
      </w:pPr>
      <w:r w:rsidRPr="00842A24">
        <w:t>Jeigu yra bent mažiausia galimybė pastoti, pasitarkite su gydytoju dėl kontracepcijos priemonių vartojimo.</w:t>
      </w:r>
    </w:p>
    <w:p w14:paraId="005D0189" w14:textId="77777777" w:rsidR="00173463" w:rsidRPr="00842A24" w:rsidRDefault="00173463" w:rsidP="00173463">
      <w:pPr>
        <w:autoSpaceDE w:val="0"/>
        <w:autoSpaceDN w:val="0"/>
        <w:adjustRightInd w:val="0"/>
      </w:pPr>
    </w:p>
    <w:p w14:paraId="27F73CA8" w14:textId="77777777" w:rsidR="00173463" w:rsidRPr="00842A24" w:rsidRDefault="00173463" w:rsidP="00173463">
      <w:pPr>
        <w:pStyle w:val="PI-3EMEASMCA"/>
        <w:rPr>
          <w:b w:val="0"/>
        </w:rPr>
      </w:pPr>
      <w:r w:rsidRPr="00842A24">
        <w:t>Vairavimas ir mechanizmų valdymas</w:t>
      </w:r>
    </w:p>
    <w:p w14:paraId="52DEBDB4" w14:textId="77777777" w:rsidR="00173463" w:rsidRPr="00842A24" w:rsidRDefault="00173463" w:rsidP="00173463">
      <w:pPr>
        <w:autoSpaceDE w:val="0"/>
        <w:autoSpaceDN w:val="0"/>
        <w:adjustRightInd w:val="0"/>
      </w:pPr>
      <w:r w:rsidRPr="00842A24">
        <w:t>Jeigu vartojant Exemestane Accord jaučiate mieguistumą, galvos svaigimą ar silpnumą, stenkitės nevairuoti ar nevaldyti mechanizmų.</w:t>
      </w:r>
    </w:p>
    <w:p w14:paraId="46207B38" w14:textId="77777777" w:rsidR="00173463" w:rsidRPr="00842A24" w:rsidRDefault="00173463" w:rsidP="00173463">
      <w:pPr>
        <w:autoSpaceDE w:val="0"/>
        <w:autoSpaceDN w:val="0"/>
        <w:adjustRightInd w:val="0"/>
      </w:pPr>
    </w:p>
    <w:p w14:paraId="6CAAA299" w14:textId="403F825D" w:rsidR="007F772D" w:rsidRPr="00842A24" w:rsidRDefault="007F772D" w:rsidP="007F772D">
      <w:pPr>
        <w:pStyle w:val="PI-3EMEASMCA"/>
      </w:pPr>
      <w:r w:rsidRPr="00842A24">
        <w:t>Exemestane Accord sudėtyje yra natrio</w:t>
      </w:r>
    </w:p>
    <w:p w14:paraId="73D9FFAC" w14:textId="180BE082" w:rsidR="007F772D" w:rsidRPr="00842A24" w:rsidRDefault="007F772D" w:rsidP="009E4666">
      <w:pPr>
        <w:pStyle w:val="BTEMEASMCA"/>
      </w:pPr>
      <w:r w:rsidRPr="00842A24">
        <w:t>Šio vaisto tabletėje yra mažiau kaip 1 mmol (23 mg) natrio, t. y. jis beveik neturi reikšmės.</w:t>
      </w:r>
    </w:p>
    <w:p w14:paraId="1AB09B38" w14:textId="77777777" w:rsidR="007F772D" w:rsidRPr="00842A24" w:rsidRDefault="007F772D" w:rsidP="009E4666">
      <w:pPr>
        <w:pStyle w:val="BTEMEASMCA"/>
      </w:pPr>
    </w:p>
    <w:p w14:paraId="6723E6D0" w14:textId="77777777" w:rsidR="00173463" w:rsidRPr="00842A24" w:rsidRDefault="00173463" w:rsidP="00173463">
      <w:pPr>
        <w:autoSpaceDE w:val="0"/>
        <w:autoSpaceDN w:val="0"/>
        <w:adjustRightInd w:val="0"/>
        <w:rPr>
          <w:color w:val="000000"/>
        </w:rPr>
      </w:pPr>
    </w:p>
    <w:p w14:paraId="675AA0BD" w14:textId="77777777" w:rsidR="00173463" w:rsidRPr="00842A24" w:rsidRDefault="00173463" w:rsidP="00173463">
      <w:pPr>
        <w:pStyle w:val="PI-1EMEASMCA"/>
      </w:pPr>
      <w:bookmarkStart w:id="81" w:name="_Toc129243141"/>
      <w:bookmarkStart w:id="82" w:name="_Toc129243266"/>
      <w:r w:rsidRPr="00842A24">
        <w:t>3.</w:t>
      </w:r>
      <w:r w:rsidRPr="00842A24">
        <w:tab/>
        <w:t>Kaip vartoti Exemestane Accord</w:t>
      </w:r>
      <w:bookmarkEnd w:id="81"/>
      <w:bookmarkEnd w:id="82"/>
    </w:p>
    <w:p w14:paraId="1AD55113" w14:textId="77777777" w:rsidR="00173463" w:rsidRPr="00842A24" w:rsidRDefault="00173463" w:rsidP="009E4666">
      <w:pPr>
        <w:pStyle w:val="BTEMEASMCA"/>
      </w:pPr>
    </w:p>
    <w:p w14:paraId="0493F449" w14:textId="77777777" w:rsidR="00173463" w:rsidRPr="00842A24" w:rsidRDefault="00173463" w:rsidP="00173463">
      <w:pPr>
        <w:autoSpaceDE w:val="0"/>
        <w:autoSpaceDN w:val="0"/>
        <w:adjustRightInd w:val="0"/>
        <w:jc w:val="both"/>
        <w:rPr>
          <w:szCs w:val="22"/>
        </w:rPr>
      </w:pPr>
      <w:r w:rsidRPr="00842A24">
        <w:rPr>
          <w:u w:val="single"/>
        </w:rPr>
        <w:t>Suaugusieji ir senyvi pacientai</w:t>
      </w:r>
    </w:p>
    <w:p w14:paraId="3B0F58B4" w14:textId="77777777" w:rsidR="00173463" w:rsidRPr="00842A24" w:rsidRDefault="00173463" w:rsidP="00173463">
      <w:pPr>
        <w:autoSpaceDE w:val="0"/>
        <w:autoSpaceDN w:val="0"/>
        <w:adjustRightInd w:val="0"/>
        <w:jc w:val="both"/>
        <w:rPr>
          <w:szCs w:val="22"/>
        </w:rPr>
      </w:pPr>
      <w:r w:rsidRPr="00842A24">
        <w:t>Exemestane Accord tabletes visada vartokite tiksliai, kaip nurodė gydytojas. Jeigu abejojate, kreipkitės į gydytoją arba vaistininką</w:t>
      </w:r>
      <w:r w:rsidRPr="00842A24">
        <w:rPr>
          <w:szCs w:val="22"/>
        </w:rPr>
        <w:t>.</w:t>
      </w:r>
    </w:p>
    <w:p w14:paraId="56CAD678" w14:textId="77777777" w:rsidR="00173463" w:rsidRPr="00842A24" w:rsidRDefault="00173463" w:rsidP="00173463">
      <w:pPr>
        <w:autoSpaceDE w:val="0"/>
        <w:autoSpaceDN w:val="0"/>
        <w:adjustRightInd w:val="0"/>
        <w:jc w:val="both"/>
        <w:rPr>
          <w:szCs w:val="22"/>
        </w:rPr>
      </w:pPr>
    </w:p>
    <w:p w14:paraId="3E9294B5" w14:textId="77777777" w:rsidR="00173463" w:rsidRPr="00842A24" w:rsidRDefault="00173463" w:rsidP="00173463">
      <w:pPr>
        <w:autoSpaceDE w:val="0"/>
        <w:autoSpaceDN w:val="0"/>
        <w:adjustRightInd w:val="0"/>
      </w:pPr>
      <w:r w:rsidRPr="00842A24">
        <w:t>Exemestane Accord tabletes vartokite gerdami po valgio kiekvieną dieną maždaug tuo pačiu metu. Jūsų gydytojas nurodys, kaip vartoti Exemestane ir kiek laiko.</w:t>
      </w:r>
    </w:p>
    <w:p w14:paraId="185FB8CD" w14:textId="77777777" w:rsidR="00173463" w:rsidRPr="00842A24" w:rsidRDefault="00173463" w:rsidP="00173463">
      <w:pPr>
        <w:autoSpaceDE w:val="0"/>
        <w:autoSpaceDN w:val="0"/>
        <w:adjustRightInd w:val="0"/>
      </w:pPr>
    </w:p>
    <w:p w14:paraId="2B414A2B" w14:textId="77777777" w:rsidR="00173463" w:rsidRPr="00842A24" w:rsidRDefault="00173463" w:rsidP="00173463">
      <w:pPr>
        <w:autoSpaceDE w:val="0"/>
        <w:autoSpaceDN w:val="0"/>
        <w:adjustRightInd w:val="0"/>
      </w:pPr>
    </w:p>
    <w:p w14:paraId="02C72838" w14:textId="77777777" w:rsidR="00173463" w:rsidRPr="00842A24" w:rsidRDefault="00173463" w:rsidP="00173463">
      <w:pPr>
        <w:pStyle w:val="paragraph"/>
        <w:rPr>
          <w:lang w:val="lt-LT"/>
        </w:rPr>
      </w:pPr>
      <w:r w:rsidRPr="00842A24">
        <w:rPr>
          <w:sz w:val="22"/>
          <w:lang w:val="lt-LT"/>
        </w:rPr>
        <w:t>Rekomenduojama Exemestane Accord dozė – viena 25 mg tabletė per parą.</w:t>
      </w:r>
    </w:p>
    <w:p w14:paraId="2D5EA298" w14:textId="77777777" w:rsidR="00173463" w:rsidRPr="00842A24" w:rsidRDefault="00173463" w:rsidP="00173463">
      <w:pPr>
        <w:pStyle w:val="paragraph"/>
        <w:rPr>
          <w:lang w:val="lt-LT"/>
        </w:rPr>
      </w:pPr>
    </w:p>
    <w:p w14:paraId="2290682E" w14:textId="77777777" w:rsidR="00173463" w:rsidRPr="00842A24" w:rsidRDefault="00173463" w:rsidP="00173463">
      <w:pPr>
        <w:pStyle w:val="paragraph"/>
        <w:rPr>
          <w:lang w:val="lt-LT"/>
        </w:rPr>
      </w:pPr>
      <w:r w:rsidRPr="00842A24">
        <w:rPr>
          <w:sz w:val="22"/>
          <w:lang w:val="lt-LT"/>
        </w:rPr>
        <w:t>Jei Exemestane Accord tablečių vartojimo laikotarpiu tenka vykti į ligoninę, apie šio vaisto vartojimą pasakykite medicinos personalui.</w:t>
      </w:r>
    </w:p>
    <w:p w14:paraId="18F977B8" w14:textId="77777777" w:rsidR="00173463" w:rsidRPr="00842A24" w:rsidRDefault="00173463" w:rsidP="00173463">
      <w:pPr>
        <w:pStyle w:val="paragraph"/>
        <w:rPr>
          <w:lang w:val="lt-LT"/>
        </w:rPr>
      </w:pPr>
    </w:p>
    <w:p w14:paraId="35727A81" w14:textId="77777777" w:rsidR="00173463" w:rsidRPr="00842A24" w:rsidRDefault="00173463" w:rsidP="00173463">
      <w:pPr>
        <w:pStyle w:val="paragraph"/>
        <w:rPr>
          <w:lang w:val="lt-LT"/>
        </w:rPr>
      </w:pPr>
      <w:bookmarkStart w:id="83" w:name="section"/>
      <w:bookmarkEnd w:id="83"/>
      <w:r w:rsidRPr="00842A24">
        <w:rPr>
          <w:b/>
          <w:bCs/>
          <w:sz w:val="22"/>
          <w:szCs w:val="22"/>
          <w:lang w:val="lt-LT"/>
        </w:rPr>
        <w:t>Vartojimas vaikams</w:t>
      </w:r>
      <w:r w:rsidRPr="00842A24">
        <w:rPr>
          <w:b/>
          <w:sz w:val="22"/>
          <w:lang w:val="lt-LT"/>
        </w:rPr>
        <w:t xml:space="preserve"> </w:t>
      </w:r>
    </w:p>
    <w:p w14:paraId="03D2643C" w14:textId="77777777" w:rsidR="00173463" w:rsidRPr="00842A24" w:rsidRDefault="00173463" w:rsidP="00173463">
      <w:pPr>
        <w:pStyle w:val="paragraph"/>
        <w:rPr>
          <w:color w:val="000000"/>
          <w:lang w:val="lt-LT"/>
        </w:rPr>
      </w:pPr>
      <w:r w:rsidRPr="00842A24">
        <w:rPr>
          <w:color w:val="000000"/>
          <w:sz w:val="22"/>
          <w:lang w:val="lt-LT"/>
        </w:rPr>
        <w:t>Vaikams Exemestane Accord tablečių vartoti nerekomenduojama.</w:t>
      </w:r>
    </w:p>
    <w:p w14:paraId="395BFC35" w14:textId="77777777" w:rsidR="00173463" w:rsidRPr="00842A24" w:rsidRDefault="00173463" w:rsidP="009E4666">
      <w:pPr>
        <w:pStyle w:val="BTEMEASMCA"/>
      </w:pPr>
    </w:p>
    <w:p w14:paraId="18E74FC1" w14:textId="77777777" w:rsidR="00173463" w:rsidRPr="00842A24" w:rsidRDefault="00173463" w:rsidP="00173463">
      <w:pPr>
        <w:pStyle w:val="PI-3EMEASMCA"/>
      </w:pPr>
      <w:r w:rsidRPr="00842A24">
        <w:t>Pavartojus per didelę Exemestane Accord dozę</w:t>
      </w:r>
    </w:p>
    <w:p w14:paraId="7CEB5210" w14:textId="77777777" w:rsidR="00173463" w:rsidRPr="00842A24" w:rsidRDefault="00173463" w:rsidP="009E4666">
      <w:pPr>
        <w:pStyle w:val="BTEMEASMCA"/>
      </w:pPr>
      <w:r w:rsidRPr="00842A24">
        <w:t>Atsitiktinai išgėrus per daug tablečių, nedelsiant kreipkitės į savo gydytoją arba vykite į artimiausios ligoninės priėmimo skyrių. Parodykite jiems Exemestane Accord tablečių pakuotę.</w:t>
      </w:r>
    </w:p>
    <w:p w14:paraId="6AB81D6E" w14:textId="77777777" w:rsidR="00173463" w:rsidRPr="00842A24" w:rsidRDefault="00173463" w:rsidP="009E4666">
      <w:pPr>
        <w:pStyle w:val="BTEMEASMCA"/>
      </w:pPr>
    </w:p>
    <w:p w14:paraId="344DFB46" w14:textId="77777777" w:rsidR="00173463" w:rsidRPr="00842A24" w:rsidRDefault="00173463" w:rsidP="00173463">
      <w:pPr>
        <w:pStyle w:val="PI-3EMEASMCA"/>
        <w:rPr>
          <w:b w:val="0"/>
        </w:rPr>
      </w:pPr>
      <w:r w:rsidRPr="00842A24">
        <w:t>Pamiršus pavartoti Exemestane Accord</w:t>
      </w:r>
    </w:p>
    <w:p w14:paraId="2EAD7F01" w14:textId="77777777" w:rsidR="00173463" w:rsidRPr="00842A24" w:rsidRDefault="00173463" w:rsidP="00173463">
      <w:pPr>
        <w:pStyle w:val="paragraph"/>
        <w:rPr>
          <w:lang w:val="lt-LT"/>
        </w:rPr>
      </w:pPr>
      <w:r w:rsidRPr="00842A24">
        <w:rPr>
          <w:sz w:val="22"/>
          <w:lang w:val="lt-LT"/>
        </w:rPr>
        <w:t xml:space="preserve">Negalima vartoti dvigubos dozės norint kompensuoti praleistą dozę. </w:t>
      </w:r>
    </w:p>
    <w:p w14:paraId="50EE0348" w14:textId="77777777" w:rsidR="00173463" w:rsidRPr="00842A24" w:rsidRDefault="00173463" w:rsidP="009E4666">
      <w:pPr>
        <w:pStyle w:val="BTEMEASMCA"/>
      </w:pPr>
      <w:r w:rsidRPr="00842A24">
        <w:lastRenderedPageBreak/>
        <w:t>Užmiršus išgerti tabletę, išgerkite ją kai tik prisiminsite. Jei jau beveik laikas vartoti kitą dozę, gerkite ją įprastu metu.</w:t>
      </w:r>
    </w:p>
    <w:p w14:paraId="5600CAA7" w14:textId="77777777" w:rsidR="00173463" w:rsidRPr="00842A24" w:rsidRDefault="00173463" w:rsidP="009E4666">
      <w:pPr>
        <w:pStyle w:val="BTEMEASMCA"/>
      </w:pPr>
    </w:p>
    <w:p w14:paraId="776B5F47" w14:textId="77777777" w:rsidR="00173463" w:rsidRPr="00842A24" w:rsidRDefault="00173463" w:rsidP="00173463">
      <w:pPr>
        <w:pStyle w:val="PI-3EMEASMCA"/>
      </w:pPr>
      <w:r w:rsidRPr="00842A24">
        <w:t>Nustojus vartoti Exemestane Accord</w:t>
      </w:r>
    </w:p>
    <w:p w14:paraId="6D33153C" w14:textId="77777777" w:rsidR="00173463" w:rsidRPr="00842A24" w:rsidRDefault="00173463" w:rsidP="00173463">
      <w:pPr>
        <w:pStyle w:val="paragraph"/>
        <w:rPr>
          <w:lang w:val="lt-LT"/>
        </w:rPr>
      </w:pPr>
      <w:r w:rsidRPr="00842A24">
        <w:rPr>
          <w:sz w:val="22"/>
          <w:lang w:val="lt-LT"/>
        </w:rPr>
        <w:t>Jeigu gydytojas nenurodė, net pasijutus gerai, nenustokite vartoti tablečių.</w:t>
      </w:r>
    </w:p>
    <w:p w14:paraId="5BC2951B" w14:textId="38D882E8" w:rsidR="00173463" w:rsidRPr="00842A24" w:rsidRDefault="00173463" w:rsidP="009E4666">
      <w:pPr>
        <w:pStyle w:val="BTEMEASMCA"/>
      </w:pPr>
      <w:r w:rsidRPr="00842A24">
        <w:t>Jeigu kiltų daugiau klausimų dėl šio vaisto vartojimo, kreipkitės į gydytoją</w:t>
      </w:r>
      <w:r w:rsidR="00A91910" w:rsidRPr="00842A24">
        <w:t xml:space="preserve"> arba </w:t>
      </w:r>
      <w:r w:rsidRPr="00842A24">
        <w:t>vaistininką.</w:t>
      </w:r>
    </w:p>
    <w:p w14:paraId="52DF25D1" w14:textId="77777777" w:rsidR="00173463" w:rsidRPr="00842A24" w:rsidRDefault="00173463" w:rsidP="009E4666">
      <w:pPr>
        <w:pStyle w:val="BTEMEASMCA"/>
      </w:pPr>
    </w:p>
    <w:p w14:paraId="55BAAA2D" w14:textId="77777777" w:rsidR="00173463" w:rsidRPr="00842A24" w:rsidRDefault="00173463" w:rsidP="009E4666">
      <w:pPr>
        <w:pStyle w:val="BTEMEASMCA"/>
      </w:pPr>
    </w:p>
    <w:p w14:paraId="751F65B9" w14:textId="5AFFCD12" w:rsidR="00173463" w:rsidRPr="00842A24" w:rsidRDefault="00173463" w:rsidP="00173463">
      <w:pPr>
        <w:pStyle w:val="PI-1EMEASMCA"/>
      </w:pPr>
      <w:bookmarkStart w:id="84" w:name="_Toc129243142"/>
      <w:bookmarkStart w:id="85" w:name="_Toc129243267"/>
      <w:r w:rsidRPr="00842A24">
        <w:t>4.</w:t>
      </w:r>
      <w:r w:rsidRPr="00842A24">
        <w:tab/>
      </w:r>
      <w:bookmarkEnd w:id="84"/>
      <w:bookmarkEnd w:id="85"/>
      <w:r w:rsidRPr="00842A24">
        <w:t>Galimas šalutinis poveikis</w:t>
      </w:r>
    </w:p>
    <w:p w14:paraId="508E6131" w14:textId="77777777" w:rsidR="00173463" w:rsidRPr="00842A24" w:rsidRDefault="00173463" w:rsidP="009E4666">
      <w:pPr>
        <w:pStyle w:val="BTEMEASMCA"/>
      </w:pPr>
    </w:p>
    <w:p w14:paraId="01337FBA" w14:textId="77777777" w:rsidR="00173463" w:rsidRPr="00842A24" w:rsidRDefault="00173463" w:rsidP="00173463">
      <w:pPr>
        <w:autoSpaceDE w:val="0"/>
        <w:autoSpaceDN w:val="0"/>
        <w:adjustRightInd w:val="0"/>
      </w:pPr>
      <w:r w:rsidRPr="00842A24">
        <w:t>Šis vaistas, kaip ir visi kiti, gali sukelti šalutinį poveikį, nors jis pasireiškia ne visiems žmonėms.</w:t>
      </w:r>
    </w:p>
    <w:p w14:paraId="2FB7BDC4" w14:textId="1DAEFC27" w:rsidR="00173463" w:rsidRPr="00842A24" w:rsidRDefault="00173463" w:rsidP="00173463">
      <w:pPr>
        <w:autoSpaceDE w:val="0"/>
        <w:autoSpaceDN w:val="0"/>
        <w:adjustRightInd w:val="0"/>
      </w:pPr>
      <w:r w:rsidRPr="00842A24">
        <w:t xml:space="preserve">Exemestane Accord tabletės toleruojamos gerai ir toliau </w:t>
      </w:r>
      <w:r w:rsidR="0090216F" w:rsidRPr="00842A24">
        <w:t>išvardyt</w:t>
      </w:r>
      <w:r w:rsidR="0090216F">
        <w:t xml:space="preserve">i </w:t>
      </w:r>
      <w:r w:rsidRPr="00842A24">
        <w:t>šalutini</w:t>
      </w:r>
      <w:r w:rsidR="0090216F">
        <w:t>o</w:t>
      </w:r>
      <w:r w:rsidRPr="00842A24">
        <w:t xml:space="preserve"> poveiki</w:t>
      </w:r>
      <w:r w:rsidR="0090216F">
        <w:t>o reiškiniai būna</w:t>
      </w:r>
      <w:r w:rsidRPr="00842A24">
        <w:t xml:space="preserve"> nesunk</w:t>
      </w:r>
      <w:r w:rsidR="0090216F">
        <w:t>ū</w:t>
      </w:r>
      <w:r w:rsidRPr="00842A24">
        <w:t>s arba vidutinio sunkumo. Dauguma šalutini</w:t>
      </w:r>
      <w:r w:rsidR="0090216F">
        <w:t>o</w:t>
      </w:r>
      <w:r w:rsidRPr="00842A24">
        <w:t xml:space="preserve"> poveiki</w:t>
      </w:r>
      <w:r w:rsidR="0090216F">
        <w:t>o reiškini</w:t>
      </w:r>
      <w:r w:rsidRPr="00842A24">
        <w:t>ų yra susiję su estrogeno trūkumu (pvz. kraujo samplūdis į veidą).</w:t>
      </w:r>
    </w:p>
    <w:p w14:paraId="36F7CEB6" w14:textId="77777777" w:rsidR="00173463" w:rsidRPr="00842A24" w:rsidRDefault="00173463" w:rsidP="00173463">
      <w:pPr>
        <w:autoSpaceDE w:val="0"/>
        <w:autoSpaceDN w:val="0"/>
        <w:adjustRightInd w:val="0"/>
        <w:jc w:val="both"/>
        <w:rPr>
          <w:szCs w:val="22"/>
        </w:rPr>
      </w:pPr>
    </w:p>
    <w:p w14:paraId="5BC1FE89" w14:textId="77777777" w:rsidR="00173463" w:rsidRPr="00842A24" w:rsidRDefault="00173463" w:rsidP="005B087D">
      <w:pPr>
        <w:autoSpaceDE w:val="0"/>
        <w:autoSpaceDN w:val="0"/>
        <w:adjustRightInd w:val="0"/>
        <w:rPr>
          <w:szCs w:val="22"/>
        </w:rPr>
      </w:pPr>
      <w:r w:rsidRPr="00842A24">
        <w:rPr>
          <w:szCs w:val="22"/>
        </w:rPr>
        <w:t>Gali atsirasti padidėjęs jautrumas, kepenų uždegimas (hepatitas) ir kepenų tulžies kanalų uždegimas, sukeliantis odos pageltimą (cholestazinis hepatitas). Gali pasireikšti tokie simptomai: bendras negalavimas, pykinimas, gelta (odos ir akių baltymo pageltimas), niežulys, skausmas dešinėje pilvo pusėje ir apetito nebuvimas. Jei manote, kad jums pasireiškė kuris nors iš šių simptomų, nedelsdami kreipkitės į savo gydytoją skubios medicininės pagalbos.</w:t>
      </w:r>
    </w:p>
    <w:p w14:paraId="3C4EAAD5" w14:textId="77777777" w:rsidR="00173463" w:rsidRPr="00842A24" w:rsidRDefault="00173463" w:rsidP="00173463">
      <w:pPr>
        <w:autoSpaceDE w:val="0"/>
        <w:autoSpaceDN w:val="0"/>
        <w:adjustRightInd w:val="0"/>
      </w:pPr>
    </w:p>
    <w:p w14:paraId="30FC77C9" w14:textId="701BA679" w:rsidR="00173463" w:rsidRPr="00842A24" w:rsidRDefault="00173463" w:rsidP="00173463">
      <w:pPr>
        <w:rPr>
          <w:b/>
        </w:rPr>
      </w:pPr>
      <w:r w:rsidRPr="00842A24">
        <w:rPr>
          <w:rStyle w:val="underline1"/>
        </w:rPr>
        <w:t xml:space="preserve">Labai </w:t>
      </w:r>
      <w:r w:rsidR="006A36C6" w:rsidRPr="00842A24">
        <w:rPr>
          <w:rStyle w:val="underline1"/>
        </w:rPr>
        <w:t>dažni šalutinio poveikio reiškiniai</w:t>
      </w:r>
      <w:r w:rsidR="006A36C6" w:rsidRPr="00AE22F7">
        <w:rPr>
          <w:rStyle w:val="underline1"/>
          <w:u w:val="none"/>
        </w:rPr>
        <w:t xml:space="preserve"> </w:t>
      </w:r>
      <w:r w:rsidRPr="00842A24">
        <w:t xml:space="preserve">(gali pasireikšti </w:t>
      </w:r>
      <w:r w:rsidR="006A36C6" w:rsidRPr="00842A24">
        <w:t>ne reč</w:t>
      </w:r>
      <w:r w:rsidRPr="00842A24">
        <w:t>iau kaip 1 iš 10</w:t>
      </w:r>
      <w:r w:rsidR="006A36C6" w:rsidRPr="00842A24">
        <w:t xml:space="preserve"> asmenų</w:t>
      </w:r>
      <w:r w:rsidRPr="00842A24">
        <w:t>):</w:t>
      </w:r>
    </w:p>
    <w:p w14:paraId="608C1BA8" w14:textId="77777777" w:rsidR="00173463" w:rsidRPr="00842A24" w:rsidRDefault="00173463" w:rsidP="00173463">
      <w:pPr>
        <w:numPr>
          <w:ilvl w:val="0"/>
          <w:numId w:val="7"/>
        </w:numPr>
        <w:tabs>
          <w:tab w:val="clear" w:pos="720"/>
          <w:tab w:val="num" w:pos="360"/>
        </w:tabs>
        <w:ind w:hanging="720"/>
      </w:pPr>
      <w:r w:rsidRPr="00842A24">
        <w:t>depresija,</w:t>
      </w:r>
    </w:p>
    <w:p w14:paraId="7A0DDA5D" w14:textId="77777777" w:rsidR="00173463" w:rsidRPr="00842A24" w:rsidRDefault="00173463" w:rsidP="00173463">
      <w:pPr>
        <w:numPr>
          <w:ilvl w:val="0"/>
          <w:numId w:val="7"/>
        </w:numPr>
        <w:tabs>
          <w:tab w:val="clear" w:pos="720"/>
          <w:tab w:val="num" w:pos="360"/>
        </w:tabs>
        <w:ind w:hanging="720"/>
      </w:pPr>
      <w:r w:rsidRPr="00842A24">
        <w:t>sunkumas užmigti,</w:t>
      </w:r>
    </w:p>
    <w:p w14:paraId="007F15EE" w14:textId="77777777" w:rsidR="00173463" w:rsidRPr="00842A24" w:rsidRDefault="00173463" w:rsidP="00173463">
      <w:pPr>
        <w:numPr>
          <w:ilvl w:val="0"/>
          <w:numId w:val="7"/>
        </w:numPr>
        <w:tabs>
          <w:tab w:val="clear" w:pos="720"/>
          <w:tab w:val="num" w:pos="360"/>
        </w:tabs>
        <w:ind w:hanging="720"/>
      </w:pPr>
      <w:r w:rsidRPr="00842A24">
        <w:t>galvos skausmas,</w:t>
      </w:r>
    </w:p>
    <w:p w14:paraId="2678ED8E" w14:textId="77777777" w:rsidR="00173463" w:rsidRPr="00842A24" w:rsidRDefault="00173463" w:rsidP="00173463">
      <w:pPr>
        <w:numPr>
          <w:ilvl w:val="0"/>
          <w:numId w:val="7"/>
        </w:numPr>
        <w:tabs>
          <w:tab w:val="clear" w:pos="720"/>
          <w:tab w:val="num" w:pos="360"/>
        </w:tabs>
        <w:ind w:hanging="720"/>
      </w:pPr>
      <w:r w:rsidRPr="00842A24">
        <w:t>kraujo priplūdimas į veidą,</w:t>
      </w:r>
    </w:p>
    <w:p w14:paraId="083E2CDE" w14:textId="77777777" w:rsidR="00173463" w:rsidRPr="00842A24" w:rsidRDefault="00173463" w:rsidP="00173463">
      <w:pPr>
        <w:numPr>
          <w:ilvl w:val="0"/>
          <w:numId w:val="7"/>
        </w:numPr>
        <w:tabs>
          <w:tab w:val="clear" w:pos="720"/>
          <w:tab w:val="num" w:pos="360"/>
        </w:tabs>
        <w:ind w:hanging="720"/>
      </w:pPr>
      <w:r w:rsidRPr="00842A24">
        <w:t>galvos svaigimas,</w:t>
      </w:r>
    </w:p>
    <w:p w14:paraId="544BFC2E" w14:textId="77777777" w:rsidR="00173463" w:rsidRPr="00842A24" w:rsidRDefault="00173463" w:rsidP="00173463">
      <w:pPr>
        <w:numPr>
          <w:ilvl w:val="0"/>
          <w:numId w:val="7"/>
        </w:numPr>
        <w:tabs>
          <w:tab w:val="clear" w:pos="720"/>
          <w:tab w:val="num" w:pos="360"/>
        </w:tabs>
        <w:ind w:hanging="720"/>
      </w:pPr>
      <w:r w:rsidRPr="00842A24">
        <w:t>prasta savijauta,</w:t>
      </w:r>
    </w:p>
    <w:p w14:paraId="02164366" w14:textId="77777777" w:rsidR="00173463" w:rsidRPr="00842A24" w:rsidRDefault="00173463" w:rsidP="00173463">
      <w:pPr>
        <w:numPr>
          <w:ilvl w:val="0"/>
          <w:numId w:val="7"/>
        </w:numPr>
        <w:tabs>
          <w:tab w:val="clear" w:pos="720"/>
          <w:tab w:val="num" w:pos="360"/>
        </w:tabs>
        <w:ind w:hanging="720"/>
      </w:pPr>
      <w:r w:rsidRPr="00842A24">
        <w:t>padidėjęs prakaitavimas,</w:t>
      </w:r>
    </w:p>
    <w:p w14:paraId="2B245136" w14:textId="77777777" w:rsidR="00173463" w:rsidRPr="00842A24" w:rsidRDefault="00173463" w:rsidP="00173463">
      <w:pPr>
        <w:numPr>
          <w:ilvl w:val="0"/>
          <w:numId w:val="7"/>
        </w:numPr>
        <w:tabs>
          <w:tab w:val="clear" w:pos="720"/>
          <w:tab w:val="num" w:pos="360"/>
        </w:tabs>
        <w:ind w:hanging="720"/>
      </w:pPr>
      <w:r w:rsidRPr="00842A24">
        <w:t>raumenų ir sąnarių skausmas (įskaitant osteoartritą, nugaros skausmą, artritą ir sąnarių sąstingį),</w:t>
      </w:r>
    </w:p>
    <w:p w14:paraId="2B4C3E17" w14:textId="77777777" w:rsidR="00173463" w:rsidRPr="00842A24" w:rsidRDefault="00173463" w:rsidP="00173463">
      <w:pPr>
        <w:numPr>
          <w:ilvl w:val="0"/>
          <w:numId w:val="7"/>
        </w:numPr>
        <w:tabs>
          <w:tab w:val="clear" w:pos="720"/>
          <w:tab w:val="num" w:pos="360"/>
        </w:tabs>
        <w:ind w:hanging="720"/>
      </w:pPr>
      <w:r w:rsidRPr="00842A24">
        <w:t>nuovargis,</w:t>
      </w:r>
    </w:p>
    <w:p w14:paraId="26F6CF0D" w14:textId="4D9A8399" w:rsidR="00173463" w:rsidRPr="00842A24" w:rsidRDefault="00173463" w:rsidP="00173463">
      <w:pPr>
        <w:numPr>
          <w:ilvl w:val="0"/>
          <w:numId w:val="7"/>
        </w:numPr>
        <w:tabs>
          <w:tab w:val="clear" w:pos="720"/>
          <w:tab w:val="num" w:pos="360"/>
        </w:tabs>
        <w:ind w:hanging="720"/>
      </w:pPr>
      <w:r w:rsidRPr="00842A24">
        <w:t>baltųjų kraujo kūneli</w:t>
      </w:r>
      <w:r w:rsidR="00F73C69" w:rsidRPr="00842A24">
        <w:t>ų</w:t>
      </w:r>
      <w:r w:rsidRPr="00842A24">
        <w:t xml:space="preserve"> skaičiaus sumažėjimas,</w:t>
      </w:r>
    </w:p>
    <w:p w14:paraId="6571DF44" w14:textId="77777777" w:rsidR="00173463" w:rsidRPr="00842A24" w:rsidRDefault="00173463" w:rsidP="00173463">
      <w:pPr>
        <w:numPr>
          <w:ilvl w:val="0"/>
          <w:numId w:val="7"/>
        </w:numPr>
        <w:tabs>
          <w:tab w:val="clear" w:pos="720"/>
          <w:tab w:val="num" w:pos="360"/>
        </w:tabs>
        <w:ind w:hanging="720"/>
      </w:pPr>
      <w:r w:rsidRPr="00842A24">
        <w:t>pilvo skausmas,</w:t>
      </w:r>
    </w:p>
    <w:p w14:paraId="5C8F20B9" w14:textId="77777777" w:rsidR="00173463" w:rsidRPr="00842A24" w:rsidRDefault="00173463" w:rsidP="00173463">
      <w:pPr>
        <w:numPr>
          <w:ilvl w:val="0"/>
          <w:numId w:val="7"/>
        </w:numPr>
        <w:tabs>
          <w:tab w:val="clear" w:pos="720"/>
          <w:tab w:val="num" w:pos="360"/>
        </w:tabs>
        <w:ind w:hanging="720"/>
      </w:pPr>
      <w:r w:rsidRPr="00842A24">
        <w:t>padidėjęs fermentų kiekis kepenyse,</w:t>
      </w:r>
    </w:p>
    <w:p w14:paraId="79E73E0F" w14:textId="77777777" w:rsidR="00173463" w:rsidRPr="00842A24" w:rsidRDefault="00173463" w:rsidP="00173463">
      <w:pPr>
        <w:numPr>
          <w:ilvl w:val="0"/>
          <w:numId w:val="7"/>
        </w:numPr>
        <w:tabs>
          <w:tab w:val="clear" w:pos="720"/>
          <w:tab w:val="num" w:pos="360"/>
        </w:tabs>
        <w:ind w:hanging="720"/>
      </w:pPr>
      <w:r w:rsidRPr="00842A24">
        <w:t>nukritęs hemoglobino kiekis kraujyje,</w:t>
      </w:r>
    </w:p>
    <w:p w14:paraId="3744B205" w14:textId="77777777" w:rsidR="00173463" w:rsidRPr="00842A24" w:rsidRDefault="00173463" w:rsidP="00173463">
      <w:pPr>
        <w:numPr>
          <w:ilvl w:val="0"/>
          <w:numId w:val="7"/>
        </w:numPr>
        <w:tabs>
          <w:tab w:val="clear" w:pos="720"/>
          <w:tab w:val="num" w:pos="360"/>
        </w:tabs>
        <w:ind w:hanging="720"/>
      </w:pPr>
      <w:r w:rsidRPr="00842A24">
        <w:t>padidėjęs kraujo fermentų kiekis kraujyje dėl kepenų pažeidimo,</w:t>
      </w:r>
    </w:p>
    <w:p w14:paraId="616E4B4C" w14:textId="77777777" w:rsidR="00173463" w:rsidRPr="00842A24" w:rsidRDefault="00173463" w:rsidP="00173463">
      <w:pPr>
        <w:numPr>
          <w:ilvl w:val="0"/>
          <w:numId w:val="7"/>
        </w:numPr>
        <w:tabs>
          <w:tab w:val="clear" w:pos="720"/>
          <w:tab w:val="num" w:pos="360"/>
        </w:tabs>
        <w:ind w:hanging="720"/>
        <w:rPr>
          <w:szCs w:val="22"/>
        </w:rPr>
      </w:pPr>
      <w:r w:rsidRPr="00842A24">
        <w:t>skausmas</w:t>
      </w:r>
      <w:r w:rsidRPr="00842A24">
        <w:rPr>
          <w:szCs w:val="22"/>
        </w:rPr>
        <w:t xml:space="preserve">. </w:t>
      </w:r>
    </w:p>
    <w:p w14:paraId="5F4B8883" w14:textId="77777777" w:rsidR="00173463" w:rsidRPr="00842A24" w:rsidRDefault="00173463" w:rsidP="00173463">
      <w:pPr>
        <w:rPr>
          <w:rStyle w:val="underline1"/>
        </w:rPr>
      </w:pPr>
    </w:p>
    <w:p w14:paraId="6FC0E4A0" w14:textId="20F44058" w:rsidR="00173463" w:rsidRPr="00842A24" w:rsidRDefault="0097442C" w:rsidP="00173463">
      <w:pPr>
        <w:rPr>
          <w:b/>
        </w:rPr>
      </w:pPr>
      <w:r w:rsidRPr="00842A24">
        <w:rPr>
          <w:rStyle w:val="underline1"/>
        </w:rPr>
        <w:t xml:space="preserve">Dažni </w:t>
      </w:r>
      <w:r w:rsidR="00173463" w:rsidRPr="00842A24">
        <w:rPr>
          <w:rStyle w:val="underline1"/>
        </w:rPr>
        <w:t>šalutini</w:t>
      </w:r>
      <w:r w:rsidRPr="00842A24">
        <w:rPr>
          <w:rStyle w:val="underline1"/>
        </w:rPr>
        <w:t>o</w:t>
      </w:r>
      <w:r w:rsidR="00173463" w:rsidRPr="00842A24">
        <w:rPr>
          <w:rStyle w:val="underline1"/>
        </w:rPr>
        <w:t xml:space="preserve"> poveiki</w:t>
      </w:r>
      <w:r w:rsidRPr="00842A24">
        <w:rPr>
          <w:rStyle w:val="underline1"/>
        </w:rPr>
        <w:t>o reiškiniai</w:t>
      </w:r>
      <w:r w:rsidR="00173463" w:rsidRPr="00842A24">
        <w:rPr>
          <w:rStyle w:val="underline1"/>
          <w:u w:val="none"/>
        </w:rPr>
        <w:t xml:space="preserve"> (</w:t>
      </w:r>
      <w:r w:rsidR="00173463" w:rsidRPr="00842A24">
        <w:t xml:space="preserve">gali pasireikšti </w:t>
      </w:r>
      <w:r w:rsidRPr="00842A24">
        <w:t>reč</w:t>
      </w:r>
      <w:r w:rsidR="00173463" w:rsidRPr="00842A24">
        <w:t>iau kaip 1 iš 10</w:t>
      </w:r>
      <w:r w:rsidRPr="00842A24">
        <w:t xml:space="preserve"> asmenų</w:t>
      </w:r>
      <w:r w:rsidR="00173463" w:rsidRPr="00A20BB7">
        <w:rPr>
          <w:rStyle w:val="underline1"/>
          <w:u w:val="none"/>
        </w:rPr>
        <w:t>)</w:t>
      </w:r>
      <w:r w:rsidR="00173463" w:rsidRPr="0090216F">
        <w:t>:</w:t>
      </w:r>
    </w:p>
    <w:p w14:paraId="560FC290" w14:textId="77777777" w:rsidR="00173463" w:rsidRPr="00842A24" w:rsidRDefault="00173463" w:rsidP="00E5770F">
      <w:pPr>
        <w:numPr>
          <w:ilvl w:val="0"/>
          <w:numId w:val="8"/>
        </w:numPr>
        <w:tabs>
          <w:tab w:val="clear" w:pos="720"/>
        </w:tabs>
        <w:ind w:left="426" w:hanging="426"/>
      </w:pPr>
      <w:r w:rsidRPr="00842A24">
        <w:t xml:space="preserve">apetito praradimas, </w:t>
      </w:r>
    </w:p>
    <w:p w14:paraId="35A7F2A4" w14:textId="77777777" w:rsidR="00173463" w:rsidRPr="00842A24" w:rsidRDefault="00173463" w:rsidP="00E5770F">
      <w:pPr>
        <w:numPr>
          <w:ilvl w:val="0"/>
          <w:numId w:val="8"/>
        </w:numPr>
        <w:tabs>
          <w:tab w:val="clear" w:pos="720"/>
        </w:tabs>
        <w:ind w:left="426" w:hanging="426"/>
      </w:pPr>
      <w:r w:rsidRPr="00842A24">
        <w:t>riešo tunelio sindromas (dilgčiojimo, nutirpimo, maudimo ir skausmo derinys visoje rankoje, išskyrus mažąjį pirštelį) arba odos dilgčiojimas / peršėjimas,</w:t>
      </w:r>
    </w:p>
    <w:p w14:paraId="07145FBD" w14:textId="5D0C262E" w:rsidR="00173463" w:rsidRPr="00842A24" w:rsidRDefault="00173463" w:rsidP="00E5770F">
      <w:pPr>
        <w:numPr>
          <w:ilvl w:val="0"/>
          <w:numId w:val="8"/>
        </w:numPr>
        <w:tabs>
          <w:tab w:val="clear" w:pos="720"/>
        </w:tabs>
        <w:ind w:left="426" w:hanging="426"/>
      </w:pPr>
      <w:r w:rsidRPr="00842A24">
        <w:t>vėmimas (pykinimas), vidurių užkietėjimas, virškinimo sutrikimas, viduriavimas,</w:t>
      </w:r>
    </w:p>
    <w:p w14:paraId="33A98730" w14:textId="77777777" w:rsidR="00173463" w:rsidRPr="00842A24" w:rsidRDefault="00173463" w:rsidP="00E5770F">
      <w:pPr>
        <w:numPr>
          <w:ilvl w:val="0"/>
          <w:numId w:val="8"/>
        </w:numPr>
        <w:tabs>
          <w:tab w:val="clear" w:pos="720"/>
        </w:tabs>
        <w:ind w:left="426" w:hanging="426"/>
      </w:pPr>
      <w:r w:rsidRPr="00842A24">
        <w:t>plaukų slinkimas,</w:t>
      </w:r>
    </w:p>
    <w:p w14:paraId="09B418C1" w14:textId="57F691E9" w:rsidR="00173463" w:rsidRPr="00842A24" w:rsidRDefault="00173463" w:rsidP="00E5770F">
      <w:pPr>
        <w:numPr>
          <w:ilvl w:val="0"/>
          <w:numId w:val="8"/>
        </w:numPr>
        <w:tabs>
          <w:tab w:val="clear" w:pos="720"/>
        </w:tabs>
        <w:ind w:left="426" w:hanging="426"/>
      </w:pPr>
      <w:r w:rsidRPr="00842A24">
        <w:t xml:space="preserve">odos </w:t>
      </w:r>
      <w:r w:rsidR="0090216F">
        <w:t>iš</w:t>
      </w:r>
      <w:r w:rsidRPr="00842A24">
        <w:t>bėrimas, dilgėlinė ir niežulys</w:t>
      </w:r>
      <w:r w:rsidR="00F73C69" w:rsidRPr="00842A24">
        <w:t>,</w:t>
      </w:r>
    </w:p>
    <w:p w14:paraId="5D264F32" w14:textId="77777777" w:rsidR="00173463" w:rsidRPr="00842A24" w:rsidRDefault="00173463" w:rsidP="00E5770F">
      <w:pPr>
        <w:numPr>
          <w:ilvl w:val="0"/>
          <w:numId w:val="8"/>
        </w:numPr>
        <w:tabs>
          <w:tab w:val="clear" w:pos="720"/>
        </w:tabs>
        <w:ind w:left="426" w:hanging="426"/>
      </w:pPr>
      <w:r w:rsidRPr="00842A24">
        <w:t>kaulų retėjimas, todėl gali sumažėti jų stiprumas (osteoporozė) ir kai kuriais atvejais kaulai gali lūžti,</w:t>
      </w:r>
    </w:p>
    <w:p w14:paraId="21B91C04" w14:textId="36218D86" w:rsidR="00173463" w:rsidRPr="00842A24" w:rsidRDefault="00173463" w:rsidP="00E5770F">
      <w:pPr>
        <w:numPr>
          <w:ilvl w:val="0"/>
          <w:numId w:val="8"/>
        </w:numPr>
        <w:tabs>
          <w:tab w:val="clear" w:pos="720"/>
        </w:tabs>
        <w:ind w:left="426" w:hanging="426"/>
      </w:pPr>
      <w:r w:rsidRPr="00842A24">
        <w:t>rankų ir pėdų pabrinkimas</w:t>
      </w:r>
      <w:r w:rsidRPr="00842A24">
        <w:rPr>
          <w:szCs w:val="22"/>
        </w:rPr>
        <w:t>,</w:t>
      </w:r>
    </w:p>
    <w:p w14:paraId="557479AD" w14:textId="77777777" w:rsidR="00173463" w:rsidRPr="00842A24" w:rsidRDefault="00173463" w:rsidP="00E5770F">
      <w:pPr>
        <w:numPr>
          <w:ilvl w:val="0"/>
          <w:numId w:val="8"/>
        </w:numPr>
        <w:tabs>
          <w:tab w:val="clear" w:pos="720"/>
        </w:tabs>
        <w:ind w:left="426" w:hanging="426"/>
      </w:pPr>
      <w:r w:rsidRPr="00842A24">
        <w:rPr>
          <w:szCs w:val="22"/>
        </w:rPr>
        <w:t>trombocitų kiekio sumažėjimas kraujyje,</w:t>
      </w:r>
    </w:p>
    <w:p w14:paraId="706CD2D6" w14:textId="52B66129" w:rsidR="00173463" w:rsidRPr="00842A24" w:rsidRDefault="00173463" w:rsidP="00E5770F">
      <w:pPr>
        <w:numPr>
          <w:ilvl w:val="0"/>
          <w:numId w:val="8"/>
        </w:numPr>
        <w:tabs>
          <w:tab w:val="clear" w:pos="720"/>
        </w:tabs>
        <w:ind w:left="426" w:hanging="426"/>
        <w:rPr>
          <w:szCs w:val="22"/>
        </w:rPr>
      </w:pPr>
      <w:r w:rsidRPr="00842A24">
        <w:rPr>
          <w:szCs w:val="22"/>
        </w:rPr>
        <w:t>silpnum</w:t>
      </w:r>
      <w:r w:rsidR="0090216F">
        <w:rPr>
          <w:szCs w:val="22"/>
        </w:rPr>
        <w:t>o jausmas</w:t>
      </w:r>
      <w:r w:rsidRPr="00842A24">
        <w:rPr>
          <w:szCs w:val="22"/>
        </w:rPr>
        <w:t xml:space="preserve">. </w:t>
      </w:r>
    </w:p>
    <w:p w14:paraId="19E158A6" w14:textId="77777777" w:rsidR="00173463" w:rsidRPr="00842A24" w:rsidRDefault="00173463" w:rsidP="00173463">
      <w:pPr>
        <w:rPr>
          <w:rStyle w:val="underline1"/>
        </w:rPr>
      </w:pPr>
    </w:p>
    <w:p w14:paraId="7512AA59" w14:textId="6A1DE928" w:rsidR="00173463" w:rsidRPr="00842A24" w:rsidRDefault="0097442C" w:rsidP="00173463">
      <w:pPr>
        <w:rPr>
          <w:b/>
        </w:rPr>
      </w:pPr>
      <w:r w:rsidRPr="00842A24">
        <w:rPr>
          <w:rStyle w:val="underline1"/>
        </w:rPr>
        <w:t xml:space="preserve">Nedažni šalutinio </w:t>
      </w:r>
      <w:r w:rsidR="00173463" w:rsidRPr="00842A24">
        <w:rPr>
          <w:rStyle w:val="underline1"/>
        </w:rPr>
        <w:t>poveiki</w:t>
      </w:r>
      <w:r w:rsidRPr="00842A24">
        <w:rPr>
          <w:rStyle w:val="underline1"/>
        </w:rPr>
        <w:t>o reiškiniai</w:t>
      </w:r>
      <w:r w:rsidR="00173463" w:rsidRPr="00842A24">
        <w:rPr>
          <w:rStyle w:val="underline1"/>
          <w:u w:val="none"/>
        </w:rPr>
        <w:t xml:space="preserve"> (</w:t>
      </w:r>
      <w:r w:rsidR="00173463" w:rsidRPr="00842A24">
        <w:t xml:space="preserve">gali pasireikšti </w:t>
      </w:r>
      <w:r w:rsidRPr="00842A24">
        <w:t>reč</w:t>
      </w:r>
      <w:r w:rsidR="00173463" w:rsidRPr="00842A24">
        <w:t>iau kaip 1 iš 100</w:t>
      </w:r>
      <w:r w:rsidRPr="00842A24">
        <w:t xml:space="preserve"> asmenų</w:t>
      </w:r>
      <w:r w:rsidR="00173463" w:rsidRPr="00842A24">
        <w:t>):</w:t>
      </w:r>
    </w:p>
    <w:p w14:paraId="681E1490" w14:textId="77777777" w:rsidR="00173463" w:rsidRPr="00842A24" w:rsidRDefault="00173463" w:rsidP="00173463">
      <w:pPr>
        <w:numPr>
          <w:ilvl w:val="0"/>
          <w:numId w:val="9"/>
        </w:numPr>
        <w:tabs>
          <w:tab w:val="clear" w:pos="720"/>
          <w:tab w:val="num" w:pos="360"/>
        </w:tabs>
        <w:ind w:left="0" w:firstLine="0"/>
        <w:rPr>
          <w:szCs w:val="22"/>
        </w:rPr>
      </w:pPr>
      <w:r w:rsidRPr="00842A24">
        <w:t>padidėjęs jautrumas</w:t>
      </w:r>
      <w:r w:rsidRPr="00842A24">
        <w:rPr>
          <w:szCs w:val="22"/>
        </w:rPr>
        <w:t xml:space="preserve">. </w:t>
      </w:r>
    </w:p>
    <w:p w14:paraId="6507B872" w14:textId="77777777" w:rsidR="00173463" w:rsidRPr="00842A24" w:rsidRDefault="00173463" w:rsidP="00173463">
      <w:pPr>
        <w:rPr>
          <w:rStyle w:val="underline1"/>
          <w:b/>
          <w:szCs w:val="22"/>
        </w:rPr>
      </w:pPr>
    </w:p>
    <w:p w14:paraId="743BC8F9" w14:textId="4F51AE88" w:rsidR="00173463" w:rsidRPr="00842A24" w:rsidRDefault="00173463" w:rsidP="00173463">
      <w:pPr>
        <w:rPr>
          <w:b/>
        </w:rPr>
      </w:pPr>
      <w:r w:rsidRPr="00842A24">
        <w:rPr>
          <w:rStyle w:val="underline1"/>
        </w:rPr>
        <w:t>Ret</w:t>
      </w:r>
      <w:r w:rsidR="0097442C" w:rsidRPr="00842A24">
        <w:rPr>
          <w:rStyle w:val="underline1"/>
        </w:rPr>
        <w:t>i</w:t>
      </w:r>
      <w:r w:rsidRPr="00842A24">
        <w:rPr>
          <w:rStyle w:val="underline1"/>
        </w:rPr>
        <w:t xml:space="preserve"> šalutini</w:t>
      </w:r>
      <w:r w:rsidR="0097442C" w:rsidRPr="00842A24">
        <w:rPr>
          <w:rStyle w:val="underline1"/>
        </w:rPr>
        <w:t>o</w:t>
      </w:r>
      <w:r w:rsidRPr="00842A24">
        <w:rPr>
          <w:rStyle w:val="underline1"/>
        </w:rPr>
        <w:t xml:space="preserve"> poveiki</w:t>
      </w:r>
      <w:r w:rsidR="0097442C" w:rsidRPr="00842A24">
        <w:rPr>
          <w:rStyle w:val="underline1"/>
        </w:rPr>
        <w:t>o reiškiniai</w:t>
      </w:r>
      <w:r w:rsidRPr="00842A24">
        <w:rPr>
          <w:rStyle w:val="underline1"/>
          <w:u w:val="none"/>
        </w:rPr>
        <w:t xml:space="preserve"> (</w:t>
      </w:r>
      <w:r w:rsidRPr="00842A24">
        <w:t xml:space="preserve">gali pasireikšti </w:t>
      </w:r>
      <w:r w:rsidR="0097442C" w:rsidRPr="00842A24">
        <w:t>reč</w:t>
      </w:r>
      <w:r w:rsidRPr="00842A24">
        <w:t>iau kaip 1 iš 1000</w:t>
      </w:r>
      <w:r w:rsidR="0097442C" w:rsidRPr="00842A24">
        <w:t xml:space="preserve"> asmenų</w:t>
      </w:r>
      <w:r w:rsidRPr="00842A24">
        <w:t>):</w:t>
      </w:r>
    </w:p>
    <w:p w14:paraId="3499F750" w14:textId="77777777" w:rsidR="00173463" w:rsidRPr="00842A24" w:rsidRDefault="00173463" w:rsidP="00173463">
      <w:pPr>
        <w:numPr>
          <w:ilvl w:val="0"/>
          <w:numId w:val="9"/>
        </w:numPr>
        <w:tabs>
          <w:tab w:val="clear" w:pos="720"/>
          <w:tab w:val="num" w:pos="360"/>
        </w:tabs>
        <w:ind w:left="0" w:firstLine="0"/>
        <w:rPr>
          <w:szCs w:val="22"/>
        </w:rPr>
      </w:pPr>
      <w:r w:rsidRPr="00842A24">
        <w:rPr>
          <w:szCs w:val="22"/>
        </w:rPr>
        <w:t>nedidelių pūslelių susidarymas odos išbėrimo vietoje,</w:t>
      </w:r>
    </w:p>
    <w:p w14:paraId="11B17F79" w14:textId="77777777" w:rsidR="00173463" w:rsidRPr="00842A24" w:rsidRDefault="00173463" w:rsidP="00173463">
      <w:pPr>
        <w:numPr>
          <w:ilvl w:val="0"/>
          <w:numId w:val="9"/>
        </w:numPr>
        <w:tabs>
          <w:tab w:val="clear" w:pos="720"/>
          <w:tab w:val="num" w:pos="360"/>
        </w:tabs>
        <w:ind w:left="0" w:firstLine="0"/>
        <w:rPr>
          <w:szCs w:val="22"/>
        </w:rPr>
      </w:pPr>
      <w:r w:rsidRPr="00842A24">
        <w:rPr>
          <w:szCs w:val="22"/>
        </w:rPr>
        <w:t>mieguistumas,</w:t>
      </w:r>
    </w:p>
    <w:p w14:paraId="6173FC67" w14:textId="77777777" w:rsidR="00173463" w:rsidRPr="00842A24" w:rsidRDefault="00173463" w:rsidP="00173463">
      <w:pPr>
        <w:numPr>
          <w:ilvl w:val="0"/>
          <w:numId w:val="9"/>
        </w:numPr>
        <w:tabs>
          <w:tab w:val="clear" w:pos="720"/>
          <w:tab w:val="num" w:pos="360"/>
        </w:tabs>
        <w:ind w:left="0" w:firstLine="0"/>
        <w:rPr>
          <w:szCs w:val="22"/>
        </w:rPr>
      </w:pPr>
      <w:r w:rsidRPr="00842A24">
        <w:rPr>
          <w:szCs w:val="22"/>
        </w:rPr>
        <w:lastRenderedPageBreak/>
        <w:t>kepenų uždegimas,</w:t>
      </w:r>
    </w:p>
    <w:p w14:paraId="39A6E524" w14:textId="6D7F9EFA" w:rsidR="00173463" w:rsidRPr="00842A24" w:rsidRDefault="00173463" w:rsidP="00173463">
      <w:pPr>
        <w:numPr>
          <w:ilvl w:val="0"/>
          <w:numId w:val="9"/>
        </w:numPr>
        <w:tabs>
          <w:tab w:val="clear" w:pos="720"/>
          <w:tab w:val="num" w:pos="360"/>
        </w:tabs>
        <w:ind w:left="0" w:firstLine="0"/>
        <w:rPr>
          <w:szCs w:val="22"/>
        </w:rPr>
      </w:pPr>
      <w:r w:rsidRPr="00842A24">
        <w:rPr>
          <w:szCs w:val="22"/>
        </w:rPr>
        <w:t xml:space="preserve">kepenų tulžies latakų uždegimas, dėl kurio pagelsta oda. </w:t>
      </w:r>
    </w:p>
    <w:p w14:paraId="52B17B3B" w14:textId="77777777" w:rsidR="00173463" w:rsidRPr="00842A24" w:rsidRDefault="00173463" w:rsidP="00173463">
      <w:pPr>
        <w:rPr>
          <w:szCs w:val="22"/>
        </w:rPr>
      </w:pPr>
    </w:p>
    <w:p w14:paraId="7DD16883" w14:textId="4EA44B7A" w:rsidR="00173463" w:rsidRPr="00E5770F" w:rsidRDefault="0097442C" w:rsidP="00173463">
      <w:pPr>
        <w:rPr>
          <w:u w:val="single"/>
        </w:rPr>
      </w:pPr>
      <w:r w:rsidRPr="00E5770F">
        <w:rPr>
          <w:u w:val="single"/>
        </w:rPr>
        <w:t>Šalutinio poveikio reiškiniai, kurių d</w:t>
      </w:r>
      <w:r w:rsidR="00173463" w:rsidRPr="00E5770F">
        <w:rPr>
          <w:u w:val="single"/>
        </w:rPr>
        <w:t>ažnis nežinomas</w:t>
      </w:r>
      <w:r w:rsidR="00173463" w:rsidRPr="00EF2BAB">
        <w:t xml:space="preserve"> </w:t>
      </w:r>
      <w:r w:rsidR="00173463" w:rsidRPr="000A463F">
        <w:t xml:space="preserve">(negali būti </w:t>
      </w:r>
      <w:r w:rsidRPr="000A463F">
        <w:t>apskaičiuo</w:t>
      </w:r>
      <w:r w:rsidR="00173463" w:rsidRPr="000A463F">
        <w:t>tas pagal turimus duomenis):</w:t>
      </w:r>
    </w:p>
    <w:p w14:paraId="65A360E0" w14:textId="77777777" w:rsidR="00173463" w:rsidRPr="00842A24" w:rsidRDefault="00173463" w:rsidP="00173463">
      <w:pPr>
        <w:numPr>
          <w:ilvl w:val="0"/>
          <w:numId w:val="9"/>
        </w:numPr>
        <w:tabs>
          <w:tab w:val="clear" w:pos="720"/>
          <w:tab w:val="num" w:pos="360"/>
        </w:tabs>
        <w:ind w:left="0" w:firstLine="0"/>
        <w:rPr>
          <w:szCs w:val="22"/>
        </w:rPr>
      </w:pPr>
      <w:r w:rsidRPr="00842A24">
        <w:rPr>
          <w:szCs w:val="22"/>
        </w:rPr>
        <w:t xml:space="preserve">mažas tam tikrų kraujo kūnelių kiekis kraujyje. </w:t>
      </w:r>
    </w:p>
    <w:p w14:paraId="47C851CF" w14:textId="77777777" w:rsidR="00173463" w:rsidRPr="00842A24" w:rsidRDefault="00173463" w:rsidP="00173463">
      <w:pPr>
        <w:rPr>
          <w:rStyle w:val="underline1"/>
        </w:rPr>
      </w:pPr>
    </w:p>
    <w:p w14:paraId="2ADC9C70" w14:textId="77777777" w:rsidR="00173463" w:rsidRPr="00842A24" w:rsidRDefault="00173463" w:rsidP="00173463">
      <w:pPr>
        <w:rPr>
          <w:rStyle w:val="bold1"/>
          <w:b w:val="0"/>
        </w:rPr>
      </w:pPr>
      <w:r w:rsidRPr="00842A24">
        <w:rPr>
          <w:szCs w:val="22"/>
          <w:lang w:eastAsia="zh-CN"/>
        </w:rPr>
        <w:t xml:space="preserve">Taip pat gali </w:t>
      </w:r>
      <w:r w:rsidRPr="00842A24">
        <w:t xml:space="preserve">pasireikšti </w:t>
      </w:r>
      <w:r w:rsidRPr="00842A24">
        <w:rPr>
          <w:szCs w:val="22"/>
          <w:lang w:eastAsia="zh-CN"/>
        </w:rPr>
        <w:t xml:space="preserve">tam tikrų </w:t>
      </w:r>
      <w:r w:rsidRPr="00842A24">
        <w:t xml:space="preserve">kraujo ląstelių (limfocitų) ir </w:t>
      </w:r>
      <w:r w:rsidRPr="00842A24">
        <w:rPr>
          <w:szCs w:val="22"/>
          <w:lang w:eastAsia="zh-CN"/>
        </w:rPr>
        <w:t>jūsų kraujyje cirkuliuojančių trombocitų kiekio pasikeitimai</w:t>
      </w:r>
      <w:r w:rsidRPr="00842A24">
        <w:t xml:space="preserve">, ypač pacientams, </w:t>
      </w:r>
      <w:r w:rsidRPr="00842A24">
        <w:rPr>
          <w:rStyle w:val="underline1"/>
          <w:u w:val="none"/>
        </w:rPr>
        <w:t>kuriems</w:t>
      </w:r>
      <w:r w:rsidRPr="00842A24">
        <w:rPr>
          <w:szCs w:val="22"/>
          <w:lang w:eastAsia="zh-CN"/>
        </w:rPr>
        <w:t xml:space="preserve"> jau</w:t>
      </w:r>
      <w:r w:rsidRPr="00842A24">
        <w:t xml:space="preserve"> yra limfopenija (sumažėjęs limfocitų kiekis kraujyje).</w:t>
      </w:r>
    </w:p>
    <w:p w14:paraId="6C6A3D97" w14:textId="77777777" w:rsidR="00173463" w:rsidRPr="00842A24" w:rsidRDefault="00173463" w:rsidP="00173463">
      <w:pPr>
        <w:pStyle w:val="paragraph"/>
        <w:rPr>
          <w:rStyle w:val="bold1"/>
          <w:b w:val="0"/>
          <w:sz w:val="22"/>
          <w:szCs w:val="22"/>
          <w:lang w:val="lt-LT"/>
        </w:rPr>
      </w:pPr>
    </w:p>
    <w:p w14:paraId="42C9BFF1" w14:textId="77777777" w:rsidR="00173463" w:rsidRPr="00842A24" w:rsidRDefault="00173463" w:rsidP="00173463">
      <w:pPr>
        <w:rPr>
          <w:b/>
        </w:rPr>
      </w:pPr>
      <w:r w:rsidRPr="00842A24">
        <w:rPr>
          <w:b/>
        </w:rPr>
        <w:t>Pranešimas apie šalutinį poveikį</w:t>
      </w:r>
    </w:p>
    <w:p w14:paraId="50D56494" w14:textId="378FB89C" w:rsidR="00173463" w:rsidRPr="00842A24" w:rsidRDefault="00173463" w:rsidP="00E5770F">
      <w:pPr>
        <w:tabs>
          <w:tab w:val="left" w:pos="567"/>
        </w:tabs>
        <w:spacing w:line="260" w:lineRule="exact"/>
        <w:ind w:right="-1"/>
        <w:rPr>
          <w:rFonts w:eastAsia="Calibri"/>
          <w:color w:val="000000"/>
          <w:szCs w:val="22"/>
          <w:lang w:eastAsia="zh-CN"/>
        </w:rPr>
      </w:pPr>
      <w:r w:rsidRPr="00842A24">
        <w:t>Jeigu pasireiškė šalutinis poveikis, įskaitant šiame lapelyje nenurodytą, pasakykite gydytojui</w:t>
      </w:r>
      <w:r w:rsidR="009E4666" w:rsidRPr="009E4666">
        <w:t xml:space="preserve"> </w:t>
      </w:r>
      <w:r w:rsidR="009E4666" w:rsidRPr="00842A24">
        <w:t>arba</w:t>
      </w:r>
      <w:r w:rsidR="0097442C" w:rsidRPr="00842A24">
        <w:t xml:space="preserve"> vaistininkui</w:t>
      </w:r>
      <w:r w:rsidRPr="00842A24">
        <w:t xml:space="preserve">. </w:t>
      </w:r>
      <w:r w:rsidR="0097442C" w:rsidRPr="00842A24">
        <w:rPr>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97442C" w:rsidRPr="00842A24">
        <w:rPr>
          <w:color w:val="0000FF"/>
          <w:szCs w:val="20"/>
          <w:u w:val="single"/>
        </w:rPr>
        <w:t>https://vapris.vvkt.lt/vvkt-web/public/nrv</w:t>
      </w:r>
      <w:r w:rsidR="0097442C" w:rsidRPr="00842A24">
        <w:rPr>
          <w:szCs w:val="20"/>
        </w:rPr>
        <w:t xml:space="preserve"> arba užpildant Paciento pranešimo apie įtariamą nepageidaujamą reakciją (ĮNR) formą, kuri skelbiama </w:t>
      </w:r>
      <w:r w:rsidR="0097442C" w:rsidRPr="00842A24">
        <w:rPr>
          <w:color w:val="0000FF"/>
          <w:szCs w:val="20"/>
          <w:u w:val="single"/>
        </w:rPr>
        <w:t>https://www.vvkt.lt/index.php?4004286486</w:t>
      </w:r>
      <w:r w:rsidR="0097442C" w:rsidRPr="00842A24">
        <w:rPr>
          <w:szCs w:val="20"/>
        </w:rPr>
        <w:t xml:space="preserve">, ir atsiunčiant elektroniniu paštu (adresu </w:t>
      </w:r>
      <w:r w:rsidR="0097442C" w:rsidRPr="00842A24">
        <w:rPr>
          <w:color w:val="0000FF"/>
          <w:szCs w:val="20"/>
          <w:u w:val="single"/>
        </w:rPr>
        <w:t>NepageidaujamaR@vvkt.lt</w:t>
      </w:r>
      <w:r w:rsidR="0097442C" w:rsidRPr="00842A24">
        <w:rPr>
          <w:szCs w:val="20"/>
        </w:rPr>
        <w:t xml:space="preserve">) arba nemokamu telefonu 8 800 73 568. </w:t>
      </w:r>
      <w:r w:rsidRPr="00842A24">
        <w:t xml:space="preserve">Pranešdami apie šalutinį poveikį galite mums padėti gauti daugiau informacijos apie šio vaisto saugumą. </w:t>
      </w:r>
    </w:p>
    <w:p w14:paraId="25806E6A" w14:textId="77777777" w:rsidR="00173463" w:rsidRPr="00842A24" w:rsidRDefault="00173463" w:rsidP="00173463">
      <w:pPr>
        <w:pStyle w:val="paragraph"/>
        <w:rPr>
          <w:rStyle w:val="bold1"/>
          <w:b w:val="0"/>
          <w:lang w:val="lt-LT"/>
        </w:rPr>
      </w:pPr>
    </w:p>
    <w:p w14:paraId="4B189A85" w14:textId="77777777" w:rsidR="00173463" w:rsidRPr="00842A24" w:rsidRDefault="00173463" w:rsidP="009E4666">
      <w:pPr>
        <w:pStyle w:val="BTEMEASMCA"/>
      </w:pPr>
    </w:p>
    <w:p w14:paraId="09ECBB22" w14:textId="56D4A2AE" w:rsidR="00173463" w:rsidRPr="00842A24" w:rsidRDefault="00173463" w:rsidP="00173463">
      <w:pPr>
        <w:pStyle w:val="PI-1EMEASMCA"/>
      </w:pPr>
      <w:bookmarkStart w:id="86" w:name="_Toc129243143"/>
      <w:bookmarkStart w:id="87" w:name="_Toc129243268"/>
      <w:r w:rsidRPr="00842A24">
        <w:t>5.</w:t>
      </w:r>
      <w:r w:rsidRPr="00842A24">
        <w:tab/>
      </w:r>
      <w:bookmarkEnd w:id="86"/>
      <w:bookmarkEnd w:id="87"/>
      <w:r w:rsidRPr="00842A24">
        <w:t>Kaip laikyti Exemestane Accord</w:t>
      </w:r>
    </w:p>
    <w:p w14:paraId="59D3C085" w14:textId="77777777" w:rsidR="00173463" w:rsidRPr="00842A24" w:rsidRDefault="00173463" w:rsidP="00173463">
      <w:pPr>
        <w:pStyle w:val="PI-1EMEASMCA"/>
      </w:pPr>
    </w:p>
    <w:p w14:paraId="2B8D9EDC" w14:textId="77777777" w:rsidR="00173463" w:rsidRPr="00842A24" w:rsidRDefault="00173463" w:rsidP="00173463">
      <w:pPr>
        <w:numPr>
          <w:ilvl w:val="0"/>
          <w:numId w:val="10"/>
        </w:numPr>
        <w:tabs>
          <w:tab w:val="clear" w:pos="720"/>
          <w:tab w:val="num" w:pos="240"/>
        </w:tabs>
        <w:ind w:hanging="720"/>
        <w:rPr>
          <w:strike/>
        </w:rPr>
      </w:pPr>
      <w:r w:rsidRPr="00842A24">
        <w:t xml:space="preserve">Šį </w:t>
      </w:r>
      <w:r w:rsidR="00CB77AC" w:rsidRPr="00842A24">
        <w:t xml:space="preserve">vaistą </w:t>
      </w:r>
      <w:r w:rsidRPr="00842A24">
        <w:t>laikykite vaikams nepastebimoje ir nepasiekiamoje</w:t>
      </w:r>
      <w:r w:rsidRPr="00842A24" w:rsidDel="003F3504">
        <w:t xml:space="preserve"> </w:t>
      </w:r>
      <w:r w:rsidRPr="00842A24">
        <w:t xml:space="preserve">vietoje. </w:t>
      </w:r>
    </w:p>
    <w:p w14:paraId="73143104" w14:textId="16857AF3" w:rsidR="00173463" w:rsidRPr="00842A24" w:rsidRDefault="00173463" w:rsidP="00173463">
      <w:pPr>
        <w:numPr>
          <w:ilvl w:val="0"/>
          <w:numId w:val="10"/>
        </w:numPr>
        <w:tabs>
          <w:tab w:val="clear" w:pos="720"/>
          <w:tab w:val="num" w:pos="240"/>
        </w:tabs>
        <w:ind w:left="240" w:hanging="240"/>
        <w:rPr>
          <w:color w:val="000000"/>
        </w:rPr>
      </w:pPr>
      <w:r w:rsidRPr="00842A24">
        <w:t xml:space="preserve">Ant </w:t>
      </w:r>
      <w:r w:rsidR="00CB77AC" w:rsidRPr="00842A24">
        <w:t xml:space="preserve">išorinės </w:t>
      </w:r>
      <w:r w:rsidRPr="00842A24">
        <w:t xml:space="preserve">dėžutės ir lizdinės plokštelės </w:t>
      </w:r>
      <w:r w:rsidRPr="00842A24">
        <w:rPr>
          <w:szCs w:val="22"/>
        </w:rPr>
        <w:t xml:space="preserve">po </w:t>
      </w:r>
      <w:r w:rsidRPr="00842A24">
        <w:t>„EXP</w:t>
      </w:r>
      <w:r w:rsidRPr="00842A24">
        <w:rPr>
          <w:szCs w:val="22"/>
        </w:rPr>
        <w:t xml:space="preserve">“ </w:t>
      </w:r>
      <w:r w:rsidRPr="00842A24">
        <w:t xml:space="preserve">nurodytam tinkamumo laikui pasibaigus, šio </w:t>
      </w:r>
      <w:r w:rsidR="00CB77AC" w:rsidRPr="00842A24">
        <w:t xml:space="preserve">vaisto </w:t>
      </w:r>
      <w:r w:rsidRPr="00842A24">
        <w:t xml:space="preserve">vartoti negalima. </w:t>
      </w:r>
      <w:r w:rsidRPr="00842A24">
        <w:rPr>
          <w:color w:val="000000"/>
        </w:rPr>
        <w:t>Vaistas tinkamas vartoti iki paskutinės nurodyto mėnesio dienos.</w:t>
      </w:r>
      <w:r w:rsidRPr="00842A24">
        <w:rPr>
          <w:color w:val="000000"/>
          <w:szCs w:val="22"/>
        </w:rPr>
        <w:t xml:space="preserve"> </w:t>
      </w:r>
    </w:p>
    <w:p w14:paraId="68A95126" w14:textId="3082867F" w:rsidR="00173463" w:rsidRPr="00842A24" w:rsidRDefault="00173463" w:rsidP="00173463">
      <w:pPr>
        <w:numPr>
          <w:ilvl w:val="0"/>
          <w:numId w:val="10"/>
        </w:numPr>
        <w:tabs>
          <w:tab w:val="clear" w:pos="720"/>
          <w:tab w:val="num" w:pos="240"/>
        </w:tabs>
        <w:ind w:hanging="720"/>
      </w:pPr>
      <w:r w:rsidRPr="00842A24">
        <w:t xml:space="preserve">Šiam </w:t>
      </w:r>
      <w:r w:rsidR="00CB77AC" w:rsidRPr="00842A24">
        <w:t>vaistui</w:t>
      </w:r>
      <w:r w:rsidRPr="00842A24">
        <w:t xml:space="preserve"> specialių laikymo sąlygų nereikia. </w:t>
      </w:r>
    </w:p>
    <w:p w14:paraId="429B11D2" w14:textId="77777777" w:rsidR="00173463" w:rsidRPr="00842A24" w:rsidRDefault="00173463" w:rsidP="00E5770F">
      <w:pPr>
        <w:numPr>
          <w:ilvl w:val="0"/>
          <w:numId w:val="10"/>
        </w:numPr>
        <w:tabs>
          <w:tab w:val="clear" w:pos="720"/>
          <w:tab w:val="num" w:pos="240"/>
        </w:tabs>
        <w:ind w:left="284" w:hanging="284"/>
      </w:pPr>
      <w:r w:rsidRPr="00842A24">
        <w:t>Vaistų negalima išmesti į kanalizaciją arba su buitinėmis atliekomis. Kaip išmesti nereikalingus vaistus, klauskite vaistininko. Šios priemonės padės apsaugoti aplinką.</w:t>
      </w:r>
    </w:p>
    <w:p w14:paraId="52077829" w14:textId="77777777" w:rsidR="00173463" w:rsidRPr="00842A24" w:rsidRDefault="00173463" w:rsidP="00173463">
      <w:pPr>
        <w:pStyle w:val="PI-1EMEASMCA"/>
      </w:pPr>
      <w:bookmarkStart w:id="88" w:name="_Toc129243144"/>
      <w:bookmarkStart w:id="89" w:name="_Toc129243269"/>
    </w:p>
    <w:p w14:paraId="039992B1" w14:textId="77777777" w:rsidR="00173463" w:rsidRPr="00842A24" w:rsidRDefault="00173463" w:rsidP="00173463">
      <w:pPr>
        <w:pStyle w:val="PI-1EMEASMCA"/>
      </w:pPr>
    </w:p>
    <w:p w14:paraId="359D42F4" w14:textId="1ADBC292" w:rsidR="00173463" w:rsidRPr="00842A24" w:rsidRDefault="00173463" w:rsidP="00173463">
      <w:pPr>
        <w:pStyle w:val="PI-1EMEASMCA"/>
      </w:pPr>
      <w:r w:rsidRPr="00842A24">
        <w:t>6.</w:t>
      </w:r>
      <w:r w:rsidRPr="00842A24">
        <w:tab/>
      </w:r>
      <w:bookmarkEnd w:id="88"/>
      <w:bookmarkEnd w:id="89"/>
      <w:r w:rsidRPr="00842A24">
        <w:rPr>
          <w:szCs w:val="24"/>
        </w:rPr>
        <w:t>Pakuotės turinys ir kita informacija</w:t>
      </w:r>
    </w:p>
    <w:p w14:paraId="6D1E5C63" w14:textId="77777777" w:rsidR="00173463" w:rsidRPr="00842A24" w:rsidRDefault="00173463" w:rsidP="009E4666">
      <w:pPr>
        <w:pStyle w:val="BTEMEASMCA"/>
      </w:pPr>
    </w:p>
    <w:p w14:paraId="40CB2253" w14:textId="77777777" w:rsidR="00173463" w:rsidRPr="00842A24" w:rsidRDefault="00173463" w:rsidP="00173463">
      <w:pPr>
        <w:pStyle w:val="PI-3EMEASMCA"/>
      </w:pPr>
      <w:r w:rsidRPr="00842A24">
        <w:t>Exemestane Accord sudėtis</w:t>
      </w:r>
    </w:p>
    <w:p w14:paraId="4BF09468" w14:textId="77777777" w:rsidR="00173463" w:rsidRPr="00842A24" w:rsidRDefault="00173463" w:rsidP="00173463">
      <w:pPr>
        <w:tabs>
          <w:tab w:val="left" w:pos="567"/>
        </w:tabs>
        <w:autoSpaceDE w:val="0"/>
        <w:autoSpaceDN w:val="0"/>
        <w:adjustRightInd w:val="0"/>
      </w:pPr>
      <w:r w:rsidRPr="00842A24">
        <w:t>-</w:t>
      </w:r>
      <w:r w:rsidRPr="00842A24">
        <w:tab/>
        <w:t xml:space="preserve">Veiklioji medžiaga yra eksemestanas. Kiekvienoje plėvele dengtoje tabletėje yra 25 mg eksemestano. </w:t>
      </w:r>
    </w:p>
    <w:p w14:paraId="677A33D8" w14:textId="4C215E4D" w:rsidR="00173463" w:rsidRPr="00842A24" w:rsidRDefault="00173463" w:rsidP="00173463">
      <w:pPr>
        <w:tabs>
          <w:tab w:val="left" w:pos="567"/>
        </w:tabs>
        <w:autoSpaceDE w:val="0"/>
        <w:autoSpaceDN w:val="0"/>
        <w:adjustRightInd w:val="0"/>
      </w:pPr>
      <w:r w:rsidRPr="00842A24">
        <w:t>-</w:t>
      </w:r>
      <w:r w:rsidRPr="00842A24">
        <w:tab/>
        <w:t>Pagalbinės medžiagos</w:t>
      </w:r>
      <w:r w:rsidR="00F73C69" w:rsidRPr="00842A24">
        <w:t xml:space="preserve"> yra:</w:t>
      </w:r>
    </w:p>
    <w:p w14:paraId="5623CC0B" w14:textId="77777777" w:rsidR="00173463" w:rsidRPr="00842A24" w:rsidRDefault="00173463" w:rsidP="00173463">
      <w:r w:rsidRPr="00842A24">
        <w:rPr>
          <w:i/>
        </w:rPr>
        <w:t>Tabletės branduolys</w:t>
      </w:r>
      <w:r w:rsidRPr="00842A24">
        <w:t xml:space="preserve">: </w:t>
      </w:r>
      <w:r w:rsidRPr="00842A24">
        <w:rPr>
          <w:color w:val="000000"/>
        </w:rPr>
        <w:t>manitolis, mikrokristalinė celiuliozė, krospovidonas, karboksimetilkrakmolo A natrio druska, hipromeliozė E5, polisorbatas 80, bevandenis koloidinis silicio dioksidas, magnio stearatas.</w:t>
      </w:r>
    </w:p>
    <w:p w14:paraId="3657B563" w14:textId="77777777" w:rsidR="00173463" w:rsidRPr="00842A24" w:rsidRDefault="00173463" w:rsidP="00173463">
      <w:r w:rsidRPr="00842A24">
        <w:rPr>
          <w:i/>
        </w:rPr>
        <w:t>Tabletės plėvelė:</w:t>
      </w:r>
      <w:r w:rsidRPr="00842A24">
        <w:rPr>
          <w:b/>
        </w:rPr>
        <w:t xml:space="preserve"> </w:t>
      </w:r>
      <w:r w:rsidRPr="00842A24">
        <w:t>hipromeliozė 6cp (E464), titano dioksidas (E171), makrogolis 400.</w:t>
      </w:r>
    </w:p>
    <w:p w14:paraId="5DD66650" w14:textId="77777777" w:rsidR="00173463" w:rsidRPr="00842A24" w:rsidRDefault="00173463" w:rsidP="00173463">
      <w:pPr>
        <w:pStyle w:val="PI-3EMEASMCA"/>
        <w:rPr>
          <w:b w:val="0"/>
        </w:rPr>
      </w:pPr>
    </w:p>
    <w:p w14:paraId="051FF29E" w14:textId="77777777" w:rsidR="00173463" w:rsidRPr="00842A24" w:rsidRDefault="00173463" w:rsidP="00173463">
      <w:pPr>
        <w:pStyle w:val="PI-3EMEASMCA"/>
        <w:rPr>
          <w:b w:val="0"/>
        </w:rPr>
      </w:pPr>
      <w:r w:rsidRPr="00842A24">
        <w:t>Exemestane Accord išvaizda ir kiekis pakuotėje</w:t>
      </w:r>
    </w:p>
    <w:p w14:paraId="35AB4BED" w14:textId="6BFEA756" w:rsidR="00173463" w:rsidRPr="00842A24" w:rsidRDefault="00173463" w:rsidP="00173463">
      <w:pPr>
        <w:autoSpaceDE w:val="0"/>
        <w:autoSpaceDN w:val="0"/>
        <w:adjustRightInd w:val="0"/>
        <w:rPr>
          <w:highlight w:val="lightGray"/>
        </w:rPr>
      </w:pPr>
      <w:r w:rsidRPr="00842A24">
        <w:t xml:space="preserve">Exemestane Accord yra baltos arba beveik baltos, apvalios, abipus išgaubtos, plėvele dengtos tabletės, kurių vienoje pusėje įspausta „E25“, o kita pusė </w:t>
      </w:r>
      <w:r w:rsidR="00450A3F" w:rsidRPr="00842A24">
        <w:t>–</w:t>
      </w:r>
      <w:r w:rsidRPr="00842A24">
        <w:t xml:space="preserve"> lygi. </w:t>
      </w:r>
    </w:p>
    <w:p w14:paraId="078C833D" w14:textId="77777777" w:rsidR="00173463" w:rsidRPr="00842A24" w:rsidRDefault="00173463" w:rsidP="00173463">
      <w:pPr>
        <w:autoSpaceDE w:val="0"/>
        <w:autoSpaceDN w:val="0"/>
        <w:adjustRightInd w:val="0"/>
      </w:pPr>
    </w:p>
    <w:p w14:paraId="34938138" w14:textId="77777777" w:rsidR="00173463" w:rsidRPr="00842A24" w:rsidRDefault="00173463" w:rsidP="00173463">
      <w:pPr>
        <w:autoSpaceDE w:val="0"/>
        <w:autoSpaceDN w:val="0"/>
        <w:adjustRightInd w:val="0"/>
        <w:rPr>
          <w:color w:val="000000"/>
        </w:rPr>
      </w:pPr>
      <w:r w:rsidRPr="00842A24">
        <w:t xml:space="preserve">Exemestane Accord tabletės teikiamos baltomis matinėmis PVC/PVdC-Al lizdinėmis plokštelėmis, kurių kiekvienoje yra 15, 20, 28, 30, 90, 98, 100 ar 120 tablečių. </w:t>
      </w:r>
    </w:p>
    <w:p w14:paraId="19D114D1" w14:textId="77777777" w:rsidR="00173463" w:rsidRPr="00842A24" w:rsidRDefault="00173463" w:rsidP="00173463">
      <w:pPr>
        <w:autoSpaceDE w:val="0"/>
        <w:autoSpaceDN w:val="0"/>
        <w:adjustRightInd w:val="0"/>
        <w:jc w:val="both"/>
        <w:rPr>
          <w:color w:val="000000"/>
        </w:rPr>
      </w:pPr>
    </w:p>
    <w:p w14:paraId="051856BE" w14:textId="77777777" w:rsidR="00173463" w:rsidRPr="00842A24" w:rsidRDefault="00173463" w:rsidP="00173463">
      <w:pPr>
        <w:autoSpaceDE w:val="0"/>
        <w:autoSpaceDN w:val="0"/>
        <w:adjustRightInd w:val="0"/>
        <w:jc w:val="both"/>
        <w:rPr>
          <w:color w:val="000000"/>
        </w:rPr>
      </w:pPr>
      <w:r w:rsidRPr="00842A24">
        <w:rPr>
          <w:color w:val="000000"/>
        </w:rPr>
        <w:t xml:space="preserve">Gali būti tiekiamos ne visų dydžių pakuotės. </w:t>
      </w:r>
    </w:p>
    <w:p w14:paraId="11C46F13" w14:textId="77777777" w:rsidR="00173463" w:rsidRPr="00842A24" w:rsidRDefault="00173463" w:rsidP="00173463">
      <w:pPr>
        <w:pStyle w:val="prastasiniatinklio"/>
        <w:spacing w:before="0" w:beforeAutospacing="0" w:after="0" w:afterAutospacing="0"/>
        <w:rPr>
          <w:lang w:val="lt-LT"/>
        </w:rPr>
      </w:pPr>
    </w:p>
    <w:p w14:paraId="37E5DA49" w14:textId="77777777" w:rsidR="00173463" w:rsidRPr="00842A24" w:rsidRDefault="00173463" w:rsidP="00173463">
      <w:pPr>
        <w:pStyle w:val="prastasiniatinklio"/>
        <w:spacing w:before="0" w:beforeAutospacing="0" w:after="0" w:afterAutospacing="0"/>
        <w:rPr>
          <w:b/>
          <w:lang w:val="lt-LT"/>
        </w:rPr>
      </w:pPr>
      <w:r w:rsidRPr="00842A24">
        <w:rPr>
          <w:b/>
          <w:sz w:val="22"/>
          <w:lang w:val="lt-LT"/>
        </w:rPr>
        <w:t>Registruotojas ir gamintojas</w:t>
      </w:r>
    </w:p>
    <w:p w14:paraId="07F3E6B5" w14:textId="77777777" w:rsidR="00173463" w:rsidRPr="00842A24" w:rsidRDefault="00173463" w:rsidP="009E4666">
      <w:pPr>
        <w:pStyle w:val="BTEMEASMCA"/>
      </w:pPr>
    </w:p>
    <w:p w14:paraId="32E66C78" w14:textId="77777777" w:rsidR="00173463" w:rsidRPr="00842A24" w:rsidRDefault="00173463" w:rsidP="00173463">
      <w:pPr>
        <w:pStyle w:val="PI-3EMEASMCA"/>
        <w:rPr>
          <w:b w:val="0"/>
          <w:i/>
        </w:rPr>
      </w:pPr>
      <w:r w:rsidRPr="00842A24">
        <w:rPr>
          <w:b w:val="0"/>
          <w:i/>
        </w:rPr>
        <w:t>Registruotojas</w:t>
      </w:r>
    </w:p>
    <w:p w14:paraId="4CDC12B5" w14:textId="17B0F3B8" w:rsidR="00173463" w:rsidRPr="00842A24" w:rsidRDefault="00173463" w:rsidP="00173463">
      <w:r w:rsidRPr="00842A24">
        <w:t xml:space="preserve">Accord Healthcare </w:t>
      </w:r>
      <w:r w:rsidR="003D541B" w:rsidRPr="00842A24">
        <w:t xml:space="preserve">B.V. </w:t>
      </w:r>
    </w:p>
    <w:p w14:paraId="2C86C1BD" w14:textId="77777777" w:rsidR="003D541B" w:rsidRPr="00842A24" w:rsidRDefault="003D541B" w:rsidP="003D541B">
      <w:r w:rsidRPr="00842A24">
        <w:t xml:space="preserve">Winthontlaan 200 </w:t>
      </w:r>
    </w:p>
    <w:p w14:paraId="48C33C29" w14:textId="77777777" w:rsidR="003D541B" w:rsidRPr="00842A24" w:rsidRDefault="003D541B" w:rsidP="003D541B">
      <w:r w:rsidRPr="00842A24">
        <w:lastRenderedPageBreak/>
        <w:t xml:space="preserve">3526 KV Utrecht </w:t>
      </w:r>
    </w:p>
    <w:p w14:paraId="04E7DC32" w14:textId="77777777" w:rsidR="003D541B" w:rsidRPr="00842A24" w:rsidRDefault="003D541B" w:rsidP="003D541B">
      <w:r w:rsidRPr="00842A24">
        <w:t>Nyderlandai</w:t>
      </w:r>
    </w:p>
    <w:p w14:paraId="29108098" w14:textId="77777777" w:rsidR="00173463" w:rsidRPr="00842A24" w:rsidRDefault="00173463" w:rsidP="009E4666">
      <w:pPr>
        <w:pStyle w:val="BTEMEASMCA"/>
      </w:pPr>
    </w:p>
    <w:p w14:paraId="79220E2C" w14:textId="77777777" w:rsidR="00173463" w:rsidRPr="00842A24" w:rsidRDefault="00173463" w:rsidP="00173463">
      <w:pPr>
        <w:rPr>
          <w:i/>
        </w:rPr>
      </w:pPr>
      <w:r w:rsidRPr="00842A24">
        <w:rPr>
          <w:i/>
        </w:rPr>
        <w:t>Gamintojas</w:t>
      </w:r>
    </w:p>
    <w:p w14:paraId="3254821D" w14:textId="67984498" w:rsidR="00173463" w:rsidRPr="00842A24" w:rsidRDefault="00173463" w:rsidP="00173463">
      <w:pPr>
        <w:tabs>
          <w:tab w:val="num" w:pos="1170"/>
        </w:tabs>
        <w:ind w:right="29"/>
        <w:jc w:val="both"/>
        <w:rPr>
          <w:szCs w:val="22"/>
        </w:rPr>
      </w:pPr>
      <w:r w:rsidRPr="00842A24">
        <w:rPr>
          <w:szCs w:val="22"/>
        </w:rPr>
        <w:t>LABORATORI FUNDACIÓ DAU</w:t>
      </w:r>
    </w:p>
    <w:p w14:paraId="6F10731D" w14:textId="77777777" w:rsidR="00173463" w:rsidRPr="00842A24" w:rsidRDefault="00173463" w:rsidP="00173463">
      <w:pPr>
        <w:tabs>
          <w:tab w:val="num" w:pos="1170"/>
        </w:tabs>
        <w:ind w:right="29"/>
        <w:jc w:val="both"/>
        <w:rPr>
          <w:szCs w:val="22"/>
        </w:rPr>
      </w:pPr>
      <w:r w:rsidRPr="00842A24">
        <w:rPr>
          <w:szCs w:val="22"/>
        </w:rPr>
        <w:t>C/C, 12-14 Pol.Ind. Zona Franca, Barcelona, 08040 Barcelona</w:t>
      </w:r>
    </w:p>
    <w:p w14:paraId="651D24E8" w14:textId="77777777" w:rsidR="00173463" w:rsidRPr="00842A24" w:rsidRDefault="00173463" w:rsidP="00173463">
      <w:pPr>
        <w:jc w:val="both"/>
        <w:rPr>
          <w:szCs w:val="22"/>
        </w:rPr>
      </w:pPr>
      <w:r w:rsidRPr="00842A24">
        <w:t>Ispanija</w:t>
      </w:r>
      <w:r w:rsidRPr="00842A24" w:rsidDel="004C315C">
        <w:rPr>
          <w:szCs w:val="22"/>
        </w:rPr>
        <w:t xml:space="preserve"> </w:t>
      </w:r>
    </w:p>
    <w:p w14:paraId="2A1DBE69" w14:textId="77777777" w:rsidR="00173463" w:rsidRPr="00842A24" w:rsidRDefault="00173463" w:rsidP="00173463"/>
    <w:p w14:paraId="1A349C6B" w14:textId="77777777" w:rsidR="0096707F" w:rsidRPr="00842A24" w:rsidRDefault="0096707F" w:rsidP="0096707F">
      <w:r w:rsidRPr="00842A24">
        <w:t>Accord Healthcare Polska Sp.z o.o.,</w:t>
      </w:r>
    </w:p>
    <w:p w14:paraId="62FDFAAD" w14:textId="6F617DB3" w:rsidR="0096707F" w:rsidRPr="00842A24" w:rsidRDefault="0096707F" w:rsidP="0096707F">
      <w:r w:rsidRPr="00842A24">
        <w:t>ul. Lutomierska 50,95-200 Pabianice, Lenkija</w:t>
      </w:r>
    </w:p>
    <w:p w14:paraId="095E56CA" w14:textId="77777777" w:rsidR="00537D15" w:rsidRPr="00842A24" w:rsidRDefault="00537D15" w:rsidP="005B087D"/>
    <w:p w14:paraId="49DE3CA7" w14:textId="77777777" w:rsidR="00537D15" w:rsidRPr="00842A24" w:rsidRDefault="00537D15" w:rsidP="00537D15">
      <w:r w:rsidRPr="00842A24">
        <w:t xml:space="preserve">Accord Healthcare B.V. </w:t>
      </w:r>
    </w:p>
    <w:p w14:paraId="6DC99DBE" w14:textId="77777777" w:rsidR="00537D15" w:rsidRPr="00842A24" w:rsidRDefault="00537D15" w:rsidP="00537D15">
      <w:r w:rsidRPr="00842A24">
        <w:t>Winthontlaan 200</w:t>
      </w:r>
    </w:p>
    <w:p w14:paraId="6AB58260" w14:textId="77777777" w:rsidR="00537D15" w:rsidRPr="00842A24" w:rsidRDefault="00537D15" w:rsidP="00537D15">
      <w:r w:rsidRPr="00842A24">
        <w:t>3526 KV Utrecht</w:t>
      </w:r>
    </w:p>
    <w:p w14:paraId="033442DA" w14:textId="50577C8F" w:rsidR="00537D15" w:rsidRDefault="00537D15" w:rsidP="00537D15">
      <w:r w:rsidRPr="00842A24">
        <w:t>Nyderlandai</w:t>
      </w:r>
    </w:p>
    <w:p w14:paraId="19C156F7" w14:textId="77777777" w:rsidR="006B6285" w:rsidRDefault="006B6285" w:rsidP="00F66107"/>
    <w:p w14:paraId="71C7B9B4" w14:textId="77777777" w:rsidR="006B6285" w:rsidRDefault="006B6285" w:rsidP="006B6285">
      <w:r>
        <w:t>Accord Healthcare single member S.A.</w:t>
      </w:r>
    </w:p>
    <w:p w14:paraId="162C13B2" w14:textId="77777777" w:rsidR="006B6285" w:rsidRDefault="006B6285" w:rsidP="006B6285">
      <w:r>
        <w:t>64th Km National Road Athens, Lamia, Schimatari,</w:t>
      </w:r>
    </w:p>
    <w:p w14:paraId="7CCD44E4" w14:textId="3ADBAE95" w:rsidR="006B6285" w:rsidRPr="00842A24" w:rsidRDefault="006B6285" w:rsidP="006B6285">
      <w:r>
        <w:t>32009, Graikija</w:t>
      </w:r>
    </w:p>
    <w:p w14:paraId="521E8BB9" w14:textId="77777777" w:rsidR="00173463" w:rsidRPr="00842A24" w:rsidRDefault="00173463" w:rsidP="009E4666">
      <w:pPr>
        <w:pStyle w:val="BTEMEASMCA"/>
      </w:pPr>
    </w:p>
    <w:p w14:paraId="78E32047" w14:textId="372BA024" w:rsidR="00173463" w:rsidRPr="00842A24" w:rsidRDefault="00173463" w:rsidP="00173463">
      <w:pPr>
        <w:numPr>
          <w:ilvl w:val="12"/>
          <w:numId w:val="0"/>
        </w:numPr>
        <w:tabs>
          <w:tab w:val="left" w:pos="567"/>
        </w:tabs>
        <w:spacing w:line="260" w:lineRule="exact"/>
        <w:ind w:right="-2"/>
        <w:rPr>
          <w:snapToGrid w:val="0"/>
          <w:szCs w:val="20"/>
        </w:rPr>
      </w:pPr>
      <w:r w:rsidRPr="00842A24">
        <w:rPr>
          <w:b/>
          <w:snapToGrid w:val="0"/>
          <w:szCs w:val="20"/>
        </w:rPr>
        <w:t xml:space="preserve">Šis vaistas </w:t>
      </w:r>
      <w:r w:rsidR="00C46E78" w:rsidRPr="00842A24">
        <w:rPr>
          <w:b/>
          <w:snapToGrid w:val="0"/>
          <w:szCs w:val="20"/>
        </w:rPr>
        <w:t xml:space="preserve">Europos ekonominės erdvės </w:t>
      </w:r>
      <w:r w:rsidRPr="00842A24">
        <w:rPr>
          <w:b/>
          <w:snapToGrid w:val="0"/>
          <w:szCs w:val="20"/>
        </w:rPr>
        <w:t xml:space="preserve">valstybėse narėse </w:t>
      </w:r>
      <w:r w:rsidR="00C46E78" w:rsidRPr="00842A24">
        <w:rPr>
          <w:b/>
          <w:snapToGrid w:val="0"/>
          <w:szCs w:val="20"/>
        </w:rPr>
        <w:t xml:space="preserve">ir Jungtinėje Karalystėje (Šiaurės Airijoje) </w:t>
      </w:r>
      <w:r w:rsidRPr="00842A24">
        <w:rPr>
          <w:b/>
          <w:snapToGrid w:val="0"/>
          <w:szCs w:val="20"/>
        </w:rPr>
        <w:t>registruotas tokiais pavadinimais</w:t>
      </w:r>
      <w:r w:rsidRPr="00842A24">
        <w:rPr>
          <w:snapToGrid w:val="0"/>
          <w:szCs w:val="20"/>
        </w:rPr>
        <w:t>:</w:t>
      </w:r>
    </w:p>
    <w:p w14:paraId="511200A9" w14:textId="77777777" w:rsidR="00C46E78" w:rsidRPr="00842A24" w:rsidRDefault="00C46E78" w:rsidP="00173463">
      <w:pPr>
        <w:numPr>
          <w:ilvl w:val="12"/>
          <w:numId w:val="0"/>
        </w:numPr>
        <w:tabs>
          <w:tab w:val="left" w:pos="567"/>
        </w:tabs>
        <w:spacing w:line="260" w:lineRule="exact"/>
        <w:ind w:right="-2"/>
        <w:rPr>
          <w:snapToGrid w:val="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6974"/>
      </w:tblGrid>
      <w:tr w:rsidR="00D15CAD" w:rsidRPr="00842A24" w14:paraId="7B3D7C5B" w14:textId="77777777" w:rsidTr="00A20BB7">
        <w:trPr>
          <w:trHeight w:val="1"/>
        </w:trPr>
        <w:tc>
          <w:tcPr>
            <w:tcW w:w="2235" w:type="dxa"/>
          </w:tcPr>
          <w:p w14:paraId="3C5A4F76" w14:textId="77777777" w:rsidR="00173463" w:rsidRPr="00842A24" w:rsidRDefault="00173463" w:rsidP="008922B4">
            <w:pPr>
              <w:rPr>
                <w:b/>
              </w:rPr>
            </w:pPr>
            <w:r w:rsidRPr="00842A24">
              <w:rPr>
                <w:b/>
              </w:rPr>
              <w:br w:type="page"/>
              <w:t>Valstybės narės pavadinimas</w:t>
            </w:r>
          </w:p>
        </w:tc>
        <w:tc>
          <w:tcPr>
            <w:tcW w:w="6974" w:type="dxa"/>
          </w:tcPr>
          <w:p w14:paraId="6FA72B85" w14:textId="77777777" w:rsidR="00173463" w:rsidRPr="00842A24" w:rsidRDefault="00173463" w:rsidP="008922B4">
            <w:pPr>
              <w:rPr>
                <w:b/>
              </w:rPr>
            </w:pPr>
            <w:r w:rsidRPr="00842A24">
              <w:rPr>
                <w:b/>
              </w:rPr>
              <w:t>Vaisto pavadinimas</w:t>
            </w:r>
          </w:p>
        </w:tc>
      </w:tr>
      <w:tr w:rsidR="00D15CAD" w:rsidRPr="00842A24" w14:paraId="1EDBDC6B" w14:textId="77777777" w:rsidTr="00A20BB7">
        <w:trPr>
          <w:trHeight w:val="1"/>
        </w:trPr>
        <w:tc>
          <w:tcPr>
            <w:tcW w:w="2235" w:type="dxa"/>
            <w:vAlign w:val="center"/>
          </w:tcPr>
          <w:p w14:paraId="00D8B6C2" w14:textId="77777777" w:rsidR="00173463" w:rsidRPr="00842A24" w:rsidRDefault="00173463" w:rsidP="008922B4">
            <w:r w:rsidRPr="00842A24">
              <w:t>Danija</w:t>
            </w:r>
          </w:p>
        </w:tc>
        <w:tc>
          <w:tcPr>
            <w:tcW w:w="6974" w:type="dxa"/>
          </w:tcPr>
          <w:p w14:paraId="14E7E228" w14:textId="77777777" w:rsidR="00173463" w:rsidRPr="00842A24" w:rsidRDefault="00173463" w:rsidP="008922B4">
            <w:pPr>
              <w:jc w:val="both"/>
              <w:rPr>
                <w:bCs/>
              </w:rPr>
            </w:pPr>
            <w:r w:rsidRPr="00842A24">
              <w:rPr>
                <w:bCs/>
              </w:rPr>
              <w:t xml:space="preserve">Exemestane Accord 25 mg </w:t>
            </w:r>
            <w:r w:rsidRPr="00842A24">
              <w:t>filmovertrukne tabletter</w:t>
            </w:r>
          </w:p>
        </w:tc>
      </w:tr>
      <w:tr w:rsidR="00D15CAD" w:rsidRPr="00842A24" w14:paraId="5700E24C" w14:textId="77777777" w:rsidTr="00A20BB7">
        <w:trPr>
          <w:trHeight w:val="1"/>
        </w:trPr>
        <w:tc>
          <w:tcPr>
            <w:tcW w:w="2235" w:type="dxa"/>
          </w:tcPr>
          <w:p w14:paraId="73A3C993" w14:textId="77777777" w:rsidR="00173463" w:rsidRPr="00842A24" w:rsidRDefault="00173463" w:rsidP="008922B4">
            <w:r w:rsidRPr="00842A24">
              <w:t>Bulgarija</w:t>
            </w:r>
          </w:p>
        </w:tc>
        <w:tc>
          <w:tcPr>
            <w:tcW w:w="6974" w:type="dxa"/>
          </w:tcPr>
          <w:p w14:paraId="6D7906A5" w14:textId="77777777" w:rsidR="00173463" w:rsidRPr="00842A24" w:rsidRDefault="00173463" w:rsidP="008922B4">
            <w:pPr>
              <w:jc w:val="both"/>
              <w:rPr>
                <w:bCs/>
              </w:rPr>
            </w:pPr>
            <w:r w:rsidRPr="00842A24">
              <w:rPr>
                <w:bCs/>
              </w:rPr>
              <w:t>Екземестан</w:t>
            </w:r>
            <w:r w:rsidRPr="00842A24">
              <w:t xml:space="preserve"> Акорд 25 mg Филмирани таблетки </w:t>
            </w:r>
          </w:p>
        </w:tc>
      </w:tr>
      <w:tr w:rsidR="00D15CAD" w:rsidRPr="00842A24" w14:paraId="3E13A666" w14:textId="77777777" w:rsidTr="00A20BB7">
        <w:trPr>
          <w:trHeight w:val="1"/>
        </w:trPr>
        <w:tc>
          <w:tcPr>
            <w:tcW w:w="2235" w:type="dxa"/>
          </w:tcPr>
          <w:p w14:paraId="57F66F46" w14:textId="77777777" w:rsidR="00173463" w:rsidRPr="00842A24" w:rsidRDefault="00173463" w:rsidP="008922B4">
            <w:r w:rsidRPr="00842A24">
              <w:t>Belgija</w:t>
            </w:r>
          </w:p>
        </w:tc>
        <w:tc>
          <w:tcPr>
            <w:tcW w:w="6974" w:type="dxa"/>
          </w:tcPr>
          <w:p w14:paraId="2417BF53" w14:textId="77777777" w:rsidR="00173463" w:rsidRPr="00842A24" w:rsidRDefault="00173463" w:rsidP="008922B4">
            <w:pPr>
              <w:jc w:val="both"/>
            </w:pPr>
            <w:r w:rsidRPr="00842A24">
              <w:t xml:space="preserve">Exemestane Accord Healthcare 25 mg </w:t>
            </w:r>
            <w:r w:rsidRPr="00842A24">
              <w:rPr>
                <w:bCs/>
              </w:rPr>
              <w:t>comprimés pelliculés/</w:t>
            </w:r>
            <w:r w:rsidRPr="00842A24">
              <w:t xml:space="preserve"> filmomhulde tabletten / Filmtabletten </w:t>
            </w:r>
          </w:p>
        </w:tc>
      </w:tr>
      <w:tr w:rsidR="00D15CAD" w:rsidRPr="00842A24" w14:paraId="46D47AB8" w14:textId="77777777" w:rsidTr="00A20BB7">
        <w:trPr>
          <w:trHeight w:val="1"/>
        </w:trPr>
        <w:tc>
          <w:tcPr>
            <w:tcW w:w="2235" w:type="dxa"/>
          </w:tcPr>
          <w:p w14:paraId="12E36954" w14:textId="77777777" w:rsidR="00173463" w:rsidRPr="00842A24" w:rsidRDefault="00173463" w:rsidP="008922B4">
            <w:r w:rsidRPr="00842A24">
              <w:t>Čekija</w:t>
            </w:r>
          </w:p>
        </w:tc>
        <w:tc>
          <w:tcPr>
            <w:tcW w:w="6974" w:type="dxa"/>
          </w:tcPr>
          <w:p w14:paraId="394C7FED" w14:textId="77777777" w:rsidR="00173463" w:rsidRPr="00842A24" w:rsidRDefault="00173463" w:rsidP="008922B4">
            <w:pPr>
              <w:jc w:val="both"/>
              <w:rPr>
                <w:bCs/>
              </w:rPr>
            </w:pPr>
            <w:r w:rsidRPr="00842A24">
              <w:t>Exemestane Accord 25 mg Potahované tablety</w:t>
            </w:r>
          </w:p>
        </w:tc>
      </w:tr>
      <w:tr w:rsidR="00D15CAD" w:rsidRPr="00842A24" w14:paraId="31213F76" w14:textId="77777777" w:rsidTr="00A20BB7">
        <w:trPr>
          <w:trHeight w:val="1"/>
        </w:trPr>
        <w:tc>
          <w:tcPr>
            <w:tcW w:w="2235" w:type="dxa"/>
          </w:tcPr>
          <w:p w14:paraId="6074B397" w14:textId="77777777" w:rsidR="00173463" w:rsidRPr="00842A24" w:rsidRDefault="00173463" w:rsidP="008922B4">
            <w:r w:rsidRPr="00842A24">
              <w:t>Estija</w:t>
            </w:r>
          </w:p>
        </w:tc>
        <w:tc>
          <w:tcPr>
            <w:tcW w:w="6974" w:type="dxa"/>
          </w:tcPr>
          <w:p w14:paraId="781AA462" w14:textId="77777777" w:rsidR="00173463" w:rsidRPr="00842A24" w:rsidRDefault="00173463" w:rsidP="008922B4">
            <w:pPr>
              <w:jc w:val="both"/>
              <w:rPr>
                <w:bCs/>
              </w:rPr>
            </w:pPr>
            <w:r w:rsidRPr="00842A24">
              <w:t>Exemestane Accord 25 mg, õhukese polümeerikattega tabletid</w:t>
            </w:r>
          </w:p>
        </w:tc>
      </w:tr>
      <w:tr w:rsidR="00D15CAD" w:rsidRPr="00842A24" w14:paraId="0292BCC2" w14:textId="77777777" w:rsidTr="00A20BB7">
        <w:trPr>
          <w:trHeight w:val="1"/>
        </w:trPr>
        <w:tc>
          <w:tcPr>
            <w:tcW w:w="2235" w:type="dxa"/>
          </w:tcPr>
          <w:p w14:paraId="638C4F15" w14:textId="77777777" w:rsidR="00173463" w:rsidRPr="00842A24" w:rsidRDefault="00173463" w:rsidP="008922B4">
            <w:r w:rsidRPr="00842A24">
              <w:t>Prancūzija</w:t>
            </w:r>
          </w:p>
        </w:tc>
        <w:tc>
          <w:tcPr>
            <w:tcW w:w="6974" w:type="dxa"/>
          </w:tcPr>
          <w:p w14:paraId="18C2C1D5" w14:textId="77777777" w:rsidR="00173463" w:rsidRPr="00842A24" w:rsidRDefault="00173463" w:rsidP="008922B4">
            <w:pPr>
              <w:jc w:val="both"/>
              <w:rPr>
                <w:bCs/>
              </w:rPr>
            </w:pPr>
            <w:r w:rsidRPr="00842A24">
              <w:rPr>
                <w:bCs/>
              </w:rPr>
              <w:t>Exemestane Accord 25 mg comprimé pelliculé</w:t>
            </w:r>
          </w:p>
        </w:tc>
      </w:tr>
      <w:tr w:rsidR="00D15CAD" w:rsidRPr="00842A24" w14:paraId="46E2D850" w14:textId="77777777" w:rsidTr="00A20BB7">
        <w:trPr>
          <w:trHeight w:val="1"/>
        </w:trPr>
        <w:tc>
          <w:tcPr>
            <w:tcW w:w="2235" w:type="dxa"/>
          </w:tcPr>
          <w:p w14:paraId="526010AD" w14:textId="77777777" w:rsidR="00173463" w:rsidRPr="00842A24" w:rsidRDefault="00173463" w:rsidP="008922B4">
            <w:r w:rsidRPr="00842A24">
              <w:t>Vokietija</w:t>
            </w:r>
          </w:p>
        </w:tc>
        <w:tc>
          <w:tcPr>
            <w:tcW w:w="6974" w:type="dxa"/>
          </w:tcPr>
          <w:p w14:paraId="4A6CB183" w14:textId="77777777" w:rsidR="00173463" w:rsidRPr="00842A24" w:rsidRDefault="00173463" w:rsidP="008922B4">
            <w:pPr>
              <w:jc w:val="both"/>
              <w:rPr>
                <w:bCs/>
              </w:rPr>
            </w:pPr>
            <w:r w:rsidRPr="00842A24">
              <w:rPr>
                <w:bCs/>
              </w:rPr>
              <w:t xml:space="preserve">Exemestane Accord 25 mg </w:t>
            </w:r>
            <w:r w:rsidRPr="00842A24">
              <w:t xml:space="preserve">Filmtabletten </w:t>
            </w:r>
          </w:p>
        </w:tc>
      </w:tr>
      <w:tr w:rsidR="00D15CAD" w:rsidRPr="00842A24" w14:paraId="7B0D80BB" w14:textId="77777777" w:rsidTr="00A20BB7">
        <w:trPr>
          <w:trHeight w:val="1"/>
        </w:trPr>
        <w:tc>
          <w:tcPr>
            <w:tcW w:w="2235" w:type="dxa"/>
          </w:tcPr>
          <w:p w14:paraId="07915A38" w14:textId="77777777" w:rsidR="00173463" w:rsidRPr="00842A24" w:rsidRDefault="00173463" w:rsidP="008922B4">
            <w:pPr>
              <w:rPr>
                <w:highlight w:val="yellow"/>
              </w:rPr>
            </w:pPr>
            <w:r w:rsidRPr="00842A24">
              <w:t>Graikija</w:t>
            </w:r>
          </w:p>
        </w:tc>
        <w:tc>
          <w:tcPr>
            <w:tcW w:w="6974" w:type="dxa"/>
          </w:tcPr>
          <w:p w14:paraId="6E3ED20F" w14:textId="77777777" w:rsidR="00173463" w:rsidRPr="00842A24" w:rsidRDefault="00173463" w:rsidP="008922B4">
            <w:pPr>
              <w:rPr>
                <w:bCs/>
                <w:highlight w:val="yellow"/>
              </w:rPr>
            </w:pPr>
            <w:r w:rsidRPr="00842A24">
              <w:t>Εξεμεστάνη</w:t>
            </w:r>
            <w:r w:rsidRPr="00842A24">
              <w:rPr>
                <w:bCs/>
              </w:rPr>
              <w:t xml:space="preserve"> </w:t>
            </w:r>
            <w:r w:rsidRPr="00842A24">
              <w:t>Ακόρντ</w:t>
            </w:r>
            <w:r w:rsidRPr="00842A24">
              <w:rPr>
                <w:bCs/>
              </w:rPr>
              <w:t xml:space="preserve"> 25 mg </w:t>
            </w:r>
            <w:r w:rsidRPr="00842A24">
              <w:rPr>
                <w:color w:val="000000"/>
              </w:rPr>
              <w:t>επικαλυμμένα με λεπτό υμένιο δισκία</w:t>
            </w:r>
          </w:p>
        </w:tc>
      </w:tr>
      <w:tr w:rsidR="00D15CAD" w:rsidRPr="00842A24" w14:paraId="1129FB9B" w14:textId="77777777" w:rsidTr="00A20BB7">
        <w:trPr>
          <w:trHeight w:val="1"/>
        </w:trPr>
        <w:tc>
          <w:tcPr>
            <w:tcW w:w="2235" w:type="dxa"/>
          </w:tcPr>
          <w:p w14:paraId="50108CBB" w14:textId="77777777" w:rsidR="00173463" w:rsidRPr="00842A24" w:rsidRDefault="00173463" w:rsidP="008922B4">
            <w:r w:rsidRPr="00842A24">
              <w:t>Vengrija</w:t>
            </w:r>
          </w:p>
        </w:tc>
        <w:tc>
          <w:tcPr>
            <w:tcW w:w="6974" w:type="dxa"/>
          </w:tcPr>
          <w:p w14:paraId="25F3B315" w14:textId="77777777" w:rsidR="00173463" w:rsidRPr="00842A24" w:rsidRDefault="00173463" w:rsidP="008922B4">
            <w:pPr>
              <w:autoSpaceDE w:val="0"/>
              <w:autoSpaceDN w:val="0"/>
              <w:adjustRightInd w:val="0"/>
              <w:jc w:val="both"/>
              <w:rPr>
                <w:color w:val="000000"/>
              </w:rPr>
            </w:pPr>
            <w:r w:rsidRPr="00842A24">
              <w:rPr>
                <w:color w:val="000000"/>
              </w:rPr>
              <w:t xml:space="preserve">Exemestane Accord 25 mg filmtabletta </w:t>
            </w:r>
          </w:p>
        </w:tc>
      </w:tr>
      <w:tr w:rsidR="00D15CAD" w:rsidRPr="00842A24" w14:paraId="17BBAE8C" w14:textId="77777777" w:rsidTr="00A20BB7">
        <w:trPr>
          <w:trHeight w:val="1"/>
        </w:trPr>
        <w:tc>
          <w:tcPr>
            <w:tcW w:w="2235" w:type="dxa"/>
          </w:tcPr>
          <w:p w14:paraId="12A62E05" w14:textId="77777777" w:rsidR="00173463" w:rsidRPr="00842A24" w:rsidRDefault="00173463" w:rsidP="008922B4">
            <w:r w:rsidRPr="00842A24">
              <w:t>Airija</w:t>
            </w:r>
          </w:p>
        </w:tc>
        <w:tc>
          <w:tcPr>
            <w:tcW w:w="6974" w:type="dxa"/>
          </w:tcPr>
          <w:p w14:paraId="0C403EF3" w14:textId="77777777" w:rsidR="00173463" w:rsidRPr="00842A24" w:rsidRDefault="00173463" w:rsidP="008922B4">
            <w:pPr>
              <w:jc w:val="both"/>
              <w:rPr>
                <w:bCs/>
              </w:rPr>
            </w:pPr>
            <w:r w:rsidRPr="00842A24">
              <w:rPr>
                <w:bCs/>
              </w:rPr>
              <w:t xml:space="preserve">Exemestane 25 mg Film-coated Tablets </w:t>
            </w:r>
          </w:p>
        </w:tc>
      </w:tr>
      <w:tr w:rsidR="00D15CAD" w:rsidRPr="00842A24" w14:paraId="43C65391" w14:textId="77777777" w:rsidTr="00A20BB7">
        <w:trPr>
          <w:trHeight w:val="1"/>
        </w:trPr>
        <w:tc>
          <w:tcPr>
            <w:tcW w:w="2235" w:type="dxa"/>
          </w:tcPr>
          <w:p w14:paraId="1623E22A" w14:textId="77777777" w:rsidR="00173463" w:rsidRPr="00842A24" w:rsidRDefault="00173463" w:rsidP="008922B4">
            <w:r w:rsidRPr="00842A24">
              <w:t>Italija</w:t>
            </w:r>
          </w:p>
        </w:tc>
        <w:tc>
          <w:tcPr>
            <w:tcW w:w="6974" w:type="dxa"/>
          </w:tcPr>
          <w:p w14:paraId="79A82CA9" w14:textId="2366883A" w:rsidR="00173463" w:rsidRPr="00842A24" w:rsidRDefault="00D0287B" w:rsidP="008922B4">
            <w:pPr>
              <w:jc w:val="both"/>
              <w:rPr>
                <w:bCs/>
              </w:rPr>
            </w:pPr>
            <w:r w:rsidRPr="00842A24">
              <w:t>MEXABREST</w:t>
            </w:r>
            <w:r w:rsidR="00173463" w:rsidRPr="00842A24">
              <w:t xml:space="preserve"> 25 mg compresse rivestite con film</w:t>
            </w:r>
          </w:p>
        </w:tc>
      </w:tr>
      <w:tr w:rsidR="00D15CAD" w:rsidRPr="00842A24" w14:paraId="0D23EC57" w14:textId="77777777" w:rsidTr="00A20BB7">
        <w:trPr>
          <w:trHeight w:val="1"/>
        </w:trPr>
        <w:tc>
          <w:tcPr>
            <w:tcW w:w="2235" w:type="dxa"/>
          </w:tcPr>
          <w:p w14:paraId="2A80CB67" w14:textId="77777777" w:rsidR="00173463" w:rsidRPr="00842A24" w:rsidRDefault="00173463" w:rsidP="008922B4">
            <w:r w:rsidRPr="00842A24">
              <w:t>Latvija</w:t>
            </w:r>
          </w:p>
        </w:tc>
        <w:tc>
          <w:tcPr>
            <w:tcW w:w="6974" w:type="dxa"/>
          </w:tcPr>
          <w:p w14:paraId="2A07ED36" w14:textId="77777777" w:rsidR="00173463" w:rsidRPr="00842A24" w:rsidRDefault="00173463" w:rsidP="008922B4">
            <w:pPr>
              <w:jc w:val="both"/>
              <w:rPr>
                <w:bCs/>
              </w:rPr>
            </w:pPr>
            <w:r w:rsidRPr="00842A24">
              <w:rPr>
                <w:color w:val="000000"/>
              </w:rPr>
              <w:t xml:space="preserve">Exemestane Accord 25 mg </w:t>
            </w:r>
            <w:r w:rsidRPr="00842A24">
              <w:t>apvalkotās tabletes</w:t>
            </w:r>
          </w:p>
        </w:tc>
      </w:tr>
      <w:tr w:rsidR="00D15CAD" w:rsidRPr="00842A24" w14:paraId="2CA5E660" w14:textId="77777777" w:rsidTr="00A20BB7">
        <w:trPr>
          <w:trHeight w:val="1"/>
        </w:trPr>
        <w:tc>
          <w:tcPr>
            <w:tcW w:w="2235" w:type="dxa"/>
            <w:shd w:val="clear" w:color="auto" w:fill="auto"/>
          </w:tcPr>
          <w:p w14:paraId="362E702A" w14:textId="77777777" w:rsidR="00173463" w:rsidRPr="00842A24" w:rsidRDefault="00173463" w:rsidP="008922B4">
            <w:r w:rsidRPr="00842A24">
              <w:t>Lietuva</w:t>
            </w:r>
          </w:p>
        </w:tc>
        <w:tc>
          <w:tcPr>
            <w:tcW w:w="6974" w:type="dxa"/>
          </w:tcPr>
          <w:p w14:paraId="2E91DBB1" w14:textId="77777777" w:rsidR="00173463" w:rsidRPr="00842A24" w:rsidRDefault="00173463" w:rsidP="008922B4">
            <w:pPr>
              <w:jc w:val="both"/>
            </w:pPr>
            <w:r w:rsidRPr="00842A24">
              <w:rPr>
                <w:color w:val="000000"/>
              </w:rPr>
              <w:t xml:space="preserve">Exemestane Accord 25 mg plėvele dengtos tabletės </w:t>
            </w:r>
          </w:p>
        </w:tc>
      </w:tr>
      <w:tr w:rsidR="00D15CAD" w:rsidRPr="00842A24" w14:paraId="210A5F95" w14:textId="77777777" w:rsidTr="00A20BB7">
        <w:trPr>
          <w:trHeight w:val="1"/>
        </w:trPr>
        <w:tc>
          <w:tcPr>
            <w:tcW w:w="2235" w:type="dxa"/>
          </w:tcPr>
          <w:p w14:paraId="7383B8E1" w14:textId="77777777" w:rsidR="00173463" w:rsidRPr="00842A24" w:rsidRDefault="00173463" w:rsidP="008922B4">
            <w:r w:rsidRPr="00842A24">
              <w:t>Lenkija</w:t>
            </w:r>
          </w:p>
        </w:tc>
        <w:tc>
          <w:tcPr>
            <w:tcW w:w="6974" w:type="dxa"/>
          </w:tcPr>
          <w:p w14:paraId="1F587EEF" w14:textId="77777777" w:rsidR="00173463" w:rsidRPr="00842A24" w:rsidRDefault="00173463" w:rsidP="008922B4">
            <w:pPr>
              <w:jc w:val="both"/>
            </w:pPr>
            <w:r w:rsidRPr="00842A24">
              <w:rPr>
                <w:color w:val="000000"/>
              </w:rPr>
              <w:t xml:space="preserve">Exemestane Accord 25 mg </w:t>
            </w:r>
            <w:r w:rsidRPr="00842A24">
              <w:t>tabletki powlekane</w:t>
            </w:r>
          </w:p>
        </w:tc>
      </w:tr>
      <w:tr w:rsidR="00D15CAD" w:rsidRPr="00842A24" w14:paraId="078CD0B2" w14:textId="77777777" w:rsidTr="00A20BB7">
        <w:trPr>
          <w:trHeight w:val="1"/>
        </w:trPr>
        <w:tc>
          <w:tcPr>
            <w:tcW w:w="2235" w:type="dxa"/>
          </w:tcPr>
          <w:p w14:paraId="260198EB" w14:textId="77777777" w:rsidR="00173463" w:rsidRPr="00842A24" w:rsidRDefault="00173463" w:rsidP="008922B4">
            <w:r w:rsidRPr="00842A24">
              <w:t>Rumunija</w:t>
            </w:r>
          </w:p>
        </w:tc>
        <w:tc>
          <w:tcPr>
            <w:tcW w:w="6974" w:type="dxa"/>
          </w:tcPr>
          <w:p w14:paraId="26543548" w14:textId="77777777" w:rsidR="00173463" w:rsidRPr="00842A24" w:rsidRDefault="00173463" w:rsidP="008922B4">
            <w:pPr>
              <w:rPr>
                <w:color w:val="000000"/>
              </w:rPr>
            </w:pPr>
            <w:r w:rsidRPr="00842A24">
              <w:t xml:space="preserve">Exemestan Accord 25 mg, </w:t>
            </w:r>
            <w:r w:rsidRPr="00842A24">
              <w:rPr>
                <w:color w:val="000000"/>
              </w:rPr>
              <w:t>comprimate filmate</w:t>
            </w:r>
          </w:p>
        </w:tc>
      </w:tr>
      <w:tr w:rsidR="00D15CAD" w:rsidRPr="00842A24" w14:paraId="433905A2" w14:textId="77777777" w:rsidTr="00A20BB7">
        <w:trPr>
          <w:trHeight w:val="1"/>
        </w:trPr>
        <w:tc>
          <w:tcPr>
            <w:tcW w:w="2235" w:type="dxa"/>
          </w:tcPr>
          <w:p w14:paraId="402EDF5B" w14:textId="77777777" w:rsidR="00173463" w:rsidRPr="00842A24" w:rsidRDefault="00173463" w:rsidP="008922B4">
            <w:r w:rsidRPr="00842A24">
              <w:t>Slovakija</w:t>
            </w:r>
          </w:p>
        </w:tc>
        <w:tc>
          <w:tcPr>
            <w:tcW w:w="6974" w:type="dxa"/>
          </w:tcPr>
          <w:p w14:paraId="613B83B8" w14:textId="77777777" w:rsidR="00173463" w:rsidRPr="00842A24" w:rsidRDefault="00173463" w:rsidP="008922B4">
            <w:pPr>
              <w:jc w:val="both"/>
            </w:pPr>
            <w:r w:rsidRPr="00842A24">
              <w:t>Exemestane Accord 25 mg filmom obalené tablety</w:t>
            </w:r>
            <w:r w:rsidRPr="00842A24">
              <w:tab/>
              <w:t xml:space="preserve"> </w:t>
            </w:r>
          </w:p>
        </w:tc>
      </w:tr>
      <w:tr w:rsidR="00D15CAD" w:rsidRPr="00842A24" w14:paraId="44282B5D" w14:textId="77777777" w:rsidTr="00A20BB7">
        <w:trPr>
          <w:trHeight w:val="1"/>
        </w:trPr>
        <w:tc>
          <w:tcPr>
            <w:tcW w:w="2235" w:type="dxa"/>
          </w:tcPr>
          <w:p w14:paraId="7D99DEE1" w14:textId="77777777" w:rsidR="00173463" w:rsidRPr="00842A24" w:rsidRDefault="00173463" w:rsidP="008922B4">
            <w:r w:rsidRPr="00842A24">
              <w:t>Ispanija</w:t>
            </w:r>
          </w:p>
        </w:tc>
        <w:tc>
          <w:tcPr>
            <w:tcW w:w="6974" w:type="dxa"/>
          </w:tcPr>
          <w:p w14:paraId="13086570" w14:textId="77777777" w:rsidR="00173463" w:rsidRPr="00842A24" w:rsidRDefault="00173463" w:rsidP="008922B4">
            <w:pPr>
              <w:jc w:val="both"/>
            </w:pPr>
            <w:r w:rsidRPr="00842A24">
              <w:t>Exemestane Accord 25 mg comprimidos recubiertos con película EFG</w:t>
            </w:r>
          </w:p>
        </w:tc>
      </w:tr>
      <w:tr w:rsidR="00D15CAD" w:rsidRPr="00842A24" w14:paraId="70B5688D" w14:textId="77777777" w:rsidTr="00A20BB7">
        <w:trPr>
          <w:trHeight w:val="1"/>
        </w:trPr>
        <w:tc>
          <w:tcPr>
            <w:tcW w:w="2235" w:type="dxa"/>
          </w:tcPr>
          <w:p w14:paraId="54147908" w14:textId="2F84E7D2" w:rsidR="00173463" w:rsidRPr="00842A24" w:rsidRDefault="00450A3F" w:rsidP="008922B4">
            <w:r w:rsidRPr="00842A24">
              <w:t>Nyderlandai</w:t>
            </w:r>
          </w:p>
        </w:tc>
        <w:tc>
          <w:tcPr>
            <w:tcW w:w="6974" w:type="dxa"/>
          </w:tcPr>
          <w:p w14:paraId="3074177A" w14:textId="77777777" w:rsidR="00173463" w:rsidRPr="00842A24" w:rsidRDefault="00173463" w:rsidP="008922B4">
            <w:pPr>
              <w:jc w:val="both"/>
            </w:pPr>
            <w:r w:rsidRPr="00842A24">
              <w:t>Exemestaan Accord 25 mg filmomhulde tabletten</w:t>
            </w:r>
          </w:p>
        </w:tc>
      </w:tr>
      <w:tr w:rsidR="00D15CAD" w:rsidRPr="00842A24" w14:paraId="5D546D96" w14:textId="77777777" w:rsidTr="00A20BB7">
        <w:trPr>
          <w:trHeight w:val="1"/>
        </w:trPr>
        <w:tc>
          <w:tcPr>
            <w:tcW w:w="2235" w:type="dxa"/>
          </w:tcPr>
          <w:p w14:paraId="7A78E321" w14:textId="2228128D" w:rsidR="00173463" w:rsidRPr="00842A24" w:rsidRDefault="00173463" w:rsidP="008922B4">
            <w:r w:rsidRPr="00842A24">
              <w:t>Jungtinė Karalystė</w:t>
            </w:r>
            <w:r w:rsidR="00C46E78" w:rsidRPr="00842A24">
              <w:t xml:space="preserve"> (Šiaurės Airija)</w:t>
            </w:r>
          </w:p>
        </w:tc>
        <w:tc>
          <w:tcPr>
            <w:tcW w:w="6974" w:type="dxa"/>
          </w:tcPr>
          <w:p w14:paraId="0AAE5736" w14:textId="77777777" w:rsidR="00173463" w:rsidRPr="00842A24" w:rsidRDefault="00173463" w:rsidP="008922B4">
            <w:pPr>
              <w:jc w:val="both"/>
            </w:pPr>
            <w:r w:rsidRPr="00842A24">
              <w:t xml:space="preserve">Exemestane 25 mg Film-coated Tablets </w:t>
            </w:r>
          </w:p>
        </w:tc>
      </w:tr>
    </w:tbl>
    <w:p w14:paraId="0AFCEB76" w14:textId="77777777" w:rsidR="00173463" w:rsidRPr="00842A24" w:rsidRDefault="00173463" w:rsidP="00173463">
      <w:pPr>
        <w:autoSpaceDE w:val="0"/>
        <w:autoSpaceDN w:val="0"/>
        <w:adjustRightInd w:val="0"/>
        <w:jc w:val="both"/>
        <w:rPr>
          <w:b/>
          <w:bCs/>
        </w:rPr>
      </w:pPr>
    </w:p>
    <w:p w14:paraId="282D4E59" w14:textId="406194AC" w:rsidR="00173463" w:rsidRPr="00842A24" w:rsidRDefault="00173463" w:rsidP="009E4666">
      <w:pPr>
        <w:pStyle w:val="BTbEMEASMCA"/>
      </w:pPr>
      <w:r w:rsidRPr="00842A24">
        <w:t>Šis pakuotės lapelis paskutinį kartą peržiūrėtas</w:t>
      </w:r>
      <w:r w:rsidR="00950710">
        <w:t xml:space="preserve"> </w:t>
      </w:r>
      <w:r w:rsidR="009E4666">
        <w:t>202</w:t>
      </w:r>
      <w:r w:rsidR="001B739A">
        <w:t>5-05-19.</w:t>
      </w:r>
    </w:p>
    <w:p w14:paraId="6D237130" w14:textId="77777777" w:rsidR="00173463" w:rsidRPr="00842A24" w:rsidRDefault="00173463" w:rsidP="00173463"/>
    <w:p w14:paraId="326EEE58" w14:textId="6ADB061D" w:rsidR="008922B4" w:rsidRDefault="00173463" w:rsidP="00964C4D">
      <w:pPr>
        <w:numPr>
          <w:ilvl w:val="12"/>
          <w:numId w:val="0"/>
        </w:numPr>
        <w:tabs>
          <w:tab w:val="left" w:pos="567"/>
        </w:tabs>
        <w:ind w:right="-2"/>
        <w:rPr>
          <w:snapToGrid w:val="0"/>
          <w:szCs w:val="20"/>
        </w:rPr>
      </w:pPr>
      <w:r w:rsidRPr="00842A24">
        <w:rPr>
          <w:snapToGrid w:val="0"/>
          <w:szCs w:val="20"/>
        </w:rPr>
        <w:t xml:space="preserve">Išsami informacija apie šį </w:t>
      </w:r>
      <w:r w:rsidRPr="00842A24">
        <w:rPr>
          <w:snapToGrid w:val="0"/>
        </w:rPr>
        <w:t>vaistą</w:t>
      </w:r>
      <w:r w:rsidRPr="00842A24">
        <w:rPr>
          <w:snapToGrid w:val="0"/>
          <w:szCs w:val="20"/>
        </w:rPr>
        <w:t xml:space="preserve"> pateikiama Valstybinės vaistų kontrolės tarnybos prie Lietuvos Respublikos sveikatos apsaugos ministerijos tinklalapyje</w:t>
      </w:r>
      <w:r w:rsidRPr="00842A24">
        <w:rPr>
          <w:i/>
          <w:snapToGrid w:val="0"/>
        </w:rPr>
        <w:t xml:space="preserve"> </w:t>
      </w:r>
      <w:hyperlink r:id="rId12" w:history="1">
        <w:r w:rsidRPr="00842A24">
          <w:rPr>
            <w:rFonts w:eastAsia="SimSun"/>
            <w:snapToGrid w:val="0"/>
            <w:color w:val="0000FF"/>
            <w:szCs w:val="20"/>
            <w:u w:val="single"/>
          </w:rPr>
          <w:t>http://www.vvkt.lt/</w:t>
        </w:r>
      </w:hyperlink>
      <w:r w:rsidRPr="00842A24">
        <w:rPr>
          <w:snapToGrid w:val="0"/>
          <w:szCs w:val="20"/>
        </w:rPr>
        <w:t>.</w:t>
      </w:r>
      <w:r w:rsidR="00964C4D" w:rsidRPr="00842A24">
        <w:rPr>
          <w:snapToGrid w:val="0"/>
          <w:szCs w:val="20"/>
        </w:rPr>
        <w:t xml:space="preserve">         </w:t>
      </w:r>
    </w:p>
    <w:p w14:paraId="6F867D5E" w14:textId="77777777" w:rsidR="002622F3" w:rsidRPr="00842A24" w:rsidRDefault="002622F3" w:rsidP="00964C4D">
      <w:pPr>
        <w:numPr>
          <w:ilvl w:val="12"/>
          <w:numId w:val="0"/>
        </w:numPr>
        <w:tabs>
          <w:tab w:val="left" w:pos="567"/>
        </w:tabs>
        <w:ind w:right="-2"/>
      </w:pPr>
    </w:p>
    <w:sectPr w:rsidR="002622F3" w:rsidRPr="00842A24" w:rsidSect="00E5770F">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2313F" w14:textId="77777777" w:rsidR="00242C51" w:rsidRDefault="00242C51">
      <w:r>
        <w:separator/>
      </w:r>
    </w:p>
  </w:endnote>
  <w:endnote w:type="continuationSeparator" w:id="0">
    <w:p w14:paraId="501A93E3" w14:textId="77777777" w:rsidR="00242C51" w:rsidRDefault="00242C51">
      <w:r>
        <w:continuationSeparator/>
      </w:r>
    </w:p>
  </w:endnote>
  <w:endnote w:type="continuationNotice" w:id="1">
    <w:p w14:paraId="235771E7" w14:textId="77777777" w:rsidR="00242C51" w:rsidRDefault="00242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altName w:val="MV Boli"/>
    <w:panose1 w:val="00000400000000000000"/>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 Neu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337635"/>
      <w:docPartObj>
        <w:docPartGallery w:val="Page Numbers (Bottom of Page)"/>
        <w:docPartUnique/>
      </w:docPartObj>
    </w:sdtPr>
    <w:sdtEndPr/>
    <w:sdtContent>
      <w:p w14:paraId="64BA6608" w14:textId="758B33D9" w:rsidR="008922B4" w:rsidRDefault="008922B4">
        <w:pPr>
          <w:pStyle w:val="Porat"/>
          <w:jc w:val="center"/>
        </w:pPr>
        <w:r>
          <w:fldChar w:fldCharType="begin"/>
        </w:r>
        <w:r>
          <w:instrText>PAGE   \* MERGEFORMAT</w:instrText>
        </w:r>
        <w:r>
          <w:fldChar w:fldCharType="separate"/>
        </w:r>
        <w:r w:rsidR="00903875">
          <w:rPr>
            <w:noProof/>
          </w:rPr>
          <w:t>16</w:t>
        </w:r>
        <w:r>
          <w:fldChar w:fldCharType="end"/>
        </w:r>
      </w:p>
    </w:sdtContent>
  </w:sdt>
  <w:p w14:paraId="5DE9265C" w14:textId="77777777" w:rsidR="008922B4" w:rsidRDefault="008922B4" w:rsidP="008922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EDF13" w14:textId="77777777" w:rsidR="00242C51" w:rsidRDefault="00242C51">
      <w:r>
        <w:separator/>
      </w:r>
    </w:p>
  </w:footnote>
  <w:footnote w:type="continuationSeparator" w:id="0">
    <w:p w14:paraId="7DBE1D78" w14:textId="77777777" w:rsidR="00242C51" w:rsidRDefault="00242C51">
      <w:r>
        <w:continuationSeparator/>
      </w:r>
    </w:p>
  </w:footnote>
  <w:footnote w:type="continuationNotice" w:id="1">
    <w:p w14:paraId="45B5CACB" w14:textId="77777777" w:rsidR="00242C51" w:rsidRDefault="00242C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3D5F8" w14:textId="77777777" w:rsidR="007C2231" w:rsidRDefault="007C22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B9F"/>
    <w:multiLevelType w:val="multilevel"/>
    <w:tmpl w:val="9B72E512"/>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E2005"/>
    <w:multiLevelType w:val="hybridMultilevel"/>
    <w:tmpl w:val="0E868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9A0457"/>
    <w:multiLevelType w:val="hybridMultilevel"/>
    <w:tmpl w:val="36023222"/>
    <w:lvl w:ilvl="0" w:tplc="FFFFFFFF">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 w15:restartNumberingAfterBreak="0">
    <w:nsid w:val="29B710CD"/>
    <w:multiLevelType w:val="multilevel"/>
    <w:tmpl w:val="7196E6F8"/>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401AD"/>
    <w:multiLevelType w:val="hybridMultilevel"/>
    <w:tmpl w:val="166EC2C6"/>
    <w:lvl w:ilvl="0" w:tplc="A92EDF3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1474D8"/>
    <w:multiLevelType w:val="hybridMultilevel"/>
    <w:tmpl w:val="A52E71E2"/>
    <w:lvl w:ilvl="0" w:tplc="0382CB5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EDA6683"/>
    <w:multiLevelType w:val="hybridMultilevel"/>
    <w:tmpl w:val="0C2AF7E6"/>
    <w:lvl w:ilvl="0" w:tplc="2214B154">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303EBD"/>
    <w:multiLevelType w:val="multilevel"/>
    <w:tmpl w:val="55BC6FEA"/>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84433"/>
    <w:multiLevelType w:val="hybridMultilevel"/>
    <w:tmpl w:val="36802224"/>
    <w:lvl w:ilvl="0" w:tplc="A8C2C7A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6A16B1"/>
    <w:multiLevelType w:val="hybridMultilevel"/>
    <w:tmpl w:val="831E9E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416138"/>
    <w:multiLevelType w:val="multilevel"/>
    <w:tmpl w:val="BBEE2CB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82564B"/>
    <w:multiLevelType w:val="hybridMultilevel"/>
    <w:tmpl w:val="A8AEA308"/>
    <w:lvl w:ilvl="0" w:tplc="04270001">
      <w:start w:val="1"/>
      <w:numFmt w:val="bullet"/>
      <w:lvlText w:val=""/>
      <w:lvlJc w:val="left"/>
      <w:pPr>
        <w:tabs>
          <w:tab w:val="num" w:pos="504"/>
        </w:tabs>
        <w:ind w:left="504"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5F5C6E"/>
    <w:multiLevelType w:val="hybridMultilevel"/>
    <w:tmpl w:val="7B2E09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7"/>
  </w:num>
  <w:num w:numId="4">
    <w:abstractNumId w:val="12"/>
  </w:num>
  <w:num w:numId="5">
    <w:abstractNumId w:val="3"/>
  </w:num>
  <w:num w:numId="6">
    <w:abstractNumId w:val="10"/>
  </w:num>
  <w:num w:numId="7">
    <w:abstractNumId w:val="11"/>
  </w:num>
  <w:num w:numId="8">
    <w:abstractNumId w:val="0"/>
  </w:num>
  <w:num w:numId="9">
    <w:abstractNumId w:val="8"/>
  </w:num>
  <w:num w:numId="10">
    <w:abstractNumId w:val="9"/>
  </w:num>
  <w:num w:numId="11">
    <w:abstractNumId w:val="13"/>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463"/>
    <w:rsid w:val="0000049F"/>
    <w:rsid w:val="00017F85"/>
    <w:rsid w:val="00020DCB"/>
    <w:rsid w:val="00026B41"/>
    <w:rsid w:val="00034D4F"/>
    <w:rsid w:val="00050DAF"/>
    <w:rsid w:val="000612BA"/>
    <w:rsid w:val="00067109"/>
    <w:rsid w:val="00083D4D"/>
    <w:rsid w:val="000A463F"/>
    <w:rsid w:val="000B25B3"/>
    <w:rsid w:val="000B2BB4"/>
    <w:rsid w:val="000C6608"/>
    <w:rsid w:val="000D48BA"/>
    <w:rsid w:val="000E3372"/>
    <w:rsid w:val="0010330A"/>
    <w:rsid w:val="00116520"/>
    <w:rsid w:val="0014060E"/>
    <w:rsid w:val="001421A2"/>
    <w:rsid w:val="001425BB"/>
    <w:rsid w:val="001472C6"/>
    <w:rsid w:val="00153EF0"/>
    <w:rsid w:val="001565C8"/>
    <w:rsid w:val="00156FB7"/>
    <w:rsid w:val="00173463"/>
    <w:rsid w:val="001B3FCD"/>
    <w:rsid w:val="001B739A"/>
    <w:rsid w:val="001C664D"/>
    <w:rsid w:val="001D0AF4"/>
    <w:rsid w:val="001E3B4A"/>
    <w:rsid w:val="002145A3"/>
    <w:rsid w:val="00224B60"/>
    <w:rsid w:val="002269DE"/>
    <w:rsid w:val="00234514"/>
    <w:rsid w:val="00242C51"/>
    <w:rsid w:val="002464C7"/>
    <w:rsid w:val="0025401C"/>
    <w:rsid w:val="00256CDE"/>
    <w:rsid w:val="002622F3"/>
    <w:rsid w:val="00265931"/>
    <w:rsid w:val="0026648A"/>
    <w:rsid w:val="00267616"/>
    <w:rsid w:val="002869E2"/>
    <w:rsid w:val="00291C66"/>
    <w:rsid w:val="00291E65"/>
    <w:rsid w:val="002C165D"/>
    <w:rsid w:val="002D2E87"/>
    <w:rsid w:val="00301B48"/>
    <w:rsid w:val="0030444C"/>
    <w:rsid w:val="00321421"/>
    <w:rsid w:val="00323895"/>
    <w:rsid w:val="00327010"/>
    <w:rsid w:val="0037331F"/>
    <w:rsid w:val="0038030F"/>
    <w:rsid w:val="00381AEE"/>
    <w:rsid w:val="003A236B"/>
    <w:rsid w:val="003D3707"/>
    <w:rsid w:val="003D541B"/>
    <w:rsid w:val="003F3504"/>
    <w:rsid w:val="003F4877"/>
    <w:rsid w:val="00403632"/>
    <w:rsid w:val="00410373"/>
    <w:rsid w:val="00412FF9"/>
    <w:rsid w:val="00432940"/>
    <w:rsid w:val="00450A3F"/>
    <w:rsid w:val="00452CC3"/>
    <w:rsid w:val="004571E4"/>
    <w:rsid w:val="00465565"/>
    <w:rsid w:val="00496740"/>
    <w:rsid w:val="00496837"/>
    <w:rsid w:val="004A141D"/>
    <w:rsid w:val="004A2B26"/>
    <w:rsid w:val="004A5234"/>
    <w:rsid w:val="004B4110"/>
    <w:rsid w:val="004B7679"/>
    <w:rsid w:val="004C315C"/>
    <w:rsid w:val="004F3B4A"/>
    <w:rsid w:val="005027A7"/>
    <w:rsid w:val="00511EAA"/>
    <w:rsid w:val="00516EBE"/>
    <w:rsid w:val="00537D15"/>
    <w:rsid w:val="005619C4"/>
    <w:rsid w:val="00565B35"/>
    <w:rsid w:val="00593D28"/>
    <w:rsid w:val="005A6353"/>
    <w:rsid w:val="005B087D"/>
    <w:rsid w:val="005B672A"/>
    <w:rsid w:val="005C1E5E"/>
    <w:rsid w:val="005F392B"/>
    <w:rsid w:val="00633D05"/>
    <w:rsid w:val="006375C0"/>
    <w:rsid w:val="0064623F"/>
    <w:rsid w:val="00674BB4"/>
    <w:rsid w:val="00675991"/>
    <w:rsid w:val="00682E78"/>
    <w:rsid w:val="00684FE7"/>
    <w:rsid w:val="00691B4D"/>
    <w:rsid w:val="00695E53"/>
    <w:rsid w:val="006A36C6"/>
    <w:rsid w:val="006B6285"/>
    <w:rsid w:val="006D18D9"/>
    <w:rsid w:val="006E39B7"/>
    <w:rsid w:val="006F07E0"/>
    <w:rsid w:val="00704E3C"/>
    <w:rsid w:val="00706224"/>
    <w:rsid w:val="00707B40"/>
    <w:rsid w:val="0072066A"/>
    <w:rsid w:val="007309F9"/>
    <w:rsid w:val="007314AD"/>
    <w:rsid w:val="00742F97"/>
    <w:rsid w:val="00770914"/>
    <w:rsid w:val="007A04D0"/>
    <w:rsid w:val="007A2DD7"/>
    <w:rsid w:val="007B467A"/>
    <w:rsid w:val="007C2231"/>
    <w:rsid w:val="007C398D"/>
    <w:rsid w:val="007C4350"/>
    <w:rsid w:val="007E463C"/>
    <w:rsid w:val="007E6454"/>
    <w:rsid w:val="007E695F"/>
    <w:rsid w:val="007F222E"/>
    <w:rsid w:val="007F4CDF"/>
    <w:rsid w:val="007F772D"/>
    <w:rsid w:val="0081002F"/>
    <w:rsid w:val="008103FC"/>
    <w:rsid w:val="00835107"/>
    <w:rsid w:val="00835A38"/>
    <w:rsid w:val="00842A24"/>
    <w:rsid w:val="00843897"/>
    <w:rsid w:val="008450B8"/>
    <w:rsid w:val="00854B4F"/>
    <w:rsid w:val="00887CFF"/>
    <w:rsid w:val="00891CE9"/>
    <w:rsid w:val="008922B4"/>
    <w:rsid w:val="008A73EB"/>
    <w:rsid w:val="008B16EE"/>
    <w:rsid w:val="008B693E"/>
    <w:rsid w:val="008C66FB"/>
    <w:rsid w:val="0090216F"/>
    <w:rsid w:val="00903875"/>
    <w:rsid w:val="00934882"/>
    <w:rsid w:val="00934F41"/>
    <w:rsid w:val="00950710"/>
    <w:rsid w:val="00964C4D"/>
    <w:rsid w:val="0096707F"/>
    <w:rsid w:val="00970576"/>
    <w:rsid w:val="00974122"/>
    <w:rsid w:val="0097442C"/>
    <w:rsid w:val="009E08FA"/>
    <w:rsid w:val="009E2904"/>
    <w:rsid w:val="009E30E6"/>
    <w:rsid w:val="009E4666"/>
    <w:rsid w:val="009F5D22"/>
    <w:rsid w:val="00A13F02"/>
    <w:rsid w:val="00A20699"/>
    <w:rsid w:val="00A20BB7"/>
    <w:rsid w:val="00A31BDB"/>
    <w:rsid w:val="00A33D22"/>
    <w:rsid w:val="00A365AF"/>
    <w:rsid w:val="00A527B5"/>
    <w:rsid w:val="00A65646"/>
    <w:rsid w:val="00A66890"/>
    <w:rsid w:val="00A813BB"/>
    <w:rsid w:val="00A91910"/>
    <w:rsid w:val="00A97F76"/>
    <w:rsid w:val="00AB560F"/>
    <w:rsid w:val="00AB7478"/>
    <w:rsid w:val="00AB7EA5"/>
    <w:rsid w:val="00AC7E09"/>
    <w:rsid w:val="00AE22F7"/>
    <w:rsid w:val="00AE7778"/>
    <w:rsid w:val="00AF50ED"/>
    <w:rsid w:val="00B1754D"/>
    <w:rsid w:val="00B45813"/>
    <w:rsid w:val="00B4743A"/>
    <w:rsid w:val="00B548F7"/>
    <w:rsid w:val="00B702C3"/>
    <w:rsid w:val="00B760B4"/>
    <w:rsid w:val="00B7741C"/>
    <w:rsid w:val="00BD55E1"/>
    <w:rsid w:val="00BE1231"/>
    <w:rsid w:val="00BE2E1B"/>
    <w:rsid w:val="00C04825"/>
    <w:rsid w:val="00C167DB"/>
    <w:rsid w:val="00C342EA"/>
    <w:rsid w:val="00C4380D"/>
    <w:rsid w:val="00C45135"/>
    <w:rsid w:val="00C458A4"/>
    <w:rsid w:val="00C46E78"/>
    <w:rsid w:val="00C52DE4"/>
    <w:rsid w:val="00C65B1A"/>
    <w:rsid w:val="00C70546"/>
    <w:rsid w:val="00C7583F"/>
    <w:rsid w:val="00CB77AC"/>
    <w:rsid w:val="00CD416B"/>
    <w:rsid w:val="00CF2105"/>
    <w:rsid w:val="00D0287B"/>
    <w:rsid w:val="00D15CAD"/>
    <w:rsid w:val="00D23737"/>
    <w:rsid w:val="00D50D19"/>
    <w:rsid w:val="00D57442"/>
    <w:rsid w:val="00D627CD"/>
    <w:rsid w:val="00D65539"/>
    <w:rsid w:val="00D72E3D"/>
    <w:rsid w:val="00D81CB0"/>
    <w:rsid w:val="00D870F3"/>
    <w:rsid w:val="00D93EE3"/>
    <w:rsid w:val="00DB2652"/>
    <w:rsid w:val="00DE4C70"/>
    <w:rsid w:val="00DF5399"/>
    <w:rsid w:val="00DF5406"/>
    <w:rsid w:val="00DF7641"/>
    <w:rsid w:val="00E34D88"/>
    <w:rsid w:val="00E360BC"/>
    <w:rsid w:val="00E40753"/>
    <w:rsid w:val="00E55F79"/>
    <w:rsid w:val="00E5770F"/>
    <w:rsid w:val="00E6032D"/>
    <w:rsid w:val="00E61475"/>
    <w:rsid w:val="00E62F8E"/>
    <w:rsid w:val="00E76211"/>
    <w:rsid w:val="00E87C1C"/>
    <w:rsid w:val="00E900D8"/>
    <w:rsid w:val="00EC1C06"/>
    <w:rsid w:val="00EC5203"/>
    <w:rsid w:val="00ED749A"/>
    <w:rsid w:val="00EE761E"/>
    <w:rsid w:val="00EF0B84"/>
    <w:rsid w:val="00EF24B4"/>
    <w:rsid w:val="00EF2BAB"/>
    <w:rsid w:val="00F029E0"/>
    <w:rsid w:val="00F357A0"/>
    <w:rsid w:val="00F361BB"/>
    <w:rsid w:val="00F41627"/>
    <w:rsid w:val="00F4612E"/>
    <w:rsid w:val="00F4656E"/>
    <w:rsid w:val="00F47FA6"/>
    <w:rsid w:val="00F621C7"/>
    <w:rsid w:val="00F66107"/>
    <w:rsid w:val="00F67263"/>
    <w:rsid w:val="00F73C69"/>
    <w:rsid w:val="00F81EE2"/>
    <w:rsid w:val="00F93B69"/>
    <w:rsid w:val="00FA0C5A"/>
    <w:rsid w:val="00FA1964"/>
    <w:rsid w:val="00FC3021"/>
    <w:rsid w:val="00FD4499"/>
  </w:rsids>
  <m:mathPr>
    <m:mathFont m:val="Cambria Math"/>
    <m:brkBin m:val="before"/>
    <m:brkBinSub m:val="--"/>
    <m:smallFrac m:val="0"/>
    <m:dispDef/>
    <m:lMargin m:val="0"/>
    <m:rMargin m:val="0"/>
    <m:defJc m:val="centerGroup"/>
    <m:wrapIndent m:val="1440"/>
    <m:intLim m:val="subSup"/>
    <m:naryLim m:val="undOvr"/>
  </m:mathPr>
  <w:themeFontLang w:val="en-IN"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E999"/>
  <w15:docId w15:val="{94423E0F-F8C0-4B8C-8B66-B482F00F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772D"/>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qFormat/>
    <w:rsid w:val="0017346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17346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qFormat/>
    <w:rsid w:val="00173463"/>
    <w:pPr>
      <w:keepNext/>
      <w:spacing w:before="240" w:after="60"/>
      <w:outlineLvl w:val="2"/>
    </w:pPr>
    <w:rPr>
      <w:rFonts w:ascii="Arial" w:hAnsi="Arial"/>
      <w:b/>
      <w:bCs/>
      <w:sz w:val="26"/>
      <w:szCs w:val="26"/>
    </w:rPr>
  </w:style>
  <w:style w:type="paragraph" w:styleId="Antrat4">
    <w:name w:val="heading 4"/>
    <w:basedOn w:val="prastasis"/>
    <w:next w:val="prastasis"/>
    <w:link w:val="Antrat4Diagrama"/>
    <w:qFormat/>
    <w:rsid w:val="00173463"/>
    <w:pPr>
      <w:keepNext/>
      <w:spacing w:before="240" w:after="60"/>
      <w:outlineLvl w:val="3"/>
    </w:pPr>
    <w:rPr>
      <w:rFonts w:ascii="Cambria" w:hAnsi="Cambri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3463"/>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173463"/>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
    <w:rsid w:val="00173463"/>
    <w:rPr>
      <w:rFonts w:ascii="Arial" w:eastAsia="Times New Roman" w:hAnsi="Arial" w:cs="Times New Roman"/>
      <w:b/>
      <w:bCs/>
      <w:sz w:val="26"/>
      <w:szCs w:val="26"/>
      <w:lang w:val="lt-LT"/>
    </w:rPr>
  </w:style>
  <w:style w:type="character" w:customStyle="1" w:styleId="Antrat4Diagrama">
    <w:name w:val="Antraštė 4 Diagrama"/>
    <w:basedOn w:val="Numatytasispastraiposriftas"/>
    <w:link w:val="Antrat4"/>
    <w:rsid w:val="00173463"/>
    <w:rPr>
      <w:rFonts w:ascii="Cambria" w:eastAsia="Times New Roman" w:hAnsi="Cambria" w:cs="Times New Roman"/>
      <w:b/>
      <w:bCs/>
      <w:sz w:val="28"/>
      <w:szCs w:val="28"/>
      <w:lang w:val="lt-LT"/>
    </w:rPr>
  </w:style>
  <w:style w:type="character" w:styleId="Hipersaitas">
    <w:name w:val="Hyperlink"/>
    <w:uiPriority w:val="99"/>
    <w:rsid w:val="00173463"/>
    <w:rPr>
      <w:color w:val="0000FF"/>
      <w:u w:val="single"/>
    </w:rPr>
  </w:style>
  <w:style w:type="paragraph" w:customStyle="1" w:styleId="PI-1EMEASMCA">
    <w:name w:val="PI-1 EMEA_SMCA"/>
    <w:basedOn w:val="Antrat2"/>
    <w:autoRedefine/>
    <w:rsid w:val="0017346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73463"/>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link w:val="PI-1labEMEASMCA"/>
    <w:rsid w:val="00173463"/>
    <w:rPr>
      <w:rFonts w:ascii="Times New Roman" w:eastAsia="Times New Roman" w:hAnsi="Times New Roman" w:cs="Times New Roman"/>
      <w:b/>
      <w:noProof/>
      <w:lang w:val="lt-LT"/>
    </w:rPr>
  </w:style>
  <w:style w:type="paragraph" w:customStyle="1" w:styleId="PI-2EMEASMCA">
    <w:name w:val="PI-2 EMEA_SMCA"/>
    <w:basedOn w:val="Antrat3"/>
    <w:autoRedefine/>
    <w:rsid w:val="00173463"/>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9E4666"/>
    <w:rPr>
      <w:noProof/>
      <w:szCs w:val="22"/>
    </w:rPr>
  </w:style>
  <w:style w:type="paragraph" w:customStyle="1" w:styleId="TTEMEASMCA">
    <w:name w:val="TT EMEA_SMCA"/>
    <w:basedOn w:val="Antrat1"/>
    <w:link w:val="TTEMEASMCAChar"/>
    <w:autoRedefine/>
    <w:rsid w:val="0017346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173463"/>
    <w:rPr>
      <w:rFonts w:ascii="Times New Roman" w:eastAsia="Times New Roman" w:hAnsi="Times New Roman" w:cs="Times New Roman"/>
      <w:b/>
      <w:caps/>
      <w:lang w:val="en-US"/>
    </w:rPr>
  </w:style>
  <w:style w:type="paragraph" w:customStyle="1" w:styleId="BTAnIIEMEASMCA">
    <w:name w:val="BT(AnII) EMEA_SMCA"/>
    <w:basedOn w:val="Debesliotekstas"/>
    <w:autoRedefine/>
    <w:rsid w:val="0017346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C167DB"/>
    <w:pPr>
      <w:numPr>
        <w:numId w:val="1"/>
      </w:numPr>
      <w:tabs>
        <w:tab w:val="clear" w:pos="720"/>
        <w:tab w:val="num" w:pos="360"/>
      </w:tabs>
      <w:ind w:left="0" w:firstLine="0"/>
    </w:pPr>
  </w:style>
  <w:style w:type="paragraph" w:customStyle="1" w:styleId="PI-3EMEASMCA">
    <w:name w:val="PI-3 EMEA_SMCA"/>
    <w:basedOn w:val="prastasis"/>
    <w:autoRedefine/>
    <w:rsid w:val="00173463"/>
    <w:pPr>
      <w:spacing w:line="220" w:lineRule="exact"/>
    </w:pPr>
    <w:rPr>
      <w:b/>
      <w:bCs/>
      <w:szCs w:val="22"/>
    </w:rPr>
  </w:style>
  <w:style w:type="paragraph" w:customStyle="1" w:styleId="BTbEMEASMCA">
    <w:name w:val="BT(b) EMEA_SMCA"/>
    <w:basedOn w:val="BTEMEASMCA"/>
    <w:autoRedefine/>
    <w:rsid w:val="00173463"/>
    <w:rPr>
      <w:b/>
    </w:rPr>
  </w:style>
  <w:style w:type="paragraph" w:customStyle="1" w:styleId="BTbeEMEASMCA">
    <w:name w:val="BT(be) EMEA_SMCA"/>
    <w:basedOn w:val="BTEMEASMCA"/>
    <w:autoRedefine/>
    <w:rsid w:val="00173463"/>
    <w:pPr>
      <w:jc w:val="center"/>
    </w:pPr>
    <w:rPr>
      <w:b/>
    </w:rPr>
  </w:style>
  <w:style w:type="paragraph" w:customStyle="1" w:styleId="BTeEMEASMCA">
    <w:name w:val="BT(e) EMEA_SMCA"/>
    <w:basedOn w:val="BTEMEASMCA"/>
    <w:autoRedefine/>
    <w:rsid w:val="00173463"/>
    <w:pPr>
      <w:jc w:val="center"/>
    </w:pPr>
    <w:rPr>
      <w:lang w:val="en-GB"/>
    </w:rPr>
  </w:style>
  <w:style w:type="paragraph" w:customStyle="1" w:styleId="BTgEMEASMCA">
    <w:name w:val="BT(g) EMEA_SMCA"/>
    <w:basedOn w:val="BTEMEASMCA"/>
    <w:link w:val="BTgEMEASMCAChar"/>
    <w:autoRedefine/>
    <w:rsid w:val="00173463"/>
    <w:rPr>
      <w:i/>
      <w:color w:val="008000"/>
    </w:rPr>
  </w:style>
  <w:style w:type="character" w:customStyle="1" w:styleId="BTEMEASMCAChar">
    <w:name w:val="BT EMEA_SMCA Char"/>
    <w:link w:val="BTEMEASMCA"/>
    <w:rsid w:val="009E4666"/>
    <w:rPr>
      <w:rFonts w:ascii="Times New Roman" w:eastAsia="Times New Roman" w:hAnsi="Times New Roman" w:cs="Times New Roman"/>
      <w:noProof/>
      <w:lang w:val="lt-LT"/>
    </w:rPr>
  </w:style>
  <w:style w:type="character" w:customStyle="1" w:styleId="BTgEMEASMCAChar">
    <w:name w:val="BT(g) EMEA_SMCA Char"/>
    <w:link w:val="BTgEMEASMCA"/>
    <w:rsid w:val="00173463"/>
    <w:rPr>
      <w:rFonts w:ascii="Times New Roman" w:eastAsia="Times New Roman" w:hAnsi="Times New Roman" w:cs="Times New Roman"/>
      <w:i/>
      <w:noProof/>
      <w:color w:val="008000"/>
      <w:lang w:val="lt-LT"/>
    </w:rPr>
  </w:style>
  <w:style w:type="paragraph" w:customStyle="1" w:styleId="BTuEMEASMCA">
    <w:name w:val="BT(u) EMEA_SMCA"/>
    <w:basedOn w:val="BTEMEASMCA"/>
    <w:autoRedefine/>
    <w:rsid w:val="00173463"/>
  </w:style>
  <w:style w:type="paragraph" w:styleId="Debesliotekstas">
    <w:name w:val="Balloon Text"/>
    <w:basedOn w:val="prastasis"/>
    <w:link w:val="DebesliotekstasDiagrama"/>
    <w:semiHidden/>
    <w:rsid w:val="0017346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73463"/>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173463"/>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173463"/>
    <w:rPr>
      <w:rFonts w:ascii="Tahoma" w:eastAsia="Times New Roman" w:hAnsi="Tahoma" w:cs="Tahoma"/>
      <w:sz w:val="20"/>
      <w:szCs w:val="20"/>
      <w:shd w:val="clear" w:color="auto" w:fill="000080"/>
      <w:lang w:val="lt-LT"/>
    </w:rPr>
  </w:style>
  <w:style w:type="character" w:styleId="Komentaronuoroda">
    <w:name w:val="annotation reference"/>
    <w:uiPriority w:val="99"/>
    <w:rsid w:val="00173463"/>
    <w:rPr>
      <w:rFonts w:cs="Times New Roman"/>
      <w:sz w:val="16"/>
      <w:szCs w:val="16"/>
    </w:rPr>
  </w:style>
  <w:style w:type="paragraph" w:styleId="prastasiniatinklio">
    <w:name w:val="Normal (Web)"/>
    <w:basedOn w:val="prastasis"/>
    <w:uiPriority w:val="99"/>
    <w:rsid w:val="00173463"/>
    <w:pPr>
      <w:spacing w:before="100" w:beforeAutospacing="1" w:after="100" w:afterAutospacing="1"/>
    </w:pPr>
    <w:rPr>
      <w:sz w:val="24"/>
      <w:lang w:val="en-US"/>
    </w:rPr>
  </w:style>
  <w:style w:type="paragraph" w:styleId="Pagrindinistekstas">
    <w:name w:val="Body Text"/>
    <w:basedOn w:val="prastasis"/>
    <w:link w:val="PagrindinistekstasDiagrama"/>
    <w:uiPriority w:val="99"/>
    <w:rsid w:val="00173463"/>
    <w:pPr>
      <w:spacing w:after="120"/>
    </w:pPr>
    <w:rPr>
      <w:sz w:val="24"/>
      <w:lang w:val="en-US"/>
    </w:rPr>
  </w:style>
  <w:style w:type="character" w:customStyle="1" w:styleId="PagrindinistekstasDiagrama">
    <w:name w:val="Pagrindinis tekstas Diagrama"/>
    <w:basedOn w:val="Numatytasispastraiposriftas"/>
    <w:link w:val="Pagrindinistekstas"/>
    <w:uiPriority w:val="99"/>
    <w:rsid w:val="00173463"/>
    <w:rPr>
      <w:rFonts w:ascii="Times New Roman" w:eastAsia="Times New Roman" w:hAnsi="Times New Roman" w:cs="Times New Roman"/>
      <w:sz w:val="24"/>
      <w:szCs w:val="24"/>
      <w:lang w:val="en-US"/>
    </w:rPr>
  </w:style>
  <w:style w:type="paragraph" w:customStyle="1" w:styleId="ReferenceLine">
    <w:name w:val="Reference Line"/>
    <w:basedOn w:val="Pagrindinistekstas"/>
    <w:rsid w:val="00173463"/>
    <w:pPr>
      <w:spacing w:after="0"/>
      <w:jc w:val="both"/>
    </w:pPr>
    <w:rPr>
      <w:rFonts w:ascii="Arial" w:hAnsi="Arial"/>
      <w:szCs w:val="20"/>
      <w:lang w:val="en-GB"/>
    </w:rPr>
  </w:style>
  <w:style w:type="paragraph" w:customStyle="1" w:styleId="paragraph">
    <w:name w:val="paragraph"/>
    <w:basedOn w:val="prastasis"/>
    <w:rsid w:val="00173463"/>
    <w:rPr>
      <w:sz w:val="24"/>
      <w:lang w:val="en-US"/>
    </w:rPr>
  </w:style>
  <w:style w:type="character" w:customStyle="1" w:styleId="underline1">
    <w:name w:val="underline1"/>
    <w:rsid w:val="00173463"/>
    <w:rPr>
      <w:rFonts w:cs="Times New Roman"/>
      <w:u w:val="single"/>
    </w:rPr>
  </w:style>
  <w:style w:type="character" w:customStyle="1" w:styleId="bold1">
    <w:name w:val="bold1"/>
    <w:rsid w:val="00173463"/>
    <w:rPr>
      <w:rFonts w:cs="Times New Roman"/>
      <w:b/>
      <w:bCs/>
    </w:rPr>
  </w:style>
  <w:style w:type="paragraph" w:customStyle="1" w:styleId="Default">
    <w:name w:val="Default"/>
    <w:rsid w:val="0017346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horttext1">
    <w:name w:val="short_text1"/>
    <w:rsid w:val="00173463"/>
    <w:rPr>
      <w:sz w:val="24"/>
      <w:szCs w:val="24"/>
    </w:rPr>
  </w:style>
  <w:style w:type="paragraph" w:styleId="Komentarotekstas">
    <w:name w:val="annotation text"/>
    <w:basedOn w:val="prastasis"/>
    <w:link w:val="KomentarotekstasDiagrama"/>
    <w:semiHidden/>
    <w:rsid w:val="00173463"/>
    <w:rPr>
      <w:sz w:val="20"/>
      <w:szCs w:val="20"/>
    </w:rPr>
  </w:style>
  <w:style w:type="character" w:customStyle="1" w:styleId="KomentarotekstasDiagrama">
    <w:name w:val="Komentaro tekstas Diagrama"/>
    <w:basedOn w:val="Numatytasispastraiposriftas"/>
    <w:link w:val="Komentarotekstas"/>
    <w:semiHidden/>
    <w:rsid w:val="0017346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173463"/>
    <w:rPr>
      <w:b/>
      <w:bCs/>
    </w:rPr>
  </w:style>
  <w:style w:type="character" w:customStyle="1" w:styleId="KomentarotemaDiagrama">
    <w:name w:val="Komentaro tema Diagrama"/>
    <w:basedOn w:val="KomentarotekstasDiagrama"/>
    <w:link w:val="Komentarotema"/>
    <w:semiHidden/>
    <w:rsid w:val="00173463"/>
    <w:rPr>
      <w:rFonts w:ascii="Times New Roman" w:eastAsia="Times New Roman" w:hAnsi="Times New Roman" w:cs="Times New Roman"/>
      <w:b/>
      <w:bCs/>
      <w:sz w:val="20"/>
      <w:szCs w:val="20"/>
      <w:lang w:val="lt-LT"/>
    </w:rPr>
  </w:style>
  <w:style w:type="character" w:customStyle="1" w:styleId="apple-converted-space">
    <w:name w:val="apple-converted-space"/>
    <w:basedOn w:val="Numatytasispastraiposriftas"/>
    <w:rsid w:val="00173463"/>
  </w:style>
  <w:style w:type="numbering" w:customStyle="1" w:styleId="Sraonra1">
    <w:name w:val="Sąrašo nėra1"/>
    <w:next w:val="Sraonra"/>
    <w:semiHidden/>
    <w:rsid w:val="00173463"/>
  </w:style>
  <w:style w:type="paragraph" w:styleId="Porat">
    <w:name w:val="footer"/>
    <w:basedOn w:val="prastasis"/>
    <w:link w:val="PoratDiagrama"/>
    <w:uiPriority w:val="99"/>
    <w:rsid w:val="00173463"/>
    <w:pPr>
      <w:tabs>
        <w:tab w:val="center" w:pos="4819"/>
        <w:tab w:val="right" w:pos="9638"/>
      </w:tabs>
    </w:pPr>
  </w:style>
  <w:style w:type="character" w:customStyle="1" w:styleId="PoratDiagrama">
    <w:name w:val="Poraštė Diagrama"/>
    <w:basedOn w:val="Numatytasispastraiposriftas"/>
    <w:link w:val="Porat"/>
    <w:uiPriority w:val="99"/>
    <w:rsid w:val="00173463"/>
    <w:rPr>
      <w:rFonts w:ascii="Times New Roman" w:eastAsia="Times New Roman" w:hAnsi="Times New Roman" w:cs="Times New Roman"/>
      <w:szCs w:val="24"/>
      <w:lang w:val="lt-LT"/>
    </w:rPr>
  </w:style>
  <w:style w:type="character" w:styleId="Puslapionumeris">
    <w:name w:val="page number"/>
    <w:basedOn w:val="Numatytasispastraiposriftas"/>
    <w:rsid w:val="00173463"/>
  </w:style>
  <w:style w:type="paragraph" w:styleId="Antrats">
    <w:name w:val="header"/>
    <w:basedOn w:val="prastasis"/>
    <w:link w:val="AntratsDiagrama"/>
    <w:rsid w:val="00173463"/>
    <w:pPr>
      <w:tabs>
        <w:tab w:val="center" w:pos="4819"/>
        <w:tab w:val="right" w:pos="9638"/>
      </w:tabs>
    </w:pPr>
  </w:style>
  <w:style w:type="character" w:customStyle="1" w:styleId="AntratsDiagrama">
    <w:name w:val="Antraštės Diagrama"/>
    <w:basedOn w:val="Numatytasispastraiposriftas"/>
    <w:link w:val="Antrats"/>
    <w:rsid w:val="00173463"/>
    <w:rPr>
      <w:rFonts w:ascii="Times New Roman" w:eastAsia="Times New Roman" w:hAnsi="Times New Roman" w:cs="Times New Roman"/>
      <w:szCs w:val="24"/>
      <w:lang w:val="lt-LT"/>
    </w:rPr>
  </w:style>
  <w:style w:type="paragraph" w:styleId="Pataisymai">
    <w:name w:val="Revision"/>
    <w:hidden/>
    <w:semiHidden/>
    <w:rsid w:val="00173463"/>
    <w:pPr>
      <w:spacing w:after="0" w:line="240" w:lineRule="auto"/>
    </w:pPr>
    <w:rPr>
      <w:rFonts w:ascii="Times New Roman" w:eastAsia="Times New Roman" w:hAnsi="Times New Roman" w:cs="Times New Roman"/>
      <w:szCs w:val="24"/>
      <w:lang w:val="lt-LT"/>
    </w:rPr>
  </w:style>
  <w:style w:type="paragraph" w:customStyle="1" w:styleId="TableParagraph">
    <w:name w:val="Table Paragraph"/>
    <w:basedOn w:val="prastasis"/>
    <w:uiPriority w:val="1"/>
    <w:qFormat/>
    <w:rsid w:val="00F4612E"/>
    <w:pPr>
      <w:widowControl w:val="0"/>
    </w:pPr>
    <w:rPr>
      <w:rFonts w:ascii="Calibri" w:eastAsia="Calibri" w:hAnsi="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71779">
      <w:bodyDiv w:val="1"/>
      <w:marLeft w:val="0"/>
      <w:marRight w:val="0"/>
      <w:marTop w:val="0"/>
      <w:marBottom w:val="0"/>
      <w:divBdr>
        <w:top w:val="none" w:sz="0" w:space="0" w:color="auto"/>
        <w:left w:val="none" w:sz="0" w:space="0" w:color="auto"/>
        <w:bottom w:val="none" w:sz="0" w:space="0" w:color="auto"/>
        <w:right w:val="none" w:sz="0" w:space="0" w:color="auto"/>
      </w:divBdr>
    </w:div>
    <w:div w:id="381249635">
      <w:bodyDiv w:val="1"/>
      <w:marLeft w:val="0"/>
      <w:marRight w:val="0"/>
      <w:marTop w:val="0"/>
      <w:marBottom w:val="0"/>
      <w:divBdr>
        <w:top w:val="none" w:sz="0" w:space="0" w:color="auto"/>
        <w:left w:val="none" w:sz="0" w:space="0" w:color="auto"/>
        <w:bottom w:val="none" w:sz="0" w:space="0" w:color="auto"/>
        <w:right w:val="none" w:sz="0" w:space="0" w:color="auto"/>
      </w:divBdr>
    </w:div>
    <w:div w:id="1261723917">
      <w:bodyDiv w:val="1"/>
      <w:marLeft w:val="0"/>
      <w:marRight w:val="0"/>
      <w:marTop w:val="0"/>
      <w:marBottom w:val="0"/>
      <w:divBdr>
        <w:top w:val="none" w:sz="0" w:space="0" w:color="auto"/>
        <w:left w:val="none" w:sz="0" w:space="0" w:color="auto"/>
        <w:bottom w:val="none" w:sz="0" w:space="0" w:color="auto"/>
        <w:right w:val="none" w:sz="0" w:space="0" w:color="auto"/>
      </w:divBdr>
    </w:div>
    <w:div w:id="1380323407">
      <w:bodyDiv w:val="1"/>
      <w:marLeft w:val="0"/>
      <w:marRight w:val="0"/>
      <w:marTop w:val="0"/>
      <w:marBottom w:val="0"/>
      <w:divBdr>
        <w:top w:val="none" w:sz="0" w:space="0" w:color="auto"/>
        <w:left w:val="none" w:sz="0" w:space="0" w:color="auto"/>
        <w:bottom w:val="none" w:sz="0" w:space="0" w:color="auto"/>
        <w:right w:val="none" w:sz="0" w:space="0" w:color="auto"/>
      </w:divBdr>
    </w:div>
    <w:div w:id="1453599229">
      <w:bodyDiv w:val="1"/>
      <w:marLeft w:val="0"/>
      <w:marRight w:val="0"/>
      <w:marTop w:val="0"/>
      <w:marBottom w:val="0"/>
      <w:divBdr>
        <w:top w:val="none" w:sz="0" w:space="0" w:color="auto"/>
        <w:left w:val="none" w:sz="0" w:space="0" w:color="auto"/>
        <w:bottom w:val="none" w:sz="0" w:space="0" w:color="auto"/>
        <w:right w:val="none" w:sz="0" w:space="0" w:color="auto"/>
      </w:divBdr>
    </w:div>
    <w:div w:id="1482622648">
      <w:bodyDiv w:val="1"/>
      <w:marLeft w:val="0"/>
      <w:marRight w:val="0"/>
      <w:marTop w:val="0"/>
      <w:marBottom w:val="0"/>
      <w:divBdr>
        <w:top w:val="none" w:sz="0" w:space="0" w:color="auto"/>
        <w:left w:val="none" w:sz="0" w:space="0" w:color="auto"/>
        <w:bottom w:val="none" w:sz="0" w:space="0" w:color="auto"/>
        <w:right w:val="none" w:sz="0" w:space="0" w:color="auto"/>
      </w:divBdr>
    </w:div>
    <w:div w:id="20773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81F45-BB50-4C27-88ED-870CFA12B82D}">
  <ds:schemaRefs>
    <ds:schemaRef ds:uri="http://schemas.microsoft.com/office/2006/metadata/properties"/>
    <ds:schemaRef ds:uri="http://www.w3.org/XML/1998/namespace"/>
    <ds:schemaRef ds:uri="http://schemas.microsoft.com/office/infopath/2007/PartnerControls"/>
    <ds:schemaRef ds:uri="dbf2eccc-375d-4251-95f3-c31d8c476153"/>
    <ds:schemaRef ds:uri="http://schemas.microsoft.com/office/2006/documentManagement/types"/>
    <ds:schemaRef ds:uri="525029b5-868e-4932-a2f1-2267ab1d00cd"/>
    <ds:schemaRef ds:uri="http://schemas.openxmlformats.org/package/2006/metadata/core-properties"/>
    <ds:schemaRef ds:uri="http://purl.org/dc/terms/"/>
    <ds:schemaRef ds:uri="http://purl.org/dc/dcmitype/"/>
    <ds:schemaRef ds:uri="http://purl.org/dc/elements/1.1/"/>
  </ds:schemaRefs>
</ds:datastoreItem>
</file>

<file path=customXml/itemProps2.xml><?xml version="1.0" encoding="utf-8"?>
<ds:datastoreItem xmlns:ds="http://schemas.openxmlformats.org/officeDocument/2006/customXml" ds:itemID="{1ABB0730-3BDD-4128-9B28-6D5B3F2A8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DCA01-9D59-490E-BB72-86D85C3512F5}">
  <ds:schemaRefs>
    <ds:schemaRef ds:uri="http://schemas.microsoft.com/sharepoint/v3/contenttype/forms"/>
  </ds:schemaRefs>
</ds:datastoreItem>
</file>

<file path=customXml/itemProps4.xml><?xml version="1.0" encoding="utf-8"?>
<ds:datastoreItem xmlns:ds="http://schemas.openxmlformats.org/officeDocument/2006/customXml" ds:itemID="{54983D60-A662-43FB-8BCE-B9A3FC15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33224</Words>
  <Characters>18938</Characters>
  <Application>Microsoft Office Word</Application>
  <DocSecurity>4</DocSecurity>
  <Lines>157</Lines>
  <Paragraphs>104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70</vt:i4>
      </vt:variant>
    </vt:vector>
  </HeadingPairs>
  <TitlesOfParts>
    <vt:vector size="72"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II PRIEDAS</vt:lpstr>
      <vt:lpstr/>
      <vt:lpstr>    A.	GAMINTOJAS (-AI), ATSAKINGAS UŽ SERIJŲ IŠLEIDIMĄ</vt:lpstr>
      <vt:lpstr>III PRIEDAS</vt:lpstr>
      <vt:lpstr>ŽENKLINIMAS IR PAKUOTĖS LAPELIS</vt:lpstr>
      <vt:lpstr>A. ŽENKLINIMAS</vt:lpstr>
      <vt:lpstr>B. PAKUOTĖS LAPELIS</vt:lpstr>
      <vt:lpstr>    1.	Kas yra Exemestane Accord ir kam jis vartojamas</vt:lpstr>
      <vt:lpstr>    </vt:lpstr>
      <vt:lpstr>    2.	Kas žinotina prieš vartojant Exemestane Accord</vt:lpstr>
      <vt:lpstr>    3.	Kaip vartoti Exemestane Accord</vt:lpstr>
      <vt:lpstr>    4.	Galimas šalutinis poveikis</vt:lpstr>
      <vt:lpstr>    5.	Kaip laikyti Exemestane Accord</vt:lpstr>
      <vt:lpstr>    </vt:lpstr>
      <vt:lpstr>    </vt:lpstr>
      <vt:lpstr>    </vt:lpstr>
      <vt:lpstr>    6.	Pakuotės turinys ir kita informacija</vt:lpstr>
    </vt:vector>
  </TitlesOfParts>
  <Company>Hewlett-Packard Company</Company>
  <LinksUpToDate>false</LinksUpToDate>
  <CharactersWithSpaces>52058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vvkt13</dc:creator>
  <cp:lastModifiedBy>Albina Burkauskaitė</cp:lastModifiedBy>
  <cp:revision>2</cp:revision>
  <dcterms:created xsi:type="dcterms:W3CDTF">2025-05-27T07:09:00Z</dcterms:created>
  <dcterms:modified xsi:type="dcterms:W3CDTF">2025-05-27T07:09:00Z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