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E2A" w:rsidRPr="00842A24" w:rsidRDefault="00EA6E2A" w:rsidP="00EA6E2A">
      <w:pPr>
        <w:jc w:val="center"/>
        <w:rPr>
          <w:b/>
        </w:rPr>
      </w:pPr>
      <w:bookmarkStart w:id="0" w:name="_Toc129243138"/>
      <w:bookmarkStart w:id="1" w:name="_Toc129243263"/>
      <w:r w:rsidRPr="00842A24">
        <w:rPr>
          <w:b/>
        </w:rPr>
        <w:t>Pakuotės lapelis: informacija vartotojui</w:t>
      </w:r>
      <w:bookmarkEnd w:id="0"/>
      <w:bookmarkEnd w:id="1"/>
    </w:p>
    <w:p w:rsidR="00EA6E2A" w:rsidRPr="00842A24" w:rsidRDefault="00EA6E2A" w:rsidP="00EA6E2A">
      <w:pPr>
        <w:pStyle w:val="BTbeEMEASMCA"/>
      </w:pPr>
    </w:p>
    <w:p w:rsidR="00EA6E2A" w:rsidRPr="00842A24" w:rsidRDefault="00EA6E2A" w:rsidP="00EA6E2A">
      <w:pPr>
        <w:pStyle w:val="BTbeEMEASMCA"/>
      </w:pPr>
      <w:r w:rsidRPr="00842A24">
        <w:t>Exemestane Accord 25 mg plėvele dengtos tabletės</w:t>
      </w:r>
    </w:p>
    <w:p w:rsidR="00EA6E2A" w:rsidRPr="00842A24" w:rsidRDefault="00EA6E2A" w:rsidP="00EA6E2A">
      <w:pPr>
        <w:pStyle w:val="BTeEMEASMCA"/>
      </w:pPr>
      <w:r w:rsidRPr="00842A24">
        <w:t>eksemestanas</w:t>
      </w:r>
    </w:p>
    <w:p w:rsidR="00EA6E2A" w:rsidRPr="00842A24" w:rsidRDefault="00EA6E2A" w:rsidP="00EA6E2A">
      <w:pPr>
        <w:pStyle w:val="BTEMEASMCA"/>
      </w:pPr>
    </w:p>
    <w:p w:rsidR="00EA6E2A" w:rsidRPr="00842A24" w:rsidRDefault="00EA6E2A" w:rsidP="00EA6E2A">
      <w:pPr>
        <w:pStyle w:val="BTbEMEASMCA"/>
      </w:pPr>
      <w:r w:rsidRPr="00842A24">
        <w:t>Atidžiai perskaitykite visą šį lapelį, prieš pradėdami vartoti vaistą</w:t>
      </w:r>
      <w:r w:rsidRPr="00842A24">
        <w:rPr>
          <w:szCs w:val="24"/>
        </w:rPr>
        <w:t>, nes jame pateikiama Jums svarbi informacija</w:t>
      </w:r>
      <w:r w:rsidRPr="00842A24">
        <w:t>.</w:t>
      </w:r>
    </w:p>
    <w:p w:rsidR="00EA6E2A" w:rsidRPr="00842A24" w:rsidRDefault="00EA6E2A" w:rsidP="00EA6E2A">
      <w:pPr>
        <w:pStyle w:val="BT-EMEASMCA"/>
        <w:tabs>
          <w:tab w:val="clear" w:pos="360"/>
        </w:tabs>
        <w:ind w:left="567" w:hanging="567"/>
      </w:pPr>
      <w:r w:rsidRPr="00842A24">
        <w:t>Neišmeskite šio lapelio, nes vėl gali prireikti jį perskaityti.</w:t>
      </w:r>
    </w:p>
    <w:p w:rsidR="00EA6E2A" w:rsidRPr="00842A24" w:rsidRDefault="00EA6E2A" w:rsidP="00EA6E2A">
      <w:pPr>
        <w:pStyle w:val="BT-EMEASMCA"/>
        <w:tabs>
          <w:tab w:val="clear" w:pos="360"/>
        </w:tabs>
        <w:ind w:left="567" w:hanging="567"/>
      </w:pPr>
      <w:r w:rsidRPr="00842A24">
        <w:t>Jeigu kiltų daugiau klausimų, kreipkitės į gydytoją arba vaistininką.</w:t>
      </w:r>
    </w:p>
    <w:p w:rsidR="00EA6E2A" w:rsidRPr="00842A24" w:rsidRDefault="00EA6E2A" w:rsidP="00EA6E2A">
      <w:pPr>
        <w:pStyle w:val="BT-EMEASMCA"/>
        <w:tabs>
          <w:tab w:val="clear" w:pos="360"/>
        </w:tabs>
        <w:ind w:left="567" w:hanging="567"/>
      </w:pPr>
      <w:r w:rsidRPr="00842A24">
        <w:t>Šis vaistas skirtas tik Jums, todėl kitiems žmonėms jo duoti negalima. Vaistas gali jiems pakenkti (net tiems, kurių ligos požymiai yra tokie patys kaip Jūsų).</w:t>
      </w:r>
    </w:p>
    <w:p w:rsidR="00EA6E2A" w:rsidRPr="00842A24" w:rsidRDefault="00EA6E2A" w:rsidP="00EA6E2A">
      <w:pPr>
        <w:pStyle w:val="BT-EMEASMCA"/>
        <w:tabs>
          <w:tab w:val="clear" w:pos="360"/>
        </w:tabs>
        <w:ind w:left="567" w:hanging="567"/>
      </w:pPr>
      <w:r w:rsidRPr="00842A24">
        <w:t>Jeigu pasireiškė šalutinis poveikis (net jeigu jis šiame lapelyje nenurodytas), kreipkitės į gydytoją arba vaistininką. Žr. 4 skyrių.</w:t>
      </w:r>
    </w:p>
    <w:p w:rsidR="00EA6E2A" w:rsidRPr="00842A24" w:rsidRDefault="00EA6E2A" w:rsidP="00EA6E2A">
      <w:pPr>
        <w:pStyle w:val="Antrat4"/>
        <w:rPr>
          <w:rFonts w:ascii="Times New Roman" w:hAnsi="Times New Roman"/>
          <w:bCs w:val="0"/>
          <w:sz w:val="22"/>
          <w:szCs w:val="24"/>
        </w:rPr>
      </w:pPr>
      <w:r w:rsidRPr="00842A24">
        <w:rPr>
          <w:rFonts w:ascii="Times New Roman" w:hAnsi="Times New Roman"/>
          <w:bCs w:val="0"/>
          <w:sz w:val="22"/>
          <w:szCs w:val="24"/>
        </w:rPr>
        <w:t>Apie ką rašoma šiame lapelyje?</w:t>
      </w:r>
    </w:p>
    <w:p w:rsidR="00EA6E2A" w:rsidRPr="00842A24" w:rsidRDefault="00EA6E2A" w:rsidP="00EA6E2A">
      <w:pPr>
        <w:pStyle w:val="BTbEMEASMCA"/>
      </w:pPr>
    </w:p>
    <w:p w:rsidR="00EA6E2A" w:rsidRPr="00842A24" w:rsidRDefault="00EA6E2A" w:rsidP="00EA6E2A">
      <w:pPr>
        <w:pStyle w:val="BTEMEASMCA"/>
      </w:pPr>
      <w:r w:rsidRPr="00842A24">
        <w:t>1.</w:t>
      </w:r>
      <w:r w:rsidRPr="00842A24">
        <w:tab/>
        <w:t>Kas yra Exemestane Accord ir kam jis vartojamas</w:t>
      </w:r>
    </w:p>
    <w:p w:rsidR="00EA6E2A" w:rsidRPr="00842A24" w:rsidRDefault="00EA6E2A" w:rsidP="00EA6E2A">
      <w:pPr>
        <w:pStyle w:val="BTEMEASMCA"/>
      </w:pPr>
      <w:r w:rsidRPr="00842A24">
        <w:t>2.</w:t>
      </w:r>
      <w:r w:rsidRPr="00842A24">
        <w:tab/>
        <w:t>Kas žinotina prieš vartojant Exemestane Accord</w:t>
      </w:r>
    </w:p>
    <w:p w:rsidR="00EA6E2A" w:rsidRPr="00842A24" w:rsidRDefault="00EA6E2A" w:rsidP="00EA6E2A">
      <w:pPr>
        <w:pStyle w:val="BTEMEASMCA"/>
      </w:pPr>
      <w:r w:rsidRPr="00842A24">
        <w:t>3.</w:t>
      </w:r>
      <w:r w:rsidRPr="00842A24">
        <w:tab/>
        <w:t>Kaip vartoti Exemestane Accord</w:t>
      </w:r>
    </w:p>
    <w:p w:rsidR="00EA6E2A" w:rsidRPr="00842A24" w:rsidRDefault="00EA6E2A" w:rsidP="00EA6E2A">
      <w:pPr>
        <w:pStyle w:val="BTEMEASMCA"/>
      </w:pPr>
      <w:r w:rsidRPr="00842A24">
        <w:t>4.</w:t>
      </w:r>
      <w:r w:rsidRPr="00842A24">
        <w:tab/>
        <w:t>Galimas šalutinis poveikis</w:t>
      </w:r>
    </w:p>
    <w:p w:rsidR="00EA6E2A" w:rsidRPr="00842A24" w:rsidRDefault="00EA6E2A" w:rsidP="00EA6E2A">
      <w:pPr>
        <w:pStyle w:val="BTEMEASMCA"/>
      </w:pPr>
      <w:r w:rsidRPr="00842A24">
        <w:t>5.</w:t>
      </w:r>
      <w:r w:rsidRPr="00842A24">
        <w:tab/>
        <w:t>Kaip laikyti Exemestane Accord</w:t>
      </w:r>
    </w:p>
    <w:p w:rsidR="00EA6E2A" w:rsidRPr="00842A24" w:rsidRDefault="00EA6E2A" w:rsidP="00EA6E2A">
      <w:pPr>
        <w:pStyle w:val="BTEMEASMCA"/>
      </w:pPr>
      <w:r w:rsidRPr="00842A24">
        <w:t>6.</w:t>
      </w:r>
      <w:r w:rsidRPr="00842A24">
        <w:tab/>
        <w:t>Pakuotės turinys ir kita informacija</w:t>
      </w:r>
    </w:p>
    <w:p w:rsidR="00EA6E2A" w:rsidRPr="00842A24" w:rsidRDefault="00EA6E2A" w:rsidP="00EA6E2A">
      <w:pPr>
        <w:pStyle w:val="BTEMEASMCA"/>
      </w:pPr>
    </w:p>
    <w:p w:rsidR="00EA6E2A" w:rsidRPr="00842A24" w:rsidRDefault="00EA6E2A" w:rsidP="00EA6E2A">
      <w:pPr>
        <w:pStyle w:val="BTEMEASMCA"/>
      </w:pPr>
    </w:p>
    <w:p w:rsidR="00EA6E2A" w:rsidRPr="00842A24" w:rsidRDefault="00EA6E2A" w:rsidP="00EA6E2A">
      <w:pPr>
        <w:pStyle w:val="PI-1EMEASMCA"/>
      </w:pPr>
      <w:bookmarkStart w:id="2" w:name="_Toc129243139"/>
      <w:bookmarkStart w:id="3" w:name="_Toc129243264"/>
      <w:r w:rsidRPr="00842A24">
        <w:t>1.</w:t>
      </w:r>
      <w:r w:rsidRPr="00842A24">
        <w:tab/>
        <w:t>Kas yra Exemestane Accord ir kam jis vartojamas</w:t>
      </w:r>
    </w:p>
    <w:bookmarkEnd w:id="2"/>
    <w:bookmarkEnd w:id="3"/>
    <w:p w:rsidR="00EA6E2A" w:rsidRPr="00842A24" w:rsidRDefault="00EA6E2A" w:rsidP="00EA6E2A">
      <w:pPr>
        <w:pStyle w:val="PI-1EMEASMCA"/>
      </w:pPr>
    </w:p>
    <w:p w:rsidR="00EA6E2A" w:rsidRPr="00842A24" w:rsidRDefault="00EA6E2A" w:rsidP="00EA6E2A">
      <w:r w:rsidRPr="00842A24">
        <w:t>Exemestane Accord priklauso vaistinių preparatų, vadinamų aromatazės inhibitoriais, grupei. Šis vaistas sąveikauja su medžiaga, vadinama aromataze, kuri būtina moteriškų lytinių hormonų, estrogenų gamybai, ypatingai moterims po menopauzės. Estrogenų aktyvumo organizme sumažėjimu yra gydomas nuo hormonų priklausomas krūties vėžys.</w:t>
      </w:r>
    </w:p>
    <w:p w:rsidR="00EA6E2A" w:rsidRPr="00842A24" w:rsidRDefault="00EA6E2A" w:rsidP="00EA6E2A"/>
    <w:p w:rsidR="00EA6E2A" w:rsidRPr="00842A24" w:rsidRDefault="00EA6E2A" w:rsidP="00EA6E2A">
      <w:r w:rsidRPr="00842A24">
        <w:t>Exemestane Accord vartojamas nuo hormonų priklausomu ankstyvuoju</w:t>
      </w:r>
      <w:r w:rsidRPr="00842A24" w:rsidDel="007A7AD7">
        <w:rPr>
          <w:b/>
        </w:rPr>
        <w:t xml:space="preserve"> </w:t>
      </w:r>
      <w:r w:rsidRPr="00842A24">
        <w:t>krūties vėžiu sergančioms moterims po menopauzės gydyti, baigus pradinį 2</w:t>
      </w:r>
      <w:r w:rsidRPr="00842A24">
        <w:noBreakHyphen/>
        <w:t xml:space="preserve">3 metų trukmės gydymą tamoksifenu. </w:t>
      </w:r>
    </w:p>
    <w:p w:rsidR="00EA6E2A" w:rsidRPr="00842A24" w:rsidRDefault="00EA6E2A" w:rsidP="00EA6E2A"/>
    <w:p w:rsidR="00EA6E2A" w:rsidRPr="00842A24" w:rsidRDefault="00EA6E2A" w:rsidP="00EA6E2A">
      <w:r w:rsidRPr="00842A24">
        <w:t>Exemestane Accord taip pat vartojamas nuo hormonų priklausomu progresavusiu krūties vėžiu sergančioms moterims po menopauzės gydyti, jei gydymas kitais hormoniniais vaistais buvo nepakankamai veiksmingas.</w:t>
      </w:r>
    </w:p>
    <w:p w:rsidR="00EA6E2A" w:rsidRPr="00842A24" w:rsidRDefault="00EA6E2A" w:rsidP="00EA6E2A">
      <w:pPr>
        <w:pStyle w:val="BTEMEASMCA"/>
      </w:pPr>
    </w:p>
    <w:p w:rsidR="00EA6E2A" w:rsidRPr="00842A24" w:rsidRDefault="00EA6E2A" w:rsidP="00EA6E2A">
      <w:pPr>
        <w:pStyle w:val="BTEMEASMCA"/>
      </w:pPr>
    </w:p>
    <w:p w:rsidR="00EA6E2A" w:rsidRPr="00842A24" w:rsidRDefault="00EA6E2A" w:rsidP="00EA6E2A">
      <w:pPr>
        <w:pStyle w:val="PI-1EMEASMCA"/>
      </w:pPr>
      <w:bookmarkStart w:id="4" w:name="_Toc129243140"/>
      <w:bookmarkStart w:id="5" w:name="_Toc129243265"/>
      <w:r w:rsidRPr="00842A24">
        <w:t>2.</w:t>
      </w:r>
      <w:r w:rsidRPr="00842A24">
        <w:tab/>
      </w:r>
      <w:bookmarkEnd w:id="4"/>
      <w:bookmarkEnd w:id="5"/>
      <w:r w:rsidRPr="00842A24">
        <w:t>Kas žinotina prieš vartojant Exemestane Accord</w:t>
      </w:r>
    </w:p>
    <w:p w:rsidR="00EA6E2A" w:rsidRPr="00842A24" w:rsidRDefault="00EA6E2A" w:rsidP="00EA6E2A">
      <w:pPr>
        <w:pStyle w:val="BTEMEASMCA"/>
      </w:pPr>
    </w:p>
    <w:p w:rsidR="00EA6E2A" w:rsidRPr="00842A24" w:rsidRDefault="00EA6E2A" w:rsidP="00EA6E2A">
      <w:pPr>
        <w:pStyle w:val="PI-3EMEASMCA"/>
      </w:pPr>
      <w:r w:rsidRPr="00842A24">
        <w:t>Exemestane Accord vartoti draudžiama:</w:t>
      </w:r>
    </w:p>
    <w:p w:rsidR="00EA6E2A" w:rsidRPr="00842A24" w:rsidRDefault="00EA6E2A" w:rsidP="00EA6E2A">
      <w:pPr>
        <w:numPr>
          <w:ilvl w:val="0"/>
          <w:numId w:val="2"/>
        </w:numPr>
        <w:tabs>
          <w:tab w:val="clear" w:pos="720"/>
          <w:tab w:val="num" w:pos="360"/>
        </w:tabs>
        <w:ind w:left="360"/>
      </w:pPr>
      <w:r w:rsidRPr="00842A24">
        <w:t>jeigu yra ar anksčiau buvo alergija eksemestanui arba bet kuriai pagalbinei šio vaisto medžiagai (jos išvardytos 6 skyriuje);</w:t>
      </w:r>
    </w:p>
    <w:p w:rsidR="00EA6E2A" w:rsidRPr="00842A24" w:rsidRDefault="00EA6E2A" w:rsidP="00EA6E2A">
      <w:pPr>
        <w:numPr>
          <w:ilvl w:val="0"/>
          <w:numId w:val="2"/>
        </w:numPr>
        <w:tabs>
          <w:tab w:val="clear" w:pos="720"/>
          <w:tab w:val="num" w:pos="360"/>
        </w:tabs>
        <w:ind w:left="360"/>
      </w:pPr>
      <w:r w:rsidRPr="00842A24">
        <w:t>jeigu dar neprasidėjo menopauzė, t. y. jei moteriai tebesikartoja menstruacijos;</w:t>
      </w:r>
    </w:p>
    <w:p w:rsidR="00EA6E2A" w:rsidRPr="00842A24" w:rsidRDefault="00EA6E2A" w:rsidP="00EA6E2A">
      <w:pPr>
        <w:numPr>
          <w:ilvl w:val="0"/>
          <w:numId w:val="2"/>
        </w:numPr>
        <w:tabs>
          <w:tab w:val="clear" w:pos="720"/>
          <w:tab w:val="num" w:pos="360"/>
        </w:tabs>
        <w:ind w:left="360"/>
      </w:pPr>
      <w:r w:rsidRPr="00842A24">
        <w:t xml:space="preserve">jeigu esate nėščia, galite būti pastojusi arba žindote kūdikį. </w:t>
      </w:r>
    </w:p>
    <w:p w:rsidR="00EA6E2A" w:rsidRPr="00842A24" w:rsidRDefault="00EA6E2A" w:rsidP="00EA6E2A">
      <w:pPr>
        <w:pStyle w:val="Antrat4"/>
        <w:rPr>
          <w:rFonts w:ascii="Times New Roman" w:hAnsi="Times New Roman"/>
          <w:sz w:val="22"/>
        </w:rPr>
      </w:pPr>
      <w:r w:rsidRPr="00842A24">
        <w:rPr>
          <w:rFonts w:ascii="Times New Roman" w:hAnsi="Times New Roman"/>
          <w:bCs w:val="0"/>
          <w:sz w:val="22"/>
          <w:szCs w:val="24"/>
        </w:rPr>
        <w:t>Įspėjimai ir</w:t>
      </w:r>
      <w:r w:rsidRPr="00842A24">
        <w:rPr>
          <w:rFonts w:ascii="Times New Roman" w:hAnsi="Times New Roman"/>
          <w:sz w:val="22"/>
        </w:rPr>
        <w:t xml:space="preserve"> atsargumo </w:t>
      </w:r>
      <w:r w:rsidRPr="00842A24">
        <w:rPr>
          <w:rFonts w:ascii="Times New Roman" w:hAnsi="Times New Roman"/>
          <w:bCs w:val="0"/>
          <w:sz w:val="22"/>
          <w:szCs w:val="24"/>
        </w:rPr>
        <w:t xml:space="preserve">priemonės </w:t>
      </w:r>
    </w:p>
    <w:p w:rsidR="00EA6E2A" w:rsidRPr="00842A24" w:rsidRDefault="00EA6E2A" w:rsidP="00EA6E2A">
      <w:r w:rsidRPr="00842A24">
        <w:t>Pasitarkite su gydytoju</w:t>
      </w:r>
      <w:r w:rsidRPr="009E4666">
        <w:t xml:space="preserve"> </w:t>
      </w:r>
      <w:r w:rsidRPr="00842A24">
        <w:t xml:space="preserve">arba vaistininku prieš pradėdami vartoti Exemestane Accord. </w:t>
      </w:r>
    </w:p>
    <w:p w:rsidR="00EA6E2A" w:rsidRPr="00842A24" w:rsidRDefault="00EA6E2A" w:rsidP="00EA6E2A"/>
    <w:p w:rsidR="00EA6E2A" w:rsidRPr="00842A24" w:rsidRDefault="00EA6E2A" w:rsidP="00EA6E2A">
      <w:pPr>
        <w:numPr>
          <w:ilvl w:val="0"/>
          <w:numId w:val="3"/>
        </w:numPr>
        <w:tabs>
          <w:tab w:val="clear" w:pos="504"/>
        </w:tabs>
        <w:autoSpaceDE w:val="0"/>
        <w:autoSpaceDN w:val="0"/>
        <w:adjustRightInd w:val="0"/>
        <w:ind w:hanging="504"/>
      </w:pPr>
      <w:r w:rsidRPr="00842A24">
        <w:t>Kad įsitikintų, ar Jums prasidėjo menopauzė, prieš paskirdamas gydymą Exemestane Accord, gydytojas gali paskirti kraujo tyrimus.</w:t>
      </w:r>
    </w:p>
    <w:p w:rsidR="00EA6E2A" w:rsidRPr="00842A24" w:rsidRDefault="00EA6E2A" w:rsidP="00EA6E2A">
      <w:pPr>
        <w:numPr>
          <w:ilvl w:val="0"/>
          <w:numId w:val="3"/>
        </w:numPr>
        <w:tabs>
          <w:tab w:val="clear" w:pos="504"/>
        </w:tabs>
        <w:autoSpaceDE w:val="0"/>
        <w:autoSpaceDN w:val="0"/>
        <w:adjustRightInd w:val="0"/>
        <w:ind w:hanging="504"/>
      </w:pPr>
      <w:r w:rsidRPr="00842A24">
        <w:rPr>
          <w:bCs/>
          <w:szCs w:val="22"/>
        </w:rPr>
        <w:t>Prieš gydymą taip pat bus atliktas įprastas vitamino D kiekio jūsų organizme patikrinimas, nes ankstyvosiose krūties vėžio etapuose jo lygis gali būti labai žemas. Jei bus nustatyta, kad lygis yra žemiau normalaus, jums bus papildomai skirta vitamino D.</w:t>
      </w:r>
    </w:p>
    <w:p w:rsidR="00EA6E2A" w:rsidRPr="00842A24" w:rsidRDefault="00EA6E2A" w:rsidP="00EA6E2A">
      <w:pPr>
        <w:numPr>
          <w:ilvl w:val="0"/>
          <w:numId w:val="3"/>
        </w:numPr>
        <w:tabs>
          <w:tab w:val="clear" w:pos="504"/>
          <w:tab w:val="left" w:pos="567"/>
        </w:tabs>
        <w:autoSpaceDE w:val="0"/>
        <w:autoSpaceDN w:val="0"/>
        <w:adjustRightInd w:val="0"/>
        <w:ind w:hanging="504"/>
      </w:pPr>
      <w:r w:rsidRPr="00842A24">
        <w:lastRenderedPageBreak/>
        <w:t>Jeigu skundžiatės kepenų ar inkstų sutrikimais, prieš vartojant Exemestane Accord, pasakykite gydytojui.</w:t>
      </w:r>
    </w:p>
    <w:p w:rsidR="00EA6E2A" w:rsidRPr="00842A24" w:rsidRDefault="00EA6E2A" w:rsidP="00EA6E2A">
      <w:pPr>
        <w:numPr>
          <w:ilvl w:val="0"/>
          <w:numId w:val="3"/>
        </w:numPr>
        <w:tabs>
          <w:tab w:val="clear" w:pos="504"/>
          <w:tab w:val="left" w:pos="567"/>
        </w:tabs>
        <w:autoSpaceDE w:val="0"/>
        <w:autoSpaceDN w:val="0"/>
        <w:adjustRightInd w:val="0"/>
        <w:ind w:hanging="504"/>
      </w:pPr>
      <w:r w:rsidRPr="00842A24">
        <w:t>Jeigu esate sirgęs arba sergate ligomis, turinčiomis poveikį kaulų stiprumui, pasakykite gydytojui. Prieš paskirdamas gydymą Exemestane Accord ir gydymo metu Jūsų gydytojas gali atlikti kaulų tankio tyrimus</w:t>
      </w:r>
      <w:r w:rsidRPr="00842A24">
        <w:rPr>
          <w:color w:val="00377E"/>
        </w:rPr>
        <w:t xml:space="preserve">. </w:t>
      </w:r>
      <w:r w:rsidRPr="00842A24">
        <w:t>Tai būtina, nes šios klasės vaistai mažina moteriškų hormonų kiekį, dėl to gali sumažėti mineralų kiekis kauluose ir sumažėti kaulų stiprumas.</w:t>
      </w:r>
    </w:p>
    <w:p w:rsidR="00EA6E2A" w:rsidRPr="00842A24" w:rsidRDefault="00EA6E2A" w:rsidP="00EA6E2A">
      <w:pPr>
        <w:pStyle w:val="BTEMEASMCA"/>
      </w:pPr>
    </w:p>
    <w:p w:rsidR="00EA6E2A" w:rsidRPr="00842A24" w:rsidRDefault="00EA6E2A" w:rsidP="00EA6E2A">
      <w:pPr>
        <w:pStyle w:val="PI-3EMEASMCA"/>
      </w:pPr>
      <w:r w:rsidRPr="00842A24">
        <w:t xml:space="preserve">Kiti vaistai ir Exemestane Accord </w:t>
      </w:r>
    </w:p>
    <w:p w:rsidR="00EA6E2A" w:rsidRPr="00842A24" w:rsidRDefault="00EA6E2A" w:rsidP="00EA6E2A">
      <w:r w:rsidRPr="00842A24">
        <w:t>Jeigu vartojate arba neseniai vartojote arba galėjote vartoti kitų vaistų, įskaitant įsigytus be recepto, pasakykite gydytojui arba vaistininkui.</w:t>
      </w:r>
    </w:p>
    <w:p w:rsidR="00EA6E2A" w:rsidRPr="00842A24" w:rsidRDefault="00EA6E2A" w:rsidP="00EA6E2A"/>
    <w:p w:rsidR="00EA6E2A" w:rsidRPr="00842A24" w:rsidRDefault="00EA6E2A" w:rsidP="00EA6E2A">
      <w:r w:rsidRPr="00842A24">
        <w:t>Exemestane Accord ir pakeičiamosios hormonų terapijos (PHT) vienu metu vartoti negalima.</w:t>
      </w:r>
    </w:p>
    <w:p w:rsidR="00EA6E2A" w:rsidRPr="00842A24" w:rsidRDefault="00EA6E2A" w:rsidP="00EA6E2A">
      <w:r w:rsidRPr="00842A24">
        <w:t>Vartojant Exemestane Accord tabletes toliau nurodyti vaistai turi būti vartojami atsargiai. Praneškite savo gydytojui, jeigu vartojate šiuos vaistus:</w:t>
      </w:r>
    </w:p>
    <w:p w:rsidR="00EA6E2A" w:rsidRPr="00842A24" w:rsidRDefault="00EA6E2A" w:rsidP="00EA6E2A">
      <w:pPr>
        <w:numPr>
          <w:ilvl w:val="0"/>
          <w:numId w:val="4"/>
        </w:numPr>
        <w:ind w:left="426" w:hanging="426"/>
      </w:pPr>
      <w:r w:rsidRPr="00842A24">
        <w:t xml:space="preserve">rifampicino (antibiotiko), </w:t>
      </w:r>
    </w:p>
    <w:p w:rsidR="00EA6E2A" w:rsidRPr="00842A24" w:rsidRDefault="00EA6E2A" w:rsidP="00EA6E2A">
      <w:pPr>
        <w:numPr>
          <w:ilvl w:val="0"/>
          <w:numId w:val="4"/>
        </w:numPr>
        <w:ind w:left="426" w:hanging="426"/>
      </w:pPr>
      <w:r w:rsidRPr="00842A24">
        <w:t>karbamazepino arba fenitoino (vaistai nuo konvulsijų, vartojami epilepsijai gydyti),</w:t>
      </w:r>
    </w:p>
    <w:p w:rsidR="00EA6E2A" w:rsidRPr="00842A24" w:rsidRDefault="00EA6E2A" w:rsidP="00EA6E2A">
      <w:pPr>
        <w:numPr>
          <w:ilvl w:val="0"/>
          <w:numId w:val="4"/>
        </w:numPr>
        <w:ind w:left="426" w:hanging="426"/>
      </w:pPr>
      <w:r w:rsidRPr="00842A24">
        <w:t>augalinių vaistų, Jonažolės (</w:t>
      </w:r>
      <w:r w:rsidRPr="00842A24">
        <w:rPr>
          <w:i/>
        </w:rPr>
        <w:t>Hypericum perforatum</w:t>
      </w:r>
      <w:r w:rsidRPr="00842A24">
        <w:t xml:space="preserve">) arba preparatų, kurių sudėtyje jų yra. </w:t>
      </w:r>
    </w:p>
    <w:p w:rsidR="00EA6E2A" w:rsidRPr="00842A24" w:rsidRDefault="00EA6E2A" w:rsidP="00EA6E2A">
      <w:pPr>
        <w:pStyle w:val="BTEMEASMCA"/>
      </w:pPr>
    </w:p>
    <w:p w:rsidR="00EA6E2A" w:rsidRPr="00842A24" w:rsidRDefault="00EA6E2A" w:rsidP="00EA6E2A">
      <w:pPr>
        <w:pStyle w:val="PI-3EMEASMCA"/>
      </w:pPr>
      <w:r w:rsidRPr="00842A24">
        <w:t>Nėštumas ir žindymo laikotarpis</w:t>
      </w:r>
    </w:p>
    <w:p w:rsidR="00EA6E2A" w:rsidRPr="00842A24" w:rsidRDefault="00EA6E2A" w:rsidP="00EA6E2A">
      <w:pPr>
        <w:autoSpaceDE w:val="0"/>
        <w:autoSpaceDN w:val="0"/>
        <w:adjustRightInd w:val="0"/>
      </w:pPr>
      <w:r w:rsidRPr="00842A24">
        <w:t xml:space="preserve">Jeigu esate nėščia arba žindote, Jums Exemestane Accord vartoti negalima. Jeigu esate nėščia arba manote, kad galite būti pastojusi, pasakykite gydytojui. </w:t>
      </w:r>
    </w:p>
    <w:p w:rsidR="00EA6E2A" w:rsidRPr="00842A24" w:rsidRDefault="00EA6E2A" w:rsidP="00EA6E2A">
      <w:pPr>
        <w:autoSpaceDE w:val="0"/>
        <w:autoSpaceDN w:val="0"/>
        <w:adjustRightInd w:val="0"/>
      </w:pPr>
      <w:r w:rsidRPr="00842A24">
        <w:t>Jeigu yra bent mažiausia galimybė pastoti, pasitarkite su gydytoju dėl kontracepcijos priemonių vartojimo.</w:t>
      </w:r>
    </w:p>
    <w:p w:rsidR="00EA6E2A" w:rsidRPr="00842A24" w:rsidRDefault="00EA6E2A" w:rsidP="00EA6E2A">
      <w:pPr>
        <w:autoSpaceDE w:val="0"/>
        <w:autoSpaceDN w:val="0"/>
        <w:adjustRightInd w:val="0"/>
      </w:pPr>
    </w:p>
    <w:p w:rsidR="00EA6E2A" w:rsidRPr="00842A24" w:rsidRDefault="00EA6E2A" w:rsidP="00EA6E2A">
      <w:pPr>
        <w:pStyle w:val="PI-3EMEASMCA"/>
        <w:rPr>
          <w:b w:val="0"/>
        </w:rPr>
      </w:pPr>
      <w:r w:rsidRPr="00842A24">
        <w:t>Vairavimas ir mechanizmų valdymas</w:t>
      </w:r>
    </w:p>
    <w:p w:rsidR="00EA6E2A" w:rsidRPr="00842A24" w:rsidRDefault="00EA6E2A" w:rsidP="00EA6E2A">
      <w:pPr>
        <w:autoSpaceDE w:val="0"/>
        <w:autoSpaceDN w:val="0"/>
        <w:adjustRightInd w:val="0"/>
      </w:pPr>
      <w:r w:rsidRPr="00842A24">
        <w:t>Jeigu vartojant Exemestane Accord jaučiate mieguistumą, galvos svaigimą ar silpnumą, stenkitės nevairuoti ar nevaldyti mechanizmų.</w:t>
      </w:r>
    </w:p>
    <w:p w:rsidR="00EA6E2A" w:rsidRPr="00842A24" w:rsidRDefault="00EA6E2A" w:rsidP="00EA6E2A">
      <w:pPr>
        <w:autoSpaceDE w:val="0"/>
        <w:autoSpaceDN w:val="0"/>
        <w:adjustRightInd w:val="0"/>
      </w:pPr>
    </w:p>
    <w:p w:rsidR="00EA6E2A" w:rsidRPr="00842A24" w:rsidRDefault="00EA6E2A" w:rsidP="00EA6E2A">
      <w:pPr>
        <w:pStyle w:val="PI-3EMEASMCA"/>
      </w:pPr>
      <w:r w:rsidRPr="00842A24">
        <w:t>Exemestane Accord sudėtyje yra natrio</w:t>
      </w:r>
    </w:p>
    <w:p w:rsidR="00EA6E2A" w:rsidRPr="00842A24" w:rsidRDefault="00EA6E2A" w:rsidP="00EA6E2A">
      <w:pPr>
        <w:pStyle w:val="BTEMEASMCA"/>
      </w:pPr>
      <w:r w:rsidRPr="00842A24">
        <w:t>Šio vaisto tabletėje yra mažiau kaip 1 mmol (23 mg) natrio, t. y. jis beveik neturi reikšmės.</w:t>
      </w:r>
    </w:p>
    <w:p w:rsidR="00EA6E2A" w:rsidRPr="00842A24" w:rsidRDefault="00EA6E2A" w:rsidP="00EA6E2A">
      <w:pPr>
        <w:pStyle w:val="BTEMEASMCA"/>
      </w:pPr>
    </w:p>
    <w:p w:rsidR="00EA6E2A" w:rsidRPr="00842A24" w:rsidRDefault="00EA6E2A" w:rsidP="00EA6E2A">
      <w:pPr>
        <w:autoSpaceDE w:val="0"/>
        <w:autoSpaceDN w:val="0"/>
        <w:adjustRightInd w:val="0"/>
        <w:rPr>
          <w:color w:val="000000"/>
        </w:rPr>
      </w:pPr>
    </w:p>
    <w:p w:rsidR="00EA6E2A" w:rsidRPr="00842A24" w:rsidRDefault="00EA6E2A" w:rsidP="00EA6E2A">
      <w:pPr>
        <w:pStyle w:val="PI-1EMEASMCA"/>
      </w:pPr>
      <w:bookmarkStart w:id="6" w:name="_Toc129243141"/>
      <w:bookmarkStart w:id="7" w:name="_Toc129243266"/>
      <w:r w:rsidRPr="00842A24">
        <w:t>3.</w:t>
      </w:r>
      <w:r w:rsidRPr="00842A24">
        <w:tab/>
        <w:t>Kaip vartoti Exemestane Accord</w:t>
      </w:r>
      <w:bookmarkEnd w:id="6"/>
      <w:bookmarkEnd w:id="7"/>
    </w:p>
    <w:p w:rsidR="00EA6E2A" w:rsidRPr="00842A24" w:rsidRDefault="00EA6E2A" w:rsidP="00EA6E2A">
      <w:pPr>
        <w:pStyle w:val="BTEMEASMCA"/>
      </w:pPr>
    </w:p>
    <w:p w:rsidR="00EA6E2A" w:rsidRPr="00842A24" w:rsidRDefault="00EA6E2A" w:rsidP="00EA6E2A">
      <w:pPr>
        <w:autoSpaceDE w:val="0"/>
        <w:autoSpaceDN w:val="0"/>
        <w:adjustRightInd w:val="0"/>
        <w:jc w:val="both"/>
        <w:rPr>
          <w:szCs w:val="22"/>
        </w:rPr>
      </w:pPr>
      <w:r w:rsidRPr="00842A24">
        <w:rPr>
          <w:u w:val="single"/>
        </w:rPr>
        <w:t>Suaugusieji ir senyvi pacientai</w:t>
      </w:r>
    </w:p>
    <w:p w:rsidR="00EA6E2A" w:rsidRPr="00842A24" w:rsidRDefault="00EA6E2A" w:rsidP="00EA6E2A">
      <w:pPr>
        <w:autoSpaceDE w:val="0"/>
        <w:autoSpaceDN w:val="0"/>
        <w:adjustRightInd w:val="0"/>
        <w:jc w:val="both"/>
        <w:rPr>
          <w:szCs w:val="22"/>
        </w:rPr>
      </w:pPr>
      <w:r w:rsidRPr="00842A24">
        <w:t>Exemestane Accord tabletes visada vartokite tiksliai, kaip nurodė gydytojas. Jeigu abejojate, kreipkitės į gydytoją arba vaistininką</w:t>
      </w:r>
      <w:r w:rsidRPr="00842A24">
        <w:rPr>
          <w:szCs w:val="22"/>
        </w:rPr>
        <w:t>.</w:t>
      </w:r>
    </w:p>
    <w:p w:rsidR="00EA6E2A" w:rsidRPr="00842A24" w:rsidRDefault="00EA6E2A" w:rsidP="00EA6E2A">
      <w:pPr>
        <w:autoSpaceDE w:val="0"/>
        <w:autoSpaceDN w:val="0"/>
        <w:adjustRightInd w:val="0"/>
        <w:jc w:val="both"/>
        <w:rPr>
          <w:szCs w:val="22"/>
        </w:rPr>
      </w:pPr>
    </w:p>
    <w:p w:rsidR="00EA6E2A" w:rsidRPr="00842A24" w:rsidRDefault="00EA6E2A" w:rsidP="00EA6E2A">
      <w:pPr>
        <w:autoSpaceDE w:val="0"/>
        <w:autoSpaceDN w:val="0"/>
        <w:adjustRightInd w:val="0"/>
      </w:pPr>
      <w:r w:rsidRPr="00842A24">
        <w:t>Exemestane Accord tabletes vartokite gerdami po valgio kiekvieną dieną maždaug tuo pačiu metu. Jūsų gydytojas nurodys, kaip vartoti Exemestane ir kiek laiko.</w:t>
      </w:r>
    </w:p>
    <w:p w:rsidR="00EA6E2A" w:rsidRPr="00842A24" w:rsidRDefault="00EA6E2A" w:rsidP="00EA6E2A">
      <w:pPr>
        <w:autoSpaceDE w:val="0"/>
        <w:autoSpaceDN w:val="0"/>
        <w:adjustRightInd w:val="0"/>
      </w:pPr>
    </w:p>
    <w:p w:rsidR="00EA6E2A" w:rsidRPr="00842A24" w:rsidRDefault="00EA6E2A" w:rsidP="00EA6E2A">
      <w:pPr>
        <w:autoSpaceDE w:val="0"/>
        <w:autoSpaceDN w:val="0"/>
        <w:adjustRightInd w:val="0"/>
      </w:pPr>
    </w:p>
    <w:p w:rsidR="00EA6E2A" w:rsidRPr="00842A24" w:rsidRDefault="00EA6E2A" w:rsidP="00EA6E2A">
      <w:pPr>
        <w:pStyle w:val="paragraph"/>
        <w:rPr>
          <w:lang w:val="lt-LT"/>
        </w:rPr>
      </w:pPr>
      <w:r w:rsidRPr="00842A24">
        <w:rPr>
          <w:sz w:val="22"/>
          <w:lang w:val="lt-LT"/>
        </w:rPr>
        <w:t>Rekomenduojama Exemestane Accord dozė – viena 25 mg tabletė per parą.</w:t>
      </w:r>
    </w:p>
    <w:p w:rsidR="00EA6E2A" w:rsidRPr="00842A24" w:rsidRDefault="00EA6E2A" w:rsidP="00EA6E2A">
      <w:pPr>
        <w:pStyle w:val="paragraph"/>
        <w:rPr>
          <w:lang w:val="lt-LT"/>
        </w:rPr>
      </w:pPr>
    </w:p>
    <w:p w:rsidR="00EA6E2A" w:rsidRPr="00842A24" w:rsidRDefault="00EA6E2A" w:rsidP="00EA6E2A">
      <w:pPr>
        <w:pStyle w:val="paragraph"/>
        <w:rPr>
          <w:lang w:val="lt-LT"/>
        </w:rPr>
      </w:pPr>
      <w:r w:rsidRPr="00842A24">
        <w:rPr>
          <w:sz w:val="22"/>
          <w:lang w:val="lt-LT"/>
        </w:rPr>
        <w:t>Jei Exemestane Accord tablečių vartojimo laikotarpiu tenka vykti į ligoninę, apie šio vaisto vartojimą pasakykite medicinos personalui.</w:t>
      </w:r>
    </w:p>
    <w:p w:rsidR="00EA6E2A" w:rsidRPr="00842A24" w:rsidRDefault="00EA6E2A" w:rsidP="00EA6E2A">
      <w:pPr>
        <w:pStyle w:val="paragraph"/>
        <w:rPr>
          <w:lang w:val="lt-LT"/>
        </w:rPr>
      </w:pPr>
    </w:p>
    <w:p w:rsidR="00EA6E2A" w:rsidRPr="00842A24" w:rsidRDefault="00EA6E2A" w:rsidP="00EA6E2A">
      <w:pPr>
        <w:pStyle w:val="paragraph"/>
        <w:rPr>
          <w:lang w:val="lt-LT"/>
        </w:rPr>
      </w:pPr>
      <w:bookmarkStart w:id="8" w:name="section"/>
      <w:bookmarkEnd w:id="8"/>
      <w:r w:rsidRPr="00842A24">
        <w:rPr>
          <w:b/>
          <w:bCs/>
          <w:sz w:val="22"/>
          <w:szCs w:val="22"/>
          <w:lang w:val="lt-LT"/>
        </w:rPr>
        <w:t>Vartojimas vaikams</w:t>
      </w:r>
      <w:r w:rsidRPr="00842A24">
        <w:rPr>
          <w:b/>
          <w:sz w:val="22"/>
          <w:lang w:val="lt-LT"/>
        </w:rPr>
        <w:t xml:space="preserve"> </w:t>
      </w:r>
    </w:p>
    <w:p w:rsidR="00EA6E2A" w:rsidRPr="00842A24" w:rsidRDefault="00EA6E2A" w:rsidP="00EA6E2A">
      <w:pPr>
        <w:pStyle w:val="paragraph"/>
        <w:rPr>
          <w:color w:val="000000"/>
          <w:lang w:val="lt-LT"/>
        </w:rPr>
      </w:pPr>
      <w:r w:rsidRPr="00842A24">
        <w:rPr>
          <w:color w:val="000000"/>
          <w:sz w:val="22"/>
          <w:lang w:val="lt-LT"/>
        </w:rPr>
        <w:t>Vaikams Exemestane Accord tablečių vartoti nerekomenduojama.</w:t>
      </w:r>
    </w:p>
    <w:p w:rsidR="00EA6E2A" w:rsidRPr="00842A24" w:rsidRDefault="00EA6E2A" w:rsidP="00EA6E2A">
      <w:pPr>
        <w:pStyle w:val="BTEMEASMCA"/>
      </w:pPr>
    </w:p>
    <w:p w:rsidR="00EA6E2A" w:rsidRPr="00842A24" w:rsidRDefault="00EA6E2A" w:rsidP="00EA6E2A">
      <w:pPr>
        <w:pStyle w:val="PI-3EMEASMCA"/>
      </w:pPr>
      <w:r w:rsidRPr="00842A24">
        <w:t>Pavartojus per didelę Exemestane Accord dozę</w:t>
      </w:r>
    </w:p>
    <w:p w:rsidR="00EA6E2A" w:rsidRPr="00842A24" w:rsidRDefault="00EA6E2A" w:rsidP="00EA6E2A">
      <w:pPr>
        <w:pStyle w:val="BTEMEASMCA"/>
      </w:pPr>
      <w:r w:rsidRPr="00842A24">
        <w:t>Atsitiktinai išgėrus per daug tablečių, nedelsiant kreipkitės į savo gydytoją arba vykite į artimiausios ligoninės priėmimo skyrių. Parodykite jiems Exemestane Accord tablečių pakuotę.</w:t>
      </w:r>
    </w:p>
    <w:p w:rsidR="00EA6E2A" w:rsidRPr="00842A24" w:rsidRDefault="00EA6E2A" w:rsidP="00EA6E2A">
      <w:pPr>
        <w:pStyle w:val="BTEMEASMCA"/>
      </w:pPr>
    </w:p>
    <w:p w:rsidR="00EA6E2A" w:rsidRPr="00842A24" w:rsidRDefault="00EA6E2A" w:rsidP="00EA6E2A">
      <w:pPr>
        <w:pStyle w:val="PI-3EMEASMCA"/>
        <w:rPr>
          <w:b w:val="0"/>
        </w:rPr>
      </w:pPr>
      <w:r w:rsidRPr="00842A24">
        <w:t>Pamiršus pavartoti Exemestane Accord</w:t>
      </w:r>
    </w:p>
    <w:p w:rsidR="00EA6E2A" w:rsidRPr="00842A24" w:rsidRDefault="00EA6E2A" w:rsidP="00EA6E2A">
      <w:pPr>
        <w:pStyle w:val="paragraph"/>
        <w:rPr>
          <w:lang w:val="lt-LT"/>
        </w:rPr>
      </w:pPr>
      <w:r w:rsidRPr="00842A24">
        <w:rPr>
          <w:sz w:val="22"/>
          <w:lang w:val="lt-LT"/>
        </w:rPr>
        <w:t xml:space="preserve">Negalima vartoti dvigubos dozės norint kompensuoti praleistą dozę. </w:t>
      </w:r>
    </w:p>
    <w:p w:rsidR="00EA6E2A" w:rsidRPr="00842A24" w:rsidRDefault="00EA6E2A" w:rsidP="00EA6E2A">
      <w:pPr>
        <w:pStyle w:val="BTEMEASMCA"/>
      </w:pPr>
      <w:r w:rsidRPr="00842A24">
        <w:lastRenderedPageBreak/>
        <w:t>Užmiršus išgerti tabletę, išgerkite ją kai tik prisiminsite. Jei jau beveik laikas vartoti kitą dozę, gerkite ją įprastu metu.</w:t>
      </w:r>
    </w:p>
    <w:p w:rsidR="00EA6E2A" w:rsidRPr="00842A24" w:rsidRDefault="00EA6E2A" w:rsidP="00EA6E2A">
      <w:pPr>
        <w:pStyle w:val="BTEMEASMCA"/>
      </w:pPr>
    </w:p>
    <w:p w:rsidR="00EA6E2A" w:rsidRPr="00842A24" w:rsidRDefault="00EA6E2A" w:rsidP="00EA6E2A">
      <w:pPr>
        <w:pStyle w:val="PI-3EMEASMCA"/>
      </w:pPr>
      <w:r w:rsidRPr="00842A24">
        <w:t>Nustojus vartoti Exemestane Accord</w:t>
      </w:r>
    </w:p>
    <w:p w:rsidR="00EA6E2A" w:rsidRPr="00842A24" w:rsidRDefault="00EA6E2A" w:rsidP="00EA6E2A">
      <w:pPr>
        <w:pStyle w:val="paragraph"/>
        <w:rPr>
          <w:lang w:val="lt-LT"/>
        </w:rPr>
      </w:pPr>
      <w:r w:rsidRPr="00842A24">
        <w:rPr>
          <w:sz w:val="22"/>
          <w:lang w:val="lt-LT"/>
        </w:rPr>
        <w:t>Jeigu gydytojas nenurodė, net pasijutus gerai, nenustokite vartoti tablečių.</w:t>
      </w:r>
    </w:p>
    <w:p w:rsidR="00EA6E2A" w:rsidRPr="00842A24" w:rsidRDefault="00EA6E2A" w:rsidP="00EA6E2A">
      <w:pPr>
        <w:pStyle w:val="BTEMEASMCA"/>
      </w:pPr>
      <w:r w:rsidRPr="00842A24">
        <w:t>Jeigu kiltų daugiau klausimų dėl šio vaisto vartojimo, kreipkitės į gydytoją arba vaistininką.</w:t>
      </w:r>
    </w:p>
    <w:p w:rsidR="00EA6E2A" w:rsidRPr="00842A24" w:rsidRDefault="00EA6E2A" w:rsidP="00EA6E2A">
      <w:pPr>
        <w:pStyle w:val="BTEMEASMCA"/>
      </w:pPr>
    </w:p>
    <w:p w:rsidR="00EA6E2A" w:rsidRPr="00842A24" w:rsidRDefault="00EA6E2A" w:rsidP="00EA6E2A">
      <w:pPr>
        <w:pStyle w:val="BTEMEASMCA"/>
      </w:pPr>
    </w:p>
    <w:p w:rsidR="00EA6E2A" w:rsidRPr="00842A24" w:rsidRDefault="00EA6E2A" w:rsidP="00EA6E2A">
      <w:pPr>
        <w:pStyle w:val="PI-1EMEASMCA"/>
      </w:pPr>
      <w:bookmarkStart w:id="9" w:name="_Toc129243142"/>
      <w:bookmarkStart w:id="10" w:name="_Toc129243267"/>
      <w:r w:rsidRPr="00842A24">
        <w:t>4.</w:t>
      </w:r>
      <w:r w:rsidRPr="00842A24">
        <w:tab/>
      </w:r>
      <w:bookmarkEnd w:id="9"/>
      <w:bookmarkEnd w:id="10"/>
      <w:r w:rsidRPr="00842A24">
        <w:t>Galimas šalutinis poveikis</w:t>
      </w:r>
    </w:p>
    <w:p w:rsidR="00EA6E2A" w:rsidRPr="00842A24" w:rsidRDefault="00EA6E2A" w:rsidP="00EA6E2A">
      <w:pPr>
        <w:pStyle w:val="BTEMEASMCA"/>
      </w:pPr>
    </w:p>
    <w:p w:rsidR="00EA6E2A" w:rsidRPr="00842A24" w:rsidRDefault="00EA6E2A" w:rsidP="00EA6E2A">
      <w:pPr>
        <w:autoSpaceDE w:val="0"/>
        <w:autoSpaceDN w:val="0"/>
        <w:adjustRightInd w:val="0"/>
      </w:pPr>
      <w:r w:rsidRPr="00842A24">
        <w:t>Šis vaistas, kaip ir visi kiti, gali sukelti šalutinį poveikį, nors jis pasireiškia ne visiems žmonėms.</w:t>
      </w:r>
    </w:p>
    <w:p w:rsidR="00EA6E2A" w:rsidRPr="00842A24" w:rsidRDefault="00EA6E2A" w:rsidP="00EA6E2A">
      <w:pPr>
        <w:autoSpaceDE w:val="0"/>
        <w:autoSpaceDN w:val="0"/>
        <w:adjustRightInd w:val="0"/>
      </w:pPr>
      <w:r w:rsidRPr="00842A24">
        <w:t>Exemestane Accord tabletės toleruojamos gerai ir toliau išvardyt</w:t>
      </w:r>
      <w:r>
        <w:t xml:space="preserve">i </w:t>
      </w:r>
      <w:r w:rsidRPr="00842A24">
        <w:t>šalutini</w:t>
      </w:r>
      <w:r>
        <w:t>o</w:t>
      </w:r>
      <w:r w:rsidRPr="00842A24">
        <w:t xml:space="preserve"> poveiki</w:t>
      </w:r>
      <w:r>
        <w:t>o reiškiniai būna</w:t>
      </w:r>
      <w:r w:rsidRPr="00842A24">
        <w:t xml:space="preserve"> nesunk</w:t>
      </w:r>
      <w:r>
        <w:t>ū</w:t>
      </w:r>
      <w:r w:rsidRPr="00842A24">
        <w:t>s arba vidutinio sunkumo. Dauguma šalutini</w:t>
      </w:r>
      <w:r>
        <w:t>o</w:t>
      </w:r>
      <w:r w:rsidRPr="00842A24">
        <w:t xml:space="preserve"> poveiki</w:t>
      </w:r>
      <w:r>
        <w:t>o reiškini</w:t>
      </w:r>
      <w:r w:rsidRPr="00842A24">
        <w:t>ų yra susiję su estrogeno trūkumu (pvz. kraujo samplūdis į veidą).</w:t>
      </w:r>
    </w:p>
    <w:p w:rsidR="00EA6E2A" w:rsidRPr="00842A24" w:rsidRDefault="00EA6E2A" w:rsidP="00EA6E2A">
      <w:pPr>
        <w:autoSpaceDE w:val="0"/>
        <w:autoSpaceDN w:val="0"/>
        <w:adjustRightInd w:val="0"/>
        <w:jc w:val="both"/>
        <w:rPr>
          <w:szCs w:val="22"/>
        </w:rPr>
      </w:pPr>
    </w:p>
    <w:p w:rsidR="00EA6E2A" w:rsidRPr="00842A24" w:rsidRDefault="00EA6E2A" w:rsidP="00EA6E2A">
      <w:pPr>
        <w:autoSpaceDE w:val="0"/>
        <w:autoSpaceDN w:val="0"/>
        <w:adjustRightInd w:val="0"/>
        <w:rPr>
          <w:szCs w:val="22"/>
        </w:rPr>
      </w:pPr>
      <w:r w:rsidRPr="00842A24">
        <w:rPr>
          <w:szCs w:val="22"/>
        </w:rPr>
        <w:t>Gali atsirasti padidėjęs jautrumas, kepenų uždegimas (hepatitas) ir kepenų tulžies kanalų uždegimas, sukeliantis odos pageltimą (cholestazinis hepatitas). Gali pasireikšti tokie simptomai: bendras negalavimas, pykinimas, gelta (odos ir akių baltymo pageltimas), niežulys, skausmas dešinėje pilvo pusėje ir apetito nebuvimas. Jei manote, kad jums pasireiškė kuris nors iš šių simptomų, nedelsdami kreipkitės į savo gydytoją skubios medicininės pagalbos.</w:t>
      </w:r>
    </w:p>
    <w:p w:rsidR="00EA6E2A" w:rsidRPr="00842A24" w:rsidRDefault="00EA6E2A" w:rsidP="00EA6E2A">
      <w:pPr>
        <w:autoSpaceDE w:val="0"/>
        <w:autoSpaceDN w:val="0"/>
        <w:adjustRightInd w:val="0"/>
      </w:pPr>
    </w:p>
    <w:p w:rsidR="00EA6E2A" w:rsidRPr="00842A24" w:rsidRDefault="00EA6E2A" w:rsidP="00EA6E2A">
      <w:pPr>
        <w:rPr>
          <w:b/>
        </w:rPr>
      </w:pPr>
      <w:r w:rsidRPr="00842A24">
        <w:rPr>
          <w:rStyle w:val="underline1"/>
        </w:rPr>
        <w:t>Labai dažni šalutinio poveikio reiškiniai</w:t>
      </w:r>
      <w:r w:rsidRPr="00AE22F7">
        <w:rPr>
          <w:rStyle w:val="underline1"/>
        </w:rPr>
        <w:t xml:space="preserve"> </w:t>
      </w:r>
      <w:r w:rsidRPr="00842A24">
        <w:t>(gali pasireikšti ne rečiau kaip 1 iš 10 asmenų):</w:t>
      </w:r>
    </w:p>
    <w:p w:rsidR="00EA6E2A" w:rsidRPr="00842A24" w:rsidRDefault="00EA6E2A" w:rsidP="00EA6E2A">
      <w:pPr>
        <w:numPr>
          <w:ilvl w:val="0"/>
          <w:numId w:val="5"/>
        </w:numPr>
        <w:tabs>
          <w:tab w:val="clear" w:pos="720"/>
          <w:tab w:val="num" w:pos="360"/>
        </w:tabs>
        <w:ind w:hanging="720"/>
      </w:pPr>
      <w:r w:rsidRPr="00842A24">
        <w:t>depresija,</w:t>
      </w:r>
    </w:p>
    <w:p w:rsidR="00EA6E2A" w:rsidRPr="00842A24" w:rsidRDefault="00EA6E2A" w:rsidP="00EA6E2A">
      <w:pPr>
        <w:numPr>
          <w:ilvl w:val="0"/>
          <w:numId w:val="5"/>
        </w:numPr>
        <w:tabs>
          <w:tab w:val="clear" w:pos="720"/>
          <w:tab w:val="num" w:pos="360"/>
        </w:tabs>
        <w:ind w:hanging="720"/>
      </w:pPr>
      <w:r w:rsidRPr="00842A24">
        <w:t>sunkumas užmigti,</w:t>
      </w:r>
    </w:p>
    <w:p w:rsidR="00EA6E2A" w:rsidRPr="00842A24" w:rsidRDefault="00EA6E2A" w:rsidP="00EA6E2A">
      <w:pPr>
        <w:numPr>
          <w:ilvl w:val="0"/>
          <w:numId w:val="5"/>
        </w:numPr>
        <w:tabs>
          <w:tab w:val="clear" w:pos="720"/>
          <w:tab w:val="num" w:pos="360"/>
        </w:tabs>
        <w:ind w:hanging="720"/>
      </w:pPr>
      <w:r w:rsidRPr="00842A24">
        <w:t>galvos skausmas,</w:t>
      </w:r>
    </w:p>
    <w:p w:rsidR="00EA6E2A" w:rsidRPr="00842A24" w:rsidRDefault="00EA6E2A" w:rsidP="00EA6E2A">
      <w:pPr>
        <w:numPr>
          <w:ilvl w:val="0"/>
          <w:numId w:val="5"/>
        </w:numPr>
        <w:tabs>
          <w:tab w:val="clear" w:pos="720"/>
          <w:tab w:val="num" w:pos="360"/>
        </w:tabs>
        <w:ind w:hanging="720"/>
      </w:pPr>
      <w:r w:rsidRPr="00842A24">
        <w:t>kraujo priplūdimas į veidą,</w:t>
      </w:r>
    </w:p>
    <w:p w:rsidR="00EA6E2A" w:rsidRPr="00842A24" w:rsidRDefault="00EA6E2A" w:rsidP="00EA6E2A">
      <w:pPr>
        <w:numPr>
          <w:ilvl w:val="0"/>
          <w:numId w:val="5"/>
        </w:numPr>
        <w:tabs>
          <w:tab w:val="clear" w:pos="720"/>
          <w:tab w:val="num" w:pos="360"/>
        </w:tabs>
        <w:ind w:hanging="720"/>
      </w:pPr>
      <w:r w:rsidRPr="00842A24">
        <w:t>galvos svaigimas,</w:t>
      </w:r>
    </w:p>
    <w:p w:rsidR="00EA6E2A" w:rsidRPr="00842A24" w:rsidRDefault="00EA6E2A" w:rsidP="00EA6E2A">
      <w:pPr>
        <w:numPr>
          <w:ilvl w:val="0"/>
          <w:numId w:val="5"/>
        </w:numPr>
        <w:tabs>
          <w:tab w:val="clear" w:pos="720"/>
          <w:tab w:val="num" w:pos="360"/>
        </w:tabs>
        <w:ind w:hanging="720"/>
      </w:pPr>
      <w:r w:rsidRPr="00842A24">
        <w:t>prasta savijauta,</w:t>
      </w:r>
    </w:p>
    <w:p w:rsidR="00EA6E2A" w:rsidRPr="00842A24" w:rsidRDefault="00EA6E2A" w:rsidP="00EA6E2A">
      <w:pPr>
        <w:numPr>
          <w:ilvl w:val="0"/>
          <w:numId w:val="5"/>
        </w:numPr>
        <w:tabs>
          <w:tab w:val="clear" w:pos="720"/>
          <w:tab w:val="num" w:pos="360"/>
        </w:tabs>
        <w:ind w:hanging="720"/>
      </w:pPr>
      <w:r w:rsidRPr="00842A24">
        <w:t>padidėjęs prakaitavimas,</w:t>
      </w:r>
    </w:p>
    <w:p w:rsidR="00EA6E2A" w:rsidRPr="00842A24" w:rsidRDefault="00EA6E2A" w:rsidP="00EA6E2A">
      <w:pPr>
        <w:numPr>
          <w:ilvl w:val="0"/>
          <w:numId w:val="5"/>
        </w:numPr>
        <w:tabs>
          <w:tab w:val="clear" w:pos="720"/>
          <w:tab w:val="num" w:pos="360"/>
        </w:tabs>
        <w:ind w:hanging="720"/>
      </w:pPr>
      <w:r w:rsidRPr="00842A24">
        <w:t>raumenų ir sąnarių skausmas (įskaitant osteoartritą, nugaros skausmą, artritą ir sąnarių sąstingį),</w:t>
      </w:r>
    </w:p>
    <w:p w:rsidR="00EA6E2A" w:rsidRPr="00842A24" w:rsidRDefault="00EA6E2A" w:rsidP="00EA6E2A">
      <w:pPr>
        <w:numPr>
          <w:ilvl w:val="0"/>
          <w:numId w:val="5"/>
        </w:numPr>
        <w:tabs>
          <w:tab w:val="clear" w:pos="720"/>
          <w:tab w:val="num" w:pos="360"/>
        </w:tabs>
        <w:ind w:hanging="720"/>
      </w:pPr>
      <w:r w:rsidRPr="00842A24">
        <w:t>nuovargis,</w:t>
      </w:r>
    </w:p>
    <w:p w:rsidR="00EA6E2A" w:rsidRPr="00842A24" w:rsidRDefault="00EA6E2A" w:rsidP="00EA6E2A">
      <w:pPr>
        <w:numPr>
          <w:ilvl w:val="0"/>
          <w:numId w:val="5"/>
        </w:numPr>
        <w:tabs>
          <w:tab w:val="clear" w:pos="720"/>
          <w:tab w:val="num" w:pos="360"/>
        </w:tabs>
        <w:ind w:hanging="720"/>
      </w:pPr>
      <w:r w:rsidRPr="00842A24">
        <w:t>baltųjų kraujo kūnelių skaičiaus sumažėjimas,</w:t>
      </w:r>
    </w:p>
    <w:p w:rsidR="00EA6E2A" w:rsidRPr="00842A24" w:rsidRDefault="00EA6E2A" w:rsidP="00EA6E2A">
      <w:pPr>
        <w:numPr>
          <w:ilvl w:val="0"/>
          <w:numId w:val="5"/>
        </w:numPr>
        <w:tabs>
          <w:tab w:val="clear" w:pos="720"/>
          <w:tab w:val="num" w:pos="360"/>
        </w:tabs>
        <w:ind w:hanging="720"/>
      </w:pPr>
      <w:r w:rsidRPr="00842A24">
        <w:t>pilvo skausmas,</w:t>
      </w:r>
    </w:p>
    <w:p w:rsidR="00EA6E2A" w:rsidRPr="00842A24" w:rsidRDefault="00EA6E2A" w:rsidP="00EA6E2A">
      <w:pPr>
        <w:numPr>
          <w:ilvl w:val="0"/>
          <w:numId w:val="5"/>
        </w:numPr>
        <w:tabs>
          <w:tab w:val="clear" w:pos="720"/>
          <w:tab w:val="num" w:pos="360"/>
        </w:tabs>
        <w:ind w:hanging="720"/>
      </w:pPr>
      <w:r w:rsidRPr="00842A24">
        <w:t>padidėjęs fermentų kiekis kepenyse,</w:t>
      </w:r>
    </w:p>
    <w:p w:rsidR="00EA6E2A" w:rsidRPr="00842A24" w:rsidRDefault="00EA6E2A" w:rsidP="00EA6E2A">
      <w:pPr>
        <w:numPr>
          <w:ilvl w:val="0"/>
          <w:numId w:val="5"/>
        </w:numPr>
        <w:tabs>
          <w:tab w:val="clear" w:pos="720"/>
          <w:tab w:val="num" w:pos="360"/>
        </w:tabs>
        <w:ind w:hanging="720"/>
      </w:pPr>
      <w:r w:rsidRPr="00842A24">
        <w:t>nukritęs hemoglobino kiekis kraujyje,</w:t>
      </w:r>
    </w:p>
    <w:p w:rsidR="00EA6E2A" w:rsidRPr="00842A24" w:rsidRDefault="00EA6E2A" w:rsidP="00EA6E2A">
      <w:pPr>
        <w:numPr>
          <w:ilvl w:val="0"/>
          <w:numId w:val="5"/>
        </w:numPr>
        <w:tabs>
          <w:tab w:val="clear" w:pos="720"/>
          <w:tab w:val="num" w:pos="360"/>
        </w:tabs>
        <w:ind w:hanging="720"/>
      </w:pPr>
      <w:r w:rsidRPr="00842A24">
        <w:t>padidėjęs kraujo fermentų kiekis kraujyje dėl kepenų pažeidimo,</w:t>
      </w:r>
    </w:p>
    <w:p w:rsidR="00EA6E2A" w:rsidRPr="00842A24" w:rsidRDefault="00EA6E2A" w:rsidP="00EA6E2A">
      <w:pPr>
        <w:numPr>
          <w:ilvl w:val="0"/>
          <w:numId w:val="5"/>
        </w:numPr>
        <w:tabs>
          <w:tab w:val="clear" w:pos="720"/>
          <w:tab w:val="num" w:pos="360"/>
        </w:tabs>
        <w:ind w:hanging="720"/>
        <w:rPr>
          <w:szCs w:val="22"/>
        </w:rPr>
      </w:pPr>
      <w:r w:rsidRPr="00842A24">
        <w:t>skausmas</w:t>
      </w:r>
      <w:r w:rsidRPr="00842A24">
        <w:rPr>
          <w:szCs w:val="22"/>
        </w:rPr>
        <w:t xml:space="preserve">. </w:t>
      </w:r>
    </w:p>
    <w:p w:rsidR="00EA6E2A" w:rsidRPr="00842A24" w:rsidRDefault="00EA6E2A" w:rsidP="00EA6E2A">
      <w:pPr>
        <w:rPr>
          <w:rStyle w:val="underline1"/>
        </w:rPr>
      </w:pPr>
    </w:p>
    <w:p w:rsidR="00EA6E2A" w:rsidRPr="00842A24" w:rsidRDefault="00EA6E2A" w:rsidP="00EA6E2A">
      <w:pPr>
        <w:rPr>
          <w:b/>
        </w:rPr>
      </w:pPr>
      <w:r w:rsidRPr="00842A24">
        <w:rPr>
          <w:rStyle w:val="underline1"/>
        </w:rPr>
        <w:t>Dažni šalutinio poveikio reiškiniai (</w:t>
      </w:r>
      <w:r w:rsidRPr="00842A24">
        <w:t>gali pasireikšti rečiau kaip 1 iš 10 asmenų</w:t>
      </w:r>
      <w:r w:rsidRPr="00A20BB7">
        <w:rPr>
          <w:rStyle w:val="underline1"/>
        </w:rPr>
        <w:t>)</w:t>
      </w:r>
      <w:r w:rsidRPr="0090216F">
        <w:t>:</w:t>
      </w:r>
    </w:p>
    <w:p w:rsidR="00EA6E2A" w:rsidRPr="00842A24" w:rsidRDefault="00EA6E2A" w:rsidP="00EA6E2A">
      <w:pPr>
        <w:numPr>
          <w:ilvl w:val="0"/>
          <w:numId w:val="6"/>
        </w:numPr>
        <w:tabs>
          <w:tab w:val="clear" w:pos="720"/>
        </w:tabs>
        <w:ind w:left="426" w:hanging="426"/>
      </w:pPr>
      <w:r w:rsidRPr="00842A24">
        <w:t xml:space="preserve">apetito praradimas, </w:t>
      </w:r>
    </w:p>
    <w:p w:rsidR="00EA6E2A" w:rsidRPr="00842A24" w:rsidRDefault="00EA6E2A" w:rsidP="00EA6E2A">
      <w:pPr>
        <w:numPr>
          <w:ilvl w:val="0"/>
          <w:numId w:val="6"/>
        </w:numPr>
        <w:tabs>
          <w:tab w:val="clear" w:pos="720"/>
        </w:tabs>
        <w:ind w:left="426" w:hanging="426"/>
      </w:pPr>
      <w:r w:rsidRPr="00842A24">
        <w:t>riešo tunelio sindromas (dilgčiojimo, nutirpimo, maudimo ir skausmo derinys visoje rankoje, išskyrus mažąjį pirštelį) arba odos dilgčiojimas / peršėjimas,</w:t>
      </w:r>
    </w:p>
    <w:p w:rsidR="00EA6E2A" w:rsidRPr="00842A24" w:rsidRDefault="00EA6E2A" w:rsidP="00EA6E2A">
      <w:pPr>
        <w:numPr>
          <w:ilvl w:val="0"/>
          <w:numId w:val="6"/>
        </w:numPr>
        <w:tabs>
          <w:tab w:val="clear" w:pos="720"/>
        </w:tabs>
        <w:ind w:left="426" w:hanging="426"/>
      </w:pPr>
      <w:r w:rsidRPr="00842A24">
        <w:t>vėmimas (pykinimas), vidurių užkietėjimas, virškinimo sutrikimas, viduriavimas,</w:t>
      </w:r>
    </w:p>
    <w:p w:rsidR="00EA6E2A" w:rsidRPr="00842A24" w:rsidRDefault="00EA6E2A" w:rsidP="00EA6E2A">
      <w:pPr>
        <w:numPr>
          <w:ilvl w:val="0"/>
          <w:numId w:val="6"/>
        </w:numPr>
        <w:tabs>
          <w:tab w:val="clear" w:pos="720"/>
        </w:tabs>
        <w:ind w:left="426" w:hanging="426"/>
      </w:pPr>
      <w:r w:rsidRPr="00842A24">
        <w:t>plaukų slinkimas,</w:t>
      </w:r>
    </w:p>
    <w:p w:rsidR="00EA6E2A" w:rsidRPr="00842A24" w:rsidRDefault="00EA6E2A" w:rsidP="00EA6E2A">
      <w:pPr>
        <w:numPr>
          <w:ilvl w:val="0"/>
          <w:numId w:val="6"/>
        </w:numPr>
        <w:tabs>
          <w:tab w:val="clear" w:pos="720"/>
        </w:tabs>
        <w:ind w:left="426" w:hanging="426"/>
      </w:pPr>
      <w:r w:rsidRPr="00842A24">
        <w:t xml:space="preserve">odos </w:t>
      </w:r>
      <w:r>
        <w:t>iš</w:t>
      </w:r>
      <w:r w:rsidRPr="00842A24">
        <w:t>bėrimas, dilgėlinė ir niežulys,</w:t>
      </w:r>
    </w:p>
    <w:p w:rsidR="00EA6E2A" w:rsidRPr="00842A24" w:rsidRDefault="00EA6E2A" w:rsidP="00EA6E2A">
      <w:pPr>
        <w:numPr>
          <w:ilvl w:val="0"/>
          <w:numId w:val="6"/>
        </w:numPr>
        <w:tabs>
          <w:tab w:val="clear" w:pos="720"/>
        </w:tabs>
        <w:ind w:left="426" w:hanging="426"/>
      </w:pPr>
      <w:r w:rsidRPr="00842A24">
        <w:t>kaulų retėjimas, todėl gali sumažėti jų stiprumas (osteoporozė) ir kai kuriais atvejais kaulai gali lūžti,</w:t>
      </w:r>
    </w:p>
    <w:p w:rsidR="00EA6E2A" w:rsidRPr="00842A24" w:rsidRDefault="00EA6E2A" w:rsidP="00EA6E2A">
      <w:pPr>
        <w:numPr>
          <w:ilvl w:val="0"/>
          <w:numId w:val="6"/>
        </w:numPr>
        <w:tabs>
          <w:tab w:val="clear" w:pos="720"/>
        </w:tabs>
        <w:ind w:left="426" w:hanging="426"/>
      </w:pPr>
      <w:r w:rsidRPr="00842A24">
        <w:t>rankų ir pėdų pabrinkimas</w:t>
      </w:r>
      <w:r w:rsidRPr="00842A24">
        <w:rPr>
          <w:szCs w:val="22"/>
        </w:rPr>
        <w:t>,</w:t>
      </w:r>
    </w:p>
    <w:p w:rsidR="00EA6E2A" w:rsidRPr="00842A24" w:rsidRDefault="00EA6E2A" w:rsidP="00EA6E2A">
      <w:pPr>
        <w:numPr>
          <w:ilvl w:val="0"/>
          <w:numId w:val="6"/>
        </w:numPr>
        <w:tabs>
          <w:tab w:val="clear" w:pos="720"/>
        </w:tabs>
        <w:ind w:left="426" w:hanging="426"/>
      </w:pPr>
      <w:r w:rsidRPr="00842A24">
        <w:rPr>
          <w:szCs w:val="22"/>
        </w:rPr>
        <w:t>trombocitų kiekio sumažėjimas kraujyje,</w:t>
      </w:r>
    </w:p>
    <w:p w:rsidR="00EA6E2A" w:rsidRPr="00842A24" w:rsidRDefault="00EA6E2A" w:rsidP="00EA6E2A">
      <w:pPr>
        <w:numPr>
          <w:ilvl w:val="0"/>
          <w:numId w:val="6"/>
        </w:numPr>
        <w:tabs>
          <w:tab w:val="clear" w:pos="720"/>
        </w:tabs>
        <w:ind w:left="426" w:hanging="426"/>
        <w:rPr>
          <w:szCs w:val="22"/>
        </w:rPr>
      </w:pPr>
      <w:r w:rsidRPr="00842A24">
        <w:rPr>
          <w:szCs w:val="22"/>
        </w:rPr>
        <w:t>silpnum</w:t>
      </w:r>
      <w:r>
        <w:rPr>
          <w:szCs w:val="22"/>
        </w:rPr>
        <w:t>o jausmas</w:t>
      </w:r>
      <w:r w:rsidRPr="00842A24">
        <w:rPr>
          <w:szCs w:val="22"/>
        </w:rPr>
        <w:t xml:space="preserve">. </w:t>
      </w:r>
    </w:p>
    <w:p w:rsidR="00EA6E2A" w:rsidRPr="00842A24" w:rsidRDefault="00EA6E2A" w:rsidP="00EA6E2A">
      <w:pPr>
        <w:rPr>
          <w:rStyle w:val="underline1"/>
        </w:rPr>
      </w:pPr>
    </w:p>
    <w:p w:rsidR="00EA6E2A" w:rsidRPr="00842A24" w:rsidRDefault="00EA6E2A" w:rsidP="00EA6E2A">
      <w:pPr>
        <w:rPr>
          <w:b/>
        </w:rPr>
      </w:pPr>
      <w:r w:rsidRPr="00842A24">
        <w:rPr>
          <w:rStyle w:val="underline1"/>
        </w:rPr>
        <w:t>Nedažni šalutinio poveikio reiškiniai (</w:t>
      </w:r>
      <w:r w:rsidRPr="00842A24">
        <w:t>gali pasireikšti rečiau kaip 1 iš 100 asmenų):</w:t>
      </w:r>
    </w:p>
    <w:p w:rsidR="00EA6E2A" w:rsidRPr="00842A24" w:rsidRDefault="00EA6E2A" w:rsidP="00EA6E2A">
      <w:pPr>
        <w:numPr>
          <w:ilvl w:val="0"/>
          <w:numId w:val="7"/>
        </w:numPr>
        <w:tabs>
          <w:tab w:val="clear" w:pos="720"/>
          <w:tab w:val="num" w:pos="360"/>
        </w:tabs>
        <w:ind w:left="0" w:firstLine="0"/>
        <w:rPr>
          <w:szCs w:val="22"/>
        </w:rPr>
      </w:pPr>
      <w:r w:rsidRPr="00842A24">
        <w:t>padidėjęs jautrumas</w:t>
      </w:r>
      <w:r w:rsidRPr="00842A24">
        <w:rPr>
          <w:szCs w:val="22"/>
        </w:rPr>
        <w:t xml:space="preserve">. </w:t>
      </w:r>
    </w:p>
    <w:p w:rsidR="00EA6E2A" w:rsidRPr="00842A24" w:rsidRDefault="00EA6E2A" w:rsidP="00EA6E2A">
      <w:pPr>
        <w:rPr>
          <w:rStyle w:val="underline1"/>
          <w:b/>
          <w:szCs w:val="22"/>
        </w:rPr>
      </w:pPr>
    </w:p>
    <w:p w:rsidR="00EA6E2A" w:rsidRPr="00842A24" w:rsidRDefault="00EA6E2A" w:rsidP="00EA6E2A">
      <w:pPr>
        <w:rPr>
          <w:b/>
        </w:rPr>
      </w:pPr>
      <w:r w:rsidRPr="00842A24">
        <w:rPr>
          <w:rStyle w:val="underline1"/>
        </w:rPr>
        <w:t>Reti šalutinio poveikio reiškiniai (</w:t>
      </w:r>
      <w:r w:rsidRPr="00842A24">
        <w:t>gali pasireikšti rečiau kaip 1 iš 1000 asmenų):</w:t>
      </w:r>
    </w:p>
    <w:p w:rsidR="00EA6E2A" w:rsidRPr="00842A24" w:rsidRDefault="00EA6E2A" w:rsidP="00EA6E2A">
      <w:pPr>
        <w:numPr>
          <w:ilvl w:val="0"/>
          <w:numId w:val="7"/>
        </w:numPr>
        <w:tabs>
          <w:tab w:val="clear" w:pos="720"/>
          <w:tab w:val="num" w:pos="360"/>
        </w:tabs>
        <w:ind w:left="0" w:firstLine="0"/>
        <w:rPr>
          <w:szCs w:val="22"/>
        </w:rPr>
      </w:pPr>
      <w:r w:rsidRPr="00842A24">
        <w:rPr>
          <w:szCs w:val="22"/>
        </w:rPr>
        <w:t>nedidelių pūslelių susidarymas odos išbėrimo vietoje,</w:t>
      </w:r>
    </w:p>
    <w:p w:rsidR="00EA6E2A" w:rsidRPr="00842A24" w:rsidRDefault="00EA6E2A" w:rsidP="00EA6E2A">
      <w:pPr>
        <w:numPr>
          <w:ilvl w:val="0"/>
          <w:numId w:val="7"/>
        </w:numPr>
        <w:tabs>
          <w:tab w:val="clear" w:pos="720"/>
          <w:tab w:val="num" w:pos="360"/>
        </w:tabs>
        <w:ind w:left="0" w:firstLine="0"/>
        <w:rPr>
          <w:szCs w:val="22"/>
        </w:rPr>
      </w:pPr>
      <w:r w:rsidRPr="00842A24">
        <w:rPr>
          <w:szCs w:val="22"/>
        </w:rPr>
        <w:t>mieguistumas,</w:t>
      </w:r>
    </w:p>
    <w:p w:rsidR="00EA6E2A" w:rsidRPr="00842A24" w:rsidRDefault="00EA6E2A" w:rsidP="00EA6E2A">
      <w:pPr>
        <w:numPr>
          <w:ilvl w:val="0"/>
          <w:numId w:val="7"/>
        </w:numPr>
        <w:tabs>
          <w:tab w:val="clear" w:pos="720"/>
          <w:tab w:val="num" w:pos="360"/>
        </w:tabs>
        <w:ind w:left="0" w:firstLine="0"/>
        <w:rPr>
          <w:szCs w:val="22"/>
        </w:rPr>
      </w:pPr>
      <w:r w:rsidRPr="00842A24">
        <w:rPr>
          <w:szCs w:val="22"/>
        </w:rPr>
        <w:lastRenderedPageBreak/>
        <w:t>kepenų uždegimas,</w:t>
      </w:r>
    </w:p>
    <w:p w:rsidR="00EA6E2A" w:rsidRPr="00842A24" w:rsidRDefault="00EA6E2A" w:rsidP="00EA6E2A">
      <w:pPr>
        <w:numPr>
          <w:ilvl w:val="0"/>
          <w:numId w:val="7"/>
        </w:numPr>
        <w:tabs>
          <w:tab w:val="clear" w:pos="720"/>
          <w:tab w:val="num" w:pos="360"/>
        </w:tabs>
        <w:ind w:left="0" w:firstLine="0"/>
        <w:rPr>
          <w:szCs w:val="22"/>
        </w:rPr>
      </w:pPr>
      <w:r w:rsidRPr="00842A24">
        <w:rPr>
          <w:szCs w:val="22"/>
        </w:rPr>
        <w:t xml:space="preserve">kepenų tulžies latakų uždegimas, dėl kurio pagelsta oda. </w:t>
      </w:r>
    </w:p>
    <w:p w:rsidR="00EA6E2A" w:rsidRPr="00842A24" w:rsidRDefault="00EA6E2A" w:rsidP="00EA6E2A">
      <w:pPr>
        <w:rPr>
          <w:szCs w:val="22"/>
        </w:rPr>
      </w:pPr>
    </w:p>
    <w:p w:rsidR="00EA6E2A" w:rsidRPr="00E5770F" w:rsidRDefault="00EA6E2A" w:rsidP="00EA6E2A">
      <w:pPr>
        <w:rPr>
          <w:u w:val="single"/>
        </w:rPr>
      </w:pPr>
      <w:r w:rsidRPr="00E5770F">
        <w:rPr>
          <w:u w:val="single"/>
        </w:rPr>
        <w:t>Šalutinio poveikio reiškiniai, kurių dažnis nežinomas</w:t>
      </w:r>
      <w:r w:rsidRPr="00EF2BAB">
        <w:t xml:space="preserve"> </w:t>
      </w:r>
      <w:r w:rsidRPr="000A463F">
        <w:t>(negali būti apskaičiuotas pagal turimus duomenis):</w:t>
      </w:r>
    </w:p>
    <w:p w:rsidR="00EA6E2A" w:rsidRPr="00842A24" w:rsidRDefault="00EA6E2A" w:rsidP="00EA6E2A">
      <w:pPr>
        <w:numPr>
          <w:ilvl w:val="0"/>
          <w:numId w:val="7"/>
        </w:numPr>
        <w:tabs>
          <w:tab w:val="clear" w:pos="720"/>
          <w:tab w:val="num" w:pos="360"/>
        </w:tabs>
        <w:ind w:left="0" w:firstLine="0"/>
        <w:rPr>
          <w:szCs w:val="22"/>
        </w:rPr>
      </w:pPr>
      <w:r w:rsidRPr="00842A24">
        <w:rPr>
          <w:szCs w:val="22"/>
        </w:rPr>
        <w:t xml:space="preserve">mažas tam tikrų kraujo kūnelių kiekis kraujyje. </w:t>
      </w:r>
    </w:p>
    <w:p w:rsidR="00EA6E2A" w:rsidRPr="00842A24" w:rsidRDefault="00EA6E2A" w:rsidP="00EA6E2A">
      <w:pPr>
        <w:rPr>
          <w:rStyle w:val="underline1"/>
        </w:rPr>
      </w:pPr>
    </w:p>
    <w:p w:rsidR="00EA6E2A" w:rsidRPr="00842A24" w:rsidRDefault="00EA6E2A" w:rsidP="00EA6E2A">
      <w:pPr>
        <w:rPr>
          <w:rStyle w:val="bold1"/>
          <w:b w:val="0"/>
        </w:rPr>
      </w:pPr>
      <w:r w:rsidRPr="00842A24">
        <w:rPr>
          <w:szCs w:val="22"/>
          <w:lang w:eastAsia="zh-CN"/>
        </w:rPr>
        <w:t xml:space="preserve">Taip pat gali </w:t>
      </w:r>
      <w:r w:rsidRPr="00842A24">
        <w:t xml:space="preserve">pasireikšti </w:t>
      </w:r>
      <w:r w:rsidRPr="00842A24">
        <w:rPr>
          <w:szCs w:val="22"/>
          <w:lang w:eastAsia="zh-CN"/>
        </w:rPr>
        <w:t xml:space="preserve">tam tikrų </w:t>
      </w:r>
      <w:r w:rsidRPr="00842A24">
        <w:t xml:space="preserve">kraujo ląstelių (limfocitų) ir </w:t>
      </w:r>
      <w:r w:rsidRPr="00842A24">
        <w:rPr>
          <w:szCs w:val="22"/>
          <w:lang w:eastAsia="zh-CN"/>
        </w:rPr>
        <w:t>jūsų kraujyje cirkuliuojančių trombocitų kiekio pasikeitimai</w:t>
      </w:r>
      <w:r w:rsidRPr="00842A24">
        <w:t xml:space="preserve">, ypač pacientams, </w:t>
      </w:r>
      <w:r w:rsidRPr="00842A24">
        <w:rPr>
          <w:rStyle w:val="underline1"/>
        </w:rPr>
        <w:t>kuriems</w:t>
      </w:r>
      <w:r w:rsidRPr="00842A24">
        <w:rPr>
          <w:szCs w:val="22"/>
          <w:lang w:eastAsia="zh-CN"/>
        </w:rPr>
        <w:t xml:space="preserve"> jau</w:t>
      </w:r>
      <w:r w:rsidRPr="00842A24">
        <w:t xml:space="preserve"> yra limfopenija (sumažėjęs limfocitų kiekis kraujyje).</w:t>
      </w:r>
    </w:p>
    <w:p w:rsidR="00EA6E2A" w:rsidRPr="00842A24" w:rsidRDefault="00EA6E2A" w:rsidP="00EA6E2A">
      <w:pPr>
        <w:pStyle w:val="paragraph"/>
        <w:rPr>
          <w:rStyle w:val="bold1"/>
          <w:b w:val="0"/>
          <w:sz w:val="22"/>
          <w:szCs w:val="22"/>
          <w:lang w:val="lt-LT"/>
        </w:rPr>
      </w:pPr>
    </w:p>
    <w:p w:rsidR="00EA6E2A" w:rsidRPr="00842A24" w:rsidRDefault="00EA6E2A" w:rsidP="00EA6E2A">
      <w:pPr>
        <w:rPr>
          <w:b/>
        </w:rPr>
      </w:pPr>
      <w:r w:rsidRPr="00842A24">
        <w:rPr>
          <w:b/>
        </w:rPr>
        <w:t>Pranešimas apie šalutinį poveikį</w:t>
      </w:r>
    </w:p>
    <w:p w:rsidR="00EA6E2A" w:rsidRPr="00842A24" w:rsidRDefault="00EA6E2A" w:rsidP="00EA6E2A">
      <w:pPr>
        <w:tabs>
          <w:tab w:val="left" w:pos="567"/>
        </w:tabs>
        <w:spacing w:line="260" w:lineRule="exact"/>
        <w:ind w:right="-1"/>
        <w:rPr>
          <w:rFonts w:eastAsia="Calibri"/>
          <w:color w:val="000000"/>
          <w:szCs w:val="22"/>
          <w:lang w:eastAsia="zh-CN"/>
        </w:rPr>
      </w:pPr>
      <w:r w:rsidRPr="00842A24">
        <w:t>Jeigu pasireiškė šalutinis poveikis, įskaitant šiame lapelyje nenurodytą, pasakykite gydytojui</w:t>
      </w:r>
      <w:r w:rsidRPr="009E4666">
        <w:t xml:space="preserve"> </w:t>
      </w:r>
      <w:r w:rsidRPr="00842A24">
        <w:t xml:space="preserve">arba vaistininkui. </w:t>
      </w:r>
      <w:r w:rsidRPr="00842A24">
        <w:rPr>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842A24">
        <w:rPr>
          <w:color w:val="0000FF"/>
          <w:szCs w:val="20"/>
          <w:u w:val="single"/>
        </w:rPr>
        <w:t>https://vapris.vvkt.lt/vvkt-web/public/nrv</w:t>
      </w:r>
      <w:r w:rsidRPr="00842A24">
        <w:rPr>
          <w:szCs w:val="20"/>
        </w:rPr>
        <w:t xml:space="preserve"> arba užpildant Paciento pranešimo apie įtariamą nepageidaujamą reakciją (ĮNR) formą, kuri skelbiama </w:t>
      </w:r>
      <w:r w:rsidRPr="00842A24">
        <w:rPr>
          <w:color w:val="0000FF"/>
          <w:szCs w:val="20"/>
          <w:u w:val="single"/>
        </w:rPr>
        <w:t>https://www.vvkt.lt/index.php?4004286486</w:t>
      </w:r>
      <w:r w:rsidRPr="00842A24">
        <w:rPr>
          <w:szCs w:val="20"/>
        </w:rPr>
        <w:t xml:space="preserve">, ir atsiunčiant elektroniniu paštu (adresu </w:t>
      </w:r>
      <w:r w:rsidRPr="00842A24">
        <w:rPr>
          <w:color w:val="0000FF"/>
          <w:szCs w:val="20"/>
          <w:u w:val="single"/>
        </w:rPr>
        <w:t>NepageidaujamaR@vvkt.lt</w:t>
      </w:r>
      <w:r w:rsidRPr="00842A24">
        <w:rPr>
          <w:szCs w:val="20"/>
        </w:rPr>
        <w:t xml:space="preserve">) arba nemokamu telefonu 8 800 73 568. </w:t>
      </w:r>
      <w:r w:rsidRPr="00842A24">
        <w:t xml:space="preserve">Pranešdami apie šalutinį poveikį galite mums padėti gauti daugiau informacijos apie šio vaisto saugumą. </w:t>
      </w:r>
    </w:p>
    <w:p w:rsidR="00EA6E2A" w:rsidRPr="00842A24" w:rsidRDefault="00EA6E2A" w:rsidP="00EA6E2A">
      <w:pPr>
        <w:pStyle w:val="paragraph"/>
        <w:rPr>
          <w:rStyle w:val="bold1"/>
          <w:b w:val="0"/>
          <w:lang w:val="lt-LT"/>
        </w:rPr>
      </w:pPr>
    </w:p>
    <w:p w:rsidR="00EA6E2A" w:rsidRPr="00842A24" w:rsidRDefault="00EA6E2A" w:rsidP="00EA6E2A">
      <w:pPr>
        <w:pStyle w:val="BTEMEASMCA"/>
      </w:pPr>
    </w:p>
    <w:p w:rsidR="00EA6E2A" w:rsidRPr="00842A24" w:rsidRDefault="00EA6E2A" w:rsidP="00EA6E2A">
      <w:pPr>
        <w:pStyle w:val="PI-1EMEASMCA"/>
      </w:pPr>
      <w:bookmarkStart w:id="11" w:name="_Toc129243143"/>
      <w:bookmarkStart w:id="12" w:name="_Toc129243268"/>
      <w:r w:rsidRPr="00842A24">
        <w:t>5.</w:t>
      </w:r>
      <w:r w:rsidRPr="00842A24">
        <w:tab/>
      </w:r>
      <w:bookmarkEnd w:id="11"/>
      <w:bookmarkEnd w:id="12"/>
      <w:r w:rsidRPr="00842A24">
        <w:t>Kaip laikyti Exemestane Accord</w:t>
      </w:r>
    </w:p>
    <w:p w:rsidR="00EA6E2A" w:rsidRPr="00842A24" w:rsidRDefault="00EA6E2A" w:rsidP="00EA6E2A">
      <w:pPr>
        <w:pStyle w:val="PI-1EMEASMCA"/>
      </w:pPr>
    </w:p>
    <w:p w:rsidR="00EA6E2A" w:rsidRPr="00842A24" w:rsidRDefault="00EA6E2A" w:rsidP="00EA6E2A">
      <w:pPr>
        <w:numPr>
          <w:ilvl w:val="0"/>
          <w:numId w:val="8"/>
        </w:numPr>
        <w:tabs>
          <w:tab w:val="clear" w:pos="720"/>
          <w:tab w:val="num" w:pos="240"/>
        </w:tabs>
        <w:ind w:hanging="720"/>
        <w:rPr>
          <w:strike/>
        </w:rPr>
      </w:pPr>
      <w:r w:rsidRPr="00842A24">
        <w:t>Šį vaistą laikykite vaikams nepastebimoje ir nepasiekiamoje</w:t>
      </w:r>
      <w:r w:rsidRPr="00842A24" w:rsidDel="003F3504">
        <w:t xml:space="preserve"> </w:t>
      </w:r>
      <w:r w:rsidRPr="00842A24">
        <w:t xml:space="preserve">vietoje. </w:t>
      </w:r>
    </w:p>
    <w:p w:rsidR="00EA6E2A" w:rsidRPr="00842A24" w:rsidRDefault="00EA6E2A" w:rsidP="00EA6E2A">
      <w:pPr>
        <w:numPr>
          <w:ilvl w:val="0"/>
          <w:numId w:val="8"/>
        </w:numPr>
        <w:tabs>
          <w:tab w:val="clear" w:pos="720"/>
          <w:tab w:val="num" w:pos="240"/>
        </w:tabs>
        <w:ind w:left="240" w:hanging="240"/>
        <w:rPr>
          <w:color w:val="000000"/>
        </w:rPr>
      </w:pPr>
      <w:r w:rsidRPr="00842A24">
        <w:t xml:space="preserve">Ant išorinės dėžutės ir lizdinės plokštelės </w:t>
      </w:r>
      <w:r w:rsidRPr="00842A24">
        <w:rPr>
          <w:szCs w:val="22"/>
        </w:rPr>
        <w:t xml:space="preserve">po </w:t>
      </w:r>
      <w:r w:rsidRPr="00842A24">
        <w:t>„EXP</w:t>
      </w:r>
      <w:r w:rsidRPr="00842A24">
        <w:rPr>
          <w:szCs w:val="22"/>
        </w:rPr>
        <w:t xml:space="preserve">“ </w:t>
      </w:r>
      <w:r w:rsidRPr="00842A24">
        <w:t xml:space="preserve">nurodytam tinkamumo laikui pasibaigus, šio vaisto vartoti negalima. </w:t>
      </w:r>
      <w:r w:rsidRPr="00842A24">
        <w:rPr>
          <w:color w:val="000000"/>
        </w:rPr>
        <w:t>Vaistas tinkamas vartoti iki paskutinės nurodyto mėnesio dienos.</w:t>
      </w:r>
      <w:r w:rsidRPr="00842A24">
        <w:rPr>
          <w:color w:val="000000"/>
          <w:szCs w:val="22"/>
        </w:rPr>
        <w:t xml:space="preserve"> </w:t>
      </w:r>
    </w:p>
    <w:p w:rsidR="00EA6E2A" w:rsidRPr="00842A24" w:rsidRDefault="00EA6E2A" w:rsidP="00EA6E2A">
      <w:pPr>
        <w:numPr>
          <w:ilvl w:val="0"/>
          <w:numId w:val="8"/>
        </w:numPr>
        <w:tabs>
          <w:tab w:val="clear" w:pos="720"/>
          <w:tab w:val="num" w:pos="240"/>
        </w:tabs>
        <w:ind w:hanging="720"/>
      </w:pPr>
      <w:r w:rsidRPr="00842A24">
        <w:t xml:space="preserve">Šiam vaistui specialių laikymo sąlygų nereikia. </w:t>
      </w:r>
    </w:p>
    <w:p w:rsidR="00EA6E2A" w:rsidRPr="00842A24" w:rsidRDefault="00EA6E2A" w:rsidP="00EA6E2A">
      <w:pPr>
        <w:numPr>
          <w:ilvl w:val="0"/>
          <w:numId w:val="8"/>
        </w:numPr>
        <w:tabs>
          <w:tab w:val="clear" w:pos="720"/>
          <w:tab w:val="num" w:pos="240"/>
        </w:tabs>
        <w:ind w:left="284" w:hanging="284"/>
      </w:pPr>
      <w:r w:rsidRPr="00842A24">
        <w:t>Vaistų negalima išmesti į kanalizaciją arba su buitinėmis atliekomis. Kaip išmesti nereikalingus vaistus, klauskite vaistininko. Šios priemonės padės apsaugoti aplinką.</w:t>
      </w:r>
    </w:p>
    <w:p w:rsidR="00EA6E2A" w:rsidRPr="00842A24" w:rsidRDefault="00EA6E2A" w:rsidP="00EA6E2A">
      <w:pPr>
        <w:pStyle w:val="PI-1EMEASMCA"/>
      </w:pPr>
      <w:bookmarkStart w:id="13" w:name="_Toc129243144"/>
      <w:bookmarkStart w:id="14" w:name="_Toc129243269"/>
    </w:p>
    <w:p w:rsidR="00EA6E2A" w:rsidRPr="00842A24" w:rsidRDefault="00EA6E2A" w:rsidP="00EA6E2A">
      <w:pPr>
        <w:pStyle w:val="PI-1EMEASMCA"/>
      </w:pPr>
    </w:p>
    <w:p w:rsidR="00EA6E2A" w:rsidRPr="00842A24" w:rsidRDefault="00EA6E2A" w:rsidP="00EA6E2A">
      <w:pPr>
        <w:pStyle w:val="PI-1EMEASMCA"/>
      </w:pPr>
      <w:r w:rsidRPr="00842A24">
        <w:t>6.</w:t>
      </w:r>
      <w:r w:rsidRPr="00842A24">
        <w:tab/>
      </w:r>
      <w:bookmarkEnd w:id="13"/>
      <w:bookmarkEnd w:id="14"/>
      <w:r w:rsidRPr="00842A24">
        <w:rPr>
          <w:szCs w:val="24"/>
        </w:rPr>
        <w:t>Pakuotės turinys ir kita informacija</w:t>
      </w:r>
    </w:p>
    <w:p w:rsidR="00EA6E2A" w:rsidRPr="00842A24" w:rsidRDefault="00EA6E2A" w:rsidP="00EA6E2A">
      <w:pPr>
        <w:pStyle w:val="BTEMEASMCA"/>
      </w:pPr>
    </w:p>
    <w:p w:rsidR="00EA6E2A" w:rsidRPr="00842A24" w:rsidRDefault="00EA6E2A" w:rsidP="00EA6E2A">
      <w:pPr>
        <w:pStyle w:val="PI-3EMEASMCA"/>
      </w:pPr>
      <w:r w:rsidRPr="00842A24">
        <w:t>Exemestane Accord sudėtis</w:t>
      </w:r>
    </w:p>
    <w:p w:rsidR="00EA6E2A" w:rsidRPr="00842A24" w:rsidRDefault="00EA6E2A" w:rsidP="00EA6E2A">
      <w:pPr>
        <w:tabs>
          <w:tab w:val="left" w:pos="567"/>
        </w:tabs>
        <w:autoSpaceDE w:val="0"/>
        <w:autoSpaceDN w:val="0"/>
        <w:adjustRightInd w:val="0"/>
      </w:pPr>
      <w:r w:rsidRPr="00842A24">
        <w:t>-</w:t>
      </w:r>
      <w:r w:rsidRPr="00842A24">
        <w:tab/>
        <w:t xml:space="preserve">Veiklioji medžiaga yra eksemestanas. Kiekvienoje plėvele dengtoje tabletėje yra 25 mg eksemestano. </w:t>
      </w:r>
    </w:p>
    <w:p w:rsidR="00EA6E2A" w:rsidRPr="00842A24" w:rsidRDefault="00EA6E2A" w:rsidP="00EA6E2A">
      <w:pPr>
        <w:tabs>
          <w:tab w:val="left" w:pos="567"/>
        </w:tabs>
        <w:autoSpaceDE w:val="0"/>
        <w:autoSpaceDN w:val="0"/>
        <w:adjustRightInd w:val="0"/>
      </w:pPr>
      <w:r w:rsidRPr="00842A24">
        <w:t>-</w:t>
      </w:r>
      <w:r w:rsidRPr="00842A24">
        <w:tab/>
        <w:t>Pagalbinės medžiagos yra:</w:t>
      </w:r>
    </w:p>
    <w:p w:rsidR="00EA6E2A" w:rsidRPr="00842A24" w:rsidRDefault="00EA6E2A" w:rsidP="00EA6E2A">
      <w:r w:rsidRPr="00842A24">
        <w:rPr>
          <w:i/>
        </w:rPr>
        <w:t>Tabletės branduolys</w:t>
      </w:r>
      <w:r w:rsidRPr="00842A24">
        <w:t xml:space="preserve">: </w:t>
      </w:r>
      <w:r w:rsidRPr="00842A24">
        <w:rPr>
          <w:color w:val="000000"/>
        </w:rPr>
        <w:t>manitolis, mikrokristalinė celiuliozė, krospovidonas, karboksimetilkrakmolo A natrio druska, hipromeliozė E5, polisorbatas 80, bevandenis koloidinis silicio dioksidas, magnio stearatas.</w:t>
      </w:r>
    </w:p>
    <w:p w:rsidR="00EA6E2A" w:rsidRPr="00842A24" w:rsidRDefault="00EA6E2A" w:rsidP="00EA6E2A">
      <w:r w:rsidRPr="00842A24">
        <w:rPr>
          <w:i/>
        </w:rPr>
        <w:t>Tabletės plėvelė:</w:t>
      </w:r>
      <w:r w:rsidRPr="00842A24">
        <w:rPr>
          <w:b/>
        </w:rPr>
        <w:t xml:space="preserve"> </w:t>
      </w:r>
      <w:r w:rsidRPr="00842A24">
        <w:t>hipromeliozė 6cp (E464), titano dioksidas (E171), makrogolis 400.</w:t>
      </w:r>
    </w:p>
    <w:p w:rsidR="00EA6E2A" w:rsidRPr="00842A24" w:rsidRDefault="00EA6E2A" w:rsidP="00EA6E2A">
      <w:pPr>
        <w:pStyle w:val="PI-3EMEASMCA"/>
        <w:rPr>
          <w:b w:val="0"/>
        </w:rPr>
      </w:pPr>
    </w:p>
    <w:p w:rsidR="00EA6E2A" w:rsidRPr="00842A24" w:rsidRDefault="00EA6E2A" w:rsidP="00EA6E2A">
      <w:pPr>
        <w:pStyle w:val="PI-3EMEASMCA"/>
        <w:rPr>
          <w:b w:val="0"/>
        </w:rPr>
      </w:pPr>
      <w:r w:rsidRPr="00842A24">
        <w:t>Exemestane Accord išvaizda ir kiekis pakuotėje</w:t>
      </w:r>
    </w:p>
    <w:p w:rsidR="00EA6E2A" w:rsidRPr="00842A24" w:rsidRDefault="00EA6E2A" w:rsidP="00EA6E2A">
      <w:pPr>
        <w:autoSpaceDE w:val="0"/>
        <w:autoSpaceDN w:val="0"/>
        <w:adjustRightInd w:val="0"/>
        <w:rPr>
          <w:highlight w:val="lightGray"/>
        </w:rPr>
      </w:pPr>
      <w:r w:rsidRPr="00842A24">
        <w:t xml:space="preserve">Exemestane Accord yra baltos arba beveik baltos, apvalios, abipus išgaubtos, plėvele dengtos tabletės, kurių vienoje pusėje įspausta „E25“, o kita pusė – lygi. </w:t>
      </w:r>
    </w:p>
    <w:p w:rsidR="00EA6E2A" w:rsidRPr="00842A24" w:rsidRDefault="00EA6E2A" w:rsidP="00EA6E2A">
      <w:pPr>
        <w:autoSpaceDE w:val="0"/>
        <w:autoSpaceDN w:val="0"/>
        <w:adjustRightInd w:val="0"/>
      </w:pPr>
    </w:p>
    <w:p w:rsidR="00EA6E2A" w:rsidRPr="00842A24" w:rsidRDefault="00EA6E2A" w:rsidP="00EA6E2A">
      <w:pPr>
        <w:autoSpaceDE w:val="0"/>
        <w:autoSpaceDN w:val="0"/>
        <w:adjustRightInd w:val="0"/>
        <w:rPr>
          <w:color w:val="000000"/>
        </w:rPr>
      </w:pPr>
      <w:r w:rsidRPr="00842A24">
        <w:t xml:space="preserve">Exemestane Accord tabletės teikiamos baltomis matinėmis PVC/PVdC-Al lizdinėmis plokštelėmis, kurių kiekvienoje yra 15, 20, 28, 30, 90, 98, 100 ar 120 tablečių. </w:t>
      </w:r>
    </w:p>
    <w:p w:rsidR="00EA6E2A" w:rsidRPr="00842A24" w:rsidRDefault="00EA6E2A" w:rsidP="00EA6E2A">
      <w:pPr>
        <w:autoSpaceDE w:val="0"/>
        <w:autoSpaceDN w:val="0"/>
        <w:adjustRightInd w:val="0"/>
        <w:jc w:val="both"/>
        <w:rPr>
          <w:color w:val="000000"/>
        </w:rPr>
      </w:pPr>
    </w:p>
    <w:p w:rsidR="00EA6E2A" w:rsidRPr="00842A24" w:rsidRDefault="00EA6E2A" w:rsidP="00EA6E2A">
      <w:pPr>
        <w:autoSpaceDE w:val="0"/>
        <w:autoSpaceDN w:val="0"/>
        <w:adjustRightInd w:val="0"/>
        <w:jc w:val="both"/>
        <w:rPr>
          <w:color w:val="000000"/>
        </w:rPr>
      </w:pPr>
      <w:r w:rsidRPr="00842A24">
        <w:rPr>
          <w:color w:val="000000"/>
        </w:rPr>
        <w:t xml:space="preserve">Gali būti tiekiamos ne visų dydžių pakuotės. </w:t>
      </w:r>
    </w:p>
    <w:p w:rsidR="00EA6E2A" w:rsidRPr="00842A24" w:rsidRDefault="00EA6E2A" w:rsidP="00EA6E2A">
      <w:pPr>
        <w:pStyle w:val="prastasiniatinklio"/>
        <w:spacing w:before="0" w:beforeAutospacing="0" w:after="0" w:afterAutospacing="0"/>
        <w:rPr>
          <w:lang w:val="lt-LT"/>
        </w:rPr>
      </w:pPr>
    </w:p>
    <w:p w:rsidR="00EA6E2A" w:rsidRPr="00842A24" w:rsidRDefault="00EA6E2A" w:rsidP="00EA6E2A">
      <w:pPr>
        <w:pStyle w:val="prastasiniatinklio"/>
        <w:spacing w:before="0" w:beforeAutospacing="0" w:after="0" w:afterAutospacing="0"/>
        <w:rPr>
          <w:b/>
          <w:lang w:val="lt-LT"/>
        </w:rPr>
      </w:pPr>
      <w:r w:rsidRPr="00842A24">
        <w:rPr>
          <w:b/>
          <w:sz w:val="22"/>
          <w:lang w:val="lt-LT"/>
        </w:rPr>
        <w:t>Registruotojas ir gamintojas</w:t>
      </w:r>
    </w:p>
    <w:p w:rsidR="00EA6E2A" w:rsidRPr="00842A24" w:rsidRDefault="00EA6E2A" w:rsidP="00EA6E2A">
      <w:pPr>
        <w:pStyle w:val="BTEMEASMCA"/>
      </w:pPr>
    </w:p>
    <w:p w:rsidR="00EA6E2A" w:rsidRPr="00842A24" w:rsidRDefault="00EA6E2A" w:rsidP="00EA6E2A">
      <w:pPr>
        <w:pStyle w:val="PI-3EMEASMCA"/>
        <w:rPr>
          <w:b w:val="0"/>
          <w:i/>
        </w:rPr>
      </w:pPr>
      <w:r w:rsidRPr="00842A24">
        <w:rPr>
          <w:b w:val="0"/>
          <w:i/>
        </w:rPr>
        <w:t>Registruotojas</w:t>
      </w:r>
    </w:p>
    <w:p w:rsidR="00EA6E2A" w:rsidRPr="00842A24" w:rsidRDefault="00EA6E2A" w:rsidP="00EA6E2A">
      <w:r w:rsidRPr="00842A24">
        <w:t xml:space="preserve">Accord Healthcare B.V. </w:t>
      </w:r>
    </w:p>
    <w:p w:rsidR="00EA6E2A" w:rsidRPr="00842A24" w:rsidRDefault="00EA6E2A" w:rsidP="00EA6E2A">
      <w:r w:rsidRPr="00842A24">
        <w:t xml:space="preserve">Winthontlaan 200 </w:t>
      </w:r>
    </w:p>
    <w:p w:rsidR="00EA6E2A" w:rsidRPr="00842A24" w:rsidRDefault="00EA6E2A" w:rsidP="00EA6E2A">
      <w:r w:rsidRPr="00842A24">
        <w:lastRenderedPageBreak/>
        <w:t xml:space="preserve">3526 KV Utrecht </w:t>
      </w:r>
    </w:p>
    <w:p w:rsidR="00EA6E2A" w:rsidRPr="00842A24" w:rsidRDefault="00EA6E2A" w:rsidP="00EA6E2A">
      <w:r w:rsidRPr="00842A24">
        <w:t>Nyderlandai</w:t>
      </w:r>
    </w:p>
    <w:p w:rsidR="00EA6E2A" w:rsidRPr="00842A24" w:rsidRDefault="00EA6E2A" w:rsidP="00EA6E2A">
      <w:pPr>
        <w:pStyle w:val="BTEMEASMCA"/>
      </w:pPr>
    </w:p>
    <w:p w:rsidR="00EA6E2A" w:rsidRPr="00842A24" w:rsidRDefault="00EA6E2A" w:rsidP="00EA6E2A">
      <w:pPr>
        <w:rPr>
          <w:i/>
        </w:rPr>
      </w:pPr>
      <w:r w:rsidRPr="00842A24">
        <w:rPr>
          <w:i/>
        </w:rPr>
        <w:t>Gamintojas</w:t>
      </w:r>
    </w:p>
    <w:p w:rsidR="00EA6E2A" w:rsidRPr="00842A24" w:rsidRDefault="00EA6E2A" w:rsidP="00EA6E2A">
      <w:pPr>
        <w:tabs>
          <w:tab w:val="num" w:pos="1170"/>
        </w:tabs>
        <w:ind w:right="29"/>
        <w:jc w:val="both"/>
        <w:rPr>
          <w:szCs w:val="22"/>
        </w:rPr>
      </w:pPr>
      <w:r w:rsidRPr="00842A24">
        <w:rPr>
          <w:szCs w:val="22"/>
        </w:rPr>
        <w:t>LABORATORI FUNDACIÓ DAU</w:t>
      </w:r>
    </w:p>
    <w:p w:rsidR="00EA6E2A" w:rsidRPr="00842A24" w:rsidRDefault="00EA6E2A" w:rsidP="00EA6E2A">
      <w:pPr>
        <w:tabs>
          <w:tab w:val="num" w:pos="1170"/>
        </w:tabs>
        <w:ind w:right="29"/>
        <w:jc w:val="both"/>
        <w:rPr>
          <w:szCs w:val="22"/>
        </w:rPr>
      </w:pPr>
      <w:r w:rsidRPr="00842A24">
        <w:rPr>
          <w:szCs w:val="22"/>
        </w:rPr>
        <w:t>C/C, 12-14 Pol.Ind. Zona Franca, Barcelona, 08040 Barcelona</w:t>
      </w:r>
    </w:p>
    <w:p w:rsidR="00EA6E2A" w:rsidRPr="00842A24" w:rsidRDefault="00EA6E2A" w:rsidP="00EA6E2A">
      <w:pPr>
        <w:jc w:val="both"/>
        <w:rPr>
          <w:szCs w:val="22"/>
        </w:rPr>
      </w:pPr>
      <w:r w:rsidRPr="00842A24">
        <w:t>Ispanija</w:t>
      </w:r>
      <w:r w:rsidRPr="00842A24" w:rsidDel="004C315C">
        <w:rPr>
          <w:szCs w:val="22"/>
        </w:rPr>
        <w:t xml:space="preserve"> </w:t>
      </w:r>
    </w:p>
    <w:p w:rsidR="00EA6E2A" w:rsidRPr="00842A24" w:rsidRDefault="00EA6E2A" w:rsidP="00EA6E2A"/>
    <w:p w:rsidR="00EA6E2A" w:rsidRPr="00842A24" w:rsidRDefault="00EA6E2A" w:rsidP="00EA6E2A">
      <w:r w:rsidRPr="00842A24">
        <w:t>Accord Healthcare Polska Sp.z o.o.,</w:t>
      </w:r>
    </w:p>
    <w:p w:rsidR="00EA6E2A" w:rsidRPr="00842A24" w:rsidRDefault="00EA6E2A" w:rsidP="00EA6E2A">
      <w:r w:rsidRPr="00842A24">
        <w:t>ul. Lutomierska 50,95-200 Pabianice, Lenkija</w:t>
      </w:r>
    </w:p>
    <w:p w:rsidR="00EA6E2A" w:rsidRPr="00842A24" w:rsidRDefault="00EA6E2A" w:rsidP="00EA6E2A"/>
    <w:p w:rsidR="00EA6E2A" w:rsidRPr="00842A24" w:rsidRDefault="00EA6E2A" w:rsidP="00EA6E2A">
      <w:r w:rsidRPr="00842A24">
        <w:t xml:space="preserve">Accord Healthcare B.V. </w:t>
      </w:r>
    </w:p>
    <w:p w:rsidR="00EA6E2A" w:rsidRPr="00842A24" w:rsidRDefault="00EA6E2A" w:rsidP="00EA6E2A">
      <w:r w:rsidRPr="00842A24">
        <w:t>Winthontlaan 200</w:t>
      </w:r>
    </w:p>
    <w:p w:rsidR="00EA6E2A" w:rsidRPr="00842A24" w:rsidRDefault="00EA6E2A" w:rsidP="00EA6E2A">
      <w:r w:rsidRPr="00842A24">
        <w:t>3526 KV Utrecht</w:t>
      </w:r>
    </w:p>
    <w:p w:rsidR="00EA6E2A" w:rsidRDefault="00EA6E2A" w:rsidP="00EA6E2A">
      <w:r w:rsidRPr="00842A24">
        <w:t>Nyderlandai</w:t>
      </w:r>
    </w:p>
    <w:p w:rsidR="00EA6E2A" w:rsidRDefault="00EA6E2A" w:rsidP="00EA6E2A"/>
    <w:p w:rsidR="00EA6E2A" w:rsidRDefault="00EA6E2A" w:rsidP="00EA6E2A">
      <w:r>
        <w:t>Accord Healthcare single member S.A.</w:t>
      </w:r>
    </w:p>
    <w:p w:rsidR="00EA6E2A" w:rsidRDefault="00EA6E2A" w:rsidP="00EA6E2A">
      <w:r>
        <w:t>64th Km National Road Athens, Lamia, Schimatari,</w:t>
      </w:r>
    </w:p>
    <w:p w:rsidR="00EA6E2A" w:rsidRPr="00842A24" w:rsidRDefault="00EA6E2A" w:rsidP="00EA6E2A">
      <w:r>
        <w:t>32009, Graikija</w:t>
      </w:r>
    </w:p>
    <w:p w:rsidR="00EA6E2A" w:rsidRPr="00842A24" w:rsidRDefault="00EA6E2A" w:rsidP="00EA6E2A">
      <w:pPr>
        <w:pStyle w:val="BTEMEASMCA"/>
      </w:pPr>
    </w:p>
    <w:p w:rsidR="00EA6E2A" w:rsidRPr="00842A24" w:rsidRDefault="00EA6E2A" w:rsidP="00EA6E2A">
      <w:pPr>
        <w:numPr>
          <w:ilvl w:val="12"/>
          <w:numId w:val="0"/>
        </w:numPr>
        <w:tabs>
          <w:tab w:val="left" w:pos="567"/>
        </w:tabs>
        <w:spacing w:line="260" w:lineRule="exact"/>
        <w:ind w:right="-2"/>
        <w:rPr>
          <w:snapToGrid w:val="0"/>
          <w:szCs w:val="20"/>
        </w:rPr>
      </w:pPr>
      <w:r w:rsidRPr="00842A24">
        <w:rPr>
          <w:b/>
          <w:snapToGrid w:val="0"/>
          <w:szCs w:val="20"/>
        </w:rPr>
        <w:t>Šis vaistas Europos ekonominės erdvės valstybėse narėse ir Jungtinėje Karalystėje (Šiaurės Airijoje) registruotas tokiais pavadinimais</w:t>
      </w:r>
      <w:r w:rsidRPr="00842A24">
        <w:rPr>
          <w:snapToGrid w:val="0"/>
          <w:szCs w:val="20"/>
        </w:rPr>
        <w:t>:</w:t>
      </w:r>
    </w:p>
    <w:p w:rsidR="00EA6E2A" w:rsidRPr="00842A24" w:rsidRDefault="00EA6E2A" w:rsidP="00EA6E2A">
      <w:pPr>
        <w:numPr>
          <w:ilvl w:val="12"/>
          <w:numId w:val="0"/>
        </w:numPr>
        <w:tabs>
          <w:tab w:val="left" w:pos="567"/>
        </w:tabs>
        <w:spacing w:line="260" w:lineRule="exact"/>
        <w:ind w:right="-2"/>
        <w:rPr>
          <w:snapToGrid w:val="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6974"/>
      </w:tblGrid>
      <w:tr w:rsidR="00EA6E2A" w:rsidRPr="00842A24" w:rsidTr="00BF361D">
        <w:trPr>
          <w:trHeight w:val="1"/>
        </w:trPr>
        <w:tc>
          <w:tcPr>
            <w:tcW w:w="2235" w:type="dxa"/>
          </w:tcPr>
          <w:p w:rsidR="00EA6E2A" w:rsidRPr="00842A24" w:rsidRDefault="00EA6E2A" w:rsidP="00BF361D">
            <w:pPr>
              <w:rPr>
                <w:b/>
              </w:rPr>
            </w:pPr>
            <w:r w:rsidRPr="00842A24">
              <w:rPr>
                <w:b/>
              </w:rPr>
              <w:br w:type="page"/>
              <w:t>Valstybės narės pavadinimas</w:t>
            </w:r>
          </w:p>
        </w:tc>
        <w:tc>
          <w:tcPr>
            <w:tcW w:w="6974" w:type="dxa"/>
          </w:tcPr>
          <w:p w:rsidR="00EA6E2A" w:rsidRPr="00842A24" w:rsidRDefault="00EA6E2A" w:rsidP="00BF361D">
            <w:pPr>
              <w:rPr>
                <w:b/>
              </w:rPr>
            </w:pPr>
            <w:r w:rsidRPr="00842A24">
              <w:rPr>
                <w:b/>
              </w:rPr>
              <w:t>Vaisto pavadinimas</w:t>
            </w:r>
          </w:p>
        </w:tc>
      </w:tr>
      <w:tr w:rsidR="00EA6E2A" w:rsidRPr="00842A24" w:rsidTr="00BF361D">
        <w:trPr>
          <w:trHeight w:val="1"/>
        </w:trPr>
        <w:tc>
          <w:tcPr>
            <w:tcW w:w="2235" w:type="dxa"/>
            <w:vAlign w:val="center"/>
          </w:tcPr>
          <w:p w:rsidR="00EA6E2A" w:rsidRPr="00842A24" w:rsidRDefault="00EA6E2A" w:rsidP="00BF361D">
            <w:r w:rsidRPr="00842A24">
              <w:t>Danija</w:t>
            </w:r>
          </w:p>
        </w:tc>
        <w:tc>
          <w:tcPr>
            <w:tcW w:w="6974" w:type="dxa"/>
          </w:tcPr>
          <w:p w:rsidR="00EA6E2A" w:rsidRPr="00842A24" w:rsidRDefault="00EA6E2A" w:rsidP="00BF361D">
            <w:pPr>
              <w:jc w:val="both"/>
              <w:rPr>
                <w:bCs/>
              </w:rPr>
            </w:pPr>
            <w:r w:rsidRPr="00842A24">
              <w:rPr>
                <w:bCs/>
              </w:rPr>
              <w:t xml:space="preserve">Exemestane Accord 25 mg </w:t>
            </w:r>
            <w:r w:rsidRPr="00842A24">
              <w:t>filmovertrukne tabletter</w:t>
            </w:r>
          </w:p>
        </w:tc>
      </w:tr>
      <w:tr w:rsidR="00EA6E2A" w:rsidRPr="00842A24" w:rsidTr="00BF361D">
        <w:trPr>
          <w:trHeight w:val="1"/>
        </w:trPr>
        <w:tc>
          <w:tcPr>
            <w:tcW w:w="2235" w:type="dxa"/>
          </w:tcPr>
          <w:p w:rsidR="00EA6E2A" w:rsidRPr="00842A24" w:rsidRDefault="00EA6E2A" w:rsidP="00BF361D">
            <w:r w:rsidRPr="00842A24">
              <w:t>Bulgarija</w:t>
            </w:r>
          </w:p>
        </w:tc>
        <w:tc>
          <w:tcPr>
            <w:tcW w:w="6974" w:type="dxa"/>
          </w:tcPr>
          <w:p w:rsidR="00EA6E2A" w:rsidRPr="00842A24" w:rsidRDefault="00EA6E2A" w:rsidP="00BF361D">
            <w:pPr>
              <w:jc w:val="both"/>
              <w:rPr>
                <w:bCs/>
              </w:rPr>
            </w:pPr>
            <w:r w:rsidRPr="00842A24">
              <w:rPr>
                <w:bCs/>
              </w:rPr>
              <w:t>Екземестан</w:t>
            </w:r>
            <w:r w:rsidRPr="00842A24">
              <w:t xml:space="preserve"> Акорд 25 mg Филмирани таблетки </w:t>
            </w:r>
          </w:p>
        </w:tc>
      </w:tr>
      <w:tr w:rsidR="00EA6E2A" w:rsidRPr="00842A24" w:rsidTr="00BF361D">
        <w:trPr>
          <w:trHeight w:val="1"/>
        </w:trPr>
        <w:tc>
          <w:tcPr>
            <w:tcW w:w="2235" w:type="dxa"/>
          </w:tcPr>
          <w:p w:rsidR="00EA6E2A" w:rsidRPr="00842A24" w:rsidRDefault="00EA6E2A" w:rsidP="00BF361D">
            <w:r w:rsidRPr="00842A24">
              <w:t>Belgija</w:t>
            </w:r>
          </w:p>
        </w:tc>
        <w:tc>
          <w:tcPr>
            <w:tcW w:w="6974" w:type="dxa"/>
          </w:tcPr>
          <w:p w:rsidR="00EA6E2A" w:rsidRPr="00842A24" w:rsidRDefault="00EA6E2A" w:rsidP="00BF361D">
            <w:pPr>
              <w:jc w:val="both"/>
            </w:pPr>
            <w:r w:rsidRPr="00842A24">
              <w:t xml:space="preserve">Exemestane Accord Healthcare 25 mg </w:t>
            </w:r>
            <w:r w:rsidRPr="00842A24">
              <w:rPr>
                <w:bCs/>
              </w:rPr>
              <w:t>comprimés pelliculés/</w:t>
            </w:r>
            <w:r w:rsidRPr="00842A24">
              <w:t xml:space="preserve"> filmomhulde tabletten / Filmtabletten </w:t>
            </w:r>
          </w:p>
        </w:tc>
      </w:tr>
      <w:tr w:rsidR="00EA6E2A" w:rsidRPr="00842A24" w:rsidTr="00BF361D">
        <w:trPr>
          <w:trHeight w:val="1"/>
        </w:trPr>
        <w:tc>
          <w:tcPr>
            <w:tcW w:w="2235" w:type="dxa"/>
          </w:tcPr>
          <w:p w:rsidR="00EA6E2A" w:rsidRPr="00842A24" w:rsidRDefault="00EA6E2A" w:rsidP="00BF361D">
            <w:r w:rsidRPr="00842A24">
              <w:t>Čekija</w:t>
            </w:r>
          </w:p>
        </w:tc>
        <w:tc>
          <w:tcPr>
            <w:tcW w:w="6974" w:type="dxa"/>
          </w:tcPr>
          <w:p w:rsidR="00EA6E2A" w:rsidRPr="00842A24" w:rsidRDefault="00EA6E2A" w:rsidP="00BF361D">
            <w:pPr>
              <w:jc w:val="both"/>
              <w:rPr>
                <w:bCs/>
              </w:rPr>
            </w:pPr>
            <w:r w:rsidRPr="00842A24">
              <w:t>Exemestane Accord 25 mg Potahované tablety</w:t>
            </w:r>
          </w:p>
        </w:tc>
      </w:tr>
      <w:tr w:rsidR="00EA6E2A" w:rsidRPr="00842A24" w:rsidTr="00BF361D">
        <w:trPr>
          <w:trHeight w:val="1"/>
        </w:trPr>
        <w:tc>
          <w:tcPr>
            <w:tcW w:w="2235" w:type="dxa"/>
          </w:tcPr>
          <w:p w:rsidR="00EA6E2A" w:rsidRPr="00842A24" w:rsidRDefault="00EA6E2A" w:rsidP="00BF361D">
            <w:r w:rsidRPr="00842A24">
              <w:t>Estija</w:t>
            </w:r>
          </w:p>
        </w:tc>
        <w:tc>
          <w:tcPr>
            <w:tcW w:w="6974" w:type="dxa"/>
          </w:tcPr>
          <w:p w:rsidR="00EA6E2A" w:rsidRPr="00842A24" w:rsidRDefault="00EA6E2A" w:rsidP="00BF361D">
            <w:pPr>
              <w:jc w:val="both"/>
              <w:rPr>
                <w:bCs/>
              </w:rPr>
            </w:pPr>
            <w:r w:rsidRPr="00842A24">
              <w:t>Exemestane Accord 25 mg, õhukese polümeerikattega tabletid</w:t>
            </w:r>
          </w:p>
        </w:tc>
      </w:tr>
      <w:tr w:rsidR="00EA6E2A" w:rsidRPr="00842A24" w:rsidTr="00BF361D">
        <w:trPr>
          <w:trHeight w:val="1"/>
        </w:trPr>
        <w:tc>
          <w:tcPr>
            <w:tcW w:w="2235" w:type="dxa"/>
          </w:tcPr>
          <w:p w:rsidR="00EA6E2A" w:rsidRPr="00842A24" w:rsidRDefault="00EA6E2A" w:rsidP="00BF361D">
            <w:r w:rsidRPr="00842A24">
              <w:t>Prancūzija</w:t>
            </w:r>
          </w:p>
        </w:tc>
        <w:tc>
          <w:tcPr>
            <w:tcW w:w="6974" w:type="dxa"/>
          </w:tcPr>
          <w:p w:rsidR="00EA6E2A" w:rsidRPr="00842A24" w:rsidRDefault="00EA6E2A" w:rsidP="00BF361D">
            <w:pPr>
              <w:jc w:val="both"/>
              <w:rPr>
                <w:bCs/>
              </w:rPr>
            </w:pPr>
            <w:r w:rsidRPr="00842A24">
              <w:rPr>
                <w:bCs/>
              </w:rPr>
              <w:t>Exemestane Accord 25 mg comprimé pelliculé</w:t>
            </w:r>
          </w:p>
        </w:tc>
      </w:tr>
      <w:tr w:rsidR="00EA6E2A" w:rsidRPr="00842A24" w:rsidTr="00BF361D">
        <w:trPr>
          <w:trHeight w:val="1"/>
        </w:trPr>
        <w:tc>
          <w:tcPr>
            <w:tcW w:w="2235" w:type="dxa"/>
          </w:tcPr>
          <w:p w:rsidR="00EA6E2A" w:rsidRPr="00842A24" w:rsidRDefault="00EA6E2A" w:rsidP="00BF361D">
            <w:r w:rsidRPr="00842A24">
              <w:t>Vokietija</w:t>
            </w:r>
          </w:p>
        </w:tc>
        <w:tc>
          <w:tcPr>
            <w:tcW w:w="6974" w:type="dxa"/>
          </w:tcPr>
          <w:p w:rsidR="00EA6E2A" w:rsidRPr="00842A24" w:rsidRDefault="00EA6E2A" w:rsidP="00BF361D">
            <w:pPr>
              <w:jc w:val="both"/>
              <w:rPr>
                <w:bCs/>
              </w:rPr>
            </w:pPr>
            <w:r w:rsidRPr="00842A24">
              <w:rPr>
                <w:bCs/>
              </w:rPr>
              <w:t xml:space="preserve">Exemestane Accord 25 mg </w:t>
            </w:r>
            <w:r w:rsidRPr="00842A24">
              <w:t xml:space="preserve">Filmtabletten </w:t>
            </w:r>
          </w:p>
        </w:tc>
      </w:tr>
      <w:tr w:rsidR="00EA6E2A" w:rsidRPr="00842A24" w:rsidTr="00BF361D">
        <w:trPr>
          <w:trHeight w:val="1"/>
        </w:trPr>
        <w:tc>
          <w:tcPr>
            <w:tcW w:w="2235" w:type="dxa"/>
          </w:tcPr>
          <w:p w:rsidR="00EA6E2A" w:rsidRPr="00842A24" w:rsidRDefault="00EA6E2A" w:rsidP="00BF361D">
            <w:pPr>
              <w:rPr>
                <w:highlight w:val="yellow"/>
              </w:rPr>
            </w:pPr>
            <w:r w:rsidRPr="00842A24">
              <w:t>Graikija</w:t>
            </w:r>
          </w:p>
        </w:tc>
        <w:tc>
          <w:tcPr>
            <w:tcW w:w="6974" w:type="dxa"/>
          </w:tcPr>
          <w:p w:rsidR="00EA6E2A" w:rsidRPr="00842A24" w:rsidRDefault="00EA6E2A" w:rsidP="00BF361D">
            <w:pPr>
              <w:rPr>
                <w:bCs/>
                <w:highlight w:val="yellow"/>
              </w:rPr>
            </w:pPr>
            <w:r w:rsidRPr="00842A24">
              <w:t>Εξεμεστάνη</w:t>
            </w:r>
            <w:r w:rsidRPr="00842A24">
              <w:rPr>
                <w:bCs/>
              </w:rPr>
              <w:t xml:space="preserve"> </w:t>
            </w:r>
            <w:r w:rsidRPr="00842A24">
              <w:t>Ακόρντ</w:t>
            </w:r>
            <w:r w:rsidRPr="00842A24">
              <w:rPr>
                <w:bCs/>
              </w:rPr>
              <w:t xml:space="preserve"> 25 mg </w:t>
            </w:r>
            <w:r w:rsidRPr="00842A24">
              <w:rPr>
                <w:color w:val="000000"/>
              </w:rPr>
              <w:t>επικαλυμμένα με λεπτό υμένιο δισκία</w:t>
            </w:r>
          </w:p>
        </w:tc>
      </w:tr>
      <w:tr w:rsidR="00EA6E2A" w:rsidRPr="00842A24" w:rsidTr="00BF361D">
        <w:trPr>
          <w:trHeight w:val="1"/>
        </w:trPr>
        <w:tc>
          <w:tcPr>
            <w:tcW w:w="2235" w:type="dxa"/>
          </w:tcPr>
          <w:p w:rsidR="00EA6E2A" w:rsidRPr="00842A24" w:rsidRDefault="00EA6E2A" w:rsidP="00BF361D">
            <w:r w:rsidRPr="00842A24">
              <w:t>Vengrija</w:t>
            </w:r>
          </w:p>
        </w:tc>
        <w:tc>
          <w:tcPr>
            <w:tcW w:w="6974" w:type="dxa"/>
          </w:tcPr>
          <w:p w:rsidR="00EA6E2A" w:rsidRPr="00842A24" w:rsidRDefault="00EA6E2A" w:rsidP="00BF361D">
            <w:pPr>
              <w:autoSpaceDE w:val="0"/>
              <w:autoSpaceDN w:val="0"/>
              <w:adjustRightInd w:val="0"/>
              <w:jc w:val="both"/>
              <w:rPr>
                <w:color w:val="000000"/>
              </w:rPr>
            </w:pPr>
            <w:r w:rsidRPr="00842A24">
              <w:rPr>
                <w:color w:val="000000"/>
              </w:rPr>
              <w:t xml:space="preserve">Exemestane Accord 25 mg filmtabletta </w:t>
            </w:r>
          </w:p>
        </w:tc>
      </w:tr>
      <w:tr w:rsidR="00EA6E2A" w:rsidRPr="00842A24" w:rsidTr="00BF361D">
        <w:trPr>
          <w:trHeight w:val="1"/>
        </w:trPr>
        <w:tc>
          <w:tcPr>
            <w:tcW w:w="2235" w:type="dxa"/>
          </w:tcPr>
          <w:p w:rsidR="00EA6E2A" w:rsidRPr="00842A24" w:rsidRDefault="00EA6E2A" w:rsidP="00BF361D">
            <w:r w:rsidRPr="00842A24">
              <w:t>Airija</w:t>
            </w:r>
          </w:p>
        </w:tc>
        <w:tc>
          <w:tcPr>
            <w:tcW w:w="6974" w:type="dxa"/>
          </w:tcPr>
          <w:p w:rsidR="00EA6E2A" w:rsidRPr="00842A24" w:rsidRDefault="00EA6E2A" w:rsidP="00BF361D">
            <w:pPr>
              <w:jc w:val="both"/>
              <w:rPr>
                <w:bCs/>
              </w:rPr>
            </w:pPr>
            <w:r w:rsidRPr="00842A24">
              <w:rPr>
                <w:bCs/>
              </w:rPr>
              <w:t xml:space="preserve">Exemestane 25 mg Film-coated Tablets </w:t>
            </w:r>
          </w:p>
        </w:tc>
      </w:tr>
      <w:tr w:rsidR="00EA6E2A" w:rsidRPr="00842A24" w:rsidTr="00BF361D">
        <w:trPr>
          <w:trHeight w:val="1"/>
        </w:trPr>
        <w:tc>
          <w:tcPr>
            <w:tcW w:w="2235" w:type="dxa"/>
          </w:tcPr>
          <w:p w:rsidR="00EA6E2A" w:rsidRPr="00842A24" w:rsidRDefault="00EA6E2A" w:rsidP="00BF361D">
            <w:r w:rsidRPr="00842A24">
              <w:t>Italija</w:t>
            </w:r>
          </w:p>
        </w:tc>
        <w:tc>
          <w:tcPr>
            <w:tcW w:w="6974" w:type="dxa"/>
          </w:tcPr>
          <w:p w:rsidR="00EA6E2A" w:rsidRPr="00842A24" w:rsidRDefault="00EA6E2A" w:rsidP="00BF361D">
            <w:pPr>
              <w:jc w:val="both"/>
              <w:rPr>
                <w:bCs/>
              </w:rPr>
            </w:pPr>
            <w:r w:rsidRPr="00842A24">
              <w:t>MEXABREST 25 mg compresse rivestite con film</w:t>
            </w:r>
          </w:p>
        </w:tc>
      </w:tr>
      <w:tr w:rsidR="00EA6E2A" w:rsidRPr="00842A24" w:rsidTr="00BF361D">
        <w:trPr>
          <w:trHeight w:val="1"/>
        </w:trPr>
        <w:tc>
          <w:tcPr>
            <w:tcW w:w="2235" w:type="dxa"/>
          </w:tcPr>
          <w:p w:rsidR="00EA6E2A" w:rsidRPr="00842A24" w:rsidRDefault="00EA6E2A" w:rsidP="00BF361D">
            <w:r w:rsidRPr="00842A24">
              <w:t>Latvija</w:t>
            </w:r>
          </w:p>
        </w:tc>
        <w:tc>
          <w:tcPr>
            <w:tcW w:w="6974" w:type="dxa"/>
          </w:tcPr>
          <w:p w:rsidR="00EA6E2A" w:rsidRPr="00842A24" w:rsidRDefault="00EA6E2A" w:rsidP="00BF361D">
            <w:pPr>
              <w:jc w:val="both"/>
              <w:rPr>
                <w:bCs/>
              </w:rPr>
            </w:pPr>
            <w:r w:rsidRPr="00842A24">
              <w:rPr>
                <w:color w:val="000000"/>
              </w:rPr>
              <w:t xml:space="preserve">Exemestane Accord 25 mg </w:t>
            </w:r>
            <w:r w:rsidRPr="00842A24">
              <w:t>apvalkotās tabletes</w:t>
            </w:r>
          </w:p>
        </w:tc>
      </w:tr>
      <w:tr w:rsidR="00EA6E2A" w:rsidRPr="00842A24" w:rsidTr="00BF361D">
        <w:trPr>
          <w:trHeight w:val="1"/>
        </w:trPr>
        <w:tc>
          <w:tcPr>
            <w:tcW w:w="2235" w:type="dxa"/>
            <w:shd w:val="clear" w:color="auto" w:fill="auto"/>
          </w:tcPr>
          <w:p w:rsidR="00EA6E2A" w:rsidRPr="00842A24" w:rsidRDefault="00EA6E2A" w:rsidP="00BF361D">
            <w:r w:rsidRPr="00842A24">
              <w:t>Lietuva</w:t>
            </w:r>
          </w:p>
        </w:tc>
        <w:tc>
          <w:tcPr>
            <w:tcW w:w="6974" w:type="dxa"/>
          </w:tcPr>
          <w:p w:rsidR="00EA6E2A" w:rsidRPr="00842A24" w:rsidRDefault="00EA6E2A" w:rsidP="00BF361D">
            <w:pPr>
              <w:jc w:val="both"/>
            </w:pPr>
            <w:r w:rsidRPr="00842A24">
              <w:rPr>
                <w:color w:val="000000"/>
              </w:rPr>
              <w:t xml:space="preserve">Exemestane Accord 25 mg plėvele dengtos tabletės </w:t>
            </w:r>
          </w:p>
        </w:tc>
      </w:tr>
      <w:tr w:rsidR="00EA6E2A" w:rsidRPr="00842A24" w:rsidTr="00BF361D">
        <w:trPr>
          <w:trHeight w:val="1"/>
        </w:trPr>
        <w:tc>
          <w:tcPr>
            <w:tcW w:w="2235" w:type="dxa"/>
          </w:tcPr>
          <w:p w:rsidR="00EA6E2A" w:rsidRPr="00842A24" w:rsidRDefault="00EA6E2A" w:rsidP="00BF361D">
            <w:r w:rsidRPr="00842A24">
              <w:t>Lenkija</w:t>
            </w:r>
          </w:p>
        </w:tc>
        <w:tc>
          <w:tcPr>
            <w:tcW w:w="6974" w:type="dxa"/>
          </w:tcPr>
          <w:p w:rsidR="00EA6E2A" w:rsidRPr="00842A24" w:rsidRDefault="00EA6E2A" w:rsidP="00BF361D">
            <w:pPr>
              <w:jc w:val="both"/>
            </w:pPr>
            <w:r w:rsidRPr="00842A24">
              <w:rPr>
                <w:color w:val="000000"/>
              </w:rPr>
              <w:t xml:space="preserve">Exemestane Accord 25 mg </w:t>
            </w:r>
            <w:r w:rsidRPr="00842A24">
              <w:t>tabletki powlekane</w:t>
            </w:r>
          </w:p>
        </w:tc>
      </w:tr>
      <w:tr w:rsidR="00EA6E2A" w:rsidRPr="00842A24" w:rsidTr="00BF361D">
        <w:trPr>
          <w:trHeight w:val="1"/>
        </w:trPr>
        <w:tc>
          <w:tcPr>
            <w:tcW w:w="2235" w:type="dxa"/>
          </w:tcPr>
          <w:p w:rsidR="00EA6E2A" w:rsidRPr="00842A24" w:rsidRDefault="00EA6E2A" w:rsidP="00BF361D">
            <w:r w:rsidRPr="00842A24">
              <w:t>Rumunija</w:t>
            </w:r>
          </w:p>
        </w:tc>
        <w:tc>
          <w:tcPr>
            <w:tcW w:w="6974" w:type="dxa"/>
          </w:tcPr>
          <w:p w:rsidR="00EA6E2A" w:rsidRPr="00842A24" w:rsidRDefault="00EA6E2A" w:rsidP="00BF361D">
            <w:pPr>
              <w:rPr>
                <w:color w:val="000000"/>
              </w:rPr>
            </w:pPr>
            <w:r w:rsidRPr="00842A24">
              <w:t xml:space="preserve">Exemestan Accord 25 mg, </w:t>
            </w:r>
            <w:r w:rsidRPr="00842A24">
              <w:rPr>
                <w:color w:val="000000"/>
              </w:rPr>
              <w:t>comprimate filmate</w:t>
            </w:r>
          </w:p>
        </w:tc>
      </w:tr>
      <w:tr w:rsidR="00EA6E2A" w:rsidRPr="00842A24" w:rsidTr="00BF361D">
        <w:trPr>
          <w:trHeight w:val="1"/>
        </w:trPr>
        <w:tc>
          <w:tcPr>
            <w:tcW w:w="2235" w:type="dxa"/>
          </w:tcPr>
          <w:p w:rsidR="00EA6E2A" w:rsidRPr="00842A24" w:rsidRDefault="00EA6E2A" w:rsidP="00BF361D">
            <w:r w:rsidRPr="00842A24">
              <w:t>Slovakija</w:t>
            </w:r>
          </w:p>
        </w:tc>
        <w:tc>
          <w:tcPr>
            <w:tcW w:w="6974" w:type="dxa"/>
          </w:tcPr>
          <w:p w:rsidR="00EA6E2A" w:rsidRPr="00842A24" w:rsidRDefault="00EA6E2A" w:rsidP="00BF361D">
            <w:pPr>
              <w:jc w:val="both"/>
            </w:pPr>
            <w:r w:rsidRPr="00842A24">
              <w:t>Exemestane Accord 25 mg filmom obalené tablety</w:t>
            </w:r>
            <w:r w:rsidRPr="00842A24">
              <w:tab/>
              <w:t xml:space="preserve"> </w:t>
            </w:r>
          </w:p>
        </w:tc>
      </w:tr>
      <w:tr w:rsidR="00EA6E2A" w:rsidRPr="00842A24" w:rsidTr="00BF361D">
        <w:trPr>
          <w:trHeight w:val="1"/>
        </w:trPr>
        <w:tc>
          <w:tcPr>
            <w:tcW w:w="2235" w:type="dxa"/>
          </w:tcPr>
          <w:p w:rsidR="00EA6E2A" w:rsidRPr="00842A24" w:rsidRDefault="00EA6E2A" w:rsidP="00BF361D">
            <w:r w:rsidRPr="00842A24">
              <w:t>Ispanija</w:t>
            </w:r>
          </w:p>
        </w:tc>
        <w:tc>
          <w:tcPr>
            <w:tcW w:w="6974" w:type="dxa"/>
          </w:tcPr>
          <w:p w:rsidR="00EA6E2A" w:rsidRPr="00842A24" w:rsidRDefault="00EA6E2A" w:rsidP="00BF361D">
            <w:pPr>
              <w:jc w:val="both"/>
            </w:pPr>
            <w:r w:rsidRPr="00842A24">
              <w:t>Exemestane Accord 25 mg comprimidos recubiertos con película EFG</w:t>
            </w:r>
          </w:p>
        </w:tc>
      </w:tr>
      <w:tr w:rsidR="00EA6E2A" w:rsidRPr="00842A24" w:rsidTr="00BF361D">
        <w:trPr>
          <w:trHeight w:val="1"/>
        </w:trPr>
        <w:tc>
          <w:tcPr>
            <w:tcW w:w="2235" w:type="dxa"/>
          </w:tcPr>
          <w:p w:rsidR="00EA6E2A" w:rsidRPr="00842A24" w:rsidRDefault="00EA6E2A" w:rsidP="00BF361D">
            <w:r w:rsidRPr="00842A24">
              <w:t>Nyderlandai</w:t>
            </w:r>
          </w:p>
        </w:tc>
        <w:tc>
          <w:tcPr>
            <w:tcW w:w="6974" w:type="dxa"/>
          </w:tcPr>
          <w:p w:rsidR="00EA6E2A" w:rsidRPr="00842A24" w:rsidRDefault="00EA6E2A" w:rsidP="00BF361D">
            <w:pPr>
              <w:jc w:val="both"/>
            </w:pPr>
            <w:r w:rsidRPr="00842A24">
              <w:t>Exemestaan Accord 25 mg filmomhulde tabletten</w:t>
            </w:r>
          </w:p>
        </w:tc>
      </w:tr>
      <w:tr w:rsidR="00EA6E2A" w:rsidRPr="00842A24" w:rsidTr="00BF361D">
        <w:trPr>
          <w:trHeight w:val="1"/>
        </w:trPr>
        <w:tc>
          <w:tcPr>
            <w:tcW w:w="2235" w:type="dxa"/>
          </w:tcPr>
          <w:p w:rsidR="00EA6E2A" w:rsidRPr="00842A24" w:rsidRDefault="00EA6E2A" w:rsidP="00BF361D">
            <w:r w:rsidRPr="00842A24">
              <w:t>Jungtinė Karalystė (Šiaurės Airija)</w:t>
            </w:r>
          </w:p>
        </w:tc>
        <w:tc>
          <w:tcPr>
            <w:tcW w:w="6974" w:type="dxa"/>
          </w:tcPr>
          <w:p w:rsidR="00EA6E2A" w:rsidRPr="00842A24" w:rsidRDefault="00EA6E2A" w:rsidP="00BF361D">
            <w:pPr>
              <w:jc w:val="both"/>
            </w:pPr>
            <w:r w:rsidRPr="00842A24">
              <w:t xml:space="preserve">Exemestane 25 mg Film-coated Tablets </w:t>
            </w:r>
          </w:p>
        </w:tc>
      </w:tr>
    </w:tbl>
    <w:p w:rsidR="00EA6E2A" w:rsidRPr="00842A24" w:rsidRDefault="00EA6E2A" w:rsidP="00EA6E2A">
      <w:pPr>
        <w:autoSpaceDE w:val="0"/>
        <w:autoSpaceDN w:val="0"/>
        <w:adjustRightInd w:val="0"/>
        <w:jc w:val="both"/>
        <w:rPr>
          <w:b/>
          <w:bCs/>
        </w:rPr>
      </w:pPr>
    </w:p>
    <w:p w:rsidR="00EA6E2A" w:rsidRPr="00842A24" w:rsidRDefault="00EA6E2A" w:rsidP="00EA6E2A">
      <w:pPr>
        <w:pStyle w:val="BTbEMEASMCA"/>
      </w:pPr>
      <w:r w:rsidRPr="00842A24">
        <w:t>Šis pakuotės lapelis paskutinį kartą peržiūrėtas</w:t>
      </w:r>
      <w:r>
        <w:t xml:space="preserve"> 2025-05-19.</w:t>
      </w:r>
    </w:p>
    <w:p w:rsidR="00EA6E2A" w:rsidRPr="00842A24" w:rsidRDefault="00EA6E2A" w:rsidP="00EA6E2A"/>
    <w:p w:rsidR="00EA6E2A" w:rsidRDefault="00EA6E2A" w:rsidP="00EA6E2A">
      <w:pPr>
        <w:numPr>
          <w:ilvl w:val="12"/>
          <w:numId w:val="0"/>
        </w:numPr>
        <w:tabs>
          <w:tab w:val="left" w:pos="567"/>
        </w:tabs>
        <w:ind w:right="-2"/>
        <w:rPr>
          <w:snapToGrid w:val="0"/>
          <w:szCs w:val="20"/>
        </w:rPr>
      </w:pPr>
      <w:r w:rsidRPr="00842A24">
        <w:rPr>
          <w:snapToGrid w:val="0"/>
          <w:szCs w:val="20"/>
        </w:rPr>
        <w:t xml:space="preserve">Išsami informacija apie šį </w:t>
      </w:r>
      <w:r w:rsidRPr="00842A24">
        <w:rPr>
          <w:snapToGrid w:val="0"/>
        </w:rPr>
        <w:t>vaistą</w:t>
      </w:r>
      <w:r w:rsidRPr="00842A24">
        <w:rPr>
          <w:snapToGrid w:val="0"/>
          <w:szCs w:val="20"/>
        </w:rPr>
        <w:t xml:space="preserve"> pateikiama Valstybinės vaistų kontrolės tarnybos prie Lietuvos Respublikos sveikatos apsaugos ministerijos tinklalapyje</w:t>
      </w:r>
      <w:r w:rsidRPr="00842A24">
        <w:rPr>
          <w:i/>
          <w:snapToGrid w:val="0"/>
        </w:rPr>
        <w:t xml:space="preserve"> </w:t>
      </w:r>
      <w:hyperlink r:id="rId5" w:history="1">
        <w:r w:rsidRPr="00842A24">
          <w:rPr>
            <w:rFonts w:eastAsia="SimSun"/>
            <w:snapToGrid w:val="0"/>
            <w:color w:val="0000FF"/>
            <w:szCs w:val="20"/>
            <w:u w:val="single"/>
          </w:rPr>
          <w:t>http://www.vvkt.lt/</w:t>
        </w:r>
      </w:hyperlink>
      <w:r w:rsidRPr="00842A24">
        <w:rPr>
          <w:snapToGrid w:val="0"/>
          <w:szCs w:val="20"/>
        </w:rPr>
        <w:t xml:space="preserve">.         </w:t>
      </w:r>
    </w:p>
    <w:p w:rsidR="00EA6E2A" w:rsidRPr="00842A24" w:rsidRDefault="00EA6E2A" w:rsidP="00EA6E2A">
      <w:pPr>
        <w:numPr>
          <w:ilvl w:val="12"/>
          <w:numId w:val="0"/>
        </w:numPr>
        <w:tabs>
          <w:tab w:val="left" w:pos="567"/>
        </w:tabs>
        <w:ind w:right="-2"/>
      </w:pPr>
    </w:p>
    <w:p w:rsidR="00BA6577" w:rsidRDefault="00BA6577">
      <w:bookmarkStart w:id="15" w:name="_GoBack"/>
      <w:bookmarkEnd w:id="15"/>
    </w:p>
    <w:sectPr w:rsidR="00BA6577" w:rsidSect="00E5770F">
      <w:headerReference w:type="default"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9337635"/>
      <w:docPartObj>
        <w:docPartGallery w:val="Page Numbers (Bottom of Page)"/>
        <w:docPartUnique/>
      </w:docPartObj>
    </w:sdtPr>
    <w:sdtEndPr/>
    <w:sdtContent>
      <w:p w:rsidR="008922B4" w:rsidRDefault="00EA6E2A">
        <w:pPr>
          <w:pStyle w:val="Porat"/>
          <w:jc w:val="center"/>
        </w:pPr>
        <w:r>
          <w:fldChar w:fldCharType="begin"/>
        </w:r>
        <w:r>
          <w:instrText>PAGE   \* MERGEFORMAT</w:instrText>
        </w:r>
        <w:r>
          <w:fldChar w:fldCharType="separate"/>
        </w:r>
        <w:r>
          <w:rPr>
            <w:noProof/>
          </w:rPr>
          <w:t>5</w:t>
        </w:r>
        <w:r>
          <w:fldChar w:fldCharType="end"/>
        </w:r>
      </w:p>
    </w:sdtContent>
  </w:sdt>
  <w:p w:rsidR="008922B4" w:rsidRDefault="00EA6E2A" w:rsidP="008922B4">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231" w:rsidRDefault="00EA6E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A4B9F"/>
    <w:multiLevelType w:val="multilevel"/>
    <w:tmpl w:val="9B72E512"/>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E2005"/>
    <w:multiLevelType w:val="hybridMultilevel"/>
    <w:tmpl w:val="0E8687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303EBD"/>
    <w:multiLevelType w:val="multilevel"/>
    <w:tmpl w:val="55BC6FEA"/>
    <w:lvl w:ilvl="0">
      <w:start w:val="1"/>
      <w:numFmt w:val="bullet"/>
      <w:lvlText w:val=""/>
      <w:lvlJc w:val="left"/>
      <w:pPr>
        <w:tabs>
          <w:tab w:val="num" w:pos="720"/>
        </w:tabs>
        <w:ind w:left="72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484433"/>
    <w:multiLevelType w:val="hybridMultilevel"/>
    <w:tmpl w:val="36802224"/>
    <w:lvl w:ilvl="0" w:tplc="A8C2C7A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36A16B1"/>
    <w:multiLevelType w:val="hybridMultilevel"/>
    <w:tmpl w:val="831E9E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B416138"/>
    <w:multiLevelType w:val="multilevel"/>
    <w:tmpl w:val="BBEE2CBC"/>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82564B"/>
    <w:multiLevelType w:val="hybridMultilevel"/>
    <w:tmpl w:val="A8AEA308"/>
    <w:lvl w:ilvl="0" w:tplc="04270001">
      <w:start w:val="1"/>
      <w:numFmt w:val="bullet"/>
      <w:lvlText w:val=""/>
      <w:lvlJc w:val="left"/>
      <w:pPr>
        <w:tabs>
          <w:tab w:val="num" w:pos="504"/>
        </w:tabs>
        <w:ind w:left="504"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7"/>
  </w:num>
  <w:num w:numId="4">
    <w:abstractNumId w:val="5"/>
  </w:num>
  <w:num w:numId="5">
    <w:abstractNumId w:val="6"/>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E2A"/>
    <w:rsid w:val="00070BFA"/>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D358F2"/>
    <w:rsid w:val="00DC6CF9"/>
    <w:rsid w:val="00E76721"/>
    <w:rsid w:val="00EA6E2A"/>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971C00-7DDC-4DEB-A541-DF5C7985A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6E2A"/>
    <w:pPr>
      <w:spacing w:after="0" w:line="240" w:lineRule="auto"/>
    </w:pPr>
    <w:rPr>
      <w:rFonts w:ascii="Times New Roman" w:hAnsi="Times New Roman" w:cs="Times New Roman"/>
      <w:szCs w:val="24"/>
    </w:rPr>
  </w:style>
  <w:style w:type="paragraph" w:styleId="Antrat2">
    <w:name w:val="heading 2"/>
    <w:basedOn w:val="prastasis"/>
    <w:next w:val="prastasis"/>
    <w:link w:val="Antrat2Diagrama"/>
    <w:uiPriority w:val="9"/>
    <w:semiHidden/>
    <w:unhideWhenUsed/>
    <w:qFormat/>
    <w:rsid w:val="00EA6E2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4">
    <w:name w:val="heading 4"/>
    <w:basedOn w:val="prastasis"/>
    <w:next w:val="prastasis"/>
    <w:link w:val="Antrat4Diagrama"/>
    <w:qFormat/>
    <w:rsid w:val="00EA6E2A"/>
    <w:pPr>
      <w:keepNext/>
      <w:spacing w:before="240" w:after="60"/>
      <w:outlineLvl w:val="3"/>
    </w:pPr>
    <w:rPr>
      <w:rFonts w:ascii="Cambria" w:hAnsi="Cambria"/>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customStyle="1" w:styleId="Antrat4Diagrama">
    <w:name w:val="Antraštė 4 Diagrama"/>
    <w:basedOn w:val="Numatytasispastraiposriftas"/>
    <w:link w:val="Antrat4"/>
    <w:rsid w:val="00EA6E2A"/>
    <w:rPr>
      <w:rFonts w:ascii="Cambria" w:hAnsi="Cambria" w:cs="Times New Roman"/>
      <w:b/>
      <w:bCs/>
      <w:sz w:val="28"/>
      <w:szCs w:val="28"/>
    </w:rPr>
  </w:style>
  <w:style w:type="paragraph" w:customStyle="1" w:styleId="PI-1EMEASMCA">
    <w:name w:val="PI-1 EMEA_SMCA"/>
    <w:basedOn w:val="Antrat2"/>
    <w:autoRedefine/>
    <w:rsid w:val="00EA6E2A"/>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rsid w:val="00EA6E2A"/>
    <w:rPr>
      <w:noProof/>
      <w:szCs w:val="22"/>
    </w:rPr>
  </w:style>
  <w:style w:type="paragraph" w:customStyle="1" w:styleId="BT-EMEASMCA">
    <w:name w:val="BT- EMEA_SMCA"/>
    <w:basedOn w:val="BTEMEASMCA"/>
    <w:autoRedefine/>
    <w:rsid w:val="00EA6E2A"/>
    <w:pPr>
      <w:numPr>
        <w:numId w:val="1"/>
      </w:numPr>
      <w:tabs>
        <w:tab w:val="clear" w:pos="720"/>
        <w:tab w:val="num" w:pos="360"/>
      </w:tabs>
      <w:ind w:left="0" w:firstLine="0"/>
    </w:pPr>
  </w:style>
  <w:style w:type="paragraph" w:customStyle="1" w:styleId="PI-3EMEASMCA">
    <w:name w:val="PI-3 EMEA_SMCA"/>
    <w:basedOn w:val="prastasis"/>
    <w:autoRedefine/>
    <w:rsid w:val="00EA6E2A"/>
    <w:pPr>
      <w:spacing w:line="220" w:lineRule="exact"/>
    </w:pPr>
    <w:rPr>
      <w:b/>
      <w:bCs/>
      <w:szCs w:val="22"/>
    </w:rPr>
  </w:style>
  <w:style w:type="paragraph" w:customStyle="1" w:styleId="BTbEMEASMCA">
    <w:name w:val="BT(b) EMEA_SMCA"/>
    <w:basedOn w:val="BTEMEASMCA"/>
    <w:autoRedefine/>
    <w:rsid w:val="00EA6E2A"/>
    <w:rPr>
      <w:b/>
    </w:rPr>
  </w:style>
  <w:style w:type="paragraph" w:customStyle="1" w:styleId="BTbeEMEASMCA">
    <w:name w:val="BT(be) EMEA_SMCA"/>
    <w:basedOn w:val="BTEMEASMCA"/>
    <w:autoRedefine/>
    <w:rsid w:val="00EA6E2A"/>
    <w:pPr>
      <w:jc w:val="center"/>
    </w:pPr>
    <w:rPr>
      <w:b/>
    </w:rPr>
  </w:style>
  <w:style w:type="paragraph" w:customStyle="1" w:styleId="BTeEMEASMCA">
    <w:name w:val="BT(e) EMEA_SMCA"/>
    <w:basedOn w:val="BTEMEASMCA"/>
    <w:autoRedefine/>
    <w:rsid w:val="00EA6E2A"/>
    <w:pPr>
      <w:jc w:val="center"/>
    </w:pPr>
    <w:rPr>
      <w:lang w:val="en-GB"/>
    </w:rPr>
  </w:style>
  <w:style w:type="character" w:customStyle="1" w:styleId="BTEMEASMCAChar">
    <w:name w:val="BT EMEA_SMCA Char"/>
    <w:link w:val="BTEMEASMCA"/>
    <w:rsid w:val="00EA6E2A"/>
    <w:rPr>
      <w:rFonts w:ascii="Times New Roman" w:hAnsi="Times New Roman" w:cs="Times New Roman"/>
      <w:noProof/>
    </w:rPr>
  </w:style>
  <w:style w:type="paragraph" w:styleId="prastasiniatinklio">
    <w:name w:val="Normal (Web)"/>
    <w:basedOn w:val="prastasis"/>
    <w:uiPriority w:val="99"/>
    <w:rsid w:val="00EA6E2A"/>
    <w:pPr>
      <w:spacing w:before="100" w:beforeAutospacing="1" w:after="100" w:afterAutospacing="1"/>
    </w:pPr>
    <w:rPr>
      <w:sz w:val="24"/>
      <w:lang w:val="en-US"/>
    </w:rPr>
  </w:style>
  <w:style w:type="paragraph" w:customStyle="1" w:styleId="paragraph">
    <w:name w:val="paragraph"/>
    <w:basedOn w:val="prastasis"/>
    <w:rsid w:val="00EA6E2A"/>
    <w:rPr>
      <w:sz w:val="24"/>
      <w:lang w:val="en-US"/>
    </w:rPr>
  </w:style>
  <w:style w:type="character" w:customStyle="1" w:styleId="underline1">
    <w:name w:val="underline1"/>
    <w:rsid w:val="00EA6E2A"/>
    <w:rPr>
      <w:rFonts w:cs="Times New Roman"/>
      <w:u w:val="single"/>
    </w:rPr>
  </w:style>
  <w:style w:type="character" w:customStyle="1" w:styleId="bold1">
    <w:name w:val="bold1"/>
    <w:rsid w:val="00EA6E2A"/>
    <w:rPr>
      <w:rFonts w:cs="Times New Roman"/>
      <w:b/>
      <w:bCs/>
    </w:rPr>
  </w:style>
  <w:style w:type="paragraph" w:styleId="Porat">
    <w:name w:val="footer"/>
    <w:basedOn w:val="prastasis"/>
    <w:link w:val="PoratDiagrama"/>
    <w:uiPriority w:val="99"/>
    <w:rsid w:val="00EA6E2A"/>
    <w:pPr>
      <w:tabs>
        <w:tab w:val="center" w:pos="4819"/>
        <w:tab w:val="right" w:pos="9638"/>
      </w:tabs>
    </w:pPr>
  </w:style>
  <w:style w:type="character" w:customStyle="1" w:styleId="PoratDiagrama">
    <w:name w:val="Poraštė Diagrama"/>
    <w:basedOn w:val="Numatytasispastraiposriftas"/>
    <w:link w:val="Porat"/>
    <w:uiPriority w:val="99"/>
    <w:rsid w:val="00EA6E2A"/>
    <w:rPr>
      <w:rFonts w:ascii="Times New Roman" w:hAnsi="Times New Roman" w:cs="Times New Roman"/>
      <w:szCs w:val="24"/>
    </w:rPr>
  </w:style>
  <w:style w:type="paragraph" w:styleId="Antrats">
    <w:name w:val="header"/>
    <w:basedOn w:val="prastasis"/>
    <w:link w:val="AntratsDiagrama"/>
    <w:rsid w:val="00EA6E2A"/>
    <w:pPr>
      <w:tabs>
        <w:tab w:val="center" w:pos="4819"/>
        <w:tab w:val="right" w:pos="9638"/>
      </w:tabs>
    </w:pPr>
  </w:style>
  <w:style w:type="character" w:customStyle="1" w:styleId="AntratsDiagrama">
    <w:name w:val="Antraštės Diagrama"/>
    <w:basedOn w:val="Numatytasispastraiposriftas"/>
    <w:link w:val="Antrats"/>
    <w:rsid w:val="00EA6E2A"/>
    <w:rPr>
      <w:rFonts w:ascii="Times New Roman" w:hAnsi="Times New Roman" w:cs="Times New Roman"/>
      <w:szCs w:val="24"/>
    </w:rPr>
  </w:style>
  <w:style w:type="character" w:customStyle="1" w:styleId="Antrat2Diagrama">
    <w:name w:val="Antraštė 2 Diagrama"/>
    <w:basedOn w:val="Numatytasispastraiposriftas"/>
    <w:link w:val="Antrat2"/>
    <w:uiPriority w:val="9"/>
    <w:semiHidden/>
    <w:rsid w:val="00EA6E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7980</Words>
  <Characters>4549</Characters>
  <Application>Microsoft Office Word</Application>
  <DocSecurity>0</DocSecurity>
  <Lines>37</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2025-05-27T07:11:00Z</dcterms:created>
  <dcterms:modified xsi:type="dcterms:W3CDTF">2025-05-27T07:12:00Z</dcterms:modified>
</cp:coreProperties>
</file>